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13" w:type="dxa"/>
        <w:tblLook w:val="01E0" w:firstRow="1" w:lastRow="1" w:firstColumn="1" w:lastColumn="1" w:noHBand="0" w:noVBand="0"/>
      </w:tblPr>
      <w:tblGrid>
        <w:gridCol w:w="823"/>
        <w:gridCol w:w="204"/>
        <w:gridCol w:w="6442"/>
        <w:gridCol w:w="1603"/>
      </w:tblGrid>
      <w:tr w:rsidR="00573010" w:rsidRPr="005E6B7C" w14:paraId="69CEF4E6" w14:textId="77777777" w:rsidTr="00573010">
        <w:trPr>
          <w:gridAfter w:val="1"/>
          <w:wAfter w:w="1731" w:type="dxa"/>
          <w:trHeight w:val="795"/>
        </w:trPr>
        <w:tc>
          <w:tcPr>
            <w:tcW w:w="846" w:type="dxa"/>
            <w:tcBorders>
              <w:top w:val="nil"/>
              <w:left w:val="nil"/>
              <w:bottom w:val="single" w:sz="4" w:space="0" w:color="auto"/>
              <w:right w:val="nil"/>
            </w:tcBorders>
          </w:tcPr>
          <w:p w14:paraId="3CEEFB44" w14:textId="77777777" w:rsidR="000E1064" w:rsidRPr="0018773C" w:rsidRDefault="000E1064" w:rsidP="008C0D47">
            <w:pPr>
              <w:jc w:val="both"/>
              <w:rPr>
                <w:rFonts w:asciiTheme="majorHAnsi" w:hAnsiTheme="majorHAnsi" w:cstheme="majorHAnsi"/>
                <w:b/>
                <w:color w:val="000000" w:themeColor="text1"/>
                <w:sz w:val="22"/>
                <w:szCs w:val="22"/>
              </w:rPr>
            </w:pPr>
          </w:p>
        </w:tc>
        <w:tc>
          <w:tcPr>
            <w:tcW w:w="7030" w:type="dxa"/>
            <w:gridSpan w:val="2"/>
            <w:tcBorders>
              <w:top w:val="nil"/>
              <w:left w:val="nil"/>
              <w:bottom w:val="single" w:sz="4" w:space="0" w:color="auto"/>
              <w:right w:val="nil"/>
            </w:tcBorders>
          </w:tcPr>
          <w:p w14:paraId="372A2E4E" w14:textId="77777777" w:rsidR="000E1064" w:rsidRPr="005E6B7C" w:rsidRDefault="000E1064" w:rsidP="008C0D47">
            <w:pPr>
              <w:jc w:val="center"/>
              <w:rPr>
                <w:rFonts w:asciiTheme="majorHAnsi" w:hAnsiTheme="majorHAnsi" w:cstheme="majorHAnsi"/>
                <w:b/>
                <w:bCs/>
                <w:color w:val="000000" w:themeColor="text1"/>
                <w:spacing w:val="-8"/>
                <w:sz w:val="22"/>
                <w:szCs w:val="22"/>
                <w:lang w:val="vi-VN"/>
              </w:rPr>
            </w:pPr>
            <w:r w:rsidRPr="005E6B7C">
              <w:rPr>
                <w:rFonts w:asciiTheme="majorHAnsi" w:hAnsiTheme="majorHAnsi" w:cstheme="majorHAnsi"/>
                <w:b/>
                <w:bCs/>
                <w:color w:val="000000" w:themeColor="text1"/>
                <w:spacing w:val="-8"/>
                <w:sz w:val="22"/>
                <w:szCs w:val="22"/>
                <w:lang w:val="fr-FR"/>
              </w:rPr>
              <w:t xml:space="preserve">CONTENTS VOL. </w:t>
            </w:r>
            <w:r w:rsidR="00915F2E" w:rsidRPr="005E6B7C">
              <w:rPr>
                <w:rFonts w:asciiTheme="majorHAnsi" w:hAnsiTheme="majorHAnsi" w:cstheme="majorHAnsi"/>
                <w:b/>
                <w:bCs/>
                <w:color w:val="000000" w:themeColor="text1"/>
                <w:spacing w:val="-8"/>
                <w:sz w:val="22"/>
                <w:szCs w:val="22"/>
                <w:lang w:val="fr-FR"/>
              </w:rPr>
              <w:t>31</w:t>
            </w:r>
            <w:r w:rsidRPr="005E6B7C">
              <w:rPr>
                <w:rFonts w:asciiTheme="majorHAnsi" w:hAnsiTheme="majorHAnsi" w:cstheme="majorHAnsi"/>
                <w:b/>
                <w:bCs/>
                <w:color w:val="000000" w:themeColor="text1"/>
                <w:spacing w:val="-8"/>
                <w:sz w:val="22"/>
                <w:szCs w:val="22"/>
                <w:lang w:val="fr-FR"/>
              </w:rPr>
              <w:t>(1+2), 202</w:t>
            </w:r>
            <w:r w:rsidR="00915F2E" w:rsidRPr="005E6B7C">
              <w:rPr>
                <w:rFonts w:asciiTheme="majorHAnsi" w:hAnsiTheme="majorHAnsi" w:cstheme="majorHAnsi"/>
                <w:b/>
                <w:bCs/>
                <w:color w:val="000000" w:themeColor="text1"/>
                <w:spacing w:val="-8"/>
                <w:sz w:val="22"/>
                <w:szCs w:val="22"/>
                <w:lang w:val="fr-FR"/>
              </w:rPr>
              <w:t>6 (SPECIAL ISSUE)</w:t>
            </w:r>
          </w:p>
          <w:p w14:paraId="683F2E91" w14:textId="77777777" w:rsidR="000E1064" w:rsidRPr="005E6B7C" w:rsidRDefault="000E1064" w:rsidP="008C0D47">
            <w:pPr>
              <w:jc w:val="center"/>
              <w:rPr>
                <w:rFonts w:asciiTheme="majorHAnsi" w:hAnsiTheme="majorHAnsi" w:cstheme="majorHAnsi"/>
                <w:b/>
                <w:bCs/>
                <w:i/>
                <w:iCs/>
                <w:color w:val="000000" w:themeColor="text1"/>
                <w:spacing w:val="-8"/>
                <w:sz w:val="22"/>
                <w:szCs w:val="22"/>
                <w:lang w:val="fr-FR"/>
              </w:rPr>
            </w:pPr>
            <w:r w:rsidRPr="005E6B7C">
              <w:rPr>
                <w:rFonts w:asciiTheme="majorHAnsi" w:hAnsiTheme="majorHAnsi" w:cstheme="majorHAnsi"/>
                <w:b/>
                <w:bCs/>
                <w:i/>
                <w:iCs/>
                <w:color w:val="000000" w:themeColor="text1"/>
                <w:spacing w:val="-8"/>
                <w:sz w:val="22"/>
                <w:szCs w:val="22"/>
                <w:lang w:val="fr-FR"/>
              </w:rPr>
              <w:t>(Pages 1 - 1</w:t>
            </w:r>
            <w:r w:rsidR="00915F2E" w:rsidRPr="005E6B7C">
              <w:rPr>
                <w:rFonts w:asciiTheme="majorHAnsi" w:hAnsiTheme="majorHAnsi" w:cstheme="majorHAnsi"/>
                <w:b/>
                <w:bCs/>
                <w:i/>
                <w:iCs/>
                <w:color w:val="000000" w:themeColor="text1"/>
                <w:spacing w:val="-8"/>
                <w:sz w:val="22"/>
                <w:szCs w:val="22"/>
                <w:lang w:val="fr-FR"/>
              </w:rPr>
              <w:t>60</w:t>
            </w:r>
            <w:r w:rsidRPr="005E6B7C">
              <w:rPr>
                <w:rFonts w:asciiTheme="majorHAnsi" w:hAnsiTheme="majorHAnsi" w:cstheme="majorHAnsi"/>
                <w:b/>
                <w:bCs/>
                <w:i/>
                <w:iCs/>
                <w:color w:val="000000" w:themeColor="text1"/>
                <w:spacing w:val="-8"/>
                <w:sz w:val="22"/>
                <w:szCs w:val="22"/>
                <w:lang w:val="fr-FR"/>
              </w:rPr>
              <w:t>)</w:t>
            </w:r>
          </w:p>
          <w:p w14:paraId="5AEA4E69" w14:textId="77777777" w:rsidR="000E1064" w:rsidRPr="005E6B7C" w:rsidRDefault="000E1064" w:rsidP="008C0D47">
            <w:pPr>
              <w:jc w:val="both"/>
              <w:rPr>
                <w:rFonts w:asciiTheme="majorHAnsi" w:hAnsiTheme="majorHAnsi" w:cstheme="majorHAnsi"/>
                <w:b/>
                <w:bCs/>
                <w:i/>
                <w:color w:val="000000" w:themeColor="text1"/>
                <w:sz w:val="18"/>
                <w:szCs w:val="22"/>
              </w:rPr>
            </w:pPr>
          </w:p>
        </w:tc>
      </w:tr>
      <w:tr w:rsidR="00573010" w:rsidRPr="005E6B7C" w14:paraId="68C1FFA6" w14:textId="77777777" w:rsidTr="00573010">
        <w:trPr>
          <w:trHeight w:val="127"/>
        </w:trPr>
        <w:tc>
          <w:tcPr>
            <w:tcW w:w="1057" w:type="dxa"/>
            <w:gridSpan w:val="2"/>
            <w:tcBorders>
              <w:top w:val="double" w:sz="6" w:space="0" w:color="auto"/>
              <w:left w:val="nil"/>
              <w:bottom w:val="nil"/>
              <w:right w:val="nil"/>
            </w:tcBorders>
          </w:tcPr>
          <w:p w14:paraId="439604D4" w14:textId="77777777" w:rsidR="000E1064" w:rsidRPr="005E6B7C" w:rsidRDefault="000E1064" w:rsidP="008C0D47">
            <w:pPr>
              <w:jc w:val="both"/>
              <w:rPr>
                <w:rFonts w:asciiTheme="majorHAnsi" w:hAnsiTheme="majorHAnsi" w:cstheme="majorHAnsi"/>
                <w:b/>
                <w:color w:val="000000" w:themeColor="text1"/>
                <w:sz w:val="22"/>
                <w:szCs w:val="22"/>
              </w:rPr>
            </w:pPr>
          </w:p>
        </w:tc>
        <w:tc>
          <w:tcPr>
            <w:tcW w:w="8550" w:type="dxa"/>
            <w:gridSpan w:val="2"/>
            <w:tcBorders>
              <w:top w:val="double" w:sz="6" w:space="0" w:color="auto"/>
              <w:left w:val="nil"/>
              <w:bottom w:val="nil"/>
              <w:right w:val="nil"/>
            </w:tcBorders>
          </w:tcPr>
          <w:p w14:paraId="6D441AB8" w14:textId="77777777" w:rsidR="000E1064" w:rsidRPr="005E6B7C" w:rsidRDefault="000E1064" w:rsidP="008C0D47">
            <w:pPr>
              <w:jc w:val="both"/>
              <w:rPr>
                <w:rFonts w:asciiTheme="majorHAnsi" w:hAnsiTheme="majorHAnsi" w:cstheme="majorHAnsi"/>
                <w:b/>
                <w:bCs/>
                <w:color w:val="000000" w:themeColor="text1"/>
                <w:spacing w:val="-8"/>
                <w:sz w:val="22"/>
                <w:szCs w:val="22"/>
                <w:lang w:val="fr-FR"/>
              </w:rPr>
            </w:pPr>
          </w:p>
        </w:tc>
      </w:tr>
      <w:tr w:rsidR="00573010" w:rsidRPr="005E6B7C" w14:paraId="2F9C9047" w14:textId="77777777" w:rsidTr="00573010">
        <w:trPr>
          <w:trHeight w:val="579"/>
        </w:trPr>
        <w:tc>
          <w:tcPr>
            <w:tcW w:w="1057" w:type="dxa"/>
            <w:gridSpan w:val="2"/>
            <w:tcBorders>
              <w:top w:val="nil"/>
              <w:left w:val="nil"/>
              <w:bottom w:val="dotted" w:sz="4" w:space="0" w:color="auto"/>
              <w:right w:val="nil"/>
            </w:tcBorders>
            <w:vAlign w:val="center"/>
            <w:hideMark/>
          </w:tcPr>
          <w:p w14:paraId="7579786A" w14:textId="77777777" w:rsidR="000E1064" w:rsidRPr="005E6B7C" w:rsidRDefault="000E1064" w:rsidP="008C0D47">
            <w:pPr>
              <w:jc w:val="center"/>
              <w:rPr>
                <w:rFonts w:asciiTheme="majorHAnsi" w:hAnsiTheme="majorHAnsi" w:cstheme="majorHAnsi"/>
                <w:b/>
                <w:color w:val="000000" w:themeColor="text1"/>
                <w:sz w:val="22"/>
                <w:szCs w:val="22"/>
              </w:rPr>
            </w:pPr>
            <w:r w:rsidRPr="005E6B7C">
              <w:rPr>
                <w:rFonts w:asciiTheme="majorHAnsi" w:hAnsiTheme="majorHAnsi" w:cstheme="majorHAnsi"/>
                <w:b/>
                <w:color w:val="000000" w:themeColor="text1"/>
                <w:sz w:val="22"/>
                <w:szCs w:val="22"/>
              </w:rPr>
              <w:t>Page</w:t>
            </w:r>
          </w:p>
        </w:tc>
        <w:tc>
          <w:tcPr>
            <w:tcW w:w="8550" w:type="dxa"/>
            <w:gridSpan w:val="2"/>
            <w:tcBorders>
              <w:top w:val="nil"/>
              <w:left w:val="nil"/>
              <w:bottom w:val="dotted" w:sz="4" w:space="0" w:color="auto"/>
              <w:right w:val="nil"/>
            </w:tcBorders>
            <w:vAlign w:val="center"/>
            <w:hideMark/>
          </w:tcPr>
          <w:p w14:paraId="500D770A" w14:textId="77777777" w:rsidR="000E1064" w:rsidRPr="005E6B7C" w:rsidRDefault="000E1064" w:rsidP="008C0D47">
            <w:pPr>
              <w:jc w:val="center"/>
              <w:rPr>
                <w:rFonts w:asciiTheme="majorHAnsi" w:hAnsiTheme="majorHAnsi" w:cstheme="majorHAnsi"/>
                <w:b/>
                <w:bCs/>
                <w:color w:val="000000" w:themeColor="text1"/>
                <w:spacing w:val="-8"/>
                <w:sz w:val="22"/>
                <w:szCs w:val="22"/>
                <w:lang w:val="fr-FR"/>
              </w:rPr>
            </w:pPr>
            <w:r w:rsidRPr="005E6B7C">
              <w:rPr>
                <w:rFonts w:asciiTheme="majorHAnsi" w:hAnsiTheme="majorHAnsi" w:cstheme="majorHAnsi"/>
                <w:b/>
                <w:color w:val="000000" w:themeColor="text1"/>
                <w:spacing w:val="-8"/>
                <w:sz w:val="22"/>
                <w:szCs w:val="22"/>
                <w:lang w:val="fr-FR"/>
              </w:rPr>
              <w:t>SCIENTIFIC RESEARCH</w:t>
            </w:r>
          </w:p>
        </w:tc>
      </w:tr>
      <w:tr w:rsidR="00573010" w:rsidRPr="005E6B7C" w14:paraId="6B441E9B" w14:textId="77777777" w:rsidTr="00573010">
        <w:trPr>
          <w:trHeight w:val="301"/>
        </w:trPr>
        <w:tc>
          <w:tcPr>
            <w:tcW w:w="1057" w:type="dxa"/>
            <w:gridSpan w:val="2"/>
            <w:tcBorders>
              <w:top w:val="dotted" w:sz="4" w:space="0" w:color="auto"/>
              <w:left w:val="dotted" w:sz="4" w:space="0" w:color="auto"/>
              <w:bottom w:val="dotted" w:sz="4" w:space="0" w:color="auto"/>
              <w:right w:val="dotted" w:sz="4" w:space="0" w:color="auto"/>
            </w:tcBorders>
            <w:vAlign w:val="center"/>
          </w:tcPr>
          <w:p w14:paraId="2457BEE0" w14:textId="77777777" w:rsidR="000E1064" w:rsidRPr="005E6B7C" w:rsidRDefault="00C10EE8" w:rsidP="008C0D47">
            <w:pPr>
              <w:spacing w:before="40" w:after="40" w:line="286" w:lineRule="atLeast"/>
              <w:jc w:val="center"/>
              <w:rPr>
                <w:rFonts w:asciiTheme="majorHAnsi" w:hAnsiTheme="majorHAnsi" w:cstheme="majorHAnsi"/>
                <w:bCs/>
                <w:color w:val="000000" w:themeColor="text1"/>
                <w:spacing w:val="-4"/>
                <w:sz w:val="22"/>
                <w:szCs w:val="22"/>
                <w:lang w:eastAsia="ja-JP"/>
              </w:rPr>
            </w:pPr>
            <w:r w:rsidRPr="005E6B7C">
              <w:rPr>
                <w:rFonts w:asciiTheme="majorHAnsi" w:hAnsiTheme="majorHAnsi" w:cstheme="majorHAnsi"/>
                <w:bCs/>
                <w:color w:val="000000" w:themeColor="text1"/>
                <w:spacing w:val="-4"/>
                <w:sz w:val="22"/>
                <w:szCs w:val="22"/>
                <w:lang w:eastAsia="ja-JP"/>
              </w:rPr>
              <w:t>3</w:t>
            </w:r>
          </w:p>
        </w:tc>
        <w:tc>
          <w:tcPr>
            <w:tcW w:w="8550" w:type="dxa"/>
            <w:gridSpan w:val="2"/>
            <w:tcBorders>
              <w:top w:val="dotted" w:sz="4" w:space="0" w:color="auto"/>
              <w:left w:val="dotted" w:sz="4" w:space="0" w:color="auto"/>
              <w:bottom w:val="dotted" w:sz="4" w:space="0" w:color="auto"/>
              <w:right w:val="dotted" w:sz="4" w:space="0" w:color="auto"/>
            </w:tcBorders>
            <w:hideMark/>
          </w:tcPr>
          <w:p w14:paraId="55424B00" w14:textId="2540182B" w:rsidR="000E1064" w:rsidRPr="005E6B7C" w:rsidRDefault="00915F2E" w:rsidP="008C0D47">
            <w:pPr>
              <w:spacing w:before="40" w:after="40" w:line="286" w:lineRule="atLeast"/>
              <w:ind w:left="34"/>
              <w:jc w:val="both"/>
              <w:rPr>
                <w:rFonts w:asciiTheme="majorHAnsi" w:hAnsiTheme="majorHAnsi" w:cstheme="majorHAnsi"/>
                <w:b/>
                <w:bCs/>
                <w:color w:val="000000" w:themeColor="text1"/>
                <w:spacing w:val="-6"/>
                <w:sz w:val="22"/>
                <w:szCs w:val="22"/>
              </w:rPr>
            </w:pPr>
            <w:r w:rsidRPr="005E6B7C">
              <w:rPr>
                <w:rFonts w:asciiTheme="majorHAnsi" w:hAnsiTheme="majorHAnsi" w:cstheme="majorHAnsi"/>
                <w:b/>
                <w:bCs/>
                <w:color w:val="000000" w:themeColor="text1"/>
                <w:spacing w:val="-6"/>
                <w:sz w:val="22"/>
                <w:szCs w:val="22"/>
              </w:rPr>
              <w:t>F</w:t>
            </w:r>
            <w:r w:rsidRPr="005E6B7C">
              <w:rPr>
                <w:rFonts w:asciiTheme="majorHAnsi" w:hAnsiTheme="majorHAnsi" w:cstheme="majorHAnsi"/>
                <w:b/>
                <w:bCs/>
                <w:color w:val="000000" w:themeColor="text1"/>
                <w:spacing w:val="-6"/>
                <w:sz w:val="22"/>
                <w:szCs w:val="22"/>
                <w:lang w:val="vi-VN"/>
              </w:rPr>
              <w:t>oreword</w:t>
            </w:r>
            <w:r w:rsidRPr="005E6B7C">
              <w:rPr>
                <w:rFonts w:asciiTheme="majorHAnsi" w:hAnsiTheme="majorHAnsi" w:cstheme="majorHAnsi"/>
                <w:b/>
                <w:bCs/>
                <w:color w:val="000000" w:themeColor="text1"/>
                <w:spacing w:val="-6"/>
                <w:sz w:val="22"/>
                <w:szCs w:val="22"/>
              </w:rPr>
              <w:t>:</w:t>
            </w:r>
            <w:r w:rsidR="00DB1514" w:rsidRPr="005E6B7C">
              <w:rPr>
                <w:rFonts w:asciiTheme="majorHAnsi" w:hAnsiTheme="majorHAnsi" w:cstheme="majorHAnsi"/>
                <w:b/>
                <w:bCs/>
                <w:color w:val="000000" w:themeColor="text1"/>
                <w:spacing w:val="-6"/>
                <w:sz w:val="22"/>
                <w:szCs w:val="22"/>
              </w:rPr>
              <w:t xml:space="preserve"> </w:t>
            </w:r>
            <w:r w:rsidR="007B225E" w:rsidRPr="005E6B7C">
              <w:rPr>
                <w:rFonts w:asciiTheme="majorHAnsi" w:eastAsia="Yu Mincho" w:hAnsiTheme="majorHAnsi" w:cstheme="majorHAnsi"/>
                <w:b/>
                <w:bCs/>
                <w:color w:val="EE0000"/>
                <w:sz w:val="22"/>
                <w:szCs w:val="22"/>
                <w:lang w:val="vi-VN" w:eastAsia="ja-JP"/>
              </w:rPr>
              <w:t>Special Issue commemorating the 65</w:t>
            </w:r>
            <w:r w:rsidR="007B225E" w:rsidRPr="005E6B7C">
              <w:rPr>
                <w:rFonts w:asciiTheme="majorHAnsi" w:eastAsia="Yu Mincho" w:hAnsiTheme="majorHAnsi" w:cstheme="majorHAnsi"/>
                <w:b/>
                <w:bCs/>
                <w:color w:val="EE0000"/>
                <w:sz w:val="22"/>
                <w:szCs w:val="22"/>
                <w:vertAlign w:val="superscript"/>
                <w:lang w:val="vi-VN" w:eastAsia="ja-JP"/>
              </w:rPr>
              <w:t>th</w:t>
            </w:r>
            <w:r w:rsidR="007B225E" w:rsidRPr="005E6B7C">
              <w:rPr>
                <w:rFonts w:asciiTheme="majorHAnsi" w:eastAsia="Yu Mincho" w:hAnsiTheme="majorHAnsi" w:cstheme="majorHAnsi"/>
                <w:b/>
                <w:bCs/>
                <w:color w:val="EE0000"/>
                <w:sz w:val="22"/>
                <w:szCs w:val="22"/>
                <w:lang w:val="vi-VN" w:eastAsia="ja-JP"/>
              </w:rPr>
              <w:t xml:space="preserve"> Anniversary of the National Institute of Medicinal Materials and welcoming the 1</w:t>
            </w:r>
            <w:r w:rsidR="007B225E" w:rsidRPr="005E6B7C">
              <w:rPr>
                <w:rFonts w:asciiTheme="majorHAnsi" w:eastAsia="Yu Mincho" w:hAnsiTheme="majorHAnsi" w:cstheme="majorHAnsi"/>
                <w:b/>
                <w:bCs/>
                <w:color w:val="EE0000"/>
                <w:sz w:val="22"/>
                <w:szCs w:val="22"/>
                <w:vertAlign w:val="superscript"/>
                <w:lang w:val="vi-VN" w:eastAsia="ja-JP"/>
              </w:rPr>
              <w:t>st</w:t>
            </w:r>
            <w:r w:rsidR="007B225E" w:rsidRPr="005E6B7C">
              <w:rPr>
                <w:rFonts w:asciiTheme="majorHAnsi" w:eastAsia="Yu Mincho" w:hAnsiTheme="majorHAnsi" w:cstheme="majorHAnsi"/>
                <w:b/>
                <w:bCs/>
                <w:color w:val="EE0000"/>
                <w:sz w:val="22"/>
                <w:szCs w:val="22"/>
                <w:lang w:val="vi-VN" w:eastAsia="ja-JP"/>
              </w:rPr>
              <w:t xml:space="preserve"> International Conference V.IMPACT-2026</w:t>
            </w:r>
            <w:r w:rsidR="007B225E" w:rsidRPr="005E6B7C">
              <w:rPr>
                <w:rFonts w:asciiTheme="majorHAnsi" w:eastAsia="Yu Mincho" w:hAnsiTheme="majorHAnsi" w:cstheme="majorHAnsi"/>
                <w:b/>
                <w:bCs/>
                <w:color w:val="EE0000"/>
                <w:sz w:val="22"/>
                <w:szCs w:val="22"/>
                <w:lang w:eastAsia="ja-JP"/>
              </w:rPr>
              <w:t xml:space="preserve"> </w:t>
            </w:r>
            <w:r w:rsidRPr="005E6B7C">
              <w:rPr>
                <w:rFonts w:asciiTheme="majorHAnsi" w:hAnsiTheme="majorHAnsi" w:cstheme="majorHAnsi"/>
                <w:b/>
                <w:bCs/>
                <w:color w:val="EE0000"/>
                <w:spacing w:val="-6"/>
                <w:sz w:val="22"/>
                <w:szCs w:val="22"/>
              </w:rPr>
              <w:t>-</w:t>
            </w:r>
            <w:r w:rsidR="007E657D" w:rsidRPr="005E6B7C">
              <w:rPr>
                <w:rFonts w:asciiTheme="majorHAnsi" w:hAnsiTheme="majorHAnsi" w:cstheme="majorHAnsi"/>
                <w:b/>
                <w:bCs/>
                <w:i/>
                <w:color w:val="EE0000"/>
                <w:spacing w:val="-6"/>
                <w:sz w:val="22"/>
                <w:szCs w:val="22"/>
              </w:rPr>
              <w:t xml:space="preserve"> </w:t>
            </w:r>
            <w:r w:rsidR="00777FF2" w:rsidRPr="005E6B7C">
              <w:rPr>
                <w:rFonts w:asciiTheme="majorHAnsi" w:hAnsiTheme="majorHAnsi" w:cstheme="majorHAnsi"/>
                <w:bCs/>
                <w:i/>
                <w:color w:val="EE0000"/>
                <w:spacing w:val="-6"/>
                <w:sz w:val="22"/>
                <w:szCs w:val="22"/>
                <w:lang w:val="vi-VN"/>
              </w:rPr>
              <w:t>Assoc. Prof. Do</w:t>
            </w:r>
            <w:r w:rsidR="00B115A7" w:rsidRPr="005E6B7C">
              <w:rPr>
                <w:rFonts w:asciiTheme="majorHAnsi" w:hAnsiTheme="majorHAnsi" w:cstheme="majorHAnsi"/>
                <w:bCs/>
                <w:i/>
                <w:color w:val="EE0000"/>
                <w:spacing w:val="-6"/>
                <w:sz w:val="22"/>
                <w:szCs w:val="22"/>
              </w:rPr>
              <w:t xml:space="preserve"> Thi Ha</w:t>
            </w:r>
            <w:r w:rsidR="00777FF2" w:rsidRPr="005E6B7C">
              <w:rPr>
                <w:rFonts w:asciiTheme="majorHAnsi" w:hAnsiTheme="majorHAnsi" w:cstheme="majorHAnsi"/>
                <w:bCs/>
                <w:i/>
                <w:color w:val="EE0000"/>
                <w:spacing w:val="-6"/>
                <w:sz w:val="22"/>
                <w:szCs w:val="22"/>
                <w:lang w:val="vi-VN"/>
              </w:rPr>
              <w:t>, PhD</w:t>
            </w:r>
          </w:p>
        </w:tc>
      </w:tr>
      <w:tr w:rsidR="00573010" w:rsidRPr="005E6B7C" w14:paraId="2D15AF49" w14:textId="77777777" w:rsidTr="00573010">
        <w:trPr>
          <w:trHeight w:val="301"/>
        </w:trPr>
        <w:tc>
          <w:tcPr>
            <w:tcW w:w="1057" w:type="dxa"/>
            <w:gridSpan w:val="2"/>
            <w:tcBorders>
              <w:top w:val="dotted" w:sz="4" w:space="0" w:color="auto"/>
              <w:left w:val="dotted" w:sz="4" w:space="0" w:color="auto"/>
              <w:bottom w:val="dotted" w:sz="4" w:space="0" w:color="auto"/>
              <w:right w:val="dotted" w:sz="4" w:space="0" w:color="auto"/>
            </w:tcBorders>
            <w:vAlign w:val="center"/>
          </w:tcPr>
          <w:p w14:paraId="2F5717D2" w14:textId="77777777" w:rsidR="00013F81" w:rsidRPr="005E6B7C" w:rsidRDefault="00013F81" w:rsidP="008C0D47">
            <w:pPr>
              <w:spacing w:before="40" w:after="40" w:line="286" w:lineRule="atLeast"/>
              <w:jc w:val="center"/>
              <w:rPr>
                <w:rFonts w:asciiTheme="majorHAnsi" w:hAnsiTheme="majorHAnsi" w:cstheme="majorHAnsi"/>
                <w:bCs/>
                <w:color w:val="000000" w:themeColor="text1"/>
                <w:spacing w:val="-4"/>
                <w:sz w:val="22"/>
                <w:szCs w:val="22"/>
                <w:lang w:eastAsia="ja-JP"/>
              </w:rPr>
            </w:pPr>
          </w:p>
        </w:tc>
        <w:tc>
          <w:tcPr>
            <w:tcW w:w="8550" w:type="dxa"/>
            <w:gridSpan w:val="2"/>
            <w:tcBorders>
              <w:top w:val="dotted" w:sz="4" w:space="0" w:color="auto"/>
              <w:left w:val="dotted" w:sz="4" w:space="0" w:color="auto"/>
              <w:bottom w:val="dotted" w:sz="4" w:space="0" w:color="auto"/>
              <w:right w:val="dotted" w:sz="4" w:space="0" w:color="auto"/>
            </w:tcBorders>
          </w:tcPr>
          <w:p w14:paraId="3B39A257" w14:textId="77777777" w:rsidR="00013F81" w:rsidRPr="005E6B7C" w:rsidRDefault="00013F81" w:rsidP="008C0D47">
            <w:pPr>
              <w:spacing w:before="40" w:after="40" w:line="286" w:lineRule="atLeast"/>
              <w:ind w:left="34"/>
              <w:jc w:val="center"/>
              <w:rPr>
                <w:rFonts w:asciiTheme="majorHAnsi" w:hAnsiTheme="majorHAnsi" w:cstheme="majorHAnsi"/>
                <w:b/>
                <w:bCs/>
                <w:color w:val="000000" w:themeColor="text1"/>
                <w:spacing w:val="-6"/>
                <w:sz w:val="22"/>
                <w:szCs w:val="22"/>
              </w:rPr>
            </w:pPr>
            <w:r w:rsidRPr="005E6B7C">
              <w:rPr>
                <w:rFonts w:asciiTheme="majorHAnsi" w:hAnsiTheme="majorHAnsi" w:cstheme="majorHAnsi"/>
                <w:b/>
                <w:bCs/>
                <w:color w:val="000000" w:themeColor="text1"/>
                <w:spacing w:val="-6"/>
                <w:sz w:val="22"/>
                <w:szCs w:val="22"/>
              </w:rPr>
              <w:t>REVIEW</w:t>
            </w:r>
          </w:p>
        </w:tc>
      </w:tr>
      <w:tr w:rsidR="00573010" w:rsidRPr="005E6B7C" w14:paraId="4139C881" w14:textId="77777777" w:rsidTr="00573010">
        <w:trPr>
          <w:trHeight w:val="469"/>
        </w:trPr>
        <w:tc>
          <w:tcPr>
            <w:tcW w:w="1057" w:type="dxa"/>
            <w:gridSpan w:val="2"/>
            <w:tcBorders>
              <w:top w:val="dotted" w:sz="4" w:space="0" w:color="auto"/>
              <w:left w:val="dotted" w:sz="4" w:space="0" w:color="auto"/>
              <w:bottom w:val="dotted" w:sz="4" w:space="0" w:color="auto"/>
              <w:right w:val="dotted" w:sz="4" w:space="0" w:color="auto"/>
            </w:tcBorders>
            <w:vAlign w:val="center"/>
          </w:tcPr>
          <w:p w14:paraId="33F24888" w14:textId="77777777" w:rsidR="00E10C65" w:rsidRPr="005E6B7C" w:rsidRDefault="00C10EE8" w:rsidP="008C0D47">
            <w:pPr>
              <w:spacing w:before="40" w:after="40" w:line="286" w:lineRule="atLeast"/>
              <w:jc w:val="center"/>
              <w:outlineLvl w:val="0"/>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4</w:t>
            </w:r>
          </w:p>
        </w:tc>
        <w:tc>
          <w:tcPr>
            <w:tcW w:w="8550" w:type="dxa"/>
            <w:gridSpan w:val="2"/>
            <w:tcBorders>
              <w:top w:val="dotted" w:sz="4" w:space="0" w:color="auto"/>
              <w:left w:val="dotted" w:sz="4" w:space="0" w:color="auto"/>
              <w:bottom w:val="dotted" w:sz="4" w:space="0" w:color="auto"/>
              <w:right w:val="dotted" w:sz="4" w:space="0" w:color="auto"/>
            </w:tcBorders>
            <w:hideMark/>
          </w:tcPr>
          <w:p w14:paraId="33E89E44" w14:textId="3C311FB9" w:rsidR="007B225E" w:rsidRPr="007B225E" w:rsidRDefault="007B225E" w:rsidP="007B225E">
            <w:pPr>
              <w:spacing w:before="40" w:after="40" w:line="286" w:lineRule="atLeast"/>
              <w:jc w:val="both"/>
              <w:rPr>
                <w:rFonts w:asciiTheme="majorHAnsi" w:hAnsiTheme="majorHAnsi" w:cstheme="majorHAnsi"/>
                <w:b/>
                <w:bCs/>
                <w:color w:val="000000" w:themeColor="text1"/>
                <w:spacing w:val="-6"/>
                <w:sz w:val="22"/>
                <w:szCs w:val="22"/>
              </w:rPr>
            </w:pPr>
            <w:r w:rsidRPr="005E6B7C">
              <w:rPr>
                <w:rFonts w:asciiTheme="majorHAnsi" w:hAnsiTheme="majorHAnsi" w:cstheme="majorHAnsi"/>
                <w:b/>
                <w:bCs/>
                <w:color w:val="000000" w:themeColor="text1"/>
                <w:spacing w:val="-6"/>
                <w:sz w:val="22"/>
                <w:szCs w:val="22"/>
              </w:rPr>
              <w:t>R</w:t>
            </w:r>
            <w:r w:rsidRPr="007B225E">
              <w:rPr>
                <w:rFonts w:asciiTheme="majorHAnsi" w:hAnsiTheme="majorHAnsi" w:cstheme="majorHAnsi"/>
                <w:b/>
                <w:bCs/>
                <w:color w:val="000000" w:themeColor="text1"/>
                <w:spacing w:val="-6"/>
                <w:sz w:val="22"/>
                <w:szCs w:val="22"/>
              </w:rPr>
              <w:t xml:space="preserve">esults of </w:t>
            </w:r>
            <w:r w:rsidRPr="005E6B7C">
              <w:rPr>
                <w:rFonts w:asciiTheme="majorHAnsi" w:hAnsiTheme="majorHAnsi" w:cstheme="majorHAnsi"/>
                <w:b/>
                <w:bCs/>
                <w:color w:val="000000" w:themeColor="text1"/>
                <w:spacing w:val="-6"/>
                <w:sz w:val="22"/>
                <w:szCs w:val="22"/>
              </w:rPr>
              <w:t>S</w:t>
            </w:r>
            <w:r w:rsidRPr="007B225E">
              <w:rPr>
                <w:rFonts w:asciiTheme="majorHAnsi" w:hAnsiTheme="majorHAnsi" w:cstheme="majorHAnsi"/>
                <w:b/>
                <w:bCs/>
                <w:color w:val="000000" w:themeColor="text1"/>
                <w:spacing w:val="-6"/>
                <w:sz w:val="22"/>
                <w:szCs w:val="22"/>
              </w:rPr>
              <w:t xml:space="preserve">cientific </w:t>
            </w:r>
            <w:r w:rsidRPr="005E6B7C">
              <w:rPr>
                <w:rFonts w:asciiTheme="majorHAnsi" w:hAnsiTheme="majorHAnsi" w:cstheme="majorHAnsi"/>
                <w:b/>
                <w:bCs/>
                <w:color w:val="000000" w:themeColor="text1"/>
                <w:spacing w:val="-6"/>
                <w:sz w:val="22"/>
                <w:szCs w:val="22"/>
              </w:rPr>
              <w:t>A</w:t>
            </w:r>
            <w:r w:rsidRPr="007B225E">
              <w:rPr>
                <w:rFonts w:asciiTheme="majorHAnsi" w:hAnsiTheme="majorHAnsi" w:cstheme="majorHAnsi"/>
                <w:b/>
                <w:bCs/>
                <w:color w:val="000000" w:themeColor="text1"/>
                <w:spacing w:val="-6"/>
                <w:sz w:val="22"/>
                <w:szCs w:val="22"/>
              </w:rPr>
              <w:t xml:space="preserve">ctivities of the </w:t>
            </w:r>
            <w:r w:rsidRPr="005E6B7C">
              <w:rPr>
                <w:rFonts w:asciiTheme="majorHAnsi" w:hAnsiTheme="majorHAnsi" w:cstheme="majorHAnsi"/>
                <w:b/>
                <w:bCs/>
                <w:color w:val="000000" w:themeColor="text1"/>
                <w:spacing w:val="-6"/>
                <w:sz w:val="22"/>
                <w:szCs w:val="22"/>
              </w:rPr>
              <w:t>N</w:t>
            </w:r>
            <w:r w:rsidRPr="007B225E">
              <w:rPr>
                <w:rFonts w:asciiTheme="majorHAnsi" w:hAnsiTheme="majorHAnsi" w:cstheme="majorHAnsi"/>
                <w:b/>
                <w:bCs/>
                <w:color w:val="000000" w:themeColor="text1"/>
                <w:spacing w:val="-6"/>
                <w:sz w:val="22"/>
                <w:szCs w:val="22"/>
              </w:rPr>
              <w:t xml:space="preserve">ational </w:t>
            </w:r>
            <w:r w:rsidRPr="005E6B7C">
              <w:rPr>
                <w:rFonts w:asciiTheme="majorHAnsi" w:hAnsiTheme="majorHAnsi" w:cstheme="majorHAnsi"/>
                <w:b/>
                <w:bCs/>
                <w:color w:val="000000" w:themeColor="text1"/>
                <w:spacing w:val="-6"/>
                <w:sz w:val="22"/>
                <w:szCs w:val="22"/>
              </w:rPr>
              <w:t>I</w:t>
            </w:r>
            <w:r w:rsidRPr="007B225E">
              <w:rPr>
                <w:rFonts w:asciiTheme="majorHAnsi" w:hAnsiTheme="majorHAnsi" w:cstheme="majorHAnsi"/>
                <w:b/>
                <w:bCs/>
                <w:color w:val="000000" w:themeColor="text1"/>
                <w:spacing w:val="-6"/>
                <w:sz w:val="22"/>
                <w:szCs w:val="22"/>
              </w:rPr>
              <w:t>nstitute</w:t>
            </w:r>
            <w:r w:rsidRPr="005E6B7C">
              <w:rPr>
                <w:rFonts w:asciiTheme="majorHAnsi" w:hAnsiTheme="majorHAnsi" w:cstheme="majorHAnsi"/>
                <w:b/>
                <w:bCs/>
                <w:color w:val="000000" w:themeColor="text1"/>
                <w:spacing w:val="-6"/>
                <w:sz w:val="22"/>
                <w:szCs w:val="22"/>
              </w:rPr>
              <w:t xml:space="preserve"> </w:t>
            </w:r>
            <w:r w:rsidRPr="007B225E">
              <w:rPr>
                <w:rFonts w:asciiTheme="majorHAnsi" w:hAnsiTheme="majorHAnsi" w:cstheme="majorHAnsi"/>
                <w:b/>
                <w:bCs/>
                <w:color w:val="000000" w:themeColor="text1"/>
                <w:spacing w:val="-6"/>
                <w:sz w:val="22"/>
                <w:szCs w:val="22"/>
              </w:rPr>
              <w:t xml:space="preserve">of </w:t>
            </w:r>
            <w:r w:rsidRPr="005E6B7C">
              <w:rPr>
                <w:rFonts w:asciiTheme="majorHAnsi" w:hAnsiTheme="majorHAnsi" w:cstheme="majorHAnsi"/>
                <w:b/>
                <w:bCs/>
                <w:color w:val="000000" w:themeColor="text1"/>
                <w:spacing w:val="-6"/>
                <w:sz w:val="22"/>
                <w:szCs w:val="22"/>
              </w:rPr>
              <w:t>M</w:t>
            </w:r>
            <w:r w:rsidRPr="007B225E">
              <w:rPr>
                <w:rFonts w:asciiTheme="majorHAnsi" w:hAnsiTheme="majorHAnsi" w:cstheme="majorHAnsi"/>
                <w:b/>
                <w:bCs/>
                <w:color w:val="000000" w:themeColor="text1"/>
                <w:spacing w:val="-6"/>
                <w:sz w:val="22"/>
                <w:szCs w:val="22"/>
              </w:rPr>
              <w:t xml:space="preserve">edicinal </w:t>
            </w:r>
            <w:r w:rsidRPr="005E6B7C">
              <w:rPr>
                <w:rFonts w:asciiTheme="majorHAnsi" w:hAnsiTheme="majorHAnsi" w:cstheme="majorHAnsi"/>
                <w:b/>
                <w:bCs/>
                <w:color w:val="000000" w:themeColor="text1"/>
                <w:spacing w:val="-6"/>
                <w:sz w:val="22"/>
                <w:szCs w:val="22"/>
              </w:rPr>
              <w:t>M</w:t>
            </w:r>
            <w:r w:rsidRPr="007B225E">
              <w:rPr>
                <w:rFonts w:asciiTheme="majorHAnsi" w:hAnsiTheme="majorHAnsi" w:cstheme="majorHAnsi"/>
                <w:b/>
                <w:bCs/>
                <w:color w:val="000000" w:themeColor="text1"/>
                <w:spacing w:val="-6"/>
                <w:sz w:val="22"/>
                <w:szCs w:val="22"/>
              </w:rPr>
              <w:t xml:space="preserve">aterials (2016–2025) </w:t>
            </w:r>
          </w:p>
          <w:p w14:paraId="70D5480B" w14:textId="168E6AEB" w:rsidR="00E10C65" w:rsidRPr="005E6B7C" w:rsidRDefault="007B225E" w:rsidP="009B5AA4">
            <w:pPr>
              <w:spacing w:before="40" w:after="40" w:line="286" w:lineRule="atLeast"/>
              <w:jc w:val="both"/>
              <w:rPr>
                <w:rFonts w:asciiTheme="majorHAnsi" w:hAnsiTheme="majorHAnsi" w:cstheme="majorHAnsi"/>
                <w:color w:val="000000" w:themeColor="text1"/>
                <w:spacing w:val="-6"/>
                <w:sz w:val="22"/>
                <w:szCs w:val="22"/>
              </w:rPr>
            </w:pPr>
            <w:r w:rsidRPr="007B225E">
              <w:rPr>
                <w:rFonts w:asciiTheme="majorHAnsi" w:hAnsiTheme="majorHAnsi" w:cstheme="majorHAnsi"/>
                <w:b/>
                <w:bCs/>
                <w:color w:val="000000" w:themeColor="text1"/>
                <w:spacing w:val="-6"/>
                <w:sz w:val="22"/>
                <w:szCs w:val="22"/>
              </w:rPr>
              <w:t xml:space="preserve">and </w:t>
            </w:r>
            <w:r w:rsidRPr="005E6B7C">
              <w:rPr>
                <w:rFonts w:asciiTheme="majorHAnsi" w:hAnsiTheme="majorHAnsi" w:cstheme="majorHAnsi"/>
                <w:b/>
                <w:bCs/>
                <w:color w:val="000000" w:themeColor="text1"/>
                <w:spacing w:val="-6"/>
                <w:sz w:val="22"/>
                <w:szCs w:val="22"/>
              </w:rPr>
              <w:t>D</w:t>
            </w:r>
            <w:r w:rsidRPr="007B225E">
              <w:rPr>
                <w:rFonts w:asciiTheme="majorHAnsi" w:hAnsiTheme="majorHAnsi" w:cstheme="majorHAnsi"/>
                <w:b/>
                <w:bCs/>
                <w:color w:val="000000" w:themeColor="text1"/>
                <w:spacing w:val="-6"/>
                <w:sz w:val="22"/>
                <w:szCs w:val="22"/>
              </w:rPr>
              <w:t xml:space="preserve">evelopment </w:t>
            </w:r>
            <w:r w:rsidRPr="005E6B7C">
              <w:rPr>
                <w:rFonts w:asciiTheme="majorHAnsi" w:hAnsiTheme="majorHAnsi" w:cstheme="majorHAnsi"/>
                <w:b/>
                <w:bCs/>
                <w:color w:val="000000" w:themeColor="text1"/>
                <w:spacing w:val="-6"/>
                <w:sz w:val="22"/>
                <w:szCs w:val="22"/>
              </w:rPr>
              <w:t>O</w:t>
            </w:r>
            <w:r w:rsidRPr="007B225E">
              <w:rPr>
                <w:rFonts w:asciiTheme="majorHAnsi" w:hAnsiTheme="majorHAnsi" w:cstheme="majorHAnsi"/>
                <w:b/>
                <w:bCs/>
                <w:color w:val="000000" w:themeColor="text1"/>
                <w:spacing w:val="-6"/>
                <w:sz w:val="22"/>
                <w:szCs w:val="22"/>
              </w:rPr>
              <w:t xml:space="preserve">rientation </w:t>
            </w:r>
            <w:r w:rsidRPr="005E6B7C">
              <w:rPr>
                <w:rFonts w:asciiTheme="majorHAnsi" w:hAnsiTheme="majorHAnsi" w:cstheme="majorHAnsi"/>
                <w:b/>
                <w:bCs/>
                <w:color w:val="000000" w:themeColor="text1"/>
                <w:spacing w:val="-6"/>
                <w:sz w:val="22"/>
                <w:szCs w:val="22"/>
              </w:rPr>
              <w:t>T</w:t>
            </w:r>
            <w:r w:rsidRPr="007B225E">
              <w:rPr>
                <w:rFonts w:asciiTheme="majorHAnsi" w:hAnsiTheme="majorHAnsi" w:cstheme="majorHAnsi"/>
                <w:b/>
                <w:bCs/>
                <w:color w:val="000000" w:themeColor="text1"/>
                <w:spacing w:val="-6"/>
                <w:sz w:val="22"/>
                <w:szCs w:val="22"/>
              </w:rPr>
              <w:t>oward 2030</w:t>
            </w:r>
            <w:r w:rsidR="00E10C65" w:rsidRPr="005E6B7C">
              <w:rPr>
                <w:rFonts w:asciiTheme="majorHAnsi" w:hAnsiTheme="majorHAnsi" w:cstheme="majorHAnsi"/>
                <w:b/>
                <w:bCs/>
                <w:color w:val="000000" w:themeColor="text1"/>
                <w:spacing w:val="-6"/>
                <w:sz w:val="22"/>
                <w:szCs w:val="22"/>
              </w:rPr>
              <w:t xml:space="preserve"> – </w:t>
            </w:r>
            <w:r w:rsidR="00E10C65" w:rsidRPr="005E6B7C">
              <w:rPr>
                <w:rFonts w:asciiTheme="majorHAnsi" w:hAnsiTheme="majorHAnsi" w:cstheme="majorHAnsi"/>
                <w:i/>
                <w:iCs/>
                <w:color w:val="000000" w:themeColor="text1"/>
                <w:spacing w:val="-6"/>
                <w:sz w:val="22"/>
                <w:szCs w:val="22"/>
              </w:rPr>
              <w:t>Tran Minh Ngoc, Do Thi Ha, Pham Tuan Anh</w:t>
            </w:r>
          </w:p>
        </w:tc>
      </w:tr>
      <w:tr w:rsidR="00573010" w:rsidRPr="005E6B7C" w14:paraId="110DB514" w14:textId="77777777" w:rsidTr="00573010">
        <w:trPr>
          <w:trHeight w:val="469"/>
        </w:trPr>
        <w:tc>
          <w:tcPr>
            <w:tcW w:w="1057" w:type="dxa"/>
            <w:gridSpan w:val="2"/>
            <w:tcBorders>
              <w:top w:val="dotted" w:sz="4" w:space="0" w:color="auto"/>
              <w:left w:val="dotted" w:sz="4" w:space="0" w:color="auto"/>
              <w:bottom w:val="dotted" w:sz="4" w:space="0" w:color="auto"/>
              <w:right w:val="dotted" w:sz="4" w:space="0" w:color="auto"/>
            </w:tcBorders>
            <w:vAlign w:val="center"/>
          </w:tcPr>
          <w:p w14:paraId="60CDD61A" w14:textId="77777777" w:rsidR="00013F81" w:rsidRPr="005E6B7C" w:rsidRDefault="00013F81" w:rsidP="008C0D47">
            <w:pPr>
              <w:spacing w:before="40" w:after="40" w:line="286" w:lineRule="atLeast"/>
              <w:jc w:val="center"/>
              <w:outlineLvl w:val="0"/>
              <w:rPr>
                <w:rFonts w:asciiTheme="majorHAnsi" w:hAnsiTheme="majorHAnsi" w:cstheme="majorHAnsi"/>
                <w:color w:val="000000" w:themeColor="text1"/>
                <w:spacing w:val="-4"/>
                <w:sz w:val="22"/>
                <w:szCs w:val="22"/>
              </w:rPr>
            </w:pPr>
          </w:p>
        </w:tc>
        <w:tc>
          <w:tcPr>
            <w:tcW w:w="8550" w:type="dxa"/>
            <w:gridSpan w:val="2"/>
            <w:tcBorders>
              <w:top w:val="dotted" w:sz="4" w:space="0" w:color="auto"/>
              <w:left w:val="dotted" w:sz="4" w:space="0" w:color="auto"/>
              <w:bottom w:val="dotted" w:sz="4" w:space="0" w:color="auto"/>
              <w:right w:val="dotted" w:sz="4" w:space="0" w:color="auto"/>
            </w:tcBorders>
          </w:tcPr>
          <w:p w14:paraId="539B8A19" w14:textId="77777777" w:rsidR="00013F81" w:rsidRPr="005E6B7C" w:rsidRDefault="00013F81" w:rsidP="008C0D47">
            <w:pPr>
              <w:spacing w:before="40" w:after="40" w:line="286" w:lineRule="atLeast"/>
              <w:jc w:val="center"/>
              <w:rPr>
                <w:rFonts w:asciiTheme="majorHAnsi" w:hAnsiTheme="majorHAnsi" w:cstheme="majorHAnsi"/>
                <w:b/>
                <w:bCs/>
                <w:color w:val="000000" w:themeColor="text1"/>
                <w:spacing w:val="-6"/>
                <w:sz w:val="22"/>
                <w:szCs w:val="22"/>
              </w:rPr>
            </w:pPr>
            <w:r w:rsidRPr="005E6B7C">
              <w:rPr>
                <w:rFonts w:asciiTheme="majorHAnsi" w:hAnsiTheme="majorHAnsi" w:cstheme="majorHAnsi"/>
                <w:b/>
                <w:bCs/>
                <w:color w:val="000000" w:themeColor="text1"/>
                <w:spacing w:val="-6"/>
                <w:sz w:val="22"/>
                <w:szCs w:val="22"/>
              </w:rPr>
              <w:t>SCIENTIFIC RESEARCH</w:t>
            </w:r>
          </w:p>
        </w:tc>
      </w:tr>
      <w:tr w:rsidR="00573010" w:rsidRPr="005E6B7C" w14:paraId="04BDD266" w14:textId="77777777" w:rsidTr="00573010">
        <w:trPr>
          <w:trHeight w:val="635"/>
        </w:trPr>
        <w:tc>
          <w:tcPr>
            <w:tcW w:w="1057" w:type="dxa"/>
            <w:gridSpan w:val="2"/>
            <w:tcBorders>
              <w:top w:val="dotted" w:sz="4" w:space="0" w:color="auto"/>
              <w:left w:val="dotted" w:sz="4" w:space="0" w:color="auto"/>
              <w:bottom w:val="dotted" w:sz="4" w:space="0" w:color="auto"/>
              <w:right w:val="dotted" w:sz="4" w:space="0" w:color="auto"/>
            </w:tcBorders>
            <w:vAlign w:val="center"/>
          </w:tcPr>
          <w:p w14:paraId="55E88B7E" w14:textId="77777777" w:rsidR="00E10C65" w:rsidRPr="005E6B7C" w:rsidRDefault="00C10EE8" w:rsidP="008C0D47">
            <w:pPr>
              <w:spacing w:before="40" w:after="40" w:line="286" w:lineRule="atLeast"/>
              <w:jc w:val="center"/>
              <w:outlineLvl w:val="0"/>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10</w:t>
            </w:r>
          </w:p>
        </w:tc>
        <w:tc>
          <w:tcPr>
            <w:tcW w:w="8550" w:type="dxa"/>
            <w:gridSpan w:val="2"/>
            <w:tcBorders>
              <w:top w:val="dotted" w:sz="4" w:space="0" w:color="auto"/>
              <w:left w:val="dotted" w:sz="4" w:space="0" w:color="auto"/>
              <w:bottom w:val="dotted" w:sz="4" w:space="0" w:color="auto"/>
              <w:right w:val="dotted" w:sz="4" w:space="0" w:color="auto"/>
            </w:tcBorders>
            <w:hideMark/>
          </w:tcPr>
          <w:p w14:paraId="553C48B3" w14:textId="77777777" w:rsidR="00E10C65" w:rsidRPr="005E6B7C" w:rsidRDefault="00E10C65" w:rsidP="008C0D47">
            <w:pPr>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 xml:space="preserve">Triterpenoid Constituents from the Leaves of </w:t>
            </w:r>
            <w:r w:rsidRPr="005E6B7C">
              <w:rPr>
                <w:rFonts w:asciiTheme="majorHAnsi" w:hAnsiTheme="majorHAnsi" w:cstheme="majorHAnsi"/>
                <w:b/>
                <w:i/>
                <w:iCs/>
                <w:color w:val="000000" w:themeColor="text1"/>
                <w:spacing w:val="-6"/>
                <w:sz w:val="22"/>
                <w:szCs w:val="22"/>
              </w:rPr>
              <w:t>W</w:t>
            </w:r>
            <w:r w:rsidRPr="005E6B7C">
              <w:rPr>
                <w:rFonts w:asciiTheme="majorHAnsi" w:hAnsiTheme="majorHAnsi" w:cstheme="majorHAnsi"/>
                <w:b/>
                <w:i/>
                <w:color w:val="000000" w:themeColor="text1"/>
                <w:spacing w:val="-6"/>
                <w:sz w:val="22"/>
                <w:szCs w:val="22"/>
              </w:rPr>
              <w:t>alsura pinnata</w:t>
            </w:r>
            <w:r w:rsidRPr="005E6B7C">
              <w:rPr>
                <w:rFonts w:asciiTheme="majorHAnsi" w:hAnsiTheme="majorHAnsi" w:cstheme="majorHAnsi"/>
                <w:b/>
                <w:color w:val="000000" w:themeColor="text1"/>
                <w:spacing w:val="-6"/>
                <w:sz w:val="22"/>
                <w:szCs w:val="22"/>
              </w:rPr>
              <w:t xml:space="preserve"> Hassk - </w:t>
            </w:r>
            <w:r w:rsidRPr="005E6B7C">
              <w:rPr>
                <w:rFonts w:asciiTheme="majorHAnsi" w:hAnsiTheme="majorHAnsi" w:cstheme="majorHAnsi"/>
                <w:bCs/>
                <w:i/>
                <w:color w:val="000000" w:themeColor="text1"/>
                <w:spacing w:val="-6"/>
                <w:sz w:val="22"/>
                <w:szCs w:val="22"/>
              </w:rPr>
              <w:t>Bui Huu Tai, Nguyen Viet Dung, Nguyen Huy Hoang, Ngo Anh Bang, Duong Thi Dung, Duong Thi Hai Yen, Phan Thi Thanh Huong, Dan Thuy Hang, Pham Hai Yen, Phan Van Kiem, Nguyen Phuong Thao</w:t>
            </w:r>
          </w:p>
        </w:tc>
      </w:tr>
      <w:tr w:rsidR="00573010" w:rsidRPr="005E6B7C" w14:paraId="2A537D3F" w14:textId="77777777" w:rsidTr="00573010">
        <w:trPr>
          <w:trHeight w:val="40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013D3E98" w14:textId="77777777" w:rsidR="00E10C65" w:rsidRPr="005E6B7C" w:rsidRDefault="00C10EE8" w:rsidP="008C0D47">
            <w:pPr>
              <w:spacing w:before="40" w:after="40" w:line="286" w:lineRule="atLeast"/>
              <w:jc w:val="center"/>
              <w:outlineLvl w:val="0"/>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17</w:t>
            </w:r>
          </w:p>
        </w:tc>
        <w:tc>
          <w:tcPr>
            <w:tcW w:w="8550" w:type="dxa"/>
            <w:gridSpan w:val="2"/>
            <w:tcBorders>
              <w:top w:val="dotted" w:sz="4" w:space="0" w:color="auto"/>
              <w:left w:val="dotted" w:sz="4" w:space="0" w:color="auto"/>
              <w:bottom w:val="dotted" w:sz="4" w:space="0" w:color="auto"/>
              <w:right w:val="dotted" w:sz="4" w:space="0" w:color="auto"/>
            </w:tcBorders>
            <w:hideMark/>
          </w:tcPr>
          <w:p w14:paraId="2596EECA" w14:textId="6AC05CE6" w:rsidR="00E10C65" w:rsidRPr="005E6B7C" w:rsidRDefault="00DB1514" w:rsidP="00DB1514">
            <w:pPr>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eastAsia="Times New Roman" w:hAnsiTheme="majorHAnsi" w:cstheme="majorHAnsi"/>
                <w:b/>
                <w:color w:val="000000" w:themeColor="text1"/>
                <w:spacing w:val="-6"/>
                <w:sz w:val="22"/>
                <w:szCs w:val="22"/>
              </w:rPr>
              <w:t>C</w:t>
            </w:r>
            <w:r w:rsidRPr="00DB1514">
              <w:rPr>
                <w:rFonts w:asciiTheme="majorHAnsi" w:eastAsia="Times New Roman" w:hAnsiTheme="majorHAnsi" w:cstheme="majorHAnsi"/>
                <w:b/>
                <w:color w:val="000000" w:themeColor="text1"/>
                <w:spacing w:val="-6"/>
                <w:sz w:val="22"/>
                <w:szCs w:val="22"/>
              </w:rPr>
              <w:t xml:space="preserve">hemical </w:t>
            </w:r>
            <w:r w:rsidRPr="005E6B7C">
              <w:rPr>
                <w:rFonts w:asciiTheme="majorHAnsi" w:eastAsia="Times New Roman" w:hAnsiTheme="majorHAnsi" w:cstheme="majorHAnsi"/>
                <w:b/>
                <w:color w:val="000000" w:themeColor="text1"/>
                <w:spacing w:val="-6"/>
                <w:sz w:val="22"/>
                <w:szCs w:val="22"/>
              </w:rPr>
              <w:t>C</w:t>
            </w:r>
            <w:r w:rsidRPr="00DB1514">
              <w:rPr>
                <w:rFonts w:asciiTheme="majorHAnsi" w:eastAsia="Times New Roman" w:hAnsiTheme="majorHAnsi" w:cstheme="majorHAnsi"/>
                <w:b/>
                <w:color w:val="000000" w:themeColor="text1"/>
                <w:spacing w:val="-6"/>
                <w:sz w:val="22"/>
                <w:szCs w:val="22"/>
              </w:rPr>
              <w:t>onstituents from</w:t>
            </w:r>
            <w:r w:rsidRPr="00DB1514">
              <w:rPr>
                <w:rFonts w:asciiTheme="majorHAnsi" w:eastAsia="Times New Roman" w:hAnsiTheme="majorHAnsi" w:cstheme="majorHAnsi"/>
                <w:b/>
                <w:color w:val="000000" w:themeColor="text1"/>
                <w:spacing w:val="-6"/>
                <w:sz w:val="22"/>
                <w:szCs w:val="22"/>
                <w:lang w:val="vi-VN"/>
              </w:rPr>
              <w:t xml:space="preserve"> the</w:t>
            </w:r>
            <w:r w:rsidRPr="00DB1514">
              <w:rPr>
                <w:rFonts w:asciiTheme="majorHAnsi" w:eastAsia="Times New Roman" w:hAnsiTheme="majorHAnsi" w:cstheme="majorHAnsi"/>
                <w:b/>
                <w:color w:val="000000" w:themeColor="text1"/>
                <w:spacing w:val="-6"/>
                <w:sz w:val="22"/>
                <w:szCs w:val="22"/>
              </w:rPr>
              <w:t xml:space="preserve"> </w:t>
            </w:r>
            <w:r w:rsidRPr="005E6B7C">
              <w:rPr>
                <w:rFonts w:asciiTheme="majorHAnsi" w:eastAsia="Times New Roman" w:hAnsiTheme="majorHAnsi" w:cstheme="majorHAnsi"/>
                <w:b/>
                <w:color w:val="000000" w:themeColor="text1"/>
                <w:spacing w:val="-6"/>
                <w:sz w:val="22"/>
                <w:szCs w:val="22"/>
              </w:rPr>
              <w:t>P</w:t>
            </w:r>
            <w:r w:rsidRPr="00DB1514">
              <w:rPr>
                <w:rFonts w:asciiTheme="majorHAnsi" w:eastAsia="Times New Roman" w:hAnsiTheme="majorHAnsi" w:cstheme="majorHAnsi"/>
                <w:b/>
                <w:color w:val="000000" w:themeColor="text1"/>
                <w:spacing w:val="-6"/>
                <w:sz w:val="22"/>
                <w:szCs w:val="22"/>
              </w:rPr>
              <w:t xml:space="preserve">ropolis of the </w:t>
            </w:r>
            <w:r w:rsidRPr="005E6B7C">
              <w:rPr>
                <w:rFonts w:asciiTheme="majorHAnsi" w:eastAsia="Times New Roman" w:hAnsiTheme="majorHAnsi" w:cstheme="majorHAnsi"/>
                <w:b/>
                <w:color w:val="000000" w:themeColor="text1"/>
                <w:spacing w:val="-6"/>
                <w:sz w:val="22"/>
                <w:szCs w:val="22"/>
              </w:rPr>
              <w:t>S</w:t>
            </w:r>
            <w:r w:rsidRPr="00DB1514">
              <w:rPr>
                <w:rFonts w:asciiTheme="majorHAnsi" w:eastAsia="Times New Roman" w:hAnsiTheme="majorHAnsi" w:cstheme="majorHAnsi"/>
                <w:b/>
                <w:color w:val="000000" w:themeColor="text1"/>
                <w:spacing w:val="-6"/>
                <w:sz w:val="22"/>
                <w:szCs w:val="22"/>
              </w:rPr>
              <w:t xml:space="preserve">tingless </w:t>
            </w:r>
            <w:r w:rsidRPr="005E6B7C">
              <w:rPr>
                <w:rFonts w:asciiTheme="majorHAnsi" w:eastAsia="Times New Roman" w:hAnsiTheme="majorHAnsi" w:cstheme="majorHAnsi"/>
                <w:b/>
                <w:color w:val="000000" w:themeColor="text1"/>
                <w:spacing w:val="-6"/>
                <w:sz w:val="22"/>
                <w:szCs w:val="22"/>
              </w:rPr>
              <w:t>B</w:t>
            </w:r>
            <w:r w:rsidRPr="00DB1514">
              <w:rPr>
                <w:rFonts w:asciiTheme="majorHAnsi" w:eastAsia="Times New Roman" w:hAnsiTheme="majorHAnsi" w:cstheme="majorHAnsi"/>
                <w:b/>
                <w:color w:val="000000" w:themeColor="text1"/>
                <w:spacing w:val="-6"/>
                <w:sz w:val="22"/>
                <w:szCs w:val="22"/>
              </w:rPr>
              <w:t xml:space="preserve">ee </w:t>
            </w:r>
            <w:r w:rsidRPr="005E6B7C">
              <w:rPr>
                <w:rFonts w:asciiTheme="majorHAnsi" w:eastAsia="Times New Roman" w:hAnsiTheme="majorHAnsi" w:cstheme="majorHAnsi"/>
                <w:b/>
                <w:i/>
                <w:color w:val="000000" w:themeColor="text1"/>
                <w:spacing w:val="-6"/>
                <w:sz w:val="22"/>
                <w:szCs w:val="22"/>
              </w:rPr>
              <w:t>L</w:t>
            </w:r>
            <w:r w:rsidRPr="00DB1514">
              <w:rPr>
                <w:rFonts w:asciiTheme="majorHAnsi" w:eastAsia="Times New Roman" w:hAnsiTheme="majorHAnsi" w:cstheme="majorHAnsi"/>
                <w:b/>
                <w:i/>
                <w:color w:val="000000" w:themeColor="text1"/>
                <w:spacing w:val="-6"/>
                <w:sz w:val="22"/>
                <w:szCs w:val="22"/>
              </w:rPr>
              <w:t>epidotrigona terminata (</w:t>
            </w:r>
            <w:r w:rsidRPr="005E6B7C">
              <w:rPr>
                <w:rFonts w:asciiTheme="majorHAnsi" w:eastAsia="Times New Roman" w:hAnsiTheme="majorHAnsi" w:cstheme="majorHAnsi"/>
                <w:b/>
                <w:i/>
                <w:color w:val="000000" w:themeColor="text1"/>
                <w:spacing w:val="-6"/>
                <w:sz w:val="22"/>
                <w:szCs w:val="22"/>
              </w:rPr>
              <w:t>S</w:t>
            </w:r>
            <w:r w:rsidRPr="00DB1514">
              <w:rPr>
                <w:rFonts w:asciiTheme="majorHAnsi" w:eastAsia="Times New Roman" w:hAnsiTheme="majorHAnsi" w:cstheme="majorHAnsi"/>
                <w:b/>
                <w:i/>
                <w:color w:val="000000" w:themeColor="text1"/>
                <w:spacing w:val="-6"/>
                <w:sz w:val="22"/>
                <w:szCs w:val="22"/>
              </w:rPr>
              <w:t>mith, 1878)</w:t>
            </w:r>
            <w:r w:rsidRPr="005E6B7C">
              <w:rPr>
                <w:rFonts w:asciiTheme="majorHAnsi" w:eastAsia="Times New Roman" w:hAnsiTheme="majorHAnsi" w:cstheme="majorHAnsi"/>
                <w:b/>
                <w:i/>
                <w:color w:val="000000" w:themeColor="text1"/>
                <w:spacing w:val="-6"/>
                <w:sz w:val="22"/>
                <w:szCs w:val="22"/>
              </w:rPr>
              <w:t xml:space="preserve"> </w:t>
            </w:r>
            <w:r w:rsidRPr="005E6B7C">
              <w:rPr>
                <w:rFonts w:asciiTheme="majorHAnsi" w:eastAsia="Times New Roman" w:hAnsiTheme="majorHAnsi" w:cstheme="majorHAnsi"/>
                <w:b/>
                <w:iCs/>
                <w:color w:val="000000" w:themeColor="text1"/>
                <w:spacing w:val="-6"/>
                <w:sz w:val="22"/>
                <w:szCs w:val="22"/>
              </w:rPr>
              <w:t>C</w:t>
            </w:r>
            <w:r w:rsidRPr="00DB1514">
              <w:rPr>
                <w:rFonts w:asciiTheme="majorHAnsi" w:eastAsia="Times New Roman" w:hAnsiTheme="majorHAnsi" w:cstheme="majorHAnsi"/>
                <w:b/>
                <w:color w:val="000000" w:themeColor="text1"/>
                <w:spacing w:val="-6"/>
                <w:sz w:val="22"/>
                <w:szCs w:val="22"/>
              </w:rPr>
              <w:t xml:space="preserve">ollected in </w:t>
            </w:r>
            <w:r w:rsidRPr="005E6B7C">
              <w:rPr>
                <w:rFonts w:asciiTheme="majorHAnsi" w:eastAsia="Times New Roman" w:hAnsiTheme="majorHAnsi" w:cstheme="majorHAnsi"/>
                <w:b/>
                <w:color w:val="000000" w:themeColor="text1"/>
                <w:spacing w:val="-6"/>
                <w:sz w:val="22"/>
                <w:szCs w:val="22"/>
              </w:rPr>
              <w:t>G</w:t>
            </w:r>
            <w:r w:rsidRPr="00DB1514">
              <w:rPr>
                <w:rFonts w:asciiTheme="majorHAnsi" w:eastAsia="Times New Roman" w:hAnsiTheme="majorHAnsi" w:cstheme="majorHAnsi"/>
                <w:b/>
                <w:color w:val="000000" w:themeColor="text1"/>
                <w:spacing w:val="-6"/>
                <w:sz w:val="22"/>
                <w:szCs w:val="22"/>
              </w:rPr>
              <w:t xml:space="preserve">ia </w:t>
            </w:r>
            <w:r w:rsidRPr="005E6B7C">
              <w:rPr>
                <w:rFonts w:asciiTheme="majorHAnsi" w:eastAsia="Times New Roman" w:hAnsiTheme="majorHAnsi" w:cstheme="majorHAnsi"/>
                <w:b/>
                <w:color w:val="000000" w:themeColor="text1"/>
                <w:spacing w:val="-6"/>
                <w:sz w:val="22"/>
                <w:szCs w:val="22"/>
              </w:rPr>
              <w:t>L</w:t>
            </w:r>
            <w:r w:rsidRPr="00DB1514">
              <w:rPr>
                <w:rFonts w:asciiTheme="majorHAnsi" w:eastAsia="Times New Roman" w:hAnsiTheme="majorHAnsi" w:cstheme="majorHAnsi"/>
                <w:b/>
                <w:color w:val="000000" w:themeColor="text1"/>
                <w:spacing w:val="-6"/>
                <w:sz w:val="22"/>
                <w:szCs w:val="22"/>
              </w:rPr>
              <w:t>ai</w:t>
            </w:r>
            <w:r w:rsidRPr="005E6B7C">
              <w:rPr>
                <w:rFonts w:asciiTheme="majorHAnsi" w:eastAsia="Times New Roman" w:hAnsiTheme="majorHAnsi" w:cstheme="majorHAnsi"/>
                <w:b/>
                <w:color w:val="000000" w:themeColor="text1"/>
                <w:spacing w:val="-6"/>
                <w:sz w:val="22"/>
                <w:szCs w:val="22"/>
              </w:rPr>
              <w:t xml:space="preserve"> - </w:t>
            </w:r>
            <w:r w:rsidR="00E10C65" w:rsidRPr="005E6B7C">
              <w:rPr>
                <w:rFonts w:asciiTheme="majorHAnsi" w:hAnsiTheme="majorHAnsi" w:cstheme="majorHAnsi"/>
                <w:bCs/>
                <w:i/>
                <w:iCs/>
                <w:color w:val="000000" w:themeColor="text1"/>
                <w:spacing w:val="-6"/>
                <w:sz w:val="22"/>
                <w:szCs w:val="22"/>
              </w:rPr>
              <w:t>Diep Thi Lan Phuong, Nguyen Thu Thao Van,</w:t>
            </w:r>
            <w:r w:rsidR="00E10C65" w:rsidRPr="005E6B7C">
              <w:rPr>
                <w:rFonts w:asciiTheme="majorHAnsi" w:hAnsiTheme="majorHAnsi" w:cstheme="majorHAnsi"/>
                <w:bCs/>
                <w:i/>
                <w:iCs/>
                <w:color w:val="000000" w:themeColor="text1"/>
                <w:spacing w:val="-6"/>
                <w:sz w:val="22"/>
                <w:szCs w:val="22"/>
                <w:vertAlign w:val="superscript"/>
              </w:rPr>
              <w:t xml:space="preserve"> </w:t>
            </w:r>
            <w:r w:rsidR="00E10C65" w:rsidRPr="005E6B7C">
              <w:rPr>
                <w:rFonts w:asciiTheme="majorHAnsi" w:hAnsiTheme="majorHAnsi" w:cstheme="majorHAnsi"/>
                <w:bCs/>
                <w:i/>
                <w:iCs/>
                <w:color w:val="000000" w:themeColor="text1"/>
                <w:spacing w:val="-6"/>
                <w:sz w:val="22"/>
                <w:szCs w:val="22"/>
              </w:rPr>
              <w:t>Vo Thi Thanh Tuyen, Nguyen Thi Nghia, Pham Ngoc Thach, L</w:t>
            </w:r>
            <w:r w:rsidR="0044085B" w:rsidRPr="005E6B7C">
              <w:rPr>
                <w:rFonts w:asciiTheme="majorHAnsi" w:hAnsiTheme="majorHAnsi" w:cstheme="majorHAnsi"/>
                <w:bCs/>
                <w:i/>
                <w:iCs/>
                <w:color w:val="000000" w:themeColor="text1"/>
                <w:spacing w:val="-6"/>
                <w:sz w:val="22"/>
                <w:szCs w:val="22"/>
              </w:rPr>
              <w:t>e</w:t>
            </w:r>
            <w:r w:rsidR="00E10C65" w:rsidRPr="005E6B7C">
              <w:rPr>
                <w:rFonts w:asciiTheme="majorHAnsi" w:hAnsiTheme="majorHAnsi" w:cstheme="majorHAnsi"/>
                <w:bCs/>
                <w:i/>
                <w:iCs/>
                <w:color w:val="000000" w:themeColor="text1"/>
                <w:spacing w:val="-6"/>
                <w:sz w:val="22"/>
                <w:szCs w:val="22"/>
              </w:rPr>
              <w:t xml:space="preserve"> Thi Cam Nhung, Le Duy Thanh, Vo Manh Tien, Tran Minh Ngoc, Le Nguyen Thanh</w:t>
            </w:r>
          </w:p>
        </w:tc>
      </w:tr>
      <w:tr w:rsidR="00573010" w:rsidRPr="005E6B7C" w14:paraId="2032EB16" w14:textId="77777777" w:rsidTr="00573010">
        <w:tc>
          <w:tcPr>
            <w:tcW w:w="1057" w:type="dxa"/>
            <w:gridSpan w:val="2"/>
            <w:tcBorders>
              <w:top w:val="dotted" w:sz="4" w:space="0" w:color="auto"/>
              <w:left w:val="dotted" w:sz="4" w:space="0" w:color="auto"/>
              <w:bottom w:val="dotted" w:sz="4" w:space="0" w:color="auto"/>
              <w:right w:val="dotted" w:sz="4" w:space="0" w:color="auto"/>
            </w:tcBorders>
            <w:vAlign w:val="center"/>
          </w:tcPr>
          <w:p w14:paraId="5FF8B243" w14:textId="77777777" w:rsidR="00E10C65" w:rsidRPr="005E6B7C" w:rsidRDefault="00C10EE8" w:rsidP="008C0D47">
            <w:pPr>
              <w:spacing w:before="40" w:after="40" w:line="286" w:lineRule="atLeast"/>
              <w:jc w:val="center"/>
              <w:rPr>
                <w:rFonts w:asciiTheme="majorHAnsi" w:hAnsiTheme="majorHAnsi" w:cstheme="majorHAnsi"/>
                <w:bCs/>
                <w:color w:val="000000" w:themeColor="text1"/>
                <w:spacing w:val="-4"/>
                <w:sz w:val="22"/>
                <w:szCs w:val="22"/>
              </w:rPr>
            </w:pPr>
            <w:r w:rsidRPr="005E6B7C">
              <w:rPr>
                <w:rFonts w:asciiTheme="majorHAnsi" w:hAnsiTheme="majorHAnsi" w:cstheme="majorHAnsi"/>
                <w:bCs/>
                <w:color w:val="000000" w:themeColor="text1"/>
                <w:spacing w:val="-4"/>
                <w:sz w:val="22"/>
                <w:szCs w:val="22"/>
              </w:rPr>
              <w:t>23</w:t>
            </w:r>
          </w:p>
        </w:tc>
        <w:tc>
          <w:tcPr>
            <w:tcW w:w="8550" w:type="dxa"/>
            <w:gridSpan w:val="2"/>
            <w:tcBorders>
              <w:top w:val="dotted" w:sz="4" w:space="0" w:color="auto"/>
              <w:left w:val="dotted" w:sz="4" w:space="0" w:color="auto"/>
              <w:bottom w:val="dotted" w:sz="4" w:space="0" w:color="auto"/>
              <w:right w:val="dotted" w:sz="4" w:space="0" w:color="auto"/>
            </w:tcBorders>
            <w:hideMark/>
          </w:tcPr>
          <w:p w14:paraId="62DBAAC3" w14:textId="12A4E9DC" w:rsidR="00E10C65" w:rsidRPr="005E6B7C" w:rsidRDefault="00E10C65" w:rsidP="008C0D47">
            <w:pPr>
              <w:tabs>
                <w:tab w:val="left" w:pos="270"/>
                <w:tab w:val="left" w:pos="540"/>
              </w:tabs>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 xml:space="preserve">Glycoside Constituents from </w:t>
            </w:r>
            <w:r w:rsidRPr="005E6B7C">
              <w:rPr>
                <w:rFonts w:asciiTheme="majorHAnsi" w:hAnsiTheme="majorHAnsi" w:cstheme="majorHAnsi"/>
                <w:b/>
                <w:i/>
                <w:iCs/>
                <w:color w:val="000000" w:themeColor="text1"/>
                <w:spacing w:val="-6"/>
                <w:sz w:val="22"/>
                <w:szCs w:val="22"/>
              </w:rPr>
              <w:t>A</w:t>
            </w:r>
            <w:r w:rsidRPr="005E6B7C">
              <w:rPr>
                <w:rFonts w:asciiTheme="majorHAnsi" w:hAnsiTheme="majorHAnsi" w:cstheme="majorHAnsi"/>
                <w:b/>
                <w:bCs/>
                <w:i/>
                <w:iCs/>
                <w:color w:val="000000" w:themeColor="text1"/>
                <w:spacing w:val="-6"/>
                <w:sz w:val="22"/>
                <w:szCs w:val="22"/>
              </w:rPr>
              <w:t>broma augustum</w:t>
            </w:r>
            <w:r w:rsidRPr="005E6B7C">
              <w:rPr>
                <w:rFonts w:asciiTheme="majorHAnsi" w:hAnsiTheme="majorHAnsi" w:cstheme="majorHAnsi"/>
                <w:b/>
                <w:color w:val="000000" w:themeColor="text1"/>
                <w:spacing w:val="-6"/>
                <w:sz w:val="22"/>
                <w:szCs w:val="22"/>
              </w:rPr>
              <w:t xml:space="preserve"> and their </w:t>
            </w:r>
            <w:r w:rsidR="00894500" w:rsidRPr="005E6B7C">
              <w:rPr>
                <w:rFonts w:asciiTheme="majorHAnsi" w:hAnsiTheme="majorHAnsi" w:cstheme="majorHAnsi"/>
                <w:b/>
                <w:i/>
                <w:iCs/>
                <w:color w:val="000000" w:themeColor="text1"/>
                <w:spacing w:val="-6"/>
                <w:sz w:val="22"/>
                <w:szCs w:val="22"/>
              </w:rPr>
              <w:t>in vitro</w:t>
            </w:r>
            <w:r w:rsidRPr="005E6B7C">
              <w:rPr>
                <w:rFonts w:asciiTheme="majorHAnsi" w:hAnsiTheme="majorHAnsi" w:cstheme="majorHAnsi"/>
                <w:b/>
                <w:color w:val="000000" w:themeColor="text1"/>
                <w:spacing w:val="-6"/>
                <w:sz w:val="22"/>
                <w:szCs w:val="22"/>
              </w:rPr>
              <w:t xml:space="preserve"> Antiproliferative Activity - </w:t>
            </w:r>
            <w:r w:rsidR="003115FB" w:rsidRPr="005E6B7C">
              <w:rPr>
                <w:rFonts w:asciiTheme="majorHAnsi" w:hAnsiTheme="majorHAnsi" w:cstheme="majorHAnsi"/>
                <w:bCs/>
                <w:i/>
                <w:color w:val="000000" w:themeColor="text1"/>
                <w:spacing w:val="-6"/>
                <w:sz w:val="22"/>
                <w:szCs w:val="22"/>
              </w:rPr>
              <w:t xml:space="preserve">Ninh Thi Ngoc, </w:t>
            </w:r>
            <w:r w:rsidRPr="005E6B7C">
              <w:rPr>
                <w:rFonts w:asciiTheme="majorHAnsi" w:hAnsiTheme="majorHAnsi" w:cstheme="majorHAnsi"/>
                <w:bCs/>
                <w:i/>
                <w:color w:val="000000" w:themeColor="text1"/>
                <w:spacing w:val="-6"/>
                <w:sz w:val="22"/>
                <w:szCs w:val="22"/>
              </w:rPr>
              <w:t>Pham Thi Cham, Le Thi Vien, Tran Thi Hong Hanh, Do Thi Thao, Nguyen Xuan Cuong, Nguyen Hoai Nam</w:t>
            </w:r>
          </w:p>
        </w:tc>
      </w:tr>
      <w:tr w:rsidR="00573010" w:rsidRPr="005E6B7C" w14:paraId="7ADEFF9F" w14:textId="77777777" w:rsidTr="00573010">
        <w:tc>
          <w:tcPr>
            <w:tcW w:w="1057" w:type="dxa"/>
            <w:gridSpan w:val="2"/>
            <w:tcBorders>
              <w:top w:val="dotted" w:sz="4" w:space="0" w:color="auto"/>
              <w:left w:val="dotted" w:sz="4" w:space="0" w:color="auto"/>
              <w:bottom w:val="dotted" w:sz="4" w:space="0" w:color="auto"/>
              <w:right w:val="dotted" w:sz="4" w:space="0" w:color="auto"/>
            </w:tcBorders>
            <w:vAlign w:val="center"/>
          </w:tcPr>
          <w:p w14:paraId="5C716237" w14:textId="77777777" w:rsidR="00E10C65" w:rsidRPr="005E6B7C" w:rsidRDefault="00C10EE8" w:rsidP="008C0D47">
            <w:pPr>
              <w:spacing w:before="40" w:after="40" w:line="286"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29</w:t>
            </w:r>
          </w:p>
        </w:tc>
        <w:tc>
          <w:tcPr>
            <w:tcW w:w="8550" w:type="dxa"/>
            <w:gridSpan w:val="2"/>
            <w:tcBorders>
              <w:top w:val="dotted" w:sz="4" w:space="0" w:color="auto"/>
              <w:left w:val="dotted" w:sz="4" w:space="0" w:color="auto"/>
              <w:bottom w:val="dotted" w:sz="4" w:space="0" w:color="auto"/>
              <w:right w:val="dotted" w:sz="4" w:space="0" w:color="auto"/>
            </w:tcBorders>
            <w:hideMark/>
          </w:tcPr>
          <w:p w14:paraId="04D1ACCE" w14:textId="77777777" w:rsidR="00E10C65" w:rsidRPr="005E6B7C" w:rsidRDefault="00E10C65" w:rsidP="008C0D47">
            <w:pPr>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bCs/>
                <w:color w:val="000000" w:themeColor="text1"/>
                <w:spacing w:val="-6"/>
                <w:sz w:val="22"/>
                <w:szCs w:val="22"/>
              </w:rPr>
              <w:t xml:space="preserve">Chemical Profiling and Anti-Inflammatory Effects of </w:t>
            </w:r>
            <w:r w:rsidRPr="005E6B7C">
              <w:rPr>
                <w:rFonts w:asciiTheme="majorHAnsi" w:hAnsiTheme="majorHAnsi" w:cstheme="majorHAnsi"/>
                <w:b/>
                <w:bCs/>
                <w:i/>
                <w:iCs/>
                <w:color w:val="000000" w:themeColor="text1"/>
                <w:spacing w:val="-6"/>
                <w:sz w:val="22"/>
                <w:szCs w:val="22"/>
              </w:rPr>
              <w:t>Physalis angulata</w:t>
            </w:r>
            <w:r w:rsidRPr="005E6B7C">
              <w:rPr>
                <w:rFonts w:asciiTheme="majorHAnsi" w:hAnsiTheme="majorHAnsi" w:cstheme="majorHAnsi"/>
                <w:b/>
                <w:bCs/>
                <w:color w:val="000000" w:themeColor="text1"/>
                <w:spacing w:val="-6"/>
                <w:sz w:val="22"/>
                <w:szCs w:val="22"/>
              </w:rPr>
              <w:t xml:space="preserve"> in Lipopolysaccharide-Stimulated Bone Marrow–Derived Dendritic Cells - </w:t>
            </w:r>
            <w:r w:rsidRPr="005E6B7C">
              <w:rPr>
                <w:rFonts w:asciiTheme="majorHAnsi" w:hAnsiTheme="majorHAnsi" w:cstheme="majorHAnsi"/>
                <w:i/>
                <w:iCs/>
                <w:color w:val="000000" w:themeColor="text1"/>
                <w:spacing w:val="-6"/>
                <w:sz w:val="22"/>
                <w:szCs w:val="22"/>
              </w:rPr>
              <w:t xml:space="preserve">Dinh Thi Huong, Le Ba Vinh, Nguyen Van Chinh, Nguyen Cao Cuong </w:t>
            </w:r>
          </w:p>
        </w:tc>
      </w:tr>
      <w:tr w:rsidR="00573010" w:rsidRPr="005E6B7C" w14:paraId="053F5B2A" w14:textId="77777777" w:rsidTr="00573010">
        <w:trPr>
          <w:trHeight w:val="739"/>
        </w:trPr>
        <w:tc>
          <w:tcPr>
            <w:tcW w:w="1057" w:type="dxa"/>
            <w:gridSpan w:val="2"/>
            <w:tcBorders>
              <w:top w:val="dotted" w:sz="4" w:space="0" w:color="auto"/>
              <w:left w:val="dotted" w:sz="4" w:space="0" w:color="auto"/>
              <w:bottom w:val="dotted" w:sz="4" w:space="0" w:color="auto"/>
              <w:right w:val="dotted" w:sz="4" w:space="0" w:color="auto"/>
            </w:tcBorders>
            <w:vAlign w:val="center"/>
          </w:tcPr>
          <w:p w14:paraId="58017E15" w14:textId="77777777" w:rsidR="00E10C65" w:rsidRPr="005E6B7C" w:rsidRDefault="00C10EE8" w:rsidP="008C0D47">
            <w:pPr>
              <w:autoSpaceDE w:val="0"/>
              <w:autoSpaceDN w:val="0"/>
              <w:adjustRightInd w:val="0"/>
              <w:spacing w:before="40" w:after="40" w:line="286"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36</w:t>
            </w:r>
          </w:p>
        </w:tc>
        <w:tc>
          <w:tcPr>
            <w:tcW w:w="8550" w:type="dxa"/>
            <w:gridSpan w:val="2"/>
            <w:tcBorders>
              <w:top w:val="dotted" w:sz="4" w:space="0" w:color="auto"/>
              <w:left w:val="dotted" w:sz="4" w:space="0" w:color="auto"/>
              <w:bottom w:val="dotted" w:sz="4" w:space="0" w:color="auto"/>
              <w:right w:val="dotted" w:sz="4" w:space="0" w:color="auto"/>
            </w:tcBorders>
            <w:hideMark/>
          </w:tcPr>
          <w:p w14:paraId="4C4EC744" w14:textId="624B510D" w:rsidR="00E10C65" w:rsidRPr="005E6B7C" w:rsidRDefault="001D594F" w:rsidP="00DB1514">
            <w:pPr>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P</w:t>
            </w:r>
            <w:r w:rsidRPr="001D594F">
              <w:rPr>
                <w:rFonts w:asciiTheme="majorHAnsi" w:hAnsiTheme="majorHAnsi" w:cstheme="majorHAnsi"/>
                <w:b/>
                <w:color w:val="000000" w:themeColor="text1"/>
                <w:spacing w:val="-6"/>
                <w:sz w:val="22"/>
                <w:szCs w:val="22"/>
              </w:rPr>
              <w:t xml:space="preserve">henolic </w:t>
            </w:r>
            <w:r w:rsidRPr="005E6B7C">
              <w:rPr>
                <w:rFonts w:asciiTheme="majorHAnsi" w:hAnsiTheme="majorHAnsi" w:cstheme="majorHAnsi"/>
                <w:b/>
                <w:color w:val="000000" w:themeColor="text1"/>
                <w:spacing w:val="-6"/>
                <w:sz w:val="22"/>
                <w:szCs w:val="22"/>
              </w:rPr>
              <w:t>C</w:t>
            </w:r>
            <w:r w:rsidRPr="001D594F">
              <w:rPr>
                <w:rFonts w:asciiTheme="majorHAnsi" w:hAnsiTheme="majorHAnsi" w:cstheme="majorHAnsi"/>
                <w:b/>
                <w:color w:val="000000" w:themeColor="text1"/>
                <w:spacing w:val="-6"/>
                <w:sz w:val="22"/>
                <w:szCs w:val="22"/>
              </w:rPr>
              <w:t xml:space="preserve">onstituents from the </w:t>
            </w:r>
            <w:r w:rsidRPr="005E6B7C">
              <w:rPr>
                <w:rFonts w:asciiTheme="majorHAnsi" w:hAnsiTheme="majorHAnsi" w:cstheme="majorHAnsi"/>
                <w:b/>
                <w:color w:val="000000" w:themeColor="text1"/>
                <w:spacing w:val="-6"/>
                <w:sz w:val="22"/>
                <w:szCs w:val="22"/>
              </w:rPr>
              <w:t>E</w:t>
            </w:r>
            <w:r w:rsidRPr="001D594F">
              <w:rPr>
                <w:rFonts w:asciiTheme="majorHAnsi" w:hAnsiTheme="majorHAnsi" w:cstheme="majorHAnsi"/>
                <w:b/>
                <w:color w:val="000000" w:themeColor="text1"/>
                <w:spacing w:val="-6"/>
                <w:sz w:val="22"/>
                <w:szCs w:val="22"/>
              </w:rPr>
              <w:t xml:space="preserve">thyl </w:t>
            </w:r>
            <w:r w:rsidRPr="005E6B7C">
              <w:rPr>
                <w:rFonts w:asciiTheme="majorHAnsi" w:hAnsiTheme="majorHAnsi" w:cstheme="majorHAnsi"/>
                <w:b/>
                <w:color w:val="000000" w:themeColor="text1"/>
                <w:spacing w:val="-6"/>
                <w:sz w:val="22"/>
                <w:szCs w:val="22"/>
              </w:rPr>
              <w:t>E</w:t>
            </w:r>
            <w:r w:rsidRPr="001D594F">
              <w:rPr>
                <w:rFonts w:asciiTheme="majorHAnsi" w:hAnsiTheme="majorHAnsi" w:cstheme="majorHAnsi"/>
                <w:b/>
                <w:color w:val="000000" w:themeColor="text1"/>
                <w:spacing w:val="-6"/>
                <w:sz w:val="22"/>
                <w:szCs w:val="22"/>
              </w:rPr>
              <w:t xml:space="preserve">cetate </w:t>
            </w:r>
            <w:r w:rsidR="00DB1514" w:rsidRPr="005E6B7C">
              <w:rPr>
                <w:rFonts w:asciiTheme="majorHAnsi" w:hAnsiTheme="majorHAnsi" w:cstheme="majorHAnsi"/>
                <w:b/>
                <w:color w:val="000000" w:themeColor="text1"/>
                <w:spacing w:val="-6"/>
                <w:sz w:val="22"/>
                <w:szCs w:val="22"/>
              </w:rPr>
              <w:t>E</w:t>
            </w:r>
            <w:r w:rsidRPr="001D594F">
              <w:rPr>
                <w:rFonts w:asciiTheme="majorHAnsi" w:hAnsiTheme="majorHAnsi" w:cstheme="majorHAnsi"/>
                <w:b/>
                <w:color w:val="000000" w:themeColor="text1"/>
                <w:spacing w:val="-6"/>
                <w:sz w:val="22"/>
                <w:szCs w:val="22"/>
              </w:rPr>
              <w:t xml:space="preserve">xtract of </w:t>
            </w:r>
            <w:r w:rsidR="00660E06" w:rsidRPr="005E6B7C">
              <w:rPr>
                <w:rFonts w:asciiTheme="majorHAnsi" w:hAnsiTheme="majorHAnsi" w:cstheme="majorHAnsi"/>
                <w:b/>
                <w:i/>
                <w:iCs/>
                <w:color w:val="000000" w:themeColor="text1"/>
                <w:spacing w:val="-6"/>
                <w:sz w:val="22"/>
                <w:szCs w:val="22"/>
              </w:rPr>
              <w:t>C</w:t>
            </w:r>
            <w:r w:rsidRPr="001D594F">
              <w:rPr>
                <w:rFonts w:asciiTheme="majorHAnsi" w:hAnsiTheme="majorHAnsi" w:cstheme="majorHAnsi"/>
                <w:b/>
                <w:i/>
                <w:iCs/>
                <w:color w:val="000000" w:themeColor="text1"/>
                <w:spacing w:val="-6"/>
                <w:sz w:val="22"/>
                <w:szCs w:val="22"/>
              </w:rPr>
              <w:t>amellia flava</w:t>
            </w:r>
            <w:r w:rsidRPr="001D594F">
              <w:rPr>
                <w:rFonts w:asciiTheme="majorHAnsi" w:hAnsiTheme="majorHAnsi" w:cstheme="majorHAnsi"/>
                <w:b/>
                <w:color w:val="000000" w:themeColor="text1"/>
                <w:spacing w:val="-6"/>
                <w:sz w:val="22"/>
                <w:szCs w:val="22"/>
              </w:rPr>
              <w:t xml:space="preserve"> </w:t>
            </w:r>
            <w:r w:rsidR="00660E06" w:rsidRPr="005E6B7C">
              <w:rPr>
                <w:rFonts w:asciiTheme="majorHAnsi" w:hAnsiTheme="majorHAnsi" w:cstheme="majorHAnsi"/>
                <w:b/>
                <w:color w:val="000000" w:themeColor="text1"/>
                <w:spacing w:val="-6"/>
                <w:sz w:val="22"/>
                <w:szCs w:val="22"/>
              </w:rPr>
              <w:t>F</w:t>
            </w:r>
            <w:r w:rsidRPr="001D594F">
              <w:rPr>
                <w:rFonts w:asciiTheme="majorHAnsi" w:hAnsiTheme="majorHAnsi" w:cstheme="majorHAnsi"/>
                <w:b/>
                <w:color w:val="000000" w:themeColor="text1"/>
                <w:spacing w:val="-6"/>
                <w:sz w:val="22"/>
                <w:szCs w:val="22"/>
              </w:rPr>
              <w:t>lowers (</w:t>
            </w:r>
            <w:r w:rsidR="00660E06" w:rsidRPr="005E6B7C">
              <w:rPr>
                <w:rFonts w:asciiTheme="majorHAnsi" w:hAnsiTheme="majorHAnsi" w:cstheme="majorHAnsi"/>
                <w:b/>
                <w:color w:val="000000" w:themeColor="text1"/>
                <w:spacing w:val="-6"/>
                <w:sz w:val="22"/>
                <w:szCs w:val="22"/>
              </w:rPr>
              <w:t>T</w:t>
            </w:r>
            <w:r w:rsidRPr="001D594F">
              <w:rPr>
                <w:rFonts w:asciiTheme="majorHAnsi" w:hAnsiTheme="majorHAnsi" w:cstheme="majorHAnsi"/>
                <w:b/>
                <w:color w:val="000000" w:themeColor="text1"/>
                <w:spacing w:val="-6"/>
                <w:sz w:val="22"/>
                <w:szCs w:val="22"/>
              </w:rPr>
              <w:t xml:space="preserve">heaceae) </w:t>
            </w:r>
            <w:r w:rsidR="00660E06" w:rsidRPr="005E6B7C">
              <w:rPr>
                <w:rFonts w:asciiTheme="majorHAnsi" w:hAnsiTheme="majorHAnsi" w:cstheme="majorHAnsi"/>
                <w:b/>
                <w:color w:val="000000" w:themeColor="text1"/>
                <w:spacing w:val="-6"/>
                <w:sz w:val="22"/>
                <w:szCs w:val="22"/>
              </w:rPr>
              <w:t>C</w:t>
            </w:r>
            <w:r w:rsidRPr="005E6B7C">
              <w:rPr>
                <w:rFonts w:asciiTheme="majorHAnsi" w:hAnsiTheme="majorHAnsi" w:cstheme="majorHAnsi"/>
                <w:b/>
                <w:color w:val="000000" w:themeColor="text1"/>
                <w:spacing w:val="-6"/>
                <w:sz w:val="22"/>
                <w:szCs w:val="22"/>
              </w:rPr>
              <w:t xml:space="preserve">ollected in </w:t>
            </w:r>
            <w:r w:rsidR="00660E06" w:rsidRPr="005E6B7C">
              <w:rPr>
                <w:rFonts w:asciiTheme="majorHAnsi" w:hAnsiTheme="majorHAnsi" w:cstheme="majorHAnsi"/>
                <w:b/>
                <w:color w:val="000000" w:themeColor="text1"/>
                <w:spacing w:val="-6"/>
                <w:sz w:val="22"/>
                <w:szCs w:val="22"/>
              </w:rPr>
              <w:t>P</w:t>
            </w:r>
            <w:r w:rsidRPr="005E6B7C">
              <w:rPr>
                <w:rFonts w:asciiTheme="majorHAnsi" w:hAnsiTheme="majorHAnsi" w:cstheme="majorHAnsi"/>
                <w:b/>
                <w:color w:val="000000" w:themeColor="text1"/>
                <w:spacing w:val="-6"/>
                <w:sz w:val="22"/>
                <w:szCs w:val="22"/>
              </w:rPr>
              <w:t xml:space="preserve">hu </w:t>
            </w:r>
            <w:r w:rsidR="00660E06" w:rsidRPr="005E6B7C">
              <w:rPr>
                <w:rFonts w:asciiTheme="majorHAnsi" w:hAnsiTheme="majorHAnsi" w:cstheme="majorHAnsi"/>
                <w:b/>
                <w:color w:val="000000" w:themeColor="text1"/>
                <w:spacing w:val="-6"/>
                <w:sz w:val="22"/>
                <w:szCs w:val="22"/>
              </w:rPr>
              <w:t>T</w:t>
            </w:r>
            <w:r w:rsidRPr="005E6B7C">
              <w:rPr>
                <w:rFonts w:asciiTheme="majorHAnsi" w:hAnsiTheme="majorHAnsi" w:cstheme="majorHAnsi"/>
                <w:b/>
                <w:color w:val="000000" w:themeColor="text1"/>
                <w:spacing w:val="-6"/>
                <w:sz w:val="22"/>
                <w:szCs w:val="22"/>
              </w:rPr>
              <w:t xml:space="preserve">ho </w:t>
            </w:r>
            <w:r w:rsidR="00660E06" w:rsidRPr="005E6B7C">
              <w:rPr>
                <w:rFonts w:asciiTheme="majorHAnsi" w:hAnsiTheme="majorHAnsi" w:cstheme="majorHAnsi"/>
                <w:b/>
                <w:color w:val="000000" w:themeColor="text1"/>
                <w:spacing w:val="-6"/>
                <w:sz w:val="22"/>
                <w:szCs w:val="22"/>
              </w:rPr>
              <w:t>P</w:t>
            </w:r>
            <w:r w:rsidRPr="005E6B7C">
              <w:rPr>
                <w:rFonts w:asciiTheme="majorHAnsi" w:hAnsiTheme="majorHAnsi" w:cstheme="majorHAnsi"/>
                <w:b/>
                <w:color w:val="000000" w:themeColor="text1"/>
                <w:spacing w:val="-6"/>
                <w:sz w:val="22"/>
                <w:szCs w:val="22"/>
              </w:rPr>
              <w:t>rovince</w:t>
            </w:r>
            <w:r w:rsidR="00E10C65" w:rsidRPr="005E6B7C">
              <w:rPr>
                <w:rFonts w:asciiTheme="majorHAnsi" w:hAnsiTheme="majorHAnsi" w:cstheme="majorHAnsi"/>
                <w:b/>
                <w:color w:val="000000" w:themeColor="text1"/>
                <w:spacing w:val="-6"/>
                <w:sz w:val="22"/>
                <w:szCs w:val="22"/>
              </w:rPr>
              <w:t xml:space="preserve"> - </w:t>
            </w:r>
            <w:r w:rsidR="00E10C65" w:rsidRPr="005E6B7C">
              <w:rPr>
                <w:rFonts w:asciiTheme="majorHAnsi" w:hAnsiTheme="majorHAnsi" w:cstheme="majorHAnsi"/>
                <w:bCs/>
                <w:i/>
                <w:iCs/>
                <w:color w:val="000000" w:themeColor="text1"/>
                <w:spacing w:val="-6"/>
                <w:sz w:val="22"/>
                <w:szCs w:val="22"/>
              </w:rPr>
              <w:t>Do Thi Thuy, Nguyen Duong Hong Anh, Tran The Bach, Do Van Hieu, Do Duc Nhuan, Than Kieu My, Tran Minh Ngoc, Nguyen Thanh Cong, Le Nguyen Thanh</w:t>
            </w:r>
          </w:p>
        </w:tc>
      </w:tr>
      <w:tr w:rsidR="00573010" w:rsidRPr="005E6B7C" w14:paraId="682AFE85" w14:textId="77777777" w:rsidTr="00573010">
        <w:trPr>
          <w:trHeight w:val="812"/>
        </w:trPr>
        <w:tc>
          <w:tcPr>
            <w:tcW w:w="1057" w:type="dxa"/>
            <w:gridSpan w:val="2"/>
            <w:tcBorders>
              <w:top w:val="dotted" w:sz="4" w:space="0" w:color="auto"/>
              <w:left w:val="dotted" w:sz="4" w:space="0" w:color="auto"/>
              <w:bottom w:val="dotted" w:sz="4" w:space="0" w:color="auto"/>
              <w:right w:val="dotted" w:sz="4" w:space="0" w:color="auto"/>
            </w:tcBorders>
            <w:vAlign w:val="center"/>
          </w:tcPr>
          <w:p w14:paraId="6A991D77" w14:textId="77777777" w:rsidR="00E10C65" w:rsidRPr="005E6B7C" w:rsidRDefault="00C10EE8" w:rsidP="008C0D47">
            <w:pPr>
              <w:spacing w:before="40" w:after="40" w:line="286"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42</w:t>
            </w:r>
          </w:p>
        </w:tc>
        <w:tc>
          <w:tcPr>
            <w:tcW w:w="8550" w:type="dxa"/>
            <w:gridSpan w:val="2"/>
            <w:tcBorders>
              <w:top w:val="dotted" w:sz="4" w:space="0" w:color="auto"/>
              <w:left w:val="dotted" w:sz="4" w:space="0" w:color="auto"/>
              <w:bottom w:val="dotted" w:sz="4" w:space="0" w:color="auto"/>
              <w:right w:val="dotted" w:sz="4" w:space="0" w:color="auto"/>
            </w:tcBorders>
            <w:hideMark/>
          </w:tcPr>
          <w:p w14:paraId="0F0C5BD0" w14:textId="1749E732" w:rsidR="00E10C65" w:rsidRPr="005E6B7C" w:rsidRDefault="006D0C4B" w:rsidP="00D1261A">
            <w:pPr>
              <w:spacing w:before="40" w:after="40" w:line="286" w:lineRule="atLeast"/>
              <w:jc w:val="both"/>
              <w:rPr>
                <w:rFonts w:asciiTheme="majorHAnsi" w:hAnsiTheme="majorHAnsi" w:cstheme="majorHAnsi"/>
                <w:b/>
                <w:color w:val="000000" w:themeColor="text1"/>
                <w:spacing w:val="-6"/>
                <w:sz w:val="22"/>
                <w:szCs w:val="22"/>
              </w:rPr>
            </w:pPr>
            <w:r w:rsidRPr="005E6B7C">
              <w:rPr>
                <w:rFonts w:asciiTheme="majorHAnsi" w:hAnsiTheme="majorHAnsi" w:cstheme="majorHAnsi"/>
                <w:b/>
                <w:color w:val="000000" w:themeColor="text1"/>
                <w:spacing w:val="-6"/>
                <w:sz w:val="22"/>
                <w:szCs w:val="22"/>
              </w:rPr>
              <w:t>L</w:t>
            </w:r>
            <w:r w:rsidRPr="006D0C4B">
              <w:rPr>
                <w:rFonts w:asciiTheme="majorHAnsi" w:hAnsiTheme="majorHAnsi" w:cstheme="majorHAnsi"/>
                <w:b/>
                <w:color w:val="000000" w:themeColor="text1"/>
                <w:spacing w:val="-6"/>
                <w:sz w:val="22"/>
                <w:szCs w:val="22"/>
              </w:rPr>
              <w:t xml:space="preserve">ignans and </w:t>
            </w:r>
            <w:r w:rsidRPr="005E6B7C">
              <w:rPr>
                <w:rFonts w:asciiTheme="majorHAnsi" w:hAnsiTheme="majorHAnsi" w:cstheme="majorHAnsi"/>
                <w:b/>
                <w:color w:val="000000" w:themeColor="text1"/>
                <w:spacing w:val="-6"/>
                <w:sz w:val="22"/>
                <w:szCs w:val="22"/>
              </w:rPr>
              <w:t>O</w:t>
            </w:r>
            <w:r w:rsidRPr="006D0C4B">
              <w:rPr>
                <w:rFonts w:asciiTheme="majorHAnsi" w:hAnsiTheme="majorHAnsi" w:cstheme="majorHAnsi"/>
                <w:b/>
                <w:color w:val="000000" w:themeColor="text1"/>
                <w:spacing w:val="-6"/>
                <w:sz w:val="22"/>
                <w:szCs w:val="22"/>
              </w:rPr>
              <w:t xml:space="preserve">ther </w:t>
            </w:r>
            <w:r w:rsidRPr="005E6B7C">
              <w:rPr>
                <w:rFonts w:asciiTheme="majorHAnsi" w:hAnsiTheme="majorHAnsi" w:cstheme="majorHAnsi"/>
                <w:b/>
                <w:color w:val="000000" w:themeColor="text1"/>
                <w:spacing w:val="-6"/>
                <w:sz w:val="22"/>
                <w:szCs w:val="22"/>
              </w:rPr>
              <w:t>C</w:t>
            </w:r>
            <w:r w:rsidRPr="006D0C4B">
              <w:rPr>
                <w:rFonts w:asciiTheme="majorHAnsi" w:hAnsiTheme="majorHAnsi" w:cstheme="majorHAnsi"/>
                <w:b/>
                <w:color w:val="000000" w:themeColor="text1"/>
                <w:spacing w:val="-6"/>
                <w:sz w:val="22"/>
                <w:szCs w:val="22"/>
              </w:rPr>
              <w:t xml:space="preserve">ompounds from the </w:t>
            </w:r>
            <w:r w:rsidRPr="005E6B7C">
              <w:rPr>
                <w:rFonts w:asciiTheme="majorHAnsi" w:hAnsiTheme="majorHAnsi" w:cstheme="majorHAnsi"/>
                <w:b/>
                <w:color w:val="000000" w:themeColor="text1"/>
                <w:spacing w:val="-6"/>
                <w:sz w:val="22"/>
                <w:szCs w:val="22"/>
              </w:rPr>
              <w:t>L</w:t>
            </w:r>
            <w:r w:rsidRPr="006D0C4B">
              <w:rPr>
                <w:rFonts w:asciiTheme="majorHAnsi" w:hAnsiTheme="majorHAnsi" w:cstheme="majorHAnsi"/>
                <w:b/>
                <w:color w:val="000000" w:themeColor="text1"/>
                <w:spacing w:val="-6"/>
                <w:sz w:val="22"/>
                <w:szCs w:val="22"/>
              </w:rPr>
              <w:t>eaves of</w:t>
            </w:r>
            <w:r w:rsidR="00D1261A" w:rsidRPr="005E6B7C">
              <w:rPr>
                <w:rFonts w:asciiTheme="majorHAnsi" w:hAnsiTheme="majorHAnsi" w:cstheme="majorHAnsi"/>
                <w:b/>
                <w:color w:val="000000" w:themeColor="text1"/>
                <w:spacing w:val="-6"/>
                <w:sz w:val="22"/>
                <w:szCs w:val="22"/>
              </w:rPr>
              <w:t xml:space="preserve"> </w:t>
            </w:r>
            <w:r w:rsidRPr="005E6B7C">
              <w:rPr>
                <w:rFonts w:asciiTheme="majorHAnsi" w:hAnsiTheme="majorHAnsi" w:cstheme="majorHAnsi"/>
                <w:b/>
                <w:i/>
                <w:color w:val="000000" w:themeColor="text1"/>
                <w:spacing w:val="-6"/>
                <w:sz w:val="22"/>
                <w:szCs w:val="22"/>
              </w:rPr>
              <w:t>T</w:t>
            </w:r>
            <w:r w:rsidRPr="006D0C4B">
              <w:rPr>
                <w:rFonts w:asciiTheme="majorHAnsi" w:hAnsiTheme="majorHAnsi" w:cstheme="majorHAnsi"/>
                <w:b/>
                <w:i/>
                <w:color w:val="000000" w:themeColor="text1"/>
                <w:spacing w:val="-6"/>
                <w:sz w:val="22"/>
                <w:szCs w:val="22"/>
              </w:rPr>
              <w:t>riadica rotundifolia</w:t>
            </w:r>
            <w:r w:rsidRPr="006D0C4B">
              <w:rPr>
                <w:rFonts w:asciiTheme="majorHAnsi" w:hAnsiTheme="majorHAnsi" w:cstheme="majorHAnsi"/>
                <w:b/>
                <w:color w:val="000000" w:themeColor="text1"/>
                <w:spacing w:val="-6"/>
                <w:sz w:val="22"/>
                <w:szCs w:val="22"/>
              </w:rPr>
              <w:t xml:space="preserve"> with </w:t>
            </w:r>
            <w:r w:rsidRPr="005E6B7C">
              <w:rPr>
                <w:rFonts w:asciiTheme="majorHAnsi" w:hAnsiTheme="majorHAnsi" w:cstheme="majorHAnsi"/>
                <w:b/>
                <w:color w:val="000000" w:themeColor="text1"/>
                <w:spacing w:val="-6"/>
                <w:sz w:val="22"/>
                <w:szCs w:val="22"/>
              </w:rPr>
              <w:t>I</w:t>
            </w:r>
            <w:r w:rsidRPr="006D0C4B">
              <w:rPr>
                <w:rFonts w:asciiTheme="majorHAnsi" w:hAnsiTheme="majorHAnsi" w:cstheme="majorHAnsi"/>
                <w:b/>
                <w:color w:val="000000" w:themeColor="text1"/>
                <w:spacing w:val="-6"/>
                <w:sz w:val="22"/>
                <w:szCs w:val="22"/>
              </w:rPr>
              <w:t xml:space="preserve">nhibitory </w:t>
            </w:r>
            <w:r w:rsidRPr="005E6B7C">
              <w:rPr>
                <w:rFonts w:asciiTheme="majorHAnsi" w:hAnsiTheme="majorHAnsi" w:cstheme="majorHAnsi"/>
                <w:b/>
                <w:color w:val="000000" w:themeColor="text1"/>
                <w:spacing w:val="-6"/>
                <w:sz w:val="22"/>
                <w:szCs w:val="22"/>
              </w:rPr>
              <w:t>A</w:t>
            </w:r>
            <w:r w:rsidRPr="006D0C4B">
              <w:rPr>
                <w:rFonts w:asciiTheme="majorHAnsi" w:hAnsiTheme="majorHAnsi" w:cstheme="majorHAnsi"/>
                <w:b/>
                <w:color w:val="000000" w:themeColor="text1"/>
                <w:spacing w:val="-6"/>
                <w:sz w:val="22"/>
                <w:szCs w:val="22"/>
              </w:rPr>
              <w:t xml:space="preserve">ctivity on </w:t>
            </w:r>
            <w:r w:rsidRPr="005E6B7C">
              <w:rPr>
                <w:rFonts w:asciiTheme="majorHAnsi" w:hAnsiTheme="majorHAnsi" w:cstheme="majorHAnsi"/>
                <w:b/>
                <w:color w:val="000000" w:themeColor="text1"/>
                <w:spacing w:val="-6"/>
                <w:sz w:val="22"/>
                <w:szCs w:val="22"/>
              </w:rPr>
              <w:t>N</w:t>
            </w:r>
            <w:r w:rsidRPr="006D0C4B">
              <w:rPr>
                <w:rFonts w:asciiTheme="majorHAnsi" w:hAnsiTheme="majorHAnsi" w:cstheme="majorHAnsi"/>
                <w:b/>
                <w:color w:val="000000" w:themeColor="text1"/>
                <w:spacing w:val="-6"/>
                <w:sz w:val="22"/>
                <w:szCs w:val="22"/>
              </w:rPr>
              <w:t xml:space="preserve">itric </w:t>
            </w:r>
            <w:r w:rsidRPr="005E6B7C">
              <w:rPr>
                <w:rFonts w:asciiTheme="majorHAnsi" w:hAnsiTheme="majorHAnsi" w:cstheme="majorHAnsi"/>
                <w:b/>
                <w:color w:val="000000" w:themeColor="text1"/>
                <w:spacing w:val="-6"/>
                <w:sz w:val="22"/>
                <w:szCs w:val="22"/>
              </w:rPr>
              <w:t>O</w:t>
            </w:r>
            <w:r w:rsidRPr="006D0C4B">
              <w:rPr>
                <w:rFonts w:asciiTheme="majorHAnsi" w:hAnsiTheme="majorHAnsi" w:cstheme="majorHAnsi"/>
                <w:b/>
                <w:color w:val="000000" w:themeColor="text1"/>
                <w:spacing w:val="-6"/>
                <w:sz w:val="22"/>
                <w:szCs w:val="22"/>
              </w:rPr>
              <w:t xml:space="preserve">xide </w:t>
            </w:r>
            <w:r w:rsidRPr="005E6B7C">
              <w:rPr>
                <w:rFonts w:asciiTheme="majorHAnsi" w:hAnsiTheme="majorHAnsi" w:cstheme="majorHAnsi"/>
                <w:b/>
                <w:color w:val="000000" w:themeColor="text1"/>
                <w:spacing w:val="-6"/>
                <w:sz w:val="22"/>
                <w:szCs w:val="22"/>
              </w:rPr>
              <w:t>P</w:t>
            </w:r>
            <w:r w:rsidRPr="006D0C4B">
              <w:rPr>
                <w:rFonts w:asciiTheme="majorHAnsi" w:hAnsiTheme="majorHAnsi" w:cstheme="majorHAnsi"/>
                <w:b/>
                <w:color w:val="000000" w:themeColor="text1"/>
                <w:spacing w:val="-6"/>
                <w:sz w:val="22"/>
                <w:szCs w:val="22"/>
              </w:rPr>
              <w:t>roduction</w:t>
            </w:r>
            <w:r w:rsidR="00D1261A" w:rsidRPr="005E6B7C">
              <w:rPr>
                <w:rFonts w:asciiTheme="majorHAnsi" w:hAnsiTheme="majorHAnsi" w:cstheme="majorHAnsi"/>
                <w:b/>
                <w:color w:val="000000" w:themeColor="text1"/>
                <w:spacing w:val="-6"/>
                <w:sz w:val="22"/>
                <w:szCs w:val="22"/>
              </w:rPr>
              <w:t xml:space="preserve"> </w:t>
            </w:r>
            <w:r w:rsidR="00E10C65" w:rsidRPr="005E6B7C">
              <w:rPr>
                <w:rFonts w:asciiTheme="majorHAnsi" w:hAnsiTheme="majorHAnsi" w:cstheme="majorHAnsi"/>
                <w:b/>
                <w:color w:val="000000" w:themeColor="text1"/>
                <w:spacing w:val="-6"/>
                <w:sz w:val="22"/>
                <w:szCs w:val="22"/>
              </w:rPr>
              <w:t xml:space="preserve">- </w:t>
            </w:r>
            <w:r w:rsidR="00E10C65" w:rsidRPr="005E6B7C">
              <w:rPr>
                <w:rFonts w:asciiTheme="majorHAnsi" w:hAnsiTheme="majorHAnsi" w:cstheme="majorHAnsi"/>
                <w:bCs/>
                <w:i/>
                <w:color w:val="000000" w:themeColor="text1"/>
                <w:spacing w:val="-6"/>
                <w:sz w:val="22"/>
                <w:szCs w:val="22"/>
              </w:rPr>
              <w:t>Ninh Khac Ban, Tran My Linh, Ninh Khac Thanh Tung, Bui Van Thanh, Pham Hai Yen, Bui Huu Tai, Phan Van Kiem, Nguyen Phuong Thao</w:t>
            </w:r>
          </w:p>
        </w:tc>
      </w:tr>
      <w:tr w:rsidR="00573010" w:rsidRPr="005E6B7C" w14:paraId="68CE9E67" w14:textId="77777777" w:rsidTr="000F7173">
        <w:tc>
          <w:tcPr>
            <w:tcW w:w="1057" w:type="dxa"/>
            <w:gridSpan w:val="2"/>
            <w:tcBorders>
              <w:top w:val="dotted" w:sz="4" w:space="0" w:color="auto"/>
              <w:left w:val="dotted" w:sz="4" w:space="0" w:color="auto"/>
              <w:bottom w:val="dotted" w:sz="4" w:space="0" w:color="auto"/>
              <w:right w:val="dotted" w:sz="4" w:space="0" w:color="auto"/>
            </w:tcBorders>
            <w:vAlign w:val="center"/>
          </w:tcPr>
          <w:p w14:paraId="54732ADA" w14:textId="77777777" w:rsidR="00E10C65" w:rsidRPr="005E6B7C" w:rsidRDefault="00C10EE8" w:rsidP="008C0D47">
            <w:pPr>
              <w:spacing w:before="40" w:after="40" w:line="286"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49</w:t>
            </w:r>
          </w:p>
        </w:tc>
        <w:tc>
          <w:tcPr>
            <w:tcW w:w="8550" w:type="dxa"/>
            <w:gridSpan w:val="2"/>
            <w:tcBorders>
              <w:top w:val="dotted" w:sz="4" w:space="0" w:color="auto"/>
              <w:left w:val="dotted" w:sz="4" w:space="0" w:color="auto"/>
              <w:bottom w:val="dotted" w:sz="4" w:space="0" w:color="auto"/>
              <w:right w:val="dotted" w:sz="4" w:space="0" w:color="auto"/>
            </w:tcBorders>
            <w:hideMark/>
          </w:tcPr>
          <w:p w14:paraId="613FD4AB" w14:textId="77777777" w:rsidR="00E10C65" w:rsidRPr="005E6B7C" w:rsidRDefault="00E10C65" w:rsidP="008C0D47">
            <w:pPr>
              <w:spacing w:before="40" w:after="4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 xml:space="preserve">Chemical Constituents of </w:t>
            </w:r>
            <w:r w:rsidRPr="005E6B7C">
              <w:rPr>
                <w:rFonts w:asciiTheme="majorHAnsi" w:hAnsiTheme="majorHAnsi" w:cstheme="majorHAnsi"/>
                <w:b/>
                <w:i/>
                <w:iCs/>
                <w:color w:val="000000" w:themeColor="text1"/>
                <w:spacing w:val="-6"/>
                <w:sz w:val="22"/>
                <w:szCs w:val="22"/>
              </w:rPr>
              <w:t>Ganoderma multipileum</w:t>
            </w:r>
            <w:r w:rsidRPr="005E6B7C">
              <w:rPr>
                <w:rFonts w:asciiTheme="majorHAnsi" w:hAnsiTheme="majorHAnsi" w:cstheme="majorHAnsi"/>
                <w:b/>
                <w:color w:val="000000" w:themeColor="text1"/>
                <w:spacing w:val="-6"/>
                <w:sz w:val="22"/>
                <w:szCs w:val="22"/>
              </w:rPr>
              <w:t xml:space="preserve"> Ding Hou, Ganodermataceae - </w:t>
            </w:r>
            <w:r w:rsidRPr="005E6B7C">
              <w:rPr>
                <w:rFonts w:asciiTheme="majorHAnsi" w:hAnsiTheme="majorHAnsi" w:cstheme="majorHAnsi"/>
                <w:i/>
                <w:iCs/>
                <w:color w:val="000000" w:themeColor="text1"/>
                <w:spacing w:val="-6"/>
                <w:sz w:val="22"/>
                <w:szCs w:val="22"/>
              </w:rPr>
              <w:t>Nguyen Thi Duyen, Tran Thi Tuyet, Phan Quynh Trang, Nguyen Trung Hieu, Nguyen Duc Hieu, Nguyen Phuong Dai Nguyen</w:t>
            </w:r>
          </w:p>
        </w:tc>
      </w:tr>
      <w:tr w:rsidR="00573010" w:rsidRPr="005E6B7C" w14:paraId="22738934" w14:textId="77777777" w:rsidTr="00573010">
        <w:trPr>
          <w:trHeight w:val="269"/>
        </w:trPr>
        <w:tc>
          <w:tcPr>
            <w:tcW w:w="1057" w:type="dxa"/>
            <w:gridSpan w:val="2"/>
            <w:tcBorders>
              <w:top w:val="dotted" w:sz="4" w:space="0" w:color="auto"/>
              <w:left w:val="dotted" w:sz="4" w:space="0" w:color="auto"/>
              <w:bottom w:val="dotted" w:sz="4" w:space="0" w:color="auto"/>
              <w:right w:val="dotted" w:sz="4" w:space="0" w:color="auto"/>
            </w:tcBorders>
            <w:vAlign w:val="center"/>
          </w:tcPr>
          <w:p w14:paraId="599FC00A" w14:textId="77777777" w:rsidR="00E10C65" w:rsidRPr="005E6B7C" w:rsidRDefault="00C10EE8" w:rsidP="008C0D47">
            <w:pPr>
              <w:spacing w:before="40" w:after="40" w:line="286"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53</w:t>
            </w:r>
          </w:p>
        </w:tc>
        <w:tc>
          <w:tcPr>
            <w:tcW w:w="8550" w:type="dxa"/>
            <w:gridSpan w:val="2"/>
            <w:tcBorders>
              <w:top w:val="dotted" w:sz="4" w:space="0" w:color="auto"/>
              <w:left w:val="dotted" w:sz="4" w:space="0" w:color="auto"/>
              <w:bottom w:val="dotted" w:sz="4" w:space="0" w:color="auto"/>
              <w:right w:val="dotted" w:sz="4" w:space="0" w:color="auto"/>
            </w:tcBorders>
            <w:hideMark/>
          </w:tcPr>
          <w:p w14:paraId="60972BAE" w14:textId="77777777" w:rsidR="00E10C65" w:rsidRPr="005E6B7C" w:rsidRDefault="00E10C65" w:rsidP="008C0D47">
            <w:pPr>
              <w:pStyle w:val="NormalWeb"/>
              <w:spacing w:before="40" w:beforeAutospacing="0" w:after="40" w:afterAutospacing="0" w:line="286"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bCs/>
                <w:color w:val="000000" w:themeColor="text1"/>
                <w:spacing w:val="-6"/>
                <w:sz w:val="22"/>
                <w:szCs w:val="22"/>
              </w:rPr>
              <w:t xml:space="preserve">Chemical Composition, Antimicrobial and Cytotoxic Activities of the Leaf Essential </w:t>
            </w:r>
            <w:r w:rsidR="0044085B" w:rsidRPr="005E6B7C">
              <w:rPr>
                <w:rFonts w:asciiTheme="majorHAnsi" w:hAnsiTheme="majorHAnsi" w:cstheme="majorHAnsi"/>
                <w:b/>
                <w:bCs/>
                <w:color w:val="000000" w:themeColor="text1"/>
                <w:spacing w:val="-6"/>
                <w:sz w:val="22"/>
                <w:szCs w:val="22"/>
              </w:rPr>
              <w:t>O</w:t>
            </w:r>
            <w:r w:rsidRPr="005E6B7C">
              <w:rPr>
                <w:rFonts w:asciiTheme="majorHAnsi" w:hAnsiTheme="majorHAnsi" w:cstheme="majorHAnsi"/>
                <w:b/>
                <w:bCs/>
                <w:color w:val="000000" w:themeColor="text1"/>
                <w:spacing w:val="-6"/>
                <w:sz w:val="22"/>
                <w:szCs w:val="22"/>
              </w:rPr>
              <w:t xml:space="preserve">il of </w:t>
            </w:r>
            <w:r w:rsidRPr="005E6B7C">
              <w:rPr>
                <w:rFonts w:asciiTheme="majorHAnsi" w:hAnsiTheme="majorHAnsi" w:cstheme="majorHAnsi"/>
                <w:b/>
                <w:bCs/>
                <w:i/>
                <w:iCs/>
                <w:color w:val="000000" w:themeColor="text1"/>
                <w:spacing w:val="-6"/>
                <w:sz w:val="22"/>
                <w:szCs w:val="22"/>
              </w:rPr>
              <w:t>Knema globularia</w:t>
            </w:r>
            <w:r w:rsidRPr="005E6B7C">
              <w:rPr>
                <w:rFonts w:asciiTheme="majorHAnsi" w:hAnsiTheme="majorHAnsi" w:cstheme="majorHAnsi"/>
                <w:b/>
                <w:bCs/>
                <w:color w:val="000000" w:themeColor="text1"/>
                <w:spacing w:val="-6"/>
                <w:sz w:val="22"/>
                <w:szCs w:val="22"/>
              </w:rPr>
              <w:t xml:space="preserve"> (Lamk.) Warb. from Thanh Hoa, Vietnam - </w:t>
            </w:r>
            <w:r w:rsidRPr="005E6B7C">
              <w:rPr>
                <w:rFonts w:asciiTheme="majorHAnsi" w:hAnsiTheme="majorHAnsi" w:cstheme="majorHAnsi"/>
                <w:i/>
                <w:color w:val="000000" w:themeColor="text1"/>
                <w:spacing w:val="-6"/>
                <w:sz w:val="22"/>
                <w:szCs w:val="22"/>
              </w:rPr>
              <w:t>Luong Le Uyen Trang, Pham</w:t>
            </w:r>
            <w:r w:rsidRPr="005E6B7C">
              <w:rPr>
                <w:rFonts w:asciiTheme="majorHAnsi" w:hAnsiTheme="majorHAnsi" w:cstheme="majorHAnsi"/>
                <w:i/>
                <w:color w:val="000000" w:themeColor="text1"/>
                <w:spacing w:val="-6"/>
                <w:sz w:val="22"/>
                <w:szCs w:val="22"/>
                <w:lang w:val="vi-VN"/>
              </w:rPr>
              <w:t xml:space="preserve"> Thi Huong Ly</w:t>
            </w:r>
            <w:r w:rsidRPr="005E6B7C">
              <w:rPr>
                <w:rFonts w:asciiTheme="majorHAnsi" w:hAnsiTheme="majorHAnsi" w:cstheme="majorHAnsi"/>
                <w:i/>
                <w:color w:val="000000" w:themeColor="text1"/>
                <w:spacing w:val="-6"/>
                <w:sz w:val="22"/>
                <w:szCs w:val="22"/>
              </w:rPr>
              <w:t>, Nguyen</w:t>
            </w:r>
            <w:r w:rsidRPr="005E6B7C">
              <w:rPr>
                <w:rFonts w:asciiTheme="majorHAnsi" w:hAnsiTheme="majorHAnsi" w:cstheme="majorHAnsi"/>
                <w:i/>
                <w:color w:val="000000" w:themeColor="text1"/>
                <w:spacing w:val="-6"/>
                <w:sz w:val="22"/>
                <w:szCs w:val="22"/>
                <w:lang w:val="vi-VN"/>
              </w:rPr>
              <w:t xml:space="preserve"> Thi Hoa Hien</w:t>
            </w:r>
            <w:r w:rsidRPr="005E6B7C">
              <w:rPr>
                <w:rFonts w:asciiTheme="majorHAnsi" w:hAnsiTheme="majorHAnsi" w:cstheme="majorHAnsi"/>
                <w:i/>
                <w:color w:val="000000" w:themeColor="text1"/>
                <w:spacing w:val="-6"/>
                <w:sz w:val="22"/>
                <w:szCs w:val="22"/>
              </w:rPr>
              <w:t>, Nguyen</w:t>
            </w:r>
            <w:r w:rsidRPr="005E6B7C">
              <w:rPr>
                <w:rFonts w:asciiTheme="majorHAnsi" w:hAnsiTheme="majorHAnsi" w:cstheme="majorHAnsi"/>
                <w:i/>
                <w:color w:val="000000" w:themeColor="text1"/>
                <w:spacing w:val="-6"/>
                <w:sz w:val="22"/>
                <w:szCs w:val="22"/>
                <w:lang w:val="vi-VN"/>
              </w:rPr>
              <w:t xml:space="preserve"> Thanh Huyen</w:t>
            </w:r>
            <w:r w:rsidRPr="005E6B7C">
              <w:rPr>
                <w:rFonts w:asciiTheme="majorHAnsi" w:hAnsiTheme="majorHAnsi" w:cstheme="majorHAnsi"/>
                <w:i/>
                <w:color w:val="000000" w:themeColor="text1"/>
                <w:spacing w:val="-6"/>
                <w:sz w:val="22"/>
                <w:szCs w:val="22"/>
              </w:rPr>
              <w:t>, Nguyen</w:t>
            </w:r>
            <w:r w:rsidRPr="005E6B7C">
              <w:rPr>
                <w:rFonts w:asciiTheme="majorHAnsi" w:hAnsiTheme="majorHAnsi" w:cstheme="majorHAnsi"/>
                <w:i/>
                <w:color w:val="000000" w:themeColor="text1"/>
                <w:spacing w:val="-6"/>
                <w:sz w:val="22"/>
                <w:szCs w:val="22"/>
                <w:lang w:val="vi-VN"/>
              </w:rPr>
              <w:t xml:space="preserve"> Thi Hien</w:t>
            </w:r>
            <w:r w:rsidRPr="005E6B7C">
              <w:rPr>
                <w:rFonts w:asciiTheme="majorHAnsi" w:hAnsiTheme="majorHAnsi" w:cstheme="majorHAnsi"/>
                <w:i/>
                <w:color w:val="000000" w:themeColor="text1"/>
                <w:spacing w:val="-6"/>
                <w:sz w:val="22"/>
                <w:szCs w:val="22"/>
              </w:rPr>
              <w:t>,</w:t>
            </w:r>
            <w:r w:rsidRPr="005E6B7C">
              <w:rPr>
                <w:rFonts w:asciiTheme="majorHAnsi" w:hAnsiTheme="majorHAnsi" w:cstheme="majorHAnsi"/>
                <w:i/>
                <w:color w:val="000000" w:themeColor="text1"/>
                <w:spacing w:val="-6"/>
                <w:sz w:val="22"/>
                <w:szCs w:val="22"/>
                <w:lang w:val="vi-VN"/>
              </w:rPr>
              <w:t xml:space="preserve"> Nguyen Thi Thu</w:t>
            </w:r>
            <w:r w:rsidRPr="005E6B7C">
              <w:rPr>
                <w:rFonts w:asciiTheme="majorHAnsi" w:hAnsiTheme="majorHAnsi" w:cstheme="majorHAnsi"/>
                <w:i/>
                <w:color w:val="000000" w:themeColor="text1"/>
                <w:spacing w:val="-6"/>
                <w:sz w:val="22"/>
                <w:szCs w:val="22"/>
              </w:rPr>
              <w:t>,</w:t>
            </w:r>
            <w:r w:rsidRPr="005E6B7C">
              <w:rPr>
                <w:rFonts w:asciiTheme="majorHAnsi" w:hAnsiTheme="majorHAnsi" w:cstheme="majorHAnsi"/>
                <w:i/>
                <w:color w:val="000000" w:themeColor="text1"/>
                <w:spacing w:val="-6"/>
                <w:sz w:val="22"/>
                <w:szCs w:val="22"/>
                <w:lang w:val="vi-VN"/>
              </w:rPr>
              <w:t xml:space="preserve"> Khong Thi Hoa</w:t>
            </w:r>
          </w:p>
        </w:tc>
      </w:tr>
      <w:tr w:rsidR="00573010" w:rsidRPr="005E6B7C" w14:paraId="553C3826" w14:textId="77777777" w:rsidTr="00573010">
        <w:trPr>
          <w:trHeight w:val="539"/>
        </w:trPr>
        <w:tc>
          <w:tcPr>
            <w:tcW w:w="1057" w:type="dxa"/>
            <w:gridSpan w:val="2"/>
            <w:tcBorders>
              <w:top w:val="dotted" w:sz="4" w:space="0" w:color="auto"/>
              <w:left w:val="dotted" w:sz="4" w:space="0" w:color="auto"/>
              <w:bottom w:val="dotted" w:sz="4" w:space="0" w:color="auto"/>
              <w:right w:val="dotted" w:sz="4" w:space="0" w:color="auto"/>
            </w:tcBorders>
            <w:vAlign w:val="center"/>
          </w:tcPr>
          <w:p w14:paraId="4563654F" w14:textId="77777777" w:rsidR="00E10C65" w:rsidRPr="005E6B7C" w:rsidRDefault="00C10EE8" w:rsidP="008C0D47">
            <w:pPr>
              <w:spacing w:before="40" w:after="40" w:line="270" w:lineRule="atLeast"/>
              <w:jc w:val="center"/>
              <w:rPr>
                <w:rFonts w:asciiTheme="majorHAnsi" w:hAnsiTheme="majorHAnsi" w:cstheme="majorHAnsi"/>
                <w:bCs/>
                <w:color w:val="000000" w:themeColor="text1"/>
                <w:spacing w:val="-4"/>
                <w:sz w:val="22"/>
                <w:szCs w:val="22"/>
              </w:rPr>
            </w:pPr>
            <w:r w:rsidRPr="005E6B7C">
              <w:rPr>
                <w:rFonts w:asciiTheme="majorHAnsi" w:hAnsiTheme="majorHAnsi" w:cstheme="majorHAnsi"/>
                <w:bCs/>
                <w:color w:val="000000" w:themeColor="text1"/>
                <w:spacing w:val="-4"/>
                <w:sz w:val="22"/>
                <w:szCs w:val="22"/>
              </w:rPr>
              <w:lastRenderedPageBreak/>
              <w:t>60</w:t>
            </w:r>
          </w:p>
        </w:tc>
        <w:tc>
          <w:tcPr>
            <w:tcW w:w="8550" w:type="dxa"/>
            <w:gridSpan w:val="2"/>
            <w:tcBorders>
              <w:top w:val="dotted" w:sz="4" w:space="0" w:color="auto"/>
              <w:left w:val="dotted" w:sz="4" w:space="0" w:color="auto"/>
              <w:bottom w:val="dotted" w:sz="4" w:space="0" w:color="auto"/>
              <w:right w:val="dotted" w:sz="4" w:space="0" w:color="auto"/>
            </w:tcBorders>
            <w:hideMark/>
          </w:tcPr>
          <w:p w14:paraId="1132643D" w14:textId="77777777" w:rsidR="00E10C65" w:rsidRPr="005E6B7C" w:rsidRDefault="00E10C65" w:rsidP="008C0D47">
            <w:pPr>
              <w:tabs>
                <w:tab w:val="left" w:pos="90"/>
              </w:tabs>
              <w:spacing w:before="40" w:after="40" w:line="270" w:lineRule="atLeast"/>
              <w:contextualSpacing/>
              <w:jc w:val="both"/>
              <w:rPr>
                <w:rFonts w:asciiTheme="majorHAnsi" w:hAnsiTheme="majorHAnsi" w:cstheme="majorHAnsi"/>
                <w:i/>
                <w:color w:val="000000" w:themeColor="text1"/>
                <w:spacing w:val="-6"/>
                <w:sz w:val="22"/>
                <w:szCs w:val="22"/>
              </w:rPr>
            </w:pPr>
            <w:r w:rsidRPr="005E6B7C">
              <w:rPr>
                <w:rFonts w:asciiTheme="majorHAnsi" w:hAnsiTheme="majorHAnsi" w:cstheme="majorHAnsi"/>
                <w:b/>
                <w:bCs/>
                <w:iCs/>
                <w:color w:val="000000" w:themeColor="text1"/>
                <w:spacing w:val="-6"/>
                <w:sz w:val="22"/>
                <w:szCs w:val="22"/>
              </w:rPr>
              <w:t xml:space="preserve">Azaphilone Derivatives Isolated from Endophytic Fungus  </w:t>
            </w:r>
            <w:r w:rsidRPr="005E6B7C">
              <w:rPr>
                <w:rFonts w:asciiTheme="majorHAnsi" w:hAnsiTheme="majorHAnsi" w:cstheme="majorHAnsi"/>
                <w:b/>
                <w:bCs/>
                <w:i/>
                <w:iCs/>
                <w:color w:val="000000" w:themeColor="text1"/>
                <w:spacing w:val="-6"/>
                <w:sz w:val="22"/>
                <w:szCs w:val="22"/>
              </w:rPr>
              <w:t xml:space="preserve">Penicillium sclerotiorum - </w:t>
            </w:r>
            <w:r w:rsidRPr="005E6B7C">
              <w:rPr>
                <w:rFonts w:asciiTheme="majorHAnsi" w:hAnsiTheme="majorHAnsi" w:cstheme="majorHAnsi"/>
                <w:bCs/>
                <w:i/>
                <w:iCs/>
                <w:color w:val="000000" w:themeColor="text1"/>
                <w:spacing w:val="-6"/>
                <w:sz w:val="22"/>
                <w:szCs w:val="22"/>
              </w:rPr>
              <w:t>Ly Tu Loan, Vo Van Leo, Ma Chi Thanh</w:t>
            </w:r>
          </w:p>
        </w:tc>
      </w:tr>
      <w:tr w:rsidR="00573010" w:rsidRPr="005E6B7C" w14:paraId="4492BFA6"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0242E84B"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67</w:t>
            </w:r>
          </w:p>
        </w:tc>
        <w:tc>
          <w:tcPr>
            <w:tcW w:w="8550" w:type="dxa"/>
            <w:gridSpan w:val="2"/>
            <w:tcBorders>
              <w:top w:val="dotted" w:sz="4" w:space="0" w:color="auto"/>
              <w:left w:val="dotted" w:sz="4" w:space="0" w:color="auto"/>
              <w:bottom w:val="dotted" w:sz="4" w:space="0" w:color="auto"/>
              <w:right w:val="dotted" w:sz="4" w:space="0" w:color="auto"/>
            </w:tcBorders>
            <w:hideMark/>
          </w:tcPr>
          <w:p w14:paraId="5BD63A98" w14:textId="77777777"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bCs/>
                <w:color w:val="000000" w:themeColor="text1"/>
                <w:spacing w:val="-6"/>
                <w:sz w:val="22"/>
                <w:szCs w:val="22"/>
              </w:rPr>
              <w:t xml:space="preserve">Chemical Constituents from the Aerial Parts of </w:t>
            </w:r>
            <w:r w:rsidRPr="005E6B7C">
              <w:rPr>
                <w:rFonts w:asciiTheme="majorHAnsi" w:hAnsiTheme="majorHAnsi" w:cstheme="majorHAnsi"/>
                <w:b/>
                <w:bCs/>
                <w:i/>
                <w:iCs/>
                <w:color w:val="000000" w:themeColor="text1"/>
                <w:spacing w:val="-6"/>
                <w:sz w:val="22"/>
                <w:szCs w:val="22"/>
              </w:rPr>
              <w:t>B</w:t>
            </w:r>
            <w:r w:rsidRPr="005E6B7C">
              <w:rPr>
                <w:rFonts w:asciiTheme="majorHAnsi" w:hAnsiTheme="majorHAnsi" w:cstheme="majorHAnsi"/>
                <w:b/>
                <w:bCs/>
                <w:i/>
                <w:color w:val="000000" w:themeColor="text1"/>
                <w:spacing w:val="-6"/>
                <w:sz w:val="22"/>
                <w:szCs w:val="22"/>
              </w:rPr>
              <w:t>arleria lupulina</w:t>
            </w:r>
            <w:r w:rsidRPr="005E6B7C">
              <w:rPr>
                <w:rFonts w:asciiTheme="majorHAnsi" w:hAnsiTheme="majorHAnsi" w:cstheme="majorHAnsi"/>
                <w:b/>
                <w:bCs/>
                <w:color w:val="000000" w:themeColor="text1"/>
                <w:spacing w:val="-6"/>
                <w:sz w:val="22"/>
                <w:szCs w:val="22"/>
              </w:rPr>
              <w:t xml:space="preserve"> (Acanthaceae) -  </w:t>
            </w:r>
            <w:r w:rsidRPr="005E6B7C">
              <w:rPr>
                <w:rFonts w:asciiTheme="majorHAnsi" w:hAnsiTheme="majorHAnsi" w:cstheme="majorHAnsi"/>
                <w:bCs/>
                <w:i/>
                <w:iCs/>
                <w:color w:val="000000" w:themeColor="text1"/>
                <w:spacing w:val="-6"/>
                <w:sz w:val="22"/>
                <w:szCs w:val="22"/>
              </w:rPr>
              <w:t>Ngo Thi Ngoc Yen, Do Hoang Anh,</w:t>
            </w:r>
            <w:r w:rsidRPr="005E6B7C">
              <w:rPr>
                <w:rFonts w:asciiTheme="majorHAnsi" w:hAnsiTheme="majorHAnsi" w:cstheme="majorHAnsi"/>
                <w:bCs/>
                <w:i/>
                <w:iCs/>
                <w:color w:val="000000" w:themeColor="text1"/>
                <w:spacing w:val="-6"/>
                <w:sz w:val="22"/>
                <w:szCs w:val="22"/>
                <w:vertAlign w:val="superscript"/>
              </w:rPr>
              <w:t xml:space="preserve"> </w:t>
            </w:r>
            <w:r w:rsidRPr="005E6B7C">
              <w:rPr>
                <w:rFonts w:asciiTheme="majorHAnsi" w:hAnsiTheme="majorHAnsi" w:cstheme="majorHAnsi"/>
                <w:bCs/>
                <w:i/>
                <w:iCs/>
                <w:color w:val="000000" w:themeColor="text1"/>
                <w:spacing w:val="-6"/>
                <w:sz w:val="22"/>
                <w:szCs w:val="22"/>
              </w:rPr>
              <w:t>Nguyen Thi Thu, Nguyen Thi Ha Ly, Le Nguyen Thanh, Nguyen Quynh Nga, Dao Viet Quoc, Nguyen Thu Hang, Nguyen Hoang Minh, Nguyen Minh Khoi, Le Tran Nguyen Vu</w:t>
            </w:r>
          </w:p>
        </w:tc>
      </w:tr>
      <w:tr w:rsidR="00573010" w:rsidRPr="005E6B7C" w14:paraId="7AD11163"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4CCF1966"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74</w:t>
            </w:r>
          </w:p>
        </w:tc>
        <w:tc>
          <w:tcPr>
            <w:tcW w:w="8550" w:type="dxa"/>
            <w:gridSpan w:val="2"/>
            <w:tcBorders>
              <w:top w:val="dotted" w:sz="4" w:space="0" w:color="auto"/>
              <w:left w:val="dotted" w:sz="4" w:space="0" w:color="auto"/>
              <w:bottom w:val="dotted" w:sz="4" w:space="0" w:color="auto"/>
              <w:right w:val="dotted" w:sz="4" w:space="0" w:color="auto"/>
            </w:tcBorders>
            <w:hideMark/>
          </w:tcPr>
          <w:p w14:paraId="400E2C94" w14:textId="3808F53D" w:rsidR="00E10C65" w:rsidRPr="005E6B7C" w:rsidRDefault="002D7824" w:rsidP="002D7824">
            <w:pPr>
              <w:spacing w:before="40" w:after="40" w:line="270" w:lineRule="atLeast"/>
              <w:jc w:val="both"/>
              <w:rPr>
                <w:rFonts w:asciiTheme="majorHAnsi" w:hAnsiTheme="majorHAnsi" w:cstheme="majorHAnsi"/>
                <w:b/>
                <w:bCs/>
                <w:color w:val="000000" w:themeColor="text1"/>
                <w:spacing w:val="-6"/>
                <w:sz w:val="22"/>
                <w:szCs w:val="22"/>
              </w:rPr>
            </w:pPr>
            <w:r w:rsidRPr="005E6B7C">
              <w:rPr>
                <w:rFonts w:asciiTheme="majorHAnsi" w:hAnsiTheme="majorHAnsi" w:cstheme="majorHAnsi"/>
                <w:b/>
                <w:bCs/>
                <w:color w:val="000000" w:themeColor="text1"/>
                <w:spacing w:val="-6"/>
                <w:sz w:val="22"/>
                <w:szCs w:val="22"/>
              </w:rPr>
              <w:t>D</w:t>
            </w:r>
            <w:r w:rsidRPr="002D7824">
              <w:rPr>
                <w:rFonts w:asciiTheme="majorHAnsi" w:hAnsiTheme="majorHAnsi" w:cstheme="majorHAnsi"/>
                <w:b/>
                <w:bCs/>
                <w:color w:val="000000" w:themeColor="text1"/>
                <w:spacing w:val="-6"/>
                <w:sz w:val="22"/>
                <w:szCs w:val="22"/>
              </w:rPr>
              <w:t xml:space="preserve">etermination of </w:t>
            </w:r>
            <w:r w:rsidRPr="005E6B7C">
              <w:rPr>
                <w:rFonts w:asciiTheme="majorHAnsi" w:hAnsiTheme="majorHAnsi" w:cstheme="majorHAnsi"/>
                <w:b/>
                <w:bCs/>
                <w:color w:val="000000" w:themeColor="text1"/>
                <w:spacing w:val="-6"/>
                <w:sz w:val="22"/>
                <w:szCs w:val="22"/>
              </w:rPr>
              <w:t>E</w:t>
            </w:r>
            <w:r w:rsidRPr="002D7824">
              <w:rPr>
                <w:rFonts w:asciiTheme="majorHAnsi" w:hAnsiTheme="majorHAnsi" w:cstheme="majorHAnsi"/>
                <w:b/>
                <w:bCs/>
                <w:color w:val="000000" w:themeColor="text1"/>
                <w:spacing w:val="-6"/>
                <w:sz w:val="22"/>
                <w:szCs w:val="22"/>
              </w:rPr>
              <w:t xml:space="preserve">ssential </w:t>
            </w:r>
            <w:r w:rsidRPr="005E6B7C">
              <w:rPr>
                <w:rFonts w:asciiTheme="majorHAnsi" w:hAnsiTheme="majorHAnsi" w:cstheme="majorHAnsi"/>
                <w:b/>
                <w:bCs/>
                <w:color w:val="000000" w:themeColor="text1"/>
                <w:spacing w:val="-6"/>
                <w:sz w:val="22"/>
                <w:szCs w:val="22"/>
              </w:rPr>
              <w:t>O</w:t>
            </w:r>
            <w:r w:rsidRPr="002D7824">
              <w:rPr>
                <w:rFonts w:asciiTheme="majorHAnsi" w:hAnsiTheme="majorHAnsi" w:cstheme="majorHAnsi"/>
                <w:b/>
                <w:bCs/>
                <w:color w:val="000000" w:themeColor="text1"/>
                <w:spacing w:val="-6"/>
                <w:sz w:val="22"/>
                <w:szCs w:val="22"/>
              </w:rPr>
              <w:t xml:space="preserve">il </w:t>
            </w:r>
            <w:r w:rsidRPr="005E6B7C">
              <w:rPr>
                <w:rFonts w:asciiTheme="majorHAnsi" w:hAnsiTheme="majorHAnsi" w:cstheme="majorHAnsi"/>
                <w:b/>
                <w:bCs/>
                <w:color w:val="000000" w:themeColor="text1"/>
                <w:spacing w:val="-6"/>
                <w:sz w:val="22"/>
                <w:szCs w:val="22"/>
              </w:rPr>
              <w:t>C</w:t>
            </w:r>
            <w:r w:rsidRPr="002D7824">
              <w:rPr>
                <w:rFonts w:asciiTheme="majorHAnsi" w:hAnsiTheme="majorHAnsi" w:cstheme="majorHAnsi"/>
                <w:b/>
                <w:bCs/>
                <w:color w:val="000000" w:themeColor="text1"/>
                <w:spacing w:val="-6"/>
                <w:sz w:val="22"/>
                <w:szCs w:val="22"/>
              </w:rPr>
              <w:t>ontent</w:t>
            </w:r>
            <w:r w:rsidRPr="002D7824">
              <w:rPr>
                <w:rFonts w:asciiTheme="majorHAnsi" w:hAnsiTheme="majorHAnsi" w:cstheme="majorHAnsi"/>
                <w:b/>
                <w:bCs/>
                <w:color w:val="000000" w:themeColor="text1"/>
                <w:spacing w:val="-6"/>
                <w:sz w:val="22"/>
                <w:szCs w:val="22"/>
                <w:lang w:val="vi-VN"/>
              </w:rPr>
              <w:t>,</w:t>
            </w:r>
            <w:r w:rsidRPr="005E6B7C">
              <w:rPr>
                <w:rFonts w:asciiTheme="majorHAnsi" w:hAnsiTheme="majorHAnsi" w:cstheme="majorHAnsi"/>
                <w:b/>
                <w:bCs/>
                <w:color w:val="000000" w:themeColor="text1"/>
                <w:spacing w:val="-6"/>
                <w:sz w:val="22"/>
                <w:szCs w:val="22"/>
              </w:rPr>
              <w:t xml:space="preserve"> C</w:t>
            </w:r>
            <w:r w:rsidRPr="002D7824">
              <w:rPr>
                <w:rFonts w:asciiTheme="majorHAnsi" w:hAnsiTheme="majorHAnsi" w:cstheme="majorHAnsi"/>
                <w:b/>
                <w:bCs/>
                <w:color w:val="000000" w:themeColor="text1"/>
                <w:spacing w:val="-6"/>
                <w:sz w:val="22"/>
                <w:szCs w:val="22"/>
              </w:rPr>
              <w:t>omposition,</w:t>
            </w:r>
            <w:r w:rsidRPr="005E6B7C">
              <w:rPr>
                <w:rFonts w:asciiTheme="majorHAnsi" w:hAnsiTheme="majorHAnsi" w:cstheme="majorHAnsi"/>
                <w:b/>
                <w:bCs/>
                <w:color w:val="000000" w:themeColor="text1"/>
                <w:spacing w:val="-6"/>
                <w:sz w:val="22"/>
                <w:szCs w:val="22"/>
              </w:rPr>
              <w:t xml:space="preserve"> </w:t>
            </w:r>
            <w:r w:rsidRPr="002D7824">
              <w:rPr>
                <w:rFonts w:asciiTheme="majorHAnsi" w:hAnsiTheme="majorHAnsi" w:cstheme="majorHAnsi"/>
                <w:b/>
                <w:bCs/>
                <w:color w:val="000000" w:themeColor="text1"/>
                <w:spacing w:val="-6"/>
                <w:sz w:val="22"/>
                <w:szCs w:val="22"/>
              </w:rPr>
              <w:t>and</w:t>
            </w:r>
            <w:r w:rsidRPr="002D7824">
              <w:rPr>
                <w:rFonts w:asciiTheme="majorHAnsi" w:hAnsiTheme="majorHAnsi" w:cstheme="majorHAnsi"/>
                <w:b/>
                <w:bCs/>
                <w:color w:val="000000" w:themeColor="text1"/>
                <w:spacing w:val="-6"/>
                <w:sz w:val="22"/>
                <w:szCs w:val="22"/>
                <w:lang w:val="vi-VN"/>
              </w:rPr>
              <w:t xml:space="preserve"> </w:t>
            </w:r>
            <w:r w:rsidRPr="005E6B7C">
              <w:rPr>
                <w:rFonts w:asciiTheme="majorHAnsi" w:hAnsiTheme="majorHAnsi" w:cstheme="majorHAnsi"/>
                <w:b/>
                <w:bCs/>
                <w:color w:val="000000" w:themeColor="text1"/>
                <w:spacing w:val="-6"/>
                <w:sz w:val="22"/>
                <w:szCs w:val="22"/>
              </w:rPr>
              <w:t>T</w:t>
            </w:r>
            <w:r w:rsidRPr="002D7824">
              <w:rPr>
                <w:rFonts w:asciiTheme="majorHAnsi" w:hAnsiTheme="majorHAnsi" w:cstheme="majorHAnsi"/>
                <w:b/>
                <w:bCs/>
                <w:color w:val="000000" w:themeColor="text1"/>
                <w:spacing w:val="-6"/>
                <w:sz w:val="22"/>
                <w:szCs w:val="22"/>
              </w:rPr>
              <w:t xml:space="preserve">otal </w:t>
            </w:r>
            <w:r w:rsidRPr="005E6B7C">
              <w:rPr>
                <w:rFonts w:asciiTheme="majorHAnsi" w:hAnsiTheme="majorHAnsi" w:cstheme="majorHAnsi"/>
                <w:b/>
                <w:bCs/>
                <w:color w:val="000000" w:themeColor="text1"/>
                <w:spacing w:val="-6"/>
                <w:sz w:val="22"/>
                <w:szCs w:val="22"/>
              </w:rPr>
              <w:t>P</w:t>
            </w:r>
            <w:r w:rsidRPr="002D7824">
              <w:rPr>
                <w:rFonts w:asciiTheme="majorHAnsi" w:hAnsiTheme="majorHAnsi" w:cstheme="majorHAnsi"/>
                <w:b/>
                <w:bCs/>
                <w:color w:val="000000" w:themeColor="text1"/>
                <w:spacing w:val="-6"/>
                <w:sz w:val="22"/>
                <w:szCs w:val="22"/>
              </w:rPr>
              <w:t xml:space="preserve">olyphenol </w:t>
            </w:r>
            <w:r w:rsidRPr="005E6B7C">
              <w:rPr>
                <w:rFonts w:asciiTheme="majorHAnsi" w:hAnsiTheme="majorHAnsi" w:cstheme="majorHAnsi"/>
                <w:b/>
                <w:bCs/>
                <w:color w:val="000000" w:themeColor="text1"/>
                <w:spacing w:val="-6"/>
                <w:sz w:val="22"/>
                <w:szCs w:val="22"/>
              </w:rPr>
              <w:t>C</w:t>
            </w:r>
            <w:r w:rsidRPr="002D7824">
              <w:rPr>
                <w:rFonts w:asciiTheme="majorHAnsi" w:hAnsiTheme="majorHAnsi" w:cstheme="majorHAnsi"/>
                <w:b/>
                <w:bCs/>
                <w:color w:val="000000" w:themeColor="text1"/>
                <w:spacing w:val="-6"/>
                <w:sz w:val="22"/>
                <w:szCs w:val="22"/>
              </w:rPr>
              <w:t>ontent of</w:t>
            </w:r>
            <w:r w:rsidRPr="002D7824">
              <w:rPr>
                <w:rFonts w:asciiTheme="majorHAnsi" w:hAnsiTheme="majorHAnsi" w:cstheme="majorHAnsi"/>
                <w:b/>
                <w:bCs/>
                <w:i/>
                <w:color w:val="000000" w:themeColor="text1"/>
                <w:spacing w:val="-6"/>
                <w:sz w:val="22"/>
                <w:szCs w:val="22"/>
              </w:rPr>
              <w:t xml:space="preserve"> </w:t>
            </w:r>
            <w:r w:rsidRPr="005E6B7C">
              <w:rPr>
                <w:rFonts w:asciiTheme="majorHAnsi" w:hAnsiTheme="majorHAnsi" w:cstheme="majorHAnsi"/>
                <w:b/>
                <w:bCs/>
                <w:i/>
                <w:color w:val="000000" w:themeColor="text1"/>
                <w:spacing w:val="-6"/>
                <w:sz w:val="22"/>
                <w:szCs w:val="22"/>
              </w:rPr>
              <w:t>R</w:t>
            </w:r>
            <w:r w:rsidRPr="002D7824">
              <w:rPr>
                <w:rFonts w:asciiTheme="majorHAnsi" w:hAnsiTheme="majorHAnsi" w:cstheme="majorHAnsi"/>
                <w:b/>
                <w:bCs/>
                <w:i/>
                <w:color w:val="000000" w:themeColor="text1"/>
                <w:spacing w:val="-6"/>
                <w:sz w:val="22"/>
                <w:szCs w:val="22"/>
              </w:rPr>
              <w:t>hizoma homalomenae occultae</w:t>
            </w:r>
            <w:r w:rsidRPr="002D7824">
              <w:rPr>
                <w:rFonts w:asciiTheme="majorHAnsi" w:hAnsiTheme="majorHAnsi" w:cstheme="majorHAnsi"/>
                <w:b/>
                <w:bCs/>
                <w:color w:val="000000" w:themeColor="text1"/>
                <w:spacing w:val="-6"/>
                <w:sz w:val="22"/>
                <w:szCs w:val="22"/>
              </w:rPr>
              <w:t xml:space="preserve"> </w:t>
            </w:r>
            <w:r w:rsidRPr="005E6B7C">
              <w:rPr>
                <w:rFonts w:asciiTheme="majorHAnsi" w:hAnsiTheme="majorHAnsi" w:cstheme="majorHAnsi"/>
                <w:b/>
                <w:bCs/>
                <w:color w:val="000000" w:themeColor="text1"/>
                <w:spacing w:val="-6"/>
                <w:sz w:val="22"/>
                <w:szCs w:val="22"/>
              </w:rPr>
              <w:t>C</w:t>
            </w:r>
            <w:r w:rsidRPr="002D7824">
              <w:rPr>
                <w:rFonts w:asciiTheme="majorHAnsi" w:hAnsiTheme="majorHAnsi" w:cstheme="majorHAnsi"/>
                <w:b/>
                <w:bCs/>
                <w:color w:val="000000" w:themeColor="text1"/>
                <w:spacing w:val="-6"/>
                <w:sz w:val="22"/>
                <w:szCs w:val="22"/>
              </w:rPr>
              <w:t xml:space="preserve">ollected in </w:t>
            </w:r>
            <w:r w:rsidRPr="005E6B7C">
              <w:rPr>
                <w:rFonts w:asciiTheme="majorHAnsi" w:hAnsiTheme="majorHAnsi" w:cstheme="majorHAnsi"/>
                <w:b/>
                <w:bCs/>
                <w:color w:val="000000" w:themeColor="text1"/>
                <w:spacing w:val="-6"/>
                <w:sz w:val="22"/>
                <w:szCs w:val="22"/>
              </w:rPr>
              <w:t>V</w:t>
            </w:r>
            <w:r w:rsidRPr="002D7824">
              <w:rPr>
                <w:rFonts w:asciiTheme="majorHAnsi" w:hAnsiTheme="majorHAnsi" w:cstheme="majorHAnsi"/>
                <w:b/>
                <w:bCs/>
                <w:color w:val="000000" w:themeColor="text1"/>
                <w:spacing w:val="-6"/>
                <w:sz w:val="22"/>
                <w:szCs w:val="22"/>
              </w:rPr>
              <w:t>ietnam</w:t>
            </w:r>
            <w:r w:rsidRPr="005E6B7C">
              <w:rPr>
                <w:rFonts w:asciiTheme="majorHAnsi" w:hAnsiTheme="majorHAnsi" w:cstheme="majorHAnsi"/>
                <w:b/>
                <w:bCs/>
                <w:color w:val="000000" w:themeColor="text1"/>
                <w:spacing w:val="-6"/>
                <w:sz w:val="22"/>
                <w:szCs w:val="22"/>
              </w:rPr>
              <w:t xml:space="preserve"> - </w:t>
            </w:r>
            <w:r w:rsidR="00E10C65" w:rsidRPr="005E6B7C">
              <w:rPr>
                <w:rFonts w:asciiTheme="majorHAnsi" w:hAnsiTheme="majorHAnsi" w:cstheme="majorHAnsi"/>
                <w:bCs/>
                <w:i/>
                <w:iCs/>
                <w:color w:val="000000" w:themeColor="text1"/>
                <w:spacing w:val="-6"/>
                <w:sz w:val="22"/>
                <w:szCs w:val="22"/>
              </w:rPr>
              <w:t>Nguyen Thi Ha Ly, Pham Thi Hien, Ngo Thi Thanh Huong, Hoang Dieu Linh, Tran Huyen Trang, Nguyen Minh Khoi</w:t>
            </w:r>
          </w:p>
        </w:tc>
      </w:tr>
      <w:tr w:rsidR="00573010" w:rsidRPr="005E6B7C" w14:paraId="22B3CAAE"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41950B2F"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80</w:t>
            </w:r>
          </w:p>
        </w:tc>
        <w:tc>
          <w:tcPr>
            <w:tcW w:w="8550" w:type="dxa"/>
            <w:gridSpan w:val="2"/>
            <w:tcBorders>
              <w:top w:val="dotted" w:sz="4" w:space="0" w:color="auto"/>
              <w:left w:val="dotted" w:sz="4" w:space="0" w:color="auto"/>
              <w:bottom w:val="dotted" w:sz="4" w:space="0" w:color="auto"/>
              <w:right w:val="dotted" w:sz="4" w:space="0" w:color="auto"/>
            </w:tcBorders>
            <w:hideMark/>
          </w:tcPr>
          <w:p w14:paraId="0DDAEC9C" w14:textId="77777777"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E</w:t>
            </w:r>
            <w:r w:rsidRPr="005E6B7C">
              <w:rPr>
                <w:rFonts w:asciiTheme="majorHAnsi" w:eastAsia="MS Mincho" w:hAnsiTheme="majorHAnsi" w:cstheme="majorHAnsi"/>
                <w:b/>
                <w:color w:val="000000" w:themeColor="text1"/>
                <w:spacing w:val="-6"/>
                <w:sz w:val="22"/>
                <w:szCs w:val="22"/>
              </w:rPr>
              <w:t xml:space="preserve">stablishment of an </w:t>
            </w:r>
            <w:r w:rsidRPr="005E6B7C">
              <w:rPr>
                <w:rFonts w:asciiTheme="majorHAnsi" w:hAnsiTheme="majorHAnsi" w:cstheme="majorHAnsi"/>
                <w:b/>
                <w:color w:val="000000" w:themeColor="text1"/>
                <w:spacing w:val="-6"/>
                <w:sz w:val="22"/>
                <w:szCs w:val="22"/>
              </w:rPr>
              <w:t>I</w:t>
            </w:r>
            <w:r w:rsidRPr="005E6B7C">
              <w:rPr>
                <w:rFonts w:asciiTheme="majorHAnsi" w:eastAsia="MS Mincho" w:hAnsiTheme="majorHAnsi" w:cstheme="majorHAnsi"/>
                <w:b/>
                <w:color w:val="000000" w:themeColor="text1"/>
                <w:spacing w:val="-6"/>
                <w:sz w:val="22"/>
                <w:szCs w:val="22"/>
              </w:rPr>
              <w:t>n-</w:t>
            </w:r>
            <w:r w:rsidRPr="005E6B7C">
              <w:rPr>
                <w:rFonts w:asciiTheme="majorHAnsi" w:hAnsiTheme="majorHAnsi" w:cstheme="majorHAnsi"/>
                <w:b/>
                <w:color w:val="000000" w:themeColor="text1"/>
                <w:spacing w:val="-6"/>
                <w:sz w:val="22"/>
                <w:szCs w:val="22"/>
              </w:rPr>
              <w:t>H</w:t>
            </w:r>
            <w:r w:rsidRPr="005E6B7C">
              <w:rPr>
                <w:rFonts w:asciiTheme="majorHAnsi" w:eastAsia="MS Mincho" w:hAnsiTheme="majorHAnsi" w:cstheme="majorHAnsi"/>
                <w:b/>
                <w:color w:val="000000" w:themeColor="text1"/>
                <w:spacing w:val="-6"/>
                <w:sz w:val="22"/>
                <w:szCs w:val="22"/>
              </w:rPr>
              <w:t xml:space="preserve">ouse </w:t>
            </w:r>
            <w:r w:rsidRPr="005E6B7C">
              <w:rPr>
                <w:rFonts w:asciiTheme="majorHAnsi" w:hAnsiTheme="majorHAnsi" w:cstheme="majorHAnsi"/>
                <w:b/>
                <w:color w:val="000000" w:themeColor="text1"/>
                <w:spacing w:val="-6"/>
                <w:sz w:val="22"/>
                <w:szCs w:val="22"/>
              </w:rPr>
              <w:t>S</w:t>
            </w:r>
            <w:r w:rsidRPr="005E6B7C">
              <w:rPr>
                <w:rFonts w:asciiTheme="majorHAnsi" w:eastAsia="MS Mincho" w:hAnsiTheme="majorHAnsi" w:cstheme="majorHAnsi"/>
                <w:b/>
                <w:color w:val="000000" w:themeColor="text1"/>
                <w:spacing w:val="-6"/>
                <w:sz w:val="22"/>
                <w:szCs w:val="22"/>
              </w:rPr>
              <w:t xml:space="preserve">tandard for </w:t>
            </w:r>
            <w:r w:rsidRPr="005E6B7C">
              <w:rPr>
                <w:rFonts w:asciiTheme="majorHAnsi" w:hAnsiTheme="majorHAnsi" w:cstheme="majorHAnsi"/>
                <w:b/>
                <w:i/>
                <w:iCs/>
                <w:color w:val="000000" w:themeColor="text1"/>
                <w:spacing w:val="-6"/>
                <w:sz w:val="22"/>
                <w:szCs w:val="22"/>
              </w:rPr>
              <w:t>P</w:t>
            </w:r>
            <w:r w:rsidRPr="005E6B7C">
              <w:rPr>
                <w:rFonts w:asciiTheme="majorHAnsi" w:eastAsia="MS Mincho" w:hAnsiTheme="majorHAnsi" w:cstheme="majorHAnsi"/>
                <w:b/>
                <w:i/>
                <w:color w:val="000000" w:themeColor="text1"/>
                <w:spacing w:val="-6"/>
                <w:sz w:val="22"/>
                <w:szCs w:val="22"/>
              </w:rPr>
              <w:t xml:space="preserve">runellae spica </w:t>
            </w:r>
            <w:r w:rsidRPr="005E6B7C">
              <w:rPr>
                <w:rFonts w:asciiTheme="majorHAnsi" w:hAnsiTheme="majorHAnsi" w:cstheme="majorHAnsi"/>
                <w:b/>
                <w:i/>
                <w:color w:val="000000" w:themeColor="text1"/>
                <w:spacing w:val="-6"/>
                <w:sz w:val="22"/>
                <w:szCs w:val="22"/>
              </w:rPr>
              <w:t xml:space="preserve">- </w:t>
            </w:r>
            <w:r w:rsidRPr="005E6B7C">
              <w:rPr>
                <w:rFonts w:asciiTheme="majorHAnsi" w:hAnsiTheme="majorHAnsi" w:cstheme="majorHAnsi"/>
                <w:i/>
                <w:color w:val="000000" w:themeColor="text1"/>
                <w:spacing w:val="-6"/>
                <w:sz w:val="22"/>
                <w:szCs w:val="22"/>
              </w:rPr>
              <w:t>Tran Huyen Trang, Pham Thi Hien, Nguyen Thi Ha Ly, Phan Van Truong, Vu Thi Diep, Nguyen Tra My, Nguyen Thi Hang, Nguyen Duong Hong Anh, Do Thi Ha</w:t>
            </w:r>
          </w:p>
        </w:tc>
      </w:tr>
      <w:tr w:rsidR="00573010" w:rsidRPr="005E6B7C" w14:paraId="64DD1D8A"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66733CEA"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88</w:t>
            </w:r>
          </w:p>
        </w:tc>
        <w:tc>
          <w:tcPr>
            <w:tcW w:w="8550" w:type="dxa"/>
            <w:gridSpan w:val="2"/>
            <w:tcBorders>
              <w:top w:val="dotted" w:sz="4" w:space="0" w:color="auto"/>
              <w:left w:val="dotted" w:sz="4" w:space="0" w:color="auto"/>
              <w:bottom w:val="dotted" w:sz="4" w:space="0" w:color="auto"/>
              <w:right w:val="dotted" w:sz="4" w:space="0" w:color="auto"/>
            </w:tcBorders>
            <w:hideMark/>
          </w:tcPr>
          <w:p w14:paraId="6DF4D6B0" w14:textId="77777777" w:rsidR="00E10C65" w:rsidRPr="005E6B7C" w:rsidRDefault="00E10C65" w:rsidP="008C0D47">
            <w:pPr>
              <w:spacing w:before="40" w:after="40" w:line="270" w:lineRule="atLeast"/>
              <w:jc w:val="both"/>
              <w:rPr>
                <w:rFonts w:asciiTheme="majorHAnsi" w:eastAsia="Times New Roman" w:hAnsiTheme="majorHAnsi" w:cstheme="majorHAnsi"/>
                <w:b/>
                <w:color w:val="000000" w:themeColor="text1"/>
                <w:spacing w:val="-6"/>
                <w:sz w:val="22"/>
                <w:szCs w:val="22"/>
              </w:rPr>
            </w:pPr>
            <w:r w:rsidRPr="005E6B7C">
              <w:rPr>
                <w:rFonts w:asciiTheme="majorHAnsi" w:eastAsia="Times New Roman" w:hAnsiTheme="majorHAnsi" w:cstheme="majorHAnsi"/>
                <w:b/>
                <w:color w:val="000000" w:themeColor="text1"/>
                <w:spacing w:val="-6"/>
                <w:sz w:val="22"/>
                <w:szCs w:val="22"/>
              </w:rPr>
              <w:t>HPTLC Scanner Method for the Simultaneous Determination of L</w:t>
            </w:r>
            <w:r w:rsidRPr="005E6B7C">
              <w:rPr>
                <w:rFonts w:asciiTheme="majorHAnsi" w:eastAsia="Times New Roman" w:hAnsiTheme="majorHAnsi" w:cstheme="majorHAnsi"/>
                <w:b/>
                <w:bCs/>
                <w:color w:val="000000" w:themeColor="text1"/>
                <w:spacing w:val="-6"/>
                <w:sz w:val="22"/>
                <w:szCs w:val="22"/>
              </w:rPr>
              <w:t xml:space="preserve">ycopene and </w:t>
            </w:r>
            <w:r w:rsidRPr="005E6B7C">
              <w:rPr>
                <w:rFonts w:asciiTheme="majorHAnsi" w:eastAsia="Times New Roman" w:hAnsiTheme="majorHAnsi" w:cstheme="majorHAnsi"/>
                <w:b/>
                <w:bCs/>
                <w:i/>
                <w:color w:val="000000" w:themeColor="text1"/>
                <w:spacing w:val="-6"/>
                <w:sz w:val="22"/>
                <w:szCs w:val="22"/>
              </w:rPr>
              <w:t>β</w:t>
            </w:r>
            <w:r w:rsidRPr="005E6B7C">
              <w:rPr>
                <w:rFonts w:asciiTheme="majorHAnsi" w:eastAsia="Times New Roman" w:hAnsiTheme="majorHAnsi" w:cstheme="majorHAnsi"/>
                <w:b/>
                <w:bCs/>
                <w:color w:val="000000" w:themeColor="text1"/>
                <w:spacing w:val="-6"/>
                <w:sz w:val="22"/>
                <w:szCs w:val="22"/>
              </w:rPr>
              <w:t xml:space="preserve">-Carotene in Gac Seed Aril - </w:t>
            </w:r>
            <w:r w:rsidRPr="005E6B7C">
              <w:rPr>
                <w:rFonts w:asciiTheme="majorHAnsi" w:eastAsia="Times New Roman" w:hAnsiTheme="majorHAnsi" w:cstheme="majorHAnsi"/>
                <w:i/>
                <w:iCs/>
                <w:color w:val="000000" w:themeColor="text1"/>
                <w:spacing w:val="-6"/>
                <w:sz w:val="22"/>
                <w:szCs w:val="22"/>
              </w:rPr>
              <w:t>Pham Thi Hien, Pham Thi Khuyen, Nguyen Thi Hang, Nguyen Thi Lan Hoa, Ta Thi Thao, Do Thi Ha, Nguyen Thi Ha Ly</w:t>
            </w:r>
          </w:p>
        </w:tc>
      </w:tr>
      <w:tr w:rsidR="00573010" w:rsidRPr="005E6B7C" w14:paraId="699ADA92"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11C31DDD"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96</w:t>
            </w:r>
          </w:p>
        </w:tc>
        <w:tc>
          <w:tcPr>
            <w:tcW w:w="8550" w:type="dxa"/>
            <w:gridSpan w:val="2"/>
            <w:tcBorders>
              <w:top w:val="dotted" w:sz="4" w:space="0" w:color="auto"/>
              <w:left w:val="dotted" w:sz="4" w:space="0" w:color="auto"/>
              <w:bottom w:val="dotted" w:sz="4" w:space="0" w:color="auto"/>
              <w:right w:val="dotted" w:sz="4" w:space="0" w:color="auto"/>
            </w:tcBorders>
            <w:hideMark/>
          </w:tcPr>
          <w:p w14:paraId="055D5BE4" w14:textId="77777777"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bCs/>
                <w:color w:val="000000" w:themeColor="text1"/>
                <w:spacing w:val="-6"/>
                <w:sz w:val="22"/>
                <w:szCs w:val="22"/>
              </w:rPr>
              <w:t>Optimization of the Extraction Process from Yellow Camellia Flowers (</w:t>
            </w:r>
            <w:r w:rsidRPr="005E6B7C">
              <w:rPr>
                <w:rFonts w:asciiTheme="majorHAnsi" w:hAnsiTheme="majorHAnsi" w:cstheme="majorHAnsi"/>
                <w:b/>
                <w:bCs/>
                <w:i/>
                <w:iCs/>
                <w:color w:val="000000" w:themeColor="text1"/>
                <w:spacing w:val="-6"/>
                <w:sz w:val="22"/>
                <w:szCs w:val="22"/>
              </w:rPr>
              <w:t>Camellia cucphuongensis</w:t>
            </w:r>
            <w:r w:rsidRPr="005E6B7C">
              <w:rPr>
                <w:rFonts w:asciiTheme="majorHAnsi" w:hAnsiTheme="majorHAnsi" w:cstheme="majorHAnsi"/>
                <w:b/>
                <w:bCs/>
                <w:color w:val="000000" w:themeColor="text1"/>
                <w:spacing w:val="-6"/>
                <w:sz w:val="22"/>
                <w:szCs w:val="22"/>
              </w:rPr>
              <w:t xml:space="preserve"> Ninh &amp; Rosmann) Collected in Phu Tho Province Using Response Surface Methodology - </w:t>
            </w:r>
            <w:r w:rsidRPr="005E6B7C">
              <w:rPr>
                <w:rFonts w:asciiTheme="majorHAnsi" w:hAnsiTheme="majorHAnsi" w:cstheme="majorHAnsi"/>
                <w:bCs/>
                <w:i/>
                <w:iCs/>
                <w:color w:val="000000" w:themeColor="text1"/>
                <w:spacing w:val="-6"/>
                <w:sz w:val="22"/>
                <w:szCs w:val="22"/>
              </w:rPr>
              <w:t>Nguyen Hoang Viet, Nguyen Dinh Quan, Do Duc Nhuan, Nguyen Duong Hong Anh, Tran Thi Mai Anh, Doan Van Nghia, Vu Xuan Hoa, Dang Mai Thien Ha, Nguyen Thanh Cong</w:t>
            </w:r>
          </w:p>
        </w:tc>
      </w:tr>
      <w:tr w:rsidR="00573010" w:rsidRPr="005E6B7C" w14:paraId="765C7B81"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74BFFB56"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105</w:t>
            </w:r>
          </w:p>
        </w:tc>
        <w:tc>
          <w:tcPr>
            <w:tcW w:w="8550" w:type="dxa"/>
            <w:gridSpan w:val="2"/>
            <w:tcBorders>
              <w:top w:val="dotted" w:sz="4" w:space="0" w:color="auto"/>
              <w:left w:val="dotted" w:sz="4" w:space="0" w:color="auto"/>
              <w:bottom w:val="dotted" w:sz="4" w:space="0" w:color="auto"/>
              <w:right w:val="dotted" w:sz="4" w:space="0" w:color="auto"/>
            </w:tcBorders>
            <w:hideMark/>
          </w:tcPr>
          <w:p w14:paraId="041A0C74" w14:textId="77777777" w:rsidR="00E10C65" w:rsidRPr="005E6B7C" w:rsidRDefault="00E10C65" w:rsidP="008C0D47">
            <w:pPr>
              <w:spacing w:before="40" w:after="40" w:line="270" w:lineRule="atLeast"/>
              <w:jc w:val="both"/>
              <w:rPr>
                <w:rFonts w:asciiTheme="majorHAnsi" w:hAnsiTheme="majorHAnsi" w:cstheme="majorHAnsi"/>
                <w:b/>
                <w:color w:val="000000" w:themeColor="text1"/>
                <w:spacing w:val="-6"/>
                <w:sz w:val="22"/>
                <w:szCs w:val="22"/>
              </w:rPr>
            </w:pPr>
            <w:r w:rsidRPr="005E6B7C">
              <w:rPr>
                <w:rFonts w:asciiTheme="majorHAnsi" w:hAnsiTheme="majorHAnsi" w:cstheme="majorHAnsi"/>
                <w:b/>
                <w:color w:val="000000" w:themeColor="text1"/>
                <w:spacing w:val="-6"/>
                <w:sz w:val="22"/>
                <w:szCs w:val="22"/>
              </w:rPr>
              <w:t xml:space="preserve">Antioxidant, Antihyperglycemic, and Renal Protective Effects of </w:t>
            </w:r>
            <w:r w:rsidRPr="005E6B7C">
              <w:rPr>
                <w:rFonts w:asciiTheme="majorHAnsi" w:hAnsiTheme="majorHAnsi" w:cstheme="majorHAnsi"/>
                <w:b/>
                <w:i/>
                <w:iCs/>
                <w:color w:val="000000" w:themeColor="text1"/>
                <w:spacing w:val="-6"/>
                <w:sz w:val="22"/>
                <w:szCs w:val="22"/>
              </w:rPr>
              <w:t>H</w:t>
            </w:r>
            <w:r w:rsidRPr="005E6B7C">
              <w:rPr>
                <w:rFonts w:asciiTheme="majorHAnsi" w:hAnsiTheme="majorHAnsi" w:cstheme="majorHAnsi"/>
                <w:b/>
                <w:i/>
                <w:color w:val="000000" w:themeColor="text1"/>
                <w:spacing w:val="-6"/>
                <w:sz w:val="22"/>
                <w:szCs w:val="22"/>
              </w:rPr>
              <w:t>ibiscus tiliaceus</w:t>
            </w:r>
            <w:r w:rsidRPr="005E6B7C">
              <w:rPr>
                <w:rFonts w:asciiTheme="majorHAnsi" w:hAnsiTheme="majorHAnsi" w:cstheme="majorHAnsi"/>
                <w:b/>
                <w:color w:val="000000" w:themeColor="text1"/>
                <w:spacing w:val="-6"/>
                <w:sz w:val="22"/>
                <w:szCs w:val="22"/>
              </w:rPr>
              <w:t xml:space="preserve"> L. Leaf Extract on Streptozotocin-Induced Hyperglycemia - </w:t>
            </w:r>
            <w:r w:rsidRPr="005E6B7C">
              <w:rPr>
                <w:rFonts w:asciiTheme="majorHAnsi" w:hAnsiTheme="majorHAnsi" w:cstheme="majorHAnsi"/>
                <w:i/>
                <w:color w:val="000000" w:themeColor="text1"/>
                <w:spacing w:val="-6"/>
                <w:sz w:val="22"/>
                <w:szCs w:val="22"/>
              </w:rPr>
              <w:t>Nguyen Thi Thu Huong, Nhieu Chinh Hoang, Nguyen Hoang Minh</w:t>
            </w:r>
          </w:p>
        </w:tc>
      </w:tr>
      <w:tr w:rsidR="00573010" w:rsidRPr="005E6B7C" w14:paraId="1F57FE32"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54FAFB00"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113</w:t>
            </w:r>
          </w:p>
        </w:tc>
        <w:tc>
          <w:tcPr>
            <w:tcW w:w="8550" w:type="dxa"/>
            <w:gridSpan w:val="2"/>
            <w:tcBorders>
              <w:top w:val="dotted" w:sz="4" w:space="0" w:color="auto"/>
              <w:left w:val="dotted" w:sz="4" w:space="0" w:color="auto"/>
              <w:bottom w:val="dotted" w:sz="4" w:space="0" w:color="auto"/>
              <w:right w:val="dotted" w:sz="4" w:space="0" w:color="auto"/>
            </w:tcBorders>
            <w:hideMark/>
          </w:tcPr>
          <w:p w14:paraId="3B7C01A6" w14:textId="4AB4FF60" w:rsidR="00E10C65" w:rsidRPr="005E6B7C" w:rsidRDefault="00E10C65" w:rsidP="008C0D47">
            <w:pPr>
              <w:spacing w:before="40" w:after="40" w:line="270" w:lineRule="atLeast"/>
              <w:jc w:val="both"/>
              <w:rPr>
                <w:rFonts w:asciiTheme="majorHAnsi" w:eastAsia="Times New Roman" w:hAnsiTheme="majorHAnsi" w:cstheme="majorHAnsi"/>
                <w:b/>
                <w:iCs/>
                <w:color w:val="000000" w:themeColor="text1"/>
                <w:spacing w:val="-6"/>
                <w:sz w:val="22"/>
                <w:szCs w:val="22"/>
              </w:rPr>
            </w:pPr>
            <w:r w:rsidRPr="005E6B7C">
              <w:rPr>
                <w:rFonts w:asciiTheme="majorHAnsi" w:hAnsiTheme="majorHAnsi" w:cstheme="majorHAnsi"/>
                <w:b/>
                <w:bCs/>
                <w:color w:val="000000" w:themeColor="text1"/>
                <w:spacing w:val="-6"/>
                <w:sz w:val="22"/>
                <w:szCs w:val="22"/>
              </w:rPr>
              <w:t>Acute Oral Toxicity and Laxative Effect</w:t>
            </w:r>
            <w:r w:rsidR="002D7824" w:rsidRPr="005E6B7C">
              <w:rPr>
                <w:rFonts w:asciiTheme="majorHAnsi" w:hAnsiTheme="majorHAnsi" w:cstheme="majorHAnsi"/>
                <w:b/>
                <w:bCs/>
                <w:color w:val="000000" w:themeColor="text1"/>
                <w:spacing w:val="-6"/>
                <w:sz w:val="22"/>
                <w:szCs w:val="22"/>
              </w:rPr>
              <w:t>s</w:t>
            </w:r>
            <w:r w:rsidRPr="005E6B7C">
              <w:rPr>
                <w:rFonts w:asciiTheme="majorHAnsi" w:hAnsiTheme="majorHAnsi" w:cstheme="majorHAnsi"/>
                <w:b/>
                <w:bCs/>
                <w:color w:val="000000" w:themeColor="text1"/>
                <w:spacing w:val="-6"/>
                <w:sz w:val="22"/>
                <w:szCs w:val="22"/>
              </w:rPr>
              <w:t xml:space="preserve"> of </w:t>
            </w:r>
            <w:r w:rsidRPr="005E6B7C">
              <w:rPr>
                <w:rFonts w:asciiTheme="majorHAnsi" w:hAnsiTheme="majorHAnsi" w:cstheme="majorHAnsi"/>
                <w:b/>
                <w:bCs/>
                <w:i/>
                <w:iCs/>
                <w:color w:val="000000" w:themeColor="text1"/>
                <w:spacing w:val="-6"/>
                <w:sz w:val="22"/>
                <w:szCs w:val="22"/>
              </w:rPr>
              <w:t>Pharbitis nil</w:t>
            </w:r>
            <w:r w:rsidRPr="005E6B7C">
              <w:rPr>
                <w:rFonts w:asciiTheme="majorHAnsi" w:hAnsiTheme="majorHAnsi" w:cstheme="majorHAnsi"/>
                <w:b/>
                <w:bCs/>
                <w:color w:val="000000" w:themeColor="text1"/>
                <w:spacing w:val="-6"/>
                <w:sz w:val="22"/>
                <w:szCs w:val="22"/>
              </w:rPr>
              <w:t xml:space="preserve"> (L.) Choisy Seed Extract - </w:t>
            </w:r>
            <w:r w:rsidRPr="005E6B7C">
              <w:rPr>
                <w:rFonts w:asciiTheme="majorHAnsi" w:hAnsiTheme="majorHAnsi" w:cstheme="majorHAnsi"/>
                <w:i/>
                <w:iCs/>
                <w:color w:val="000000" w:themeColor="text1"/>
                <w:spacing w:val="-6"/>
                <w:sz w:val="22"/>
                <w:szCs w:val="22"/>
              </w:rPr>
              <w:t xml:space="preserve">Nguyen Thi Kim Oanh, Tran Vien Thong, Truong Huy Hieu, Ly Hai Trieu, </w:t>
            </w:r>
            <w:r w:rsidR="0044085B" w:rsidRPr="005E6B7C">
              <w:rPr>
                <w:rFonts w:asciiTheme="majorHAnsi" w:hAnsiTheme="majorHAnsi" w:cstheme="majorHAnsi"/>
                <w:i/>
                <w:iCs/>
                <w:color w:val="000000" w:themeColor="text1"/>
                <w:spacing w:val="-6"/>
                <w:sz w:val="22"/>
                <w:szCs w:val="22"/>
              </w:rPr>
              <w:t>Pham Thi Nguyet Hang</w:t>
            </w:r>
            <w:r w:rsidRPr="005E6B7C">
              <w:rPr>
                <w:rFonts w:asciiTheme="majorHAnsi" w:hAnsiTheme="majorHAnsi" w:cstheme="majorHAnsi"/>
                <w:i/>
                <w:iCs/>
                <w:caps/>
                <w:color w:val="000000" w:themeColor="text1"/>
                <w:spacing w:val="-6"/>
                <w:sz w:val="22"/>
                <w:szCs w:val="22"/>
              </w:rPr>
              <w:t>,</w:t>
            </w:r>
            <w:r w:rsidRPr="005E6B7C">
              <w:rPr>
                <w:rFonts w:asciiTheme="majorHAnsi" w:hAnsiTheme="majorHAnsi" w:cstheme="majorHAnsi"/>
                <w:i/>
                <w:iCs/>
                <w:color w:val="000000" w:themeColor="text1"/>
                <w:spacing w:val="-6"/>
                <w:sz w:val="22"/>
                <w:szCs w:val="22"/>
              </w:rPr>
              <w:t xml:space="preserve"> </w:t>
            </w:r>
            <w:r w:rsidRPr="005E6B7C">
              <w:rPr>
                <w:rFonts w:asciiTheme="majorHAnsi" w:hAnsiTheme="majorHAnsi" w:cstheme="majorHAnsi"/>
                <w:i/>
                <w:color w:val="000000" w:themeColor="text1"/>
                <w:spacing w:val="-6"/>
                <w:sz w:val="22"/>
                <w:szCs w:val="22"/>
              </w:rPr>
              <w:t xml:space="preserve">Nguyen Thi Vinh Hue, </w:t>
            </w:r>
            <w:r w:rsidRPr="005E6B7C">
              <w:rPr>
                <w:rFonts w:asciiTheme="majorHAnsi" w:hAnsiTheme="majorHAnsi" w:cstheme="majorHAnsi"/>
                <w:i/>
                <w:iCs/>
                <w:color w:val="000000" w:themeColor="text1"/>
                <w:spacing w:val="-6"/>
                <w:sz w:val="22"/>
                <w:szCs w:val="22"/>
              </w:rPr>
              <w:t>Do Thi Ha</w:t>
            </w:r>
          </w:p>
        </w:tc>
      </w:tr>
      <w:tr w:rsidR="00573010" w:rsidRPr="005E6B7C" w14:paraId="4A3543CD"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0DBF832F"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123</w:t>
            </w:r>
          </w:p>
        </w:tc>
        <w:tc>
          <w:tcPr>
            <w:tcW w:w="8550" w:type="dxa"/>
            <w:gridSpan w:val="2"/>
            <w:tcBorders>
              <w:top w:val="dotted" w:sz="4" w:space="0" w:color="auto"/>
              <w:left w:val="dotted" w:sz="4" w:space="0" w:color="auto"/>
              <w:bottom w:val="dotted" w:sz="4" w:space="0" w:color="auto"/>
              <w:right w:val="dotted" w:sz="4" w:space="0" w:color="auto"/>
            </w:tcBorders>
            <w:hideMark/>
          </w:tcPr>
          <w:p w14:paraId="07184C56" w14:textId="2E2F568A"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bCs/>
                <w:color w:val="000000" w:themeColor="text1"/>
                <w:spacing w:val="-6"/>
                <w:sz w:val="22"/>
                <w:szCs w:val="22"/>
              </w:rPr>
              <w:t xml:space="preserve">Evaluation of Memory-Enhancing Effects of </w:t>
            </w:r>
            <w:r w:rsidRPr="005E6B7C">
              <w:rPr>
                <w:rFonts w:asciiTheme="majorHAnsi" w:hAnsiTheme="majorHAnsi" w:cstheme="majorHAnsi"/>
                <w:b/>
                <w:bCs/>
                <w:i/>
                <w:iCs/>
                <w:color w:val="000000" w:themeColor="text1"/>
                <w:spacing w:val="-6"/>
                <w:sz w:val="22"/>
                <w:szCs w:val="22"/>
              </w:rPr>
              <w:t>Morinda officinalis</w:t>
            </w:r>
            <w:r w:rsidRPr="005E6B7C">
              <w:rPr>
                <w:rFonts w:asciiTheme="majorHAnsi" w:hAnsiTheme="majorHAnsi" w:cstheme="majorHAnsi"/>
                <w:b/>
                <w:bCs/>
                <w:color w:val="000000" w:themeColor="text1"/>
                <w:spacing w:val="-6"/>
                <w:sz w:val="22"/>
                <w:szCs w:val="22"/>
              </w:rPr>
              <w:t xml:space="preserve"> How. Root Extracts in a Transgenic </w:t>
            </w:r>
            <w:r w:rsidR="002D7824" w:rsidRPr="005E6B7C">
              <w:rPr>
                <w:rFonts w:asciiTheme="majorHAnsi" w:hAnsiTheme="majorHAnsi" w:cstheme="majorHAnsi"/>
                <w:b/>
                <w:bCs/>
                <w:i/>
                <w:iCs/>
                <w:color w:val="000000" w:themeColor="text1"/>
                <w:spacing w:val="-6"/>
                <w:sz w:val="22"/>
                <w:szCs w:val="22"/>
              </w:rPr>
              <w:t>hAPP</w:t>
            </w:r>
            <w:r w:rsidRPr="005E6B7C">
              <w:rPr>
                <w:rFonts w:asciiTheme="majorHAnsi" w:hAnsiTheme="majorHAnsi" w:cstheme="majorHAnsi"/>
                <w:b/>
                <w:bCs/>
                <w:i/>
                <w:iCs/>
                <w:color w:val="000000" w:themeColor="text1"/>
                <w:spacing w:val="-6"/>
                <w:sz w:val="22"/>
                <w:szCs w:val="22"/>
              </w:rPr>
              <w:t xml:space="preserve"> Drosophila</w:t>
            </w:r>
            <w:r w:rsidRPr="005E6B7C">
              <w:rPr>
                <w:rFonts w:asciiTheme="majorHAnsi" w:hAnsiTheme="majorHAnsi" w:cstheme="majorHAnsi"/>
                <w:b/>
                <w:bCs/>
                <w:color w:val="000000" w:themeColor="text1"/>
                <w:spacing w:val="-6"/>
                <w:sz w:val="22"/>
                <w:szCs w:val="22"/>
              </w:rPr>
              <w:t xml:space="preserve"> Model of Alzheimer’s Disease - </w:t>
            </w:r>
            <w:r w:rsidRPr="005E6B7C">
              <w:rPr>
                <w:rFonts w:asciiTheme="majorHAnsi" w:hAnsiTheme="majorHAnsi" w:cstheme="majorHAnsi"/>
                <w:i/>
                <w:iCs/>
                <w:color w:val="000000" w:themeColor="text1"/>
                <w:spacing w:val="-6"/>
                <w:sz w:val="22"/>
                <w:szCs w:val="22"/>
              </w:rPr>
              <w:t>Nguyen Van Hiep, Pham Thi Nguyet Hang, Trinh Dinh Luc, Leu Khanh Duy, Pham Anh Tung, Nguyen Thi Phuong, Nguyen Van Tai</w:t>
            </w:r>
          </w:p>
        </w:tc>
      </w:tr>
      <w:tr w:rsidR="00573010" w:rsidRPr="005E6B7C" w14:paraId="36766780"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7876F107"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131</w:t>
            </w:r>
          </w:p>
        </w:tc>
        <w:tc>
          <w:tcPr>
            <w:tcW w:w="8550" w:type="dxa"/>
            <w:gridSpan w:val="2"/>
            <w:tcBorders>
              <w:top w:val="dotted" w:sz="4" w:space="0" w:color="auto"/>
              <w:left w:val="dotted" w:sz="4" w:space="0" w:color="auto"/>
              <w:bottom w:val="dotted" w:sz="4" w:space="0" w:color="auto"/>
              <w:right w:val="dotted" w:sz="4" w:space="0" w:color="auto"/>
            </w:tcBorders>
            <w:hideMark/>
          </w:tcPr>
          <w:p w14:paraId="0609866B" w14:textId="77777777"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A</w:t>
            </w:r>
            <w:r w:rsidRPr="005E6B7C">
              <w:rPr>
                <w:rFonts w:asciiTheme="majorHAnsi" w:hAnsiTheme="majorHAnsi" w:cstheme="majorHAnsi"/>
                <w:b/>
                <w:color w:val="000000" w:themeColor="text1"/>
                <w:spacing w:val="-6"/>
                <w:sz w:val="22"/>
                <w:szCs w:val="22"/>
                <w:lang w:val="vi-VN"/>
              </w:rPr>
              <w:t>nti-</w:t>
            </w:r>
            <w:r w:rsidRPr="005E6B7C">
              <w:rPr>
                <w:rFonts w:asciiTheme="majorHAnsi" w:hAnsiTheme="majorHAnsi" w:cstheme="majorHAnsi"/>
                <w:b/>
                <w:color w:val="000000" w:themeColor="text1"/>
                <w:spacing w:val="-6"/>
                <w:sz w:val="22"/>
                <w:szCs w:val="22"/>
              </w:rPr>
              <w:t>I</w:t>
            </w:r>
            <w:r w:rsidRPr="005E6B7C">
              <w:rPr>
                <w:rFonts w:asciiTheme="majorHAnsi" w:hAnsiTheme="majorHAnsi" w:cstheme="majorHAnsi"/>
                <w:b/>
                <w:color w:val="000000" w:themeColor="text1"/>
                <w:spacing w:val="-6"/>
                <w:sz w:val="22"/>
                <w:szCs w:val="22"/>
                <w:lang w:val="vi-VN"/>
              </w:rPr>
              <w:t xml:space="preserve">nflammatory </w:t>
            </w:r>
            <w:r w:rsidRPr="005E6B7C">
              <w:rPr>
                <w:rFonts w:asciiTheme="majorHAnsi" w:hAnsiTheme="majorHAnsi" w:cstheme="majorHAnsi"/>
                <w:b/>
                <w:color w:val="000000" w:themeColor="text1"/>
                <w:spacing w:val="-6"/>
                <w:sz w:val="22"/>
                <w:szCs w:val="22"/>
              </w:rPr>
              <w:t>E</w:t>
            </w:r>
            <w:r w:rsidRPr="005E6B7C">
              <w:rPr>
                <w:rFonts w:asciiTheme="majorHAnsi" w:hAnsiTheme="majorHAnsi" w:cstheme="majorHAnsi"/>
                <w:b/>
                <w:color w:val="000000" w:themeColor="text1"/>
                <w:spacing w:val="-6"/>
                <w:sz w:val="22"/>
                <w:szCs w:val="22"/>
                <w:lang w:val="vi-VN"/>
              </w:rPr>
              <w:t xml:space="preserve">ffects of the </w:t>
            </w:r>
            <w:r w:rsidRPr="005E6B7C">
              <w:rPr>
                <w:rFonts w:asciiTheme="majorHAnsi" w:hAnsiTheme="majorHAnsi" w:cstheme="majorHAnsi"/>
                <w:b/>
                <w:color w:val="000000" w:themeColor="text1"/>
                <w:spacing w:val="-6"/>
                <w:sz w:val="22"/>
                <w:szCs w:val="22"/>
              </w:rPr>
              <w:t>B</w:t>
            </w:r>
            <w:r w:rsidRPr="005E6B7C">
              <w:rPr>
                <w:rFonts w:asciiTheme="majorHAnsi" w:hAnsiTheme="majorHAnsi" w:cstheme="majorHAnsi"/>
                <w:b/>
                <w:color w:val="000000" w:themeColor="text1"/>
                <w:spacing w:val="-6"/>
                <w:sz w:val="22"/>
                <w:szCs w:val="22"/>
                <w:lang w:val="vi-VN"/>
              </w:rPr>
              <w:t xml:space="preserve">ark of </w:t>
            </w:r>
            <w:r w:rsidRPr="005E6B7C">
              <w:rPr>
                <w:rFonts w:asciiTheme="majorHAnsi" w:hAnsiTheme="majorHAnsi" w:cstheme="majorHAnsi"/>
                <w:b/>
                <w:i/>
                <w:color w:val="000000" w:themeColor="text1"/>
                <w:spacing w:val="-6"/>
                <w:sz w:val="22"/>
                <w:szCs w:val="22"/>
              </w:rPr>
              <w:t>P</w:t>
            </w:r>
            <w:r w:rsidRPr="005E6B7C">
              <w:rPr>
                <w:rFonts w:asciiTheme="majorHAnsi" w:hAnsiTheme="majorHAnsi" w:cstheme="majorHAnsi"/>
                <w:b/>
                <w:i/>
                <w:color w:val="000000" w:themeColor="text1"/>
                <w:spacing w:val="-6"/>
                <w:sz w:val="22"/>
                <w:szCs w:val="22"/>
                <w:lang w:val="vi-VN"/>
              </w:rPr>
              <w:t xml:space="preserve">hellodendron amurense </w:t>
            </w:r>
            <w:r w:rsidRPr="005E6B7C">
              <w:rPr>
                <w:rFonts w:asciiTheme="majorHAnsi" w:hAnsiTheme="majorHAnsi" w:cstheme="majorHAnsi"/>
                <w:b/>
                <w:color w:val="000000" w:themeColor="text1"/>
                <w:spacing w:val="-6"/>
                <w:sz w:val="22"/>
                <w:szCs w:val="22"/>
              </w:rPr>
              <w:t>R</w:t>
            </w:r>
            <w:r w:rsidRPr="005E6B7C">
              <w:rPr>
                <w:rFonts w:asciiTheme="majorHAnsi" w:hAnsiTheme="majorHAnsi" w:cstheme="majorHAnsi"/>
                <w:b/>
                <w:iCs/>
                <w:color w:val="000000" w:themeColor="text1"/>
                <w:spacing w:val="-6"/>
                <w:sz w:val="22"/>
                <w:szCs w:val="22"/>
                <w:lang w:val="vi-VN"/>
              </w:rPr>
              <w:t>upr.</w:t>
            </w:r>
            <w:r w:rsidRPr="005E6B7C">
              <w:rPr>
                <w:rFonts w:asciiTheme="majorHAnsi" w:hAnsiTheme="majorHAnsi" w:cstheme="majorHAnsi"/>
                <w:b/>
                <w:i/>
                <w:color w:val="000000" w:themeColor="text1"/>
                <w:spacing w:val="-6"/>
                <w:sz w:val="22"/>
                <w:szCs w:val="22"/>
                <w:lang w:val="vi-VN"/>
              </w:rPr>
              <w:t xml:space="preserve"> </w:t>
            </w:r>
            <w:r w:rsidRPr="005E6B7C">
              <w:rPr>
                <w:rFonts w:asciiTheme="majorHAnsi" w:hAnsiTheme="majorHAnsi" w:cstheme="majorHAnsi"/>
                <w:b/>
                <w:color w:val="000000" w:themeColor="text1"/>
                <w:spacing w:val="-6"/>
                <w:sz w:val="22"/>
                <w:szCs w:val="22"/>
                <w:lang w:val="vi-VN"/>
              </w:rPr>
              <w:t xml:space="preserve">in </w:t>
            </w:r>
            <w:r w:rsidRPr="005E6B7C">
              <w:rPr>
                <w:rFonts w:asciiTheme="majorHAnsi" w:hAnsiTheme="majorHAnsi" w:cstheme="majorHAnsi"/>
                <w:b/>
                <w:color w:val="000000" w:themeColor="text1"/>
                <w:spacing w:val="-6"/>
                <w:sz w:val="22"/>
                <w:szCs w:val="22"/>
              </w:rPr>
              <w:t>E</w:t>
            </w:r>
            <w:r w:rsidRPr="005E6B7C">
              <w:rPr>
                <w:rFonts w:asciiTheme="majorHAnsi" w:hAnsiTheme="majorHAnsi" w:cstheme="majorHAnsi"/>
                <w:b/>
                <w:color w:val="000000" w:themeColor="text1"/>
                <w:spacing w:val="-6"/>
                <w:sz w:val="22"/>
                <w:szCs w:val="22"/>
                <w:lang w:val="vi-VN"/>
              </w:rPr>
              <w:t xml:space="preserve">xperimental </w:t>
            </w:r>
            <w:r w:rsidRPr="005E6B7C">
              <w:rPr>
                <w:rFonts w:asciiTheme="majorHAnsi" w:hAnsiTheme="majorHAnsi" w:cstheme="majorHAnsi"/>
                <w:b/>
                <w:color w:val="000000" w:themeColor="text1"/>
                <w:spacing w:val="-6"/>
                <w:sz w:val="22"/>
                <w:szCs w:val="22"/>
              </w:rPr>
              <w:t>M</w:t>
            </w:r>
            <w:r w:rsidRPr="005E6B7C">
              <w:rPr>
                <w:rFonts w:asciiTheme="majorHAnsi" w:hAnsiTheme="majorHAnsi" w:cstheme="majorHAnsi"/>
                <w:b/>
                <w:color w:val="000000" w:themeColor="text1"/>
                <w:spacing w:val="-6"/>
                <w:sz w:val="22"/>
                <w:szCs w:val="22"/>
                <w:lang w:val="vi-VN"/>
              </w:rPr>
              <w:t>odels</w:t>
            </w:r>
            <w:r w:rsidRPr="005E6B7C">
              <w:rPr>
                <w:rFonts w:asciiTheme="majorHAnsi" w:hAnsiTheme="majorHAnsi" w:cstheme="majorHAnsi"/>
                <w:b/>
                <w:color w:val="000000" w:themeColor="text1"/>
                <w:spacing w:val="-6"/>
                <w:sz w:val="22"/>
                <w:szCs w:val="22"/>
              </w:rPr>
              <w:t xml:space="preserve"> - </w:t>
            </w:r>
            <w:r w:rsidRPr="005E6B7C">
              <w:rPr>
                <w:rFonts w:asciiTheme="majorHAnsi" w:hAnsiTheme="majorHAnsi" w:cstheme="majorHAnsi"/>
                <w:i/>
                <w:iCs/>
                <w:color w:val="000000" w:themeColor="text1"/>
                <w:spacing w:val="-6"/>
                <w:sz w:val="22"/>
                <w:szCs w:val="22"/>
              </w:rPr>
              <w:t>Do Thi Hang, Le Thi Kim Van, Do Van Dung, Bui Thanh Tung</w:t>
            </w:r>
          </w:p>
        </w:tc>
      </w:tr>
      <w:tr w:rsidR="00573010" w:rsidRPr="005E6B7C" w14:paraId="3F99EFB5"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776D6EEA"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138</w:t>
            </w:r>
          </w:p>
        </w:tc>
        <w:tc>
          <w:tcPr>
            <w:tcW w:w="8550" w:type="dxa"/>
            <w:gridSpan w:val="2"/>
            <w:tcBorders>
              <w:top w:val="dotted" w:sz="4" w:space="0" w:color="auto"/>
              <w:left w:val="dotted" w:sz="4" w:space="0" w:color="auto"/>
              <w:bottom w:val="dotted" w:sz="4" w:space="0" w:color="auto"/>
              <w:right w:val="dotted" w:sz="4" w:space="0" w:color="auto"/>
            </w:tcBorders>
            <w:hideMark/>
          </w:tcPr>
          <w:p w14:paraId="3C4509E8" w14:textId="77777777" w:rsidR="00E10C65" w:rsidRPr="005E6B7C" w:rsidRDefault="00E10C65" w:rsidP="008C0D47">
            <w:pPr>
              <w:spacing w:before="40" w:after="40" w:line="270" w:lineRule="atLeast"/>
              <w:jc w:val="both"/>
              <w:rPr>
                <w:rFonts w:asciiTheme="majorHAnsi" w:hAnsiTheme="majorHAnsi" w:cstheme="majorHAnsi"/>
                <w:color w:val="000000" w:themeColor="text1"/>
                <w:spacing w:val="-6"/>
                <w:sz w:val="22"/>
                <w:szCs w:val="22"/>
              </w:rPr>
            </w:pPr>
            <w:r w:rsidRPr="005E6B7C">
              <w:rPr>
                <w:rFonts w:asciiTheme="majorHAnsi" w:hAnsiTheme="majorHAnsi" w:cstheme="majorHAnsi"/>
                <w:b/>
                <w:color w:val="000000" w:themeColor="text1"/>
                <w:spacing w:val="-6"/>
                <w:sz w:val="22"/>
                <w:szCs w:val="22"/>
              </w:rPr>
              <w:t>N</w:t>
            </w:r>
            <w:r w:rsidRPr="005E6B7C">
              <w:rPr>
                <w:rFonts w:asciiTheme="majorHAnsi" w:hAnsiTheme="majorHAnsi" w:cstheme="majorHAnsi"/>
                <w:b/>
                <w:color w:val="000000" w:themeColor="text1"/>
                <w:spacing w:val="-6"/>
                <w:sz w:val="22"/>
                <w:szCs w:val="22"/>
                <w:lang w:val="vi-VN"/>
              </w:rPr>
              <w:t xml:space="preserve">europrotective </w:t>
            </w:r>
            <w:r w:rsidRPr="005E6B7C">
              <w:rPr>
                <w:rFonts w:asciiTheme="majorHAnsi" w:hAnsiTheme="majorHAnsi" w:cstheme="majorHAnsi"/>
                <w:b/>
                <w:color w:val="000000" w:themeColor="text1"/>
                <w:spacing w:val="-6"/>
                <w:sz w:val="22"/>
                <w:szCs w:val="22"/>
              </w:rPr>
              <w:t>E</w:t>
            </w:r>
            <w:r w:rsidRPr="005E6B7C">
              <w:rPr>
                <w:rFonts w:asciiTheme="majorHAnsi" w:hAnsiTheme="majorHAnsi" w:cstheme="majorHAnsi"/>
                <w:b/>
                <w:color w:val="000000" w:themeColor="text1"/>
                <w:spacing w:val="-6"/>
                <w:sz w:val="22"/>
                <w:szCs w:val="22"/>
                <w:lang w:val="vi-VN"/>
              </w:rPr>
              <w:t xml:space="preserve">ffects of </w:t>
            </w:r>
            <w:r w:rsidRPr="005E6B7C">
              <w:rPr>
                <w:rFonts w:asciiTheme="majorHAnsi" w:hAnsiTheme="majorHAnsi" w:cstheme="majorHAnsi"/>
                <w:b/>
                <w:color w:val="000000" w:themeColor="text1"/>
                <w:spacing w:val="-6"/>
                <w:sz w:val="22"/>
                <w:szCs w:val="22"/>
              </w:rPr>
              <w:t>T</w:t>
            </w:r>
            <w:r w:rsidRPr="005E6B7C">
              <w:rPr>
                <w:rFonts w:asciiTheme="majorHAnsi" w:hAnsiTheme="majorHAnsi" w:cstheme="majorHAnsi"/>
                <w:b/>
                <w:color w:val="000000" w:themeColor="text1"/>
                <w:spacing w:val="-6"/>
                <w:sz w:val="22"/>
                <w:szCs w:val="22"/>
                <w:lang w:val="vi-VN"/>
              </w:rPr>
              <w:t xml:space="preserve">ianma </w:t>
            </w:r>
            <w:r w:rsidRPr="005E6B7C">
              <w:rPr>
                <w:rFonts w:asciiTheme="majorHAnsi" w:hAnsiTheme="majorHAnsi" w:cstheme="majorHAnsi"/>
                <w:b/>
                <w:color w:val="000000" w:themeColor="text1"/>
                <w:spacing w:val="-6"/>
                <w:sz w:val="22"/>
                <w:szCs w:val="22"/>
              </w:rPr>
              <w:t>G</w:t>
            </w:r>
            <w:r w:rsidRPr="005E6B7C">
              <w:rPr>
                <w:rFonts w:asciiTheme="majorHAnsi" w:hAnsiTheme="majorHAnsi" w:cstheme="majorHAnsi"/>
                <w:b/>
                <w:color w:val="000000" w:themeColor="text1"/>
                <w:spacing w:val="-6"/>
                <w:sz w:val="22"/>
                <w:szCs w:val="22"/>
                <w:lang w:val="vi-VN"/>
              </w:rPr>
              <w:t xml:space="preserve">outeng </w:t>
            </w:r>
            <w:r w:rsidRPr="005E6B7C">
              <w:rPr>
                <w:rFonts w:asciiTheme="majorHAnsi" w:hAnsiTheme="majorHAnsi" w:cstheme="majorHAnsi"/>
                <w:b/>
                <w:color w:val="000000" w:themeColor="text1"/>
                <w:spacing w:val="-6"/>
                <w:sz w:val="22"/>
                <w:szCs w:val="22"/>
              </w:rPr>
              <w:t>D</w:t>
            </w:r>
            <w:r w:rsidRPr="005E6B7C">
              <w:rPr>
                <w:rFonts w:asciiTheme="majorHAnsi" w:hAnsiTheme="majorHAnsi" w:cstheme="majorHAnsi"/>
                <w:b/>
                <w:color w:val="000000" w:themeColor="text1"/>
                <w:spacing w:val="-6"/>
                <w:sz w:val="22"/>
                <w:szCs w:val="22"/>
                <w:lang w:val="vi-VN"/>
              </w:rPr>
              <w:t xml:space="preserve">ecoction in a </w:t>
            </w:r>
            <w:r w:rsidRPr="005E6B7C">
              <w:rPr>
                <w:rFonts w:asciiTheme="majorHAnsi" w:hAnsiTheme="majorHAnsi" w:cstheme="majorHAnsi"/>
                <w:b/>
                <w:color w:val="000000" w:themeColor="text1"/>
                <w:spacing w:val="-6"/>
                <w:sz w:val="22"/>
                <w:szCs w:val="22"/>
              </w:rPr>
              <w:t>M</w:t>
            </w:r>
            <w:r w:rsidRPr="005E6B7C">
              <w:rPr>
                <w:rFonts w:asciiTheme="majorHAnsi" w:hAnsiTheme="majorHAnsi" w:cstheme="majorHAnsi"/>
                <w:b/>
                <w:color w:val="000000" w:themeColor="text1"/>
                <w:spacing w:val="-6"/>
                <w:sz w:val="22"/>
                <w:szCs w:val="22"/>
                <w:lang w:val="vi-VN"/>
              </w:rPr>
              <w:t xml:space="preserve">iddle </w:t>
            </w:r>
            <w:r w:rsidRPr="005E6B7C">
              <w:rPr>
                <w:rFonts w:asciiTheme="majorHAnsi" w:hAnsiTheme="majorHAnsi" w:cstheme="majorHAnsi"/>
                <w:b/>
                <w:color w:val="000000" w:themeColor="text1"/>
                <w:spacing w:val="-6"/>
                <w:sz w:val="22"/>
                <w:szCs w:val="22"/>
              </w:rPr>
              <w:t>C</w:t>
            </w:r>
            <w:r w:rsidRPr="005E6B7C">
              <w:rPr>
                <w:rFonts w:asciiTheme="majorHAnsi" w:hAnsiTheme="majorHAnsi" w:cstheme="majorHAnsi"/>
                <w:b/>
                <w:color w:val="000000" w:themeColor="text1"/>
                <w:spacing w:val="-6"/>
                <w:sz w:val="22"/>
                <w:szCs w:val="22"/>
                <w:lang w:val="vi-VN"/>
              </w:rPr>
              <w:t xml:space="preserve">erebral </w:t>
            </w:r>
            <w:r w:rsidRPr="005E6B7C">
              <w:rPr>
                <w:rFonts w:asciiTheme="majorHAnsi" w:hAnsiTheme="majorHAnsi" w:cstheme="majorHAnsi"/>
                <w:b/>
                <w:color w:val="000000" w:themeColor="text1"/>
                <w:spacing w:val="-6"/>
                <w:sz w:val="22"/>
                <w:szCs w:val="22"/>
              </w:rPr>
              <w:t>A</w:t>
            </w:r>
            <w:r w:rsidRPr="005E6B7C">
              <w:rPr>
                <w:rFonts w:asciiTheme="majorHAnsi" w:hAnsiTheme="majorHAnsi" w:cstheme="majorHAnsi"/>
                <w:b/>
                <w:color w:val="000000" w:themeColor="text1"/>
                <w:spacing w:val="-6"/>
                <w:sz w:val="22"/>
                <w:szCs w:val="22"/>
                <w:lang w:val="vi-VN"/>
              </w:rPr>
              <w:t xml:space="preserve">rtery </w:t>
            </w:r>
            <w:r w:rsidRPr="005E6B7C">
              <w:rPr>
                <w:rFonts w:asciiTheme="majorHAnsi" w:hAnsiTheme="majorHAnsi" w:cstheme="majorHAnsi"/>
                <w:b/>
                <w:color w:val="000000" w:themeColor="text1"/>
                <w:spacing w:val="-6"/>
                <w:sz w:val="22"/>
                <w:szCs w:val="22"/>
              </w:rPr>
              <w:t>O</w:t>
            </w:r>
            <w:r w:rsidRPr="005E6B7C">
              <w:rPr>
                <w:rFonts w:asciiTheme="majorHAnsi" w:hAnsiTheme="majorHAnsi" w:cstheme="majorHAnsi"/>
                <w:b/>
                <w:color w:val="000000" w:themeColor="text1"/>
                <w:spacing w:val="-6"/>
                <w:sz w:val="22"/>
                <w:szCs w:val="22"/>
                <w:lang w:val="vi-VN"/>
              </w:rPr>
              <w:t xml:space="preserve">cclusion </w:t>
            </w:r>
            <w:r w:rsidRPr="005E6B7C">
              <w:rPr>
                <w:rFonts w:asciiTheme="majorHAnsi" w:hAnsiTheme="majorHAnsi" w:cstheme="majorHAnsi"/>
                <w:b/>
                <w:color w:val="000000" w:themeColor="text1"/>
                <w:spacing w:val="-6"/>
                <w:sz w:val="22"/>
                <w:szCs w:val="22"/>
              </w:rPr>
              <w:t>M</w:t>
            </w:r>
            <w:r w:rsidRPr="005E6B7C">
              <w:rPr>
                <w:rFonts w:asciiTheme="majorHAnsi" w:hAnsiTheme="majorHAnsi" w:cstheme="majorHAnsi"/>
                <w:b/>
                <w:color w:val="000000" w:themeColor="text1"/>
                <w:spacing w:val="-6"/>
                <w:sz w:val="22"/>
                <w:szCs w:val="22"/>
                <w:lang w:val="vi-VN"/>
              </w:rPr>
              <w:t xml:space="preserve">odel of </w:t>
            </w:r>
            <w:r w:rsidRPr="005E6B7C">
              <w:rPr>
                <w:rFonts w:asciiTheme="majorHAnsi" w:hAnsiTheme="majorHAnsi" w:cstheme="majorHAnsi"/>
                <w:b/>
                <w:color w:val="000000" w:themeColor="text1"/>
                <w:spacing w:val="-6"/>
                <w:sz w:val="22"/>
                <w:szCs w:val="22"/>
              </w:rPr>
              <w:t>I</w:t>
            </w:r>
            <w:r w:rsidRPr="005E6B7C">
              <w:rPr>
                <w:rFonts w:asciiTheme="majorHAnsi" w:hAnsiTheme="majorHAnsi" w:cstheme="majorHAnsi"/>
                <w:b/>
                <w:color w:val="000000" w:themeColor="text1"/>
                <w:spacing w:val="-6"/>
                <w:sz w:val="22"/>
                <w:szCs w:val="22"/>
                <w:lang w:val="vi-VN"/>
              </w:rPr>
              <w:t xml:space="preserve">schemic </w:t>
            </w:r>
            <w:r w:rsidRPr="005E6B7C">
              <w:rPr>
                <w:rFonts w:asciiTheme="majorHAnsi" w:hAnsiTheme="majorHAnsi" w:cstheme="majorHAnsi"/>
                <w:b/>
                <w:color w:val="000000" w:themeColor="text1"/>
                <w:spacing w:val="-6"/>
                <w:sz w:val="22"/>
                <w:szCs w:val="22"/>
              </w:rPr>
              <w:t>S</w:t>
            </w:r>
            <w:r w:rsidRPr="005E6B7C">
              <w:rPr>
                <w:rFonts w:asciiTheme="majorHAnsi" w:hAnsiTheme="majorHAnsi" w:cstheme="majorHAnsi"/>
                <w:b/>
                <w:color w:val="000000" w:themeColor="text1"/>
                <w:spacing w:val="-6"/>
                <w:sz w:val="22"/>
                <w:szCs w:val="22"/>
                <w:lang w:val="vi-VN"/>
              </w:rPr>
              <w:t>troke</w:t>
            </w:r>
            <w:r w:rsidRPr="005E6B7C">
              <w:rPr>
                <w:rFonts w:asciiTheme="majorHAnsi" w:hAnsiTheme="majorHAnsi" w:cstheme="majorHAnsi"/>
                <w:b/>
                <w:color w:val="000000" w:themeColor="text1"/>
                <w:spacing w:val="-6"/>
                <w:sz w:val="22"/>
                <w:szCs w:val="22"/>
              </w:rPr>
              <w:t xml:space="preserve"> - </w:t>
            </w:r>
            <w:r w:rsidRPr="005E6B7C">
              <w:rPr>
                <w:rFonts w:asciiTheme="majorHAnsi" w:hAnsiTheme="majorHAnsi" w:cstheme="majorHAnsi"/>
                <w:bCs/>
                <w:i/>
                <w:color w:val="000000" w:themeColor="text1"/>
                <w:spacing w:val="-6"/>
                <w:sz w:val="22"/>
                <w:szCs w:val="22"/>
              </w:rPr>
              <w:t>Le Thi Xoan, Trinh Lan Phương, Nguyen Van Hiep, Pham Thi Nguyet Hang, Nguyen Van Tai, Nguyen Thi Thu Trang, Nguyen Thi Thanh Loan, Nguyen Hung Son</w:t>
            </w:r>
          </w:p>
        </w:tc>
      </w:tr>
      <w:tr w:rsidR="00573010" w:rsidRPr="005E6B7C" w14:paraId="1E408546"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0F8DD836"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147</w:t>
            </w:r>
          </w:p>
        </w:tc>
        <w:tc>
          <w:tcPr>
            <w:tcW w:w="8550" w:type="dxa"/>
            <w:gridSpan w:val="2"/>
            <w:tcBorders>
              <w:top w:val="dotted" w:sz="4" w:space="0" w:color="auto"/>
              <w:left w:val="dotted" w:sz="4" w:space="0" w:color="auto"/>
              <w:bottom w:val="dotted" w:sz="4" w:space="0" w:color="auto"/>
              <w:right w:val="dotted" w:sz="4" w:space="0" w:color="auto"/>
            </w:tcBorders>
          </w:tcPr>
          <w:p w14:paraId="4FAC40D8" w14:textId="77777777" w:rsidR="00E10C65" w:rsidRPr="005E6B7C" w:rsidRDefault="00E10C65" w:rsidP="008C0D47">
            <w:pPr>
              <w:spacing w:before="40" w:after="40" w:line="270" w:lineRule="atLeast"/>
              <w:rPr>
                <w:rFonts w:asciiTheme="majorHAnsi" w:hAnsiTheme="majorHAnsi" w:cstheme="majorHAnsi"/>
                <w:b/>
                <w:color w:val="000000" w:themeColor="text1"/>
                <w:spacing w:val="-6"/>
                <w:sz w:val="22"/>
                <w:szCs w:val="22"/>
              </w:rPr>
            </w:pPr>
            <w:r w:rsidRPr="005E6B7C">
              <w:rPr>
                <w:rFonts w:asciiTheme="majorHAnsi" w:hAnsiTheme="majorHAnsi" w:cstheme="majorHAnsi"/>
                <w:b/>
                <w:color w:val="000000" w:themeColor="text1"/>
                <w:spacing w:val="-6"/>
                <w:sz w:val="22"/>
                <w:szCs w:val="22"/>
              </w:rPr>
              <w:t xml:space="preserve">Investigation of the Variation of Gymnemagenin Content in </w:t>
            </w:r>
            <w:r w:rsidRPr="005E6B7C">
              <w:rPr>
                <w:rFonts w:asciiTheme="majorHAnsi" w:hAnsiTheme="majorHAnsi" w:cstheme="majorHAnsi"/>
                <w:b/>
                <w:i/>
                <w:iCs/>
                <w:color w:val="000000" w:themeColor="text1"/>
                <w:spacing w:val="-6"/>
                <w:sz w:val="22"/>
                <w:szCs w:val="22"/>
              </w:rPr>
              <w:t>G</w:t>
            </w:r>
            <w:r w:rsidRPr="005E6B7C">
              <w:rPr>
                <w:rFonts w:asciiTheme="majorHAnsi" w:hAnsiTheme="majorHAnsi" w:cstheme="majorHAnsi"/>
                <w:b/>
                <w:i/>
                <w:color w:val="000000" w:themeColor="text1"/>
                <w:spacing w:val="-6"/>
                <w:sz w:val="22"/>
                <w:szCs w:val="22"/>
              </w:rPr>
              <w:t>ymnema</w:t>
            </w:r>
            <w:r w:rsidRPr="005E6B7C">
              <w:rPr>
                <w:rFonts w:asciiTheme="majorHAnsi" w:hAnsiTheme="majorHAnsi" w:cstheme="majorHAnsi"/>
                <w:b/>
                <w:color w:val="000000" w:themeColor="text1"/>
                <w:spacing w:val="-6"/>
                <w:sz w:val="22"/>
                <w:szCs w:val="22"/>
              </w:rPr>
              <w:t xml:space="preserve"> R.Br Under the Influence of Certain Strains of Bacteria</w:t>
            </w:r>
            <w:r w:rsidRPr="005E6B7C" w:rsidDel="00404DD0">
              <w:rPr>
                <w:rFonts w:asciiTheme="majorHAnsi" w:hAnsiTheme="majorHAnsi" w:cstheme="majorHAnsi"/>
                <w:b/>
                <w:color w:val="000000" w:themeColor="text1"/>
                <w:spacing w:val="-6"/>
                <w:sz w:val="22"/>
                <w:szCs w:val="22"/>
              </w:rPr>
              <w:t>.</w:t>
            </w:r>
            <w:r w:rsidRPr="005E6B7C">
              <w:rPr>
                <w:rFonts w:asciiTheme="majorHAnsi" w:hAnsiTheme="majorHAnsi" w:cstheme="majorHAnsi"/>
                <w:b/>
                <w:color w:val="000000" w:themeColor="text1"/>
                <w:spacing w:val="-6"/>
                <w:sz w:val="22"/>
                <w:szCs w:val="22"/>
              </w:rPr>
              <w:t xml:space="preserve"> - </w:t>
            </w:r>
            <w:r w:rsidRPr="005E6B7C">
              <w:rPr>
                <w:rFonts w:asciiTheme="majorHAnsi" w:hAnsiTheme="majorHAnsi" w:cstheme="majorHAnsi"/>
                <w:i/>
                <w:iCs/>
                <w:color w:val="000000" w:themeColor="text1"/>
                <w:spacing w:val="-6"/>
                <w:sz w:val="22"/>
                <w:szCs w:val="22"/>
              </w:rPr>
              <w:t>Tong Thi Thanh Vuong, Tran Thi Minh Thuy, Le Thi Kim Van</w:t>
            </w:r>
          </w:p>
        </w:tc>
      </w:tr>
      <w:tr w:rsidR="00573010" w:rsidRPr="005E6B7C" w14:paraId="631C8038" w14:textId="77777777" w:rsidTr="00573010">
        <w:trPr>
          <w:trHeight w:val="70"/>
        </w:trPr>
        <w:tc>
          <w:tcPr>
            <w:tcW w:w="1057" w:type="dxa"/>
            <w:gridSpan w:val="2"/>
            <w:tcBorders>
              <w:top w:val="dotted" w:sz="4" w:space="0" w:color="auto"/>
              <w:left w:val="dotted" w:sz="4" w:space="0" w:color="auto"/>
              <w:bottom w:val="dotted" w:sz="4" w:space="0" w:color="auto"/>
              <w:right w:val="dotted" w:sz="4" w:space="0" w:color="auto"/>
            </w:tcBorders>
            <w:vAlign w:val="center"/>
          </w:tcPr>
          <w:p w14:paraId="2C458A00" w14:textId="77777777" w:rsidR="00E10C65" w:rsidRPr="005E6B7C" w:rsidRDefault="00C10EE8" w:rsidP="008C0D47">
            <w:pPr>
              <w:autoSpaceDE w:val="0"/>
              <w:autoSpaceDN w:val="0"/>
              <w:adjustRightInd w:val="0"/>
              <w:spacing w:before="40" w:after="40" w:line="270" w:lineRule="atLeast"/>
              <w:jc w:val="center"/>
              <w:rPr>
                <w:rFonts w:asciiTheme="majorHAnsi" w:hAnsiTheme="majorHAnsi" w:cstheme="majorHAnsi"/>
                <w:color w:val="000000" w:themeColor="text1"/>
                <w:spacing w:val="-4"/>
                <w:sz w:val="22"/>
                <w:szCs w:val="22"/>
              </w:rPr>
            </w:pPr>
            <w:r w:rsidRPr="005E6B7C">
              <w:rPr>
                <w:rFonts w:asciiTheme="majorHAnsi" w:hAnsiTheme="majorHAnsi" w:cstheme="majorHAnsi"/>
                <w:color w:val="000000" w:themeColor="text1"/>
                <w:spacing w:val="-4"/>
                <w:sz w:val="22"/>
                <w:szCs w:val="22"/>
              </w:rPr>
              <w:t>154</w:t>
            </w:r>
          </w:p>
        </w:tc>
        <w:tc>
          <w:tcPr>
            <w:tcW w:w="8550" w:type="dxa"/>
            <w:gridSpan w:val="2"/>
            <w:tcBorders>
              <w:top w:val="dotted" w:sz="4" w:space="0" w:color="auto"/>
              <w:left w:val="dotted" w:sz="4" w:space="0" w:color="auto"/>
              <w:bottom w:val="dotted" w:sz="4" w:space="0" w:color="auto"/>
              <w:right w:val="dotted" w:sz="4" w:space="0" w:color="auto"/>
            </w:tcBorders>
          </w:tcPr>
          <w:p w14:paraId="02CBE4FD" w14:textId="77777777" w:rsidR="00E10C65" w:rsidRPr="005E6B7C" w:rsidRDefault="00E10C65" w:rsidP="008C0D47">
            <w:pPr>
              <w:tabs>
                <w:tab w:val="left" w:pos="270"/>
                <w:tab w:val="left" w:pos="540"/>
              </w:tabs>
              <w:spacing w:before="40" w:after="40" w:line="270" w:lineRule="atLeast"/>
              <w:jc w:val="both"/>
              <w:rPr>
                <w:rFonts w:asciiTheme="majorHAnsi" w:hAnsiTheme="majorHAnsi" w:cstheme="majorHAnsi"/>
                <w:b/>
                <w:color w:val="000000" w:themeColor="text1"/>
                <w:spacing w:val="-6"/>
                <w:sz w:val="22"/>
                <w:szCs w:val="22"/>
              </w:rPr>
            </w:pPr>
            <w:r w:rsidRPr="005E6B7C">
              <w:rPr>
                <w:rFonts w:asciiTheme="majorHAnsi" w:hAnsiTheme="majorHAnsi" w:cstheme="majorHAnsi"/>
                <w:b/>
                <w:bCs/>
                <w:color w:val="000000" w:themeColor="text1"/>
                <w:spacing w:val="-6"/>
                <w:sz w:val="22"/>
                <w:szCs w:val="22"/>
              </w:rPr>
              <w:t xml:space="preserve">Comparative Transcriptome Profiling of </w:t>
            </w:r>
            <w:r w:rsidRPr="005E6B7C">
              <w:rPr>
                <w:rFonts w:asciiTheme="majorHAnsi" w:hAnsiTheme="majorHAnsi" w:cstheme="majorHAnsi"/>
                <w:b/>
                <w:bCs/>
                <w:i/>
                <w:iCs/>
                <w:color w:val="000000" w:themeColor="text1"/>
                <w:spacing w:val="-6"/>
                <w:sz w:val="22"/>
                <w:szCs w:val="22"/>
              </w:rPr>
              <w:t>Momordica cochinchinensis</w:t>
            </w:r>
            <w:r w:rsidRPr="005E6B7C">
              <w:rPr>
                <w:rFonts w:asciiTheme="majorHAnsi" w:hAnsiTheme="majorHAnsi" w:cstheme="majorHAnsi"/>
                <w:b/>
                <w:bCs/>
                <w:color w:val="000000" w:themeColor="text1"/>
                <w:spacing w:val="-6"/>
                <w:sz w:val="22"/>
                <w:szCs w:val="22"/>
              </w:rPr>
              <w:t xml:space="preserve"> (Lour.) Spreng. Aril Using Oxford Nanopore and Illumina Sequencing Technologies - </w:t>
            </w:r>
            <w:r w:rsidRPr="005E6B7C">
              <w:rPr>
                <w:rFonts w:asciiTheme="majorHAnsi" w:hAnsiTheme="majorHAnsi" w:cstheme="majorHAnsi"/>
                <w:i/>
                <w:iCs/>
                <w:color w:val="000000" w:themeColor="text1"/>
                <w:spacing w:val="-6"/>
                <w:sz w:val="22"/>
                <w:szCs w:val="22"/>
              </w:rPr>
              <w:t>Tran Duc Trung, Nguyen Hoang, Le Thi Tu Linh, Nguyen Thi Thu Hang, Pham Thanh Huyen, Tr</w:t>
            </w:r>
            <w:r w:rsidR="0044085B" w:rsidRPr="005E6B7C">
              <w:rPr>
                <w:rFonts w:asciiTheme="majorHAnsi" w:hAnsiTheme="majorHAnsi" w:cstheme="majorHAnsi"/>
                <w:i/>
                <w:iCs/>
                <w:color w:val="000000" w:themeColor="text1"/>
                <w:spacing w:val="-6"/>
                <w:sz w:val="22"/>
                <w:szCs w:val="22"/>
              </w:rPr>
              <w:t>uong</w:t>
            </w:r>
            <w:r w:rsidRPr="005E6B7C">
              <w:rPr>
                <w:rFonts w:asciiTheme="majorHAnsi" w:hAnsiTheme="majorHAnsi" w:cstheme="majorHAnsi"/>
                <w:i/>
                <w:iCs/>
                <w:color w:val="000000" w:themeColor="text1"/>
                <w:spacing w:val="-6"/>
                <w:sz w:val="22"/>
                <w:szCs w:val="22"/>
              </w:rPr>
              <w:t xml:space="preserve"> Nhat My, Nguyen Thi Lan Hoa</w:t>
            </w:r>
          </w:p>
        </w:tc>
      </w:tr>
    </w:tbl>
    <w:p w14:paraId="576FDB08" w14:textId="77777777" w:rsidR="00045518" w:rsidRPr="005E6B7C" w:rsidRDefault="00045518" w:rsidP="008C0D47">
      <w:pPr>
        <w:widowControl/>
        <w:jc w:val="center"/>
        <w:rPr>
          <w:rFonts w:asciiTheme="majorHAnsi" w:eastAsia="Yu Mincho" w:hAnsiTheme="majorHAnsi" w:cstheme="majorHAnsi"/>
          <w:b/>
          <w:bCs/>
          <w:color w:val="000000" w:themeColor="text1"/>
          <w:sz w:val="2"/>
          <w:szCs w:val="2"/>
          <w:lang w:eastAsia="ja-JP"/>
        </w:rPr>
      </w:pPr>
    </w:p>
    <w:p w14:paraId="7932A7F5" w14:textId="77777777" w:rsidR="00E049CB" w:rsidRPr="005E6B7C" w:rsidRDefault="00E049CB" w:rsidP="008C0D47">
      <w:pPr>
        <w:widowControl/>
        <w:spacing w:after="120" w:line="276" w:lineRule="auto"/>
        <w:jc w:val="center"/>
        <w:rPr>
          <w:rFonts w:asciiTheme="majorHAnsi" w:eastAsia="Yu Mincho" w:hAnsiTheme="majorHAnsi" w:cstheme="majorHAnsi"/>
          <w:b/>
          <w:bCs/>
          <w:color w:val="000000" w:themeColor="text1"/>
          <w:sz w:val="26"/>
          <w:szCs w:val="26"/>
          <w:lang w:val="vi-VN" w:eastAsia="ja-JP"/>
        </w:rPr>
      </w:pPr>
      <w:r w:rsidRPr="005E6B7C">
        <w:rPr>
          <w:rFonts w:asciiTheme="majorHAnsi" w:eastAsia="Yu Mincho" w:hAnsiTheme="majorHAnsi" w:cstheme="majorHAnsi"/>
          <w:b/>
          <w:bCs/>
          <w:color w:val="000000" w:themeColor="text1"/>
          <w:sz w:val="26"/>
          <w:szCs w:val="26"/>
          <w:lang w:val="vi-VN" w:eastAsia="ja-JP"/>
        </w:rPr>
        <w:lastRenderedPageBreak/>
        <w:t>FOREWORD</w:t>
      </w:r>
    </w:p>
    <w:p w14:paraId="27624AFB" w14:textId="05AAA12E" w:rsidR="00E049CB" w:rsidRPr="005E6B7C" w:rsidRDefault="00E049CB" w:rsidP="008C0D47">
      <w:pPr>
        <w:widowControl/>
        <w:spacing w:before="120"/>
        <w:jc w:val="center"/>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i/>
          <w:iCs/>
          <w:color w:val="EE0000"/>
          <w:sz w:val="22"/>
          <w:szCs w:val="22"/>
          <w:lang w:val="vi-VN" w:eastAsia="ja-JP"/>
        </w:rPr>
        <w:t>(Special Issue commemorating the 65</w:t>
      </w:r>
      <w:r w:rsidRPr="005E6B7C">
        <w:rPr>
          <w:rFonts w:asciiTheme="majorHAnsi" w:eastAsia="Yu Mincho" w:hAnsiTheme="majorHAnsi" w:cstheme="majorHAnsi"/>
          <w:i/>
          <w:iCs/>
          <w:color w:val="EE0000"/>
          <w:sz w:val="22"/>
          <w:szCs w:val="22"/>
          <w:vertAlign w:val="superscript"/>
          <w:lang w:val="vi-VN" w:eastAsia="ja-JP"/>
        </w:rPr>
        <w:t>th</w:t>
      </w:r>
      <w:r w:rsidRPr="005E6B7C">
        <w:rPr>
          <w:rFonts w:asciiTheme="majorHAnsi" w:eastAsia="Yu Mincho" w:hAnsiTheme="majorHAnsi" w:cstheme="majorHAnsi"/>
          <w:i/>
          <w:iCs/>
          <w:color w:val="EE0000"/>
          <w:sz w:val="22"/>
          <w:szCs w:val="22"/>
          <w:lang w:val="vi-VN" w:eastAsia="ja-JP"/>
        </w:rPr>
        <w:t xml:space="preserve"> Anniversary of the National Institute of Medicinal Materials and welcoming the 1</w:t>
      </w:r>
      <w:r w:rsidRPr="005E6B7C">
        <w:rPr>
          <w:rFonts w:asciiTheme="majorHAnsi" w:eastAsia="Yu Mincho" w:hAnsiTheme="majorHAnsi" w:cstheme="majorHAnsi"/>
          <w:i/>
          <w:iCs/>
          <w:color w:val="EE0000"/>
          <w:sz w:val="22"/>
          <w:szCs w:val="22"/>
          <w:vertAlign w:val="superscript"/>
          <w:lang w:val="vi-VN" w:eastAsia="ja-JP"/>
        </w:rPr>
        <w:t>st</w:t>
      </w:r>
      <w:r w:rsidRPr="005E6B7C">
        <w:rPr>
          <w:rFonts w:asciiTheme="majorHAnsi" w:eastAsia="Yu Mincho" w:hAnsiTheme="majorHAnsi" w:cstheme="majorHAnsi"/>
          <w:i/>
          <w:iCs/>
          <w:color w:val="EE0000"/>
          <w:sz w:val="22"/>
          <w:szCs w:val="22"/>
          <w:lang w:val="vi-VN" w:eastAsia="ja-JP"/>
        </w:rPr>
        <w:t xml:space="preserve"> International Conference V.IMPACT-2026)</w:t>
      </w:r>
    </w:p>
    <w:p w14:paraId="00E34519" w14:textId="77777777" w:rsidR="000F7173" w:rsidRPr="005E6B7C" w:rsidRDefault="000F7173" w:rsidP="008C0D47">
      <w:pPr>
        <w:widowControl/>
        <w:ind w:firstLine="284"/>
        <w:jc w:val="both"/>
        <w:rPr>
          <w:rFonts w:asciiTheme="majorHAnsi" w:eastAsia="Yu Mincho" w:hAnsiTheme="majorHAnsi" w:cstheme="majorHAnsi"/>
          <w:color w:val="EE0000"/>
          <w:sz w:val="22"/>
          <w:szCs w:val="22"/>
          <w:lang w:eastAsia="ja-JP"/>
        </w:rPr>
      </w:pPr>
    </w:p>
    <w:p w14:paraId="29DE6F41" w14:textId="77777777"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Dear Scientists, Experts, Policy Makers, Industry Partners, and Readers,</w:t>
      </w:r>
    </w:p>
    <w:p w14:paraId="555ED9AB" w14:textId="626FBCF0"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 xml:space="preserve">The year 2026 marks the </w:t>
      </w:r>
      <w:r w:rsidRPr="005E6B7C">
        <w:rPr>
          <w:rFonts w:asciiTheme="majorHAnsi" w:eastAsia="Yu Mincho" w:hAnsiTheme="majorHAnsi" w:cstheme="majorHAnsi"/>
          <w:b/>
          <w:bCs/>
          <w:color w:val="EE0000"/>
          <w:sz w:val="22"/>
          <w:szCs w:val="22"/>
          <w:lang w:val="vi-VN" w:eastAsia="ja-JP"/>
        </w:rPr>
        <w:t>65</w:t>
      </w:r>
      <w:r w:rsidRPr="005E6B7C">
        <w:rPr>
          <w:rFonts w:asciiTheme="majorHAnsi" w:eastAsia="Yu Mincho" w:hAnsiTheme="majorHAnsi" w:cstheme="majorHAnsi"/>
          <w:b/>
          <w:bCs/>
          <w:color w:val="EE0000"/>
          <w:sz w:val="22"/>
          <w:szCs w:val="22"/>
          <w:vertAlign w:val="superscript"/>
          <w:lang w:val="vi-VN" w:eastAsia="ja-JP"/>
        </w:rPr>
        <w:t>th</w:t>
      </w:r>
      <w:r w:rsidRPr="005E6B7C">
        <w:rPr>
          <w:rFonts w:asciiTheme="majorHAnsi" w:eastAsia="Yu Mincho" w:hAnsiTheme="majorHAnsi" w:cstheme="majorHAnsi"/>
          <w:b/>
          <w:bCs/>
          <w:color w:val="EE0000"/>
          <w:sz w:val="22"/>
          <w:szCs w:val="22"/>
          <w:lang w:val="vi-VN" w:eastAsia="ja-JP"/>
        </w:rPr>
        <w:t xml:space="preserve"> Anniversary of the National Institute of Medicinal Materials (1961–2026)-</w:t>
      </w:r>
      <w:r w:rsidRPr="005E6B7C">
        <w:rPr>
          <w:rFonts w:asciiTheme="majorHAnsi" w:eastAsia="Yu Mincho" w:hAnsiTheme="majorHAnsi" w:cstheme="majorHAnsi"/>
          <w:color w:val="EE0000"/>
          <w:sz w:val="22"/>
          <w:szCs w:val="22"/>
          <w:lang w:val="vi-VN" w:eastAsia="ja-JP"/>
        </w:rPr>
        <w:t xml:space="preserve">a significant milestone reflecting </w:t>
      </w:r>
      <w:r w:rsidR="00936908" w:rsidRPr="005E6B7C">
        <w:rPr>
          <w:rFonts w:asciiTheme="majorHAnsi" w:eastAsia="Yu Mincho" w:hAnsiTheme="majorHAnsi" w:cstheme="majorHAnsi"/>
          <w:color w:val="EE0000"/>
          <w:sz w:val="22"/>
          <w:szCs w:val="22"/>
          <w:lang w:eastAsia="ja-JP"/>
        </w:rPr>
        <w:t>over six decades of unwavering commitment</w:t>
      </w:r>
      <w:r w:rsidRPr="005E6B7C">
        <w:rPr>
          <w:rFonts w:asciiTheme="majorHAnsi" w:eastAsia="Yu Mincho" w:hAnsiTheme="majorHAnsi" w:cstheme="majorHAnsi"/>
          <w:color w:val="EE0000"/>
          <w:sz w:val="22"/>
          <w:szCs w:val="22"/>
          <w:lang w:val="vi-VN" w:eastAsia="ja-JP"/>
        </w:rPr>
        <w:t xml:space="preserve"> to </w:t>
      </w:r>
      <w:r w:rsidR="00936908" w:rsidRPr="005E6B7C">
        <w:rPr>
          <w:rFonts w:asciiTheme="majorHAnsi" w:eastAsia="Yu Mincho" w:hAnsiTheme="majorHAnsi" w:cstheme="majorHAnsi"/>
          <w:color w:val="EE0000"/>
          <w:sz w:val="22"/>
          <w:szCs w:val="22"/>
          <w:lang w:val="vi-VN" w:eastAsia="ja-JP"/>
        </w:rPr>
        <w:t xml:space="preserve">the </w:t>
      </w:r>
      <w:r w:rsidRPr="005E6B7C">
        <w:rPr>
          <w:rFonts w:asciiTheme="majorHAnsi" w:eastAsia="Yu Mincho" w:hAnsiTheme="majorHAnsi" w:cstheme="majorHAnsi"/>
          <w:color w:val="EE0000"/>
          <w:sz w:val="22"/>
          <w:szCs w:val="22"/>
          <w:lang w:val="vi-VN" w:eastAsia="ja-JP"/>
        </w:rPr>
        <w:t>research, conservation, and development of Vietnam</w:t>
      </w:r>
      <w:r w:rsidR="0044085B" w:rsidRPr="005E6B7C">
        <w:rPr>
          <w:rFonts w:asciiTheme="majorHAnsi" w:eastAsia="Yu Mincho" w:hAnsiTheme="majorHAnsi" w:cstheme="majorHAnsi"/>
          <w:color w:val="EE0000"/>
          <w:sz w:val="22"/>
          <w:szCs w:val="22"/>
          <w:lang w:val="vi-VN" w:eastAsia="ja-JP"/>
        </w:rPr>
        <w:t>'s</w:t>
      </w:r>
      <w:r w:rsidRPr="005E6B7C">
        <w:rPr>
          <w:rFonts w:asciiTheme="majorHAnsi" w:eastAsia="Yu Mincho" w:hAnsiTheme="majorHAnsi" w:cstheme="majorHAnsi"/>
          <w:color w:val="EE0000"/>
          <w:sz w:val="22"/>
          <w:szCs w:val="22"/>
          <w:lang w:val="vi-VN" w:eastAsia="ja-JP"/>
        </w:rPr>
        <w:t xml:space="preserve"> medicinal materials for public health.</w:t>
      </w:r>
    </w:p>
    <w:p w14:paraId="32D15E49" w14:textId="45A898FF"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 xml:space="preserve">On this occasion, the </w:t>
      </w:r>
      <w:r w:rsidRPr="005E6B7C">
        <w:rPr>
          <w:rFonts w:asciiTheme="majorHAnsi" w:eastAsia="Yu Mincho" w:hAnsiTheme="majorHAnsi" w:cstheme="majorHAnsi"/>
          <w:b/>
          <w:bCs/>
          <w:color w:val="EE0000"/>
          <w:sz w:val="22"/>
          <w:szCs w:val="22"/>
          <w:lang w:val="vi-VN" w:eastAsia="ja-JP"/>
        </w:rPr>
        <w:t>Journal of Medicinal Materials</w:t>
      </w:r>
      <w:r w:rsidRPr="005E6B7C">
        <w:rPr>
          <w:rFonts w:asciiTheme="majorHAnsi" w:eastAsia="Yu Mincho" w:hAnsiTheme="majorHAnsi" w:cstheme="majorHAnsi"/>
          <w:color w:val="EE0000"/>
          <w:sz w:val="22"/>
          <w:szCs w:val="22"/>
          <w:lang w:val="vi-VN" w:eastAsia="ja-JP"/>
        </w:rPr>
        <w:t xml:space="preserve"> is honored to present this Special Issue commemorating the 65</w:t>
      </w:r>
      <w:r w:rsidRPr="005E6B7C">
        <w:rPr>
          <w:rFonts w:asciiTheme="majorHAnsi" w:eastAsia="Yu Mincho" w:hAnsiTheme="majorHAnsi" w:cstheme="majorHAnsi"/>
          <w:color w:val="EE0000"/>
          <w:sz w:val="22"/>
          <w:szCs w:val="22"/>
          <w:vertAlign w:val="superscript"/>
          <w:lang w:val="vi-VN" w:eastAsia="ja-JP"/>
        </w:rPr>
        <w:t>th</w:t>
      </w:r>
      <w:r w:rsidRPr="005E6B7C">
        <w:rPr>
          <w:rFonts w:asciiTheme="majorHAnsi" w:eastAsia="Yu Mincho" w:hAnsiTheme="majorHAnsi" w:cstheme="majorHAnsi"/>
          <w:color w:val="EE0000"/>
          <w:sz w:val="22"/>
          <w:szCs w:val="22"/>
          <w:lang w:val="vi-VN" w:eastAsia="ja-JP"/>
        </w:rPr>
        <w:t xml:space="preserve"> anniversary, while also welcoming the 1</w:t>
      </w:r>
      <w:r w:rsidRPr="005E6B7C">
        <w:rPr>
          <w:rFonts w:asciiTheme="majorHAnsi" w:eastAsia="Yu Mincho" w:hAnsiTheme="majorHAnsi" w:cstheme="majorHAnsi"/>
          <w:color w:val="EE0000"/>
          <w:sz w:val="22"/>
          <w:szCs w:val="22"/>
          <w:vertAlign w:val="superscript"/>
          <w:lang w:val="vi-VN" w:eastAsia="ja-JP"/>
        </w:rPr>
        <w:t xml:space="preserve">st </w:t>
      </w:r>
      <w:r w:rsidRPr="005E6B7C">
        <w:rPr>
          <w:rFonts w:asciiTheme="majorHAnsi" w:eastAsia="Yu Mincho" w:hAnsiTheme="majorHAnsi" w:cstheme="majorHAnsi"/>
          <w:color w:val="EE0000"/>
          <w:sz w:val="22"/>
          <w:szCs w:val="22"/>
          <w:lang w:val="vi-VN" w:eastAsia="ja-JP"/>
        </w:rPr>
        <w:t>International Conference V.IMPACT-2026</w:t>
      </w:r>
      <w:r w:rsidR="00305816" w:rsidRPr="005E6B7C">
        <w:rPr>
          <w:rFonts w:asciiTheme="majorHAnsi" w:eastAsia="Yu Mincho" w:hAnsiTheme="majorHAnsi" w:cstheme="majorHAnsi"/>
          <w:color w:val="EE0000"/>
          <w:sz w:val="22"/>
          <w:szCs w:val="22"/>
          <w:lang w:val="vi-VN" w:eastAsia="ja-JP"/>
        </w:rPr>
        <w:t xml:space="preserve">. Hosted by </w:t>
      </w:r>
      <w:r w:rsidR="00A61634" w:rsidRPr="005E6B7C">
        <w:rPr>
          <w:rFonts w:asciiTheme="majorHAnsi" w:eastAsia="Yu Mincho" w:hAnsiTheme="majorHAnsi" w:cstheme="majorHAnsi"/>
          <w:color w:val="EE0000"/>
          <w:sz w:val="22"/>
          <w:szCs w:val="22"/>
          <w:lang w:val="vi-VN" w:eastAsia="ja-JP"/>
        </w:rPr>
        <w:t xml:space="preserve">NIMM </w:t>
      </w:r>
      <w:r w:rsidR="00305816" w:rsidRPr="005E6B7C">
        <w:rPr>
          <w:rFonts w:asciiTheme="majorHAnsi" w:eastAsia="Yu Mincho" w:hAnsiTheme="majorHAnsi" w:cstheme="majorHAnsi"/>
          <w:color w:val="EE0000"/>
          <w:sz w:val="22"/>
          <w:szCs w:val="22"/>
          <w:lang w:val="vi-VN" w:eastAsia="ja-JP"/>
        </w:rPr>
        <w:t>and envisioned as a biennial event, this academic forum aims to</w:t>
      </w:r>
      <w:r w:rsidRPr="005E6B7C">
        <w:rPr>
          <w:rFonts w:asciiTheme="majorHAnsi" w:eastAsia="Yu Mincho" w:hAnsiTheme="majorHAnsi" w:cstheme="majorHAnsi"/>
          <w:color w:val="EE0000"/>
          <w:sz w:val="22"/>
          <w:szCs w:val="22"/>
          <w:lang w:val="vi-VN" w:eastAsia="ja-JP"/>
        </w:rPr>
        <w:t>bridging traditional knowledge and modern science in herbal medicine development.</w:t>
      </w:r>
    </w:p>
    <w:p w14:paraId="251ADA8E" w14:textId="55C5D09F"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 xml:space="preserve">As a multidisciplinary scientific journal, the Journal continues to publish high-quality research and review articles spanning </w:t>
      </w:r>
      <w:r w:rsidR="00305816" w:rsidRPr="005E6B7C">
        <w:rPr>
          <w:rFonts w:asciiTheme="majorHAnsi" w:eastAsia="Yu Mincho" w:hAnsiTheme="majorHAnsi" w:cstheme="majorHAnsi"/>
          <w:color w:val="EE0000"/>
          <w:sz w:val="22"/>
          <w:szCs w:val="22"/>
          <w:lang w:eastAsia="ja-JP"/>
        </w:rPr>
        <w:t>phytochemistry, biological and pharmacological activities, modern analytical methods, standards and extraction techniques, pharmaceutical and medicinal product preparation technology, medicinal material resources,</w:t>
      </w:r>
      <w:r w:rsidR="00305816" w:rsidRPr="005E6B7C">
        <w:rPr>
          <w:rFonts w:asciiTheme="majorHAnsi" w:eastAsia="Yu Mincho" w:hAnsiTheme="majorHAnsi" w:cstheme="majorHAnsi"/>
          <w:color w:val="EE0000"/>
          <w:sz w:val="22"/>
          <w:szCs w:val="22"/>
          <w:lang w:val="vi-VN" w:eastAsia="ja-JP"/>
        </w:rPr>
        <w:t xml:space="preserve"> </w:t>
      </w:r>
      <w:r w:rsidRPr="005E6B7C">
        <w:rPr>
          <w:rFonts w:asciiTheme="majorHAnsi" w:eastAsia="Yu Mincho" w:hAnsiTheme="majorHAnsi" w:cstheme="majorHAnsi"/>
          <w:color w:val="EE0000"/>
          <w:sz w:val="22"/>
          <w:szCs w:val="22"/>
          <w:lang w:eastAsia="ja-JP"/>
        </w:rPr>
        <w:t>cultivation, processing</w:t>
      </w:r>
      <w:r w:rsidR="0044085B" w:rsidRPr="005E6B7C">
        <w:rPr>
          <w:rFonts w:asciiTheme="majorHAnsi" w:eastAsia="Yu Mincho" w:hAnsiTheme="majorHAnsi" w:cstheme="majorHAnsi"/>
          <w:color w:val="EE0000"/>
          <w:sz w:val="22"/>
          <w:szCs w:val="22"/>
          <w:lang w:eastAsia="ja-JP"/>
        </w:rPr>
        <w:t>,</w:t>
      </w:r>
      <w:r w:rsidRPr="005E6B7C">
        <w:rPr>
          <w:rFonts w:asciiTheme="majorHAnsi" w:eastAsia="Yu Mincho" w:hAnsiTheme="majorHAnsi" w:cstheme="majorHAnsi"/>
          <w:color w:val="EE0000"/>
          <w:sz w:val="22"/>
          <w:szCs w:val="22"/>
          <w:lang w:eastAsia="ja-JP"/>
        </w:rPr>
        <w:t xml:space="preserve"> and preservation of medicinal plants,</w:t>
      </w:r>
      <w:r w:rsidR="00305816" w:rsidRPr="005E6B7C">
        <w:rPr>
          <w:rFonts w:asciiTheme="majorHAnsi" w:eastAsia="Yu Mincho" w:hAnsiTheme="majorHAnsi" w:cstheme="majorHAnsi"/>
          <w:color w:val="EE0000"/>
          <w:sz w:val="22"/>
          <w:szCs w:val="22"/>
          <w:lang w:val="vi-VN" w:eastAsia="ja-JP"/>
        </w:rPr>
        <w:t>…</w:t>
      </w:r>
      <w:r w:rsidRPr="005E6B7C">
        <w:rPr>
          <w:rFonts w:asciiTheme="majorHAnsi" w:eastAsia="Yu Mincho" w:hAnsiTheme="majorHAnsi" w:cstheme="majorHAnsi"/>
          <w:color w:val="EE0000"/>
          <w:sz w:val="22"/>
          <w:szCs w:val="22"/>
          <w:lang w:eastAsia="ja-JP"/>
        </w:rPr>
        <w:t xml:space="preserve"> </w:t>
      </w:r>
    </w:p>
    <w:p w14:paraId="123F50BB" w14:textId="77777777"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eastAsia="ja-JP"/>
        </w:rPr>
        <w:t>The Journal of Medicinal Materials only publishes high-quality scientific research articles, which are concisely compiled and comply with the guidelines for writing articles of the Journal of Medicinal Materials. All research results are objectively assessed and reviewed by</w:t>
      </w:r>
      <w:r w:rsidRPr="005E6B7C">
        <w:rPr>
          <w:rFonts w:asciiTheme="majorHAnsi" w:eastAsia="Yu Mincho" w:hAnsiTheme="majorHAnsi" w:cstheme="majorHAnsi"/>
          <w:color w:val="EE0000"/>
          <w:sz w:val="22"/>
          <w:szCs w:val="22"/>
          <w:lang w:val="vi-VN" w:eastAsia="ja-JP"/>
        </w:rPr>
        <w:t xml:space="preserve"> at least two</w:t>
      </w:r>
      <w:r w:rsidRPr="005E6B7C">
        <w:rPr>
          <w:rFonts w:asciiTheme="majorHAnsi" w:eastAsia="Yu Mincho" w:hAnsiTheme="majorHAnsi" w:cstheme="majorHAnsi"/>
          <w:color w:val="EE0000"/>
          <w:sz w:val="22"/>
          <w:szCs w:val="22"/>
          <w:lang w:eastAsia="ja-JP"/>
        </w:rPr>
        <w:t xml:space="preserve"> independent experts.</w:t>
      </w:r>
      <w:r w:rsidRPr="005E6B7C">
        <w:rPr>
          <w:rFonts w:asciiTheme="majorHAnsi" w:eastAsia="Yu Mincho" w:hAnsiTheme="majorHAnsi" w:cstheme="majorHAnsi"/>
          <w:color w:val="EE0000"/>
          <w:sz w:val="22"/>
          <w:szCs w:val="22"/>
          <w:lang w:val="vi-VN" w:eastAsia="ja-JP"/>
        </w:rPr>
        <w:t xml:space="preserve"> </w:t>
      </w:r>
    </w:p>
    <w:p w14:paraId="2208D2ED" w14:textId="4AD7D315"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 xml:space="preserve">The </w:t>
      </w:r>
      <w:r w:rsidRPr="005E6B7C">
        <w:rPr>
          <w:rFonts w:asciiTheme="majorHAnsi" w:eastAsia="Yu Mincho" w:hAnsiTheme="majorHAnsi" w:cstheme="majorHAnsi"/>
          <w:b/>
          <w:bCs/>
          <w:color w:val="EE0000"/>
          <w:sz w:val="22"/>
          <w:szCs w:val="22"/>
          <w:lang w:val="vi-VN" w:eastAsia="ja-JP"/>
        </w:rPr>
        <w:t xml:space="preserve">V.IMPACT-2026 </w:t>
      </w:r>
      <w:r w:rsidR="00777FF2" w:rsidRPr="005E6B7C">
        <w:rPr>
          <w:rFonts w:asciiTheme="majorHAnsi" w:eastAsia="Yu Mincho" w:hAnsiTheme="majorHAnsi" w:cstheme="majorHAnsi"/>
          <w:b/>
          <w:bCs/>
          <w:color w:val="EE0000"/>
          <w:sz w:val="22"/>
          <w:szCs w:val="22"/>
          <w:lang w:val="vi-VN" w:eastAsia="ja-JP"/>
        </w:rPr>
        <w:t>I</w:t>
      </w:r>
      <w:r w:rsidRPr="005E6B7C">
        <w:rPr>
          <w:rFonts w:asciiTheme="majorHAnsi" w:eastAsia="Yu Mincho" w:hAnsiTheme="majorHAnsi" w:cstheme="majorHAnsi"/>
          <w:b/>
          <w:bCs/>
          <w:color w:val="EE0000"/>
          <w:sz w:val="22"/>
          <w:szCs w:val="22"/>
          <w:lang w:val="vi-VN" w:eastAsia="ja-JP"/>
        </w:rPr>
        <w:t xml:space="preserve">nternational </w:t>
      </w:r>
      <w:r w:rsidR="00777FF2" w:rsidRPr="005E6B7C">
        <w:rPr>
          <w:rFonts w:asciiTheme="majorHAnsi" w:eastAsia="Yu Mincho" w:hAnsiTheme="majorHAnsi" w:cstheme="majorHAnsi"/>
          <w:b/>
          <w:bCs/>
          <w:color w:val="EE0000"/>
          <w:sz w:val="22"/>
          <w:szCs w:val="22"/>
          <w:lang w:val="vi-VN" w:eastAsia="ja-JP"/>
        </w:rPr>
        <w:t>C</w:t>
      </w:r>
      <w:r w:rsidR="0044085B" w:rsidRPr="005E6B7C">
        <w:rPr>
          <w:rFonts w:asciiTheme="majorHAnsi" w:eastAsia="Yu Mincho" w:hAnsiTheme="majorHAnsi" w:cstheme="majorHAnsi"/>
          <w:b/>
          <w:bCs/>
          <w:color w:val="EE0000"/>
          <w:sz w:val="22"/>
          <w:szCs w:val="22"/>
          <w:lang w:val="vi-VN" w:eastAsia="ja-JP"/>
        </w:rPr>
        <w:t>o</w:t>
      </w:r>
      <w:r w:rsidRPr="005E6B7C">
        <w:rPr>
          <w:rFonts w:asciiTheme="majorHAnsi" w:eastAsia="Yu Mincho" w:hAnsiTheme="majorHAnsi" w:cstheme="majorHAnsi"/>
          <w:b/>
          <w:bCs/>
          <w:color w:val="EE0000"/>
          <w:sz w:val="22"/>
          <w:szCs w:val="22"/>
          <w:lang w:val="vi-VN" w:eastAsia="ja-JP"/>
        </w:rPr>
        <w:t>nference</w:t>
      </w:r>
      <w:r w:rsidRPr="005E6B7C">
        <w:rPr>
          <w:rFonts w:asciiTheme="majorHAnsi" w:eastAsia="Yu Mincho" w:hAnsiTheme="majorHAnsi" w:cstheme="majorHAnsi"/>
          <w:color w:val="EE0000"/>
          <w:sz w:val="22"/>
          <w:szCs w:val="22"/>
          <w:lang w:val="vi-VN" w:eastAsia="ja-JP"/>
        </w:rPr>
        <w:t xml:space="preserve">, under the theme </w:t>
      </w:r>
      <w:r w:rsidRPr="005E6B7C">
        <w:rPr>
          <w:rFonts w:asciiTheme="majorHAnsi" w:eastAsia="Yu Mincho" w:hAnsiTheme="majorHAnsi" w:cstheme="majorHAnsi"/>
          <w:i/>
          <w:iCs/>
          <w:color w:val="EE0000"/>
          <w:sz w:val="22"/>
          <w:szCs w:val="22"/>
          <w:lang w:val="vi-VN" w:eastAsia="ja-JP"/>
        </w:rPr>
        <w:t xml:space="preserve">“Innovation in the Sustainable Development of Herbal Medicines”. </w:t>
      </w:r>
      <w:r w:rsidRPr="005E6B7C">
        <w:rPr>
          <w:rFonts w:asciiTheme="majorHAnsi" w:eastAsia="Yu Mincho" w:hAnsiTheme="majorHAnsi" w:cstheme="majorHAnsi"/>
          <w:color w:val="EE0000"/>
          <w:sz w:val="22"/>
          <w:szCs w:val="22"/>
          <w:lang w:val="vi-VN" w:eastAsia="ja-JP"/>
        </w:rPr>
        <w:t xml:space="preserve">The conference serves as a platform to strengthen collaboration in research, education, and technology transfer, while fostering meaningful connections among scientists, policymakers, and industry stakeholders both nationally and internationally. </w:t>
      </w:r>
    </w:p>
    <w:p w14:paraId="4790A264" w14:textId="64A54320"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eastAsia="ja-JP"/>
        </w:rPr>
        <w:t xml:space="preserve">In </w:t>
      </w:r>
      <w:r w:rsidR="00305816" w:rsidRPr="005E6B7C">
        <w:rPr>
          <w:rFonts w:asciiTheme="majorHAnsi" w:eastAsia="Yu Mincho" w:hAnsiTheme="majorHAnsi" w:cstheme="majorHAnsi"/>
          <w:color w:val="EE0000"/>
          <w:sz w:val="22"/>
          <w:szCs w:val="22"/>
          <w:lang w:eastAsia="ja-JP"/>
        </w:rPr>
        <w:t>alignment</w:t>
      </w:r>
      <w:r w:rsidR="00305816" w:rsidRPr="005E6B7C">
        <w:rPr>
          <w:rFonts w:asciiTheme="majorHAnsi" w:eastAsia="Yu Mincho" w:hAnsiTheme="majorHAnsi" w:cstheme="majorHAnsi"/>
          <w:color w:val="EE0000"/>
          <w:sz w:val="22"/>
          <w:szCs w:val="22"/>
          <w:lang w:val="vi-VN" w:eastAsia="ja-JP"/>
        </w:rPr>
        <w:t xml:space="preserve"> </w:t>
      </w:r>
      <w:r w:rsidRPr="005E6B7C">
        <w:rPr>
          <w:rFonts w:asciiTheme="majorHAnsi" w:eastAsia="Yu Mincho" w:hAnsiTheme="majorHAnsi" w:cstheme="majorHAnsi"/>
          <w:color w:val="EE0000"/>
          <w:sz w:val="22"/>
          <w:szCs w:val="22"/>
          <w:lang w:eastAsia="ja-JP"/>
        </w:rPr>
        <w:t>with national strategies such as Resolution No. 57-NQ/TW and Directive No. 25/CT-TTg, the medicinal materials sector is transitioning from resource-based exploitation to science</w:t>
      </w:r>
      <w:r w:rsidRPr="005E6B7C">
        <w:rPr>
          <w:rFonts w:asciiTheme="majorHAnsi" w:eastAsia="Yu Mincho" w:hAnsiTheme="majorHAnsi" w:cstheme="majorHAnsi"/>
          <w:color w:val="EE0000"/>
          <w:sz w:val="22"/>
          <w:szCs w:val="22"/>
          <w:lang w:val="vi-VN" w:eastAsia="ja-JP"/>
        </w:rPr>
        <w:t xml:space="preserve"> &amp;</w:t>
      </w:r>
      <w:r w:rsidRPr="005E6B7C">
        <w:rPr>
          <w:rFonts w:asciiTheme="majorHAnsi" w:eastAsia="Yu Mincho" w:hAnsiTheme="majorHAnsi" w:cstheme="majorHAnsi"/>
          <w:color w:val="EE0000"/>
          <w:sz w:val="22"/>
          <w:szCs w:val="22"/>
          <w:lang w:eastAsia="ja-JP"/>
        </w:rPr>
        <w:t xml:space="preserve"> technology-driven development. This Special Issue aims to highlight priority research directions and support modern, sustainable, and internationally integrated development.</w:t>
      </w:r>
    </w:p>
    <w:p w14:paraId="3ED68F26" w14:textId="77777777" w:rsidR="00A61634"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 xml:space="preserve">On behalf of the Editorial Board, </w:t>
      </w:r>
      <w:r w:rsidR="00A61634" w:rsidRPr="005E6B7C">
        <w:rPr>
          <w:rFonts w:asciiTheme="majorHAnsi" w:eastAsia="Yu Mincho" w:hAnsiTheme="majorHAnsi" w:cstheme="majorHAnsi"/>
          <w:color w:val="EE0000"/>
          <w:sz w:val="22"/>
          <w:szCs w:val="22"/>
          <w:lang w:eastAsia="ja-JP"/>
        </w:rPr>
        <w:t>I would like to express my deepest gratitude to the scientific community and our partners for your continued trust and invaluable contributions</w:t>
      </w:r>
      <w:r w:rsidRPr="005E6B7C">
        <w:rPr>
          <w:rFonts w:asciiTheme="majorHAnsi" w:eastAsia="Yu Mincho" w:hAnsiTheme="majorHAnsi" w:cstheme="majorHAnsi"/>
          <w:color w:val="EE0000"/>
          <w:sz w:val="22"/>
          <w:szCs w:val="22"/>
          <w:lang w:val="vi-VN" w:eastAsia="ja-JP"/>
        </w:rPr>
        <w:t xml:space="preserve">. </w:t>
      </w:r>
    </w:p>
    <w:p w14:paraId="12B2BD6F" w14:textId="4DC94E88"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We look forward to receiving more high-quality submissions in the future.</w:t>
      </w:r>
    </w:p>
    <w:p w14:paraId="6E19FC66" w14:textId="77777777"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Wishing you good health and continued success.</w:t>
      </w:r>
    </w:p>
    <w:p w14:paraId="75F4D448" w14:textId="77777777" w:rsidR="00E049CB" w:rsidRPr="005E6B7C" w:rsidRDefault="00E049CB" w:rsidP="008C0D47">
      <w:pPr>
        <w:widowControl/>
        <w:spacing w:before="120" w:after="120"/>
        <w:ind w:firstLine="284"/>
        <w:jc w:val="both"/>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color w:val="EE0000"/>
          <w:sz w:val="22"/>
          <w:szCs w:val="22"/>
          <w:lang w:val="vi-VN" w:eastAsia="ja-JP"/>
        </w:rPr>
        <w:t>Sincerely,</w:t>
      </w:r>
    </w:p>
    <w:p w14:paraId="61CD0F2A" w14:textId="77777777" w:rsidR="000F5A09" w:rsidRPr="005E6B7C" w:rsidRDefault="000F5A09" w:rsidP="000F5A09">
      <w:pPr>
        <w:widowControl/>
        <w:spacing w:before="120" w:after="120"/>
        <w:ind w:left="4168" w:firstLine="284"/>
        <w:jc w:val="center"/>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b/>
          <w:bCs/>
          <w:color w:val="EE0000"/>
          <w:sz w:val="22"/>
          <w:szCs w:val="22"/>
          <w:lang w:val="vi-VN" w:eastAsia="ja-JP"/>
        </w:rPr>
        <w:t>On behalf of the Editorial Board,</w:t>
      </w:r>
    </w:p>
    <w:p w14:paraId="20D02818" w14:textId="6C9EED5E" w:rsidR="000F5A09" w:rsidRPr="005E6B7C" w:rsidRDefault="000F5A09" w:rsidP="000F5A09">
      <w:pPr>
        <w:widowControl/>
        <w:spacing w:before="120" w:after="120"/>
        <w:ind w:left="4168" w:firstLine="284"/>
        <w:jc w:val="center"/>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b/>
          <w:bCs/>
          <w:color w:val="EE0000"/>
          <w:sz w:val="22"/>
          <w:szCs w:val="22"/>
          <w:lang w:val="vi-VN" w:eastAsia="ja-JP"/>
        </w:rPr>
        <w:t>Assoc. Prof. Ha Thi Do, PhD</w:t>
      </w:r>
    </w:p>
    <w:p w14:paraId="3B568DED" w14:textId="77777777" w:rsidR="000F5A09" w:rsidRPr="005E6B7C" w:rsidRDefault="000F5A09" w:rsidP="000F5A09">
      <w:pPr>
        <w:widowControl/>
        <w:spacing w:before="120" w:after="120"/>
        <w:ind w:left="4168" w:firstLine="284"/>
        <w:jc w:val="center"/>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i/>
          <w:iCs/>
          <w:color w:val="EE0000"/>
          <w:sz w:val="22"/>
          <w:szCs w:val="22"/>
          <w:lang w:val="vi-VN" w:eastAsia="ja-JP"/>
        </w:rPr>
        <w:t>Editor-in-Chief</w:t>
      </w:r>
      <w:r w:rsidRPr="005E6B7C">
        <w:rPr>
          <w:rFonts w:asciiTheme="majorHAnsi" w:eastAsia="Yu Mincho" w:hAnsiTheme="majorHAnsi" w:cstheme="majorHAnsi"/>
          <w:color w:val="EE0000"/>
          <w:sz w:val="22"/>
          <w:szCs w:val="22"/>
          <w:lang w:val="vi-VN" w:eastAsia="ja-JP"/>
        </w:rPr>
        <w:t xml:space="preserve"> </w:t>
      </w:r>
    </w:p>
    <w:p w14:paraId="12CBB40C" w14:textId="733B0C5F" w:rsidR="000F5A09" w:rsidRPr="005E6B7C" w:rsidRDefault="000F5A09" w:rsidP="000F5A09">
      <w:pPr>
        <w:widowControl/>
        <w:spacing w:before="120" w:after="120"/>
        <w:ind w:left="4168" w:firstLine="284"/>
        <w:jc w:val="center"/>
        <w:rPr>
          <w:rFonts w:asciiTheme="majorHAnsi" w:eastAsia="Yu Mincho" w:hAnsiTheme="majorHAnsi" w:cstheme="majorHAnsi"/>
          <w:color w:val="EE0000"/>
          <w:sz w:val="22"/>
          <w:szCs w:val="22"/>
          <w:lang w:val="vi-VN" w:eastAsia="ja-JP"/>
        </w:rPr>
      </w:pPr>
      <w:r w:rsidRPr="005E6B7C">
        <w:rPr>
          <w:rFonts w:asciiTheme="majorHAnsi" w:eastAsia="Yu Mincho" w:hAnsiTheme="majorHAnsi" w:cstheme="majorHAnsi"/>
          <w:i/>
          <w:iCs/>
          <w:color w:val="EE0000"/>
          <w:sz w:val="22"/>
          <w:szCs w:val="22"/>
          <w:lang w:val="vi-VN" w:eastAsia="ja-JP"/>
        </w:rPr>
        <w:t>Journal of Medicinal Materials</w:t>
      </w:r>
    </w:p>
    <w:p w14:paraId="4AAC5436" w14:textId="77777777" w:rsidR="000F5A09" w:rsidRPr="005E6B7C" w:rsidRDefault="000F5A09" w:rsidP="008C0D47">
      <w:pPr>
        <w:widowControl/>
        <w:spacing w:before="120" w:after="120"/>
        <w:ind w:firstLine="284"/>
        <w:jc w:val="both"/>
        <w:rPr>
          <w:rFonts w:asciiTheme="majorHAnsi" w:eastAsia="Yu Mincho" w:hAnsiTheme="majorHAnsi" w:cstheme="majorHAnsi"/>
          <w:color w:val="EE0000"/>
          <w:sz w:val="22"/>
          <w:szCs w:val="22"/>
          <w:lang w:val="vi-VN" w:eastAsia="ja-JP"/>
        </w:rPr>
      </w:pPr>
    </w:p>
    <w:p w14:paraId="79A696E7" w14:textId="28052862" w:rsidR="002E1E4C" w:rsidRPr="005E6B7C" w:rsidRDefault="002E1E4C" w:rsidP="008C0D47">
      <w:pPr>
        <w:widowControl/>
        <w:spacing w:before="120" w:after="120"/>
        <w:ind w:left="4680"/>
        <w:jc w:val="center"/>
        <w:rPr>
          <w:rFonts w:asciiTheme="majorHAnsi" w:eastAsia="Yu Mincho" w:hAnsiTheme="majorHAnsi" w:cstheme="majorHAnsi"/>
          <w:b/>
          <w:bCs/>
          <w:color w:val="EE0000"/>
          <w:sz w:val="26"/>
          <w:szCs w:val="26"/>
          <w:lang w:eastAsia="ja-JP"/>
        </w:rPr>
      </w:pPr>
    </w:p>
    <w:p w14:paraId="271B6D78" w14:textId="62435794" w:rsidR="000F5A09" w:rsidRPr="005E6B7C" w:rsidRDefault="000F5A09">
      <w:pPr>
        <w:widowControl/>
        <w:spacing w:after="200" w:line="276" w:lineRule="auto"/>
        <w:rPr>
          <w:rFonts w:asciiTheme="majorHAnsi" w:eastAsia="Yu Mincho" w:hAnsiTheme="majorHAnsi" w:cstheme="majorHAnsi"/>
          <w:b/>
          <w:bCs/>
          <w:color w:val="EE0000"/>
          <w:sz w:val="26"/>
          <w:szCs w:val="26"/>
          <w:lang w:val="vi-VN" w:eastAsia="ja-JP"/>
        </w:rPr>
      </w:pPr>
      <w:r w:rsidRPr="005E6B7C">
        <w:rPr>
          <w:rFonts w:asciiTheme="majorHAnsi" w:eastAsia="Yu Mincho" w:hAnsiTheme="majorHAnsi" w:cstheme="majorHAnsi"/>
          <w:b/>
          <w:bCs/>
          <w:color w:val="EE0000"/>
          <w:sz w:val="26"/>
          <w:szCs w:val="26"/>
          <w:lang w:val="vi-VN" w:eastAsia="ja-JP"/>
        </w:rPr>
        <w:br w:type="page"/>
      </w:r>
    </w:p>
    <w:p w14:paraId="4C83B171" w14:textId="77777777" w:rsidR="000F5A09" w:rsidRPr="005E6B7C" w:rsidRDefault="000F5A09" w:rsidP="000F5A09">
      <w:pPr>
        <w:widowControl/>
        <w:ind w:left="4680"/>
        <w:jc w:val="center"/>
        <w:rPr>
          <w:rFonts w:asciiTheme="majorHAnsi" w:eastAsia="Yu Mincho" w:hAnsiTheme="majorHAnsi" w:cstheme="majorHAnsi"/>
          <w:b/>
          <w:bCs/>
          <w:color w:val="EE0000"/>
          <w:sz w:val="26"/>
          <w:szCs w:val="26"/>
          <w:lang w:val="vi-VN" w:eastAsia="ja-JP"/>
        </w:rPr>
      </w:pPr>
    </w:p>
    <w:p w14:paraId="75DA7FE0" w14:textId="26C9CF1E" w:rsidR="00E049CB" w:rsidRPr="005E6B7C" w:rsidRDefault="002E1E4C" w:rsidP="00777FF2">
      <w:pPr>
        <w:widowControl/>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REVIEW</w:t>
      </w:r>
    </w:p>
    <w:p w14:paraId="5A68A2D1" w14:textId="77777777" w:rsidR="00E049CB" w:rsidRPr="005E6B7C" w:rsidRDefault="00E049CB" w:rsidP="008C0D47">
      <w:pPr>
        <w:widowControl/>
        <w:tabs>
          <w:tab w:val="left" w:pos="270"/>
          <w:tab w:val="left" w:pos="9270"/>
        </w:tabs>
        <w:jc w:val="both"/>
        <w:rPr>
          <w:rFonts w:asciiTheme="majorHAnsi" w:eastAsia="Yu Mincho" w:hAnsiTheme="majorHAnsi" w:cstheme="majorHAnsi"/>
          <w:b/>
          <w:bCs/>
          <w:color w:val="000000" w:themeColor="text1"/>
          <w:sz w:val="22"/>
          <w:szCs w:val="22"/>
          <w:lang w:eastAsia="ja-JP"/>
        </w:rPr>
      </w:pPr>
    </w:p>
    <w:p w14:paraId="7B3B223C" w14:textId="77777777" w:rsidR="00367819" w:rsidRPr="005E6B7C" w:rsidRDefault="00367819" w:rsidP="008C0D47">
      <w:pPr>
        <w:widowControl/>
        <w:tabs>
          <w:tab w:val="left" w:pos="270"/>
          <w:tab w:val="left" w:pos="9270"/>
        </w:tabs>
        <w:ind w:right="-20"/>
        <w:rPr>
          <w:rFonts w:asciiTheme="majorHAnsi" w:eastAsia="Yu Mincho" w:hAnsiTheme="majorHAnsi" w:cstheme="majorHAnsi"/>
          <w:b/>
          <w:bCs/>
          <w:i/>
          <w:color w:val="000000" w:themeColor="text1"/>
          <w:sz w:val="26"/>
          <w:szCs w:val="26"/>
          <w:lang w:eastAsia="ja-JP"/>
        </w:rPr>
      </w:pPr>
      <w:bookmarkStart w:id="0" w:name="_Hlk225252183"/>
      <w:r w:rsidRPr="005E6B7C">
        <w:rPr>
          <w:rFonts w:asciiTheme="majorHAnsi" w:eastAsia="Yu Mincho" w:hAnsiTheme="majorHAnsi" w:cstheme="majorHAnsi"/>
          <w:b/>
          <w:bCs/>
          <w:i/>
          <w:color w:val="000000" w:themeColor="text1"/>
          <w:sz w:val="26"/>
          <w:szCs w:val="26"/>
          <w:lang w:eastAsia="ja-JP"/>
        </w:rPr>
        <w:t>Journal of Medicinal Materials, 2026, Vol. 31, No. 1+2 (pp.</w:t>
      </w:r>
      <w:r w:rsidR="00FF510E" w:rsidRPr="005E6B7C">
        <w:rPr>
          <w:rFonts w:asciiTheme="majorHAnsi" w:eastAsia="Yu Mincho" w:hAnsiTheme="majorHAnsi" w:cstheme="majorHAnsi"/>
          <w:b/>
          <w:bCs/>
          <w:i/>
          <w:color w:val="000000" w:themeColor="text1"/>
          <w:sz w:val="26"/>
          <w:szCs w:val="26"/>
          <w:lang w:eastAsia="ja-JP"/>
        </w:rPr>
        <w:t xml:space="preserve"> 4 </w:t>
      </w:r>
      <w:r w:rsidR="005A2B3C" w:rsidRPr="005E6B7C">
        <w:rPr>
          <w:rFonts w:asciiTheme="majorHAnsi" w:eastAsia="Yu Mincho" w:hAnsiTheme="majorHAnsi" w:cstheme="majorHAnsi"/>
          <w:b/>
          <w:bCs/>
          <w:i/>
          <w:color w:val="000000" w:themeColor="text1"/>
          <w:sz w:val="26"/>
          <w:szCs w:val="26"/>
          <w:lang w:eastAsia="ja-JP"/>
        </w:rPr>
        <w:t>-</w:t>
      </w:r>
      <w:r w:rsidR="0021087C" w:rsidRPr="005E6B7C">
        <w:rPr>
          <w:rFonts w:asciiTheme="majorHAnsi" w:eastAsia="Yu Mincho" w:hAnsiTheme="majorHAnsi" w:cstheme="majorHAnsi"/>
          <w:b/>
          <w:bCs/>
          <w:i/>
          <w:color w:val="000000" w:themeColor="text1"/>
          <w:sz w:val="26"/>
          <w:szCs w:val="26"/>
          <w:lang w:eastAsia="ja-JP"/>
        </w:rPr>
        <w:t xml:space="preserve"> 9</w:t>
      </w:r>
      <w:r w:rsidRPr="005E6B7C">
        <w:rPr>
          <w:rFonts w:asciiTheme="majorHAnsi" w:eastAsia="Yu Mincho" w:hAnsiTheme="majorHAnsi" w:cstheme="majorHAnsi"/>
          <w:b/>
          <w:bCs/>
          <w:i/>
          <w:color w:val="000000" w:themeColor="text1"/>
          <w:sz w:val="26"/>
          <w:szCs w:val="26"/>
          <w:lang w:eastAsia="ja-JP"/>
        </w:rPr>
        <w:t>)</w:t>
      </w:r>
    </w:p>
    <w:p w14:paraId="269D50BC" w14:textId="77777777" w:rsidR="00367819" w:rsidRPr="005E6B7C" w:rsidRDefault="00367819" w:rsidP="008C0D47">
      <w:pPr>
        <w:widowControl/>
        <w:tabs>
          <w:tab w:val="left" w:pos="270"/>
          <w:tab w:val="left" w:pos="9270"/>
        </w:tabs>
        <w:ind w:right="-20"/>
        <w:jc w:val="center"/>
        <w:rPr>
          <w:rFonts w:asciiTheme="majorHAnsi" w:eastAsia="Yu Mincho" w:hAnsiTheme="majorHAnsi" w:cstheme="majorHAnsi"/>
          <w:b/>
          <w:bCs/>
          <w:color w:val="000000" w:themeColor="text1"/>
          <w:sz w:val="22"/>
          <w:szCs w:val="22"/>
          <w:lang w:eastAsia="ja-JP"/>
        </w:rPr>
      </w:pPr>
    </w:p>
    <w:p w14:paraId="2191E26C" w14:textId="77777777" w:rsidR="00266B26" w:rsidRPr="005E6B7C" w:rsidRDefault="00E049CB" w:rsidP="008C0D47">
      <w:pPr>
        <w:widowControl/>
        <w:tabs>
          <w:tab w:val="left" w:pos="270"/>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RESULTS OF SCIENTIFIC ACTIVITIES OF </w:t>
      </w:r>
    </w:p>
    <w:p w14:paraId="30AE4539" w14:textId="74A80F38" w:rsidR="00C247FE" w:rsidRPr="005E6B7C" w:rsidRDefault="00E049CB" w:rsidP="008C0D47">
      <w:pPr>
        <w:widowControl/>
        <w:tabs>
          <w:tab w:val="left" w:pos="270"/>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THE NATIONAL INSTITUTE OF MEDICINAL MATERIALS (2016–2025) </w:t>
      </w:r>
    </w:p>
    <w:p w14:paraId="28A263DD" w14:textId="77777777" w:rsidR="00E049CB" w:rsidRPr="005E6B7C" w:rsidRDefault="00E049CB" w:rsidP="008C0D47">
      <w:pPr>
        <w:widowControl/>
        <w:tabs>
          <w:tab w:val="left" w:pos="270"/>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AND DEVELOPMENT ORIENTATION TOWARD 2030</w:t>
      </w:r>
    </w:p>
    <w:p w14:paraId="78DDEC0D" w14:textId="77777777" w:rsidR="00E049CB" w:rsidRPr="005E6B7C" w:rsidRDefault="00E049CB" w:rsidP="008C0D47">
      <w:pPr>
        <w:widowControl/>
        <w:tabs>
          <w:tab w:val="left" w:pos="9270"/>
        </w:tabs>
        <w:ind w:right="-20"/>
        <w:jc w:val="center"/>
        <w:rPr>
          <w:rFonts w:asciiTheme="majorHAnsi" w:eastAsia="Yu Mincho" w:hAnsiTheme="majorHAnsi" w:cstheme="majorHAnsi"/>
          <w:b/>
          <w:bCs/>
          <w:i/>
          <w:iCs/>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Tran Minh Ngoc, Do Thi Ha, Pham Tuan Anh</w:t>
      </w:r>
    </w:p>
    <w:p w14:paraId="74B59599" w14:textId="26B2D685" w:rsidR="00E049CB" w:rsidRPr="005E6B7C" w:rsidRDefault="00E049CB" w:rsidP="008C0D47">
      <w:pPr>
        <w:widowControl/>
        <w:pBdr>
          <w:top w:val="nil"/>
          <w:left w:val="nil"/>
          <w:bottom w:val="nil"/>
          <w:right w:val="nil"/>
          <w:between w:val="nil"/>
        </w:pBdr>
        <w:tabs>
          <w:tab w:val="left" w:pos="360"/>
          <w:tab w:val="left" w:pos="450"/>
          <w:tab w:val="left" w:pos="1170"/>
          <w:tab w:val="left" w:pos="9900"/>
        </w:tabs>
        <w:ind w:right="-20"/>
        <w:jc w:val="center"/>
        <w:rPr>
          <w:rFonts w:asciiTheme="majorHAnsi" w:eastAsia="Yu Mincho" w:hAnsiTheme="majorHAnsi" w:cstheme="majorHAnsi"/>
          <w:bCs/>
          <w:i/>
          <w:iCs/>
          <w:color w:val="000000" w:themeColor="text1"/>
          <w:sz w:val="20"/>
          <w:szCs w:val="20"/>
          <w:lang w:eastAsia="ja-JP"/>
        </w:rPr>
      </w:pPr>
      <w:r w:rsidRPr="005E6B7C">
        <w:rPr>
          <w:rFonts w:asciiTheme="majorHAnsi" w:eastAsia="Yu Mincho" w:hAnsiTheme="majorHAnsi" w:cstheme="majorHAnsi"/>
          <w:i/>
          <w:iCs/>
          <w:color w:val="000000" w:themeColor="text1"/>
          <w:sz w:val="22"/>
          <w:szCs w:val="22"/>
          <w:lang w:eastAsia="ja-JP"/>
        </w:rPr>
        <w:t>National Institute of Medic</w:t>
      </w:r>
      <w:r w:rsidR="00B115A7" w:rsidRPr="005E6B7C">
        <w:rPr>
          <w:rFonts w:asciiTheme="majorHAnsi" w:eastAsia="Yu Mincho" w:hAnsiTheme="majorHAnsi" w:cstheme="majorHAnsi"/>
          <w:i/>
          <w:iCs/>
          <w:color w:val="000000" w:themeColor="text1"/>
          <w:sz w:val="22"/>
          <w:szCs w:val="22"/>
          <w:lang w:eastAsia="ja-JP"/>
        </w:rPr>
        <w:t>inal</w:t>
      </w:r>
      <w:r w:rsidRPr="005E6B7C">
        <w:rPr>
          <w:rFonts w:asciiTheme="majorHAnsi" w:eastAsia="Yu Mincho" w:hAnsiTheme="majorHAnsi" w:cstheme="majorHAnsi"/>
          <w:i/>
          <w:iCs/>
          <w:color w:val="000000" w:themeColor="text1"/>
          <w:sz w:val="22"/>
          <w:szCs w:val="22"/>
          <w:lang w:eastAsia="ja-JP"/>
        </w:rPr>
        <w:t xml:space="preserve"> Materials (NIMM), Hanoi 11018, Vietnam</w:t>
      </w:r>
    </w:p>
    <w:p w14:paraId="7538F78E" w14:textId="77777777" w:rsidR="00E049CB" w:rsidRPr="005E6B7C" w:rsidRDefault="00E049CB" w:rsidP="008C0D47">
      <w:pPr>
        <w:keepNext/>
        <w:keepLines/>
        <w:widowControl/>
        <w:tabs>
          <w:tab w:val="left" w:pos="270"/>
          <w:tab w:val="left" w:pos="9270"/>
        </w:tabs>
        <w:ind w:right="-20"/>
        <w:jc w:val="center"/>
        <w:outlineLvl w:val="0"/>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Summary</w:t>
      </w:r>
    </w:p>
    <w:p w14:paraId="2FD08158" w14:textId="77777777" w:rsidR="004C1A23" w:rsidRPr="005E6B7C" w:rsidRDefault="00E049CB" w:rsidP="008C0D47">
      <w:pPr>
        <w:widowControl/>
        <w:tabs>
          <w:tab w:val="left" w:pos="270"/>
          <w:tab w:val="left" w:pos="9270"/>
        </w:tabs>
        <w:spacing w:line="184" w:lineRule="exact"/>
        <w:ind w:right="-23" w:firstLine="284"/>
        <w:jc w:val="both"/>
        <w:rPr>
          <w:rFonts w:asciiTheme="majorHAnsi" w:eastAsia="Yu Mincho" w:hAnsiTheme="majorHAnsi" w:cstheme="majorHAnsi"/>
          <w:color w:val="EE0000"/>
          <w:spacing w:val="-4"/>
          <w:sz w:val="18"/>
          <w:szCs w:val="18"/>
          <w:lang w:val="vi-VN" w:eastAsia="ja-JP"/>
        </w:rPr>
      </w:pPr>
      <w:r w:rsidRPr="005E6B7C">
        <w:rPr>
          <w:rFonts w:asciiTheme="majorHAnsi" w:eastAsia="Yu Mincho" w:hAnsiTheme="majorHAnsi" w:cstheme="majorHAnsi"/>
          <w:color w:val="000000" w:themeColor="text1"/>
          <w:spacing w:val="-4"/>
          <w:sz w:val="18"/>
          <w:szCs w:val="18"/>
          <w:lang w:eastAsia="ja-JP"/>
        </w:rPr>
        <w:t>This article provides a comprehensive review of the scientific and technological (S&amp;T) activities of the National Institute of Medicinal Materials (NIMM), Ministry of Health of Viet</w:t>
      </w:r>
      <w:r w:rsidR="00173548" w:rsidRPr="005E6B7C">
        <w:rPr>
          <w:rFonts w:asciiTheme="majorHAnsi" w:eastAsia="Yu Mincho" w:hAnsiTheme="majorHAnsi" w:cstheme="majorHAnsi"/>
          <w:color w:val="000000" w:themeColor="text1"/>
          <w:spacing w:val="-4"/>
          <w:sz w:val="18"/>
          <w:szCs w:val="18"/>
          <w:lang w:eastAsia="ja-JP"/>
        </w:rPr>
        <w:t>n</w:t>
      </w:r>
      <w:r w:rsidRPr="005E6B7C">
        <w:rPr>
          <w:rFonts w:asciiTheme="majorHAnsi" w:eastAsia="Yu Mincho" w:hAnsiTheme="majorHAnsi" w:cstheme="majorHAnsi"/>
          <w:color w:val="000000" w:themeColor="text1"/>
          <w:spacing w:val="-4"/>
          <w:sz w:val="18"/>
          <w:szCs w:val="18"/>
          <w:lang w:eastAsia="ja-JP"/>
        </w:rPr>
        <w:t>am, during the 2021–2025 period, and outlines strategic development orientations toward 2030 to mark the Institute's 65</w:t>
      </w:r>
      <w:r w:rsidRPr="005E6B7C">
        <w:rPr>
          <w:rFonts w:asciiTheme="majorHAnsi" w:eastAsia="Yu Mincho" w:hAnsiTheme="majorHAnsi" w:cstheme="majorHAnsi"/>
          <w:color w:val="000000" w:themeColor="text1"/>
          <w:spacing w:val="-4"/>
          <w:sz w:val="18"/>
          <w:szCs w:val="18"/>
          <w:vertAlign w:val="superscript"/>
          <w:lang w:eastAsia="ja-JP"/>
        </w:rPr>
        <w:t>th</w:t>
      </w:r>
      <w:r w:rsidRPr="005E6B7C">
        <w:rPr>
          <w:rFonts w:asciiTheme="majorHAnsi" w:eastAsia="Yu Mincho" w:hAnsiTheme="majorHAnsi" w:cstheme="majorHAnsi"/>
          <w:color w:val="000000" w:themeColor="text1"/>
          <w:spacing w:val="-4"/>
          <w:sz w:val="18"/>
          <w:szCs w:val="18"/>
          <w:lang w:eastAsia="ja-JP"/>
        </w:rPr>
        <w:t xml:space="preserve"> anniversary (1961–2026). During 2021–2025, NIMM conducted 443 S&amp;T research projects across national, ministerial, local, and grassroots levels; published 563 scientific papers (representing a 48.2% increase over the preceding period, including 135 international publications which alone saw an 82.4% increase); conferred 25 doctoral degrees; officially registered 10 medicinal plant varieties for commercial circulation; issued 97 technical procedures for medicinal plant breeding and production; </w:t>
      </w:r>
      <w:r w:rsidRPr="005E6B7C">
        <w:rPr>
          <w:rFonts w:asciiTheme="majorHAnsi" w:eastAsia="Yu Mincho" w:hAnsiTheme="majorHAnsi" w:cstheme="majorHAnsi"/>
          <w:color w:val="EE0000"/>
          <w:spacing w:val="-4"/>
          <w:sz w:val="18"/>
          <w:szCs w:val="18"/>
          <w:lang w:eastAsia="ja-JP"/>
        </w:rPr>
        <w:t xml:space="preserve">isolated more than </w:t>
      </w:r>
      <w:r w:rsidR="004C1A23" w:rsidRPr="005E6B7C">
        <w:rPr>
          <w:rFonts w:asciiTheme="majorHAnsi" w:eastAsia="Yu Mincho" w:hAnsiTheme="majorHAnsi" w:cstheme="majorHAnsi"/>
          <w:color w:val="EE0000"/>
          <w:spacing w:val="-4"/>
          <w:sz w:val="18"/>
          <w:szCs w:val="18"/>
          <w:lang w:eastAsia="ja-JP"/>
        </w:rPr>
        <w:t>250</w:t>
      </w:r>
      <w:r w:rsidRPr="005E6B7C">
        <w:rPr>
          <w:rFonts w:asciiTheme="majorHAnsi" w:eastAsia="Yu Mincho" w:hAnsiTheme="majorHAnsi" w:cstheme="majorHAnsi"/>
          <w:color w:val="EE0000"/>
          <w:spacing w:val="-4"/>
          <w:sz w:val="18"/>
          <w:szCs w:val="18"/>
          <w:lang w:eastAsia="ja-JP"/>
        </w:rPr>
        <w:t xml:space="preserve"> pure compounds; established </w:t>
      </w:r>
      <w:r w:rsidR="004C1A23" w:rsidRPr="005E6B7C">
        <w:rPr>
          <w:rFonts w:asciiTheme="majorHAnsi" w:eastAsia="Yu Mincho" w:hAnsiTheme="majorHAnsi" w:cstheme="majorHAnsi"/>
          <w:color w:val="EE0000"/>
          <w:spacing w:val="-4"/>
          <w:sz w:val="18"/>
          <w:szCs w:val="18"/>
          <w:lang w:eastAsia="ja-JP"/>
        </w:rPr>
        <w:t>27</w:t>
      </w:r>
      <w:r w:rsidR="004C1A23" w:rsidRPr="005E6B7C">
        <w:rPr>
          <w:rFonts w:asciiTheme="majorHAnsi" w:eastAsia="Yu Mincho" w:hAnsiTheme="majorHAnsi" w:cstheme="majorHAnsi"/>
          <w:color w:val="EE0000"/>
          <w:spacing w:val="-4"/>
          <w:sz w:val="18"/>
          <w:szCs w:val="18"/>
          <w:lang w:val="vi-VN" w:eastAsia="ja-JP"/>
        </w:rPr>
        <w:t xml:space="preserve"> </w:t>
      </w:r>
      <w:r w:rsidRPr="005E6B7C">
        <w:rPr>
          <w:rFonts w:asciiTheme="majorHAnsi" w:eastAsia="Yu Mincho" w:hAnsiTheme="majorHAnsi" w:cstheme="majorHAnsi"/>
          <w:color w:val="EE0000"/>
          <w:spacing w:val="-4"/>
          <w:sz w:val="18"/>
          <w:szCs w:val="18"/>
          <w:lang w:eastAsia="ja-JP"/>
        </w:rPr>
        <w:t xml:space="preserve">reference </w:t>
      </w:r>
      <w:r w:rsidR="004C1A23" w:rsidRPr="005E6B7C">
        <w:rPr>
          <w:rFonts w:asciiTheme="majorHAnsi" w:eastAsia="Yu Mincho" w:hAnsiTheme="majorHAnsi" w:cstheme="majorHAnsi"/>
          <w:color w:val="EE0000"/>
          <w:spacing w:val="-4"/>
          <w:sz w:val="18"/>
          <w:szCs w:val="18"/>
          <w:lang w:eastAsia="ja-JP"/>
        </w:rPr>
        <w:t>compouds</w:t>
      </w:r>
      <w:r w:rsidRPr="005E6B7C">
        <w:rPr>
          <w:rFonts w:asciiTheme="majorHAnsi" w:eastAsia="Yu Mincho" w:hAnsiTheme="majorHAnsi" w:cstheme="majorHAnsi"/>
          <w:color w:val="EE0000"/>
          <w:spacing w:val="-4"/>
          <w:sz w:val="18"/>
          <w:szCs w:val="18"/>
          <w:lang w:eastAsia="ja-JP"/>
        </w:rPr>
        <w:t xml:space="preserve">; and </w:t>
      </w:r>
      <w:r w:rsidR="004C1A23" w:rsidRPr="005E6B7C">
        <w:rPr>
          <w:rFonts w:asciiTheme="majorHAnsi" w:eastAsia="Yu Mincho" w:hAnsiTheme="majorHAnsi" w:cstheme="majorHAnsi"/>
          <w:color w:val="EE0000"/>
          <w:spacing w:val="-4"/>
          <w:sz w:val="18"/>
          <w:szCs w:val="18"/>
          <w:lang w:eastAsia="ja-JP"/>
        </w:rPr>
        <w:t>research</w:t>
      </w:r>
      <w:r w:rsidR="004C1A23" w:rsidRPr="005E6B7C">
        <w:rPr>
          <w:rFonts w:asciiTheme="majorHAnsi" w:eastAsia="Yu Mincho" w:hAnsiTheme="majorHAnsi" w:cstheme="majorHAnsi"/>
          <w:color w:val="EE0000"/>
          <w:spacing w:val="-4"/>
          <w:sz w:val="18"/>
          <w:szCs w:val="18"/>
          <w:lang w:val="vi-VN" w:eastAsia="ja-JP"/>
        </w:rPr>
        <w:t xml:space="preserve"> &amp; </w:t>
      </w:r>
      <w:r w:rsidRPr="005E6B7C">
        <w:rPr>
          <w:rFonts w:asciiTheme="majorHAnsi" w:eastAsia="Yu Mincho" w:hAnsiTheme="majorHAnsi" w:cstheme="majorHAnsi"/>
          <w:color w:val="EE0000"/>
          <w:spacing w:val="-4"/>
          <w:sz w:val="18"/>
          <w:szCs w:val="18"/>
          <w:lang w:eastAsia="ja-JP"/>
        </w:rPr>
        <w:t xml:space="preserve">developed </w:t>
      </w:r>
      <w:r w:rsidR="004C1A23" w:rsidRPr="005E6B7C">
        <w:rPr>
          <w:rFonts w:asciiTheme="majorHAnsi" w:eastAsia="Yu Mincho" w:hAnsiTheme="majorHAnsi" w:cstheme="majorHAnsi"/>
          <w:color w:val="EE0000"/>
          <w:spacing w:val="-4"/>
          <w:sz w:val="18"/>
          <w:szCs w:val="18"/>
          <w:lang w:eastAsia="ja-JP"/>
        </w:rPr>
        <w:t>of</w:t>
      </w:r>
      <w:r w:rsidR="004C1A23" w:rsidRPr="005E6B7C">
        <w:rPr>
          <w:rFonts w:asciiTheme="majorHAnsi" w:eastAsia="Yu Mincho" w:hAnsiTheme="majorHAnsi" w:cstheme="majorHAnsi"/>
          <w:color w:val="EE0000"/>
          <w:spacing w:val="-4"/>
          <w:sz w:val="18"/>
          <w:szCs w:val="18"/>
          <w:lang w:val="vi-VN" w:eastAsia="ja-JP"/>
        </w:rPr>
        <w:t xml:space="preserve"> </w:t>
      </w:r>
      <w:r w:rsidRPr="005E6B7C">
        <w:rPr>
          <w:rFonts w:asciiTheme="majorHAnsi" w:eastAsia="Yu Mincho" w:hAnsiTheme="majorHAnsi" w:cstheme="majorHAnsi"/>
          <w:color w:val="EE0000"/>
          <w:spacing w:val="-4"/>
          <w:sz w:val="18"/>
          <w:szCs w:val="18"/>
          <w:lang w:eastAsia="ja-JP"/>
        </w:rPr>
        <w:t xml:space="preserve">7 herbal pharmaceutical formulations. Research activities were systematically organised along a value chain spanning genetic resources, variety selection, </w:t>
      </w:r>
      <w:r w:rsidR="004C1A23" w:rsidRPr="005E6B7C">
        <w:rPr>
          <w:rFonts w:asciiTheme="majorHAnsi" w:eastAsia="Yu Mincho" w:hAnsiTheme="majorHAnsi" w:cstheme="majorHAnsi"/>
          <w:color w:val="EE0000"/>
          <w:spacing w:val="-4"/>
          <w:sz w:val="18"/>
          <w:szCs w:val="18"/>
          <w:lang w:eastAsia="ja-JP"/>
        </w:rPr>
        <w:t>chemical</w:t>
      </w:r>
      <w:r w:rsidR="004C1A23" w:rsidRPr="005E6B7C">
        <w:rPr>
          <w:rFonts w:asciiTheme="majorHAnsi" w:eastAsia="Yu Mincho" w:hAnsiTheme="majorHAnsi" w:cstheme="majorHAnsi"/>
          <w:color w:val="EE0000"/>
          <w:spacing w:val="-4"/>
          <w:sz w:val="18"/>
          <w:szCs w:val="18"/>
          <w:lang w:val="vi-VN" w:eastAsia="ja-JP"/>
        </w:rPr>
        <w:t xml:space="preserve"> analysis and</w:t>
      </w:r>
      <w:r w:rsidRPr="005E6B7C">
        <w:rPr>
          <w:rFonts w:asciiTheme="majorHAnsi" w:eastAsia="Yu Mincho" w:hAnsiTheme="majorHAnsi" w:cstheme="majorHAnsi"/>
          <w:color w:val="EE0000"/>
          <w:spacing w:val="-4"/>
          <w:sz w:val="18"/>
          <w:szCs w:val="18"/>
          <w:lang w:eastAsia="ja-JP"/>
        </w:rPr>
        <w:t xml:space="preserve"> </w:t>
      </w:r>
      <w:r w:rsidR="004C1A23" w:rsidRPr="005E6B7C">
        <w:rPr>
          <w:rFonts w:asciiTheme="majorHAnsi" w:eastAsia="Yu Mincho" w:hAnsiTheme="majorHAnsi" w:cstheme="majorHAnsi"/>
          <w:color w:val="EE0000"/>
          <w:spacing w:val="-4"/>
          <w:sz w:val="18"/>
          <w:szCs w:val="18"/>
          <w:lang w:eastAsia="ja-JP"/>
        </w:rPr>
        <w:t>standardiz</w:t>
      </w:r>
      <w:r w:rsidRPr="005E6B7C">
        <w:rPr>
          <w:rFonts w:asciiTheme="majorHAnsi" w:eastAsia="Yu Mincho" w:hAnsiTheme="majorHAnsi" w:cstheme="majorHAnsi"/>
          <w:color w:val="EE0000"/>
          <w:spacing w:val="-4"/>
          <w:sz w:val="18"/>
          <w:szCs w:val="18"/>
          <w:lang w:eastAsia="ja-JP"/>
        </w:rPr>
        <w:t xml:space="preserve">ation, </w:t>
      </w:r>
      <w:r w:rsidR="004C1A23" w:rsidRPr="005E6B7C">
        <w:rPr>
          <w:rFonts w:asciiTheme="majorHAnsi" w:eastAsia="Yu Mincho" w:hAnsiTheme="majorHAnsi" w:cstheme="majorHAnsi"/>
          <w:color w:val="EE0000"/>
          <w:spacing w:val="-4"/>
          <w:sz w:val="18"/>
          <w:szCs w:val="18"/>
          <w:lang w:eastAsia="ja-JP"/>
        </w:rPr>
        <w:t>herbal</w:t>
      </w:r>
      <w:r w:rsidR="004C1A23" w:rsidRPr="005E6B7C">
        <w:rPr>
          <w:rFonts w:asciiTheme="majorHAnsi" w:eastAsia="Yu Mincho" w:hAnsiTheme="majorHAnsi" w:cstheme="majorHAnsi"/>
          <w:color w:val="EE0000"/>
          <w:spacing w:val="-4"/>
          <w:sz w:val="18"/>
          <w:szCs w:val="18"/>
          <w:lang w:val="vi-VN" w:eastAsia="ja-JP"/>
        </w:rPr>
        <w:t xml:space="preserve"> </w:t>
      </w:r>
      <w:r w:rsidRPr="005E6B7C">
        <w:rPr>
          <w:rFonts w:asciiTheme="majorHAnsi" w:eastAsia="Yu Mincho" w:hAnsiTheme="majorHAnsi" w:cstheme="majorHAnsi"/>
          <w:color w:val="EE0000"/>
          <w:spacing w:val="-4"/>
          <w:sz w:val="18"/>
          <w:szCs w:val="18"/>
          <w:lang w:eastAsia="ja-JP"/>
        </w:rPr>
        <w:t xml:space="preserve">drug formulation, and </w:t>
      </w:r>
      <w:r w:rsidR="004C1A23" w:rsidRPr="005E6B7C">
        <w:rPr>
          <w:rFonts w:asciiTheme="majorHAnsi" w:eastAsia="Yu Mincho" w:hAnsiTheme="majorHAnsi" w:cstheme="majorHAnsi"/>
          <w:color w:val="EE0000"/>
          <w:spacing w:val="-4"/>
          <w:sz w:val="18"/>
          <w:szCs w:val="18"/>
          <w:lang w:eastAsia="ja-JP"/>
        </w:rPr>
        <w:t>moderniz</w:t>
      </w:r>
      <w:r w:rsidRPr="005E6B7C">
        <w:rPr>
          <w:rFonts w:asciiTheme="majorHAnsi" w:eastAsia="Yu Mincho" w:hAnsiTheme="majorHAnsi" w:cstheme="majorHAnsi"/>
          <w:color w:val="EE0000"/>
          <w:spacing w:val="-4"/>
          <w:sz w:val="18"/>
          <w:szCs w:val="18"/>
          <w:lang w:eastAsia="ja-JP"/>
        </w:rPr>
        <w:t xml:space="preserve">ation of </w:t>
      </w:r>
      <w:r w:rsidR="004C1A23" w:rsidRPr="005E6B7C">
        <w:rPr>
          <w:rFonts w:asciiTheme="majorHAnsi" w:eastAsia="Yu Mincho" w:hAnsiTheme="majorHAnsi" w:cstheme="majorHAnsi"/>
          <w:color w:val="EE0000"/>
          <w:spacing w:val="-4"/>
          <w:sz w:val="18"/>
          <w:szCs w:val="18"/>
          <w:lang w:eastAsia="ja-JP"/>
        </w:rPr>
        <w:t>traditional</w:t>
      </w:r>
      <w:r w:rsidR="004C1A23" w:rsidRPr="005E6B7C">
        <w:rPr>
          <w:rFonts w:asciiTheme="majorHAnsi" w:eastAsia="Yu Mincho" w:hAnsiTheme="majorHAnsi" w:cstheme="majorHAnsi"/>
          <w:color w:val="EE0000"/>
          <w:spacing w:val="-4"/>
          <w:sz w:val="18"/>
          <w:szCs w:val="18"/>
          <w:lang w:val="vi-VN" w:eastAsia="ja-JP"/>
        </w:rPr>
        <w:t xml:space="preserve"> medicines</w:t>
      </w:r>
      <w:r w:rsidRPr="005E6B7C">
        <w:rPr>
          <w:rFonts w:asciiTheme="majorHAnsi" w:eastAsia="Yu Mincho" w:hAnsiTheme="majorHAnsi" w:cstheme="majorHAnsi"/>
          <w:color w:val="EE0000"/>
          <w:spacing w:val="-4"/>
          <w:sz w:val="18"/>
          <w:szCs w:val="18"/>
          <w:lang w:eastAsia="ja-JP"/>
        </w:rPr>
        <w:t xml:space="preserve">. </w:t>
      </w:r>
      <w:r w:rsidRPr="005E6B7C">
        <w:rPr>
          <w:rFonts w:asciiTheme="majorHAnsi" w:eastAsia="Yu Mincho" w:hAnsiTheme="majorHAnsi" w:cstheme="majorHAnsi"/>
          <w:color w:val="000000" w:themeColor="text1"/>
          <w:spacing w:val="-4"/>
          <w:sz w:val="18"/>
          <w:szCs w:val="18"/>
          <w:lang w:eastAsia="ja-JP"/>
        </w:rPr>
        <w:t xml:space="preserve">In addition to these achievements, the article acknowledges persistent limitations regarding equipment and facilities, especially in the context of deep international integration in science and technology, as well as the adaptability of scientists to the new situation when implementing the Politburo Resolution No. 57-NQ/TW dated December 22, 2024 on breakthroughs in the development of science, technology, innovation, and national digital transformation, and the Law on Science, Technology and Innovation No. 93/2025/QH15. </w:t>
      </w:r>
      <w:r w:rsidR="004C1A23" w:rsidRPr="005E6B7C">
        <w:rPr>
          <w:rFonts w:asciiTheme="majorHAnsi" w:eastAsia="Yu Mincho" w:hAnsiTheme="majorHAnsi" w:cstheme="majorHAnsi"/>
          <w:color w:val="000000" w:themeColor="text1"/>
          <w:spacing w:val="-4"/>
          <w:sz w:val="18"/>
          <w:szCs w:val="18"/>
          <w:lang w:eastAsia="ja-JP"/>
        </w:rPr>
        <w:t xml:space="preserve">To leverage its strategic advantages and adapt to the evolving landscape, the Institute prioritizes research across the entire value chain, developing a diverse portfolio of medicinal products to enhance primary healthcare. </w:t>
      </w:r>
      <w:r w:rsidR="004C1A23" w:rsidRPr="005E6B7C">
        <w:rPr>
          <w:rFonts w:asciiTheme="majorHAnsi" w:eastAsia="Yu Mincho" w:hAnsiTheme="majorHAnsi" w:cstheme="majorHAnsi"/>
          <w:color w:val="EE0000"/>
          <w:spacing w:val="-4"/>
          <w:sz w:val="18"/>
          <w:szCs w:val="18"/>
          <w:lang w:eastAsia="ja-JP"/>
        </w:rPr>
        <w:t>Our mission remains steadfast in fostering in-depth and applied research driven by advanced science and technology, while elevating the collective research capacity to meet international standards. Moving forward, NIMM will focus on institutional and governance reforms, accelerating digital transformation, and establishing a comprehensive medicinal resource database. Furthermore, by implementing robust intellectual property protections and fostering public-private partnerships, we aim to drive revenue growth, strengthen institutional self-reliance, and improve the welfare and living standards of our staff.</w:t>
      </w:r>
      <w:r w:rsidR="004C1A23" w:rsidRPr="005E6B7C">
        <w:rPr>
          <w:rFonts w:asciiTheme="majorHAnsi" w:eastAsia="Yu Mincho" w:hAnsiTheme="majorHAnsi" w:cstheme="majorHAnsi"/>
          <w:color w:val="EE0000"/>
          <w:spacing w:val="-4"/>
          <w:sz w:val="18"/>
          <w:szCs w:val="18"/>
          <w:lang w:val="vi-VN" w:eastAsia="ja-JP"/>
        </w:rPr>
        <w:t xml:space="preserve"> </w:t>
      </w:r>
    </w:p>
    <w:p w14:paraId="6B413387" w14:textId="1EDEE084" w:rsidR="00E049CB" w:rsidRPr="005E6B7C" w:rsidRDefault="00E049CB" w:rsidP="008C0D47">
      <w:pPr>
        <w:widowControl/>
        <w:tabs>
          <w:tab w:val="left" w:pos="270"/>
          <w:tab w:val="left" w:pos="9270"/>
        </w:tabs>
        <w:spacing w:line="184" w:lineRule="exact"/>
        <w:ind w:right="-23"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
          <w:bCs/>
          <w:color w:val="000000" w:themeColor="text1"/>
          <w:sz w:val="18"/>
          <w:szCs w:val="18"/>
          <w:lang w:eastAsia="ja-JP"/>
        </w:rPr>
        <w:t xml:space="preserve">Keywords: </w:t>
      </w:r>
      <w:r w:rsidRPr="005E6B7C">
        <w:rPr>
          <w:rFonts w:asciiTheme="majorHAnsi" w:eastAsia="Yu Mincho" w:hAnsiTheme="majorHAnsi" w:cstheme="majorHAnsi"/>
          <w:i/>
          <w:iCs/>
          <w:color w:val="000000" w:themeColor="text1"/>
          <w:sz w:val="18"/>
          <w:szCs w:val="18"/>
          <w:lang w:eastAsia="ja-JP"/>
        </w:rPr>
        <w:t>National Institute of Medi</w:t>
      </w:r>
      <w:r w:rsidR="00B115A7" w:rsidRPr="005E6B7C">
        <w:rPr>
          <w:rFonts w:asciiTheme="majorHAnsi" w:eastAsia="Yu Mincho" w:hAnsiTheme="majorHAnsi" w:cstheme="majorHAnsi"/>
          <w:i/>
          <w:iCs/>
          <w:color w:val="000000" w:themeColor="text1"/>
          <w:sz w:val="18"/>
          <w:szCs w:val="18"/>
          <w:lang w:eastAsia="ja-JP"/>
        </w:rPr>
        <w:t>cinal</w:t>
      </w:r>
      <w:r w:rsidRPr="005E6B7C">
        <w:rPr>
          <w:rFonts w:asciiTheme="majorHAnsi" w:eastAsia="Yu Mincho" w:hAnsiTheme="majorHAnsi" w:cstheme="majorHAnsi"/>
          <w:i/>
          <w:iCs/>
          <w:color w:val="000000" w:themeColor="text1"/>
          <w:sz w:val="18"/>
          <w:szCs w:val="18"/>
          <w:lang w:eastAsia="ja-JP"/>
        </w:rPr>
        <w:t xml:space="preserve"> Materials (NIMM); Scientific activities; </w:t>
      </w:r>
      <w:r w:rsidRPr="005E6B7C">
        <w:rPr>
          <w:rFonts w:asciiTheme="majorHAnsi" w:eastAsia="Yu Mincho" w:hAnsiTheme="majorHAnsi" w:cstheme="majorHAnsi"/>
          <w:i/>
          <w:iCs/>
          <w:color w:val="EE0000"/>
          <w:sz w:val="18"/>
          <w:szCs w:val="18"/>
          <w:lang w:eastAsia="ja-JP"/>
        </w:rPr>
        <w:t>65</w:t>
      </w:r>
      <w:r w:rsidRPr="005E6B7C">
        <w:rPr>
          <w:rFonts w:asciiTheme="majorHAnsi" w:eastAsia="Yu Mincho" w:hAnsiTheme="majorHAnsi" w:cstheme="majorHAnsi"/>
          <w:i/>
          <w:iCs/>
          <w:color w:val="EE0000"/>
          <w:sz w:val="18"/>
          <w:szCs w:val="18"/>
          <w:vertAlign w:val="superscript"/>
          <w:lang w:eastAsia="ja-JP"/>
        </w:rPr>
        <w:t>th</w:t>
      </w:r>
      <w:r w:rsidRPr="005E6B7C">
        <w:rPr>
          <w:rFonts w:asciiTheme="majorHAnsi" w:eastAsia="Yu Mincho" w:hAnsiTheme="majorHAnsi" w:cstheme="majorHAnsi"/>
          <w:i/>
          <w:iCs/>
          <w:color w:val="000000" w:themeColor="text1"/>
          <w:sz w:val="18"/>
          <w:szCs w:val="18"/>
          <w:lang w:eastAsia="ja-JP"/>
        </w:rPr>
        <w:t xml:space="preserve"> Anniversary; Development </w:t>
      </w:r>
      <w:r w:rsidR="004C1A23" w:rsidRPr="005E6B7C">
        <w:rPr>
          <w:rFonts w:asciiTheme="majorHAnsi" w:eastAsia="Yu Mincho" w:hAnsiTheme="majorHAnsi" w:cstheme="majorHAnsi"/>
          <w:i/>
          <w:iCs/>
          <w:color w:val="EE0000"/>
          <w:sz w:val="18"/>
          <w:szCs w:val="18"/>
          <w:lang w:eastAsia="ja-JP"/>
        </w:rPr>
        <w:t>O</w:t>
      </w:r>
      <w:r w:rsidRPr="005E6B7C">
        <w:rPr>
          <w:rFonts w:asciiTheme="majorHAnsi" w:eastAsia="Yu Mincho" w:hAnsiTheme="majorHAnsi" w:cstheme="majorHAnsi"/>
          <w:i/>
          <w:iCs/>
          <w:color w:val="EE0000"/>
          <w:sz w:val="18"/>
          <w:szCs w:val="18"/>
          <w:lang w:eastAsia="ja-JP"/>
        </w:rPr>
        <w:t xml:space="preserve">rientation; </w:t>
      </w:r>
      <w:r w:rsidRPr="005E6B7C">
        <w:rPr>
          <w:rFonts w:asciiTheme="majorHAnsi" w:eastAsia="Yu Mincho" w:hAnsiTheme="majorHAnsi" w:cstheme="majorHAnsi"/>
          <w:i/>
          <w:iCs/>
          <w:color w:val="000000" w:themeColor="text1"/>
          <w:sz w:val="18"/>
          <w:szCs w:val="18"/>
          <w:lang w:eastAsia="ja-JP"/>
        </w:rPr>
        <w:t>Medicinal Materials.</w:t>
      </w:r>
    </w:p>
    <w:bookmarkEnd w:id="0"/>
    <w:p w14:paraId="3F62B86E" w14:textId="77777777" w:rsidR="00573010" w:rsidRPr="005E6B7C" w:rsidRDefault="00573010" w:rsidP="008C0D47">
      <w:pPr>
        <w:keepNext/>
        <w:keepLines/>
        <w:widowControl/>
        <w:tabs>
          <w:tab w:val="left" w:pos="270"/>
          <w:tab w:val="left" w:pos="9270"/>
        </w:tabs>
        <w:ind w:right="-20"/>
        <w:jc w:val="both"/>
        <w:outlineLvl w:val="0"/>
        <w:rPr>
          <w:rFonts w:asciiTheme="majorHAnsi" w:eastAsia="Times New Roman" w:hAnsiTheme="majorHAnsi" w:cstheme="majorHAnsi"/>
          <w:b/>
          <w:bCs/>
          <w:color w:val="000000" w:themeColor="text1"/>
          <w:sz w:val="22"/>
          <w:szCs w:val="22"/>
          <w:lang w:eastAsia="ja-JP"/>
        </w:rPr>
      </w:pPr>
    </w:p>
    <w:p w14:paraId="494A2D80" w14:textId="77777777" w:rsidR="00FF510E" w:rsidRPr="005E6B7C" w:rsidRDefault="00FF510E" w:rsidP="008C0D47">
      <w:pPr>
        <w:tabs>
          <w:tab w:val="left" w:pos="270"/>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sectPr w:rsidR="00FF510E" w:rsidRPr="005E6B7C" w:rsidSect="002206BB">
          <w:footerReference w:type="even" r:id="rId8"/>
          <w:footerReference w:type="default" r:id="rId9"/>
          <w:footerReference w:type="first" r:id="rId10"/>
          <w:type w:val="continuous"/>
          <w:pgSz w:w="10773" w:h="15309" w:code="9"/>
          <w:pgMar w:top="907" w:right="851" w:bottom="1418" w:left="851" w:header="397" w:footer="851" w:gutter="0"/>
          <w:cols w:space="284"/>
          <w:docGrid w:linePitch="360"/>
        </w:sectPr>
      </w:pPr>
    </w:p>
    <w:p w14:paraId="3DC063AA" w14:textId="77777777" w:rsidR="00E049CB" w:rsidRPr="005E6B7C" w:rsidRDefault="00E049CB" w:rsidP="008C0D47">
      <w:pPr>
        <w:tabs>
          <w:tab w:val="left" w:pos="270"/>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1. Introduction</w:t>
      </w:r>
    </w:p>
    <w:p w14:paraId="18BC3445" w14:textId="5A8D38B1" w:rsidR="00E049CB" w:rsidRPr="005E6B7C" w:rsidRDefault="00E049CB"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The National Institute of Medicinal Materials (NIMM), established in 1961, is the leading research institute of the Ministry of Health of Viet</w:t>
      </w:r>
      <w:r w:rsidR="00173548" w:rsidRPr="005E6B7C">
        <w:rPr>
          <w:rFonts w:asciiTheme="majorHAnsi" w:eastAsia="Yu Mincho" w:hAnsiTheme="majorHAnsi" w:cstheme="majorHAns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 xml:space="preserve">am in the field of medicinal materials and traditional medicine (TM/CAM). After 65 years of development (1961–2026), NIMM has grown into a nationally recognised </w:t>
      </w:r>
      <w:r w:rsidR="0078228C" w:rsidRPr="005E6B7C">
        <w:rPr>
          <w:rFonts w:asciiTheme="majorHAnsi" w:eastAsia="Yu Mincho" w:hAnsiTheme="majorHAnsi" w:cstheme="majorHAnsi"/>
          <w:b/>
          <w:bCs/>
          <w:color w:val="000000" w:themeColor="text1"/>
          <w:spacing w:val="-4"/>
          <w:sz w:val="22"/>
          <w:szCs w:val="22"/>
          <w:lang w:eastAsia="ja-JP"/>
        </w:rPr>
        <w:t>Center</w:t>
      </w:r>
      <w:r w:rsidRPr="005E6B7C">
        <w:rPr>
          <w:rFonts w:asciiTheme="majorHAnsi" w:eastAsia="Yu Mincho" w:hAnsiTheme="majorHAnsi" w:cstheme="majorHAnsi"/>
          <w:color w:val="000000" w:themeColor="text1"/>
          <w:spacing w:val="-4"/>
          <w:sz w:val="22"/>
          <w:szCs w:val="22"/>
          <w:lang w:eastAsia="ja-JP"/>
        </w:rPr>
        <w:t xml:space="preserve"> for science and technology (S&amp;T), fulfilling the mission of conducting comprehensive research spanning resource conservation, raw material development, and the production of high-quality herbal pharmaceutical products to serve public health care.</w:t>
      </w:r>
    </w:p>
    <w:p w14:paraId="072E07CC" w14:textId="4D61BBB7" w:rsidR="00E049CB" w:rsidRPr="005E6B7C" w:rsidRDefault="00E049CB"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EE0000"/>
          <w:spacing w:val="-4"/>
          <w:sz w:val="22"/>
          <w:szCs w:val="22"/>
          <w:lang w:eastAsia="ja-JP"/>
        </w:rPr>
        <w:t xml:space="preserve">NIMM's </w:t>
      </w:r>
      <w:r w:rsidR="00416EC9" w:rsidRPr="005E6B7C">
        <w:rPr>
          <w:rFonts w:asciiTheme="majorHAnsi" w:eastAsia="Yu Mincho" w:hAnsiTheme="majorHAnsi" w:cstheme="majorHAnsi"/>
          <w:color w:val="EE0000"/>
          <w:spacing w:val="-4"/>
          <w:sz w:val="22"/>
          <w:szCs w:val="22"/>
          <w:lang w:eastAsia="ja-JP"/>
        </w:rPr>
        <w:t>organiz</w:t>
      </w:r>
      <w:r w:rsidRPr="005E6B7C">
        <w:rPr>
          <w:rFonts w:asciiTheme="majorHAnsi" w:eastAsia="Yu Mincho" w:hAnsiTheme="majorHAnsi" w:cstheme="majorHAnsi"/>
          <w:color w:val="EE0000"/>
          <w:spacing w:val="-4"/>
          <w:sz w:val="22"/>
          <w:szCs w:val="22"/>
          <w:lang w:eastAsia="ja-JP"/>
        </w:rPr>
        <w:t>ational structure comprises 19 units</w:t>
      </w:r>
      <w:r w:rsidR="00416EC9" w:rsidRPr="005E6B7C">
        <w:rPr>
          <w:rFonts w:asciiTheme="majorHAnsi" w:eastAsia="Yu Mincho" w:hAnsiTheme="majorHAnsi" w:cstheme="majorHAnsi"/>
          <w:color w:val="EE0000"/>
          <w:spacing w:val="-4"/>
          <w:sz w:val="22"/>
          <w:szCs w:val="22"/>
          <w:lang w:val="vi-VN" w:eastAsia="ja-JP"/>
        </w:rPr>
        <w:t xml:space="preserve"> and a director board (a general director and</w:t>
      </w:r>
      <w:r w:rsidRPr="005E6B7C">
        <w:rPr>
          <w:rFonts w:asciiTheme="majorHAnsi" w:eastAsia="Yu Mincho" w:hAnsiTheme="majorHAnsi" w:cstheme="majorHAnsi"/>
          <w:color w:val="EE0000"/>
          <w:spacing w:val="-4"/>
          <w:sz w:val="22"/>
          <w:szCs w:val="22"/>
          <w:lang w:eastAsia="ja-JP"/>
        </w:rPr>
        <w:t xml:space="preserve"> two </w:t>
      </w:r>
      <w:r w:rsidR="00416EC9" w:rsidRPr="005E6B7C">
        <w:rPr>
          <w:rFonts w:asciiTheme="majorHAnsi" w:eastAsia="Yu Mincho" w:hAnsiTheme="majorHAnsi" w:cstheme="majorHAnsi"/>
          <w:color w:val="EE0000"/>
          <w:spacing w:val="-4"/>
          <w:sz w:val="22"/>
          <w:szCs w:val="22"/>
          <w:lang w:eastAsia="ja-JP"/>
        </w:rPr>
        <w:t>d</w:t>
      </w:r>
      <w:r w:rsidRPr="005E6B7C">
        <w:rPr>
          <w:rFonts w:asciiTheme="majorHAnsi" w:eastAsia="Yu Mincho" w:hAnsiTheme="majorHAnsi" w:cstheme="majorHAnsi"/>
          <w:color w:val="EE0000"/>
          <w:spacing w:val="-4"/>
          <w:sz w:val="22"/>
          <w:szCs w:val="22"/>
          <w:lang w:eastAsia="ja-JP"/>
        </w:rPr>
        <w:t xml:space="preserve">eputy </w:t>
      </w:r>
      <w:r w:rsidR="00416EC9" w:rsidRPr="005E6B7C">
        <w:rPr>
          <w:rFonts w:asciiTheme="majorHAnsi" w:eastAsia="Yu Mincho" w:hAnsiTheme="majorHAnsi" w:cstheme="majorHAnsi"/>
          <w:color w:val="EE0000"/>
          <w:spacing w:val="-4"/>
          <w:sz w:val="22"/>
          <w:szCs w:val="22"/>
          <w:lang w:eastAsia="ja-JP"/>
        </w:rPr>
        <w:t>d</w:t>
      </w:r>
      <w:r w:rsidRPr="005E6B7C">
        <w:rPr>
          <w:rFonts w:asciiTheme="majorHAnsi" w:eastAsia="Yu Mincho" w:hAnsiTheme="majorHAnsi" w:cstheme="majorHAnsi"/>
          <w:color w:val="EE0000"/>
          <w:spacing w:val="-4"/>
          <w:sz w:val="22"/>
          <w:szCs w:val="22"/>
          <w:lang w:eastAsia="ja-JP"/>
        </w:rPr>
        <w:t xml:space="preserve">irectors, </w:t>
      </w:r>
      <w:r w:rsidRPr="005E6B7C">
        <w:rPr>
          <w:rFonts w:asciiTheme="majorHAnsi" w:eastAsia="Yu Mincho" w:hAnsiTheme="majorHAnsi" w:cstheme="majorHAnsi"/>
          <w:color w:val="000000" w:themeColor="text1"/>
          <w:spacing w:val="-4"/>
          <w:sz w:val="22"/>
          <w:szCs w:val="22"/>
          <w:lang w:eastAsia="ja-JP"/>
        </w:rPr>
        <w:t xml:space="preserve">four functional departments, </w:t>
      </w:r>
      <w:r w:rsidR="00416EC9" w:rsidRPr="005E6B7C">
        <w:rPr>
          <w:rFonts w:asciiTheme="majorHAnsi" w:eastAsia="Yu Mincho" w:hAnsiTheme="majorHAnsi" w:cstheme="majorHAnsi"/>
          <w:color w:val="000000" w:themeColor="text1"/>
          <w:spacing w:val="-4"/>
          <w:sz w:val="22"/>
          <w:szCs w:val="22"/>
          <w:lang w:eastAsia="ja-JP"/>
        </w:rPr>
        <w:t>five specialized departments</w:t>
      </w:r>
      <w:r w:rsidRPr="005E6B7C">
        <w:rPr>
          <w:rFonts w:asciiTheme="majorHAnsi" w:eastAsia="Yu Mincho" w:hAnsiTheme="majorHAnsi" w:cstheme="majorHAnsi"/>
          <w:color w:val="000000" w:themeColor="text1"/>
          <w:spacing w:val="-4"/>
          <w:sz w:val="22"/>
          <w:szCs w:val="22"/>
          <w:lang w:eastAsia="ja-JP"/>
        </w:rPr>
        <w:t xml:space="preserve">, and nine research </w:t>
      </w:r>
      <w:r w:rsidR="0078228C" w:rsidRPr="005E6B7C">
        <w:rPr>
          <w:rFonts w:asciiTheme="majorHAnsi" w:eastAsia="Yu Mincho" w:hAnsiTheme="majorHAnsi" w:cstheme="majorHAnsi"/>
          <w:b/>
          <w:bCs/>
          <w:color w:val="000000" w:themeColor="text1"/>
          <w:spacing w:val="-4"/>
          <w:sz w:val="22"/>
          <w:szCs w:val="22"/>
          <w:lang w:eastAsia="ja-JP"/>
        </w:rPr>
        <w:t>Center</w:t>
      </w:r>
      <w:r w:rsidRPr="005E6B7C">
        <w:rPr>
          <w:rFonts w:asciiTheme="majorHAnsi" w:eastAsia="Yu Mincho" w:hAnsiTheme="majorHAnsi" w:cstheme="majorHAnsi"/>
          <w:color w:val="000000" w:themeColor="text1"/>
          <w:spacing w:val="-4"/>
          <w:sz w:val="22"/>
          <w:szCs w:val="22"/>
          <w:lang w:eastAsia="ja-JP"/>
        </w:rPr>
        <w:t>s distributed from North to South Viet</w:t>
      </w:r>
      <w:r w:rsidR="00173548" w:rsidRPr="005E6B7C">
        <w:rPr>
          <w:rFonts w:asciiTheme="majorHAnsi" w:eastAsia="Yu Mincho" w:hAnsiTheme="majorHAnsi" w:cstheme="majorHAns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 xml:space="preserve">am, representing the country's diverse ecological zones. As of December 2025, the Institute employs 267 staff members, including five </w:t>
      </w:r>
      <w:r w:rsidR="00416EC9" w:rsidRPr="005E6B7C">
        <w:rPr>
          <w:rFonts w:asciiTheme="majorHAnsi" w:eastAsia="Yu Mincho" w:hAnsiTheme="majorHAnsi" w:cstheme="majorHAnsi"/>
          <w:color w:val="000000" w:themeColor="text1"/>
          <w:spacing w:val="-4"/>
          <w:sz w:val="22"/>
          <w:szCs w:val="22"/>
          <w:lang w:eastAsia="ja-JP"/>
        </w:rPr>
        <w:t>a</w:t>
      </w:r>
      <w:r w:rsidRPr="005E6B7C">
        <w:rPr>
          <w:rFonts w:asciiTheme="majorHAnsi" w:eastAsia="Yu Mincho" w:hAnsiTheme="majorHAnsi" w:cstheme="majorHAnsi"/>
          <w:color w:val="000000" w:themeColor="text1"/>
          <w:spacing w:val="-4"/>
          <w:sz w:val="22"/>
          <w:szCs w:val="22"/>
          <w:lang w:eastAsia="ja-JP"/>
        </w:rPr>
        <w:t xml:space="preserve">ssociate </w:t>
      </w:r>
      <w:r w:rsidR="00416EC9" w:rsidRPr="005E6B7C">
        <w:rPr>
          <w:rFonts w:asciiTheme="majorHAnsi" w:eastAsia="Yu Mincho" w:hAnsiTheme="majorHAnsi" w:cstheme="majorHAnsi"/>
          <w:color w:val="000000" w:themeColor="text1"/>
          <w:spacing w:val="-4"/>
          <w:sz w:val="22"/>
          <w:szCs w:val="22"/>
          <w:lang w:eastAsia="ja-JP"/>
        </w:rPr>
        <w:t>p</w:t>
      </w:r>
      <w:r w:rsidRPr="005E6B7C">
        <w:rPr>
          <w:rFonts w:asciiTheme="majorHAnsi" w:eastAsia="Yu Mincho" w:hAnsiTheme="majorHAnsi" w:cstheme="majorHAnsi"/>
          <w:color w:val="000000" w:themeColor="text1"/>
          <w:spacing w:val="-4"/>
          <w:sz w:val="22"/>
          <w:szCs w:val="22"/>
          <w:lang w:eastAsia="ja-JP"/>
        </w:rPr>
        <w:t xml:space="preserve">rofessors, 48 PhDs, and 93 Masters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a highly qualified scientific workforce trained domestically and abroad.</w:t>
      </w:r>
    </w:p>
    <w:p w14:paraId="0BEDD097" w14:textId="77777777" w:rsidR="00E049CB" w:rsidRPr="005E6B7C" w:rsidRDefault="00E049CB"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2021–2025 period unfolded in an exceptionally challenging context: the COVID-19 pandemic, sluggish global economic recovery, and complex geopolitical disruptions that p</w:t>
      </w:r>
      <w:r w:rsidRPr="005E6B7C">
        <w:rPr>
          <w:rFonts w:asciiTheme="majorHAnsi" w:eastAsia="Yu Mincho" w:hAnsiTheme="majorHAnsi" w:cstheme="majorHAnsi"/>
          <w:color w:val="000000" w:themeColor="text1"/>
          <w:spacing w:val="-4"/>
          <w:sz w:val="22"/>
          <w:szCs w:val="22"/>
          <w:lang w:eastAsia="ja-JP"/>
        </w:rPr>
        <w:t>rofoundly affected all S&amp;T activities. At the same time, this period witnessed the enactment of pivotal national policies that shaped NIMM's research agenda, including Politburo Resolution 57-NQ/TW (December 2024) on breakthroughs in the development of science, technology, innovation, and national digital transformation; Resolution 72-NQ/TW on a number of breakthrough solutions to strengthen the protection, care, and improvement of people's health; Prime Ministerial Directive 25/CT-TTg on advancing Vietnamese traditional medicine in the new era; and Prime Ministerial Decisions No. 376/QĐ-TTg and No. 1165/QĐ-TTg on developing the national pharmaceutical industry and Vietnamese pharmacy sector to 2030, with a vision to 2045. These regulatory frameworks created favourable conditions and provided critical impetus for NIMM to accelerate its research and development activities during this pivotal phase.</w:t>
      </w:r>
    </w:p>
    <w:p w14:paraId="3D67DC2A" w14:textId="77777777" w:rsidR="00E049CB" w:rsidRPr="005E6B7C" w:rsidRDefault="00E049CB" w:rsidP="008C0D47">
      <w:pPr>
        <w:tabs>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lastRenderedPageBreak/>
        <w:t>2. Major Sci-Tech Research Outcomes (2021–2025)</w:t>
      </w:r>
    </w:p>
    <w:p w14:paraId="547610A5" w14:textId="60F4DBF1" w:rsidR="00E049CB" w:rsidRPr="005E6B7C" w:rsidRDefault="00E049CB" w:rsidP="008C0D47">
      <w:pPr>
        <w:tabs>
          <w:tab w:val="left" w:pos="9270"/>
        </w:tabs>
        <w:spacing w:line="240" w:lineRule="exact"/>
        <w:ind w:right="-23" w:firstLine="284"/>
        <w:jc w:val="both"/>
        <w:outlineLvl w:val="0"/>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xml:space="preserve">During 2021–2025, NIMM implemented a total of 443 S&amp;T research projects, comprising: 17 at national-level, 27 at ministerial-level, 33 at provincial/local, 22 rural and mountainous projects, 02 international </w:t>
      </w:r>
      <w:r w:rsidR="00706932" w:rsidRPr="005E6B7C">
        <w:t xml:space="preserve"> </w:t>
      </w:r>
      <w:r w:rsidR="00706932" w:rsidRPr="005E6B7C">
        <w:rPr>
          <w:rFonts w:asciiTheme="majorHAnsi" w:eastAsia="Times New Roman" w:hAnsiTheme="majorHAnsi" w:cstheme="majorHAnsi"/>
          <w:color w:val="000000" w:themeColor="text1"/>
          <w:sz w:val="22"/>
          <w:szCs w:val="22"/>
          <w:lang w:eastAsia="ja-JP"/>
        </w:rPr>
        <w:t>bilateral</w:t>
      </w:r>
      <w:r w:rsidR="00706932" w:rsidRPr="005E6B7C">
        <w:rPr>
          <w:rFonts w:asciiTheme="majorHAnsi" w:eastAsia="Times New Roman" w:hAnsiTheme="majorHAnsi" w:cstheme="majorHAnsi"/>
          <w:color w:val="000000" w:themeColor="text1"/>
          <w:sz w:val="22"/>
          <w:szCs w:val="22"/>
          <w:lang w:val="vi-VN" w:eastAsia="ja-JP"/>
        </w:rPr>
        <w:t xml:space="preserve"> </w:t>
      </w:r>
      <w:r w:rsidR="00706932" w:rsidRPr="005E6B7C">
        <w:rPr>
          <w:rFonts w:asciiTheme="majorHAnsi" w:eastAsia="Times New Roman" w:hAnsiTheme="majorHAnsi" w:cstheme="majorHAnsi"/>
          <w:color w:val="000000" w:themeColor="text1"/>
          <w:sz w:val="22"/>
          <w:szCs w:val="22"/>
          <w:lang w:eastAsia="ja-JP"/>
        </w:rPr>
        <w:t>projects</w:t>
      </w:r>
      <w:r w:rsidRPr="005E6B7C">
        <w:rPr>
          <w:rFonts w:asciiTheme="majorHAnsi" w:eastAsia="Times New Roman" w:hAnsiTheme="majorHAnsi" w:cstheme="majorHAnsi"/>
          <w:color w:val="000000" w:themeColor="text1"/>
          <w:sz w:val="22"/>
          <w:szCs w:val="22"/>
          <w:lang w:eastAsia="ja-JP"/>
        </w:rPr>
        <w:t>, and 342 at institute-level; NIMM served as the lead institution for 413 projects and as a collaborating partner for 30. The principal outcomes are presented below according to the medicinal materials value chain, from raw material creation to new drug development.</w:t>
      </w:r>
    </w:p>
    <w:p w14:paraId="50697E87" w14:textId="77777777" w:rsidR="00E049CB" w:rsidRPr="005E6B7C" w:rsidRDefault="00E049CB" w:rsidP="008C0D47">
      <w:pPr>
        <w:tabs>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2.1. Raw Material Supply: Survey, Conservation, and Development of Medicinal Material Resources</w:t>
      </w:r>
    </w:p>
    <w:p w14:paraId="7A27F328" w14:textId="77777777" w:rsidR="00E049CB" w:rsidRPr="005E6B7C" w:rsidRDefault="00E049CB" w:rsidP="008C0D47">
      <w:pPr>
        <w:tabs>
          <w:tab w:val="left" w:pos="270"/>
          <w:tab w:val="left" w:pos="9270"/>
        </w:tabs>
        <w:spacing w:line="234"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Survey and construction of medicinal material databases</w:t>
      </w:r>
      <w:r w:rsidRPr="005E6B7C">
        <w:rPr>
          <w:rFonts w:asciiTheme="majorHAnsi" w:eastAsia="Yu Mincho" w:hAnsiTheme="majorHAnsi" w:cstheme="majorHAnsi"/>
          <w:color w:val="000000" w:themeColor="text1"/>
          <w:spacing w:val="-4"/>
          <w:sz w:val="22"/>
          <w:szCs w:val="22"/>
          <w:lang w:eastAsia="ja-JP"/>
        </w:rPr>
        <w:t xml:space="preserve">: NIMM continued to survey and assess the status of medicinal plant resources across multiple ecological zones nationwide. The results documented 1,840 species and subspecies of medicinal plants belonging to 915 genera in the South-East region, and 1,113 species belonging to 565 genera in the South-West region. In the North-West highlands, in collaboration with the Hoang Lien National Park, NIMM established both in situ conservation gardens (10 ha) and ex situ conservation gardens (over 4 ha) to safeguard 400 accessions of 150 endemic and rare medicinal plant species. The Institute compiled and published </w:t>
      </w:r>
      <w:r w:rsidRPr="005E6B7C">
        <w:rPr>
          <w:rFonts w:asciiTheme="majorHAnsi" w:eastAsia="Yu Mincho" w:hAnsiTheme="majorHAnsi" w:cstheme="majorHAnsi"/>
          <w:b/>
          <w:bCs/>
          <w:color w:val="000000" w:themeColor="text1"/>
          <w:spacing w:val="-4"/>
          <w:sz w:val="22"/>
          <w:szCs w:val="22"/>
          <w:lang w:eastAsia="ja-JP"/>
        </w:rPr>
        <w:t>a total of seven specialised reference books</w:t>
      </w:r>
      <w:r w:rsidRPr="005E6B7C">
        <w:rPr>
          <w:rFonts w:asciiTheme="majorHAnsi" w:eastAsia="Yu Mincho" w:hAnsiTheme="majorHAnsi" w:cstheme="majorHAnsi"/>
          <w:color w:val="000000" w:themeColor="text1"/>
          <w:spacing w:val="-4"/>
          <w:sz w:val="22"/>
          <w:szCs w:val="22"/>
          <w:lang w:eastAsia="ja-JP"/>
        </w:rPr>
        <w:t xml:space="preserve"> on medicinal plant genetic resources, </w:t>
      </w:r>
      <w:r w:rsidRPr="005E6B7C">
        <w:rPr>
          <w:rFonts w:asciiTheme="majorHAnsi" w:eastAsia="Yu Mincho" w:hAnsiTheme="majorHAnsi" w:cstheme="majorHAnsi"/>
          <w:b/>
          <w:bCs/>
          <w:color w:val="000000" w:themeColor="text1"/>
          <w:spacing w:val="-4"/>
          <w:sz w:val="22"/>
          <w:szCs w:val="22"/>
          <w:lang w:eastAsia="ja-JP"/>
        </w:rPr>
        <w:t>notably including</w:t>
      </w:r>
      <w:r w:rsidRPr="005E6B7C">
        <w:rPr>
          <w:rFonts w:asciiTheme="majorHAnsi" w:eastAsia="Yu Mincho" w:hAnsiTheme="majorHAnsi" w:cstheme="majorHAnsi"/>
          <w:color w:val="000000" w:themeColor="text1"/>
          <w:spacing w:val="-4"/>
          <w:sz w:val="22"/>
          <w:szCs w:val="22"/>
          <w:lang w:eastAsia="ja-JP"/>
        </w:rPr>
        <w:t xml:space="preserve"> the Atlas of Vietnamese Medicinal Plants (Volumes I and II), each covering 50 commercially promising species.</w:t>
      </w:r>
    </w:p>
    <w:p w14:paraId="69A837DF" w14:textId="77777777" w:rsidR="00E049CB" w:rsidRPr="005E6B7C" w:rsidRDefault="00E049CB" w:rsidP="008C0D47">
      <w:pPr>
        <w:tabs>
          <w:tab w:val="left" w:pos="270"/>
          <w:tab w:val="left" w:pos="9270"/>
        </w:tabs>
        <w:spacing w:line="23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Conservation and maintenance of genetic resources</w:t>
      </w:r>
      <w:r w:rsidRPr="005E6B7C">
        <w:rPr>
          <w:rFonts w:asciiTheme="majorHAnsi" w:eastAsia="Yu Mincho" w:hAnsiTheme="majorHAnsi" w:cstheme="majorHAnsi"/>
          <w:color w:val="000000" w:themeColor="text1"/>
          <w:sz w:val="22"/>
          <w:szCs w:val="22"/>
          <w:lang w:eastAsia="ja-JP"/>
        </w:rPr>
        <w:t>: NIMM maintains conservation of 964 accessions of 642 species/subspecies across five medicinal plant conservation gardens spanning the Red River Delta (Hanoi), the northern midlands (Tam Dao – Vinh Phuc), the northern highlands (Sa Pa – Lao Cai), the North-Central region (Thanh Hoa), and the South-East (Ho Chi Minh City). The seed bank now holds 1,006 seed accessions of medicinal plant germplasm and varieties. Notably, NIMM conducted systematic surveys to document the traditional medicinal plant knowledge of ethnic minority communities</w:t>
      </w:r>
      <w:r w:rsidR="0044085B"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including the Thai, H'Mong, Muong, Dao, Bru-Van Kieu, Churu, Ma, Jrai, Bahnar, M'Nong, and Khmer peoples across multiple provinces from north to south.</w:t>
      </w:r>
    </w:p>
    <w:p w14:paraId="7574470A" w14:textId="77777777" w:rsidR="00E049CB" w:rsidRPr="005E6B7C" w:rsidRDefault="00E049CB" w:rsidP="008C0D47">
      <w:pPr>
        <w:tabs>
          <w:tab w:val="left" w:pos="9270"/>
        </w:tabs>
        <w:spacing w:line="231"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2.2. Variety Selection, Breeding, and Development of Medicinal Crop Growing Areas</w:t>
      </w:r>
    </w:p>
    <w:p w14:paraId="08D65375" w14:textId="77777777" w:rsidR="00E049CB" w:rsidRPr="005E6B7C" w:rsidRDefault="00E049CB" w:rsidP="008C0D47">
      <w:pPr>
        <w:tabs>
          <w:tab w:val="left" w:pos="270"/>
          <w:tab w:val="left" w:pos="9270"/>
        </w:tabs>
        <w:spacing w:line="231"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Variety selection and official variety registration: NIMM conducted 26 variety </w:t>
      </w:r>
      <w:r w:rsidRPr="005E6B7C">
        <w:rPr>
          <w:rFonts w:asciiTheme="majorHAnsi" w:eastAsia="Yu Mincho" w:hAnsiTheme="majorHAnsi" w:cstheme="majorHAnsi"/>
          <w:color w:val="000000" w:themeColor="text1"/>
          <w:sz w:val="22"/>
          <w:szCs w:val="22"/>
          <w:lang w:eastAsia="ja-JP"/>
        </w:rPr>
        <w:t xml:space="preserve">selection projects, successfully selecting 15 medicinal plant varieties (including </w:t>
      </w:r>
      <w:r w:rsidRPr="005E6B7C">
        <w:rPr>
          <w:rFonts w:asciiTheme="majorHAnsi" w:eastAsia="Yu Mincho" w:hAnsiTheme="majorHAnsi" w:cstheme="majorHAnsi"/>
          <w:i/>
          <w:iCs/>
          <w:color w:val="000000" w:themeColor="text1"/>
          <w:sz w:val="22"/>
          <w:szCs w:val="22"/>
          <w:lang w:eastAsia="ja-JP"/>
        </w:rPr>
        <w:t>Leonurus japonicus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Cassia tora</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Salvia miltiorrhiza</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Morinda officinalis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Hedyotis diffusa</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Chrysanthemum morifolium</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Ligusticum chuanxiong</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Angelica acutiloba, Atractylodes macrocephala</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Centella asiatica</w:t>
      </w:r>
      <w:r w:rsidRPr="005E6B7C">
        <w:rPr>
          <w:rFonts w:asciiTheme="majorHAnsi" w:eastAsia="Yu Mincho" w:hAnsiTheme="majorHAnsi" w:cstheme="majorHAnsi"/>
          <w:color w:val="000000" w:themeColor="text1"/>
          <w:sz w:val="22"/>
          <w:szCs w:val="22"/>
          <w:lang w:eastAsia="ja-JP"/>
        </w:rPr>
        <w:t>, among others) and officially registering 10 varieties for commercial circulation. Approximately 60 accessions were evaluated for adaptability; six were successfully naturalised to reduce dependence on imported raw materials.</w:t>
      </w:r>
    </w:p>
    <w:p w14:paraId="214C56B2" w14:textId="46B49AD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Development of technical procedures and technology transfer: A total of 97 technical procedures for seed propagation, cultivation, harvesting, primary processing, and storage of medicinal materials were issued, along with </w:t>
      </w:r>
      <w:r w:rsidR="00706932" w:rsidRPr="005E6B7C">
        <w:rPr>
          <w:rFonts w:asciiTheme="majorHAnsi" w:eastAsia="Yu Mincho" w:hAnsiTheme="majorHAnsi" w:cstheme="majorHAnsi"/>
          <w:color w:val="000000" w:themeColor="text1"/>
          <w:sz w:val="22"/>
          <w:szCs w:val="22"/>
          <w:lang w:eastAsia="ja-JP"/>
        </w:rPr>
        <w:t>50 institutional standards for seedlings and seeds, and 20 institutional standards for variety testing</w:t>
      </w:r>
      <w:r w:rsidRPr="005E6B7C">
        <w:rPr>
          <w:rFonts w:asciiTheme="majorHAnsi" w:eastAsia="Yu Mincho" w:hAnsiTheme="majorHAnsi" w:cstheme="majorHAnsi"/>
          <w:color w:val="000000" w:themeColor="text1"/>
          <w:sz w:val="22"/>
          <w:szCs w:val="22"/>
          <w:lang w:eastAsia="ja-JP"/>
        </w:rPr>
        <w:t xml:space="preserve">. NIMM transferred technical procedures for more than 25 medicinal plant species to 21 projects and supplied planting material to numerous medicinal material production and trading companies nationwide. Two major </w:t>
      </w:r>
      <w:r w:rsidR="00706932" w:rsidRPr="005E6B7C">
        <w:rPr>
          <w:rFonts w:asciiTheme="majorHAnsi" w:eastAsia="Yu Mincho" w:hAnsiTheme="majorHAnsi" w:cstheme="majorHAnsi"/>
          <w:color w:val="000000" w:themeColor="text1"/>
          <w:sz w:val="22"/>
          <w:szCs w:val="22"/>
          <w:lang w:eastAsia="ja-JP"/>
        </w:rPr>
        <w:t>books</w:t>
      </w:r>
      <w:r w:rsidRPr="005E6B7C">
        <w:rPr>
          <w:rFonts w:asciiTheme="majorHAnsi" w:eastAsia="Yu Mincho" w:hAnsiTheme="majorHAnsi" w:cstheme="majorHAnsi"/>
          <w:color w:val="000000" w:themeColor="text1"/>
          <w:sz w:val="22"/>
          <w:szCs w:val="22"/>
          <w:lang w:eastAsia="ja-JP"/>
        </w:rPr>
        <w:t xml:space="preserve"> were released</w:t>
      </w:r>
      <w:r w:rsidR="00706932" w:rsidRPr="005E6B7C">
        <w:rPr>
          <w:rFonts w:asciiTheme="majorHAnsi" w:eastAsia="Yu Mincho" w:hAnsiTheme="majorHAnsi" w:cstheme="majorHAnsi"/>
          <w:color w:val="000000" w:themeColor="text1"/>
          <w:sz w:val="22"/>
          <w:szCs w:val="22"/>
          <w:lang w:val="vi-VN" w:eastAsia="ja-JP"/>
        </w:rPr>
        <w:t xml:space="preserve"> includig</w:t>
      </w:r>
      <w:r w:rsidRPr="005E6B7C">
        <w:rPr>
          <w:rFonts w:asciiTheme="majorHAnsi" w:eastAsia="Yu Mincho" w:hAnsiTheme="majorHAnsi" w:cstheme="majorHAnsi"/>
          <w:color w:val="000000" w:themeColor="text1"/>
          <w:sz w:val="22"/>
          <w:szCs w:val="22"/>
          <w:lang w:eastAsia="ja-JP"/>
        </w:rPr>
        <w:t xml:space="preserve"> Cultivation and Primary Processing Techniques for Medicinal Plants under GACP-WHO Standards (covering 35 species) and Seed Production Procedures for Medicinal Plants (covering 25 species).</w:t>
      </w:r>
    </w:p>
    <w:p w14:paraId="08A69E12" w14:textId="19A50885" w:rsidR="00E049CB" w:rsidRPr="005E6B7C" w:rsidRDefault="00E049CB" w:rsidP="008C0D47">
      <w:pPr>
        <w:tabs>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 xml:space="preserve">2.3. </w:t>
      </w:r>
      <w:r w:rsidR="00706932" w:rsidRPr="005E6B7C">
        <w:rPr>
          <w:rFonts w:asciiTheme="majorHAnsi" w:eastAsia="Times New Roman" w:hAnsiTheme="majorHAnsi" w:cstheme="majorHAnsi"/>
          <w:i/>
          <w:iCs/>
          <w:color w:val="000000" w:themeColor="text1"/>
          <w:sz w:val="22"/>
          <w:szCs w:val="22"/>
          <w:lang w:eastAsia="ja-JP"/>
        </w:rPr>
        <w:t>Standardization</w:t>
      </w:r>
      <w:r w:rsidRPr="005E6B7C">
        <w:rPr>
          <w:rFonts w:asciiTheme="majorHAnsi" w:eastAsia="Times New Roman" w:hAnsiTheme="majorHAnsi" w:cstheme="majorHAnsi"/>
          <w:i/>
          <w:iCs/>
          <w:color w:val="000000" w:themeColor="text1"/>
          <w:sz w:val="22"/>
          <w:szCs w:val="22"/>
          <w:lang w:eastAsia="ja-JP"/>
        </w:rPr>
        <w:t xml:space="preserve"> and Quality Control of Medicinal Materials</w:t>
      </w:r>
    </w:p>
    <w:p w14:paraId="7B0ABCE0"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eastAsia="ja-JP"/>
        </w:rPr>
        <w:t>This was the area of deepest investment by NIMM during 2021–2025, with the overarching aim of establishing a medicinal material quality assurance system aligned with international standards.</w:t>
      </w:r>
    </w:p>
    <w:p w14:paraId="65FCE13F"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Development of a reference substance bank</w:t>
      </w:r>
      <w:r w:rsidRPr="005E6B7C">
        <w:rPr>
          <w:rFonts w:asciiTheme="majorHAnsi" w:eastAsia="Yu Mincho" w:hAnsiTheme="majorHAnsi" w:cstheme="majorHAnsi"/>
          <w:color w:val="000000" w:themeColor="text1"/>
          <w:sz w:val="22"/>
          <w:szCs w:val="22"/>
          <w:lang w:eastAsia="ja-JP"/>
        </w:rPr>
        <w:t xml:space="preserve">: NIMM isolated and characterised 26 reference compounds from medicinal plants, including carpain from </w:t>
      </w:r>
      <w:r w:rsidRPr="005E6B7C">
        <w:rPr>
          <w:rFonts w:asciiTheme="majorHAnsi" w:eastAsia="Yu Mincho" w:hAnsiTheme="majorHAnsi" w:cstheme="majorHAnsi"/>
          <w:i/>
          <w:iCs/>
          <w:color w:val="000000" w:themeColor="text1"/>
          <w:sz w:val="22"/>
          <w:szCs w:val="22"/>
          <w:lang w:eastAsia="ja-JP"/>
        </w:rPr>
        <w:t>Carica papaya</w:t>
      </w:r>
      <w:r w:rsidRPr="005E6B7C">
        <w:rPr>
          <w:rFonts w:asciiTheme="majorHAnsi" w:eastAsia="Yu Mincho" w:hAnsiTheme="majorHAnsi" w:cstheme="majorHAnsi"/>
          <w:color w:val="000000" w:themeColor="text1"/>
          <w:sz w:val="22"/>
          <w:szCs w:val="22"/>
          <w:lang w:eastAsia="ja-JP"/>
        </w:rPr>
        <w:t xml:space="preserve"> leaves, piperine and pipercide from </w:t>
      </w:r>
      <w:r w:rsidRPr="005E6B7C">
        <w:rPr>
          <w:rFonts w:asciiTheme="majorHAnsi" w:eastAsia="Yu Mincho" w:hAnsiTheme="majorHAnsi" w:cstheme="majorHAnsi"/>
          <w:i/>
          <w:iCs/>
          <w:color w:val="000000" w:themeColor="text1"/>
          <w:sz w:val="22"/>
          <w:szCs w:val="22"/>
          <w:lang w:eastAsia="ja-JP"/>
        </w:rPr>
        <w:t>Piper longum</w:t>
      </w:r>
      <w:r w:rsidRPr="005E6B7C">
        <w:rPr>
          <w:rFonts w:asciiTheme="majorHAnsi" w:eastAsia="Yu Mincho" w:hAnsiTheme="majorHAnsi" w:cstheme="majorHAnsi"/>
          <w:color w:val="000000" w:themeColor="text1"/>
          <w:sz w:val="22"/>
          <w:szCs w:val="22"/>
          <w:lang w:eastAsia="ja-JP"/>
        </w:rPr>
        <w:t xml:space="preserve">, schisandrin and gomisin B from </w:t>
      </w:r>
      <w:r w:rsidRPr="005E6B7C">
        <w:rPr>
          <w:rFonts w:asciiTheme="majorHAnsi" w:eastAsia="Yu Mincho" w:hAnsiTheme="majorHAnsi" w:cstheme="majorHAnsi"/>
          <w:i/>
          <w:iCs/>
          <w:color w:val="000000" w:themeColor="text1"/>
          <w:sz w:val="22"/>
          <w:szCs w:val="22"/>
          <w:lang w:eastAsia="ja-JP"/>
        </w:rPr>
        <w:t>Schisandra chinensis</w:t>
      </w:r>
      <w:r w:rsidRPr="005E6B7C">
        <w:rPr>
          <w:rFonts w:asciiTheme="majorHAnsi" w:eastAsia="Yu Mincho" w:hAnsiTheme="majorHAnsi" w:cstheme="majorHAnsi"/>
          <w:color w:val="000000" w:themeColor="text1"/>
          <w:sz w:val="22"/>
          <w:szCs w:val="22"/>
          <w:lang w:eastAsia="ja-JP"/>
        </w:rPr>
        <w:t xml:space="preserve">, phyllanthin from </w:t>
      </w:r>
      <w:r w:rsidRPr="005E6B7C">
        <w:rPr>
          <w:rFonts w:asciiTheme="majorHAnsi" w:eastAsia="Yu Mincho" w:hAnsiTheme="majorHAnsi" w:cstheme="majorHAnsi"/>
          <w:i/>
          <w:iCs/>
          <w:color w:val="000000" w:themeColor="text1"/>
          <w:sz w:val="22"/>
          <w:szCs w:val="22"/>
          <w:lang w:eastAsia="ja-JP"/>
        </w:rPr>
        <w:t>Phyllanthus amarus</w:t>
      </w:r>
      <w:r w:rsidRPr="005E6B7C">
        <w:rPr>
          <w:rFonts w:asciiTheme="majorHAnsi" w:eastAsia="Yu Mincho" w:hAnsiTheme="majorHAnsi" w:cstheme="majorHAnsi"/>
          <w:color w:val="000000" w:themeColor="text1"/>
          <w:sz w:val="22"/>
          <w:szCs w:val="22"/>
          <w:lang w:eastAsia="ja-JP"/>
        </w:rPr>
        <w:t xml:space="preserve">, stevioside from </w:t>
      </w:r>
      <w:r w:rsidRPr="005E6B7C">
        <w:rPr>
          <w:rFonts w:asciiTheme="majorHAnsi" w:eastAsia="Yu Mincho" w:hAnsiTheme="majorHAnsi" w:cstheme="majorHAnsi"/>
          <w:i/>
          <w:iCs/>
          <w:color w:val="000000" w:themeColor="text1"/>
          <w:sz w:val="22"/>
          <w:szCs w:val="22"/>
          <w:lang w:eastAsia="ja-JP"/>
        </w:rPr>
        <w:t>Stevia rebaudiana</w:t>
      </w:r>
      <w:r w:rsidRPr="005E6B7C">
        <w:rPr>
          <w:rFonts w:asciiTheme="majorHAnsi" w:eastAsia="Yu Mincho" w:hAnsiTheme="majorHAnsi" w:cstheme="majorHAnsi"/>
          <w:color w:val="000000" w:themeColor="text1"/>
          <w:sz w:val="22"/>
          <w:szCs w:val="22"/>
          <w:lang w:eastAsia="ja-JP"/>
        </w:rPr>
        <w:t xml:space="preserve">, nuciferine from </w:t>
      </w:r>
      <w:r w:rsidRPr="005E6B7C">
        <w:rPr>
          <w:rFonts w:asciiTheme="majorHAnsi" w:eastAsia="Yu Mincho" w:hAnsiTheme="majorHAnsi" w:cstheme="majorHAnsi"/>
          <w:i/>
          <w:iCs/>
          <w:color w:val="000000" w:themeColor="text1"/>
          <w:sz w:val="22"/>
          <w:szCs w:val="22"/>
          <w:lang w:eastAsia="ja-JP"/>
        </w:rPr>
        <w:t>Nelumbo nucifera</w:t>
      </w:r>
      <w:r w:rsidRPr="005E6B7C">
        <w:rPr>
          <w:rFonts w:asciiTheme="majorHAnsi" w:eastAsia="Yu Mincho" w:hAnsiTheme="majorHAnsi" w:cstheme="majorHAnsi"/>
          <w:color w:val="000000" w:themeColor="text1"/>
          <w:sz w:val="22"/>
          <w:szCs w:val="22"/>
          <w:lang w:eastAsia="ja-JP"/>
        </w:rPr>
        <w:t xml:space="preserve"> leaves, and others. These reference substances directly support analytical and quality-testing operations under the Vietnamese Pharmacopoeia V (VP V) standards.</w:t>
      </w:r>
    </w:p>
    <w:p w14:paraId="315A221A"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Phytochemical research and database establishment</w:t>
      </w:r>
      <w:r w:rsidRPr="005E6B7C">
        <w:rPr>
          <w:rFonts w:asciiTheme="majorHAnsi" w:eastAsia="Yu Mincho" w:hAnsiTheme="majorHAnsi" w:cstheme="majorHAnsi"/>
          <w:color w:val="000000" w:themeColor="text1"/>
          <w:sz w:val="22"/>
          <w:szCs w:val="22"/>
          <w:lang w:eastAsia="ja-JP"/>
        </w:rPr>
        <w:t>: 248 pure compounds were isolated and their chemical structures elucidated from medicinal plants using state-of-the-art analytical techniques</w:t>
      </w:r>
      <w:r w:rsidR="0044085B"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including NMR (nuclear magnetic resonance spectroscopy), MS (mass spectrometry), LC-MS/MS, and HPLC-DAD. A phytochemical database was established for many herbal species and some species of the family Ganodermataceae </w:t>
      </w:r>
      <w:r w:rsidRPr="005E6B7C">
        <w:rPr>
          <w:rFonts w:asciiTheme="majorHAnsi" w:eastAsia="Yu Mincho" w:hAnsiTheme="majorHAnsi" w:cstheme="majorHAnsi"/>
          <w:color w:val="000000" w:themeColor="text1"/>
          <w:sz w:val="22"/>
          <w:szCs w:val="22"/>
          <w:lang w:eastAsia="ja-JP"/>
        </w:rPr>
        <w:lastRenderedPageBreak/>
        <w:t>(</w:t>
      </w:r>
      <w:r w:rsidRPr="005E6B7C">
        <w:rPr>
          <w:rFonts w:asciiTheme="majorHAnsi" w:eastAsia="Yu Mincho" w:hAnsiTheme="majorHAnsi" w:cstheme="majorHAnsi"/>
          <w:i/>
          <w:iCs/>
          <w:color w:val="000000" w:themeColor="text1"/>
          <w:sz w:val="22"/>
          <w:szCs w:val="22"/>
          <w:lang w:eastAsia="ja-JP"/>
        </w:rPr>
        <w:t>Ganoderma flexibes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G. tropicum</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G. cochlear</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G. capense</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iCs/>
          <w:color w:val="000000" w:themeColor="text1"/>
          <w:sz w:val="22"/>
          <w:szCs w:val="22"/>
          <w:lang w:eastAsia="ja-JP"/>
        </w:rPr>
        <w:t>G. multipileum</w:t>
      </w:r>
      <w:r w:rsidRPr="005E6B7C">
        <w:rPr>
          <w:rFonts w:asciiTheme="majorHAnsi" w:eastAsia="Yu Mincho" w:hAnsiTheme="majorHAnsi" w:cstheme="majorHAnsi"/>
          <w:color w:val="000000" w:themeColor="text1"/>
          <w:sz w:val="22"/>
          <w:szCs w:val="22"/>
          <w:lang w:eastAsia="ja-JP"/>
        </w:rPr>
        <w:t>). Eighteen standardised extract preparation procedures and two synthesis procedures were developed (troxerutin and diosmin from hesperidin).</w:t>
      </w:r>
    </w:p>
    <w:p w14:paraId="69DB0EB8"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Construction of quality standards</w:t>
      </w:r>
      <w:r w:rsidRPr="005E6B7C">
        <w:rPr>
          <w:rFonts w:asciiTheme="majorHAnsi" w:eastAsia="Yu Mincho" w:hAnsiTheme="majorHAnsi" w:cstheme="majorHAnsi"/>
          <w:color w:val="000000" w:themeColor="text1"/>
          <w:sz w:val="22"/>
          <w:szCs w:val="22"/>
          <w:lang w:eastAsia="ja-JP"/>
        </w:rPr>
        <w:t>: Quality standards were completed for six processed herbal materials (aged Tangerine peel dry-fried to yellow, honey-roasted Astragalus, Achyranthes root, Sichuan lovage rhizome, Morinda root, and Kudzu root); 47 facility standards (TCCS) were established for crude drugs, herbal extracts, and preparations. Quality evaluation of market-traded medicinal materials was conducted at an average rate of 200 samples per year using chemical fingerprinting (HPLC fingerprint analysis) and DNA barcoding.</w:t>
      </w:r>
    </w:p>
    <w:p w14:paraId="13D0896E" w14:textId="77777777" w:rsidR="00E049CB" w:rsidRPr="005E6B7C" w:rsidRDefault="00E049CB" w:rsidP="008C0D47">
      <w:pPr>
        <w:tabs>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2.4. Pharmacological and Biological Activity Research</w:t>
      </w:r>
    </w:p>
    <w:p w14:paraId="4234F99B"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Nine new pharmacological models on experimental animals were established (a Parkinson's disease model on </w:t>
      </w:r>
      <w:r w:rsidRPr="005E6B7C">
        <w:rPr>
          <w:rFonts w:asciiTheme="majorHAnsi" w:eastAsia="Yu Mincho" w:hAnsiTheme="majorHAnsi" w:cstheme="majorHAnsi"/>
          <w:i/>
          <w:iCs/>
          <w:color w:val="000000" w:themeColor="text1"/>
          <w:sz w:val="22"/>
          <w:szCs w:val="22"/>
          <w:lang w:eastAsia="ja-JP"/>
        </w:rPr>
        <w:t>Drosophila melanogaster</w:t>
      </w:r>
      <w:r w:rsidRPr="005E6B7C">
        <w:rPr>
          <w:rFonts w:asciiTheme="majorHAnsi" w:eastAsia="Yu Mincho" w:hAnsiTheme="majorHAnsi" w:cstheme="majorHAnsi"/>
          <w:color w:val="000000" w:themeColor="text1"/>
          <w:sz w:val="22"/>
          <w:szCs w:val="22"/>
          <w:lang w:eastAsia="ja-JP"/>
        </w:rPr>
        <w:t xml:space="preserve">,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and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color w:val="000000" w:themeColor="text1"/>
          <w:sz w:val="22"/>
          <w:szCs w:val="22"/>
          <w:lang w:eastAsia="ja-JP"/>
        </w:rPr>
        <w:t xml:space="preserve"> anticoagulation models, an experimental arthritis model, an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color w:val="000000" w:themeColor="text1"/>
          <w:sz w:val="22"/>
          <w:szCs w:val="22"/>
          <w:lang w:eastAsia="ja-JP"/>
        </w:rPr>
        <w:t xml:space="preserve"> breast cancer model on Balb/c mice, a diabetes-with-obesity model, and others), bringing the Institute's total validated pharmacological model repertoire to approximately 30 models. Research demonstrated several biologically significant activities: anti-thrombocytopenic activity of </w:t>
      </w:r>
      <w:r w:rsidRPr="005E6B7C">
        <w:rPr>
          <w:rFonts w:asciiTheme="majorHAnsi" w:eastAsia="Yu Mincho" w:hAnsiTheme="majorHAnsi" w:cstheme="majorHAnsi"/>
          <w:i/>
          <w:iCs/>
          <w:color w:val="000000" w:themeColor="text1"/>
          <w:sz w:val="22"/>
          <w:szCs w:val="22"/>
          <w:lang w:eastAsia="ja-JP"/>
        </w:rPr>
        <w:t>Carica papaya</w:t>
      </w:r>
      <w:r w:rsidRPr="005E6B7C">
        <w:rPr>
          <w:rFonts w:asciiTheme="majorHAnsi" w:eastAsia="Yu Mincho" w:hAnsiTheme="majorHAnsi" w:cstheme="majorHAnsi"/>
          <w:color w:val="000000" w:themeColor="text1"/>
          <w:sz w:val="22"/>
          <w:szCs w:val="22"/>
          <w:lang w:eastAsia="ja-JP"/>
        </w:rPr>
        <w:t xml:space="preserve"> leaves, experimental menopausal symptom-ameliorating activity of </w:t>
      </w:r>
      <w:r w:rsidRPr="005E6B7C">
        <w:rPr>
          <w:rFonts w:asciiTheme="majorHAnsi" w:eastAsia="Yu Mincho" w:hAnsiTheme="majorHAnsi" w:cstheme="majorHAnsi"/>
          <w:i/>
          <w:iCs/>
          <w:color w:val="000000" w:themeColor="text1"/>
          <w:sz w:val="22"/>
          <w:szCs w:val="22"/>
          <w:lang w:eastAsia="ja-JP"/>
        </w:rPr>
        <w:t>Vitex trifolia</w:t>
      </w:r>
      <w:r w:rsidRPr="005E6B7C">
        <w:rPr>
          <w:rFonts w:asciiTheme="majorHAnsi" w:eastAsia="Yu Mincho" w:hAnsiTheme="majorHAnsi" w:cstheme="majorHAnsi"/>
          <w:color w:val="000000" w:themeColor="text1"/>
          <w:sz w:val="22"/>
          <w:szCs w:val="22"/>
          <w:lang w:eastAsia="ja-JP"/>
        </w:rPr>
        <w:t xml:space="preserve"> fruits, and anti-tumour and immunomodulatory activities of selected Vietnamese medicinal plants. Systematic screening was performed across multiple pharmacological categories: anti-cancer, immunostimulatory, experimental anti-arthritic,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tyrosinase-inhibitory, and stroke-preventive activities.</w:t>
      </w:r>
    </w:p>
    <w:p w14:paraId="05589571" w14:textId="77777777" w:rsidR="00E049CB" w:rsidRPr="005E6B7C" w:rsidRDefault="00E049CB" w:rsidP="008C0D47">
      <w:pPr>
        <w:tabs>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2.5. Pharmaceutical Formulation and Development of Novel Herbal Medicines</w:t>
      </w:r>
    </w:p>
    <w:p w14:paraId="3269B345"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constitutes the most strategically critical output of the medicinal materials value chain. During 2021–2025, NIMM developed seven herbal pharmaceutical products: film-coated Memonimm tablets from </w:t>
      </w:r>
      <w:r w:rsidRPr="005E6B7C">
        <w:rPr>
          <w:rFonts w:asciiTheme="majorHAnsi" w:eastAsia="Yu Mincho" w:hAnsiTheme="majorHAnsi" w:cstheme="majorHAnsi"/>
          <w:i/>
          <w:iCs/>
          <w:color w:val="000000" w:themeColor="text1"/>
          <w:sz w:val="22"/>
          <w:szCs w:val="22"/>
          <w:lang w:eastAsia="ja-JP"/>
        </w:rPr>
        <w:t>Bacopa monnieri</w:t>
      </w:r>
      <w:r w:rsidRPr="005E6B7C">
        <w:rPr>
          <w:rFonts w:asciiTheme="majorHAnsi" w:eastAsia="Yu Mincho" w:hAnsiTheme="majorHAnsi" w:cstheme="majorHAnsi"/>
          <w:color w:val="000000" w:themeColor="text1"/>
          <w:sz w:val="22"/>
          <w:szCs w:val="22"/>
          <w:lang w:eastAsia="ja-JP"/>
        </w:rPr>
        <w:t xml:space="preserve"> for cognitive support; PapayUp preparations (film-coated tablets and syrup) for thrombocytopenia support in dengue fever; hard capsules of </w:t>
      </w:r>
      <w:r w:rsidRPr="005E6B7C">
        <w:rPr>
          <w:rFonts w:asciiTheme="majorHAnsi" w:eastAsia="Yu Mincho" w:hAnsiTheme="majorHAnsi" w:cstheme="majorHAnsi"/>
          <w:i/>
          <w:iCs/>
          <w:color w:val="000000" w:themeColor="text1"/>
          <w:sz w:val="22"/>
          <w:szCs w:val="22"/>
          <w:lang w:eastAsia="ja-JP"/>
        </w:rPr>
        <w:t>Schisandra chinensis</w:t>
      </w:r>
      <w:r w:rsidRPr="005E6B7C">
        <w:rPr>
          <w:rFonts w:asciiTheme="majorHAnsi" w:eastAsia="Yu Mincho" w:hAnsiTheme="majorHAnsi" w:cstheme="majorHAnsi"/>
          <w:color w:val="000000" w:themeColor="text1"/>
          <w:sz w:val="22"/>
          <w:szCs w:val="22"/>
          <w:lang w:eastAsia="ja-JP"/>
        </w:rPr>
        <w:t xml:space="preserve"> extract for hepatoprotection; film-coated tablets of </w:t>
      </w:r>
      <w:r w:rsidRPr="005E6B7C">
        <w:rPr>
          <w:rFonts w:asciiTheme="majorHAnsi" w:eastAsia="Yu Mincho" w:hAnsiTheme="majorHAnsi" w:cstheme="majorHAnsi"/>
          <w:i/>
          <w:iCs/>
          <w:color w:val="000000" w:themeColor="text1"/>
          <w:sz w:val="22"/>
          <w:szCs w:val="22"/>
          <w:lang w:eastAsia="ja-JP"/>
        </w:rPr>
        <w:t>Phyllanthus amarus</w:t>
      </w:r>
      <w:r w:rsidRPr="005E6B7C">
        <w:rPr>
          <w:rFonts w:asciiTheme="majorHAnsi" w:eastAsia="Yu Mincho" w:hAnsiTheme="majorHAnsi" w:cstheme="majorHAnsi"/>
          <w:color w:val="000000" w:themeColor="text1"/>
          <w:sz w:val="22"/>
          <w:szCs w:val="22"/>
          <w:lang w:eastAsia="ja-JP"/>
        </w:rPr>
        <w:t xml:space="preserve"> extract for liver function support and elevated liver enzymes; a gel and topical cream from </w:t>
      </w:r>
      <w:r w:rsidRPr="005E6B7C">
        <w:rPr>
          <w:rFonts w:asciiTheme="majorHAnsi" w:eastAsia="Yu Mincho" w:hAnsiTheme="majorHAnsi" w:cstheme="majorHAnsi"/>
          <w:i/>
          <w:iCs/>
          <w:color w:val="000000" w:themeColor="text1"/>
          <w:sz w:val="22"/>
          <w:szCs w:val="22"/>
          <w:lang w:eastAsia="ja-JP"/>
        </w:rPr>
        <w:t>Capsicum annuum</w:t>
      </w:r>
      <w:r w:rsidRPr="005E6B7C">
        <w:rPr>
          <w:rFonts w:asciiTheme="majorHAnsi" w:eastAsia="Yu Mincho" w:hAnsiTheme="majorHAnsi" w:cstheme="majorHAnsi"/>
          <w:color w:val="000000" w:themeColor="text1"/>
          <w:sz w:val="22"/>
          <w:szCs w:val="22"/>
          <w:lang w:eastAsia="ja-JP"/>
        </w:rPr>
        <w:t xml:space="preserve"> (Trung Doan cultivar) for pain relief; preparations for cough relief (lozenges and syrup from </w:t>
      </w:r>
      <w:r w:rsidRPr="005E6B7C">
        <w:rPr>
          <w:rFonts w:asciiTheme="majorHAnsi" w:eastAsia="Yu Mincho" w:hAnsiTheme="majorHAnsi" w:cstheme="majorHAnsi"/>
          <w:i/>
          <w:iCs/>
          <w:color w:val="000000" w:themeColor="text1"/>
          <w:sz w:val="22"/>
          <w:szCs w:val="22"/>
          <w:lang w:eastAsia="ja-JP"/>
        </w:rPr>
        <w:t>Platycodon grandiflorus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Iris domestica</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iCs/>
          <w:color w:val="000000" w:themeColor="text1"/>
          <w:sz w:val="22"/>
          <w:szCs w:val="22"/>
          <w:lang w:eastAsia="ja-JP"/>
        </w:rPr>
        <w:t>Coleus amboinicus</w:t>
      </w:r>
      <w:r w:rsidRPr="005E6B7C">
        <w:rPr>
          <w:rFonts w:asciiTheme="majorHAnsi" w:eastAsia="Yu Mincho" w:hAnsiTheme="majorHAnsi" w:cstheme="majorHAnsi"/>
          <w:color w:val="000000" w:themeColor="text1"/>
          <w:sz w:val="22"/>
          <w:szCs w:val="22"/>
          <w:lang w:eastAsia="ja-JP"/>
        </w:rPr>
        <w:t xml:space="preserve"> essential oil; lozenges and syrup from </w:t>
      </w:r>
      <w:r w:rsidRPr="005E6B7C">
        <w:rPr>
          <w:rFonts w:asciiTheme="majorHAnsi" w:eastAsia="Yu Mincho" w:hAnsiTheme="majorHAnsi" w:cstheme="majorHAnsi"/>
          <w:i/>
          <w:iCs/>
          <w:color w:val="000000" w:themeColor="text1"/>
          <w:sz w:val="22"/>
          <w:szCs w:val="22"/>
          <w:lang w:eastAsia="ja-JP"/>
        </w:rPr>
        <w:t>Hedera helix</w:t>
      </w:r>
      <w:r w:rsidRPr="005E6B7C">
        <w:rPr>
          <w:rFonts w:asciiTheme="majorHAnsi" w:eastAsia="Yu Mincho" w:hAnsiTheme="majorHAnsi" w:cstheme="majorHAnsi"/>
          <w:color w:val="000000" w:themeColor="text1"/>
          <w:sz w:val="22"/>
          <w:szCs w:val="22"/>
          <w:lang w:eastAsia="ja-JP"/>
        </w:rPr>
        <w:t xml:space="preserve"> leaf extract); and topical skin products (nanoemulgel capsaicinoid, niosome resveratrol, and a skin-whitening product from curcumin and resveratrol). Fourteen pharmaceutical manufacturing procedures from herbal extracts were established. In 2024, the classical prescription Thong-ta-ninh was modernised by converting from granule to pellet form (targeting irritable bowel syndrome); in 2025, modernisation continued for the classical prescriptions Tan-duc-dan, Luong-phu-hoan, and Tam-ty-thang. </w:t>
      </w:r>
    </w:p>
    <w:p w14:paraId="1C0F1FC8" w14:textId="77777777" w:rsidR="00E049CB" w:rsidRPr="005E6B7C" w:rsidRDefault="00E049CB" w:rsidP="008C0D47">
      <w:pPr>
        <w:tabs>
          <w:tab w:val="left" w:pos="270"/>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2.6. Human Resource Development and International Cooperation</w:t>
      </w:r>
    </w:p>
    <w:p w14:paraId="0B42FA99"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Postgraduate training:</w:t>
      </w:r>
      <w:r w:rsidRPr="005E6B7C">
        <w:rPr>
          <w:rFonts w:asciiTheme="majorHAnsi" w:eastAsia="Yu Mincho" w:hAnsiTheme="majorHAnsi" w:cstheme="majorHAnsi"/>
          <w:color w:val="000000" w:themeColor="text1"/>
          <w:sz w:val="22"/>
          <w:szCs w:val="22"/>
          <w:lang w:eastAsia="ja-JP"/>
        </w:rPr>
        <w:t xml:space="preserve"> During 2021–2025, NIMM recruited 29 new doctoral candidates and another 25 candidates have successfully defended their doctoral dissertations </w:t>
      </w:r>
      <w:r w:rsidR="00A06AA5"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 150% increase over the 2016–2020 period. Collaborative training programmes with seven domestic universities and academies produced 23 PhDs, 48 Masters, and 210 undergraduate students; a further 1,100 students received practical training from pharmacy and medicine institutions nationwide. Memoranda of understanding were signed with seven domestic universities and academies.</w:t>
      </w:r>
    </w:p>
    <w:p w14:paraId="2394893D"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International cooperation:</w:t>
      </w:r>
      <w:r w:rsidRPr="005E6B7C">
        <w:rPr>
          <w:rFonts w:asciiTheme="majorHAnsi" w:eastAsia="Yu Mincho" w:hAnsiTheme="majorHAnsi" w:cstheme="majorHAnsi"/>
          <w:color w:val="000000" w:themeColor="text1"/>
          <w:sz w:val="22"/>
          <w:szCs w:val="22"/>
          <w:lang w:eastAsia="ja-JP"/>
        </w:rPr>
        <w:t xml:space="preserve"> Five international MOUs were signed: with the Kyoto Institute (Japan, 2024–2028), Seoul National University (Republic of Korea, 2023–2028), Kyushu University (Japan, 2023–2028), Jiangming University (China, 2020–2025), and Hong Ha University (China, 2025–2030). More than 30 international delegations from universities and research institutes in France, the United States, the Republic of Korea, Japan, China, Taiwan, Australia, Cuba, Russia, and Germany were received. Staff members were dispatched for short-term training and working visits to the Republic of Korea, Denmark, the United States, Japan, China, and Thailand.</w:t>
      </w:r>
    </w:p>
    <w:p w14:paraId="1461B1D8" w14:textId="77777777" w:rsidR="00E049CB" w:rsidRPr="005E6B7C" w:rsidRDefault="00E049CB" w:rsidP="008C0D47">
      <w:pPr>
        <w:tabs>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2.7. Scientific Publications</w:t>
      </w:r>
    </w:p>
    <w:p w14:paraId="02F0664B" w14:textId="23207BD9" w:rsidR="00FF510E"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As of December 2025, NIMM's cumulative scientific output reached 563 papers, a 48.2% increase over the 2016–2020 period (380 papers). This total includes 135 international publications (an increase of 61 papers, equivalent to +82.4%) and 428 domestic publications (an increase of 122 papers). The sharp growth in international publications reflects steadily improving research quality and the Institute's deepening integration into the global scientific community. </w:t>
      </w:r>
      <w:r w:rsidR="0078228C" w:rsidRPr="005E6B7C">
        <w:rPr>
          <w:rFonts w:asciiTheme="majorHAnsi" w:eastAsia="Yu Mincho" w:hAnsiTheme="majorHAnsi" w:cstheme="majorHAnsi"/>
          <w:color w:val="000000" w:themeColor="text1"/>
          <w:spacing w:val="-4"/>
          <w:sz w:val="22"/>
          <w:szCs w:val="22"/>
          <w:lang w:eastAsia="ja-JP"/>
        </w:rPr>
        <w:t xml:space="preserve">The robust growth in international publications reflects the rising quality of our research and our active integration into the global scientific community. NIMM has </w:t>
      </w:r>
      <w:r w:rsidR="0078228C" w:rsidRPr="005E6B7C">
        <w:rPr>
          <w:rFonts w:asciiTheme="majorHAnsi" w:eastAsia="Yu Mincho" w:hAnsiTheme="majorHAnsi" w:cstheme="majorHAnsi"/>
          <w:color w:val="000000" w:themeColor="text1"/>
          <w:spacing w:val="-4"/>
          <w:sz w:val="22"/>
          <w:szCs w:val="22"/>
          <w:lang w:eastAsia="ja-JP"/>
        </w:rPr>
        <w:lastRenderedPageBreak/>
        <w:t xml:space="preserve">successfully implemented the Digital Object Identifier (DOI) system and transitioned the </w:t>
      </w:r>
      <w:r w:rsidR="0078228C" w:rsidRPr="005E6B7C">
        <w:rPr>
          <w:rFonts w:asciiTheme="majorHAnsi" w:eastAsia="Yu Mincho" w:hAnsiTheme="majorHAnsi" w:cstheme="majorHAnsi"/>
          <w:i/>
          <w:iCs/>
          <w:color w:val="000000" w:themeColor="text1"/>
          <w:spacing w:val="-4"/>
          <w:sz w:val="22"/>
          <w:szCs w:val="22"/>
          <w:lang w:eastAsia="ja-JP"/>
        </w:rPr>
        <w:t xml:space="preserve">Journal </w:t>
      </w:r>
      <w:r w:rsidR="0078228C" w:rsidRPr="005E6B7C">
        <w:rPr>
          <w:rFonts w:asciiTheme="majorHAnsi" w:eastAsia="Yu Mincho" w:hAnsiTheme="majorHAnsi" w:cstheme="majorHAnsi"/>
          <w:i/>
          <w:iCs/>
          <w:color w:val="000000" w:themeColor="text1"/>
          <w:spacing w:val="-4"/>
          <w:sz w:val="22"/>
          <w:szCs w:val="22"/>
          <w:lang w:eastAsia="ja-JP"/>
        </w:rPr>
        <w:t>of Medicinal Materials</w:t>
      </w:r>
      <w:r w:rsidR="0078228C" w:rsidRPr="005E6B7C">
        <w:rPr>
          <w:rFonts w:asciiTheme="majorHAnsi" w:eastAsia="Yu Mincho" w:hAnsiTheme="majorHAnsi" w:cstheme="majorHAnsi"/>
          <w:color w:val="000000" w:themeColor="text1"/>
          <w:spacing w:val="-4"/>
          <w:sz w:val="22"/>
          <w:szCs w:val="22"/>
          <w:lang w:eastAsia="ja-JP"/>
        </w:rPr>
        <w:t xml:space="preserve"> to an online publishing platform</w:t>
      </w:r>
    </w:p>
    <w:p w14:paraId="5B90EEE9" w14:textId="77777777" w:rsidR="00FF510E" w:rsidRPr="005E6B7C" w:rsidRDefault="00FF510E"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sectPr w:rsidR="00FF510E" w:rsidRPr="005E6B7C" w:rsidSect="00FF510E">
          <w:type w:val="continuous"/>
          <w:pgSz w:w="10773" w:h="15309" w:code="9"/>
          <w:pgMar w:top="907" w:right="851" w:bottom="1418" w:left="851" w:header="397" w:footer="851" w:gutter="0"/>
          <w:cols w:num="2" w:space="284"/>
          <w:docGrid w:linePitch="360"/>
        </w:sectPr>
      </w:pPr>
    </w:p>
    <w:p w14:paraId="622A4C2B" w14:textId="77777777" w:rsidR="00E049CB" w:rsidRPr="005E6B7C" w:rsidRDefault="00E049CB" w:rsidP="008C0D47">
      <w:pPr>
        <w:widowControl/>
        <w:tabs>
          <w:tab w:val="left" w:pos="270"/>
          <w:tab w:val="left" w:pos="9270"/>
        </w:tabs>
        <w:spacing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1. </w:t>
      </w:r>
      <w:r w:rsidRPr="005E6B7C">
        <w:rPr>
          <w:rFonts w:asciiTheme="majorHAnsi" w:eastAsia="Yu Mincho" w:hAnsiTheme="majorHAnsi" w:cstheme="majorHAnsi"/>
          <w:color w:val="000000" w:themeColor="text1"/>
          <w:sz w:val="18"/>
          <w:szCs w:val="18"/>
          <w:lang w:eastAsia="ja-JP"/>
        </w:rPr>
        <w:t>Key S&amp;T performance indicators: 2016–2020 versus 2021–2025</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6067"/>
        <w:gridCol w:w="1497"/>
        <w:gridCol w:w="1497"/>
      </w:tblGrid>
      <w:tr w:rsidR="00AA07C9" w:rsidRPr="005E6B7C" w14:paraId="00A0AB45" w14:textId="77777777" w:rsidTr="003B076D">
        <w:trPr>
          <w:jc w:val="center"/>
        </w:trPr>
        <w:tc>
          <w:tcPr>
            <w:tcW w:w="3347" w:type="pct"/>
            <w:shd w:val="clear" w:color="auto" w:fill="DDDDDD" w:themeFill="accent1"/>
            <w:tcMar>
              <w:top w:w="60" w:type="dxa"/>
              <w:left w:w="120" w:type="dxa"/>
              <w:bottom w:w="60" w:type="dxa"/>
              <w:right w:w="120" w:type="dxa"/>
            </w:tcMar>
            <w:vAlign w:val="center"/>
          </w:tcPr>
          <w:p w14:paraId="0BB8F134"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Indicator</w:t>
            </w:r>
          </w:p>
        </w:tc>
        <w:tc>
          <w:tcPr>
            <w:tcW w:w="826" w:type="pct"/>
            <w:shd w:val="clear" w:color="auto" w:fill="DDDDDD" w:themeFill="accent1"/>
            <w:tcMar>
              <w:top w:w="60" w:type="dxa"/>
              <w:left w:w="120" w:type="dxa"/>
              <w:bottom w:w="60" w:type="dxa"/>
              <w:right w:w="120" w:type="dxa"/>
            </w:tcMar>
          </w:tcPr>
          <w:p w14:paraId="510A1ABA"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2016–2020</w:t>
            </w:r>
          </w:p>
        </w:tc>
        <w:tc>
          <w:tcPr>
            <w:tcW w:w="826" w:type="pct"/>
            <w:shd w:val="clear" w:color="auto" w:fill="DDDDDD" w:themeFill="accent1"/>
            <w:tcMar>
              <w:top w:w="60" w:type="dxa"/>
              <w:left w:w="120" w:type="dxa"/>
              <w:bottom w:w="60" w:type="dxa"/>
              <w:right w:w="120" w:type="dxa"/>
            </w:tcMar>
          </w:tcPr>
          <w:p w14:paraId="0BB02C50"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2021–2025</w:t>
            </w:r>
          </w:p>
        </w:tc>
      </w:tr>
      <w:tr w:rsidR="00AA07C9" w:rsidRPr="005E6B7C" w14:paraId="2037A03D" w14:textId="77777777" w:rsidTr="003B076D">
        <w:trPr>
          <w:jc w:val="center"/>
        </w:trPr>
        <w:tc>
          <w:tcPr>
            <w:tcW w:w="3347" w:type="pct"/>
            <w:tcMar>
              <w:top w:w="40" w:type="dxa"/>
              <w:left w:w="120" w:type="dxa"/>
              <w:bottom w:w="40" w:type="dxa"/>
              <w:right w:w="120" w:type="dxa"/>
            </w:tcMar>
          </w:tcPr>
          <w:p w14:paraId="2ED71E01"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Total S&amp;T projects</w:t>
            </w:r>
          </w:p>
        </w:tc>
        <w:tc>
          <w:tcPr>
            <w:tcW w:w="826" w:type="pct"/>
            <w:tcMar>
              <w:top w:w="40" w:type="dxa"/>
              <w:left w:w="120" w:type="dxa"/>
              <w:bottom w:w="40" w:type="dxa"/>
              <w:right w:w="120" w:type="dxa"/>
            </w:tcMar>
          </w:tcPr>
          <w:p w14:paraId="0DA6DF17"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487</w:t>
            </w:r>
          </w:p>
        </w:tc>
        <w:tc>
          <w:tcPr>
            <w:tcW w:w="826" w:type="pct"/>
            <w:tcMar>
              <w:top w:w="40" w:type="dxa"/>
              <w:left w:w="120" w:type="dxa"/>
              <w:bottom w:w="40" w:type="dxa"/>
              <w:right w:w="120" w:type="dxa"/>
            </w:tcMar>
          </w:tcPr>
          <w:p w14:paraId="55C92259"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443</w:t>
            </w:r>
          </w:p>
        </w:tc>
      </w:tr>
      <w:tr w:rsidR="00AA07C9" w:rsidRPr="005E6B7C" w14:paraId="20256AB1" w14:textId="77777777" w:rsidTr="003B076D">
        <w:trPr>
          <w:jc w:val="center"/>
        </w:trPr>
        <w:tc>
          <w:tcPr>
            <w:tcW w:w="3347" w:type="pct"/>
            <w:tcMar>
              <w:top w:w="40" w:type="dxa"/>
              <w:left w:w="120" w:type="dxa"/>
              <w:bottom w:w="40" w:type="dxa"/>
              <w:right w:w="120" w:type="dxa"/>
            </w:tcMar>
          </w:tcPr>
          <w:p w14:paraId="110B1589" w14:textId="7F6974B4"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National level (as lead institution)</w:t>
            </w:r>
          </w:p>
        </w:tc>
        <w:tc>
          <w:tcPr>
            <w:tcW w:w="826" w:type="pct"/>
            <w:tcMar>
              <w:top w:w="40" w:type="dxa"/>
              <w:left w:w="120" w:type="dxa"/>
              <w:bottom w:w="40" w:type="dxa"/>
              <w:right w:w="120" w:type="dxa"/>
            </w:tcMar>
          </w:tcPr>
          <w:p w14:paraId="7145E648"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w:t>
            </w:r>
          </w:p>
        </w:tc>
        <w:tc>
          <w:tcPr>
            <w:tcW w:w="826" w:type="pct"/>
            <w:tcMar>
              <w:top w:w="40" w:type="dxa"/>
              <w:left w:w="120" w:type="dxa"/>
              <w:bottom w:w="40" w:type="dxa"/>
              <w:right w:w="120" w:type="dxa"/>
            </w:tcMar>
          </w:tcPr>
          <w:p w14:paraId="21A05D3B"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17</w:t>
            </w:r>
          </w:p>
        </w:tc>
      </w:tr>
      <w:tr w:rsidR="00AA07C9" w:rsidRPr="005E6B7C" w14:paraId="0C304F19" w14:textId="77777777" w:rsidTr="003B076D">
        <w:trPr>
          <w:jc w:val="center"/>
        </w:trPr>
        <w:tc>
          <w:tcPr>
            <w:tcW w:w="3347" w:type="pct"/>
            <w:tcMar>
              <w:top w:w="40" w:type="dxa"/>
              <w:left w:w="120" w:type="dxa"/>
              <w:bottom w:w="40" w:type="dxa"/>
              <w:right w:w="120" w:type="dxa"/>
            </w:tcMar>
          </w:tcPr>
          <w:p w14:paraId="567ABC00" w14:textId="0BAF114F"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Ministerial and provincial/local level</w:t>
            </w:r>
          </w:p>
        </w:tc>
        <w:tc>
          <w:tcPr>
            <w:tcW w:w="826" w:type="pct"/>
            <w:tcMar>
              <w:top w:w="40" w:type="dxa"/>
              <w:left w:w="120" w:type="dxa"/>
              <w:bottom w:w="40" w:type="dxa"/>
              <w:right w:w="120" w:type="dxa"/>
            </w:tcMar>
          </w:tcPr>
          <w:p w14:paraId="3D8B3294"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w:t>
            </w:r>
          </w:p>
        </w:tc>
        <w:tc>
          <w:tcPr>
            <w:tcW w:w="826" w:type="pct"/>
            <w:tcMar>
              <w:top w:w="40" w:type="dxa"/>
              <w:left w:w="120" w:type="dxa"/>
              <w:bottom w:w="40" w:type="dxa"/>
              <w:right w:w="120" w:type="dxa"/>
            </w:tcMar>
          </w:tcPr>
          <w:p w14:paraId="202024CB"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60</w:t>
            </w:r>
          </w:p>
        </w:tc>
      </w:tr>
      <w:tr w:rsidR="00AA07C9" w:rsidRPr="005E6B7C" w14:paraId="75A3047F" w14:textId="77777777" w:rsidTr="003B076D">
        <w:trPr>
          <w:jc w:val="center"/>
        </w:trPr>
        <w:tc>
          <w:tcPr>
            <w:tcW w:w="3347" w:type="pct"/>
            <w:tcMar>
              <w:top w:w="40" w:type="dxa"/>
              <w:left w:w="120" w:type="dxa"/>
              <w:bottom w:w="40" w:type="dxa"/>
              <w:right w:w="120" w:type="dxa"/>
            </w:tcMar>
          </w:tcPr>
          <w:p w14:paraId="34573345"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Total scientific publications</w:t>
            </w:r>
          </w:p>
        </w:tc>
        <w:tc>
          <w:tcPr>
            <w:tcW w:w="826" w:type="pct"/>
            <w:tcMar>
              <w:top w:w="40" w:type="dxa"/>
              <w:left w:w="120" w:type="dxa"/>
              <w:bottom w:w="40" w:type="dxa"/>
              <w:right w:w="120" w:type="dxa"/>
            </w:tcMar>
          </w:tcPr>
          <w:p w14:paraId="1056B8F5"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380</w:t>
            </w:r>
          </w:p>
        </w:tc>
        <w:tc>
          <w:tcPr>
            <w:tcW w:w="826" w:type="pct"/>
            <w:tcMar>
              <w:top w:w="40" w:type="dxa"/>
              <w:left w:w="120" w:type="dxa"/>
              <w:bottom w:w="40" w:type="dxa"/>
              <w:right w:w="120" w:type="dxa"/>
            </w:tcMar>
          </w:tcPr>
          <w:p w14:paraId="6A024F24"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563</w:t>
            </w:r>
          </w:p>
        </w:tc>
      </w:tr>
      <w:tr w:rsidR="00AA07C9" w:rsidRPr="005E6B7C" w14:paraId="3CEED3D9" w14:textId="77777777" w:rsidTr="003B076D">
        <w:trPr>
          <w:jc w:val="center"/>
        </w:trPr>
        <w:tc>
          <w:tcPr>
            <w:tcW w:w="3347" w:type="pct"/>
            <w:tcMar>
              <w:top w:w="40" w:type="dxa"/>
              <w:left w:w="120" w:type="dxa"/>
              <w:bottom w:w="40" w:type="dxa"/>
              <w:right w:w="120" w:type="dxa"/>
            </w:tcMar>
          </w:tcPr>
          <w:p w14:paraId="09F075F9" w14:textId="5637B72D"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International publications</w:t>
            </w:r>
          </w:p>
        </w:tc>
        <w:tc>
          <w:tcPr>
            <w:tcW w:w="826" w:type="pct"/>
            <w:tcMar>
              <w:top w:w="40" w:type="dxa"/>
              <w:left w:w="120" w:type="dxa"/>
              <w:bottom w:w="40" w:type="dxa"/>
              <w:right w:w="120" w:type="dxa"/>
            </w:tcMar>
          </w:tcPr>
          <w:p w14:paraId="68EA926B"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74</w:t>
            </w:r>
          </w:p>
        </w:tc>
        <w:tc>
          <w:tcPr>
            <w:tcW w:w="826" w:type="pct"/>
            <w:tcMar>
              <w:top w:w="40" w:type="dxa"/>
              <w:left w:w="120" w:type="dxa"/>
              <w:bottom w:w="40" w:type="dxa"/>
              <w:right w:w="120" w:type="dxa"/>
            </w:tcMar>
          </w:tcPr>
          <w:p w14:paraId="09FFFF39"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135</w:t>
            </w:r>
          </w:p>
        </w:tc>
      </w:tr>
      <w:tr w:rsidR="00AA07C9" w:rsidRPr="005E6B7C" w14:paraId="057E4F64" w14:textId="77777777" w:rsidTr="003B076D">
        <w:trPr>
          <w:jc w:val="center"/>
        </w:trPr>
        <w:tc>
          <w:tcPr>
            <w:tcW w:w="3347" w:type="pct"/>
            <w:tcMar>
              <w:top w:w="40" w:type="dxa"/>
              <w:left w:w="120" w:type="dxa"/>
              <w:bottom w:w="40" w:type="dxa"/>
              <w:right w:w="120" w:type="dxa"/>
            </w:tcMar>
          </w:tcPr>
          <w:p w14:paraId="3141F0C4" w14:textId="327B0B05"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Domestic publications</w:t>
            </w:r>
          </w:p>
        </w:tc>
        <w:tc>
          <w:tcPr>
            <w:tcW w:w="826" w:type="pct"/>
            <w:tcMar>
              <w:top w:w="40" w:type="dxa"/>
              <w:left w:w="120" w:type="dxa"/>
              <w:bottom w:w="40" w:type="dxa"/>
              <w:right w:w="120" w:type="dxa"/>
            </w:tcMar>
          </w:tcPr>
          <w:p w14:paraId="49BE6D3D"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306</w:t>
            </w:r>
          </w:p>
        </w:tc>
        <w:tc>
          <w:tcPr>
            <w:tcW w:w="826" w:type="pct"/>
            <w:tcMar>
              <w:top w:w="40" w:type="dxa"/>
              <w:left w:w="120" w:type="dxa"/>
              <w:bottom w:w="40" w:type="dxa"/>
              <w:right w:w="120" w:type="dxa"/>
            </w:tcMar>
          </w:tcPr>
          <w:p w14:paraId="2971956D"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428</w:t>
            </w:r>
          </w:p>
        </w:tc>
      </w:tr>
      <w:tr w:rsidR="00AA07C9" w:rsidRPr="005E6B7C" w14:paraId="580542F8" w14:textId="77777777" w:rsidTr="003B076D">
        <w:trPr>
          <w:jc w:val="center"/>
        </w:trPr>
        <w:tc>
          <w:tcPr>
            <w:tcW w:w="3347" w:type="pct"/>
            <w:tcMar>
              <w:top w:w="40" w:type="dxa"/>
              <w:left w:w="120" w:type="dxa"/>
              <w:bottom w:w="40" w:type="dxa"/>
              <w:right w:w="120" w:type="dxa"/>
            </w:tcMar>
          </w:tcPr>
          <w:p w14:paraId="59B86C2B"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Doctoral degrees conferred</w:t>
            </w:r>
          </w:p>
        </w:tc>
        <w:tc>
          <w:tcPr>
            <w:tcW w:w="826" w:type="pct"/>
            <w:tcMar>
              <w:top w:w="40" w:type="dxa"/>
              <w:left w:w="120" w:type="dxa"/>
              <w:bottom w:w="40" w:type="dxa"/>
              <w:right w:w="120" w:type="dxa"/>
            </w:tcMar>
          </w:tcPr>
          <w:p w14:paraId="131A9A58"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826" w:type="pct"/>
            <w:tcMar>
              <w:top w:w="40" w:type="dxa"/>
              <w:left w:w="120" w:type="dxa"/>
              <w:bottom w:w="40" w:type="dxa"/>
              <w:right w:w="120" w:type="dxa"/>
            </w:tcMar>
          </w:tcPr>
          <w:p w14:paraId="7E9FEAF2"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25</w:t>
            </w:r>
          </w:p>
        </w:tc>
      </w:tr>
      <w:tr w:rsidR="00AA07C9" w:rsidRPr="005E6B7C" w14:paraId="2B8199E6" w14:textId="77777777" w:rsidTr="003B076D">
        <w:trPr>
          <w:jc w:val="center"/>
        </w:trPr>
        <w:tc>
          <w:tcPr>
            <w:tcW w:w="3347" w:type="pct"/>
            <w:tcMar>
              <w:top w:w="40" w:type="dxa"/>
              <w:left w:w="120" w:type="dxa"/>
              <w:bottom w:w="40" w:type="dxa"/>
              <w:right w:w="120" w:type="dxa"/>
            </w:tcMar>
          </w:tcPr>
          <w:p w14:paraId="5CE70413"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Medicinal plant varieties officially registered</w:t>
            </w:r>
          </w:p>
        </w:tc>
        <w:tc>
          <w:tcPr>
            <w:tcW w:w="826" w:type="pct"/>
            <w:tcMar>
              <w:top w:w="40" w:type="dxa"/>
              <w:left w:w="120" w:type="dxa"/>
              <w:bottom w:w="40" w:type="dxa"/>
              <w:right w:w="120" w:type="dxa"/>
            </w:tcMar>
          </w:tcPr>
          <w:p w14:paraId="259440E5"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pct"/>
            <w:tcMar>
              <w:top w:w="40" w:type="dxa"/>
              <w:left w:w="120" w:type="dxa"/>
              <w:bottom w:w="40" w:type="dxa"/>
              <w:right w:w="120" w:type="dxa"/>
            </w:tcMar>
          </w:tcPr>
          <w:p w14:paraId="438A4B90"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10</w:t>
            </w:r>
          </w:p>
        </w:tc>
      </w:tr>
      <w:tr w:rsidR="00AA07C9" w:rsidRPr="005E6B7C" w14:paraId="0AC526C9" w14:textId="77777777" w:rsidTr="003B076D">
        <w:trPr>
          <w:jc w:val="center"/>
        </w:trPr>
        <w:tc>
          <w:tcPr>
            <w:tcW w:w="3347" w:type="pct"/>
            <w:tcMar>
              <w:top w:w="40" w:type="dxa"/>
              <w:left w:w="120" w:type="dxa"/>
              <w:bottom w:w="40" w:type="dxa"/>
              <w:right w:w="120" w:type="dxa"/>
            </w:tcMar>
          </w:tcPr>
          <w:p w14:paraId="25F9C414"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Technical procedures for medicinal material production</w:t>
            </w:r>
          </w:p>
        </w:tc>
        <w:tc>
          <w:tcPr>
            <w:tcW w:w="826" w:type="pct"/>
            <w:tcMar>
              <w:top w:w="40" w:type="dxa"/>
              <w:left w:w="120" w:type="dxa"/>
              <w:bottom w:w="40" w:type="dxa"/>
              <w:right w:w="120" w:type="dxa"/>
            </w:tcMar>
          </w:tcPr>
          <w:p w14:paraId="79E3FD97"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pct"/>
            <w:tcMar>
              <w:top w:w="40" w:type="dxa"/>
              <w:left w:w="120" w:type="dxa"/>
              <w:bottom w:w="40" w:type="dxa"/>
              <w:right w:w="120" w:type="dxa"/>
            </w:tcMar>
          </w:tcPr>
          <w:p w14:paraId="3A849140"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97</w:t>
            </w:r>
          </w:p>
        </w:tc>
      </w:tr>
      <w:tr w:rsidR="00AA07C9" w:rsidRPr="005E6B7C" w14:paraId="319EB748" w14:textId="77777777" w:rsidTr="003B076D">
        <w:trPr>
          <w:jc w:val="center"/>
        </w:trPr>
        <w:tc>
          <w:tcPr>
            <w:tcW w:w="3347" w:type="pct"/>
            <w:tcMar>
              <w:top w:w="40" w:type="dxa"/>
              <w:left w:w="120" w:type="dxa"/>
              <w:bottom w:w="40" w:type="dxa"/>
              <w:right w:w="120" w:type="dxa"/>
            </w:tcMar>
          </w:tcPr>
          <w:p w14:paraId="486D9B06" w14:textId="35629835" w:rsidR="00E049CB" w:rsidRPr="005E6B7C" w:rsidRDefault="0078228C"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H</w:t>
            </w:r>
            <w:r w:rsidR="00E049CB" w:rsidRPr="005E6B7C">
              <w:rPr>
                <w:rFonts w:asciiTheme="majorHAnsi" w:eastAsia="Yu Mincho" w:hAnsiTheme="majorHAnsi" w:cstheme="majorHAnsi"/>
                <w:color w:val="000000" w:themeColor="text1"/>
                <w:sz w:val="18"/>
                <w:szCs w:val="18"/>
                <w:lang w:eastAsia="ja-JP"/>
              </w:rPr>
              <w:t>erbal pharmaceutical formulations developed</w:t>
            </w:r>
          </w:p>
        </w:tc>
        <w:tc>
          <w:tcPr>
            <w:tcW w:w="826" w:type="pct"/>
            <w:tcMar>
              <w:top w:w="40" w:type="dxa"/>
              <w:left w:w="120" w:type="dxa"/>
              <w:bottom w:w="40" w:type="dxa"/>
              <w:right w:w="120" w:type="dxa"/>
            </w:tcMar>
          </w:tcPr>
          <w:p w14:paraId="2FE12340"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pct"/>
            <w:tcMar>
              <w:top w:w="40" w:type="dxa"/>
              <w:left w:w="120" w:type="dxa"/>
              <w:bottom w:w="40" w:type="dxa"/>
              <w:right w:w="120" w:type="dxa"/>
            </w:tcMar>
          </w:tcPr>
          <w:p w14:paraId="6B122191"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7</w:t>
            </w:r>
          </w:p>
        </w:tc>
      </w:tr>
      <w:tr w:rsidR="00AA07C9" w:rsidRPr="005E6B7C" w14:paraId="51C989A4" w14:textId="77777777" w:rsidTr="003B076D">
        <w:trPr>
          <w:jc w:val="center"/>
        </w:trPr>
        <w:tc>
          <w:tcPr>
            <w:tcW w:w="3347" w:type="pct"/>
            <w:tcMar>
              <w:top w:w="40" w:type="dxa"/>
              <w:left w:w="120" w:type="dxa"/>
              <w:bottom w:w="40" w:type="dxa"/>
              <w:right w:w="120" w:type="dxa"/>
            </w:tcMar>
          </w:tcPr>
          <w:p w14:paraId="30EA0585" w14:textId="2275F77B"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 xml:space="preserve"> isolated</w:t>
            </w:r>
            <w:r w:rsidR="0078228C" w:rsidRPr="005E6B7C">
              <w:rPr>
                <w:rFonts w:asciiTheme="majorHAnsi" w:eastAsia="Yu Mincho" w:hAnsiTheme="majorHAnsi" w:cstheme="majorHAnsi"/>
                <w:color w:val="000000" w:themeColor="text1"/>
                <w:sz w:val="18"/>
                <w:szCs w:val="18"/>
                <w:lang w:val="vi-VN" w:eastAsia="ja-JP"/>
              </w:rPr>
              <w:t xml:space="preserve"> phytocompounds</w:t>
            </w:r>
          </w:p>
        </w:tc>
        <w:tc>
          <w:tcPr>
            <w:tcW w:w="826" w:type="pct"/>
            <w:tcMar>
              <w:top w:w="40" w:type="dxa"/>
              <w:left w:w="120" w:type="dxa"/>
              <w:bottom w:w="40" w:type="dxa"/>
              <w:right w:w="120" w:type="dxa"/>
            </w:tcMar>
          </w:tcPr>
          <w:p w14:paraId="1CE29A48"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pct"/>
            <w:tcMar>
              <w:top w:w="40" w:type="dxa"/>
              <w:left w:w="120" w:type="dxa"/>
              <w:bottom w:w="40" w:type="dxa"/>
              <w:right w:w="120" w:type="dxa"/>
            </w:tcMar>
          </w:tcPr>
          <w:p w14:paraId="3C458344"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248+</w:t>
            </w:r>
          </w:p>
        </w:tc>
      </w:tr>
      <w:tr w:rsidR="00AA07C9" w:rsidRPr="005E6B7C" w14:paraId="4263BF78" w14:textId="77777777" w:rsidTr="003B076D">
        <w:trPr>
          <w:jc w:val="center"/>
        </w:trPr>
        <w:tc>
          <w:tcPr>
            <w:tcW w:w="3347" w:type="pct"/>
            <w:tcMar>
              <w:top w:w="40" w:type="dxa"/>
              <w:left w:w="120" w:type="dxa"/>
              <w:bottom w:w="40" w:type="dxa"/>
              <w:right w:w="120" w:type="dxa"/>
            </w:tcMar>
          </w:tcPr>
          <w:p w14:paraId="3BB22C6C" w14:textId="77777777" w:rsidR="00E049CB" w:rsidRPr="005E6B7C" w:rsidRDefault="00E049CB" w:rsidP="008C0D47">
            <w:pPr>
              <w:widowControl/>
              <w:tabs>
                <w:tab w:val="left" w:pos="27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Reference compounds established</w:t>
            </w:r>
          </w:p>
        </w:tc>
        <w:tc>
          <w:tcPr>
            <w:tcW w:w="826" w:type="pct"/>
            <w:tcMar>
              <w:top w:w="40" w:type="dxa"/>
              <w:left w:w="120" w:type="dxa"/>
              <w:bottom w:w="40" w:type="dxa"/>
              <w:right w:w="120" w:type="dxa"/>
            </w:tcMar>
          </w:tcPr>
          <w:p w14:paraId="3D5F0EE4"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pct"/>
            <w:tcMar>
              <w:top w:w="40" w:type="dxa"/>
              <w:left w:w="120" w:type="dxa"/>
              <w:bottom w:w="40" w:type="dxa"/>
              <w:right w:w="120" w:type="dxa"/>
            </w:tcMar>
          </w:tcPr>
          <w:p w14:paraId="02CB0AA3" w14:textId="77777777" w:rsidR="00E049CB" w:rsidRPr="005E6B7C" w:rsidRDefault="00E049CB" w:rsidP="008C0D47">
            <w:pPr>
              <w:widowControl/>
              <w:tabs>
                <w:tab w:val="left" w:pos="27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26</w:t>
            </w:r>
          </w:p>
        </w:tc>
      </w:tr>
    </w:tbl>
    <w:p w14:paraId="07B5378A" w14:textId="77777777" w:rsidR="000B7F16" w:rsidRPr="005E6B7C" w:rsidRDefault="000B7F16" w:rsidP="008C0D47">
      <w:pPr>
        <w:keepNext/>
        <w:keepLines/>
        <w:widowControl/>
        <w:tabs>
          <w:tab w:val="left" w:pos="270"/>
          <w:tab w:val="left" w:pos="9270"/>
        </w:tabs>
        <w:ind w:right="-20"/>
        <w:jc w:val="both"/>
        <w:outlineLvl w:val="0"/>
        <w:rPr>
          <w:rFonts w:asciiTheme="majorHAnsi" w:eastAsia="Times New Roman" w:hAnsiTheme="majorHAnsi" w:cstheme="majorHAnsi"/>
          <w:b/>
          <w:bCs/>
          <w:color w:val="000000" w:themeColor="text1"/>
          <w:sz w:val="22"/>
          <w:szCs w:val="22"/>
          <w:lang w:eastAsia="ja-JP"/>
        </w:rPr>
      </w:pPr>
    </w:p>
    <w:p w14:paraId="4E20648D" w14:textId="77777777" w:rsidR="00FF510E" w:rsidRPr="005E6B7C" w:rsidRDefault="00FF510E" w:rsidP="008C0D47">
      <w:pPr>
        <w:tabs>
          <w:tab w:val="left" w:pos="270"/>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sectPr w:rsidR="00FF510E" w:rsidRPr="005E6B7C" w:rsidSect="002206BB">
          <w:type w:val="continuous"/>
          <w:pgSz w:w="10773" w:h="15309" w:code="9"/>
          <w:pgMar w:top="907" w:right="851" w:bottom="1418" w:left="851" w:header="397" w:footer="851" w:gutter="0"/>
          <w:cols w:space="284"/>
          <w:docGrid w:linePitch="360"/>
        </w:sectPr>
      </w:pPr>
    </w:p>
    <w:p w14:paraId="4BBE50A3" w14:textId="77777777" w:rsidR="00E049CB" w:rsidRPr="005E6B7C" w:rsidRDefault="00E049CB" w:rsidP="008C0D47">
      <w:pPr>
        <w:tabs>
          <w:tab w:val="left" w:pos="270"/>
          <w:tab w:val="left" w:pos="9270"/>
        </w:tabs>
        <w:spacing w:line="231" w:lineRule="exact"/>
        <w:ind w:right="-23" w:firstLine="284"/>
        <w:jc w:val="both"/>
        <w:outlineLvl w:val="0"/>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3. General Assessment</w:t>
      </w:r>
    </w:p>
    <w:p w14:paraId="5F2847C4" w14:textId="77777777" w:rsidR="00E049CB" w:rsidRPr="005E6B7C" w:rsidRDefault="00E049CB" w:rsidP="008C0D47">
      <w:pPr>
        <w:tabs>
          <w:tab w:val="left" w:pos="270"/>
          <w:tab w:val="left" w:pos="9270"/>
        </w:tabs>
        <w:spacing w:line="231" w:lineRule="exact"/>
        <w:ind w:right="-23"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3.1. Achievements and outstanding results</w:t>
      </w:r>
    </w:p>
    <w:p w14:paraId="27562024" w14:textId="22A3F570"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First, NIMM's research activities have maintained their systemic character along a medicinal materials value chain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from resource surveys, genetic resource conservation, and variety selection, through GACP-WHO-compliant growing area development, quality </w:t>
      </w:r>
      <w:r w:rsidR="0078228C" w:rsidRPr="005E6B7C">
        <w:rPr>
          <w:rFonts w:asciiTheme="majorHAnsi" w:eastAsia="Yu Mincho" w:hAnsiTheme="majorHAnsi" w:cstheme="majorHAnsi"/>
          <w:color w:val="000000" w:themeColor="text1"/>
          <w:spacing w:val="-4"/>
          <w:sz w:val="22"/>
          <w:szCs w:val="22"/>
          <w:lang w:eastAsia="ja-JP"/>
        </w:rPr>
        <w:t>s</w:t>
      </w:r>
      <w:r w:rsidR="00706932" w:rsidRPr="005E6B7C">
        <w:rPr>
          <w:rFonts w:asciiTheme="majorHAnsi" w:eastAsia="Yu Mincho" w:hAnsiTheme="majorHAnsi" w:cstheme="majorHAnsi"/>
          <w:color w:val="000000" w:themeColor="text1"/>
          <w:spacing w:val="-4"/>
          <w:sz w:val="22"/>
          <w:szCs w:val="22"/>
          <w:lang w:eastAsia="ja-JP"/>
        </w:rPr>
        <w:t>tandardization</w:t>
      </w:r>
      <w:r w:rsidRPr="005E6B7C">
        <w:rPr>
          <w:rFonts w:asciiTheme="majorHAnsi" w:eastAsia="Yu Mincho" w:hAnsiTheme="majorHAnsi" w:cstheme="majorHAnsi"/>
          <w:color w:val="000000" w:themeColor="text1"/>
          <w:spacing w:val="-4"/>
          <w:sz w:val="22"/>
          <w:szCs w:val="22"/>
          <w:lang w:eastAsia="ja-JP"/>
        </w:rPr>
        <w:t>, and pharmacological research, to new drug formulation. This integrated competency is a distinctive strength shared by few research institutions in Viet</w:t>
      </w:r>
      <w:r w:rsidR="0044085B" w:rsidRPr="005E6B7C">
        <w:rPr>
          <w:rFonts w:asciiTheme="majorHAnsi" w:eastAsia="Yu Mincho" w:hAnsiTheme="majorHAnsi" w:cstheme="majorHAns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am.</w:t>
      </w:r>
    </w:p>
    <w:p w14:paraId="2E1BDB2C"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Second, research quality has improved markedly. International publications increased by 82.4% compared with the previous period (from 74 to 135 papers), with numerous articles appearing in high-impact ISI-indexed journals. Total publications rose 48.2% to 563 papers over five years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clear evidence of the Institute's deepening integration into the global scientific community.</w:t>
      </w:r>
    </w:p>
    <w:p w14:paraId="7DB3F581"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Third, the development of high-quality human resources exceeded expectations. The number of doctoral graduates increased by 150% compared with the preceding period (from 9 to 25). A cohort of young, rigorously trained scientists from reputable domestic and international institutions provides a solid foundation for NIMM's long-term development.</w:t>
      </w:r>
    </w:p>
    <w:p w14:paraId="7BDE63D9" w14:textId="0C4A05A2"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Fourth, NIMM expanded its research network by establishing additional research units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w:t>
      </w:r>
      <w:r w:rsidR="0078228C" w:rsidRPr="005E6B7C">
        <w:rPr>
          <w:rFonts w:asciiTheme="majorHAnsi" w:eastAsia="Yu Mincho" w:hAnsiTheme="majorHAnsi" w:cstheme="majorHAnsi"/>
          <w:b/>
          <w:bCs/>
          <w:color w:val="000000" w:themeColor="text1"/>
          <w:spacing w:val="-4"/>
          <w:sz w:val="22"/>
          <w:szCs w:val="22"/>
          <w:lang w:eastAsia="ja-JP"/>
        </w:rPr>
        <w:t>Center</w:t>
      </w:r>
      <w:r w:rsidRPr="005E6B7C">
        <w:rPr>
          <w:rFonts w:asciiTheme="majorHAnsi" w:eastAsia="Yu Mincho" w:hAnsiTheme="majorHAnsi" w:cstheme="majorHAnsi"/>
          <w:color w:val="000000" w:themeColor="text1"/>
          <w:spacing w:val="-4"/>
          <w:sz w:val="22"/>
          <w:szCs w:val="22"/>
          <w:lang w:eastAsia="ja-JP"/>
        </w:rPr>
        <w:t xml:space="preserve"> for Medicinal Material Resources, </w:t>
      </w:r>
      <w:r w:rsidR="00BF07C8" w:rsidRPr="005E6B7C">
        <w:rPr>
          <w:rFonts w:asciiTheme="majorHAnsi" w:eastAsia="Yu Mincho" w:hAnsiTheme="majorHAnsi" w:cstheme="majorHAnsi"/>
          <w:color w:val="000000" w:themeColor="text1"/>
          <w:spacing w:val="-4"/>
          <w:sz w:val="22"/>
          <w:szCs w:val="22"/>
          <w:lang w:eastAsia="ja-JP"/>
        </w:rPr>
        <w:t>Highlands Research Center of Medicinal Materials</w:t>
      </w:r>
      <w:r w:rsidRPr="005E6B7C">
        <w:rPr>
          <w:rFonts w:asciiTheme="majorHAnsi" w:eastAsia="Yu Mincho" w:hAnsiTheme="majorHAnsi" w:cstheme="majorHAnsi"/>
          <w:color w:val="000000" w:themeColor="text1"/>
          <w:spacing w:val="-4"/>
          <w:sz w:val="22"/>
          <w:szCs w:val="22"/>
          <w:lang w:eastAsia="ja-JP"/>
        </w:rPr>
        <w:t xml:space="preserve">, and </w:t>
      </w:r>
      <w:r w:rsidR="00BF07C8" w:rsidRPr="005E6B7C">
        <w:rPr>
          <w:rFonts w:asciiTheme="majorHAnsi" w:eastAsia="Yu Mincho" w:hAnsiTheme="majorHAnsi" w:cstheme="majorHAnsi"/>
          <w:color w:val="000000" w:themeColor="text1"/>
          <w:spacing w:val="-4"/>
          <w:sz w:val="22"/>
          <w:szCs w:val="22"/>
          <w:lang w:eastAsia="ja-JP"/>
        </w:rPr>
        <w:t xml:space="preserve">Tam Dao Research Center of Medicinal Materials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thereby extending geographical coverage and multi-ecological-zone research capacity. </w:t>
      </w:r>
      <w:r w:rsidR="00BF07C8" w:rsidRPr="005E6B7C">
        <w:rPr>
          <w:rFonts w:asciiTheme="majorHAnsi" w:eastAsia="Yu Mincho" w:hAnsiTheme="majorHAnsi" w:cstheme="majorHAnsi"/>
          <w:color w:val="000000" w:themeColor="text1"/>
          <w:spacing w:val="-4"/>
          <w:sz w:val="22"/>
          <w:szCs w:val="22"/>
          <w:lang w:eastAsia="ja-JP"/>
        </w:rPr>
        <w:t>Investments in research equipment during this phase have prioritized modern analytical machinery to facilitate advanced, in-depth research</w:t>
      </w:r>
      <w:r w:rsidRPr="005E6B7C">
        <w:rPr>
          <w:rFonts w:asciiTheme="majorHAnsi" w:eastAsia="Yu Mincho" w:hAnsiTheme="majorHAnsi" w:cstheme="majorHAnsi"/>
          <w:color w:val="000000" w:themeColor="text1"/>
          <w:spacing w:val="-4"/>
          <w:sz w:val="22"/>
          <w:szCs w:val="22"/>
          <w:lang w:eastAsia="ja-JP"/>
        </w:rPr>
        <w:t>.</w:t>
      </w:r>
    </w:p>
    <w:p w14:paraId="1DA98421"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Fifth, NIMM demonstrated effective </w:t>
      </w:r>
      <w:r w:rsidRPr="005E6B7C">
        <w:rPr>
          <w:rFonts w:asciiTheme="majorHAnsi" w:eastAsia="Yu Mincho" w:hAnsiTheme="majorHAnsi" w:cstheme="majorHAnsi"/>
          <w:color w:val="000000" w:themeColor="text1"/>
          <w:spacing w:val="-4"/>
          <w:sz w:val="22"/>
          <w:szCs w:val="22"/>
          <w:lang w:eastAsia="ja-JP"/>
        </w:rPr>
        <w:t>performance in its policy advisory role, contributing to the drafting and refinement of numerous important circulars and decrees in the pharmaceutical sector and providing substantive input to the Ministry of Health for the implementation of Resolution 72-NQ/TW and Directive 25/CT-TTg on the development of Vietnamese traditional medicine and pharmacy.</w:t>
      </w:r>
    </w:p>
    <w:p w14:paraId="0B3EA90D" w14:textId="77777777" w:rsidR="00E049CB" w:rsidRPr="005E6B7C" w:rsidRDefault="00E049CB" w:rsidP="008C0D47">
      <w:pPr>
        <w:tabs>
          <w:tab w:val="left" w:pos="270"/>
          <w:tab w:val="left" w:pos="9270"/>
        </w:tabs>
        <w:spacing w:line="231" w:lineRule="exact"/>
        <w:ind w:right="-23" w:firstLine="284"/>
        <w:jc w:val="both"/>
        <w:outlineLvl w:val="1"/>
        <w:rPr>
          <w:rFonts w:asciiTheme="majorHAnsi" w:eastAsia="Times New Roman" w:hAnsiTheme="majorHAnsi" w:cstheme="majorHAnsi"/>
          <w:i/>
          <w:iCs/>
          <w:color w:val="000000" w:themeColor="text1"/>
          <w:spacing w:val="-4"/>
          <w:sz w:val="22"/>
          <w:szCs w:val="22"/>
          <w:lang w:eastAsia="ja-JP"/>
        </w:rPr>
      </w:pPr>
      <w:r w:rsidRPr="005E6B7C">
        <w:rPr>
          <w:rFonts w:asciiTheme="majorHAnsi" w:eastAsia="Times New Roman" w:hAnsiTheme="majorHAnsi" w:cstheme="majorHAnsi"/>
          <w:i/>
          <w:iCs/>
          <w:color w:val="000000" w:themeColor="text1"/>
          <w:spacing w:val="-4"/>
          <w:sz w:val="22"/>
          <w:szCs w:val="22"/>
          <w:lang w:eastAsia="ja-JP"/>
        </w:rPr>
        <w:t>3.2. Limitations and shortcomings</w:t>
      </w:r>
    </w:p>
    <w:p w14:paraId="7DE82100"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Alongside these positive outcomes, certain persistent limitations must be acknowledged candidly. Regarding the scale and composition of projects: the total number of S&amp;T projects across all levels declined compared with 2016–2020 (443 versus 487 projects), with a particularly notable decrease in national-level projects (from 46 to 17), attributable primarily to the contraction of the S&amp;T budget in the aftermath of COVID-19. Research activities have not yet sufficiently engaged with industry demand and market requirements.</w:t>
      </w:r>
    </w:p>
    <w:p w14:paraId="4D46EF91"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color w:val="000000" w:themeColor="text1"/>
          <w:spacing w:val="-4"/>
          <w:sz w:val="22"/>
          <w:szCs w:val="22"/>
          <w:lang w:eastAsia="ja-JP"/>
        </w:rPr>
        <w:t xml:space="preserve">Regarding research quality and novelty: </w:t>
      </w:r>
      <w:r w:rsidRPr="005E6B7C">
        <w:rPr>
          <w:rFonts w:asciiTheme="majorHAnsi" w:eastAsia="Yu Mincho" w:hAnsiTheme="majorHAnsi" w:cstheme="majorHAnsi"/>
          <w:color w:val="000000" w:themeColor="text1"/>
          <w:spacing w:val="-4"/>
          <w:sz w:val="22"/>
          <w:szCs w:val="22"/>
          <w:lang w:val="vi-VN" w:eastAsia="ja-JP"/>
        </w:rPr>
        <w:t>Research activities remained fragmented, lacking focus and in-depth resources, while investment in specialized research infrastructure was limited. There was a shortage of modern equipment and funding for drug research and development, especially clinical trials</w:t>
      </w:r>
      <w:r w:rsidR="0044085B"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color w:val="000000" w:themeColor="text1"/>
          <w:spacing w:val="-4"/>
          <w:sz w:val="22"/>
          <w:szCs w:val="22"/>
          <w:lang w:val="vi-VN" w:eastAsia="ja-JP"/>
        </w:rPr>
        <w:t xml:space="preserve"> thus, few new products were developed. The utilization of research infrastructures was far from optimized; many research projects have not achieved breakthroughs, and few have produced complete, commercially viable final products.</w:t>
      </w:r>
    </w:p>
    <w:p w14:paraId="35615D2D"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Regarding financial sustainability: income generated from S&amp;T services and production activities remains limited, representing only approximately 10% of recurrent expenditure </w:t>
      </w:r>
      <w:r w:rsidR="0021087C"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insufficient to either</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meet the financial autonomy trajectory prescribed under Decree 60/2021/NĐ-or</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lastRenderedPageBreak/>
        <w:t>attract and retain talent.</w:t>
      </w:r>
    </w:p>
    <w:p w14:paraId="73405678"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Regarding management and organisational structure: administrative procedures for research management have not been substantially streamlined; investment remains dispersed rather than strategically concentrated. Newly established units have yet to complete their leadership teams and scientific staff. The Institute's performance evaluation mechanisms lack systematic rigour and substantive depth.</w:t>
      </w:r>
    </w:p>
    <w:p w14:paraId="0642329B" w14:textId="77777777" w:rsidR="00E049CB" w:rsidRPr="005E6B7C" w:rsidRDefault="00E049CB" w:rsidP="008C0D47">
      <w:pPr>
        <w:tabs>
          <w:tab w:val="left" w:pos="270"/>
          <w:tab w:val="left" w:pos="9270"/>
        </w:tabs>
        <w:spacing w:line="231" w:lineRule="exact"/>
        <w:ind w:right="-23" w:firstLine="284"/>
        <w:jc w:val="both"/>
        <w:outlineLvl w:val="0"/>
        <w:rPr>
          <w:rFonts w:asciiTheme="majorHAnsi" w:eastAsia="Times New Roman" w:hAnsiTheme="majorHAnsi" w:cstheme="majorHAnsi"/>
          <w:b/>
          <w:bCs/>
          <w:color w:val="000000" w:themeColor="text1"/>
          <w:spacing w:val="-4"/>
          <w:sz w:val="22"/>
          <w:szCs w:val="22"/>
          <w:lang w:eastAsia="ja-JP"/>
        </w:rPr>
      </w:pPr>
      <w:r w:rsidRPr="005E6B7C">
        <w:rPr>
          <w:rFonts w:asciiTheme="majorHAnsi" w:eastAsia="Times New Roman" w:hAnsiTheme="majorHAnsi" w:cstheme="majorHAnsi"/>
          <w:b/>
          <w:bCs/>
          <w:color w:val="000000" w:themeColor="text1"/>
          <w:spacing w:val="-4"/>
          <w:sz w:val="22"/>
          <w:szCs w:val="22"/>
          <w:lang w:eastAsia="ja-JP"/>
        </w:rPr>
        <w:t>4. Strategic Science and Technology Orientations for the Period of 2026–2030</w:t>
      </w:r>
    </w:p>
    <w:p w14:paraId="349C2546"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The 2026–2030 period constitutes a pivotal juncture for the concurrent implementation of Politburo Resolution 57-NQ/TW on S&amp;T breakthroughs, Prime Ministerial Directive 25/CT-TTg on traditional medicine development, and National Assembly Resolution 193/2025/QH15 providing exceptional mechanisms to accelerate S&amp;T. Drawing on the results achieved and lessons learned, NIMM identifies five strategic orientations:</w:t>
      </w:r>
    </w:p>
    <w:p w14:paraId="654EB469" w14:textId="18328669"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color w:val="000000" w:themeColor="text1"/>
          <w:spacing w:val="-4"/>
          <w:sz w:val="22"/>
          <w:szCs w:val="22"/>
          <w:lang w:eastAsia="ja-JP"/>
        </w:rPr>
        <w:t>Restructuring Research along the Full Value Chain:</w:t>
      </w:r>
      <w:r w:rsidRPr="005E6B7C">
        <w:rPr>
          <w:rFonts w:asciiTheme="majorHAnsi" w:eastAsia="Yu Mincho" w:hAnsiTheme="majorHAnsi" w:cstheme="majorHAnsi"/>
          <w:color w:val="000000" w:themeColor="text1"/>
          <w:spacing w:val="-4"/>
          <w:sz w:val="22"/>
          <w:szCs w:val="22"/>
          <w:lang w:eastAsia="ja-JP"/>
        </w:rPr>
        <w:t xml:space="preserve"> Research will be refocused along a complete value chain</w:t>
      </w:r>
      <w:r w:rsidR="00CA7ECA" w:rsidRPr="005E6B7C">
        <w:rPr>
          <w:rFonts w:asciiTheme="majorHAnsi" w:eastAsia="Yu Mincho" w:hAnsiTheme="majorHAnsi" w:cstheme="majorHAnsi"/>
          <w:color w:val="000000" w:themeColor="text1"/>
          <w:spacing w:val="-4"/>
          <w:sz w:val="22"/>
          <w:szCs w:val="22"/>
          <w:lang w:eastAsia="ja-JP"/>
        </w:rPr>
        <w:t xml:space="preserve"> – from </w:t>
      </w:r>
      <w:r w:rsidRPr="005E6B7C">
        <w:rPr>
          <w:rFonts w:asciiTheme="majorHAnsi" w:eastAsia="Yu Mincho" w:hAnsiTheme="majorHAnsi" w:cstheme="majorHAnsi"/>
          <w:color w:val="000000" w:themeColor="text1"/>
          <w:spacing w:val="-4"/>
          <w:sz w:val="22"/>
          <w:szCs w:val="22"/>
          <w:lang w:eastAsia="ja-JP"/>
        </w:rPr>
        <w:t>genetic resources and high</w:t>
      </w:r>
      <w:r w:rsidR="00416EC9"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 xml:space="preserve">quality medicinal plant varieties to commercially viable products. Targets include: selecting and rehabilitating 20–25 new medicinal plant varieties and registering 50–60 varieties for circulation; establishing 25–30 GACP-WHO-compliant cultivation and primary processing procedures; developing innovative herbal medicines and </w:t>
      </w:r>
      <w:r w:rsidR="00416EC9" w:rsidRPr="005E6B7C">
        <w:rPr>
          <w:rFonts w:asciiTheme="majorHAnsi" w:eastAsia="Yu Mincho" w:hAnsiTheme="majorHAnsi" w:cstheme="majorHAnsi"/>
          <w:color w:val="000000" w:themeColor="text1"/>
          <w:spacing w:val="-4"/>
          <w:sz w:val="22"/>
          <w:szCs w:val="22"/>
          <w:lang w:eastAsia="ja-JP"/>
        </w:rPr>
        <w:t>modernization</w:t>
      </w:r>
      <w:r w:rsidR="00416EC9" w:rsidRPr="005E6B7C">
        <w:rPr>
          <w:rFonts w:asciiTheme="majorHAnsi" w:eastAsia="Yu Mincho" w:hAnsiTheme="majorHAnsi" w:cstheme="majorHAnsi"/>
          <w:color w:val="000000" w:themeColor="text1"/>
          <w:spacing w:val="-4"/>
          <w:sz w:val="22"/>
          <w:szCs w:val="22"/>
          <w:lang w:val="vi-VN" w:eastAsia="ja-JP"/>
        </w:rPr>
        <w:t xml:space="preserve"> of traditional medicines</w:t>
      </w:r>
      <w:r w:rsidRPr="005E6B7C">
        <w:rPr>
          <w:rFonts w:asciiTheme="majorHAnsi" w:eastAsia="Yu Mincho" w:hAnsiTheme="majorHAnsi" w:cstheme="majorHAnsi"/>
          <w:color w:val="000000" w:themeColor="text1"/>
          <w:spacing w:val="-4"/>
          <w:sz w:val="22"/>
          <w:szCs w:val="22"/>
          <w:lang w:eastAsia="ja-JP"/>
        </w:rPr>
        <w:t>. Priority therapeutic areas with high unmet need include musculoskeletal conditions, metabolic disorders, neurological conditions, and gastrointestinal diseases. Ten existing NIMM pharmaceutical products will be upgraded and optimised.</w:t>
      </w:r>
    </w:p>
    <w:p w14:paraId="176C1303" w14:textId="17BC07F1"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Upgrading the Quality Assurance and Testing System into a National Technical Infrastructure: </w:t>
      </w:r>
      <w:r w:rsidR="008F6059" w:rsidRPr="005E6B7C">
        <w:rPr>
          <w:rFonts w:asciiTheme="majorHAnsi" w:eastAsia="Yu Mincho" w:hAnsiTheme="majorHAnsi" w:cstheme="majorHAnsi"/>
          <w:color w:val="000000" w:themeColor="text1"/>
          <w:spacing w:val="-4"/>
          <w:sz w:val="22"/>
          <w:szCs w:val="22"/>
          <w:lang w:eastAsia="ja-JP"/>
        </w:rPr>
        <w:t>Department</w:t>
      </w:r>
      <w:r w:rsidR="008F6059" w:rsidRPr="005E6B7C">
        <w:rPr>
          <w:rFonts w:asciiTheme="majorHAnsi" w:eastAsia="Yu Mincho" w:hAnsiTheme="majorHAnsi" w:cstheme="majorHAnsi"/>
          <w:color w:val="000000" w:themeColor="text1"/>
          <w:spacing w:val="-4"/>
          <w:sz w:val="22"/>
          <w:szCs w:val="22"/>
          <w:lang w:val="vi-VN" w:eastAsia="ja-JP"/>
        </w:rPr>
        <w:t xml:space="preserve"> of </w:t>
      </w:r>
      <w:r w:rsidR="008F6059" w:rsidRPr="005E6B7C">
        <w:rPr>
          <w:rFonts w:asciiTheme="majorHAnsi" w:eastAsia="Yu Mincho" w:hAnsiTheme="majorHAnsi" w:cstheme="majorHAnsi"/>
          <w:color w:val="000000" w:themeColor="text1"/>
          <w:spacing w:val="-4"/>
          <w:sz w:val="22"/>
          <w:szCs w:val="22"/>
          <w:lang w:eastAsia="ja-JP"/>
        </w:rPr>
        <w:t>Analytical</w:t>
      </w:r>
      <w:r w:rsidR="008F6059" w:rsidRPr="005E6B7C">
        <w:rPr>
          <w:rFonts w:asciiTheme="majorHAnsi" w:eastAsia="Yu Mincho" w:hAnsiTheme="majorHAnsi" w:cstheme="majorHAnsi"/>
          <w:color w:val="000000" w:themeColor="text1"/>
          <w:spacing w:val="-4"/>
          <w:sz w:val="22"/>
          <w:szCs w:val="22"/>
          <w:lang w:val="vi-VN" w:eastAsia="ja-JP"/>
        </w:rPr>
        <w:t xml:space="preserve"> Chemistry and Standardization </w:t>
      </w:r>
      <w:r w:rsidRPr="005E6B7C">
        <w:rPr>
          <w:rFonts w:asciiTheme="majorHAnsi" w:eastAsia="Yu Mincho" w:hAnsiTheme="majorHAnsi" w:cstheme="majorHAnsi"/>
          <w:color w:val="000000" w:themeColor="text1"/>
          <w:spacing w:val="-4"/>
          <w:sz w:val="22"/>
          <w:szCs w:val="22"/>
          <w:lang w:eastAsia="ja-JP"/>
        </w:rPr>
        <w:t>will be upgraded to ISO/IEC 17025:2017 accreditation, and the</w:t>
      </w:r>
      <w:r w:rsidR="008F6059" w:rsidRPr="005E6B7C">
        <w:rPr>
          <w:rFonts w:asciiTheme="majorHAnsi" w:eastAsia="Yu Mincho" w:hAnsiTheme="majorHAnsi" w:cstheme="majorHAnsi"/>
          <w:color w:val="000000" w:themeColor="text1"/>
          <w:spacing w:val="-4"/>
          <w:sz w:val="22"/>
          <w:szCs w:val="22"/>
          <w:lang w:val="vi-VN" w:eastAsia="ja-JP"/>
        </w:rPr>
        <w:t xml:space="preserve"> laboratories of </w:t>
      </w:r>
      <w:r w:rsidR="008F6059" w:rsidRPr="005E6B7C">
        <w:rPr>
          <w:rFonts w:asciiTheme="majorHAnsi" w:eastAsia="Yu Mincho" w:hAnsiTheme="majorHAnsi" w:cstheme="majorHAnsi"/>
          <w:color w:val="000000" w:themeColor="text1"/>
          <w:spacing w:val="-4"/>
          <w:sz w:val="22"/>
          <w:szCs w:val="22"/>
          <w:lang w:eastAsia="ja-JP"/>
        </w:rPr>
        <w:t>Department</w:t>
      </w:r>
      <w:r w:rsidR="008F6059" w:rsidRPr="005E6B7C">
        <w:rPr>
          <w:rFonts w:asciiTheme="majorHAnsi" w:eastAsia="Yu Mincho" w:hAnsiTheme="majorHAnsi" w:cstheme="majorHAnsi"/>
          <w:color w:val="000000" w:themeColor="text1"/>
          <w:spacing w:val="-4"/>
          <w:sz w:val="22"/>
          <w:szCs w:val="22"/>
          <w:lang w:val="vi-VN" w:eastAsia="ja-JP"/>
        </w:rPr>
        <w:t xml:space="preserve"> of </w:t>
      </w:r>
      <w:r w:rsidRPr="005E6B7C">
        <w:rPr>
          <w:rFonts w:asciiTheme="majorHAnsi" w:eastAsia="Yu Mincho" w:hAnsiTheme="majorHAnsi" w:cstheme="majorHAnsi"/>
          <w:color w:val="000000" w:themeColor="text1"/>
          <w:spacing w:val="-4"/>
          <w:sz w:val="22"/>
          <w:szCs w:val="22"/>
          <w:lang w:eastAsia="ja-JP"/>
        </w:rPr>
        <w:t xml:space="preserve"> Pharmacology and Biochemistry to GLP acc</w:t>
      </w:r>
      <w:r w:rsidR="008F6059" w:rsidRPr="005E6B7C">
        <w:rPr>
          <w:rFonts w:asciiTheme="majorHAnsi" w:eastAsia="Yu Mincho" w:hAnsiTheme="majorHAnsi" w:cstheme="majorHAnsi"/>
          <w:color w:val="000000" w:themeColor="text1"/>
          <w:spacing w:val="-4"/>
          <w:sz w:val="22"/>
          <w:szCs w:val="22"/>
          <w:lang w:val="vi-VN" w:eastAsia="ja-JP"/>
        </w:rPr>
        <w:t xml:space="preserve">. </w:t>
      </w:r>
      <w:r w:rsidR="008F6059" w:rsidRPr="005E6B7C">
        <w:rPr>
          <w:rFonts w:asciiTheme="majorHAnsi" w:eastAsia="Yu Mincho" w:hAnsiTheme="majorHAnsi" w:cstheme="majorHAnsi"/>
          <w:color w:val="000000" w:themeColor="text1"/>
          <w:spacing w:val="-4"/>
          <w:sz w:val="22"/>
          <w:szCs w:val="22"/>
          <w:lang w:eastAsia="ja-JP"/>
        </w:rPr>
        <w:t>These initiatives establish a solid foundation for NIMM’s integration into the pharmaceutical R&amp;D value chain, in compliance with Ministry of Health regulations and WHO guidelines. Our focus on standardizing medicinal materials, semi-finished products, traditional medicines, and herbal drugs directly contributes to strengthening National Standards. In parallel, we are developing a comprehensive national electronic database on Vietnam’s medicinal resources, advancing digital transformation in the sector</w:t>
      </w:r>
      <w:r w:rsidRPr="005E6B7C">
        <w:rPr>
          <w:rFonts w:asciiTheme="majorHAnsi" w:eastAsia="Yu Mincho" w:hAnsiTheme="majorHAnsi" w:cstheme="majorHAnsi"/>
          <w:color w:val="000000" w:themeColor="text1"/>
          <w:spacing w:val="-4"/>
          <w:sz w:val="22"/>
          <w:szCs w:val="22"/>
          <w:lang w:eastAsia="ja-JP"/>
        </w:rPr>
        <w:t xml:space="preserve">. </w:t>
      </w:r>
    </w:p>
    <w:p w14:paraId="28221F07" w14:textId="6870CB5E"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Building Multidisciplinary Research Capacity: </w:t>
      </w:r>
      <w:r w:rsidR="008F6059" w:rsidRPr="005E6B7C">
        <w:rPr>
          <w:rFonts w:asciiTheme="majorHAnsi" w:eastAsia="Yu Mincho" w:hAnsiTheme="majorHAnsi" w:cstheme="majorHAnsi"/>
          <w:color w:val="000000" w:themeColor="text1"/>
          <w:spacing w:val="-4"/>
          <w:sz w:val="22"/>
          <w:szCs w:val="22"/>
          <w:lang w:eastAsia="ja-JP"/>
        </w:rPr>
        <w:t xml:space="preserve">Recognizing this as the most significant </w:t>
      </w:r>
      <w:r w:rsidR="008F6059" w:rsidRPr="005E6B7C">
        <w:rPr>
          <w:rFonts w:asciiTheme="majorHAnsi" w:eastAsia="Yu Mincho" w:hAnsiTheme="majorHAnsi" w:cstheme="majorHAnsi"/>
          <w:color w:val="000000" w:themeColor="text1"/>
          <w:spacing w:val="-4"/>
          <w:sz w:val="22"/>
          <w:szCs w:val="22"/>
          <w:lang w:eastAsia="ja-JP"/>
        </w:rPr>
        <w:t>gap in the current value chain, NIMM</w:t>
      </w:r>
      <w:r w:rsidR="008F6059" w:rsidRPr="005E6B7C">
        <w:rPr>
          <w:rFonts w:asciiTheme="majorHAnsi" w:eastAsia="Yu Mincho" w:hAnsiTheme="majorHAnsi" w:cstheme="majorHAnsi"/>
          <w:color w:val="000000" w:themeColor="text1"/>
          <w:spacing w:val="-4"/>
          <w:sz w:val="22"/>
          <w:szCs w:val="22"/>
          <w:lang w:val="vi-VN" w:eastAsia="ja-JP"/>
        </w:rPr>
        <w:t xml:space="preserve"> </w:t>
      </w:r>
      <w:r w:rsidR="008F6059" w:rsidRPr="005E6B7C">
        <w:rPr>
          <w:rFonts w:asciiTheme="majorHAnsi" w:eastAsia="Yu Mincho" w:hAnsiTheme="majorHAnsi" w:cstheme="majorHAnsi"/>
          <w:color w:val="000000" w:themeColor="text1"/>
          <w:spacing w:val="-4"/>
          <w:sz w:val="22"/>
          <w:szCs w:val="22"/>
          <w:lang w:eastAsia="ja-JP"/>
        </w:rPr>
        <w:t>is committed to investing in pre-clinical research capabilities and supporting clinical trials for herbal medicines in strict accordance with ICH/GCP standards. This strategic move aims to meet domestic registration requirements and pave the way for international export. Furthermore, NIMM</w:t>
      </w:r>
      <w:r w:rsidR="008F6059" w:rsidRPr="005E6B7C">
        <w:rPr>
          <w:rFonts w:asciiTheme="majorHAnsi" w:eastAsia="Yu Mincho" w:hAnsiTheme="majorHAnsi" w:cstheme="majorHAnsi"/>
          <w:color w:val="000000" w:themeColor="text1"/>
          <w:spacing w:val="-4"/>
          <w:sz w:val="22"/>
          <w:szCs w:val="22"/>
          <w:lang w:val="vi-VN" w:eastAsia="ja-JP"/>
        </w:rPr>
        <w:t xml:space="preserve"> </w:t>
      </w:r>
      <w:r w:rsidR="008F6059" w:rsidRPr="005E6B7C">
        <w:rPr>
          <w:rFonts w:asciiTheme="majorHAnsi" w:eastAsia="Yu Mincho" w:hAnsiTheme="majorHAnsi" w:cstheme="majorHAnsi"/>
          <w:color w:val="000000" w:themeColor="text1"/>
          <w:spacing w:val="-4"/>
          <w:sz w:val="22"/>
          <w:szCs w:val="22"/>
          <w:lang w:eastAsia="ja-JP"/>
        </w:rPr>
        <w:t>plans to restructure its specialized units into advanced research centers, expanding the scope of R&amp;D to effectively address emerging challenges and opportunities in the medicinal materials sector</w:t>
      </w:r>
      <w:r w:rsidR="008F6059"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color w:val="000000" w:themeColor="text1"/>
          <w:spacing w:val="-4"/>
          <w:sz w:val="22"/>
          <w:szCs w:val="22"/>
          <w:lang w:eastAsia="ja-JP"/>
        </w:rPr>
        <w:t>.</w:t>
      </w:r>
    </w:p>
    <w:p w14:paraId="400D0737" w14:textId="38EAC59F"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b/>
          <w:bCs/>
          <w:color w:val="000000" w:themeColor="text1"/>
          <w:spacing w:val="-4"/>
          <w:sz w:val="22"/>
          <w:szCs w:val="22"/>
          <w:lang w:eastAsia="ja-JP"/>
        </w:rPr>
        <w:t xml:space="preserve">Digital Transformation and Construction of a National Medicinal Materials Database: </w:t>
      </w:r>
      <w:r w:rsidRPr="005E6B7C">
        <w:rPr>
          <w:rFonts w:asciiTheme="majorHAnsi" w:eastAsia="Yu Mincho" w:hAnsiTheme="majorHAnsi" w:cstheme="majorHAnsi"/>
          <w:color w:val="000000" w:themeColor="text1"/>
          <w:spacing w:val="-4"/>
          <w:sz w:val="22"/>
          <w:szCs w:val="22"/>
          <w:lang w:eastAsia="ja-JP"/>
        </w:rPr>
        <w:t xml:space="preserve">In alignment with Resolution 57-NQ/TW, NIMM will develop a comprehensive national electronic database for Vietnamese medicinal materials, integrating distribution, chemical composition, biological effects, and quality standards. </w:t>
      </w:r>
      <w:r w:rsidR="009D5A43" w:rsidRPr="005E6B7C">
        <w:rPr>
          <w:rFonts w:asciiTheme="majorHAnsi" w:eastAsia="Yu Mincho" w:hAnsiTheme="majorHAnsi" w:cstheme="majorHAnsi"/>
          <w:color w:val="000000" w:themeColor="text1"/>
          <w:spacing w:val="-4"/>
          <w:sz w:val="22"/>
          <w:szCs w:val="22"/>
          <w:lang w:eastAsia="ja-JP"/>
        </w:rPr>
        <w:t>Furthermore, we are establishing a centralized repository for medicinal extracts, phytochemicals, and reference standards, all managed through advanced digital information technology. This integrated infrastructure will serve as a powerful foundation for pharmaceutical research and development, ensuring precision and efficiency in every stage of drug discovery</w:t>
      </w:r>
      <w:r w:rsidR="009D5A43"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It will apply OMICs (metabolomics, genomics) and DNA barcode technology in the identification and quality control of medicinal plants. The entire archive of medicinal plant documents, specimens, and knowledge on the use of traditional medicinal plants</w:t>
      </w:r>
      <w:r w:rsidR="009D5A43"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 xml:space="preserve"> will be digitized.</w:t>
      </w:r>
    </w:p>
    <w:p w14:paraId="4EDAA13F" w14:textId="347A0BEF"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Intellectual Property Protection and Expansion of Public–Private Partnerships</w:t>
      </w:r>
      <w:r w:rsidRPr="005E6B7C">
        <w:rPr>
          <w:rFonts w:asciiTheme="majorHAnsi" w:eastAsia="Yu Mincho" w:hAnsiTheme="majorHAnsi" w:cstheme="majorHAnsi"/>
          <w:b/>
          <w:bCs/>
          <w:color w:val="000000" w:themeColor="text1"/>
          <w:spacing w:val="-4"/>
          <w:sz w:val="22"/>
          <w:szCs w:val="22"/>
          <w:lang w:val="vi-VN" w:eastAsia="ja-JP"/>
        </w:rPr>
        <w:t xml:space="preserve"> (PPP)</w:t>
      </w:r>
      <w:r w:rsidRPr="005E6B7C">
        <w:rPr>
          <w:rFonts w:asciiTheme="majorHAnsi" w:eastAsia="Yu Mincho" w:hAnsiTheme="majorHAnsi" w:cstheme="majorHAnsi"/>
          <w:b/>
          <w:bCs/>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 xml:space="preserve">NIMM will actively pursue patent registration, plant variety protection, and intellectual property rights enforcement, linking these to technology transfer agreements with industry. Sustainable PPP models will be developed with medicinal material enterprises, under which NIMM provides scientific and technological foundations while enterprises ensure commercial market linkages </w:t>
      </w:r>
      <w:r w:rsidR="0021087C"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creating a regenerative investment cycle for research. </w:t>
      </w:r>
      <w:r w:rsidR="009D5A43" w:rsidRPr="005E6B7C">
        <w:rPr>
          <w:rFonts w:asciiTheme="majorHAnsi" w:eastAsia="Yu Mincho" w:hAnsiTheme="majorHAnsi" w:cstheme="majorHAnsi"/>
          <w:color w:val="000000" w:themeColor="text1"/>
          <w:spacing w:val="-4"/>
          <w:sz w:val="22"/>
          <w:szCs w:val="22"/>
          <w:lang w:eastAsia="ja-JP"/>
        </w:rPr>
        <w:t>By 2030, the Institute aims to develop a high-quality workforce, significantly increasing the number of Professors, Associate Professors, and PhDs to lead pioneering research and foster academic excellence</w:t>
      </w:r>
      <w:r w:rsidRPr="005E6B7C">
        <w:rPr>
          <w:rFonts w:asciiTheme="majorHAnsi" w:eastAsia="Yu Mincho" w:hAnsiTheme="majorHAnsi" w:cstheme="majorHAnsi"/>
          <w:color w:val="000000" w:themeColor="text1"/>
          <w:spacing w:val="-4"/>
          <w:sz w:val="22"/>
          <w:szCs w:val="22"/>
          <w:lang w:eastAsia="ja-JP"/>
        </w:rPr>
        <w:t>; a gene bank holding 2,000 accessions; and recognition as one of the leading medicinal material research institutes in South-East Asia.</w:t>
      </w:r>
    </w:p>
    <w:p w14:paraId="3468C6AE" w14:textId="77777777" w:rsidR="00E049CB" w:rsidRPr="005E6B7C" w:rsidRDefault="00E049CB" w:rsidP="008C0D47">
      <w:pPr>
        <w:tabs>
          <w:tab w:val="left" w:pos="270"/>
          <w:tab w:val="left" w:pos="9270"/>
        </w:tabs>
        <w:spacing w:line="231" w:lineRule="exact"/>
        <w:ind w:right="-23" w:firstLine="284"/>
        <w:jc w:val="both"/>
        <w:outlineLvl w:val="0"/>
        <w:rPr>
          <w:rFonts w:asciiTheme="majorHAnsi" w:eastAsia="Times New Roman" w:hAnsiTheme="majorHAnsi" w:cstheme="majorHAnsi"/>
          <w:b/>
          <w:bCs/>
          <w:color w:val="000000" w:themeColor="text1"/>
          <w:spacing w:val="-4"/>
          <w:sz w:val="22"/>
          <w:szCs w:val="22"/>
          <w:lang w:eastAsia="ja-JP"/>
        </w:rPr>
      </w:pPr>
      <w:r w:rsidRPr="005E6B7C">
        <w:rPr>
          <w:rFonts w:asciiTheme="majorHAnsi" w:eastAsia="Times New Roman" w:hAnsiTheme="majorHAnsi" w:cstheme="majorHAnsi"/>
          <w:b/>
          <w:bCs/>
          <w:color w:val="000000" w:themeColor="text1"/>
          <w:spacing w:val="-4"/>
          <w:sz w:val="22"/>
          <w:szCs w:val="22"/>
          <w:lang w:eastAsia="ja-JP"/>
        </w:rPr>
        <w:t>5. Implementation Solutions</w:t>
      </w:r>
    </w:p>
    <w:p w14:paraId="329ABE0E" w14:textId="49289103"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Reform of management mechanisms and strategic concentration of investment: </w:t>
      </w:r>
      <w:r w:rsidRPr="005E6B7C">
        <w:rPr>
          <w:rFonts w:asciiTheme="majorHAnsi" w:eastAsia="Yu Mincho" w:hAnsiTheme="majorHAnsi" w:cstheme="majorHAnsi"/>
          <w:color w:val="000000" w:themeColor="text1"/>
          <w:spacing w:val="-4"/>
          <w:sz w:val="22"/>
          <w:szCs w:val="22"/>
          <w:lang w:eastAsia="ja-JP"/>
        </w:rPr>
        <w:t xml:space="preserve">The Institute will transition from dispersed to strategically concentrated investment, prioritising tasks that are critical to the value chain. An independent scientific council will be established to </w:t>
      </w:r>
      <w:r w:rsidRPr="005E6B7C">
        <w:rPr>
          <w:rFonts w:asciiTheme="majorHAnsi" w:eastAsia="Yu Mincho" w:hAnsiTheme="majorHAnsi" w:cstheme="majorHAnsi"/>
          <w:color w:val="000000" w:themeColor="text1"/>
          <w:spacing w:val="-4"/>
          <w:sz w:val="22"/>
          <w:szCs w:val="22"/>
          <w:lang w:eastAsia="ja-JP"/>
        </w:rPr>
        <w:lastRenderedPageBreak/>
        <w:t xml:space="preserve">evaluate and select tasks on the basis of impact potential and transformative capacity. A performance-based research funding mechanism tied to deliverables will be applied in the spirit of Resolution 193/2025/QH15. ISO/IEC 17025- and GLP-accredited laboratories and a flagship specialised medicinal materials research </w:t>
      </w:r>
      <w:r w:rsidR="0078228C" w:rsidRPr="005E6B7C">
        <w:rPr>
          <w:rFonts w:asciiTheme="majorHAnsi" w:eastAsia="Yu Mincho" w:hAnsiTheme="majorHAnsi" w:cstheme="majorHAnsi"/>
          <w:b/>
          <w:bCs/>
          <w:color w:val="000000" w:themeColor="text1"/>
          <w:spacing w:val="-4"/>
          <w:sz w:val="22"/>
          <w:szCs w:val="22"/>
          <w:lang w:eastAsia="ja-JP"/>
        </w:rPr>
        <w:t>Center</w:t>
      </w:r>
      <w:r w:rsidRPr="005E6B7C">
        <w:rPr>
          <w:rFonts w:asciiTheme="majorHAnsi" w:eastAsia="Yu Mincho" w:hAnsiTheme="majorHAnsi" w:cstheme="majorHAnsi"/>
          <w:color w:val="000000" w:themeColor="text1"/>
          <w:spacing w:val="-4"/>
          <w:sz w:val="22"/>
          <w:szCs w:val="22"/>
          <w:lang w:eastAsia="ja-JP"/>
        </w:rPr>
        <w:t xml:space="preserve"> will be established during 2026–2028.</w:t>
      </w:r>
    </w:p>
    <w:p w14:paraId="7579E571"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Development and strategic deployment of scientific talent: </w:t>
      </w:r>
      <w:r w:rsidRPr="005E6B7C">
        <w:rPr>
          <w:rFonts w:asciiTheme="majorHAnsi" w:eastAsia="Yu Mincho" w:hAnsiTheme="majorHAnsi" w:cstheme="majorHAnsi"/>
          <w:color w:val="000000" w:themeColor="text1"/>
          <w:spacing w:val="-4"/>
          <w:sz w:val="22"/>
          <w:szCs w:val="22"/>
          <w:lang w:eastAsia="ja-JP"/>
        </w:rPr>
        <w:t>Policies will be developed to attract leading scientists from abroad and from domestic institutions to NIMM. The quality of scientific staff will be continuously enhanced to meet the demands of medicinal material development. Management will be reformed to create an open scientific environment that encourages interdisciplinary and international collaboration.</w:t>
      </w:r>
    </w:p>
    <w:p w14:paraId="60640F65"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Strengthening international cooperation and technology transfer: </w:t>
      </w:r>
      <w:r w:rsidRPr="005E6B7C">
        <w:rPr>
          <w:rFonts w:asciiTheme="majorHAnsi" w:eastAsia="Yu Mincho" w:hAnsiTheme="majorHAnsi" w:cstheme="majorHAnsi"/>
          <w:color w:val="000000" w:themeColor="text1"/>
          <w:spacing w:val="-4"/>
          <w:sz w:val="22"/>
          <w:szCs w:val="22"/>
          <w:lang w:eastAsia="ja-JP"/>
        </w:rPr>
        <w:t xml:space="preserve">The MOU network will be expanded with leading universities and research institutes globally in the fields of medicinal materials and traditional medicine. Active participation in national S&amp;T programmes and ministerial/provincial funding schemes will be sustained. Targets include: at least 5 patents, </w:t>
      </w:r>
      <w:r w:rsidRPr="005E6B7C">
        <w:rPr>
          <w:rFonts w:asciiTheme="majorHAnsi" w:eastAsia="Yu Mincho" w:hAnsiTheme="majorHAnsi" w:cstheme="majorHAnsi"/>
          <w:color w:val="000000" w:themeColor="text1"/>
          <w:spacing w:val="-4"/>
          <w:sz w:val="22"/>
          <w:szCs w:val="22"/>
          <w:lang w:val="vi-VN" w:eastAsia="ja-JP"/>
        </w:rPr>
        <w:t>1</w:t>
      </w:r>
      <w:r w:rsidRPr="005E6B7C">
        <w:rPr>
          <w:rFonts w:asciiTheme="majorHAnsi" w:eastAsia="Yu Mincho" w:hAnsiTheme="majorHAnsi" w:cstheme="majorHAnsi"/>
          <w:color w:val="000000" w:themeColor="text1"/>
          <w:spacing w:val="-4"/>
          <w:sz w:val="22"/>
          <w:szCs w:val="22"/>
          <w:lang w:eastAsia="ja-JP"/>
        </w:rPr>
        <w:t>0 registered medicinal plant varieties, and 1 herbal pharmaceutical product transferred to industry during 2026–2030.</w:t>
      </w:r>
    </w:p>
    <w:p w14:paraId="79AF6C88"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Promoting application-oriented research to meet societal needs for medicinal material development: </w:t>
      </w:r>
      <w:r w:rsidRPr="005E6B7C">
        <w:rPr>
          <w:rFonts w:asciiTheme="majorHAnsi" w:eastAsia="Yu Mincho" w:hAnsiTheme="majorHAnsi" w:cstheme="majorHAnsi"/>
          <w:color w:val="000000" w:themeColor="text1"/>
          <w:spacing w:val="-4"/>
          <w:sz w:val="22"/>
          <w:szCs w:val="22"/>
          <w:lang w:eastAsia="ja-JP"/>
        </w:rPr>
        <w:t>Revenue streams will be diversified through: ISO/IEC 17025-accredited analytical testing services; GACP-WHO advisory services for medicinal crop growing areas; commercialisation of high-quality medicinal plant varieties; and collaborative research contracts with industry partners to address practical societal needs.</w:t>
      </w:r>
    </w:p>
    <w:p w14:paraId="59E38B40" w14:textId="77777777"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eastAsia="ja-JP"/>
        </w:rPr>
        <w:t xml:space="preserve">Comprehensive digital transformation of Institute operations: </w:t>
      </w:r>
      <w:r w:rsidRPr="005E6B7C">
        <w:rPr>
          <w:rFonts w:asciiTheme="majorHAnsi" w:eastAsia="Yu Mincho" w:hAnsiTheme="majorHAnsi" w:cstheme="majorHAnsi"/>
          <w:color w:val="000000" w:themeColor="text1"/>
          <w:spacing w:val="-4"/>
          <w:sz w:val="22"/>
          <w:szCs w:val="22"/>
          <w:lang w:eastAsia="ja-JP"/>
        </w:rPr>
        <w:t>A digitalised research management system will be implemented, covering task proposal, progress tracking, acceptance testing, and publication of results. A shared data platform will be established across all Institute units and external partners. Artificial intelligence (AI) and machine learning will be applied to big-data analysis in phytochemistry and biological activity screening.</w:t>
      </w:r>
    </w:p>
    <w:p w14:paraId="0961FB2F" w14:textId="77777777" w:rsidR="00E049CB" w:rsidRPr="005E6B7C" w:rsidRDefault="00E049CB" w:rsidP="008C0D47">
      <w:pPr>
        <w:tabs>
          <w:tab w:val="left" w:pos="270"/>
          <w:tab w:val="left" w:pos="9270"/>
        </w:tabs>
        <w:spacing w:line="231" w:lineRule="exact"/>
        <w:ind w:left="284" w:right="-23"/>
        <w:jc w:val="both"/>
        <w:outlineLvl w:val="0"/>
        <w:rPr>
          <w:rFonts w:asciiTheme="majorHAnsi" w:eastAsia="Times New Roman" w:hAnsiTheme="majorHAnsi" w:cstheme="majorHAnsi"/>
          <w:b/>
          <w:bCs/>
          <w:color w:val="000000" w:themeColor="text1"/>
          <w:spacing w:val="-4"/>
          <w:sz w:val="22"/>
          <w:szCs w:val="22"/>
          <w:lang w:eastAsia="ja-JP"/>
        </w:rPr>
      </w:pPr>
      <w:r w:rsidRPr="005E6B7C">
        <w:rPr>
          <w:rFonts w:asciiTheme="majorHAnsi" w:eastAsia="Times New Roman" w:hAnsiTheme="majorHAnsi" w:cstheme="majorHAnsi"/>
          <w:b/>
          <w:bCs/>
          <w:color w:val="000000" w:themeColor="text1"/>
          <w:spacing w:val="-4"/>
          <w:sz w:val="22"/>
          <w:szCs w:val="22"/>
          <w:lang w:eastAsia="ja-JP"/>
        </w:rPr>
        <w:t>6. Conclusion</w:t>
      </w:r>
    </w:p>
    <w:p w14:paraId="0EEDE0E4" w14:textId="42C731F5" w:rsidR="00E049CB" w:rsidRPr="005E6B7C" w:rsidRDefault="00E049CB" w:rsidP="008C0D47">
      <w:pPr>
        <w:tabs>
          <w:tab w:val="left" w:pos="9270"/>
        </w:tabs>
        <w:spacing w:line="231" w:lineRule="exact"/>
        <w:ind w:right="-23" w:firstLine="284"/>
        <w:jc w:val="both"/>
        <w:outlineLvl w:val="0"/>
        <w:rPr>
          <w:rFonts w:asciiTheme="majorHAnsi" w:eastAsia="Times New Roman" w:hAnsiTheme="majorHAnsi" w:cstheme="majorHAnsi"/>
          <w:color w:val="000000" w:themeColor="text1"/>
          <w:spacing w:val="-4"/>
          <w:sz w:val="22"/>
          <w:szCs w:val="22"/>
          <w:lang w:eastAsia="ja-JP"/>
        </w:rPr>
      </w:pPr>
      <w:r w:rsidRPr="005E6B7C">
        <w:rPr>
          <w:rFonts w:asciiTheme="majorHAnsi" w:eastAsia="Times New Roman" w:hAnsiTheme="majorHAnsi" w:cstheme="majorHAnsi"/>
          <w:color w:val="000000" w:themeColor="text1"/>
          <w:spacing w:val="-4"/>
          <w:sz w:val="22"/>
          <w:szCs w:val="22"/>
          <w:lang w:eastAsia="ja-JP"/>
        </w:rPr>
        <w:t xml:space="preserve">Over 65 years of development, NIMM has consolidated its position as the leading research institute in the field of Vietnamese medicinal materials, with a comprehensive research system, a specialist scientific workforce, and an organisational network spanning all ecological zones of the country. During 2021–2025, notwithstanding the considerable challenges posed by the pandemic and global economic disruptions, the Institute achieved notable outcomes: </w:t>
      </w:r>
      <w:r w:rsidR="00333932" w:rsidRPr="005E6B7C">
        <w:rPr>
          <w:rFonts w:asciiTheme="majorHAnsi" w:eastAsia="Times New Roman" w:hAnsiTheme="majorHAnsi" w:cstheme="majorHAnsi"/>
          <w:color w:val="000000" w:themeColor="text1"/>
          <w:spacing w:val="-4"/>
          <w:sz w:val="22"/>
          <w:szCs w:val="22"/>
          <w:lang w:eastAsia="ja-JP"/>
        </w:rPr>
        <w:t>published 563 scientific papers including 135 international publications which alone saw an 82.4% increase; conferred 25 doctoral degrees; officially registered 10 medicinal plant varieties for commercial circulation; issued 97 technical procedures for medicinal plant breeding and production; isolated more than 250 pure compounds; established 27 reference compouds; and research &amp; developed of 7 herbal pharmaceutical formulations</w:t>
      </w:r>
      <w:r w:rsidR="00333932" w:rsidRPr="005E6B7C">
        <w:rPr>
          <w:rFonts w:asciiTheme="majorHAnsi" w:eastAsia="Times New Roman" w:hAnsiTheme="majorHAnsi" w:cstheme="majorHAnsi"/>
          <w:color w:val="000000" w:themeColor="text1"/>
          <w:spacing w:val="-4"/>
          <w:sz w:val="22"/>
          <w:szCs w:val="22"/>
          <w:lang w:val="vi-VN" w:eastAsia="ja-JP"/>
        </w:rPr>
        <w:t xml:space="preserve">. </w:t>
      </w:r>
      <w:r w:rsidR="00333932" w:rsidRPr="005E6B7C">
        <w:rPr>
          <w:rFonts w:asciiTheme="majorHAnsi" w:eastAsia="Times New Roman" w:hAnsiTheme="majorHAnsi" w:cstheme="majorHAnsi"/>
          <w:color w:val="000000" w:themeColor="text1"/>
          <w:spacing w:val="-4"/>
          <w:sz w:val="22"/>
          <w:szCs w:val="22"/>
          <w:lang w:eastAsia="ja-JP"/>
        </w:rPr>
        <w:t>These achievements have laid a solid foundation for a transformative breakthrough phase during 2026–2030.</w:t>
      </w:r>
    </w:p>
    <w:p w14:paraId="56D941C0" w14:textId="389330EC" w:rsidR="00E049CB"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For the 2026–2030 period, benefiting from the strong support of transformative policy mechanisms enacted by the Party and the State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in particular Resolution 57-NQ/TW and Directive 25/CT-TTg </w:t>
      </w:r>
      <w:r w:rsidR="00A06AA5"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 NIMM charts a path of focused, high-quality development along the full medicinal materials value chain, tightly integrating research, training, production, and commercialisation. The overarching goal is to establish NIMM as an internationally recognised </w:t>
      </w:r>
      <w:r w:rsidR="0078228C" w:rsidRPr="005E6B7C">
        <w:rPr>
          <w:rFonts w:asciiTheme="majorHAnsi" w:eastAsia="Yu Mincho" w:hAnsiTheme="majorHAnsi" w:cstheme="majorHAnsi"/>
          <w:b/>
          <w:bCs/>
          <w:color w:val="000000" w:themeColor="text1"/>
          <w:spacing w:val="-4"/>
          <w:sz w:val="22"/>
          <w:szCs w:val="22"/>
          <w:lang w:eastAsia="ja-JP"/>
        </w:rPr>
        <w:t>Center</w:t>
      </w:r>
      <w:r w:rsidRPr="005E6B7C">
        <w:rPr>
          <w:rFonts w:asciiTheme="majorHAnsi" w:eastAsia="Yu Mincho" w:hAnsiTheme="majorHAnsi" w:cstheme="majorHAnsi"/>
          <w:color w:val="000000" w:themeColor="text1"/>
          <w:spacing w:val="-4"/>
          <w:sz w:val="22"/>
          <w:szCs w:val="22"/>
          <w:lang w:eastAsia="ja-JP"/>
        </w:rPr>
        <w:t xml:space="preserve"> for medicinal materials S&amp;T, making substantive contributions to the moderni</w:t>
      </w:r>
      <w:r w:rsidR="00333932" w:rsidRPr="005E6B7C">
        <w:rPr>
          <w:rFonts w:asciiTheme="majorHAnsi" w:eastAsia="Yu Mincho" w:hAnsiTheme="majorHAnsi" w:cstheme="majorHAnsi"/>
          <w:color w:val="000000" w:themeColor="text1"/>
          <w:spacing w:val="-4"/>
          <w:sz w:val="22"/>
          <w:szCs w:val="22"/>
          <w:lang w:eastAsia="ja-JP"/>
        </w:rPr>
        <w:t>z</w:t>
      </w:r>
      <w:r w:rsidRPr="005E6B7C">
        <w:rPr>
          <w:rFonts w:asciiTheme="majorHAnsi" w:eastAsia="Yu Mincho" w:hAnsiTheme="majorHAnsi" w:cstheme="majorHAnsi"/>
          <w:color w:val="000000" w:themeColor="text1"/>
          <w:spacing w:val="-4"/>
          <w:sz w:val="22"/>
          <w:szCs w:val="22"/>
          <w:lang w:eastAsia="ja-JP"/>
        </w:rPr>
        <w:t>ation of Vietnamese traditional medicine and pharmacy, and to the enhanced global competitiveness of Vietnamese medicinal materials.</w:t>
      </w:r>
    </w:p>
    <w:p w14:paraId="67BC420F" w14:textId="77777777" w:rsidR="00FF510E" w:rsidRPr="005E6B7C" w:rsidRDefault="00E049CB" w:rsidP="008C0D47">
      <w:pPr>
        <w:tabs>
          <w:tab w:val="left" w:pos="270"/>
          <w:tab w:val="left" w:pos="9270"/>
        </w:tabs>
        <w:spacing w:line="231" w:lineRule="exact"/>
        <w:ind w:right="-23" w:firstLine="284"/>
        <w:jc w:val="both"/>
        <w:rPr>
          <w:rFonts w:asciiTheme="majorHAnsi" w:eastAsia="Yu Mincho" w:hAnsiTheme="majorHAnsi" w:cstheme="majorHAnsi"/>
          <w:i/>
          <w:iCs/>
          <w:color w:val="000000" w:themeColor="text1"/>
          <w:spacing w:val="-4"/>
          <w:sz w:val="20"/>
          <w:szCs w:val="20"/>
          <w:lang w:eastAsia="ja-JP"/>
        </w:rPr>
      </w:pPr>
      <w:r w:rsidRPr="005E6B7C">
        <w:rPr>
          <w:rFonts w:asciiTheme="majorHAnsi" w:eastAsia="Times New Roman" w:hAnsiTheme="majorHAnsi" w:cstheme="majorHAnsi"/>
          <w:b/>
          <w:bCs/>
          <w:color w:val="000000" w:themeColor="text1"/>
          <w:spacing w:val="-4"/>
          <w:sz w:val="20"/>
          <w:szCs w:val="20"/>
          <w:lang w:eastAsia="ja-JP"/>
        </w:rPr>
        <w:t xml:space="preserve">Acknowledgements: </w:t>
      </w:r>
      <w:r w:rsidRPr="005E6B7C">
        <w:rPr>
          <w:rFonts w:asciiTheme="majorHAnsi" w:eastAsia="Yu Mincho" w:hAnsiTheme="majorHAnsi" w:cstheme="majorHAnsi"/>
          <w:i/>
          <w:iCs/>
          <w:color w:val="000000" w:themeColor="text1"/>
          <w:spacing w:val="-4"/>
          <w:sz w:val="20"/>
          <w:szCs w:val="20"/>
          <w:lang w:eastAsia="ja-JP"/>
        </w:rPr>
        <w:t>The authors gratefully acknowledge the contributions of all scientific staff, laboratory technicians, and field researchers of NIMM at its headquarters and affiliated stations who carried out the research projects reviewed in this article. The financial support of the Ministry of Health, the Ministry of Science and Technology (National Foundation for Science and Technology Development – NAFOSTED), provincial People's Committees, and international cooperation partners is warmly acknowledged. The authors have no conflict of interest to declare</w:t>
      </w:r>
      <w:r w:rsidRPr="005E6B7C">
        <w:rPr>
          <w:rFonts w:asciiTheme="majorHAnsi" w:eastAsia="Yu Mincho" w:hAnsiTheme="majorHAnsi" w:cstheme="majorHAnsi"/>
          <w:i/>
          <w:iCs/>
          <w:color w:val="000000" w:themeColor="text1"/>
          <w:spacing w:val="-4"/>
          <w:sz w:val="20"/>
          <w:szCs w:val="20"/>
          <w:lang w:val="vi-VN" w:eastAsia="ja-JP"/>
        </w:rPr>
        <w:t>.</w:t>
      </w:r>
    </w:p>
    <w:p w14:paraId="3C3F1516" w14:textId="77777777" w:rsidR="00FF510E" w:rsidRPr="005E6B7C" w:rsidRDefault="00FF510E" w:rsidP="008C0D47">
      <w:pPr>
        <w:tabs>
          <w:tab w:val="left" w:pos="270"/>
          <w:tab w:val="left" w:pos="9270"/>
        </w:tabs>
        <w:spacing w:line="240" w:lineRule="exact"/>
        <w:ind w:right="-23" w:firstLine="284"/>
        <w:jc w:val="both"/>
        <w:rPr>
          <w:rFonts w:asciiTheme="majorHAnsi" w:eastAsia="Yu Mincho" w:hAnsiTheme="majorHAnsi" w:cstheme="majorHAnsi"/>
          <w:i/>
          <w:iCs/>
          <w:color w:val="000000" w:themeColor="text1"/>
          <w:sz w:val="20"/>
          <w:szCs w:val="20"/>
          <w:lang w:eastAsia="ja-JP"/>
        </w:rPr>
        <w:sectPr w:rsidR="00FF510E" w:rsidRPr="005E6B7C" w:rsidSect="00FF510E">
          <w:type w:val="continuous"/>
          <w:pgSz w:w="10773" w:h="15309" w:code="9"/>
          <w:pgMar w:top="907" w:right="851" w:bottom="1418" w:left="851" w:header="397" w:footer="851" w:gutter="0"/>
          <w:cols w:num="2" w:space="284"/>
          <w:docGrid w:linePitch="360"/>
        </w:sectPr>
      </w:pPr>
    </w:p>
    <w:p w14:paraId="5B18CC73" w14:textId="77777777" w:rsidR="00A06AA5" w:rsidRPr="005E6B7C" w:rsidRDefault="00E049CB" w:rsidP="008C0D47">
      <w:pPr>
        <w:tabs>
          <w:tab w:val="left" w:pos="270"/>
          <w:tab w:val="left" w:pos="9270"/>
        </w:tabs>
        <w:spacing w:line="240" w:lineRule="exact"/>
        <w:ind w:right="-23" w:firstLine="284"/>
        <w:jc w:val="both"/>
        <w:rPr>
          <w:rFonts w:asciiTheme="majorHAnsi" w:eastAsia="Times New Roman" w:hAnsiTheme="majorHAnsi" w:cstheme="majorHAnsi"/>
          <w:b/>
          <w:bCs/>
          <w:color w:val="000000" w:themeColor="text1"/>
          <w:sz w:val="18"/>
          <w:szCs w:val="18"/>
          <w:lang w:eastAsia="ja-JP"/>
        </w:rPr>
      </w:pPr>
      <w:r w:rsidRPr="005E6B7C">
        <w:rPr>
          <w:rFonts w:asciiTheme="majorHAnsi" w:eastAsia="Yu Mincho" w:hAnsiTheme="majorHAnsi" w:cstheme="majorHAnsi"/>
          <w:i/>
          <w:iCs/>
          <w:color w:val="000000" w:themeColor="text1"/>
          <w:sz w:val="20"/>
          <w:szCs w:val="20"/>
          <w:lang w:val="vi-VN" w:eastAsia="ja-JP"/>
        </w:rPr>
        <w:t xml:space="preserve"> </w:t>
      </w:r>
    </w:p>
    <w:p w14:paraId="61684159" w14:textId="77777777" w:rsidR="00E049CB" w:rsidRPr="005E6B7C" w:rsidRDefault="00E049CB" w:rsidP="008C0D47">
      <w:pPr>
        <w:widowControl/>
        <w:tabs>
          <w:tab w:val="left" w:pos="270"/>
          <w:tab w:val="left" w:pos="9270"/>
        </w:tabs>
        <w:spacing w:after="12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References</w:t>
      </w:r>
    </w:p>
    <w:p w14:paraId="779FF0E9" w14:textId="6BF50860"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Politburo of the Communist Party of Viet</w:t>
      </w:r>
      <w:r w:rsidR="00173548" w:rsidRPr="005E6B7C">
        <w:rPr>
          <w:rFonts w:asciiTheme="majorHAnsi" w:eastAsia="Yu Mincho" w:hAnsiTheme="majorHAnsi" w:cstheme="majorHAnsi"/>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am (2024). Resolution No. 57-NQ/TW of 22 December 2024 on breakthroughs in science, technology, innovation, and national digital transformation. Hanoi.</w:t>
      </w:r>
    </w:p>
    <w:p w14:paraId="4DEA04F8" w14:textId="0BADB0BD"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Politburo of the Communist Party of Viet</w:t>
      </w:r>
      <w:r w:rsidR="00173548" w:rsidRPr="005E6B7C">
        <w:rPr>
          <w:rFonts w:asciiTheme="majorHAnsi" w:eastAsia="Yu Mincho" w:hAnsiTheme="majorHAnsi" w:cstheme="majorHAnsi"/>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am. Resolution No. 72-NQ/TW on breakthrough solutions for strengthening the protection, care, and improvement of public health. Hanoi.</w:t>
      </w:r>
    </w:p>
    <w:p w14:paraId="25CD6E58" w14:textId="746DFB72"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 xml:space="preserve">  Prime Minister of Viet</w:t>
      </w:r>
      <w:r w:rsidR="00173548" w:rsidRPr="005E6B7C">
        <w:rPr>
          <w:rFonts w:asciiTheme="majorHAnsi" w:eastAsia="Yu Mincho" w:hAnsiTheme="majorHAnsi" w:cstheme="majorHAnsi"/>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am (2025). Directive No. 25/CT-TTg of 15 September 2025 on accelerating the development of Vietnamese traditional medicine in the new era. Hanoi.</w:t>
      </w:r>
    </w:p>
    <w:p w14:paraId="550EEE0C" w14:textId="77777777"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lastRenderedPageBreak/>
        <w:t>4</w:t>
      </w:r>
      <w:r w:rsidRPr="005E6B7C">
        <w:rPr>
          <w:rFonts w:asciiTheme="majorHAnsi" w:eastAsia="Yu Mincho" w:hAnsiTheme="majorHAnsi" w:cstheme="majorHAnsi"/>
          <w:b/>
          <w:bCs/>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val="vi-VN" w:eastAsia="ja-JP"/>
        </w:rPr>
        <w:t xml:space="preserve"> Decision No. 3837/QĐ-BYT (December 12, 2025) issuing the Plan for the implementation of the Prime Minister’s Directive No. 25/CT-TTg on promoting the development of Vietnamese traditional medicine in the new era.</w:t>
      </w:r>
    </w:p>
    <w:p w14:paraId="38CF3886" w14:textId="2A306419"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 xml:space="preserve">  Prime Minister of Viet</w:t>
      </w:r>
      <w:r w:rsidR="00173548" w:rsidRPr="005E6B7C">
        <w:rPr>
          <w:rFonts w:asciiTheme="majorHAnsi" w:eastAsia="Yu Mincho" w:hAnsiTheme="majorHAnsi" w:cstheme="majorHAnsi"/>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am (2023). Decision No. 1165/QĐ-TTg of 9 October 2023 approving the National Strategy for the Development of the Vietnamese Pharmaceutical Sector to 2030 with a Vision to 2045. Hanoi.</w:t>
      </w:r>
    </w:p>
    <w:p w14:paraId="00B83151" w14:textId="77777777"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6.  </w:t>
      </w:r>
      <w:r w:rsidRPr="005E6B7C">
        <w:rPr>
          <w:rFonts w:asciiTheme="majorHAnsi" w:eastAsia="Yu Mincho" w:hAnsiTheme="majorHAnsi" w:cstheme="majorHAnsi"/>
          <w:color w:val="000000" w:themeColor="text1"/>
          <w:sz w:val="18"/>
          <w:szCs w:val="18"/>
          <w:lang w:eastAsia="ja-JP"/>
        </w:rPr>
        <w:t>World Health Organization (2023). WHO Global Report on Traditional and Complementary Medicine 2019. Geneva: WHO.</w:t>
      </w:r>
    </w:p>
    <w:p w14:paraId="3548B297" w14:textId="77777777" w:rsidR="00E049CB" w:rsidRPr="005E6B7C" w:rsidRDefault="00E049CB" w:rsidP="008C0D47">
      <w:pPr>
        <w:widowControl/>
        <w:tabs>
          <w:tab w:val="left" w:pos="27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7.</w:t>
      </w:r>
      <w:r w:rsidRPr="005E6B7C">
        <w:rPr>
          <w:rFonts w:asciiTheme="majorHAnsi" w:eastAsia="Yu Mincho" w:hAnsiTheme="majorHAnsi" w:cstheme="majorHAnsi"/>
          <w:color w:val="000000" w:themeColor="text1"/>
          <w:sz w:val="18"/>
          <w:szCs w:val="18"/>
          <w:lang w:eastAsia="ja-JP"/>
        </w:rPr>
        <w:t xml:space="preserve">  Fortune Business Insights (2024). Herbal Medicine Market Size, Share and Industry Analysis, 2024–2032. Mumbai: Fortune Business Insights.</w:t>
      </w:r>
    </w:p>
    <w:p w14:paraId="40F80D3E" w14:textId="77777777" w:rsidR="00A06AA5" w:rsidRPr="005E6B7C" w:rsidRDefault="00A06AA5" w:rsidP="008C0D47">
      <w:pPr>
        <w:widowControl/>
        <w:spacing w:after="200" w:line="276" w:lineRule="auto"/>
        <w:rPr>
          <w:rFonts w:asciiTheme="majorHAnsi" w:eastAsia="Yu Mincho" w:hAnsiTheme="majorHAnsi" w:cstheme="majorHAnsi"/>
          <w:b/>
          <w:iCs/>
          <w:color w:val="000000" w:themeColor="text1"/>
          <w:sz w:val="26"/>
          <w:szCs w:val="26"/>
          <w:lang w:eastAsia="ja-JP"/>
        </w:rPr>
      </w:pPr>
    </w:p>
    <w:p w14:paraId="0720E652" w14:textId="77777777" w:rsidR="00E049CB" w:rsidRPr="005E6B7C" w:rsidRDefault="00AA07C9" w:rsidP="008C0D47">
      <w:pPr>
        <w:widowControl/>
        <w:pBdr>
          <w:bottom w:val="single" w:sz="6" w:space="1" w:color="auto"/>
        </w:pBdr>
        <w:tabs>
          <w:tab w:val="left" w:pos="270"/>
          <w:tab w:val="left" w:pos="540"/>
          <w:tab w:val="left" w:pos="9270"/>
        </w:tabs>
        <w:ind w:right="-20"/>
        <w:jc w:val="both"/>
        <w:rPr>
          <w:rFonts w:asciiTheme="majorHAnsi" w:eastAsia="Yu Mincho" w:hAnsiTheme="majorHAnsi" w:cstheme="majorHAnsi"/>
          <w:b/>
          <w:iCs/>
          <w:color w:val="000000" w:themeColor="text1"/>
          <w:sz w:val="26"/>
          <w:szCs w:val="26"/>
          <w:lang w:eastAsia="ja-JP"/>
        </w:rPr>
      </w:pPr>
      <w:r w:rsidRPr="005E6B7C">
        <w:rPr>
          <w:rFonts w:asciiTheme="majorHAnsi" w:eastAsia="Yu Mincho" w:hAnsiTheme="majorHAnsi" w:cstheme="majorHAnsi"/>
          <w:b/>
          <w:iCs/>
          <w:color w:val="000000" w:themeColor="text1"/>
          <w:sz w:val="26"/>
          <w:szCs w:val="26"/>
          <w:lang w:eastAsia="ja-JP"/>
        </w:rPr>
        <w:t>SCIENTIFIC RESEARCH</w:t>
      </w:r>
    </w:p>
    <w:p w14:paraId="14308B0B" w14:textId="77777777" w:rsidR="00AA07C9" w:rsidRPr="005E6B7C" w:rsidRDefault="00AA07C9" w:rsidP="008C0D47">
      <w:pPr>
        <w:widowControl/>
        <w:tabs>
          <w:tab w:val="left" w:pos="270"/>
          <w:tab w:val="left" w:pos="540"/>
          <w:tab w:val="left" w:pos="9270"/>
        </w:tabs>
        <w:jc w:val="both"/>
      </w:pPr>
    </w:p>
    <w:p w14:paraId="2552E1C4" w14:textId="77777777" w:rsidR="00367819" w:rsidRPr="005E6B7C" w:rsidRDefault="00367819" w:rsidP="008C0D47">
      <w:pPr>
        <w:widowControl/>
        <w:tabs>
          <w:tab w:val="left" w:pos="270"/>
          <w:tab w:val="left" w:pos="9270"/>
        </w:tabs>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t>Journal of Medicinal Materials, 2026, Vol. 31, No. 1+2 (pp.</w:t>
      </w:r>
      <w:r w:rsidR="0021087C" w:rsidRPr="005E6B7C">
        <w:rPr>
          <w:rFonts w:asciiTheme="majorHAnsi" w:eastAsia="Yu Mincho" w:hAnsiTheme="majorHAnsi" w:cstheme="majorHAnsi"/>
          <w:b/>
          <w:bCs/>
          <w:i/>
          <w:color w:val="000000" w:themeColor="text1"/>
          <w:sz w:val="26"/>
          <w:szCs w:val="26"/>
          <w:lang w:eastAsia="ja-JP"/>
        </w:rPr>
        <w:t xml:space="preserve"> 10 </w:t>
      </w:r>
      <w:r w:rsidR="005A2B3C" w:rsidRPr="005E6B7C">
        <w:rPr>
          <w:rFonts w:asciiTheme="majorHAnsi" w:eastAsia="Yu Mincho" w:hAnsiTheme="majorHAnsi" w:cstheme="majorHAnsi"/>
          <w:b/>
          <w:bCs/>
          <w:i/>
          <w:color w:val="000000" w:themeColor="text1"/>
          <w:sz w:val="26"/>
          <w:szCs w:val="26"/>
          <w:lang w:eastAsia="ja-JP"/>
        </w:rPr>
        <w:t>-</w:t>
      </w:r>
      <w:r w:rsidR="002E76F6" w:rsidRPr="005E6B7C">
        <w:rPr>
          <w:rFonts w:asciiTheme="majorHAnsi" w:eastAsia="Yu Mincho" w:hAnsiTheme="majorHAnsi" w:cstheme="majorHAnsi"/>
          <w:b/>
          <w:bCs/>
          <w:i/>
          <w:color w:val="000000" w:themeColor="text1"/>
          <w:sz w:val="26"/>
          <w:szCs w:val="26"/>
          <w:lang w:eastAsia="ja-JP"/>
        </w:rPr>
        <w:t xml:space="preserve"> 16</w:t>
      </w:r>
      <w:r w:rsidRPr="005E6B7C">
        <w:rPr>
          <w:rFonts w:asciiTheme="majorHAnsi" w:eastAsia="Yu Mincho" w:hAnsiTheme="majorHAnsi" w:cstheme="majorHAnsi"/>
          <w:b/>
          <w:bCs/>
          <w:i/>
          <w:color w:val="000000" w:themeColor="text1"/>
          <w:sz w:val="26"/>
          <w:szCs w:val="26"/>
          <w:lang w:eastAsia="ja-JP"/>
        </w:rPr>
        <w:t>)</w:t>
      </w:r>
    </w:p>
    <w:p w14:paraId="77ABDB97" w14:textId="77777777" w:rsidR="00E049CB" w:rsidRPr="005E6B7C" w:rsidRDefault="00E049CB" w:rsidP="008C0D47">
      <w:pPr>
        <w:widowControl/>
        <w:tabs>
          <w:tab w:val="left" w:pos="270"/>
          <w:tab w:val="left" w:pos="540"/>
          <w:tab w:val="left" w:pos="9270"/>
        </w:tabs>
        <w:jc w:val="both"/>
      </w:pPr>
    </w:p>
    <w:p w14:paraId="17142353" w14:textId="77777777" w:rsidR="00AA07C9" w:rsidRPr="005E6B7C" w:rsidRDefault="00E049CB" w:rsidP="008C0D47">
      <w:pPr>
        <w:widowControl/>
        <w:tabs>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TRITERPENOID CONSTITUENTS FROM THE LEAVES </w:t>
      </w:r>
    </w:p>
    <w:p w14:paraId="7A9BD72E" w14:textId="77777777" w:rsidR="00E049CB" w:rsidRPr="005E6B7C" w:rsidRDefault="00E049CB" w:rsidP="008C0D47">
      <w:pPr>
        <w:widowControl/>
        <w:tabs>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OF </w:t>
      </w:r>
      <w:r w:rsidRPr="005E6B7C">
        <w:rPr>
          <w:rFonts w:asciiTheme="majorHAnsi" w:eastAsia="Yu Mincho" w:hAnsiTheme="majorHAnsi" w:cstheme="majorHAnsi"/>
          <w:b/>
          <w:i/>
          <w:color w:val="000000" w:themeColor="text1"/>
          <w:sz w:val="26"/>
          <w:szCs w:val="26"/>
          <w:lang w:eastAsia="ja-JP"/>
        </w:rPr>
        <w:t>WALSURA PINNATA</w:t>
      </w:r>
      <w:r w:rsidRPr="005E6B7C">
        <w:rPr>
          <w:rFonts w:asciiTheme="majorHAnsi" w:eastAsia="Yu Mincho" w:hAnsiTheme="majorHAnsi" w:cstheme="majorHAnsi"/>
          <w:b/>
          <w:color w:val="000000" w:themeColor="text1"/>
          <w:sz w:val="26"/>
          <w:szCs w:val="26"/>
          <w:lang w:eastAsia="ja-JP"/>
        </w:rPr>
        <w:t xml:space="preserve"> HASSK</w:t>
      </w:r>
    </w:p>
    <w:p w14:paraId="479AEA1C" w14:textId="77777777" w:rsidR="00E049CB" w:rsidRPr="005E6B7C" w:rsidRDefault="00E049CB" w:rsidP="008C0D47">
      <w:pPr>
        <w:widowControl/>
        <w:tabs>
          <w:tab w:val="left" w:pos="9270"/>
        </w:tabs>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Bui Huu Tai, Nguyen Viet Dung, Nguyen Huy Hoang, Ngo Anh Bang,</w:t>
      </w:r>
    </w:p>
    <w:p w14:paraId="1D140B51" w14:textId="77777777" w:rsidR="00E049CB" w:rsidRPr="005E6B7C" w:rsidRDefault="00E049CB" w:rsidP="008C0D47">
      <w:pPr>
        <w:widowControl/>
        <w:tabs>
          <w:tab w:val="left" w:pos="9270"/>
        </w:tabs>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Duong Thi Dung, Duong Thi Hai Yen, Phan Thi Thanh Huong, Dan Thuy Hang,</w:t>
      </w:r>
    </w:p>
    <w:p w14:paraId="2502DF6B" w14:textId="77777777" w:rsidR="00E049CB" w:rsidRPr="005E6B7C" w:rsidRDefault="00E049CB" w:rsidP="008C0D47">
      <w:pPr>
        <w:widowControl/>
        <w:tabs>
          <w:tab w:val="left" w:pos="9270"/>
        </w:tabs>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Pham Hai Yen, Phan Van Kiem, Nguyen Phuong Thao*</w:t>
      </w:r>
    </w:p>
    <w:p w14:paraId="7A41E02A" w14:textId="17EA66AF" w:rsidR="00E049CB" w:rsidRPr="005E6B7C" w:rsidRDefault="00E049CB" w:rsidP="008C0D47">
      <w:pPr>
        <w:widowControl/>
        <w:tabs>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Institute of Chemistry, Vietnam Academy of Science and Technology (VAST), </w:t>
      </w:r>
      <w:r w:rsidR="00A06AA5" w:rsidRPr="005E6B7C">
        <w:rPr>
          <w:rFonts w:asciiTheme="majorHAnsi" w:eastAsia="Yu Mincho" w:hAnsiTheme="majorHAnsi" w:cstheme="majorHAnsi"/>
          <w:i/>
          <w:iCs/>
          <w:color w:val="000000" w:themeColor="text1"/>
          <w:sz w:val="22"/>
          <w:szCs w:val="22"/>
          <w:lang w:eastAsia="ja-JP"/>
        </w:rPr>
        <w:br/>
      </w:r>
      <w:r w:rsidRPr="005E6B7C">
        <w:rPr>
          <w:rFonts w:asciiTheme="majorHAnsi" w:eastAsia="Yu Mincho" w:hAnsiTheme="majorHAnsi" w:cstheme="majorHAnsi"/>
          <w:i/>
          <w:iCs/>
          <w:color w:val="000000" w:themeColor="text1"/>
          <w:sz w:val="22"/>
          <w:szCs w:val="22"/>
          <w:lang w:eastAsia="ja-JP"/>
        </w:rPr>
        <w:t>Hanoi, Vietnam</w:t>
      </w:r>
    </w:p>
    <w:p w14:paraId="4C41925C" w14:textId="77777777" w:rsidR="00E049CB" w:rsidRPr="005E6B7C" w:rsidRDefault="00E049CB" w:rsidP="008C0D47">
      <w:pPr>
        <w:widowControl/>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thaonp@ich.vast.vn</w:t>
      </w:r>
    </w:p>
    <w:p w14:paraId="0A98AADE" w14:textId="77777777" w:rsidR="00E049CB" w:rsidRPr="005E6B7C" w:rsidRDefault="00E049CB" w:rsidP="008C0D47">
      <w:pPr>
        <w:widowControl/>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December 9</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xml:space="preserve">, 2025                Accepted </w:t>
      </w:r>
      <w:r w:rsidR="00221F08" w:rsidRPr="005E6B7C">
        <w:rPr>
          <w:rFonts w:asciiTheme="majorHAnsi" w:eastAsia="Yu Mincho" w:hAnsiTheme="majorHAnsi" w:cstheme="majorHAnsi"/>
          <w:color w:val="000000" w:themeColor="text1"/>
          <w:sz w:val="20"/>
          <w:szCs w:val="20"/>
          <w:lang w:eastAsia="ja-JP"/>
        </w:rPr>
        <w:t>January 8</w:t>
      </w:r>
      <w:r w:rsidR="00221F08" w:rsidRPr="005E6B7C">
        <w:rPr>
          <w:rFonts w:asciiTheme="majorHAnsi" w:eastAsia="Yu Mincho" w:hAnsiTheme="majorHAnsi" w:cstheme="majorHAnsi"/>
          <w:color w:val="000000" w:themeColor="text1"/>
          <w:sz w:val="20"/>
          <w:szCs w:val="20"/>
          <w:vertAlign w:val="superscript"/>
          <w:lang w:eastAsia="ja-JP"/>
        </w:rPr>
        <w:t>th</w:t>
      </w:r>
      <w:r w:rsidR="00221F08" w:rsidRPr="005E6B7C">
        <w:rPr>
          <w:rFonts w:asciiTheme="majorHAnsi" w:eastAsia="Yu Mincho" w:hAnsiTheme="majorHAnsi" w:cstheme="majorHAnsi"/>
          <w:color w:val="000000" w:themeColor="text1"/>
          <w:sz w:val="20"/>
          <w:szCs w:val="20"/>
          <w:lang w:eastAsia="ja-JP"/>
        </w:rPr>
        <w:t xml:space="preserve">, </w:t>
      </w:r>
      <w:r w:rsidRPr="005E6B7C">
        <w:rPr>
          <w:rFonts w:asciiTheme="majorHAnsi" w:eastAsia="Yu Mincho" w:hAnsiTheme="majorHAnsi" w:cstheme="majorHAnsi"/>
          <w:color w:val="000000" w:themeColor="text1"/>
          <w:sz w:val="20"/>
          <w:szCs w:val="20"/>
          <w:lang w:eastAsia="ja-JP"/>
        </w:rPr>
        <w:t>2026</w:t>
      </w:r>
    </w:p>
    <w:p w14:paraId="1DDFB927" w14:textId="77777777" w:rsidR="00E049CB" w:rsidRPr="005E6B7C" w:rsidRDefault="00E049CB" w:rsidP="008C0D47">
      <w:pPr>
        <w:widowControl/>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2ACED0FB" w14:textId="77777777" w:rsidR="00E049CB" w:rsidRPr="005E6B7C" w:rsidRDefault="00E049CB" w:rsidP="008C0D47">
      <w:pPr>
        <w:widowControl/>
        <w:tabs>
          <w:tab w:val="left" w:pos="9270"/>
        </w:tabs>
        <w:spacing w:line="200" w:lineRule="exact"/>
        <w:ind w:right="-23"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By employing chromatographic techniques, six triterpenoids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were successfully isolated from the leaves of </w:t>
      </w:r>
      <w:r w:rsidRPr="005E6B7C">
        <w:rPr>
          <w:rFonts w:asciiTheme="majorHAnsi" w:eastAsia="Yu Mincho" w:hAnsiTheme="majorHAnsi" w:cstheme="majorHAnsi"/>
          <w:i/>
          <w:color w:val="000000" w:themeColor="text1"/>
          <w:sz w:val="18"/>
          <w:szCs w:val="18"/>
          <w:lang w:eastAsia="ja-JP"/>
        </w:rPr>
        <w:t>Walsura pinnata</w:t>
      </w:r>
      <w:r w:rsidRPr="005E6B7C">
        <w:rPr>
          <w:rFonts w:asciiTheme="majorHAnsi" w:eastAsia="Yu Mincho" w:hAnsiTheme="majorHAnsi" w:cstheme="majorHAnsi"/>
          <w:color w:val="000000" w:themeColor="text1"/>
          <w:sz w:val="18"/>
          <w:szCs w:val="18"/>
          <w:lang w:eastAsia="ja-JP"/>
        </w:rPr>
        <w:t xml:space="preserve"> Hassk. Their structures were elucidated to be cumingianol E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21-</w:t>
      </w:r>
      <w:r w:rsidRPr="005E6B7C">
        <w:rPr>
          <w:rFonts w:asciiTheme="majorHAnsi" w:eastAsia="Yu Mincho" w:hAnsiTheme="majorHAnsi" w:cstheme="majorHAnsi"/>
          <w:i/>
          <w:color w:val="000000" w:themeColor="text1"/>
          <w:sz w:val="18"/>
          <w:szCs w:val="18"/>
          <w:lang w:eastAsia="ja-JP"/>
        </w:rPr>
        <w:t>O</w:t>
      </w:r>
      <w:r w:rsidRPr="005E6B7C">
        <w:rPr>
          <w:rFonts w:asciiTheme="majorHAnsi" w:eastAsia="Yu Mincho" w:hAnsiTheme="majorHAnsi" w:cstheme="majorHAnsi"/>
          <w:color w:val="000000" w:themeColor="text1"/>
          <w:sz w:val="18"/>
          <w:szCs w:val="18"/>
          <w:lang w:eastAsia="ja-JP"/>
        </w:rPr>
        <w:t>-methyltoosendanpentol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21</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-methylmelianodiol (</w:t>
      </w:r>
      <w:r w:rsidRPr="005E6B7C">
        <w:rPr>
          <w:rFonts w:asciiTheme="majorHAnsi" w:eastAsia="Yu Mincho" w:hAnsiTheme="majorHAnsi" w:cstheme="majorHAnsi"/>
          <w:b/>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 21</w:t>
      </w:r>
      <w:r w:rsidRPr="005E6B7C">
        <w:rPr>
          <w:rFonts w:asciiTheme="majorHAnsi" w:eastAsia="Yu Mincho" w:hAnsiTheme="majorHAnsi" w:cstheme="majorHAnsi"/>
          <w:i/>
          <w:color w:val="000000" w:themeColor="text1"/>
          <w:sz w:val="18"/>
          <w:szCs w:val="18"/>
          <w:lang w:eastAsia="ja-JP"/>
        </w:rPr>
        <w:t>S</w:t>
      </w:r>
      <w:r w:rsidRPr="005E6B7C">
        <w:rPr>
          <w:rFonts w:asciiTheme="majorHAnsi" w:eastAsia="Yu Mincho" w:hAnsiTheme="majorHAnsi" w:cstheme="majorHAnsi"/>
          <w:color w:val="000000" w:themeColor="text1"/>
          <w:sz w:val="18"/>
          <w:szCs w:val="18"/>
          <w:lang w:eastAsia="ja-JP"/>
        </w:rPr>
        <w:t>,23</w:t>
      </w:r>
      <w:r w:rsidRPr="005E6B7C">
        <w:rPr>
          <w:rFonts w:asciiTheme="majorHAnsi" w:eastAsia="Yu Mincho" w:hAnsiTheme="majorHAnsi" w:cstheme="majorHAnsi"/>
          <w:i/>
          <w:color w:val="000000" w:themeColor="text1"/>
          <w:sz w:val="18"/>
          <w:szCs w:val="18"/>
          <w:lang w:eastAsia="ja-JP"/>
        </w:rPr>
        <w:t>R</w:t>
      </w:r>
      <w:r w:rsidRPr="005E6B7C">
        <w:rPr>
          <w:rFonts w:asciiTheme="majorHAnsi" w:eastAsia="Yu Mincho" w:hAnsiTheme="majorHAnsi" w:cstheme="majorHAnsi"/>
          <w:color w:val="000000" w:themeColor="text1"/>
          <w:sz w:val="18"/>
          <w:szCs w:val="18"/>
          <w:lang w:eastAsia="ja-JP"/>
        </w:rPr>
        <w:t>-epoxy-3</w:t>
      </w: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,24</w:t>
      </w:r>
      <w:r w:rsidRPr="005E6B7C">
        <w:rPr>
          <w:rFonts w:asciiTheme="majorHAnsi" w:eastAsia="Yu Mincho" w:hAnsiTheme="majorHAnsi" w:cstheme="majorHAnsi"/>
          <w:i/>
          <w:color w:val="000000" w:themeColor="text1"/>
          <w:sz w:val="18"/>
          <w:szCs w:val="18"/>
          <w:lang w:eastAsia="ja-JP"/>
        </w:rPr>
        <w:t>R</w:t>
      </w:r>
      <w:r w:rsidRPr="005E6B7C">
        <w:rPr>
          <w:rFonts w:asciiTheme="majorHAnsi" w:eastAsia="Yu Mincho" w:hAnsiTheme="majorHAnsi" w:cstheme="majorHAnsi"/>
          <w:color w:val="000000" w:themeColor="text1"/>
          <w:sz w:val="18"/>
          <w:szCs w:val="18"/>
          <w:lang w:eastAsia="ja-JP"/>
        </w:rPr>
        <w:t>-dihydroxy-21</w:t>
      </w: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,25-dimethoxy-tirucalla-7-en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odoratone (</w:t>
      </w:r>
      <w:r w:rsidRPr="005E6B7C">
        <w:rPr>
          <w:rFonts w:asciiTheme="majorHAnsi" w:eastAsia="Yu Mincho" w:hAnsiTheme="majorHAnsi" w:cstheme="majorHAnsi"/>
          <w:b/>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 and cabraleone (</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by detailed analysis of 1D, 2D NMR, and MS spectroscopic data, as well as comparison with previously reported literature. This is the first time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from </w:t>
      </w:r>
      <w:r w:rsidRPr="005E6B7C">
        <w:rPr>
          <w:rFonts w:asciiTheme="majorHAnsi" w:eastAsia="Yu Mincho" w:hAnsiTheme="majorHAnsi" w:cstheme="majorHAnsi"/>
          <w:i/>
          <w:color w:val="000000" w:themeColor="text1"/>
          <w:sz w:val="18"/>
          <w:szCs w:val="18"/>
          <w:lang w:eastAsia="ja-JP"/>
        </w:rPr>
        <w:t>W. pinnata</w:t>
      </w:r>
      <w:r w:rsidRPr="005E6B7C">
        <w:rPr>
          <w:rFonts w:asciiTheme="majorHAnsi" w:eastAsia="Yu Mincho" w:hAnsiTheme="majorHAnsi" w:cstheme="majorHAnsi"/>
          <w:color w:val="000000" w:themeColor="text1"/>
          <w:sz w:val="18"/>
          <w:szCs w:val="18"/>
          <w:lang w:eastAsia="ja-JP"/>
        </w:rPr>
        <w:t xml:space="preserve"> were reported.</w:t>
      </w:r>
    </w:p>
    <w:p w14:paraId="5B33EF6B" w14:textId="77777777" w:rsidR="00E049CB" w:rsidRPr="005E6B7C" w:rsidRDefault="00E049CB" w:rsidP="008C0D47">
      <w:pPr>
        <w:widowControl/>
        <w:tabs>
          <w:tab w:val="left" w:pos="9270"/>
        </w:tabs>
        <w:spacing w:line="20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Walsura pinnata; Meliaceae; Apotirucallane; Tirucallane; Dammarane; Triterpenoids</w:t>
      </w:r>
      <w:r w:rsidRPr="005E6B7C">
        <w:rPr>
          <w:rFonts w:asciiTheme="majorHAnsi" w:eastAsia="Yu Mincho" w:hAnsiTheme="majorHAnsi" w:cstheme="majorHAnsi"/>
          <w:i/>
          <w:color w:val="000000" w:themeColor="text1"/>
          <w:sz w:val="22"/>
          <w:szCs w:val="22"/>
          <w:lang w:eastAsia="ja-JP"/>
        </w:rPr>
        <w:t>.</w:t>
      </w:r>
    </w:p>
    <w:p w14:paraId="7274CB96" w14:textId="77777777" w:rsidR="00A06AA5" w:rsidRPr="005E6B7C" w:rsidRDefault="00A06AA5" w:rsidP="008C0D47">
      <w:pPr>
        <w:widowControl/>
        <w:tabs>
          <w:tab w:val="left" w:pos="270"/>
          <w:tab w:val="left" w:pos="540"/>
          <w:tab w:val="left" w:pos="9270"/>
        </w:tabs>
        <w:spacing w:line="200" w:lineRule="exact"/>
        <w:ind w:right="-23"/>
        <w:jc w:val="both"/>
        <w:rPr>
          <w:rFonts w:asciiTheme="majorHAnsi" w:eastAsia="Yu Mincho" w:hAnsiTheme="majorHAnsi" w:cstheme="majorHAnsi"/>
          <w:b/>
          <w:color w:val="000000" w:themeColor="text1"/>
          <w:sz w:val="22"/>
          <w:szCs w:val="22"/>
          <w:lang w:eastAsia="ja-JP"/>
        </w:rPr>
      </w:pPr>
    </w:p>
    <w:p w14:paraId="05B33308" w14:textId="77777777" w:rsidR="0021087C" w:rsidRPr="005E6B7C" w:rsidRDefault="0021087C" w:rsidP="008C0D47">
      <w:pPr>
        <w:tabs>
          <w:tab w:val="left" w:pos="9270"/>
        </w:tabs>
        <w:spacing w:line="240" w:lineRule="exact"/>
        <w:ind w:firstLine="284"/>
        <w:jc w:val="both"/>
        <w:rPr>
          <w:rFonts w:asciiTheme="majorHAnsi" w:eastAsia="Yu Mincho" w:hAnsiTheme="majorHAnsi" w:cstheme="majorHAnsi"/>
          <w:b/>
          <w:color w:val="000000" w:themeColor="text1"/>
          <w:sz w:val="22"/>
          <w:szCs w:val="22"/>
          <w:lang w:eastAsia="ja-JP"/>
        </w:rPr>
        <w:sectPr w:rsidR="0021087C" w:rsidRPr="005E6B7C" w:rsidSect="002206BB">
          <w:type w:val="continuous"/>
          <w:pgSz w:w="10773" w:h="15309" w:code="9"/>
          <w:pgMar w:top="907" w:right="851" w:bottom="1418" w:left="851" w:header="397" w:footer="851" w:gutter="0"/>
          <w:cols w:space="284"/>
          <w:docGrid w:linePitch="360"/>
        </w:sectPr>
      </w:pPr>
    </w:p>
    <w:p w14:paraId="46B95EFF"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507E331A" w14:textId="01C8A2DB" w:rsidR="00E049CB" w:rsidRPr="005E6B7C" w:rsidRDefault="00E049CB" w:rsidP="008C0D47">
      <w:pPr>
        <w:tabs>
          <w:tab w:val="left" w:pos="9270"/>
        </w:tabs>
        <w:spacing w:line="24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Plants of the genus </w:t>
      </w:r>
      <w:r w:rsidRPr="005E6B7C">
        <w:rPr>
          <w:rFonts w:asciiTheme="majorHAnsi" w:eastAsia="Yu Mincho" w:hAnsiTheme="majorHAnsi" w:cstheme="majorHAnsi"/>
          <w:i/>
          <w:color w:val="000000" w:themeColor="text1"/>
          <w:sz w:val="22"/>
          <w:szCs w:val="22"/>
          <w:lang w:eastAsia="ja-JP"/>
        </w:rPr>
        <w:t>Walsura</w:t>
      </w:r>
      <w:r w:rsidRPr="005E6B7C">
        <w:rPr>
          <w:rFonts w:asciiTheme="majorHAnsi" w:eastAsia="Yu Mincho" w:hAnsiTheme="majorHAnsi" w:cstheme="majorHAnsi"/>
          <w:color w:val="000000" w:themeColor="text1"/>
          <w:sz w:val="22"/>
          <w:szCs w:val="22"/>
          <w:lang w:eastAsia="ja-JP"/>
        </w:rPr>
        <w:t xml:space="preserve"> Roxb, belonging to the Meliaceae family and comprising approximately 21 species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 ExcludeYear="1"&gt;&lt;Author&gt;Online&lt;/Author&gt;&lt;RecNum&gt;187&lt;/RecNum&gt;&lt;DisplayText&gt;[1]&lt;/DisplayText&gt;&lt;record&gt;&lt;rec-number&gt;187&lt;/rec-number&gt;&lt;foreign-keys&gt;&lt;key app="EN" db-id="9sr5eszf50a29ae55xgpdt5w0vxdz95ex2xv" timestamp="1749440842"&gt;187&lt;/key&gt;&lt;/foreign-keys&gt;&lt;ref-type name="Journal Article"&gt;17&lt;/ref-type&gt;&lt;contributors&gt;&lt;authors&gt;&lt;author&gt;The World Flora Online&lt;/author&gt;&lt;/authors&gt;&lt;/contributors&gt;&lt;titles&gt;&lt;title&gt;https://powo.science.kew.org/results?f=accepted_names&amp;amp;q=Walsura&lt;/title&gt;&lt;/titles&gt;&lt;pages&gt;&lt;style face="normal" font="default" size="100%"&gt;Truy c&lt;/style&gt;&lt;style face="normal" font="default" charset="163" size="100%"&gt;ậ&lt;/style&gt;&lt;style face="normal" font="default" size="100%"&gt;p ngày 16/6/2025&lt;/style&gt;&lt;/pages&gt;&lt;dates&gt;&lt;/dates&gt;&lt;urls&gt;&lt;/urls&gt;&lt;/record&gt;&lt;/Cite&gt;&lt;/EndNote&gt;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are distributed in subtropical regions, including </w:t>
      </w:r>
      <w:r w:rsidR="00333932" w:rsidRPr="005E6B7C">
        <w:rPr>
          <w:rFonts w:asciiTheme="majorHAnsi" w:eastAsia="Yu Mincho" w:hAnsiTheme="majorHAnsi" w:cstheme="majorHAnsi"/>
          <w:color w:val="000000" w:themeColor="text1"/>
          <w:sz w:val="22"/>
          <w:szCs w:val="22"/>
          <w:lang w:eastAsia="ja-JP"/>
        </w:rPr>
        <w:t>South</w:t>
      </w:r>
      <w:r w:rsidRPr="005E6B7C">
        <w:rPr>
          <w:rFonts w:asciiTheme="majorHAnsi" w:eastAsia="Yu Mincho" w:hAnsiTheme="majorHAnsi" w:cstheme="majorHAnsi"/>
          <w:color w:val="000000" w:themeColor="text1"/>
          <w:sz w:val="22"/>
          <w:szCs w:val="22"/>
          <w:lang w:eastAsia="ja-JP"/>
        </w:rPr>
        <w:t xml:space="preserve"> India, mainland China, and Southeast Asia (Malaysia, Indonesia, Thailand, and Vietnam)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&lt;EndNote&gt;&lt;Cite&gt;&lt;Author&gt;Han&lt;/Author&gt;&lt;Year&gt;2011&lt;/Year&gt;&lt;RecNum&gt;195&lt;/RecNum&gt;&lt;DisplayText&gt;[2]&lt;/DisplayText&gt;&lt;record&gt;&lt;rec-number&gt;195&lt;/rec-number&gt;&lt;foreign-keys&gt;&lt;key app="EN" db-id="9sr5eszf50a29ae55xgpdt5w0vxdz95ex2xv" timestamp="1749443319"&gt;195&lt;/key&gt;&lt;/foreign-keys&gt;&lt;ref-type name="Journal Article"&gt;17&lt;/ref-type&gt;&lt;contributors&gt;&lt;authors&gt;&lt;author&gt;Mei Ling Han&lt;/author&gt;&lt;author&gt;Hua Zhang&lt;/author&gt;&lt;author&gt;Sheng Ping Yang&lt;/author&gt;&lt;author&gt;Jian Min Yue&lt;/author&gt;&lt;/authors&gt;&lt;/contributors&gt;&lt;titles&gt;&lt;title&gt;&lt;style face="normal" font="default" size="100%"&gt;Walsucochinoids A and B: new rearranged limonoids from &lt;/style&gt;&lt;style face="italic" font="default" size="100%"&gt;Walsura cochinchinensis&lt;/style&gt;&lt;/title&gt;&lt;secondary-title&gt;Organic Letters&lt;/secondary-title&gt;&lt;/titles&gt;&lt;periodical&gt;&lt;full-title&gt;Organic Letters&lt;/full-title&gt;&lt;/periodical&gt;&lt;pages&gt;486-489&lt;/pages&gt;&lt;volume&gt;14&lt;/volume&gt;&lt;number&gt;2&lt;/number&gt;&lt;section&gt;486&lt;/section&gt;&lt;dates&gt;&lt;year&gt;2011&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Currently, </w:t>
      </w:r>
      <w:r w:rsidR="00333932" w:rsidRPr="005E6B7C">
        <w:rPr>
          <w:rFonts w:asciiTheme="majorHAnsi" w:eastAsia="Yu Mincho" w:hAnsiTheme="majorHAnsi" w:cstheme="majorHAnsi"/>
          <w:color w:val="000000" w:themeColor="text1"/>
          <w:sz w:val="22"/>
          <w:szCs w:val="22"/>
          <w:lang w:eastAsia="ja-JP"/>
        </w:rPr>
        <w:t>there</w:t>
      </w:r>
      <w:r w:rsidR="00333932" w:rsidRPr="005E6B7C">
        <w:rPr>
          <w:rFonts w:asciiTheme="majorHAnsi" w:eastAsia="Yu Mincho" w:hAnsiTheme="majorHAnsi" w:cstheme="majorHAnsi"/>
          <w:color w:val="000000" w:themeColor="text1"/>
          <w:sz w:val="22"/>
          <w:szCs w:val="22"/>
          <w:lang w:val="vi-VN" w:eastAsia="ja-JP"/>
        </w:rPr>
        <w:t xml:space="preserve"> are </w:t>
      </w:r>
      <w:r w:rsidRPr="005E6B7C">
        <w:rPr>
          <w:rFonts w:asciiTheme="majorHAnsi" w:eastAsia="Yu Mincho" w:hAnsiTheme="majorHAnsi" w:cstheme="majorHAnsi"/>
          <w:color w:val="000000" w:themeColor="text1"/>
          <w:sz w:val="22"/>
          <w:szCs w:val="22"/>
          <w:lang w:eastAsia="ja-JP"/>
        </w:rPr>
        <w:t xml:space="preserve">no accurate data regarding the exact number of </w:t>
      </w:r>
      <w:r w:rsidRPr="005E6B7C">
        <w:rPr>
          <w:rFonts w:asciiTheme="majorHAnsi" w:eastAsia="Yu Mincho" w:hAnsiTheme="majorHAnsi" w:cstheme="majorHAnsi"/>
          <w:i/>
          <w:color w:val="000000" w:themeColor="text1"/>
          <w:sz w:val="22"/>
          <w:szCs w:val="22"/>
          <w:lang w:eastAsia="ja-JP"/>
        </w:rPr>
        <w:t>Walsura</w:t>
      </w:r>
      <w:r w:rsidRPr="005E6B7C">
        <w:rPr>
          <w:rFonts w:asciiTheme="majorHAnsi" w:eastAsia="Yu Mincho" w:hAnsiTheme="majorHAnsi" w:cstheme="majorHAnsi"/>
          <w:color w:val="000000" w:themeColor="text1"/>
          <w:sz w:val="22"/>
          <w:szCs w:val="22"/>
          <w:lang w:eastAsia="ja-JP"/>
        </w:rPr>
        <w:t xml:space="preserve"> species present in Vietnam. However, based on published literature, seven species have been recorded in the country: </w:t>
      </w:r>
      <w:r w:rsidRPr="005E6B7C">
        <w:rPr>
          <w:rFonts w:asciiTheme="majorHAnsi" w:eastAsia="Yu Mincho" w:hAnsiTheme="majorHAnsi" w:cstheme="majorHAnsi"/>
          <w:i/>
          <w:color w:val="000000" w:themeColor="text1"/>
          <w:sz w:val="22"/>
          <w:szCs w:val="22"/>
          <w:lang w:eastAsia="ja-JP"/>
        </w:rPr>
        <w:t>W. bonii</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W. cochinchinensis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W. elata</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 xml:space="preserve"> W. pinnata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W. poilanei</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W. robusta</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W. villosa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PEVuZE5vdGU+PENpdGU+PEF1dGhvcj5Cw6JuPC9BdXRob3I+PFllYXI+MjAwMTwvWWVhcj48UmVj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PEVuZE5vdGU+PENpdGU+PEF1dGhvcj5Cw6JuPC9BdXRob3I+PFllYXI+MjAwMTwvWWVhcj48UmVj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Traditionally, members of this genus have been used in folk medicine to treat various ailments, such as tendon disabilities, hemorrhoids, excessive bleeding, and wounds, as well as for their expectorant, emmenagogue, and emetic properties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&lt;EndNote&gt;&lt;Cite&gt;&lt;Author&gt;Son&lt;/Author&gt;&lt;Year&gt;2022&lt;/Year&gt;&lt;RecNum&gt;189&lt;/RecNum&gt;&lt;DisplayText&gt;[4]&lt;/DisplayText&gt;&lt;record&gt;&lt;rec-number&gt;189&lt;/rec-number&gt;&lt;foreign-keys&gt;&lt;key app="EN" db-id="9sr5eszf50a29ae55xgpdt5w0vxdz95ex2xv" timestamp="1749441428"&gt;189&lt;/key&gt;&lt;/foreign-keys&gt;&lt;ref-type name="Journal Article"&gt;17&lt;/ref-type&gt;&lt;contributors&gt;&lt;authors&gt;&lt;author&gt;Ninh The Son&lt;/author&gt;&lt;/authors&gt;&lt;/contributors&gt;&lt;titles&gt;&lt;title&gt;&lt;style face="normal" font="default" size="100%"&gt;The genus &lt;/style&gt;&lt;style face="italic" font="default" size="100%"&gt;Walsura&lt;/style&gt;&lt;style face="normal" font="default" size="100%"&gt;: a rich resource of bioactive limonoids, triterpenoids, and other types of compounds&lt;/style&gt;&lt;/title&gt;&lt;secondary-title&gt; Progress in the Chemistry of Organic Natural Products&lt;/secondary-title&gt;&lt;/titles&gt;&lt;pages&gt;131-177&lt;/pages&gt;&lt;volume&gt;118&lt;/volume&gt;&lt;section&gt;131&lt;/section&gt;&lt;dates&gt;&lt;year&gt;2022&lt;/year&gt;&lt;/dates&gt;&lt;urls&gt;&lt;/urls&gt;&lt;/record&gt;&lt;/Cite&gt;&lt;/EndNote&gt;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Previous phytochemical investigations on </w:t>
      </w:r>
      <w:r w:rsidRPr="005E6B7C">
        <w:rPr>
          <w:rFonts w:asciiTheme="majorHAnsi" w:eastAsia="Yu Mincho" w:hAnsiTheme="majorHAnsi" w:cstheme="majorHAnsi"/>
          <w:i/>
          <w:color w:val="000000" w:themeColor="text1"/>
          <w:sz w:val="22"/>
          <w:szCs w:val="22"/>
          <w:lang w:eastAsia="ja-JP"/>
        </w:rPr>
        <w:t xml:space="preserve">Walsura </w:t>
      </w:r>
      <w:r w:rsidRPr="005E6B7C">
        <w:rPr>
          <w:rFonts w:asciiTheme="majorHAnsi" w:eastAsia="Yu Mincho" w:hAnsiTheme="majorHAnsi" w:cstheme="majorHAnsi"/>
          <w:color w:val="000000" w:themeColor="text1"/>
          <w:sz w:val="22"/>
          <w:szCs w:val="22"/>
          <w:lang w:eastAsia="ja-JP"/>
        </w:rPr>
        <w:t xml:space="preserve">have led to the isolation of phenols, limonoids, lignans, and terpenoids, some of which exhibited cytotoxic, antimicrobial, antioxidant, antifeedant, and neuroprotective activities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PEVuZE5vdGU+PENpdGU+PEF1dGhvcj5KaTwvQXV0aG9yPjxZZWFyPjIwMTQ8L1llYXI+PFJlY051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==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PEVuZE5vdGU+PENpdGU+PEF1dGhvcj5KaTwvQXV0aG9yPjxZZWFyPjIwMTQ8L1llYXI+PFJlY051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==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[5],[6],[7]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&lt;EndNote&gt;&lt;Cite&gt;&lt;Author&gt;Yusoff&lt;/Author&gt;&lt;Year&gt;2012&lt;/Year&gt;&lt;RecNum&gt;232&lt;/RecNum&gt;&lt;DisplayText&gt;[8]&lt;/DisplayText&gt;&lt;record&gt;&lt;rec-number&gt;232&lt;/rec-number&gt;&lt;foreign-keys&gt;&lt;key app="EN" db-id="9sr5eszf50a29ae55xgpdt5w0vxdz95ex2xv" timestamp="1749717154"&gt;232&lt;/key&gt;&lt;/foreign-keys&gt;&lt;ref-type name="Journal Article"&gt;17&lt;/ref-type&gt;&lt;contributors&gt;&lt;authors&gt;&lt;author&gt;M. Yusoff&lt;/author&gt;&lt;/authors&gt;&lt;/contributors&gt;&lt;titles&gt;&lt;title&gt;&lt;style face="normal" font="default" size="100%"&gt;Chemical constituents of &lt;/style&gt;&lt;style face="italic" font="default" size="100%"&gt;Walsura pinnata &lt;/style&gt;&lt;style face="normal" font="default" size="100%"&gt;Hassk&lt;/style&gt;&lt;/title&gt;&lt;secondary-title&gt;Master’s thesis, University of Malaya, Kuala Lumpur, Malaysia&lt;/secondary-title&gt;&lt;/titles&gt;&lt;periodical&gt;&lt;full-title&gt;Master’s thesis, University of Malaya, Kuala Lumpur, Malaysia&lt;/full-title&gt;&lt;/periodical&gt;&lt;dates&gt;&lt;year&gt;2012&lt;/year&gt;&lt;/dates&gt;&lt;urls&gt;&lt;/urls&gt;&lt;/record&gt;&lt;/Cite&gt;&lt;/EndNote&gt;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However, phytochemical </w:t>
      </w:r>
      <w:r w:rsidRPr="005E6B7C">
        <w:rPr>
          <w:rFonts w:asciiTheme="majorHAnsi" w:eastAsia="Yu Mincho" w:hAnsiTheme="majorHAnsi" w:cstheme="majorHAnsi"/>
          <w:color w:val="000000" w:themeColor="text1"/>
          <w:sz w:val="22"/>
          <w:szCs w:val="22"/>
          <w:lang w:eastAsia="ja-JP"/>
        </w:rPr>
        <w:t xml:space="preserve">and pharmacological data on </w:t>
      </w:r>
      <w:r w:rsidRPr="005E6B7C">
        <w:rPr>
          <w:rFonts w:asciiTheme="majorHAnsi" w:eastAsia="Yu Mincho" w:hAnsiTheme="majorHAnsi" w:cstheme="majorHAnsi"/>
          <w:i/>
          <w:color w:val="000000" w:themeColor="text1"/>
          <w:sz w:val="22"/>
          <w:szCs w:val="22"/>
          <w:lang w:eastAsia="ja-JP"/>
        </w:rPr>
        <w:t>W. pinnata</w:t>
      </w:r>
      <w:r w:rsidRPr="005E6B7C">
        <w:rPr>
          <w:rFonts w:asciiTheme="majorHAnsi" w:eastAsia="Yu Mincho" w:hAnsiTheme="majorHAnsi" w:cstheme="majorHAnsi"/>
          <w:color w:val="000000" w:themeColor="text1"/>
          <w:sz w:val="22"/>
          <w:szCs w:val="22"/>
          <w:lang w:eastAsia="ja-JP"/>
        </w:rPr>
        <w:t xml:space="preserve"> remain limited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&lt;EndNote&gt;&lt;Cite&gt;&lt;Author&gt;Son&lt;/Author&gt;&lt;Year&gt;2022&lt;/Year&gt;&lt;RecNum&gt;189&lt;/RecNum&gt;&lt;DisplayText&gt;[4]&lt;/DisplayText&gt;&lt;record&gt;&lt;rec-number&gt;189&lt;/rec-number&gt;&lt;foreign-keys&gt;&lt;key app="EN" db-id="9sr5eszf50a29ae55xgpdt5w0vxdz95ex2xv" timestamp="1749441428"&gt;189&lt;/key&gt;&lt;/foreign-keys&gt;&lt;ref-type name="Journal Article"&gt;17&lt;/ref-type&gt;&lt;contributors&gt;&lt;authors&gt;&lt;author&gt;Ninh The Son&lt;/author&gt;&lt;/authors&gt;&lt;/contributors&gt;&lt;titles&gt;&lt;title&gt;&lt;style face="normal" font="default" size="100%"&gt;The genus &lt;/style&gt;&lt;style face="italic" font="default" size="100%"&gt;Walsura&lt;/style&gt;&lt;style face="normal" font="default" size="100%"&gt;: a rich resource of bioactive limonoids, triterpenoids, and other types of compounds&lt;/style&gt;&lt;/title&gt;&lt;secondary-title&gt; Progress in the Chemistry of Organic Natural Products&lt;/secondary-title&gt;&lt;/titles&gt;&lt;pages&gt;131-177&lt;/pages&gt;&lt;volume&gt;118&lt;/volume&gt;&lt;section&gt;131&lt;/section&gt;&lt;dates&gt;&lt;year&gt;2022&lt;/year&gt;&lt;/dates&gt;&lt;urls&gt;&lt;/urls&gt;&lt;/record&gt;&lt;/Cite&gt;&lt;/EndNote&gt;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To date, a few studies have reported the presence of sesquiterpenoid and triterpenoid constituents, which have drawn interest due to their cytotoxic effects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PEVuZE5vdGU+PENpdGU+PEF1dGhvcj5NYWhkemlyPC9BdXRob3I+PFllYXI+MjAxNzwvWWVhcj48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PEVuZE5vdGU+PENpdGU+PEF1dGhvcj5NYWhkemlyPC9BdXRob3I+PFllYXI+MjAxNzwvWWVhcj48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[9],[10],[11]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In continuation of our interest in the phytochemistry of plants belonging to the genus</w:t>
      </w:r>
      <w:r w:rsidRPr="005E6B7C">
        <w:rPr>
          <w:rFonts w:asciiTheme="majorHAnsi" w:eastAsia="Yu Mincho" w:hAnsiTheme="majorHAnsi" w:cstheme="majorHAnsi"/>
          <w:i/>
          <w:color w:val="000000" w:themeColor="text1"/>
          <w:sz w:val="22"/>
          <w:szCs w:val="22"/>
          <w:lang w:eastAsia="ja-JP"/>
        </w:rPr>
        <w:t xml:space="preserve"> Walsura</w:t>
      </w:r>
      <w:r w:rsidRPr="005E6B7C">
        <w:rPr>
          <w:rFonts w:asciiTheme="majorHAnsi" w:eastAsia="Yu Mincho" w:hAnsiTheme="majorHAnsi" w:cstheme="majorHAnsi"/>
          <w:color w:val="000000" w:themeColor="text1"/>
          <w:sz w:val="22"/>
          <w:szCs w:val="22"/>
          <w:lang w:eastAsia="ja-JP"/>
        </w:rPr>
        <w:t>, we have conducted further investigations and successfully isolated six triterpenoid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Fig. 1) from the leaves of </w:t>
      </w:r>
      <w:r w:rsidRPr="005E6B7C">
        <w:rPr>
          <w:rFonts w:asciiTheme="majorHAnsi" w:eastAsia="Yu Mincho" w:hAnsiTheme="majorHAnsi" w:cstheme="majorHAnsi"/>
          <w:i/>
          <w:color w:val="000000" w:themeColor="text1"/>
          <w:sz w:val="22"/>
          <w:szCs w:val="22"/>
          <w:lang w:eastAsia="ja-JP"/>
        </w:rPr>
        <w:t>W. pinnata</w:t>
      </w:r>
      <w:r w:rsidRPr="005E6B7C">
        <w:rPr>
          <w:rFonts w:asciiTheme="majorHAnsi" w:eastAsia="Yu Mincho" w:hAnsiTheme="majorHAnsi" w:cstheme="majorHAnsi"/>
          <w:color w:val="000000" w:themeColor="text1"/>
          <w:sz w:val="22"/>
          <w:szCs w:val="22"/>
          <w:lang w:eastAsia="ja-JP"/>
        </w:rPr>
        <w:t>.</w:t>
      </w:r>
    </w:p>
    <w:p w14:paraId="147B5DD1" w14:textId="77777777" w:rsidR="0021087C" w:rsidRPr="005E6B7C" w:rsidRDefault="0021087C"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5BCAC795" w14:textId="6037B396" w:rsidR="00E049CB" w:rsidRPr="005E6B7C" w:rsidRDefault="00CA7ECA" w:rsidP="00CA7ECA">
      <w:pPr>
        <w:widowControl/>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rPr>
        <w:lastRenderedPageBreak/>
        <w:drawing>
          <wp:inline distT="0" distB="0" distL="0" distR="0" wp14:anchorId="3088055E" wp14:editId="1D0A31B5">
            <wp:extent cx="2792095" cy="2237740"/>
            <wp:effectExtent l="0" t="0" r="8255" b="0"/>
            <wp:docPr id="8663843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095" cy="2237740"/>
                    </a:xfrm>
                    <a:prstGeom prst="rect">
                      <a:avLst/>
                    </a:prstGeom>
                    <a:noFill/>
                  </pic:spPr>
                </pic:pic>
              </a:graphicData>
            </a:graphic>
          </wp:inline>
        </w:drawing>
      </w:r>
    </w:p>
    <w:p w14:paraId="0D5782DD" w14:textId="16721427" w:rsidR="00E049CB" w:rsidRPr="005E6B7C" w:rsidRDefault="00E049CB" w:rsidP="008C0D47">
      <w:pPr>
        <w:widowControl/>
        <w:tabs>
          <w:tab w:val="left" w:pos="270"/>
          <w:tab w:val="left" w:pos="540"/>
          <w:tab w:val="left" w:pos="9270"/>
        </w:tabs>
        <w:spacing w:before="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1</w:t>
      </w:r>
      <w:r w:rsidR="00AA07C9"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Chemical structures of compounds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p>
    <w:p w14:paraId="714402B1" w14:textId="77777777" w:rsidR="00A06AA5" w:rsidRPr="005E6B7C" w:rsidRDefault="00A06AA5" w:rsidP="008C0D47">
      <w:pPr>
        <w:widowControl/>
        <w:tabs>
          <w:tab w:val="left" w:pos="270"/>
          <w:tab w:val="left" w:pos="540"/>
          <w:tab w:val="left" w:pos="9270"/>
        </w:tabs>
        <w:ind w:right="-20"/>
        <w:jc w:val="both"/>
        <w:rPr>
          <w:rFonts w:asciiTheme="majorHAnsi" w:eastAsia="Yu Mincho" w:hAnsiTheme="majorHAnsi" w:cstheme="majorHAnsi"/>
          <w:b/>
          <w:color w:val="000000" w:themeColor="text1"/>
          <w:sz w:val="22"/>
          <w:szCs w:val="22"/>
          <w:lang w:eastAsia="ja-JP"/>
        </w:rPr>
      </w:pPr>
    </w:p>
    <w:p w14:paraId="59283929" w14:textId="77777777"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7725B348" w14:textId="091C6C3A"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2.1. Chemicals and equipment</w:t>
      </w:r>
    </w:p>
    <w:p w14:paraId="7C5BC5BE" w14:textId="3F9FA887"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Optical rotations were determined on a JASCO P-2000 polarimeter. The NMR spectra were recorded on a Bruker AVANCE NEO 600 FT-NMR spectrometer with TMS as an internal standard. The HRESIMS</w:t>
      </w:r>
      <w:r w:rsidR="00333932" w:rsidRPr="005E6B7C">
        <w:rPr>
          <w:rFonts w:asciiTheme="majorHAnsi" w:eastAsia="Yu Mincho" w:hAnsiTheme="majorHAnsi" w:cstheme="majorHAnsi"/>
          <w:color w:val="000000" w:themeColor="text1"/>
          <w:sz w:val="22"/>
          <w:szCs w:val="22"/>
          <w:lang w:val="vi-VN" w:eastAsia="ja-JP"/>
        </w:rPr>
        <w:t xml:space="preserve"> data were</w:t>
      </w:r>
      <w:r w:rsidRPr="005E6B7C">
        <w:rPr>
          <w:rFonts w:asciiTheme="majorHAnsi" w:eastAsia="Yu Mincho" w:hAnsiTheme="majorHAnsi" w:cstheme="majorHAnsi"/>
          <w:color w:val="000000" w:themeColor="text1"/>
          <w:sz w:val="22"/>
          <w:szCs w:val="22"/>
          <w:lang w:eastAsia="ja-JP"/>
        </w:rPr>
        <w:t xml:space="preserve"> taken on an Agilent 6530 Accurate Mass Q-TOF LC/MS. Column chromatography (CC) was conducted on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hint="eastAsia"/>
          <w:color w:val="000000" w:themeColor="text1"/>
          <w:sz w:val="22"/>
          <w:szCs w:val="22"/>
          <w:lang w:eastAsia="ja-JP"/>
        </w:rPr>
        <w:t xml:space="preserve">, Diaion HP-20, Sephadex LH-20, and RP-18. Preparative HPLC </w:t>
      </w:r>
      <w:r w:rsidR="00333932" w:rsidRPr="005E6B7C">
        <w:rPr>
          <w:rFonts w:asciiTheme="majorHAnsi" w:eastAsia="Yu Mincho" w:hAnsiTheme="majorHAnsi" w:cstheme="majorHAnsi"/>
          <w:color w:val="000000" w:themeColor="text1"/>
          <w:sz w:val="22"/>
          <w:szCs w:val="22"/>
          <w:lang w:eastAsia="ja-JP"/>
        </w:rPr>
        <w:t>was</w:t>
      </w:r>
      <w:r w:rsidR="00333932" w:rsidRPr="005E6B7C">
        <w:rPr>
          <w:rFonts w:asciiTheme="majorHAnsi" w:eastAsia="Yu Mincho" w:hAnsiTheme="majorHAnsi" w:cstheme="majorHAnsi"/>
          <w:color w:val="000000" w:themeColor="text1"/>
          <w:sz w:val="22"/>
          <w:szCs w:val="22"/>
          <w:lang w:val="vi-VN" w:eastAsia="ja-JP"/>
        </w:rPr>
        <w:t xml:space="preserve"> performed </w:t>
      </w:r>
      <w:r w:rsidRPr="005E6B7C">
        <w:rPr>
          <w:rFonts w:asciiTheme="majorHAnsi" w:eastAsia="Yu Mincho" w:hAnsiTheme="majorHAnsi" w:cstheme="majorHAnsi" w:hint="eastAsia"/>
          <w:color w:val="000000" w:themeColor="text1"/>
          <w:sz w:val="22"/>
          <w:szCs w:val="22"/>
          <w:lang w:eastAsia="ja-JP"/>
        </w:rPr>
        <w:t>using Agilent 1100, J</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sphere ODS H-80 column (4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250 × 20 mm), a flow rate of 6 mL/min, and a detector DAD at wavelengths of 205, 230, 254, and 280 nm. An isocratic mobile phase with a flow rate of 3.0 mL/min was used in pre-HPLC. Analytical thin-layer chromatography was performed on precoated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 and RP-18 </w:t>
      </w:r>
      <w:r w:rsidR="00CA7ECA" w:rsidRPr="005E6B7C">
        <w:rPr>
          <w:rFonts w:asciiTheme="majorHAnsi" w:eastAsia="Yu Mincho" w:hAnsiTheme="majorHAnsi" w:cstheme="majorHAnsi"/>
          <w:color w:val="000000" w:themeColor="text1"/>
          <w:sz w:val="22"/>
          <w:szCs w:val="22"/>
          <w:lang w:eastAsia="ja-JP"/>
        </w:rPr>
        <w:t>F</w:t>
      </w:r>
      <w:r w:rsidR="00CA7ECA" w:rsidRPr="005E6B7C">
        <w:rPr>
          <w:rFonts w:asciiTheme="majorHAnsi" w:eastAsia="Yu Mincho" w:hAnsiTheme="majorHAnsi" w:cstheme="majorHAnsi"/>
          <w:color w:val="000000" w:themeColor="text1"/>
          <w:sz w:val="22"/>
          <w:szCs w:val="22"/>
          <w:vertAlign w:val="subscript"/>
          <w:lang w:eastAsia="ja-JP"/>
        </w:rPr>
        <w:t>254</w:t>
      </w:r>
      <w:r w:rsidR="007A051F" w:rsidRPr="005E6B7C">
        <w:rPr>
          <w:rFonts w:asciiTheme="majorHAnsi" w:eastAsia="Yu Mincho" w:hAnsiTheme="majorHAnsi" w:cstheme="majorHAnsi"/>
          <w:color w:val="000000" w:themeColor="text1"/>
          <w:sz w:val="22"/>
          <w:szCs w:val="22"/>
          <w:lang w:eastAsia="ja-JP"/>
        </w:rPr>
        <w:t>S</w:t>
      </w:r>
      <w:r w:rsidR="00CA7ECA"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plates, and compounds were visualized by spraying with 10%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SO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xml:space="preserve"> in water and then heating for 1.5−2 minutes.</w:t>
      </w:r>
    </w:p>
    <w:p w14:paraId="67BDFC23" w14:textId="77777777"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2.2. Plant material</w:t>
      </w:r>
    </w:p>
    <w:p w14:paraId="7E7EBD20" w14:textId="5464B3B1"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leaves of </w:t>
      </w:r>
      <w:r w:rsidRPr="005E6B7C">
        <w:rPr>
          <w:rFonts w:asciiTheme="majorHAnsi" w:eastAsia="Yu Mincho" w:hAnsiTheme="majorHAnsi" w:cstheme="majorHAnsi"/>
          <w:i/>
          <w:color w:val="000000" w:themeColor="text1"/>
          <w:sz w:val="22"/>
          <w:szCs w:val="22"/>
          <w:lang w:eastAsia="ja-JP"/>
        </w:rPr>
        <w:t>W. pinnata</w:t>
      </w:r>
      <w:r w:rsidRPr="005E6B7C">
        <w:rPr>
          <w:rFonts w:asciiTheme="majorHAnsi" w:eastAsia="Yu Mincho" w:hAnsiTheme="majorHAnsi" w:cstheme="majorHAnsi"/>
          <w:color w:val="000000" w:themeColor="text1"/>
          <w:sz w:val="22"/>
          <w:szCs w:val="22"/>
          <w:lang w:eastAsia="ja-JP"/>
        </w:rPr>
        <w:t xml:space="preserve"> were collected at Dakrong, Quang</w:t>
      </w:r>
      <w:r w:rsidR="00333932" w:rsidRPr="005E6B7C">
        <w:rPr>
          <w:rFonts w:asciiTheme="majorHAnsi" w:eastAsia="Yu Mincho" w:hAnsiTheme="majorHAnsi" w:cstheme="majorHAnsi"/>
          <w:color w:val="000000" w:themeColor="text1"/>
          <w:sz w:val="22"/>
          <w:szCs w:val="22"/>
          <w:lang w:val="vi-VN" w:eastAsia="ja-JP"/>
        </w:rPr>
        <w:t xml:space="preserve"> </w:t>
      </w:r>
      <w:r w:rsidR="00333932" w:rsidRPr="005E6B7C">
        <w:rPr>
          <w:rFonts w:asciiTheme="majorHAnsi" w:eastAsia="Yu Mincho" w:hAnsiTheme="majorHAnsi" w:cstheme="majorHAnsi"/>
          <w:color w:val="000000" w:themeColor="text1"/>
          <w:sz w:val="22"/>
          <w:szCs w:val="22"/>
          <w:lang w:eastAsia="ja-JP"/>
        </w:rPr>
        <w:t>T</w:t>
      </w:r>
      <w:r w:rsidRPr="005E6B7C">
        <w:rPr>
          <w:rFonts w:asciiTheme="majorHAnsi" w:eastAsia="Yu Mincho" w:hAnsiTheme="majorHAnsi" w:cstheme="majorHAnsi"/>
          <w:color w:val="000000" w:themeColor="text1"/>
          <w:sz w:val="22"/>
          <w:szCs w:val="22"/>
          <w:lang w:eastAsia="ja-JP"/>
        </w:rPr>
        <w:t>ri Province, Vietnam, in May 2025. The species was taxonomically identified by Dr. Le Tuan Anh (Vietnam National Museum of Nature). A voucher herbarium specimen (NCCT-P184) has been deposited at the Herbarium of the Institute of Chemistry, VAST.</w:t>
      </w:r>
    </w:p>
    <w:p w14:paraId="5F2A82D6" w14:textId="77777777"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2.3. Extraction and isolation</w:t>
      </w:r>
    </w:p>
    <w:p w14:paraId="7CEA42A6" w14:textId="0146DCFB"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dried leaves of </w:t>
      </w:r>
      <w:r w:rsidRPr="005E6B7C">
        <w:rPr>
          <w:rFonts w:asciiTheme="majorHAnsi" w:eastAsia="Yu Mincho" w:hAnsiTheme="majorHAnsi" w:cstheme="majorHAnsi"/>
          <w:i/>
          <w:color w:val="000000" w:themeColor="text1"/>
          <w:sz w:val="22"/>
          <w:szCs w:val="22"/>
          <w:lang w:eastAsia="ja-JP"/>
        </w:rPr>
        <w:t>W. pinnata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(3.5 kg) were ultrasonically extracted with methanol (3 × 7.0 L, each for 2.5 h at room temperature), yielding a MeOH extract (300 g) after solvent removal under reduced pressure. The extract was then suspended in water and sequentially partitioned with organic solvents to obtain the </w:t>
      </w:r>
      <w:r w:rsidRPr="005E6B7C">
        <w:rPr>
          <w:rFonts w:asciiTheme="majorHAnsi" w:eastAsia="Yu Mincho" w:hAnsiTheme="majorHAnsi" w:cstheme="majorHAnsi"/>
          <w:bCs/>
          <w:i/>
          <w:color w:val="000000" w:themeColor="text1"/>
          <w:sz w:val="22"/>
          <w:szCs w:val="22"/>
          <w:lang w:eastAsia="ja-JP"/>
        </w:rPr>
        <w:t>n</w:t>
      </w:r>
      <w:r w:rsidRPr="005E6B7C">
        <w:rPr>
          <w:rFonts w:asciiTheme="majorHAnsi" w:eastAsia="Yu Mincho" w:hAnsiTheme="majorHAnsi" w:cstheme="majorHAnsi"/>
          <w:bCs/>
          <w:color w:val="000000" w:themeColor="text1"/>
          <w:sz w:val="22"/>
          <w:szCs w:val="22"/>
          <w:lang w:eastAsia="ja-JP"/>
        </w:rPr>
        <w:t xml:space="preserve">-hexane (H, 32.5 g), </w:t>
      </w:r>
      <w:r w:rsidRPr="005E6B7C">
        <w:rPr>
          <w:rFonts w:asciiTheme="majorHAnsi" w:eastAsia="Yu Mincho" w:hAnsiTheme="majorHAnsi" w:cstheme="majorHAnsi"/>
          <w:bCs/>
          <w:color w:val="000000" w:themeColor="text1"/>
          <w:sz w:val="22"/>
          <w:szCs w:val="22"/>
          <w:lang w:eastAsia="ja-JP"/>
        </w:rPr>
        <w:t>dichloromethane (D, 95 g), ethyl acetate (E, 40 g), and aqueous fractions. HPLC analysis indicated that the CH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Cl</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 fraction contained a relatively high abundance of secondary metabolites, and this fraction was therefore selected for further chromatographic separation. The CH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Cl</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 </w:t>
      </w:r>
      <w:r w:rsidR="00423F83" w:rsidRPr="005E6B7C">
        <w:rPr>
          <w:rFonts w:asciiTheme="majorHAnsi" w:eastAsia="Yu Mincho" w:hAnsiTheme="majorHAnsi" w:cstheme="majorHAnsi"/>
          <w:bCs/>
          <w:color w:val="000000" w:themeColor="text1"/>
          <w:sz w:val="22"/>
          <w:szCs w:val="22"/>
          <w:lang w:eastAsia="ja-JP"/>
        </w:rPr>
        <w:t>fraction</w:t>
      </w:r>
      <w:r w:rsidR="00423F83" w:rsidRPr="005E6B7C">
        <w:rPr>
          <w:rFonts w:asciiTheme="majorHAnsi" w:eastAsia="Yu Mincho" w:hAnsiTheme="majorHAnsi" w:cstheme="majorHAnsi"/>
          <w:bCs/>
          <w:color w:val="000000" w:themeColor="text1"/>
          <w:sz w:val="22"/>
          <w:szCs w:val="22"/>
          <w:lang w:val="vi-VN" w:eastAsia="ja-JP"/>
        </w:rPr>
        <w:t xml:space="preserve"> </w:t>
      </w:r>
      <w:r w:rsidRPr="005E6B7C">
        <w:rPr>
          <w:rFonts w:asciiTheme="majorHAnsi" w:eastAsia="Yu Mincho" w:hAnsiTheme="majorHAnsi" w:cstheme="majorHAnsi"/>
          <w:bCs/>
          <w:color w:val="000000" w:themeColor="text1"/>
          <w:sz w:val="22"/>
          <w:szCs w:val="22"/>
          <w:lang w:eastAsia="ja-JP"/>
        </w:rPr>
        <w:t xml:space="preserve">(95 g) was subjected to </w:t>
      </w:r>
      <w:r w:rsidR="00894500" w:rsidRPr="005E6B7C">
        <w:rPr>
          <w:rFonts w:asciiTheme="majorHAnsi" w:eastAsia="Yu Mincho" w:hAnsiTheme="majorHAnsi" w:cstheme="majorHAnsi"/>
          <w:bCs/>
          <w:i/>
          <w:iCs/>
          <w:color w:val="000000" w:themeColor="text1"/>
          <w:sz w:val="22"/>
          <w:szCs w:val="22"/>
          <w:lang w:eastAsia="ja-JP"/>
        </w:rPr>
        <w:t>silica gel</w:t>
      </w:r>
      <w:r w:rsidRPr="005E6B7C">
        <w:rPr>
          <w:rFonts w:asciiTheme="majorHAnsi" w:eastAsia="Yu Mincho" w:hAnsiTheme="majorHAnsi" w:cstheme="majorHAnsi"/>
          <w:bCs/>
          <w:color w:val="000000" w:themeColor="text1"/>
          <w:sz w:val="22"/>
          <w:szCs w:val="22"/>
          <w:lang w:eastAsia="ja-JP"/>
        </w:rPr>
        <w:t xml:space="preserve"> CC, using a gradient solvent system of CH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Cl</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-MeOH (from 50:0 to 0:100), based on TLC analysis results. Fractions with similar polarity were combined, resulting in the acquisition of seven fractions (D1−D7). Fraction D2 (5.1 g) was purified on an RP-18 column using 40% MeOH in 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O as the eluent, yielding six subfractions (D2.1−D2.6). Among these, subfraction D2.2 (56 mg) was further purified by semi-preparative HPLC with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CN-H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O (65:35) as the mobile phase, yielding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(6.5 mg, </w:t>
      </w:r>
      <w:r w:rsidRPr="005E6B7C">
        <w:rPr>
          <w:rFonts w:asciiTheme="majorHAnsi" w:eastAsia="Yu Mincho" w:hAnsiTheme="majorHAnsi" w:cstheme="majorHAnsi"/>
          <w:bCs/>
          <w:i/>
          <w:color w:val="000000" w:themeColor="text1"/>
          <w:sz w:val="22"/>
          <w:szCs w:val="22"/>
          <w:lang w:eastAsia="ja-JP"/>
        </w:rPr>
        <w:t>t</w:t>
      </w:r>
      <w:r w:rsidRPr="005E6B7C">
        <w:rPr>
          <w:rFonts w:asciiTheme="majorHAnsi" w:eastAsia="Yu Mincho" w:hAnsiTheme="majorHAnsi" w:cstheme="majorHAnsi"/>
          <w:bCs/>
          <w:color w:val="000000" w:themeColor="text1"/>
          <w:sz w:val="22"/>
          <w:szCs w:val="22"/>
          <w:vertAlign w:val="subscript"/>
          <w:lang w:eastAsia="ja-JP"/>
        </w:rPr>
        <w:t>R</w:t>
      </w:r>
      <w:r w:rsidRPr="005E6B7C">
        <w:rPr>
          <w:rFonts w:asciiTheme="majorHAnsi" w:eastAsia="Yu Mincho" w:hAnsiTheme="majorHAnsi" w:cstheme="majorHAnsi"/>
          <w:bCs/>
          <w:color w:val="000000" w:themeColor="text1"/>
          <w:sz w:val="22"/>
          <w:szCs w:val="22"/>
          <w:lang w:eastAsia="ja-JP"/>
        </w:rPr>
        <w:t xml:space="preserve"> = 44.3 min). Similarly, subfraction D2.3 (82 mg) was purified by </w:t>
      </w:r>
      <w:r w:rsidR="00423F83" w:rsidRPr="005E6B7C">
        <w:rPr>
          <w:rFonts w:asciiTheme="majorHAnsi" w:eastAsia="Yu Mincho" w:hAnsiTheme="majorHAnsi" w:cstheme="majorHAnsi"/>
          <w:bCs/>
          <w:color w:val="000000" w:themeColor="text1"/>
          <w:sz w:val="22"/>
          <w:szCs w:val="22"/>
          <w:lang w:eastAsia="ja-JP"/>
        </w:rPr>
        <w:t>a</w:t>
      </w:r>
      <w:r w:rsidR="00423F83" w:rsidRPr="005E6B7C">
        <w:rPr>
          <w:rFonts w:asciiTheme="majorHAnsi" w:eastAsia="Yu Mincho" w:hAnsiTheme="majorHAnsi" w:cstheme="majorHAnsi"/>
          <w:bCs/>
          <w:color w:val="000000" w:themeColor="text1"/>
          <w:sz w:val="22"/>
          <w:szCs w:val="22"/>
          <w:lang w:val="vi-VN" w:eastAsia="ja-JP"/>
        </w:rPr>
        <w:t xml:space="preserve"> </w:t>
      </w:r>
      <w:r w:rsidRPr="005E6B7C">
        <w:rPr>
          <w:rFonts w:asciiTheme="majorHAnsi" w:eastAsia="Yu Mincho" w:hAnsiTheme="majorHAnsi" w:cstheme="majorHAnsi"/>
          <w:bCs/>
          <w:color w:val="000000" w:themeColor="text1"/>
          <w:sz w:val="22"/>
          <w:szCs w:val="22"/>
          <w:lang w:eastAsia="ja-JP"/>
        </w:rPr>
        <w:t xml:space="preserve">semi-preparative HPLC </w:t>
      </w:r>
      <w:r w:rsidR="00423F83" w:rsidRPr="005E6B7C">
        <w:rPr>
          <w:rFonts w:asciiTheme="majorHAnsi" w:eastAsia="Yu Mincho" w:hAnsiTheme="majorHAnsi" w:cstheme="majorHAnsi"/>
          <w:bCs/>
          <w:color w:val="000000" w:themeColor="text1"/>
          <w:sz w:val="22"/>
          <w:szCs w:val="22"/>
          <w:lang w:eastAsia="ja-JP"/>
        </w:rPr>
        <w:t>system</w:t>
      </w:r>
      <w:r w:rsidR="00423F83" w:rsidRPr="005E6B7C">
        <w:rPr>
          <w:rFonts w:asciiTheme="majorHAnsi" w:eastAsia="Yu Mincho" w:hAnsiTheme="majorHAnsi" w:cstheme="majorHAnsi"/>
          <w:bCs/>
          <w:color w:val="000000" w:themeColor="text1"/>
          <w:sz w:val="22"/>
          <w:szCs w:val="22"/>
          <w:lang w:val="vi-VN" w:eastAsia="ja-JP"/>
        </w:rPr>
        <w:t xml:space="preserve"> </w:t>
      </w:r>
      <w:r w:rsidRPr="005E6B7C">
        <w:rPr>
          <w:rFonts w:asciiTheme="majorHAnsi" w:eastAsia="Yu Mincho" w:hAnsiTheme="majorHAnsi" w:cstheme="majorHAnsi"/>
          <w:bCs/>
          <w:color w:val="000000" w:themeColor="text1"/>
          <w:sz w:val="22"/>
          <w:szCs w:val="22"/>
          <w:lang w:eastAsia="ja-JP"/>
        </w:rPr>
        <w:t>using a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CN-H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O (50:50) mixture, resulting in the isolation of compound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(10.8 mg, </w:t>
      </w:r>
      <w:r w:rsidRPr="005E6B7C">
        <w:rPr>
          <w:rFonts w:asciiTheme="majorHAnsi" w:eastAsia="Yu Mincho" w:hAnsiTheme="majorHAnsi" w:cstheme="majorHAnsi"/>
          <w:bCs/>
          <w:i/>
          <w:color w:val="000000" w:themeColor="text1"/>
          <w:sz w:val="22"/>
          <w:szCs w:val="22"/>
          <w:lang w:eastAsia="ja-JP"/>
        </w:rPr>
        <w:t>t</w:t>
      </w:r>
      <w:r w:rsidRPr="005E6B7C">
        <w:rPr>
          <w:rFonts w:asciiTheme="majorHAnsi" w:eastAsia="Yu Mincho" w:hAnsiTheme="majorHAnsi" w:cstheme="majorHAnsi"/>
          <w:bCs/>
          <w:color w:val="000000" w:themeColor="text1"/>
          <w:sz w:val="22"/>
          <w:szCs w:val="22"/>
          <w:vertAlign w:val="subscript"/>
          <w:lang w:eastAsia="ja-JP"/>
        </w:rPr>
        <w:t>R</w:t>
      </w:r>
      <w:r w:rsidRPr="005E6B7C">
        <w:rPr>
          <w:rFonts w:asciiTheme="majorHAnsi" w:eastAsia="Yu Mincho" w:hAnsiTheme="majorHAnsi" w:cstheme="majorHAnsi"/>
          <w:bCs/>
          <w:color w:val="000000" w:themeColor="text1"/>
          <w:sz w:val="22"/>
          <w:szCs w:val="22"/>
          <w:lang w:eastAsia="ja-JP"/>
        </w:rPr>
        <w:t xml:space="preserve"> = 33.8 min). Subfraction D3 (1.52 g) was subjected to RP-18 CC with MeOH-H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O (2:3) as the eluent, producing three subfractions (D3.1−D3.3). Further purification of subfraction D3.2 (75 mg) by semi-preparative HPLC, using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CN-H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O (30:70) as the mobile phase, yielded compound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bCs/>
          <w:color w:val="000000" w:themeColor="text1"/>
          <w:sz w:val="22"/>
          <w:szCs w:val="22"/>
          <w:lang w:eastAsia="ja-JP"/>
        </w:rPr>
        <w:t xml:space="preserve"> (7.2 mg, </w:t>
      </w:r>
      <w:r w:rsidRPr="005E6B7C">
        <w:rPr>
          <w:rFonts w:asciiTheme="majorHAnsi" w:eastAsia="Yu Mincho" w:hAnsiTheme="majorHAnsi" w:cstheme="majorHAnsi"/>
          <w:bCs/>
          <w:i/>
          <w:color w:val="000000" w:themeColor="text1"/>
          <w:sz w:val="22"/>
          <w:szCs w:val="22"/>
          <w:lang w:eastAsia="ja-JP"/>
        </w:rPr>
        <w:t>t</w:t>
      </w:r>
      <w:r w:rsidRPr="005E6B7C">
        <w:rPr>
          <w:rFonts w:asciiTheme="majorHAnsi" w:eastAsia="Yu Mincho" w:hAnsiTheme="majorHAnsi" w:cstheme="majorHAnsi"/>
          <w:bCs/>
          <w:color w:val="000000" w:themeColor="text1"/>
          <w:sz w:val="22"/>
          <w:szCs w:val="22"/>
          <w:vertAlign w:val="subscript"/>
          <w:lang w:eastAsia="ja-JP"/>
        </w:rPr>
        <w:t>R</w:t>
      </w:r>
      <w:r w:rsidRPr="005E6B7C">
        <w:rPr>
          <w:rFonts w:asciiTheme="majorHAnsi" w:eastAsia="Yu Mincho" w:hAnsiTheme="majorHAnsi" w:cstheme="majorHAnsi"/>
          <w:bCs/>
          <w:color w:val="000000" w:themeColor="text1"/>
          <w:sz w:val="22"/>
          <w:szCs w:val="22"/>
          <w:lang w:eastAsia="ja-JP"/>
        </w:rPr>
        <w:t xml:space="preserve"> = 47.3 min). Additionally, subfraction D3.3 (0.8 g) was subjected to </w:t>
      </w:r>
      <w:r w:rsidR="00894500" w:rsidRPr="005E6B7C">
        <w:rPr>
          <w:rFonts w:asciiTheme="majorHAnsi" w:eastAsia="Yu Mincho" w:hAnsiTheme="majorHAnsi" w:cstheme="majorHAnsi"/>
          <w:bCs/>
          <w:i/>
          <w:iCs/>
          <w:color w:val="000000" w:themeColor="text1"/>
          <w:sz w:val="22"/>
          <w:szCs w:val="22"/>
          <w:lang w:eastAsia="ja-JP"/>
        </w:rPr>
        <w:t>silica gel</w:t>
      </w:r>
      <w:r w:rsidRPr="005E6B7C">
        <w:rPr>
          <w:rFonts w:asciiTheme="majorHAnsi" w:eastAsia="Yu Mincho" w:hAnsiTheme="majorHAnsi" w:cstheme="majorHAnsi"/>
          <w:bCs/>
          <w:color w:val="000000" w:themeColor="text1"/>
          <w:sz w:val="22"/>
          <w:szCs w:val="22"/>
          <w:lang w:eastAsia="ja-JP"/>
        </w:rPr>
        <w:t xml:space="preserve"> CC using a CH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Cl</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-MeOH-H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O solvent system (5:1:0.1, v/v/v), yielding five fractions (D3.3a to D3.3e). Compounds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 xml:space="preserve"> (10.1 mg, </w:t>
      </w:r>
      <w:r w:rsidRPr="005E6B7C">
        <w:rPr>
          <w:rFonts w:asciiTheme="majorHAnsi" w:eastAsia="Yu Mincho" w:hAnsiTheme="majorHAnsi" w:cstheme="majorHAnsi"/>
          <w:bCs/>
          <w:i/>
          <w:color w:val="000000" w:themeColor="text1"/>
          <w:sz w:val="22"/>
          <w:szCs w:val="22"/>
          <w:lang w:eastAsia="ja-JP"/>
        </w:rPr>
        <w:t>t</w:t>
      </w:r>
      <w:r w:rsidRPr="005E6B7C">
        <w:rPr>
          <w:rFonts w:asciiTheme="majorHAnsi" w:eastAsia="Yu Mincho" w:hAnsiTheme="majorHAnsi" w:cstheme="majorHAnsi"/>
          <w:bCs/>
          <w:color w:val="000000" w:themeColor="text1"/>
          <w:sz w:val="22"/>
          <w:szCs w:val="22"/>
          <w:vertAlign w:val="subscript"/>
          <w:lang w:eastAsia="ja-JP"/>
        </w:rPr>
        <w:t>R</w:t>
      </w:r>
      <w:r w:rsidRPr="005E6B7C">
        <w:rPr>
          <w:rFonts w:asciiTheme="majorHAnsi" w:eastAsia="Yu Mincho" w:hAnsiTheme="majorHAnsi" w:cstheme="majorHAnsi"/>
          <w:bCs/>
          <w:color w:val="000000" w:themeColor="text1"/>
          <w:sz w:val="22"/>
          <w:szCs w:val="22"/>
          <w:lang w:eastAsia="ja-JP"/>
        </w:rPr>
        <w:t xml:space="preserve"> = 31.8 min) and</w:t>
      </w:r>
      <w:r w:rsidRPr="005E6B7C">
        <w:rPr>
          <w:rFonts w:asciiTheme="majorHAnsi" w:eastAsia="Yu Mincho" w:hAnsiTheme="majorHAnsi" w:cstheme="majorHAnsi"/>
          <w:b/>
          <w:bCs/>
          <w:color w:val="000000" w:themeColor="text1"/>
          <w:sz w:val="22"/>
          <w:szCs w:val="22"/>
          <w:lang w:eastAsia="ja-JP"/>
        </w:rPr>
        <w:t xml:space="preserve"> 5</w:t>
      </w:r>
      <w:r w:rsidRPr="005E6B7C">
        <w:rPr>
          <w:rFonts w:asciiTheme="majorHAnsi" w:eastAsia="Yu Mincho" w:hAnsiTheme="majorHAnsi" w:cstheme="majorHAnsi"/>
          <w:bCs/>
          <w:color w:val="000000" w:themeColor="text1"/>
          <w:sz w:val="22"/>
          <w:szCs w:val="22"/>
          <w:lang w:eastAsia="ja-JP"/>
        </w:rPr>
        <w:t xml:space="preserve"> (7.9 m</w:t>
      </w:r>
      <w:r w:rsidRPr="005E6B7C">
        <w:rPr>
          <w:rFonts w:asciiTheme="majorHAnsi" w:eastAsia="Yu Mincho" w:hAnsiTheme="majorHAnsi" w:cstheme="majorHAnsi"/>
          <w:bCs/>
          <w:color w:val="000000" w:themeColor="text1"/>
          <w:spacing w:val="-2"/>
          <w:sz w:val="22"/>
          <w:szCs w:val="22"/>
          <w:lang w:eastAsia="ja-JP"/>
        </w:rPr>
        <w:t xml:space="preserve">g, </w:t>
      </w:r>
      <w:r w:rsidRPr="005E6B7C">
        <w:rPr>
          <w:rFonts w:asciiTheme="majorHAnsi" w:eastAsia="Yu Mincho" w:hAnsiTheme="majorHAnsi" w:cstheme="majorHAnsi"/>
          <w:bCs/>
          <w:i/>
          <w:color w:val="000000" w:themeColor="text1"/>
          <w:spacing w:val="-2"/>
          <w:sz w:val="22"/>
          <w:szCs w:val="22"/>
          <w:lang w:eastAsia="ja-JP"/>
        </w:rPr>
        <w:t>t</w:t>
      </w:r>
      <w:r w:rsidRPr="005E6B7C">
        <w:rPr>
          <w:rFonts w:asciiTheme="majorHAnsi" w:eastAsia="Yu Mincho" w:hAnsiTheme="majorHAnsi" w:cstheme="majorHAnsi"/>
          <w:bCs/>
          <w:color w:val="000000" w:themeColor="text1"/>
          <w:spacing w:val="-2"/>
          <w:sz w:val="22"/>
          <w:szCs w:val="22"/>
          <w:vertAlign w:val="subscript"/>
          <w:lang w:eastAsia="ja-JP"/>
        </w:rPr>
        <w:t>R</w:t>
      </w:r>
      <w:r w:rsidRPr="005E6B7C">
        <w:rPr>
          <w:rFonts w:asciiTheme="majorHAnsi" w:eastAsia="Yu Mincho" w:hAnsiTheme="majorHAnsi" w:cstheme="majorHAnsi"/>
          <w:bCs/>
          <w:color w:val="000000" w:themeColor="text1"/>
          <w:spacing w:val="-2"/>
          <w:sz w:val="22"/>
          <w:szCs w:val="22"/>
          <w:lang w:eastAsia="ja-JP"/>
        </w:rPr>
        <w:t xml:space="preserve"> = 35.4 min) were obtained from subfraction D3.3b (0.11 g) through semi-preparative HPLC system (CH</w:t>
      </w:r>
      <w:r w:rsidRPr="005E6B7C">
        <w:rPr>
          <w:rFonts w:asciiTheme="majorHAnsi" w:eastAsia="Yu Mincho" w:hAnsiTheme="majorHAnsi" w:cstheme="majorHAnsi"/>
          <w:bCs/>
          <w:color w:val="000000" w:themeColor="text1"/>
          <w:spacing w:val="-2"/>
          <w:sz w:val="22"/>
          <w:szCs w:val="22"/>
          <w:vertAlign w:val="subscript"/>
          <w:lang w:eastAsia="ja-JP"/>
        </w:rPr>
        <w:t>3</w:t>
      </w:r>
      <w:r w:rsidRPr="005E6B7C">
        <w:rPr>
          <w:rFonts w:asciiTheme="majorHAnsi" w:eastAsia="Yu Mincho" w:hAnsiTheme="majorHAnsi" w:cstheme="majorHAnsi"/>
          <w:bCs/>
          <w:color w:val="000000" w:themeColor="text1"/>
          <w:spacing w:val="-2"/>
          <w:sz w:val="22"/>
          <w:szCs w:val="22"/>
          <w:lang w:eastAsia="ja-JP"/>
        </w:rPr>
        <w:t>CN-H</w:t>
      </w:r>
      <w:r w:rsidRPr="005E6B7C">
        <w:rPr>
          <w:rFonts w:asciiTheme="majorHAnsi" w:eastAsia="Yu Mincho" w:hAnsiTheme="majorHAnsi" w:cstheme="majorHAnsi"/>
          <w:bCs/>
          <w:color w:val="000000" w:themeColor="text1"/>
          <w:spacing w:val="-2"/>
          <w:sz w:val="22"/>
          <w:szCs w:val="22"/>
          <w:vertAlign w:val="subscript"/>
          <w:lang w:eastAsia="ja-JP"/>
        </w:rPr>
        <w:t>2</w:t>
      </w:r>
      <w:r w:rsidRPr="005E6B7C">
        <w:rPr>
          <w:rFonts w:asciiTheme="majorHAnsi" w:eastAsia="Yu Mincho" w:hAnsiTheme="majorHAnsi" w:cstheme="majorHAnsi"/>
          <w:bCs/>
          <w:color w:val="000000" w:themeColor="text1"/>
          <w:spacing w:val="-2"/>
          <w:sz w:val="22"/>
          <w:szCs w:val="22"/>
          <w:lang w:eastAsia="ja-JP"/>
        </w:rPr>
        <w:t xml:space="preserve">O containing 0.05% TFA, 20:80). In a similar process to that described above, subfraction D3.3d (0.10 g) was </w:t>
      </w:r>
      <w:r w:rsidRPr="005E6B7C">
        <w:rPr>
          <w:rFonts w:asciiTheme="majorHAnsi" w:eastAsia="Yu Mincho" w:hAnsiTheme="majorHAnsi" w:cstheme="majorHAnsi"/>
          <w:color w:val="000000" w:themeColor="text1"/>
          <w:spacing w:val="-2"/>
          <w:sz w:val="22"/>
          <w:szCs w:val="22"/>
          <w:lang w:eastAsia="ja-JP"/>
        </w:rPr>
        <w:t>purified by semi-preparative HPLC using 20% CH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CN in H</w:t>
      </w:r>
      <w:r w:rsidRPr="005E6B7C">
        <w:rPr>
          <w:rFonts w:asciiTheme="majorHAnsi" w:eastAsia="Yu Mincho" w:hAnsiTheme="majorHAnsi" w:cstheme="majorHAnsi"/>
          <w:color w:val="000000" w:themeColor="text1"/>
          <w:spacing w:val="-2"/>
          <w:sz w:val="22"/>
          <w:szCs w:val="22"/>
          <w:vertAlign w:val="subscript"/>
          <w:lang w:eastAsia="ja-JP"/>
        </w:rPr>
        <w:t>2</w:t>
      </w:r>
      <w:r w:rsidRPr="005E6B7C">
        <w:rPr>
          <w:rFonts w:asciiTheme="majorHAnsi" w:eastAsia="Yu Mincho" w:hAnsiTheme="majorHAnsi" w:cstheme="majorHAnsi"/>
          <w:color w:val="000000" w:themeColor="text1"/>
          <w:spacing w:val="-2"/>
          <w:sz w:val="22"/>
          <w:szCs w:val="22"/>
          <w:lang w:eastAsia="ja-JP"/>
        </w:rPr>
        <w:t xml:space="preserve">O as the mobile phase, yielding compound </w:t>
      </w:r>
      <w:r w:rsidRPr="005E6B7C">
        <w:rPr>
          <w:rFonts w:asciiTheme="majorHAnsi" w:eastAsia="Yu Mincho" w:hAnsiTheme="majorHAnsi" w:cstheme="majorHAnsi"/>
          <w:b/>
          <w:color w:val="000000" w:themeColor="text1"/>
          <w:spacing w:val="-2"/>
          <w:sz w:val="22"/>
          <w:szCs w:val="22"/>
          <w:lang w:eastAsia="ja-JP"/>
        </w:rPr>
        <w:t>4</w:t>
      </w:r>
      <w:r w:rsidRPr="005E6B7C">
        <w:rPr>
          <w:rFonts w:asciiTheme="majorHAnsi" w:eastAsia="Yu Mincho" w:hAnsiTheme="majorHAnsi" w:cstheme="majorHAnsi"/>
          <w:color w:val="000000" w:themeColor="text1"/>
          <w:spacing w:val="-2"/>
          <w:sz w:val="22"/>
          <w:szCs w:val="22"/>
          <w:lang w:eastAsia="ja-JP"/>
        </w:rPr>
        <w:t xml:space="preserve"> (8.9 mg, </w:t>
      </w:r>
      <w:r w:rsidRPr="005E6B7C">
        <w:rPr>
          <w:rFonts w:asciiTheme="majorHAnsi" w:eastAsia="Yu Mincho" w:hAnsiTheme="majorHAnsi" w:cstheme="majorHAnsi"/>
          <w:i/>
          <w:color w:val="000000" w:themeColor="text1"/>
          <w:spacing w:val="-2"/>
          <w:sz w:val="22"/>
          <w:szCs w:val="22"/>
          <w:lang w:eastAsia="ja-JP"/>
        </w:rPr>
        <w:t>t</w:t>
      </w:r>
      <w:r w:rsidRPr="005E6B7C">
        <w:rPr>
          <w:rFonts w:asciiTheme="majorHAnsi" w:eastAsia="Yu Mincho" w:hAnsiTheme="majorHAnsi" w:cstheme="majorHAnsi"/>
          <w:color w:val="000000" w:themeColor="text1"/>
          <w:spacing w:val="-2"/>
          <w:sz w:val="22"/>
          <w:szCs w:val="22"/>
          <w:vertAlign w:val="subscript"/>
          <w:lang w:eastAsia="ja-JP"/>
        </w:rPr>
        <w:t>R</w:t>
      </w:r>
      <w:r w:rsidRPr="005E6B7C">
        <w:rPr>
          <w:rFonts w:asciiTheme="majorHAnsi" w:eastAsia="Yu Mincho" w:hAnsiTheme="majorHAnsi" w:cstheme="majorHAnsi"/>
          <w:color w:val="000000" w:themeColor="text1"/>
          <w:spacing w:val="-2"/>
          <w:sz w:val="22"/>
          <w:szCs w:val="22"/>
          <w:lang w:eastAsia="ja-JP"/>
        </w:rPr>
        <w:t xml:space="preserve"> = 40.5 min).</w:t>
      </w:r>
      <w:r w:rsidRPr="005E6B7C">
        <w:rPr>
          <w:rFonts w:asciiTheme="majorHAnsi" w:eastAsia="Yu Mincho" w:hAnsiTheme="majorHAnsi" w:cstheme="majorHAnsi"/>
          <w:color w:val="000000" w:themeColor="text1"/>
          <w:sz w:val="22"/>
          <w:szCs w:val="22"/>
          <w:lang w:eastAsia="ja-JP"/>
        </w:rPr>
        <w:t xml:space="preserve"> </w:t>
      </w:r>
    </w:p>
    <w:p w14:paraId="420BE49F" w14:textId="43723FA2"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Cumingianol E (1):</w:t>
      </w:r>
      <w:r w:rsidRPr="005E6B7C">
        <w:rPr>
          <w:rFonts w:asciiTheme="majorHAnsi" w:eastAsia="Yu Mincho" w:hAnsiTheme="majorHAnsi" w:cstheme="majorHAnsi"/>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 xml:space="preserve">White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23</m:t>
            </m:r>
          </m:sup>
        </m:sSubSup>
      </m:oMath>
      <w:r w:rsidR="00E049CB" w:rsidRPr="005E6B7C">
        <w:rPr>
          <w:rFonts w:asciiTheme="majorHAnsi" w:eastAsia="Yu Mincho" w:hAnsiTheme="majorHAnsi" w:cstheme="majorHAnsi"/>
          <w:noProof/>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−89.5 (</w:t>
      </w:r>
      <w:r w:rsidR="00E049CB" w:rsidRPr="005E6B7C">
        <w:rPr>
          <w:rFonts w:asciiTheme="majorHAnsi" w:eastAsia="Yu Mincho" w:hAnsiTheme="majorHAnsi" w:cstheme="majorHAnsi"/>
          <w:i/>
          <w:color w:val="000000" w:themeColor="text1"/>
          <w:sz w:val="22"/>
          <w:szCs w:val="22"/>
          <w:lang w:eastAsia="ja-JP"/>
        </w:rPr>
        <w:t>c</w:t>
      </w:r>
      <w:r w:rsidR="00E049CB" w:rsidRPr="005E6B7C">
        <w:rPr>
          <w:rFonts w:asciiTheme="majorHAnsi" w:eastAsia="Yu Mincho" w:hAnsiTheme="majorHAnsi" w:cstheme="majorHAnsi"/>
          <w:color w:val="000000" w:themeColor="text1"/>
          <w:sz w:val="22"/>
          <w:szCs w:val="22"/>
          <w:lang w:eastAsia="ja-JP"/>
        </w:rPr>
        <w:t xml:space="preserve"> 0.1, CHCl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HRESIMS </w:t>
      </w:r>
      <w:r w:rsidR="00E049CB" w:rsidRPr="005E6B7C">
        <w:rPr>
          <w:rFonts w:asciiTheme="majorHAnsi" w:eastAsia="Yu Mincho" w:hAnsiTheme="majorHAnsi" w:cstheme="majorHAnsi"/>
          <w:i/>
          <w:color w:val="000000" w:themeColor="text1"/>
          <w:sz w:val="22"/>
          <w:szCs w:val="22"/>
          <w:lang w:eastAsia="ja-JP"/>
        </w:rPr>
        <w:t>m/z</w:t>
      </w:r>
      <w:r w:rsidR="00E049CB" w:rsidRPr="005E6B7C">
        <w:rPr>
          <w:rFonts w:asciiTheme="majorHAnsi" w:eastAsia="Yu Mincho" w:hAnsiTheme="majorHAnsi" w:cstheme="majorHAnsi"/>
          <w:color w:val="000000" w:themeColor="text1"/>
          <w:sz w:val="22"/>
          <w:szCs w:val="22"/>
          <w:lang w:eastAsia="ja-JP"/>
        </w:rPr>
        <w:t xml:space="preserve"> 557.3840 [M + Na]</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(calcd. for [C</w:t>
      </w:r>
      <w:r w:rsidR="00E049CB" w:rsidRPr="005E6B7C">
        <w:rPr>
          <w:rFonts w:asciiTheme="majorHAnsi" w:eastAsia="Yu Mincho" w:hAnsiTheme="majorHAnsi" w:cstheme="majorHAnsi"/>
          <w:color w:val="000000" w:themeColor="text1"/>
          <w:sz w:val="22"/>
          <w:szCs w:val="22"/>
          <w:vertAlign w:val="subscript"/>
          <w:lang w:eastAsia="ja-JP"/>
        </w:rPr>
        <w:t>32</w:t>
      </w:r>
      <w:r w:rsidR="00E049CB" w:rsidRPr="005E6B7C">
        <w:rPr>
          <w:rFonts w:asciiTheme="majorHAnsi" w:eastAsia="Yu Mincho" w:hAnsiTheme="majorHAnsi" w:cstheme="majorHAnsi"/>
          <w:color w:val="000000" w:themeColor="text1"/>
          <w:sz w:val="22"/>
          <w:szCs w:val="22"/>
          <w:lang w:eastAsia="ja-JP"/>
        </w:rPr>
        <w:t>H</w:t>
      </w:r>
      <w:r w:rsidR="00E049CB" w:rsidRPr="005E6B7C">
        <w:rPr>
          <w:rFonts w:asciiTheme="majorHAnsi" w:eastAsia="Yu Mincho" w:hAnsiTheme="majorHAnsi" w:cstheme="majorHAnsi"/>
          <w:color w:val="000000" w:themeColor="text1"/>
          <w:sz w:val="22"/>
          <w:szCs w:val="22"/>
          <w:vertAlign w:val="subscript"/>
          <w:lang w:eastAsia="ja-JP"/>
        </w:rPr>
        <w:t>54</w:t>
      </w:r>
      <w:r w:rsidR="00E049CB" w:rsidRPr="005E6B7C">
        <w:rPr>
          <w:rFonts w:asciiTheme="majorHAnsi" w:eastAsia="Yu Mincho" w:hAnsiTheme="majorHAnsi" w:cstheme="majorHAnsi"/>
          <w:color w:val="000000" w:themeColor="text1"/>
          <w:sz w:val="22"/>
          <w:szCs w:val="22"/>
          <w:lang w:eastAsia="ja-JP"/>
        </w:rPr>
        <w:t>NaO</w:t>
      </w:r>
      <w:r w:rsidR="00E049CB" w:rsidRPr="005E6B7C">
        <w:rPr>
          <w:rFonts w:asciiTheme="majorHAnsi" w:eastAsia="Yu Mincho" w:hAnsiTheme="majorHAnsi" w:cstheme="majorHAnsi"/>
          <w:color w:val="000000" w:themeColor="text1"/>
          <w:sz w:val="22"/>
          <w:szCs w:val="22"/>
          <w:vertAlign w:val="subscript"/>
          <w:lang w:eastAsia="ja-JP"/>
        </w:rPr>
        <w:t>6</w:t>
      </w:r>
      <w:r w:rsidR="00E049CB" w:rsidRPr="005E6B7C">
        <w:rPr>
          <w:rFonts w:asciiTheme="majorHAnsi" w:eastAsia="Yu Mincho" w:hAnsiTheme="majorHAnsi" w:cstheme="majorHAnsi"/>
          <w:color w:val="000000" w:themeColor="text1"/>
          <w:sz w:val="22"/>
          <w:szCs w:val="22"/>
          <w:lang w:eastAsia="ja-JP"/>
        </w:rPr>
        <w:t>]</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557.3835); </w:t>
      </w:r>
      <w:r w:rsidR="00E049CB" w:rsidRPr="005E6B7C">
        <w:rPr>
          <w:rFonts w:asciiTheme="majorHAnsi" w:eastAsia="Yu Mincho" w:hAnsiTheme="majorHAnsi" w:cstheme="majorHAnsi"/>
          <w:color w:val="000000" w:themeColor="text1"/>
          <w:sz w:val="22"/>
          <w:szCs w:val="22"/>
          <w:vertAlign w:val="superscript"/>
          <w:lang w:eastAsia="ja-JP"/>
        </w:rPr>
        <w:t>1</w:t>
      </w:r>
      <w:r w:rsidR="00E049CB" w:rsidRPr="005E6B7C">
        <w:rPr>
          <w:rFonts w:asciiTheme="majorHAnsi" w:eastAsia="Yu Mincho" w:hAnsiTheme="majorHAnsi" w:cstheme="majorHAnsi"/>
          <w:color w:val="000000" w:themeColor="text1"/>
          <w:sz w:val="22"/>
          <w:szCs w:val="22"/>
          <w:lang w:eastAsia="ja-JP"/>
        </w:rPr>
        <w:t>H (600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and </w:t>
      </w:r>
      <w:r w:rsidR="00E049CB" w:rsidRPr="005E6B7C">
        <w:rPr>
          <w:rFonts w:asciiTheme="majorHAnsi" w:eastAsia="Yu Mincho" w:hAnsiTheme="majorHAnsi" w:cstheme="majorHAnsi"/>
          <w:color w:val="000000" w:themeColor="text1"/>
          <w:sz w:val="22"/>
          <w:szCs w:val="22"/>
          <w:vertAlign w:val="superscript"/>
          <w:lang w:eastAsia="ja-JP"/>
        </w:rPr>
        <w:t>13</w:t>
      </w:r>
      <w:r w:rsidR="00E049CB" w:rsidRPr="005E6B7C">
        <w:rPr>
          <w:rFonts w:asciiTheme="majorHAnsi" w:eastAsia="Yu Mincho" w:hAnsiTheme="majorHAnsi" w:cstheme="majorHAnsi"/>
          <w:color w:val="000000" w:themeColor="text1"/>
          <w:sz w:val="22"/>
          <w:szCs w:val="22"/>
          <w:lang w:eastAsia="ja-JP"/>
        </w:rPr>
        <w:t>C NMR (150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spectroscopic data, see Table 1.</w:t>
      </w:r>
    </w:p>
    <w:p w14:paraId="5D4E8D96" w14:textId="4FB89391"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21-O-Methyltoosendanpentol (2):</w:t>
      </w:r>
      <w:r w:rsidRPr="005E6B7C">
        <w:rPr>
          <w:rFonts w:asciiTheme="majorHAnsi" w:eastAsia="Yu Mincho" w:hAnsiTheme="majorHAnsi" w:cstheme="majorHAnsi"/>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 xml:space="preserve">White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23</m:t>
            </m:r>
          </m:sup>
        </m:sSubSup>
      </m:oMath>
      <w:r w:rsidR="00E049CB" w:rsidRPr="005E6B7C">
        <w:rPr>
          <w:rFonts w:asciiTheme="majorHAnsi" w:eastAsia="Yu Mincho" w:hAnsiTheme="majorHAnsi" w:cstheme="majorHAnsi"/>
          <w:noProof/>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−41.4 (</w:t>
      </w:r>
      <w:r w:rsidR="00E049CB" w:rsidRPr="005E6B7C">
        <w:rPr>
          <w:rFonts w:asciiTheme="majorHAnsi" w:eastAsia="Yu Mincho" w:hAnsiTheme="majorHAnsi" w:cstheme="majorHAnsi"/>
          <w:i/>
          <w:color w:val="000000" w:themeColor="text1"/>
          <w:sz w:val="22"/>
          <w:szCs w:val="22"/>
          <w:lang w:eastAsia="ja-JP"/>
        </w:rPr>
        <w:t>c</w:t>
      </w:r>
      <w:r w:rsidR="00E049CB" w:rsidRPr="005E6B7C">
        <w:rPr>
          <w:rFonts w:asciiTheme="majorHAnsi" w:eastAsia="Yu Mincho" w:hAnsiTheme="majorHAnsi" w:cstheme="majorHAnsi"/>
          <w:color w:val="000000" w:themeColor="text1"/>
          <w:sz w:val="22"/>
          <w:szCs w:val="22"/>
          <w:lang w:eastAsia="ja-JP"/>
        </w:rPr>
        <w:t xml:space="preserve"> 0.1, CHCl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HRESIMS </w:t>
      </w:r>
      <w:r w:rsidR="00E049CB" w:rsidRPr="005E6B7C">
        <w:rPr>
          <w:rFonts w:asciiTheme="majorHAnsi" w:eastAsia="Yu Mincho" w:hAnsiTheme="majorHAnsi" w:cstheme="majorHAnsi"/>
          <w:i/>
          <w:color w:val="000000" w:themeColor="text1"/>
          <w:sz w:val="22"/>
          <w:szCs w:val="22"/>
          <w:lang w:eastAsia="ja-JP"/>
        </w:rPr>
        <w:t>m/z</w:t>
      </w:r>
      <w:r w:rsidR="00E049CB" w:rsidRPr="005E6B7C">
        <w:rPr>
          <w:rFonts w:asciiTheme="majorHAnsi" w:eastAsia="Yu Mincho" w:hAnsiTheme="majorHAnsi" w:cstheme="majorHAnsi"/>
          <w:color w:val="000000" w:themeColor="text1"/>
          <w:sz w:val="22"/>
          <w:szCs w:val="22"/>
          <w:lang w:eastAsia="ja-JP"/>
        </w:rPr>
        <w:t xml:space="preserve"> 543.3679 [M + Na]</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(calcd. for [C</w:t>
      </w:r>
      <w:r w:rsidR="00E049CB" w:rsidRPr="005E6B7C">
        <w:rPr>
          <w:rFonts w:asciiTheme="majorHAnsi" w:eastAsia="Yu Mincho" w:hAnsiTheme="majorHAnsi" w:cstheme="majorHAnsi"/>
          <w:color w:val="000000" w:themeColor="text1"/>
          <w:sz w:val="22"/>
          <w:szCs w:val="22"/>
          <w:vertAlign w:val="subscript"/>
          <w:lang w:eastAsia="ja-JP"/>
        </w:rPr>
        <w:t>31</w:t>
      </w:r>
      <w:r w:rsidR="00E049CB" w:rsidRPr="005E6B7C">
        <w:rPr>
          <w:rFonts w:asciiTheme="majorHAnsi" w:eastAsia="Yu Mincho" w:hAnsiTheme="majorHAnsi" w:cstheme="majorHAnsi"/>
          <w:color w:val="000000" w:themeColor="text1"/>
          <w:sz w:val="22"/>
          <w:szCs w:val="22"/>
          <w:lang w:eastAsia="ja-JP"/>
        </w:rPr>
        <w:t>H</w:t>
      </w:r>
      <w:r w:rsidR="00E049CB" w:rsidRPr="005E6B7C">
        <w:rPr>
          <w:rFonts w:asciiTheme="majorHAnsi" w:eastAsia="Yu Mincho" w:hAnsiTheme="majorHAnsi" w:cstheme="majorHAnsi"/>
          <w:color w:val="000000" w:themeColor="text1"/>
          <w:sz w:val="22"/>
          <w:szCs w:val="22"/>
          <w:vertAlign w:val="subscript"/>
          <w:lang w:eastAsia="ja-JP"/>
        </w:rPr>
        <w:t>52</w:t>
      </w:r>
      <w:r w:rsidR="00E049CB" w:rsidRPr="005E6B7C">
        <w:rPr>
          <w:rFonts w:asciiTheme="majorHAnsi" w:eastAsia="Yu Mincho" w:hAnsiTheme="majorHAnsi" w:cstheme="majorHAnsi"/>
          <w:color w:val="000000" w:themeColor="text1"/>
          <w:sz w:val="22"/>
          <w:szCs w:val="22"/>
          <w:lang w:eastAsia="ja-JP"/>
        </w:rPr>
        <w:t>NaO</w:t>
      </w:r>
      <w:r w:rsidR="00E049CB" w:rsidRPr="005E6B7C">
        <w:rPr>
          <w:rFonts w:asciiTheme="majorHAnsi" w:eastAsia="Yu Mincho" w:hAnsiTheme="majorHAnsi" w:cstheme="majorHAnsi"/>
          <w:color w:val="000000" w:themeColor="text1"/>
          <w:sz w:val="22"/>
          <w:szCs w:val="22"/>
          <w:vertAlign w:val="subscript"/>
          <w:lang w:eastAsia="ja-JP"/>
        </w:rPr>
        <w:t>6</w:t>
      </w:r>
      <w:r w:rsidR="00E049CB" w:rsidRPr="005E6B7C">
        <w:rPr>
          <w:rFonts w:asciiTheme="majorHAnsi" w:eastAsia="Yu Mincho" w:hAnsiTheme="majorHAnsi" w:cstheme="majorHAnsi"/>
          <w:color w:val="000000" w:themeColor="text1"/>
          <w:sz w:val="22"/>
          <w:szCs w:val="22"/>
          <w:lang w:eastAsia="ja-JP"/>
        </w:rPr>
        <w:t>]</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543.3676); </w:t>
      </w:r>
      <w:r w:rsidR="00E049CB" w:rsidRPr="005E6B7C">
        <w:rPr>
          <w:rFonts w:asciiTheme="majorHAnsi" w:eastAsia="Yu Mincho" w:hAnsiTheme="majorHAnsi" w:cstheme="majorHAnsi"/>
          <w:color w:val="000000" w:themeColor="text1"/>
          <w:sz w:val="22"/>
          <w:szCs w:val="22"/>
          <w:vertAlign w:val="superscript"/>
          <w:lang w:eastAsia="ja-JP"/>
        </w:rPr>
        <w:t>1</w:t>
      </w:r>
      <w:r w:rsidR="00E049CB" w:rsidRPr="005E6B7C">
        <w:rPr>
          <w:rFonts w:asciiTheme="majorHAnsi" w:eastAsia="Yu Mincho" w:hAnsiTheme="majorHAnsi" w:cstheme="majorHAnsi"/>
          <w:color w:val="000000" w:themeColor="text1"/>
          <w:sz w:val="22"/>
          <w:szCs w:val="22"/>
          <w:lang w:eastAsia="ja-JP"/>
        </w:rPr>
        <w:t>H (600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and </w:t>
      </w:r>
      <w:r w:rsidR="00E049CB" w:rsidRPr="005E6B7C">
        <w:rPr>
          <w:rFonts w:asciiTheme="majorHAnsi" w:eastAsia="Yu Mincho" w:hAnsiTheme="majorHAnsi" w:cstheme="majorHAnsi"/>
          <w:color w:val="000000" w:themeColor="text1"/>
          <w:sz w:val="22"/>
          <w:szCs w:val="22"/>
          <w:vertAlign w:val="superscript"/>
          <w:lang w:eastAsia="ja-JP"/>
        </w:rPr>
        <w:t>13</w:t>
      </w:r>
      <w:r w:rsidR="00E049CB" w:rsidRPr="005E6B7C">
        <w:rPr>
          <w:rFonts w:asciiTheme="majorHAnsi" w:eastAsia="Yu Mincho" w:hAnsiTheme="majorHAnsi" w:cstheme="majorHAnsi"/>
          <w:color w:val="000000" w:themeColor="text1"/>
          <w:sz w:val="22"/>
          <w:szCs w:val="22"/>
          <w:lang w:eastAsia="ja-JP"/>
        </w:rPr>
        <w:t>C NMR (150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spectroscopic data, see Table 1.</w:t>
      </w:r>
    </w:p>
    <w:p w14:paraId="299AADED" w14:textId="6E8F68A6"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i/>
          <w:color w:val="000000" w:themeColor="text1"/>
          <w:spacing w:val="-4"/>
          <w:sz w:val="22"/>
          <w:szCs w:val="22"/>
          <w:lang w:eastAsia="ja-JP"/>
        </w:rPr>
        <w:t>21α-Methylmelianodiol (3):</w:t>
      </w:r>
      <w:r w:rsidRPr="005E6B7C">
        <w:rPr>
          <w:rFonts w:asciiTheme="majorHAnsi" w:eastAsia="Yu Mincho" w:hAnsiTheme="majorHAnsi" w:cstheme="majorHAnsi"/>
          <w:color w:val="000000" w:themeColor="text1"/>
          <w:spacing w:val="-4"/>
          <w:sz w:val="22"/>
          <w:szCs w:val="22"/>
          <w:lang w:eastAsia="ja-JP"/>
        </w:rPr>
        <w:t xml:space="preserve"> </w:t>
      </w:r>
      <w:r w:rsidR="00E049CB" w:rsidRPr="005E6B7C">
        <w:rPr>
          <w:rFonts w:asciiTheme="majorHAnsi" w:eastAsia="Yu Mincho" w:hAnsiTheme="majorHAnsi" w:cstheme="majorHAnsi"/>
          <w:color w:val="000000" w:themeColor="text1"/>
          <w:spacing w:val="-4"/>
          <w:sz w:val="22"/>
          <w:szCs w:val="22"/>
          <w:lang w:eastAsia="ja-JP"/>
        </w:rPr>
        <w:t xml:space="preserve">White amorphous powder; </w:t>
      </w:r>
      <m:oMath>
        <m:sSubSup>
          <m:sSubSupPr>
            <m:ctrlPr>
              <w:rPr>
                <w:rFonts w:ascii="Cambria Math" w:eastAsia="Yu Mincho" w:hAnsi="Cambria Math" w:cstheme="majorHAnsi"/>
                <w:i/>
                <w:color w:val="000000" w:themeColor="text1"/>
                <w:spacing w:val="-4"/>
                <w:sz w:val="22"/>
                <w:szCs w:val="22"/>
                <w:lang w:val="pt-BR" w:eastAsia="ja-JP"/>
              </w:rPr>
            </m:ctrlPr>
          </m:sSubSupPr>
          <m:e>
            <m:r>
              <m:rPr>
                <m:sty m:val="p"/>
              </m:rPr>
              <w:rPr>
                <w:rFonts w:ascii="Cambria Math" w:eastAsia="Yu Mincho" w:hAnsi="Cambria Math" w:cstheme="majorHAnsi"/>
                <w:color w:val="000000" w:themeColor="text1"/>
                <w:spacing w:val="-4"/>
                <w:sz w:val="22"/>
                <w:szCs w:val="22"/>
                <w:lang w:eastAsia="ja-JP"/>
              </w:rPr>
              <m:t>[</m:t>
            </m:r>
            <m:r>
              <w:rPr>
                <w:rFonts w:ascii="Cambria Math" w:eastAsia="Yu Mincho" w:hAnsi="Cambria Math" w:cstheme="majorHAnsi"/>
                <w:color w:val="000000" w:themeColor="text1"/>
                <w:spacing w:val="-4"/>
                <w:sz w:val="22"/>
                <w:szCs w:val="22"/>
                <w:lang w:val="pt-BR" w:eastAsia="ja-JP"/>
              </w:rPr>
              <m:t>α</m:t>
            </m:r>
            <m:r>
              <m:rPr>
                <m:sty m:val="p"/>
              </m:rPr>
              <w:rPr>
                <w:rFonts w:ascii="Cambria Math" w:eastAsia="Yu Mincho" w:hAnsi="Cambria Math" w:cstheme="majorHAnsi"/>
                <w:color w:val="000000" w:themeColor="text1"/>
                <w:spacing w:val="-4"/>
                <w:sz w:val="22"/>
                <w:szCs w:val="22"/>
                <w:lang w:eastAsia="ja-JP"/>
              </w:rPr>
              <m:t>]</m:t>
            </m:r>
          </m:e>
          <m:sub>
            <m:r>
              <m:rPr>
                <m:sty m:val="p"/>
              </m:rPr>
              <w:rPr>
                <w:rFonts w:ascii="Cambria Math" w:eastAsia="Yu Mincho" w:hAnsi="Cambria Math" w:cstheme="majorHAnsi"/>
                <w:color w:val="000000" w:themeColor="text1"/>
                <w:spacing w:val="-4"/>
                <w:sz w:val="22"/>
                <w:szCs w:val="22"/>
                <w:lang w:eastAsia="ja-JP"/>
              </w:rPr>
              <m:t>D</m:t>
            </m:r>
          </m:sub>
          <m:sup>
            <m:r>
              <w:rPr>
                <w:rFonts w:ascii="Cambria Math" w:eastAsia="Yu Mincho" w:hAnsi="Cambria Math" w:cstheme="majorHAnsi"/>
                <w:color w:val="000000" w:themeColor="text1"/>
                <w:spacing w:val="-4"/>
                <w:sz w:val="22"/>
                <w:szCs w:val="22"/>
                <w:lang w:eastAsia="ja-JP"/>
              </w:rPr>
              <m:t>23</m:t>
            </m:r>
          </m:sup>
        </m:sSubSup>
      </m:oMath>
      <w:r w:rsidR="00E049CB" w:rsidRPr="005E6B7C">
        <w:rPr>
          <w:rFonts w:asciiTheme="majorHAnsi" w:eastAsia="Yu Mincho" w:hAnsiTheme="majorHAnsi" w:cstheme="majorHAnsi"/>
          <w:noProof/>
          <w:color w:val="000000" w:themeColor="text1"/>
          <w:spacing w:val="-4"/>
          <w:sz w:val="22"/>
          <w:szCs w:val="22"/>
          <w:lang w:eastAsia="ja-JP"/>
        </w:rPr>
        <w:t xml:space="preserve">: </w:t>
      </w:r>
      <w:r w:rsidR="00E049CB" w:rsidRPr="005E6B7C">
        <w:rPr>
          <w:rFonts w:asciiTheme="majorHAnsi" w:eastAsia="Yu Mincho" w:hAnsiTheme="majorHAnsi" w:cstheme="majorHAnsi"/>
          <w:color w:val="000000" w:themeColor="text1"/>
          <w:spacing w:val="-4"/>
          <w:sz w:val="22"/>
          <w:szCs w:val="22"/>
          <w:lang w:eastAsia="ja-JP"/>
        </w:rPr>
        <w:t>−89.7 (</w:t>
      </w:r>
      <w:r w:rsidR="00E049CB" w:rsidRPr="005E6B7C">
        <w:rPr>
          <w:rFonts w:asciiTheme="majorHAnsi" w:eastAsia="Yu Mincho" w:hAnsiTheme="majorHAnsi" w:cstheme="majorHAnsi"/>
          <w:i/>
          <w:color w:val="000000" w:themeColor="text1"/>
          <w:spacing w:val="-4"/>
          <w:sz w:val="22"/>
          <w:szCs w:val="22"/>
          <w:lang w:eastAsia="ja-JP"/>
        </w:rPr>
        <w:t>c</w:t>
      </w:r>
      <w:r w:rsidR="00E049CB" w:rsidRPr="005E6B7C">
        <w:rPr>
          <w:rFonts w:asciiTheme="majorHAnsi" w:eastAsia="Yu Mincho" w:hAnsiTheme="majorHAnsi" w:cstheme="majorHAnsi"/>
          <w:color w:val="000000" w:themeColor="text1"/>
          <w:spacing w:val="-4"/>
          <w:sz w:val="22"/>
          <w:szCs w:val="22"/>
          <w:lang w:eastAsia="ja-JP"/>
        </w:rPr>
        <w:t xml:space="preserve"> 0.1, CHCl</w:t>
      </w:r>
      <w:r w:rsidR="00E049CB" w:rsidRPr="005E6B7C">
        <w:rPr>
          <w:rFonts w:asciiTheme="majorHAnsi" w:eastAsia="Yu Mincho" w:hAnsiTheme="majorHAnsi" w:cstheme="majorHAnsi"/>
          <w:color w:val="000000" w:themeColor="text1"/>
          <w:spacing w:val="-4"/>
          <w:sz w:val="22"/>
          <w:szCs w:val="22"/>
          <w:vertAlign w:val="subscript"/>
          <w:lang w:eastAsia="ja-JP"/>
        </w:rPr>
        <w:t>3</w:t>
      </w:r>
      <w:r w:rsidR="00E049CB" w:rsidRPr="005E6B7C">
        <w:rPr>
          <w:rFonts w:asciiTheme="majorHAnsi" w:eastAsia="Yu Mincho" w:hAnsiTheme="majorHAnsi" w:cstheme="majorHAnsi"/>
          <w:color w:val="000000" w:themeColor="text1"/>
          <w:spacing w:val="-4"/>
          <w:sz w:val="22"/>
          <w:szCs w:val="22"/>
          <w:lang w:eastAsia="ja-JP"/>
        </w:rPr>
        <w:t xml:space="preserve">); HRESIMS </w:t>
      </w:r>
      <w:r w:rsidR="00E049CB" w:rsidRPr="005E6B7C">
        <w:rPr>
          <w:rFonts w:asciiTheme="majorHAnsi" w:eastAsia="Yu Mincho" w:hAnsiTheme="majorHAnsi" w:cstheme="majorHAnsi"/>
          <w:i/>
          <w:color w:val="000000" w:themeColor="text1"/>
          <w:spacing w:val="-4"/>
          <w:sz w:val="22"/>
          <w:szCs w:val="22"/>
          <w:lang w:eastAsia="ja-JP"/>
        </w:rPr>
        <w:t>m/z</w:t>
      </w:r>
      <w:r w:rsidR="00E049CB" w:rsidRPr="005E6B7C">
        <w:rPr>
          <w:rFonts w:asciiTheme="majorHAnsi" w:eastAsia="Yu Mincho" w:hAnsiTheme="majorHAnsi" w:cstheme="majorHAnsi"/>
          <w:color w:val="000000" w:themeColor="text1"/>
          <w:spacing w:val="-4"/>
          <w:sz w:val="22"/>
          <w:szCs w:val="22"/>
          <w:lang w:eastAsia="ja-JP"/>
        </w:rPr>
        <w:t xml:space="preserve"> </w:t>
      </w:r>
      <w:r w:rsidR="00E049CB" w:rsidRPr="005E6B7C">
        <w:rPr>
          <w:rFonts w:asciiTheme="majorHAnsi" w:eastAsia="Yu Mincho" w:hAnsiTheme="majorHAnsi" w:cstheme="majorHAnsi"/>
          <w:color w:val="000000" w:themeColor="text1"/>
          <w:spacing w:val="-4"/>
          <w:sz w:val="22"/>
          <w:szCs w:val="22"/>
          <w:lang w:eastAsia="ja-JP"/>
        </w:rPr>
        <w:lastRenderedPageBreak/>
        <w:t>503.3739 [M + H]</w:t>
      </w:r>
      <w:r w:rsidR="00E049CB" w:rsidRPr="005E6B7C">
        <w:rPr>
          <w:rFonts w:asciiTheme="majorHAnsi" w:eastAsia="Yu Mincho" w:hAnsiTheme="majorHAnsi" w:cstheme="majorHAnsi"/>
          <w:color w:val="000000" w:themeColor="text1"/>
          <w:spacing w:val="-4"/>
          <w:sz w:val="22"/>
          <w:szCs w:val="22"/>
          <w:vertAlign w:val="superscript"/>
          <w:lang w:eastAsia="ja-JP"/>
        </w:rPr>
        <w:t>+</w:t>
      </w:r>
      <w:r w:rsidR="00E049CB" w:rsidRPr="005E6B7C">
        <w:rPr>
          <w:rFonts w:asciiTheme="majorHAnsi" w:eastAsia="Yu Mincho" w:hAnsiTheme="majorHAnsi" w:cstheme="majorHAnsi"/>
          <w:color w:val="000000" w:themeColor="text1"/>
          <w:spacing w:val="-4"/>
          <w:sz w:val="22"/>
          <w:szCs w:val="22"/>
          <w:lang w:eastAsia="ja-JP"/>
        </w:rPr>
        <w:t xml:space="preserve"> (calcd. for [C</w:t>
      </w:r>
      <w:r w:rsidR="00E049CB" w:rsidRPr="005E6B7C">
        <w:rPr>
          <w:rFonts w:asciiTheme="majorHAnsi" w:eastAsia="Yu Mincho" w:hAnsiTheme="majorHAnsi" w:cstheme="majorHAnsi"/>
          <w:color w:val="000000" w:themeColor="text1"/>
          <w:spacing w:val="-4"/>
          <w:sz w:val="22"/>
          <w:szCs w:val="22"/>
          <w:vertAlign w:val="subscript"/>
          <w:lang w:eastAsia="ja-JP"/>
        </w:rPr>
        <w:t>31</w:t>
      </w:r>
      <w:r w:rsidR="00E049CB" w:rsidRPr="005E6B7C">
        <w:rPr>
          <w:rFonts w:asciiTheme="majorHAnsi" w:eastAsia="Yu Mincho" w:hAnsiTheme="majorHAnsi" w:cstheme="majorHAnsi"/>
          <w:color w:val="000000" w:themeColor="text1"/>
          <w:spacing w:val="-4"/>
          <w:sz w:val="22"/>
          <w:szCs w:val="22"/>
          <w:lang w:eastAsia="ja-JP"/>
        </w:rPr>
        <w:t>H</w:t>
      </w:r>
      <w:r w:rsidR="00E049CB" w:rsidRPr="005E6B7C">
        <w:rPr>
          <w:rFonts w:asciiTheme="majorHAnsi" w:eastAsia="Yu Mincho" w:hAnsiTheme="majorHAnsi" w:cstheme="majorHAnsi"/>
          <w:color w:val="000000" w:themeColor="text1"/>
          <w:spacing w:val="-4"/>
          <w:sz w:val="22"/>
          <w:szCs w:val="22"/>
          <w:vertAlign w:val="subscript"/>
          <w:lang w:eastAsia="ja-JP"/>
        </w:rPr>
        <w:t>51</w:t>
      </w:r>
      <w:r w:rsidR="00E049CB" w:rsidRPr="005E6B7C">
        <w:rPr>
          <w:rFonts w:asciiTheme="majorHAnsi" w:eastAsia="Yu Mincho" w:hAnsiTheme="majorHAnsi" w:cstheme="majorHAnsi"/>
          <w:color w:val="000000" w:themeColor="text1"/>
          <w:spacing w:val="-4"/>
          <w:sz w:val="22"/>
          <w:szCs w:val="22"/>
          <w:lang w:eastAsia="ja-JP"/>
        </w:rPr>
        <w:t>O</w:t>
      </w:r>
      <w:r w:rsidR="00E049CB" w:rsidRPr="005E6B7C">
        <w:rPr>
          <w:rFonts w:asciiTheme="majorHAnsi" w:eastAsia="Yu Mincho" w:hAnsiTheme="majorHAnsi" w:cstheme="majorHAnsi"/>
          <w:color w:val="000000" w:themeColor="text1"/>
          <w:spacing w:val="-4"/>
          <w:sz w:val="22"/>
          <w:szCs w:val="22"/>
          <w:vertAlign w:val="subscript"/>
          <w:lang w:eastAsia="ja-JP"/>
        </w:rPr>
        <w:t>5</w:t>
      </w:r>
      <w:r w:rsidR="00E049CB" w:rsidRPr="005E6B7C">
        <w:rPr>
          <w:rFonts w:asciiTheme="majorHAnsi" w:eastAsia="Yu Mincho" w:hAnsiTheme="majorHAnsi" w:cstheme="majorHAnsi"/>
          <w:color w:val="000000" w:themeColor="text1"/>
          <w:spacing w:val="-4"/>
          <w:sz w:val="22"/>
          <w:szCs w:val="22"/>
          <w:lang w:eastAsia="ja-JP"/>
        </w:rPr>
        <w:t>]</w:t>
      </w:r>
      <w:r w:rsidR="00E049CB" w:rsidRPr="005E6B7C">
        <w:rPr>
          <w:rFonts w:asciiTheme="majorHAnsi" w:eastAsia="Yu Mincho" w:hAnsiTheme="majorHAnsi" w:cstheme="majorHAnsi"/>
          <w:color w:val="000000" w:themeColor="text1"/>
          <w:spacing w:val="-4"/>
          <w:sz w:val="22"/>
          <w:szCs w:val="22"/>
          <w:vertAlign w:val="superscript"/>
          <w:lang w:eastAsia="ja-JP"/>
        </w:rPr>
        <w:t>+</w:t>
      </w:r>
      <w:r w:rsidR="00E049CB" w:rsidRPr="005E6B7C">
        <w:rPr>
          <w:rFonts w:asciiTheme="majorHAnsi" w:eastAsia="Yu Mincho" w:hAnsiTheme="majorHAnsi" w:cstheme="majorHAnsi"/>
          <w:color w:val="000000" w:themeColor="text1"/>
          <w:spacing w:val="-4"/>
          <w:sz w:val="22"/>
          <w:szCs w:val="22"/>
          <w:lang w:eastAsia="ja-JP"/>
        </w:rPr>
        <w:t xml:space="preserve">, 503.3731); </w:t>
      </w:r>
      <w:r w:rsidR="00E049CB" w:rsidRPr="005E6B7C">
        <w:rPr>
          <w:rFonts w:asciiTheme="majorHAnsi" w:eastAsia="Yu Mincho" w:hAnsiTheme="majorHAnsi" w:cstheme="majorHAnsi"/>
          <w:color w:val="000000" w:themeColor="text1"/>
          <w:spacing w:val="-4"/>
          <w:sz w:val="22"/>
          <w:szCs w:val="22"/>
          <w:vertAlign w:val="superscript"/>
          <w:lang w:eastAsia="ja-JP"/>
        </w:rPr>
        <w:t>1</w:t>
      </w:r>
      <w:r w:rsidR="00E049CB" w:rsidRPr="005E6B7C">
        <w:rPr>
          <w:rFonts w:asciiTheme="majorHAnsi" w:eastAsia="Yu Mincho" w:hAnsiTheme="majorHAnsi" w:cstheme="majorHAnsi"/>
          <w:color w:val="000000" w:themeColor="text1"/>
          <w:spacing w:val="-4"/>
          <w:sz w:val="22"/>
          <w:szCs w:val="22"/>
          <w:lang w:eastAsia="ja-JP"/>
        </w:rPr>
        <w:t>H (600 MHz, CDCl</w:t>
      </w:r>
      <w:r w:rsidR="00E049CB" w:rsidRPr="005E6B7C">
        <w:rPr>
          <w:rFonts w:asciiTheme="majorHAnsi" w:eastAsia="Yu Mincho" w:hAnsiTheme="majorHAnsi" w:cstheme="majorHAnsi"/>
          <w:color w:val="000000" w:themeColor="text1"/>
          <w:spacing w:val="-4"/>
          <w:sz w:val="22"/>
          <w:szCs w:val="22"/>
          <w:vertAlign w:val="subscript"/>
          <w:lang w:eastAsia="ja-JP"/>
        </w:rPr>
        <w:t>3</w:t>
      </w:r>
      <w:r w:rsidR="00E049CB" w:rsidRPr="005E6B7C">
        <w:rPr>
          <w:rFonts w:asciiTheme="majorHAnsi" w:eastAsia="Yu Mincho" w:hAnsiTheme="majorHAnsi" w:cstheme="majorHAnsi"/>
          <w:color w:val="000000" w:themeColor="text1"/>
          <w:spacing w:val="-4"/>
          <w:sz w:val="22"/>
          <w:szCs w:val="22"/>
          <w:lang w:eastAsia="ja-JP"/>
        </w:rPr>
        <w:t xml:space="preserve">) and </w:t>
      </w:r>
      <w:r w:rsidR="00E049CB" w:rsidRPr="005E6B7C">
        <w:rPr>
          <w:rFonts w:asciiTheme="majorHAnsi" w:eastAsia="Yu Mincho" w:hAnsiTheme="majorHAnsi" w:cstheme="majorHAnsi"/>
          <w:color w:val="000000" w:themeColor="text1"/>
          <w:spacing w:val="-4"/>
          <w:sz w:val="22"/>
          <w:szCs w:val="22"/>
          <w:vertAlign w:val="superscript"/>
          <w:lang w:eastAsia="ja-JP"/>
        </w:rPr>
        <w:t>13</w:t>
      </w:r>
      <w:r w:rsidR="00E049CB" w:rsidRPr="005E6B7C">
        <w:rPr>
          <w:rFonts w:asciiTheme="majorHAnsi" w:eastAsia="Yu Mincho" w:hAnsiTheme="majorHAnsi" w:cstheme="majorHAnsi"/>
          <w:color w:val="000000" w:themeColor="text1"/>
          <w:spacing w:val="-4"/>
          <w:sz w:val="22"/>
          <w:szCs w:val="22"/>
          <w:lang w:eastAsia="ja-JP"/>
        </w:rPr>
        <w:t>C NMR (150 MHz, CDCl</w:t>
      </w:r>
      <w:r w:rsidR="00E049CB" w:rsidRPr="005E6B7C">
        <w:rPr>
          <w:rFonts w:asciiTheme="majorHAnsi" w:eastAsia="Yu Mincho" w:hAnsiTheme="majorHAnsi" w:cstheme="majorHAnsi"/>
          <w:color w:val="000000" w:themeColor="text1"/>
          <w:spacing w:val="-4"/>
          <w:sz w:val="22"/>
          <w:szCs w:val="22"/>
          <w:vertAlign w:val="subscript"/>
          <w:lang w:eastAsia="ja-JP"/>
        </w:rPr>
        <w:t>3</w:t>
      </w:r>
      <w:r w:rsidR="00E049CB" w:rsidRPr="005E6B7C">
        <w:rPr>
          <w:rFonts w:asciiTheme="majorHAnsi" w:eastAsia="Yu Mincho" w:hAnsiTheme="majorHAnsi" w:cstheme="majorHAnsi"/>
          <w:color w:val="000000" w:themeColor="text1"/>
          <w:spacing w:val="-4"/>
          <w:sz w:val="22"/>
          <w:szCs w:val="22"/>
          <w:lang w:eastAsia="ja-JP"/>
        </w:rPr>
        <w:t>) spectroscopic data, see Table 2.</w:t>
      </w:r>
    </w:p>
    <w:p w14:paraId="2E0F2F4C" w14:textId="48C883BE"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21S,23R-epoxy-3β,24R-dihydroxy-21β,25-dimethoxy-tirucalla-7-en (4):</w:t>
      </w:r>
      <w:r w:rsidRPr="005E6B7C">
        <w:rPr>
          <w:rFonts w:asciiTheme="majorHAnsi" w:eastAsia="Yu Mincho" w:hAnsiTheme="majorHAnsi" w:cstheme="majorHAnsi"/>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 xml:space="preserve">White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23</m:t>
            </m:r>
          </m:sup>
        </m:sSubSup>
      </m:oMath>
      <w:r w:rsidR="00E049CB" w:rsidRPr="005E6B7C">
        <w:rPr>
          <w:rFonts w:asciiTheme="majorHAnsi" w:eastAsia="Yu Mincho" w:hAnsiTheme="majorHAnsi" w:cstheme="majorHAnsi"/>
          <w:noProof/>
          <w:color w:val="000000" w:themeColor="text1"/>
          <w:sz w:val="22"/>
          <w:szCs w:val="22"/>
          <w:lang w:eastAsia="ja-JP"/>
        </w:rPr>
        <w:t xml:space="preserve">: </w:t>
      </w:r>
      <w:r w:rsidR="00E049CB" w:rsidRPr="005E6B7C">
        <w:rPr>
          <w:rFonts w:asciiTheme="majorHAnsi" w:eastAsia="Yu Mincho" w:hAnsiTheme="majorHAnsi" w:cstheme="majorHAnsi"/>
          <w:color w:val="000000" w:themeColor="text1"/>
          <w:sz w:val="22"/>
          <w:szCs w:val="22"/>
          <w:lang w:eastAsia="ja-JP"/>
        </w:rPr>
        <w:t>+35.0 (</w:t>
      </w:r>
      <w:r w:rsidR="00E049CB" w:rsidRPr="005E6B7C">
        <w:rPr>
          <w:rFonts w:asciiTheme="majorHAnsi" w:eastAsia="Yu Mincho" w:hAnsiTheme="majorHAnsi" w:cstheme="majorHAnsi"/>
          <w:i/>
          <w:color w:val="000000" w:themeColor="text1"/>
          <w:sz w:val="22"/>
          <w:szCs w:val="22"/>
          <w:lang w:eastAsia="ja-JP"/>
        </w:rPr>
        <w:t>c</w:t>
      </w:r>
      <w:r w:rsidR="00E049CB" w:rsidRPr="005E6B7C">
        <w:rPr>
          <w:rFonts w:asciiTheme="majorHAnsi" w:eastAsia="Yu Mincho" w:hAnsiTheme="majorHAnsi" w:cstheme="majorHAnsi"/>
          <w:color w:val="000000" w:themeColor="text1"/>
          <w:sz w:val="22"/>
          <w:szCs w:val="22"/>
          <w:lang w:eastAsia="ja-JP"/>
        </w:rPr>
        <w:t xml:space="preserve"> 0.1, CHCl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HRESIMS </w:t>
      </w:r>
      <w:r w:rsidR="00E049CB" w:rsidRPr="005E6B7C">
        <w:rPr>
          <w:rFonts w:asciiTheme="majorHAnsi" w:eastAsia="Yu Mincho" w:hAnsiTheme="majorHAnsi" w:cstheme="majorHAnsi"/>
          <w:i/>
          <w:color w:val="000000" w:themeColor="text1"/>
          <w:sz w:val="22"/>
          <w:szCs w:val="22"/>
          <w:lang w:eastAsia="ja-JP"/>
        </w:rPr>
        <w:t>m/z</w:t>
      </w:r>
      <w:r w:rsidR="00E049CB" w:rsidRPr="005E6B7C">
        <w:rPr>
          <w:rFonts w:asciiTheme="majorHAnsi" w:eastAsia="Yu Mincho" w:hAnsiTheme="majorHAnsi" w:cstheme="majorHAnsi"/>
          <w:color w:val="000000" w:themeColor="text1"/>
          <w:sz w:val="22"/>
          <w:szCs w:val="22"/>
          <w:lang w:eastAsia="ja-JP"/>
        </w:rPr>
        <w:t xml:space="preserve"> 541.3874 [M + Na]</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(calcd. for [C</w:t>
      </w:r>
      <w:r w:rsidR="00E049CB" w:rsidRPr="005E6B7C">
        <w:rPr>
          <w:rFonts w:asciiTheme="majorHAnsi" w:eastAsia="Yu Mincho" w:hAnsiTheme="majorHAnsi" w:cstheme="majorHAnsi"/>
          <w:color w:val="000000" w:themeColor="text1"/>
          <w:sz w:val="22"/>
          <w:szCs w:val="22"/>
          <w:vertAlign w:val="subscript"/>
          <w:lang w:eastAsia="ja-JP"/>
        </w:rPr>
        <w:t>32</w:t>
      </w:r>
      <w:r w:rsidR="00E049CB" w:rsidRPr="005E6B7C">
        <w:rPr>
          <w:rFonts w:asciiTheme="majorHAnsi" w:eastAsia="Yu Mincho" w:hAnsiTheme="majorHAnsi" w:cstheme="majorHAnsi"/>
          <w:color w:val="000000" w:themeColor="text1"/>
          <w:sz w:val="22"/>
          <w:szCs w:val="22"/>
          <w:lang w:eastAsia="ja-JP"/>
        </w:rPr>
        <w:t>H</w:t>
      </w:r>
      <w:r w:rsidR="00E049CB" w:rsidRPr="005E6B7C">
        <w:rPr>
          <w:rFonts w:asciiTheme="majorHAnsi" w:eastAsia="Yu Mincho" w:hAnsiTheme="majorHAnsi" w:cstheme="majorHAnsi"/>
          <w:color w:val="000000" w:themeColor="text1"/>
          <w:sz w:val="22"/>
          <w:szCs w:val="22"/>
          <w:vertAlign w:val="subscript"/>
          <w:lang w:eastAsia="ja-JP"/>
        </w:rPr>
        <w:t>54</w:t>
      </w:r>
      <w:r w:rsidR="00E049CB" w:rsidRPr="005E6B7C">
        <w:rPr>
          <w:rFonts w:asciiTheme="majorHAnsi" w:eastAsia="Yu Mincho" w:hAnsiTheme="majorHAnsi" w:cstheme="majorHAnsi"/>
          <w:color w:val="000000" w:themeColor="text1"/>
          <w:sz w:val="22"/>
          <w:szCs w:val="22"/>
          <w:lang w:eastAsia="ja-JP"/>
        </w:rPr>
        <w:t>NaO</w:t>
      </w:r>
      <w:r w:rsidR="00E049CB" w:rsidRPr="005E6B7C">
        <w:rPr>
          <w:rFonts w:asciiTheme="majorHAnsi" w:eastAsia="Yu Mincho" w:hAnsiTheme="majorHAnsi" w:cstheme="majorHAnsi"/>
          <w:color w:val="000000" w:themeColor="text1"/>
          <w:sz w:val="22"/>
          <w:szCs w:val="22"/>
          <w:vertAlign w:val="subscript"/>
          <w:lang w:eastAsia="ja-JP"/>
        </w:rPr>
        <w:t>5</w:t>
      </w:r>
      <w:r w:rsidR="00E049CB" w:rsidRPr="005E6B7C">
        <w:rPr>
          <w:rFonts w:asciiTheme="majorHAnsi" w:eastAsia="Yu Mincho" w:hAnsiTheme="majorHAnsi" w:cstheme="majorHAnsi"/>
          <w:color w:val="000000" w:themeColor="text1"/>
          <w:sz w:val="22"/>
          <w:szCs w:val="22"/>
          <w:lang w:eastAsia="ja-JP"/>
        </w:rPr>
        <w:t>]</w:t>
      </w:r>
      <w:r w:rsidR="00E049CB" w:rsidRPr="005E6B7C">
        <w:rPr>
          <w:rFonts w:asciiTheme="majorHAnsi" w:eastAsia="Yu Mincho" w:hAnsiTheme="majorHAnsi" w:cstheme="majorHAnsi"/>
          <w:color w:val="000000" w:themeColor="text1"/>
          <w:sz w:val="22"/>
          <w:szCs w:val="22"/>
          <w:vertAlign w:val="superscript"/>
          <w:lang w:eastAsia="ja-JP"/>
        </w:rPr>
        <w:t>+</w:t>
      </w:r>
      <w:r w:rsidR="00E049CB" w:rsidRPr="005E6B7C">
        <w:rPr>
          <w:rFonts w:asciiTheme="majorHAnsi" w:eastAsia="Yu Mincho" w:hAnsiTheme="majorHAnsi" w:cstheme="majorHAnsi"/>
          <w:color w:val="000000" w:themeColor="text1"/>
          <w:sz w:val="22"/>
          <w:szCs w:val="22"/>
          <w:lang w:eastAsia="ja-JP"/>
        </w:rPr>
        <w:t xml:space="preserve">, 541.3864); </w:t>
      </w:r>
      <w:r w:rsidR="00E049CB" w:rsidRPr="005E6B7C">
        <w:rPr>
          <w:rFonts w:asciiTheme="majorHAnsi" w:eastAsia="Yu Mincho" w:hAnsiTheme="majorHAnsi" w:cstheme="majorHAnsi"/>
          <w:color w:val="000000" w:themeColor="text1"/>
          <w:sz w:val="22"/>
          <w:szCs w:val="22"/>
          <w:vertAlign w:val="superscript"/>
          <w:lang w:eastAsia="ja-JP"/>
        </w:rPr>
        <w:t>1</w:t>
      </w:r>
      <w:r w:rsidR="00E049CB" w:rsidRPr="005E6B7C">
        <w:rPr>
          <w:rFonts w:asciiTheme="majorHAnsi" w:eastAsia="Yu Mincho" w:hAnsiTheme="majorHAnsi" w:cstheme="majorHAnsi"/>
          <w:color w:val="000000" w:themeColor="text1"/>
          <w:sz w:val="22"/>
          <w:szCs w:val="22"/>
          <w:lang w:eastAsia="ja-JP"/>
        </w:rPr>
        <w:t>H (600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xml:space="preserve">) and </w:t>
      </w:r>
      <w:r w:rsidR="00E049CB" w:rsidRPr="005E6B7C">
        <w:rPr>
          <w:rFonts w:asciiTheme="majorHAnsi" w:eastAsia="Yu Mincho" w:hAnsiTheme="majorHAnsi" w:cstheme="majorHAnsi"/>
          <w:color w:val="000000" w:themeColor="text1"/>
          <w:sz w:val="22"/>
          <w:szCs w:val="22"/>
          <w:vertAlign w:val="superscript"/>
          <w:lang w:eastAsia="ja-JP"/>
        </w:rPr>
        <w:t>13</w:t>
      </w:r>
      <w:r w:rsidR="00E049CB" w:rsidRPr="005E6B7C">
        <w:rPr>
          <w:rFonts w:asciiTheme="majorHAnsi" w:eastAsia="Yu Mincho" w:hAnsiTheme="majorHAnsi" w:cstheme="majorHAnsi"/>
          <w:color w:val="000000" w:themeColor="text1"/>
          <w:sz w:val="22"/>
          <w:szCs w:val="22"/>
          <w:lang w:eastAsia="ja-JP"/>
        </w:rPr>
        <w:t>C NMR (150 MHz, CDCl</w:t>
      </w:r>
      <w:r w:rsidR="00E049CB" w:rsidRPr="005E6B7C">
        <w:rPr>
          <w:rFonts w:asciiTheme="majorHAnsi" w:eastAsia="Yu Mincho" w:hAnsiTheme="majorHAnsi" w:cstheme="majorHAnsi"/>
          <w:color w:val="000000" w:themeColor="text1"/>
          <w:sz w:val="22"/>
          <w:szCs w:val="22"/>
          <w:vertAlign w:val="subscript"/>
          <w:lang w:eastAsia="ja-JP"/>
        </w:rPr>
        <w:t>3</w:t>
      </w:r>
      <w:r w:rsidR="00E049CB" w:rsidRPr="005E6B7C">
        <w:rPr>
          <w:rFonts w:asciiTheme="majorHAnsi" w:eastAsia="Yu Mincho" w:hAnsiTheme="majorHAnsi" w:cstheme="majorHAnsi"/>
          <w:color w:val="000000" w:themeColor="text1"/>
          <w:sz w:val="22"/>
          <w:szCs w:val="22"/>
          <w:lang w:eastAsia="ja-JP"/>
        </w:rPr>
        <w:t>) spectroscopic data, see Table 2.</w:t>
      </w:r>
    </w:p>
    <w:p w14:paraId="1796340E" w14:textId="08E138AF"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Odoratone (5):</w:t>
      </w:r>
      <w:r w:rsidRPr="005E6B7C">
        <w:rPr>
          <w:rFonts w:asciiTheme="majorHAnsi" w:eastAsia="Yu Mincho" w:hAnsiTheme="majorHAnsi" w:cstheme="majorHAnsi"/>
          <w:color w:val="000000" w:themeColor="text1"/>
          <w:sz w:val="22"/>
          <w:szCs w:val="22"/>
          <w:lang w:val="pt-BR" w:eastAsia="ja-JP"/>
        </w:rPr>
        <w:t xml:space="preserve"> </w:t>
      </w:r>
      <w:r w:rsidR="00E049CB" w:rsidRPr="005E6B7C">
        <w:rPr>
          <w:rFonts w:asciiTheme="majorHAnsi" w:eastAsia="Yu Mincho" w:hAnsiTheme="majorHAnsi" w:cstheme="majorHAnsi"/>
          <w:color w:val="000000" w:themeColor="text1"/>
          <w:sz w:val="22"/>
          <w:szCs w:val="22"/>
          <w:lang w:val="pt-BR" w:eastAsia="ja-JP"/>
        </w:rPr>
        <w:t xml:space="preserve">Colorless needles;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val="pt-BR"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val="pt-BR" w:eastAsia="ja-JP"/>
              </w:rPr>
              <m:t>]</m:t>
            </m:r>
          </m:e>
          <m:sub>
            <m:r>
              <m:rPr>
                <m:sty m:val="p"/>
              </m:rPr>
              <w:rPr>
                <w:rFonts w:ascii="Cambria Math" w:eastAsia="Yu Mincho" w:hAnsi="Cambria Math" w:cstheme="majorHAnsi"/>
                <w:color w:val="000000" w:themeColor="text1"/>
                <w:sz w:val="22"/>
                <w:szCs w:val="22"/>
                <w:lang w:val="pt-BR" w:eastAsia="ja-JP"/>
              </w:rPr>
              <m:t>D</m:t>
            </m:r>
          </m:sub>
          <m:sup>
            <m:r>
              <w:rPr>
                <w:rFonts w:ascii="Cambria Math" w:eastAsia="Yu Mincho" w:hAnsi="Cambria Math" w:cstheme="majorHAnsi"/>
                <w:color w:val="000000" w:themeColor="text1"/>
                <w:sz w:val="22"/>
                <w:szCs w:val="22"/>
                <w:lang w:val="pt-BR" w:eastAsia="ja-JP"/>
              </w:rPr>
              <m:t>23</m:t>
            </m:r>
          </m:sup>
        </m:sSubSup>
      </m:oMath>
      <w:r w:rsidR="00E049CB" w:rsidRPr="005E6B7C">
        <w:rPr>
          <w:rFonts w:asciiTheme="majorHAnsi" w:eastAsia="Yu Mincho" w:hAnsiTheme="majorHAnsi" w:cstheme="majorHAnsi"/>
          <w:noProof/>
          <w:color w:val="000000" w:themeColor="text1"/>
          <w:sz w:val="22"/>
          <w:szCs w:val="22"/>
          <w:lang w:val="pt-BR" w:eastAsia="ja-JP"/>
        </w:rPr>
        <w:t xml:space="preserve">: </w:t>
      </w:r>
      <w:r w:rsidR="00E049CB" w:rsidRPr="005E6B7C">
        <w:rPr>
          <w:rFonts w:asciiTheme="majorHAnsi" w:eastAsia="Yu Mincho" w:hAnsiTheme="majorHAnsi" w:cstheme="majorHAnsi"/>
          <w:color w:val="000000" w:themeColor="text1"/>
          <w:sz w:val="22"/>
          <w:szCs w:val="22"/>
          <w:lang w:val="pt-BR" w:eastAsia="ja-JP"/>
        </w:rPr>
        <w:t>−41.8 (</w:t>
      </w:r>
      <w:r w:rsidR="00E049CB" w:rsidRPr="005E6B7C">
        <w:rPr>
          <w:rFonts w:asciiTheme="majorHAnsi" w:eastAsia="Yu Mincho" w:hAnsiTheme="majorHAnsi" w:cstheme="majorHAnsi"/>
          <w:i/>
          <w:color w:val="000000" w:themeColor="text1"/>
          <w:sz w:val="22"/>
          <w:szCs w:val="22"/>
          <w:lang w:val="pt-BR" w:eastAsia="ja-JP"/>
        </w:rPr>
        <w:t>c</w:t>
      </w:r>
      <w:r w:rsidR="00E049CB" w:rsidRPr="005E6B7C">
        <w:rPr>
          <w:rFonts w:asciiTheme="majorHAnsi" w:eastAsia="Yu Mincho" w:hAnsiTheme="majorHAnsi" w:cstheme="majorHAnsi"/>
          <w:color w:val="000000" w:themeColor="text1"/>
          <w:sz w:val="22"/>
          <w:szCs w:val="22"/>
          <w:lang w:val="pt-BR" w:eastAsia="ja-JP"/>
        </w:rPr>
        <w:t xml:space="preserve"> 0.1, CHCl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w:t>
      </w:r>
      <w:r w:rsidR="00E049CB" w:rsidRPr="005E6B7C">
        <w:rPr>
          <w:rFonts w:asciiTheme="majorHAnsi" w:eastAsia="Yu Mincho" w:hAnsiTheme="majorHAnsi" w:cstheme="majorHAnsi"/>
          <w:color w:val="000000" w:themeColor="text1"/>
          <w:sz w:val="22"/>
          <w:szCs w:val="22"/>
          <w:vertAlign w:val="superscript"/>
          <w:lang w:val="pt-BR" w:eastAsia="ja-JP"/>
        </w:rPr>
        <w:t>1</w:t>
      </w:r>
      <w:r w:rsidR="00E049CB" w:rsidRPr="005E6B7C">
        <w:rPr>
          <w:rFonts w:asciiTheme="majorHAnsi" w:eastAsia="Yu Mincho" w:hAnsiTheme="majorHAnsi" w:cstheme="majorHAnsi"/>
          <w:color w:val="000000" w:themeColor="text1"/>
          <w:sz w:val="22"/>
          <w:szCs w:val="22"/>
          <w:lang w:val="pt-BR" w:eastAsia="ja-JP"/>
        </w:rPr>
        <w:t>H NMR (CDCl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600 MHz) </w:t>
      </w:r>
      <w:r w:rsidR="00E049CB" w:rsidRPr="005E6B7C">
        <w:rPr>
          <w:rFonts w:asciiTheme="majorHAnsi" w:eastAsia="Yu Mincho" w:hAnsiTheme="majorHAnsi" w:cstheme="majorHAnsi"/>
          <w:i/>
          <w:color w:val="000000" w:themeColor="text1"/>
          <w:sz w:val="22"/>
          <w:szCs w:val="22"/>
          <w:lang w:eastAsia="ja-JP"/>
        </w:rPr>
        <w:t>δ</w:t>
      </w:r>
      <w:r w:rsidR="00E049CB" w:rsidRPr="005E6B7C">
        <w:rPr>
          <w:rFonts w:asciiTheme="majorHAnsi" w:eastAsia="Yu Mincho" w:hAnsiTheme="majorHAnsi" w:cstheme="majorHAnsi"/>
          <w:color w:val="000000" w:themeColor="text1"/>
          <w:sz w:val="22"/>
          <w:szCs w:val="22"/>
          <w:lang w:val="pt-BR" w:eastAsia="ja-JP"/>
        </w:rPr>
        <w:t xml:space="preserve"> (ppm): 1.45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 1.98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 xml:space="preserve">-1), 2.24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14.4, 1.6 Hz,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 xml:space="preserve">-2), 2.75 (1H, ddd,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14.4, 14.4, 5.4 Hz,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 xml:space="preserve">-2), 1.72 (1H, t,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9.0 Hz, H-5), 2.10 (2H, m, H-6), 5.31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6.6, 3.6 Hz, H-7), 2.28 (1H, m, H-9), 1.56 (2H, m, H-11), 1.62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-12), 1.86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-12), 1.50 (2H, m, H-15), 1.37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-16), 2.02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 xml:space="preserve">-16), 1.87 (1H, m, H-17), 0.83 (3H, s, H-18), 1.00 (3H, s, H-19), 1.64 (1H, m, H-20), 0.85 (3H, 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7.2 Hz, H-21), 3.82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6.6, 1.8 Hz, H-22), 3.97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6.0, 5.4 Hz, H-23), 3.66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6.0, 5.4 Hz, H-24), 1.22 (3H, s, H-26), 1.22 (3H, s, H-27), 1.05 (3H, s, H-28), 1.11 (3H, s, H-29), and 1.03 (3H, s, H-30); </w:t>
      </w:r>
      <w:r w:rsidR="00E049CB" w:rsidRPr="005E6B7C">
        <w:rPr>
          <w:rFonts w:asciiTheme="majorHAnsi" w:eastAsia="Yu Mincho" w:hAnsiTheme="majorHAnsi" w:cstheme="majorHAnsi"/>
          <w:color w:val="000000" w:themeColor="text1"/>
          <w:sz w:val="22"/>
          <w:szCs w:val="22"/>
          <w:vertAlign w:val="superscript"/>
          <w:lang w:val="pt-BR" w:eastAsia="ja-JP"/>
        </w:rPr>
        <w:t>13</w:t>
      </w:r>
      <w:r w:rsidR="00E049CB" w:rsidRPr="005E6B7C">
        <w:rPr>
          <w:rFonts w:asciiTheme="majorHAnsi" w:eastAsia="Yu Mincho" w:hAnsiTheme="majorHAnsi" w:cstheme="majorHAnsi"/>
          <w:color w:val="000000" w:themeColor="text1"/>
          <w:sz w:val="22"/>
          <w:szCs w:val="22"/>
          <w:lang w:val="pt-BR" w:eastAsia="ja-JP"/>
        </w:rPr>
        <w:t>C NMR (CDCl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150 MHz) </w:t>
      </w:r>
      <w:r w:rsidR="00E049CB" w:rsidRPr="005E6B7C">
        <w:rPr>
          <w:rFonts w:asciiTheme="majorHAnsi" w:eastAsia="Yu Mincho" w:hAnsiTheme="majorHAnsi" w:cstheme="majorHAnsi"/>
          <w:i/>
          <w:color w:val="000000" w:themeColor="text1"/>
          <w:sz w:val="22"/>
          <w:szCs w:val="22"/>
          <w:lang w:eastAsia="ja-JP"/>
        </w:rPr>
        <w:t>δ</w:t>
      </w:r>
      <w:r w:rsidR="00E049CB" w:rsidRPr="005E6B7C">
        <w:rPr>
          <w:rFonts w:asciiTheme="majorHAnsi" w:eastAsia="Yu Mincho" w:hAnsiTheme="majorHAnsi" w:cstheme="majorHAnsi"/>
          <w:color w:val="000000" w:themeColor="text1"/>
          <w:sz w:val="22"/>
          <w:szCs w:val="22"/>
          <w:lang w:val="pt-BR" w:eastAsia="ja-JP"/>
        </w:rPr>
        <w:t xml:space="preserve"> (ppm): 38.6 (C-1), 35.1 (C-2), 217.1 (C-3), 47.9 (C-4), 52.4 (C-5), 24.4 (C-6), 117.8 (C-7), 146.0 (C-8), 48.6 (C-9), 35.0 (C-10), 18.3 (C-11), 33.6 (C-12), 43.6 (C-13), 51.2 (C-14), 34.1 (C-15), 27.9 (C-16), 49.3 (C-17), 21.9 (C-18), 12.8 (C-19), 37.5 (C-20), 12.4 (C-21), 83.7 (C-22), 72.9 (C-23), 77.4 (C-24), 80.9 (C-25), 27.7 (C-26), 21.3 (C-27), 24.6 (C-28), 21.6 (C-29), and 27.7 (C-30).</w:t>
      </w:r>
    </w:p>
    <w:p w14:paraId="7857AE76" w14:textId="6AE4DA55" w:rsidR="00E049CB" w:rsidRPr="005E6B7C" w:rsidRDefault="00E21A7D"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Cabraleone (6):</w:t>
      </w:r>
      <w:r w:rsidRPr="005E6B7C">
        <w:rPr>
          <w:rFonts w:asciiTheme="majorHAnsi" w:eastAsia="Yu Mincho" w:hAnsiTheme="majorHAnsi" w:cstheme="majorHAnsi"/>
          <w:color w:val="000000" w:themeColor="text1"/>
          <w:sz w:val="22"/>
          <w:szCs w:val="22"/>
          <w:lang w:val="pt-BR" w:eastAsia="ja-JP"/>
        </w:rPr>
        <w:t xml:space="preserve"> </w:t>
      </w:r>
      <w:r w:rsidR="00E049CB" w:rsidRPr="005E6B7C">
        <w:rPr>
          <w:rFonts w:asciiTheme="majorHAnsi" w:eastAsia="Yu Mincho" w:hAnsiTheme="majorHAnsi" w:cstheme="majorHAnsi"/>
          <w:color w:val="000000" w:themeColor="text1"/>
          <w:sz w:val="22"/>
          <w:szCs w:val="22"/>
          <w:lang w:val="pt-BR" w:eastAsia="ja-JP"/>
        </w:rPr>
        <w:t xml:space="preserve">White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val="pt-BR"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val="pt-BR" w:eastAsia="ja-JP"/>
              </w:rPr>
              <m:t>]</m:t>
            </m:r>
          </m:e>
          <m:sub>
            <m:r>
              <m:rPr>
                <m:sty m:val="p"/>
              </m:rPr>
              <w:rPr>
                <w:rFonts w:ascii="Cambria Math" w:eastAsia="Yu Mincho" w:hAnsi="Cambria Math" w:cstheme="majorHAnsi"/>
                <w:color w:val="000000" w:themeColor="text1"/>
                <w:sz w:val="22"/>
                <w:szCs w:val="22"/>
                <w:lang w:val="pt-BR" w:eastAsia="ja-JP"/>
              </w:rPr>
              <m:t>D</m:t>
            </m:r>
          </m:sub>
          <m:sup>
            <m:r>
              <w:rPr>
                <w:rFonts w:ascii="Cambria Math" w:eastAsia="Yu Mincho" w:hAnsi="Cambria Math" w:cstheme="majorHAnsi"/>
                <w:color w:val="000000" w:themeColor="text1"/>
                <w:sz w:val="22"/>
                <w:szCs w:val="22"/>
                <w:lang w:val="pt-BR" w:eastAsia="ja-JP"/>
              </w:rPr>
              <m:t>23</m:t>
            </m:r>
          </m:sup>
        </m:sSubSup>
      </m:oMath>
      <w:r w:rsidR="00E049CB" w:rsidRPr="005E6B7C">
        <w:rPr>
          <w:rFonts w:asciiTheme="majorHAnsi" w:eastAsia="Yu Mincho" w:hAnsiTheme="majorHAnsi" w:cstheme="majorHAnsi"/>
          <w:noProof/>
          <w:color w:val="000000" w:themeColor="text1"/>
          <w:sz w:val="22"/>
          <w:szCs w:val="22"/>
          <w:lang w:val="pt-BR" w:eastAsia="ja-JP"/>
        </w:rPr>
        <w:t>: +</w:t>
      </w:r>
      <w:r w:rsidR="00E049CB" w:rsidRPr="005E6B7C">
        <w:rPr>
          <w:rFonts w:asciiTheme="majorHAnsi" w:eastAsia="Yu Mincho" w:hAnsiTheme="majorHAnsi" w:cstheme="majorHAnsi"/>
          <w:color w:val="000000" w:themeColor="text1"/>
          <w:sz w:val="22"/>
          <w:szCs w:val="22"/>
          <w:lang w:val="pt-BR" w:eastAsia="ja-JP"/>
        </w:rPr>
        <w:t>67.3 (</w:t>
      </w:r>
      <w:r w:rsidR="00E049CB" w:rsidRPr="005E6B7C">
        <w:rPr>
          <w:rFonts w:asciiTheme="majorHAnsi" w:eastAsia="Yu Mincho" w:hAnsiTheme="majorHAnsi" w:cstheme="majorHAnsi"/>
          <w:i/>
          <w:color w:val="000000" w:themeColor="text1"/>
          <w:sz w:val="22"/>
          <w:szCs w:val="22"/>
          <w:lang w:val="pt-BR" w:eastAsia="ja-JP"/>
        </w:rPr>
        <w:t>c</w:t>
      </w:r>
      <w:r w:rsidR="00E049CB" w:rsidRPr="005E6B7C">
        <w:rPr>
          <w:rFonts w:asciiTheme="majorHAnsi" w:eastAsia="Yu Mincho" w:hAnsiTheme="majorHAnsi" w:cstheme="majorHAnsi"/>
          <w:color w:val="000000" w:themeColor="text1"/>
          <w:sz w:val="22"/>
          <w:szCs w:val="22"/>
          <w:lang w:val="pt-BR" w:eastAsia="ja-JP"/>
        </w:rPr>
        <w:t xml:space="preserve"> 0.1, CHCl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w:t>
      </w:r>
      <w:r w:rsidR="00E049CB" w:rsidRPr="005E6B7C">
        <w:rPr>
          <w:rFonts w:asciiTheme="majorHAnsi" w:eastAsia="Yu Mincho" w:hAnsiTheme="majorHAnsi" w:cstheme="majorHAnsi"/>
          <w:color w:val="000000" w:themeColor="text1"/>
          <w:sz w:val="22"/>
          <w:szCs w:val="22"/>
          <w:vertAlign w:val="superscript"/>
          <w:lang w:val="pt-BR" w:eastAsia="ja-JP"/>
        </w:rPr>
        <w:t>1</w:t>
      </w:r>
      <w:r w:rsidR="00E049CB" w:rsidRPr="005E6B7C">
        <w:rPr>
          <w:rFonts w:asciiTheme="majorHAnsi" w:eastAsia="Yu Mincho" w:hAnsiTheme="majorHAnsi" w:cstheme="majorHAnsi"/>
          <w:color w:val="000000" w:themeColor="text1"/>
          <w:sz w:val="22"/>
          <w:szCs w:val="22"/>
          <w:lang w:val="pt-BR" w:eastAsia="ja-JP"/>
        </w:rPr>
        <w:t>H NMR (CDCl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600 MHz) </w:t>
      </w:r>
      <w:r w:rsidR="00E049CB" w:rsidRPr="005E6B7C">
        <w:rPr>
          <w:rFonts w:asciiTheme="majorHAnsi" w:eastAsia="Yu Mincho" w:hAnsiTheme="majorHAnsi" w:cstheme="majorHAnsi"/>
          <w:i/>
          <w:color w:val="000000" w:themeColor="text1"/>
          <w:sz w:val="22"/>
          <w:szCs w:val="22"/>
          <w:lang w:eastAsia="ja-JP"/>
        </w:rPr>
        <w:t>δ</w:t>
      </w:r>
      <w:r w:rsidR="00E049CB" w:rsidRPr="005E6B7C">
        <w:rPr>
          <w:rFonts w:asciiTheme="majorHAnsi" w:eastAsia="Yu Mincho" w:hAnsiTheme="majorHAnsi" w:cstheme="majorHAnsi"/>
          <w:color w:val="000000" w:themeColor="text1"/>
          <w:sz w:val="22"/>
          <w:szCs w:val="22"/>
          <w:lang w:val="pt-BR" w:eastAsia="ja-JP"/>
        </w:rPr>
        <w:t xml:space="preserve"> (ppm): 1.45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 1.92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 2.43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-2), 2.50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 xml:space="preserve">-2), 1.37 (1H, dt,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9.0, 3.0 Hz, H-5), 1.47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-6), 1.55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-6), 1.32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-7), 1.56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-7), 1.43 (1H, m, H-9), 1.25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-11), 1.52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-11), 1.80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-12), 1.88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-12), 1.60 (1H, m, H-13), 1.10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-15), 1.47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-15), 1.25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-16), 1.89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-16), 1.82 (1H, m, H-17), 0.99 (3H, s, H-18), 0.94 (3H, s, H-19), 1.14 (3H, s, H-21), 1.63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-22), 1.72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-22), 1.48 (1H, m, H</w:t>
      </w:r>
      <w:r w:rsidR="00E049CB" w:rsidRPr="005E6B7C">
        <w:rPr>
          <w:rFonts w:asciiTheme="majorHAnsi" w:eastAsia="Yu Mincho" w:hAnsiTheme="majorHAnsi" w:cstheme="majorHAnsi"/>
          <w:color w:val="000000" w:themeColor="text1"/>
          <w:sz w:val="22"/>
          <w:szCs w:val="22"/>
          <w:vertAlign w:val="subscript"/>
          <w:lang w:val="pt-BR" w:eastAsia="ja-JP"/>
        </w:rPr>
        <w:t>a</w:t>
      </w:r>
      <w:r w:rsidR="00E049CB" w:rsidRPr="005E6B7C">
        <w:rPr>
          <w:rFonts w:asciiTheme="majorHAnsi" w:eastAsia="Yu Mincho" w:hAnsiTheme="majorHAnsi" w:cstheme="majorHAnsi"/>
          <w:color w:val="000000" w:themeColor="text1"/>
          <w:sz w:val="22"/>
          <w:szCs w:val="22"/>
          <w:lang w:val="pt-BR" w:eastAsia="ja-JP"/>
        </w:rPr>
        <w:t>-23), 1.78 (1H, m, H</w:t>
      </w:r>
      <w:r w:rsidR="00E049CB" w:rsidRPr="005E6B7C">
        <w:rPr>
          <w:rFonts w:asciiTheme="majorHAnsi" w:eastAsia="Yu Mincho" w:hAnsiTheme="majorHAnsi" w:cstheme="majorHAnsi"/>
          <w:color w:val="000000" w:themeColor="text1"/>
          <w:sz w:val="22"/>
          <w:szCs w:val="22"/>
          <w:vertAlign w:val="subscript"/>
          <w:lang w:val="pt-BR" w:eastAsia="ja-JP"/>
        </w:rPr>
        <w:t>b</w:t>
      </w:r>
      <w:r w:rsidR="00E049CB" w:rsidRPr="005E6B7C">
        <w:rPr>
          <w:rFonts w:asciiTheme="majorHAnsi" w:eastAsia="Yu Mincho" w:hAnsiTheme="majorHAnsi" w:cstheme="majorHAnsi"/>
          <w:color w:val="000000" w:themeColor="text1"/>
          <w:sz w:val="22"/>
          <w:szCs w:val="22"/>
          <w:lang w:val="pt-BR" w:eastAsia="ja-JP"/>
        </w:rPr>
        <w:t xml:space="preserve">-23), 3.73 (1H, dd, </w:t>
      </w:r>
      <w:r w:rsidR="00E049CB" w:rsidRPr="005E6B7C">
        <w:rPr>
          <w:rFonts w:asciiTheme="majorHAnsi" w:eastAsia="Yu Mincho" w:hAnsiTheme="majorHAnsi" w:cstheme="majorHAnsi"/>
          <w:i/>
          <w:color w:val="000000" w:themeColor="text1"/>
          <w:sz w:val="22"/>
          <w:szCs w:val="22"/>
          <w:lang w:val="pt-BR" w:eastAsia="ja-JP"/>
        </w:rPr>
        <w:t>J</w:t>
      </w:r>
      <w:r w:rsidR="00E049CB" w:rsidRPr="005E6B7C">
        <w:rPr>
          <w:rFonts w:asciiTheme="majorHAnsi" w:eastAsia="Yu Mincho" w:hAnsiTheme="majorHAnsi" w:cstheme="majorHAnsi"/>
          <w:color w:val="000000" w:themeColor="text1"/>
          <w:sz w:val="22"/>
          <w:szCs w:val="22"/>
          <w:lang w:val="pt-BR" w:eastAsia="ja-JP"/>
        </w:rPr>
        <w:t xml:space="preserve"> = 7.8, 7.2 Hz, H-24), 1.21 (3H, s, H-26), 1.12 (3H, s, H-27), 1.08 (3H, s, H-28), 1.04 (3H, s, H-29), and 0.88 (3H, s, H-30); </w:t>
      </w:r>
      <w:r w:rsidR="00E049CB" w:rsidRPr="005E6B7C">
        <w:rPr>
          <w:rFonts w:asciiTheme="majorHAnsi" w:eastAsia="Yu Mincho" w:hAnsiTheme="majorHAnsi" w:cstheme="majorHAnsi"/>
          <w:color w:val="000000" w:themeColor="text1"/>
          <w:sz w:val="22"/>
          <w:szCs w:val="22"/>
          <w:vertAlign w:val="superscript"/>
          <w:lang w:val="pt-BR" w:eastAsia="ja-JP"/>
        </w:rPr>
        <w:t>13</w:t>
      </w:r>
      <w:r w:rsidR="00E049CB" w:rsidRPr="005E6B7C">
        <w:rPr>
          <w:rFonts w:asciiTheme="majorHAnsi" w:eastAsia="Yu Mincho" w:hAnsiTheme="majorHAnsi" w:cstheme="majorHAnsi"/>
          <w:color w:val="000000" w:themeColor="text1"/>
          <w:sz w:val="22"/>
          <w:szCs w:val="22"/>
          <w:lang w:val="pt-BR" w:eastAsia="ja-JP"/>
        </w:rPr>
        <w:t>C NMR (CDCl</w:t>
      </w:r>
      <w:r w:rsidR="00E049CB" w:rsidRPr="005E6B7C">
        <w:rPr>
          <w:rFonts w:asciiTheme="majorHAnsi" w:eastAsia="Yu Mincho" w:hAnsiTheme="majorHAnsi" w:cstheme="majorHAnsi"/>
          <w:color w:val="000000" w:themeColor="text1"/>
          <w:sz w:val="22"/>
          <w:szCs w:val="22"/>
          <w:vertAlign w:val="subscript"/>
          <w:lang w:val="pt-BR" w:eastAsia="ja-JP"/>
        </w:rPr>
        <w:t>3</w:t>
      </w:r>
      <w:r w:rsidR="00E049CB" w:rsidRPr="005E6B7C">
        <w:rPr>
          <w:rFonts w:asciiTheme="majorHAnsi" w:eastAsia="Yu Mincho" w:hAnsiTheme="majorHAnsi" w:cstheme="majorHAnsi"/>
          <w:color w:val="000000" w:themeColor="text1"/>
          <w:sz w:val="22"/>
          <w:szCs w:val="22"/>
          <w:lang w:val="pt-BR" w:eastAsia="ja-JP"/>
        </w:rPr>
        <w:t xml:space="preserve">, 150 MHz) </w:t>
      </w:r>
      <w:r w:rsidR="00E049CB" w:rsidRPr="005E6B7C">
        <w:rPr>
          <w:rFonts w:asciiTheme="majorHAnsi" w:eastAsia="Yu Mincho" w:hAnsiTheme="majorHAnsi" w:cstheme="majorHAnsi"/>
          <w:i/>
          <w:color w:val="000000" w:themeColor="text1"/>
          <w:sz w:val="22"/>
          <w:szCs w:val="22"/>
          <w:lang w:eastAsia="ja-JP"/>
        </w:rPr>
        <w:t>δ</w:t>
      </w:r>
      <w:r w:rsidR="00E049CB" w:rsidRPr="005E6B7C">
        <w:rPr>
          <w:rFonts w:asciiTheme="majorHAnsi" w:eastAsia="Yu Mincho" w:hAnsiTheme="majorHAnsi" w:cstheme="majorHAnsi"/>
          <w:color w:val="000000" w:themeColor="text1"/>
          <w:sz w:val="22"/>
          <w:szCs w:val="22"/>
          <w:lang w:val="pt-BR" w:eastAsia="ja-JP"/>
        </w:rPr>
        <w:t xml:space="preserve"> (ppm): 39.9 (C-1), 34.1 (C-2), 218.1 (C-3), 47.4 (C-4), 55.3 (C-5), 19.7 (C-6), 34.6 (C-7), </w:t>
      </w:r>
      <w:r w:rsidR="00E049CB" w:rsidRPr="005E6B7C">
        <w:rPr>
          <w:rFonts w:asciiTheme="majorHAnsi" w:eastAsia="Yu Mincho" w:hAnsiTheme="majorHAnsi" w:cstheme="majorHAnsi"/>
          <w:color w:val="000000" w:themeColor="text1"/>
          <w:sz w:val="22"/>
          <w:szCs w:val="22"/>
          <w:lang w:val="pt-BR" w:eastAsia="ja-JP"/>
        </w:rPr>
        <w:t>40.3 (C-8), 50.2 (C-9), 36.9 (C-10), 22.1 (C-11), 26.1 (C-12), 43.1 (C-13), 50.1 (C-14), 31.4 (C-15), 27.5 (C-16), 49.5 (C-17), 15.1 (C-18), 16.0 (C-19), 86.3 (C-20), 23.6 (C-21), 35.7 (C-22), 25.7 (C-23), 83.3 (C-24), 71.4 (C-25), 27.4 (C-26), 24.3 (C-27), 26.7 (C-28), 21.0 (C-29), and 16.4 (C-30).</w:t>
      </w:r>
    </w:p>
    <w:p w14:paraId="56CCD99B" w14:textId="77777777"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0BC4E927" w14:textId="752F1C0B" w:rsidR="00E049CB" w:rsidRPr="005E6B7C" w:rsidRDefault="00E049CB"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obtained as a white amorphous powder. Its molecular formula was determined to be C</w:t>
      </w:r>
      <w:r w:rsidRPr="005E6B7C">
        <w:rPr>
          <w:rFonts w:asciiTheme="majorHAnsi" w:eastAsia="Yu Mincho" w:hAnsiTheme="majorHAnsi" w:cstheme="majorHAnsi"/>
          <w:color w:val="000000" w:themeColor="text1"/>
          <w:sz w:val="22"/>
          <w:szCs w:val="22"/>
          <w:vertAlign w:val="subscript"/>
          <w:lang w:eastAsia="ja-JP"/>
        </w:rPr>
        <w:t>32</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54</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corresponding to six degrees of unsaturation, based on its sodium adduct molecular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557.3840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32</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54</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557.3835) in the HRESIMS spectrum.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spectrum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exhibited signals for seven tertiary methyl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0.85, 0.90, 1.05, 1.06, 1.15, and 1.24 (3H, s, for each)], five oxymethine protons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3.40 (1H, br s, H-3), 3.90 (1H, t,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3.0 Hz, H-7), 4.80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3.0 Hz, H-21), 4.21 (1H, ddd,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10.8, 4.8, 2.4 Hz, H-23), and 3.37 (1H, d, </w:t>
      </w:r>
      <w:r w:rsidRPr="005E6B7C">
        <w:rPr>
          <w:rFonts w:asciiTheme="majorHAnsi" w:eastAsia="Yu Mincho" w:hAnsiTheme="majorHAnsi" w:cstheme="majorHAnsi"/>
          <w:i/>
          <w:color w:val="000000" w:themeColor="text1"/>
          <w:sz w:val="22"/>
          <w:szCs w:val="22"/>
          <w:lang w:eastAsia="ja-JP"/>
        </w:rPr>
        <w:t>J</w:t>
      </w:r>
      <w:r w:rsidR="00F70893" w:rsidRPr="005E6B7C">
        <w:rPr>
          <w:rFonts w:asciiTheme="majorHAnsi" w:eastAsia="Yu Mincho" w:hAnsiTheme="majorHAnsi" w:cstheme="majorHAnsi"/>
          <w:color w:val="000000" w:themeColor="text1"/>
          <w:sz w:val="22"/>
          <w:szCs w:val="22"/>
          <w:lang w:eastAsia="ja-JP"/>
        </w:rPr>
        <w:t xml:space="preserve"> = 2.4 Hz, H-24)], two methoxy</w:t>
      </w:r>
      <w:r w:rsidRPr="005E6B7C">
        <w:rPr>
          <w:rFonts w:asciiTheme="majorHAnsi" w:eastAsia="Yu Mincho" w:hAnsiTheme="majorHAnsi" w:cstheme="majorHAnsi"/>
          <w:color w:val="000000" w:themeColor="text1"/>
          <w:sz w:val="22"/>
          <w:szCs w:val="22"/>
          <w:lang w:eastAsia="ja-JP"/>
        </w:rPr>
        <w:t xml:space="preserve">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3.23 and 3.35), and a characteristic olefinic proton signal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5.42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1.8 Hz, H-15). All 32 carbons in the molecular structure were resolved as individual resonances in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spectrum and classified using HSQC spectroscopy as two olefinic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162.4 (C-14) and 119.1 (C-15)], one acetal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109.2 (C-21)], four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color w:val="000000" w:themeColor="text1"/>
          <w:sz w:val="22"/>
          <w:szCs w:val="22"/>
          <w:lang w:eastAsia="ja-JP"/>
        </w:rPr>
        <w:t xml:space="preserve"> quaternary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37.0 (C-4), 44.4 (C-8), 37.7 (C-10), and 47.0 (C-13)], and one oxygen-bearing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color w:val="000000" w:themeColor="text1"/>
          <w:sz w:val="22"/>
          <w:szCs w:val="22"/>
          <w:lang w:eastAsia="ja-JP"/>
        </w:rPr>
        <w:t xml:space="preserve"> quaternary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77.0 (C-25)] (Table 1). All these data, coupled with a literature survey, indicated that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is an apotirucallane-type triterpenoid and shares the same A−D ring framework as cumingianol 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Four rings and one double bond account for five of the six degrees of unsaturation, indicating that the remaining degree of unsaturation must arise from an additional ring. A spin system, CH(17)−CH(20)−CH(21)−CH(24)−CH(23)−CH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(22)−CH(20), determined from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COSY spectrum (Fig. 2), suggested that C-21 is connected to C-20, C-22, and C-23. This connectivity requires the presence of an additional five-membered ring (ring E) attached a</w:t>
      </w:r>
      <w:r w:rsidRPr="005E6B7C">
        <w:rPr>
          <w:rFonts w:asciiTheme="majorHAnsi" w:eastAsia="Yu Mincho" w:hAnsiTheme="majorHAnsi" w:cstheme="majorHAnsi"/>
          <w:color w:val="000000" w:themeColor="text1"/>
          <w:spacing w:val="2"/>
          <w:sz w:val="22"/>
          <w:szCs w:val="22"/>
          <w:lang w:eastAsia="ja-JP"/>
        </w:rPr>
        <w:t>t C-17. This structural feature was confirmed by HMBC correlations of H-21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4.80) with C-17, C-20, C-22, and C-23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C</w:t>
      </w:r>
      <w:r w:rsidRPr="005E6B7C">
        <w:rPr>
          <w:rFonts w:asciiTheme="majorHAnsi" w:eastAsia="Yu Mincho" w:hAnsiTheme="majorHAnsi" w:cstheme="majorHAnsi"/>
          <w:color w:val="000000" w:themeColor="text1"/>
          <w:spacing w:val="2"/>
          <w:sz w:val="22"/>
          <w:szCs w:val="22"/>
          <w:lang w:eastAsia="ja-JP"/>
        </w:rPr>
        <w:t xml:space="preserve"> 57.7, 46.2, 35.5, and 75.1, respectively) as well as correlations of H</w:t>
      </w:r>
      <w:r w:rsidRPr="005E6B7C">
        <w:rPr>
          <w:rFonts w:asciiTheme="majorHAnsi" w:eastAsia="Yu Mincho" w:hAnsiTheme="majorHAnsi" w:cstheme="majorHAnsi"/>
          <w:color w:val="000000" w:themeColor="text1"/>
          <w:spacing w:val="2"/>
          <w:sz w:val="22"/>
          <w:szCs w:val="22"/>
          <w:vertAlign w:val="subscript"/>
          <w:lang w:eastAsia="ja-JP"/>
        </w:rPr>
        <w:t>a</w:t>
      </w:r>
      <w:r w:rsidRPr="005E6B7C">
        <w:rPr>
          <w:rFonts w:asciiTheme="majorHAnsi" w:eastAsia="Yu Mincho" w:hAnsiTheme="majorHAnsi" w:cstheme="majorHAnsi"/>
          <w:color w:val="000000" w:themeColor="text1"/>
          <w:spacing w:val="2"/>
          <w:sz w:val="22"/>
          <w:szCs w:val="22"/>
          <w:lang w:eastAsia="ja-JP"/>
        </w:rPr>
        <w:t>-22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1.60) and H</w:t>
      </w:r>
      <w:r w:rsidRPr="005E6B7C">
        <w:rPr>
          <w:rFonts w:asciiTheme="majorHAnsi" w:eastAsia="Yu Mincho" w:hAnsiTheme="majorHAnsi" w:cstheme="majorHAnsi"/>
          <w:color w:val="000000" w:themeColor="text1"/>
          <w:spacing w:val="2"/>
          <w:sz w:val="22"/>
          <w:szCs w:val="22"/>
          <w:vertAlign w:val="subscript"/>
          <w:lang w:eastAsia="ja-JP"/>
        </w:rPr>
        <w:t>b</w:t>
      </w:r>
      <w:r w:rsidRPr="005E6B7C">
        <w:rPr>
          <w:rFonts w:asciiTheme="majorHAnsi" w:eastAsia="Yu Mincho" w:hAnsiTheme="majorHAnsi" w:cstheme="majorHAnsi"/>
          <w:color w:val="000000" w:themeColor="text1"/>
          <w:spacing w:val="2"/>
          <w:sz w:val="22"/>
          <w:szCs w:val="22"/>
          <w:lang w:eastAsia="ja-JP"/>
        </w:rPr>
        <w:t>-22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1.97) with C-17, C-20, C-23, and C-24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C</w:t>
      </w:r>
      <w:r w:rsidRPr="005E6B7C">
        <w:rPr>
          <w:rFonts w:asciiTheme="majorHAnsi" w:eastAsia="Yu Mincho" w:hAnsiTheme="majorHAnsi" w:cstheme="majorHAnsi"/>
          <w:color w:val="000000" w:themeColor="text1"/>
          <w:spacing w:val="2"/>
          <w:sz w:val="22"/>
          <w:szCs w:val="22"/>
          <w:lang w:eastAsia="ja-JP"/>
        </w:rPr>
        <w:t xml:space="preserve"> 76.3). HMBC correlations from the proton signals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1.15 (H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-26) and 1.24 (H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 xml:space="preserve">-27) to the carbon signals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C</w:t>
      </w:r>
      <w:r w:rsidRPr="005E6B7C">
        <w:rPr>
          <w:rFonts w:asciiTheme="majorHAnsi" w:eastAsia="Yu Mincho" w:hAnsiTheme="majorHAnsi" w:cstheme="majorHAnsi"/>
          <w:color w:val="000000" w:themeColor="text1"/>
          <w:spacing w:val="2"/>
          <w:sz w:val="22"/>
          <w:szCs w:val="22"/>
          <w:lang w:eastAsia="ja-JP"/>
        </w:rPr>
        <w:t xml:space="preserve"> 76.3 (C-24) and 77.0 (C</w:t>
      </w:r>
      <w:r w:rsidR="00F70893" w:rsidRPr="005E6B7C">
        <w:rPr>
          <w:rFonts w:asciiTheme="majorHAnsi" w:eastAsia="Yu Mincho" w:hAnsiTheme="majorHAnsi" w:cstheme="majorHAnsi"/>
          <w:color w:val="000000" w:themeColor="text1"/>
          <w:spacing w:val="2"/>
          <w:sz w:val="22"/>
          <w:szCs w:val="22"/>
          <w:lang w:eastAsia="ja-JP"/>
        </w:rPr>
        <w:t>-25), together with the methoxy</w:t>
      </w:r>
      <w:r w:rsidRPr="005E6B7C">
        <w:rPr>
          <w:rFonts w:asciiTheme="majorHAnsi" w:eastAsia="Yu Mincho" w:hAnsiTheme="majorHAnsi" w:cstheme="majorHAnsi"/>
          <w:color w:val="000000" w:themeColor="text1"/>
          <w:spacing w:val="2"/>
          <w:sz w:val="22"/>
          <w:szCs w:val="22"/>
          <w:lang w:eastAsia="ja-JP"/>
        </w:rPr>
        <w:t xml:space="preserve"> signal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Yu Mincho" w:hAnsiTheme="majorHAnsi" w:cstheme="majorHAnsi"/>
          <w:color w:val="000000" w:themeColor="text1"/>
          <w:spacing w:val="2"/>
          <w:sz w:val="22"/>
          <w:szCs w:val="22"/>
          <w:lang w:eastAsia="ja-JP"/>
        </w:rPr>
        <w:lastRenderedPageBreak/>
        <w:t>3.23) correlating with C-25, supported the p</w:t>
      </w:r>
      <w:r w:rsidR="00F70893" w:rsidRPr="005E6B7C">
        <w:rPr>
          <w:rFonts w:asciiTheme="majorHAnsi" w:eastAsia="Yu Mincho" w:hAnsiTheme="majorHAnsi" w:cstheme="majorHAnsi"/>
          <w:color w:val="000000" w:themeColor="text1"/>
          <w:spacing w:val="2"/>
          <w:sz w:val="22"/>
          <w:szCs w:val="22"/>
          <w:lang w:eastAsia="ja-JP"/>
        </w:rPr>
        <w:t>resence of an isopropyl methoxy</w:t>
      </w:r>
      <w:r w:rsidRPr="005E6B7C">
        <w:rPr>
          <w:rFonts w:asciiTheme="majorHAnsi" w:eastAsia="Yu Mincho" w:hAnsiTheme="majorHAnsi" w:cstheme="majorHAnsi"/>
          <w:color w:val="000000" w:themeColor="text1"/>
          <w:spacing w:val="2"/>
          <w:sz w:val="22"/>
          <w:szCs w:val="22"/>
          <w:lang w:eastAsia="ja-JP"/>
        </w:rPr>
        <w:t xml:space="preserve"> group at C-25. In addition, HMBC cross-peaks between H-21 and C-23, and between a methoxyl signal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3.35) and C-21, indicated a tetrahydr</w:t>
      </w:r>
      <w:r w:rsidR="00F70893" w:rsidRPr="005E6B7C">
        <w:rPr>
          <w:rFonts w:asciiTheme="majorHAnsi" w:eastAsia="Yu Mincho" w:hAnsiTheme="majorHAnsi" w:cstheme="majorHAnsi"/>
          <w:color w:val="000000" w:themeColor="text1"/>
          <w:spacing w:val="2"/>
          <w:sz w:val="22"/>
          <w:szCs w:val="22"/>
          <w:lang w:eastAsia="ja-JP"/>
        </w:rPr>
        <w:t>ofuran moiety bearing a methoxy</w:t>
      </w:r>
      <w:r w:rsidRPr="005E6B7C">
        <w:rPr>
          <w:rFonts w:asciiTheme="majorHAnsi" w:eastAsia="Yu Mincho" w:hAnsiTheme="majorHAnsi" w:cstheme="majorHAnsi"/>
          <w:color w:val="000000" w:themeColor="text1"/>
          <w:spacing w:val="2"/>
          <w:sz w:val="22"/>
          <w:szCs w:val="22"/>
          <w:lang w:eastAsia="ja-JP"/>
        </w:rPr>
        <w:t xml:space="preserve"> group at C-21. Furthermore, HMBC c</w:t>
      </w:r>
      <w:r w:rsidRPr="005E6B7C">
        <w:rPr>
          <w:rFonts w:asciiTheme="majorHAnsi" w:eastAsia="Yu Mincho" w:hAnsiTheme="majorHAnsi" w:cstheme="majorHAnsi"/>
          <w:color w:val="000000" w:themeColor="text1"/>
          <w:spacing w:val="4"/>
          <w:sz w:val="22"/>
          <w:szCs w:val="22"/>
          <w:lang w:eastAsia="ja-JP"/>
        </w:rPr>
        <w:t>orrelations of H</w:t>
      </w:r>
      <w:r w:rsidRPr="005E6B7C">
        <w:rPr>
          <w:rFonts w:asciiTheme="majorHAnsi" w:eastAsia="Yu Mincho" w:hAnsiTheme="majorHAnsi" w:cstheme="majorHAnsi"/>
          <w:color w:val="000000" w:themeColor="text1"/>
          <w:spacing w:val="4"/>
          <w:sz w:val="22"/>
          <w:szCs w:val="22"/>
          <w:vertAlign w:val="subscript"/>
          <w:lang w:eastAsia="ja-JP"/>
        </w:rPr>
        <w:t>3</w:t>
      </w:r>
      <w:r w:rsidRPr="005E6B7C">
        <w:rPr>
          <w:rFonts w:asciiTheme="majorHAnsi" w:eastAsia="Yu Mincho" w:hAnsiTheme="majorHAnsi" w:cstheme="majorHAnsi"/>
          <w:color w:val="000000" w:themeColor="text1"/>
          <w:spacing w:val="4"/>
          <w:sz w:val="22"/>
          <w:szCs w:val="22"/>
          <w:lang w:eastAsia="ja-JP"/>
        </w:rPr>
        <w:t>-28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0.95) with C-3, C-4, C-5, and C-29, and of H</w:t>
      </w:r>
      <w:r w:rsidRPr="005E6B7C">
        <w:rPr>
          <w:rFonts w:asciiTheme="majorHAnsi" w:eastAsia="Yu Mincho" w:hAnsiTheme="majorHAnsi" w:cstheme="majorHAnsi"/>
          <w:color w:val="000000" w:themeColor="text1"/>
          <w:spacing w:val="4"/>
          <w:sz w:val="22"/>
          <w:szCs w:val="22"/>
          <w:vertAlign w:val="subscript"/>
          <w:lang w:eastAsia="ja-JP"/>
        </w:rPr>
        <w:t>3</w:t>
      </w:r>
      <w:r w:rsidRPr="005E6B7C">
        <w:rPr>
          <w:rFonts w:asciiTheme="majorHAnsi" w:eastAsia="Yu Mincho" w:hAnsiTheme="majorHAnsi" w:cstheme="majorHAnsi"/>
          <w:color w:val="000000" w:themeColor="text1"/>
          <w:spacing w:val="4"/>
          <w:sz w:val="22"/>
          <w:szCs w:val="22"/>
          <w:lang w:eastAsia="ja-JP"/>
        </w:rPr>
        <w:t>-30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1.05) with C-7, C-8, C-9, and C-14 were consistent with the presence of OH-3, OH-7, and Δ</w:t>
      </w:r>
      <w:r w:rsidRPr="005E6B7C">
        <w:rPr>
          <w:rFonts w:asciiTheme="majorHAnsi" w:eastAsia="Yu Mincho" w:hAnsiTheme="majorHAnsi" w:cstheme="majorHAnsi"/>
          <w:color w:val="000000" w:themeColor="text1"/>
          <w:spacing w:val="4"/>
          <w:sz w:val="22"/>
          <w:szCs w:val="22"/>
          <w:vertAlign w:val="superscript"/>
          <w:lang w:eastAsia="ja-JP"/>
        </w:rPr>
        <w:t>14,15</w:t>
      </w:r>
      <w:r w:rsidRPr="005E6B7C">
        <w:rPr>
          <w:rFonts w:asciiTheme="majorHAnsi" w:eastAsia="Yu Mincho" w:hAnsiTheme="majorHAnsi" w:cstheme="majorHAnsi"/>
          <w:color w:val="000000" w:themeColor="text1"/>
          <w:spacing w:val="4"/>
          <w:sz w:val="22"/>
          <w:szCs w:val="22"/>
          <w:lang w:eastAsia="ja-JP"/>
        </w:rPr>
        <w:t xml:space="preserve"> substituents, respectively. The hydroxy groups </w:t>
      </w:r>
      <w:r w:rsidRPr="005E6B7C">
        <w:rPr>
          <w:rFonts w:asciiTheme="majorHAnsi" w:eastAsia="Yu Mincho" w:hAnsiTheme="majorHAnsi" w:cstheme="majorHAnsi"/>
          <w:color w:val="000000" w:themeColor="text1"/>
          <w:spacing w:val="-2"/>
          <w:sz w:val="22"/>
          <w:szCs w:val="22"/>
          <w:lang w:eastAsia="ja-JP"/>
        </w:rPr>
        <w:t xml:space="preserve">at C-3 and C-7 were assigned as </w:t>
      </w:r>
      <w:r w:rsidRPr="005E6B7C">
        <w:rPr>
          <w:rFonts w:asciiTheme="majorHAnsi" w:eastAsia="Yu Mincho" w:hAnsiTheme="majorHAnsi" w:cstheme="majorHAnsi"/>
          <w:i/>
          <w:color w:val="000000" w:themeColor="text1"/>
          <w:spacing w:val="-2"/>
          <w:sz w:val="22"/>
          <w:szCs w:val="22"/>
          <w:lang w:eastAsia="ja-JP"/>
        </w:rPr>
        <w:t>α</w:t>
      </w:r>
      <w:r w:rsidRPr="005E6B7C">
        <w:rPr>
          <w:rFonts w:asciiTheme="majorHAnsi" w:eastAsia="Yu Mincho" w:hAnsiTheme="majorHAnsi" w:cstheme="majorHAnsi"/>
          <w:color w:val="000000" w:themeColor="text1"/>
          <w:spacing w:val="-2"/>
          <w:sz w:val="22"/>
          <w:szCs w:val="22"/>
          <w:lang w:eastAsia="ja-JP"/>
        </w:rPr>
        <w:t xml:space="preserve">-oriented </w:t>
      </w:r>
      <w:r w:rsidRPr="005E6B7C">
        <w:rPr>
          <w:rFonts w:asciiTheme="majorHAnsi" w:eastAsia="Yu Mincho" w:hAnsiTheme="majorHAnsi" w:cstheme="majorHAnsi"/>
          <w:color w:val="000000" w:themeColor="text1"/>
          <w:spacing w:val="-2"/>
          <w:sz w:val="22"/>
          <w:szCs w:val="22"/>
          <w:lang w:eastAsia="ja-JP"/>
        </w:rPr>
        <w:t>based on the broad singlet of H-3 and the small coupling constant values of H-7 (</w:t>
      </w:r>
      <w:r w:rsidRPr="005E6B7C">
        <w:rPr>
          <w:rFonts w:asciiTheme="majorHAnsi" w:eastAsia="Yu Mincho" w:hAnsiTheme="majorHAnsi" w:cstheme="majorHAnsi"/>
          <w:i/>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3.0 Hz) </w:t>
      </w:r>
      <w:r w:rsidRPr="005E6B7C">
        <w:rPr>
          <w:rFonts w:asciiTheme="majorHAnsi" w:eastAsia="Yu Mincho" w:hAnsiTheme="majorHAnsi" w:cstheme="majorHAnsi"/>
          <w:color w:val="000000" w:themeColor="text1"/>
          <w:spacing w:val="-2"/>
          <w:sz w:val="22"/>
          <w:szCs w:val="22"/>
          <w:lang w:eastAsia="ja-JP"/>
        </w:rPr>
        <w:fldChar w:fldCharType="begin"/>
      </w:r>
      <w:r w:rsidRPr="005E6B7C">
        <w:rPr>
          <w:rFonts w:asciiTheme="majorHAnsi" w:eastAsia="Yu Mincho" w:hAnsiTheme="majorHAnsi" w:cstheme="majorHAnsi"/>
          <w:color w:val="000000" w:themeColor="text1"/>
          <w:spacing w:val="-2"/>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pacing w:val="-2"/>
          <w:sz w:val="22"/>
          <w:szCs w:val="22"/>
          <w:lang w:eastAsia="ja-JP"/>
        </w:rPr>
        <w:fldChar w:fldCharType="separate"/>
      </w:r>
      <w:r w:rsidRPr="005E6B7C">
        <w:rPr>
          <w:rFonts w:asciiTheme="majorHAnsi" w:eastAsia="Yu Mincho" w:hAnsiTheme="majorHAnsi" w:cstheme="majorHAnsi"/>
          <w:noProof/>
          <w:color w:val="000000" w:themeColor="text1"/>
          <w:spacing w:val="-2"/>
          <w:sz w:val="22"/>
          <w:szCs w:val="22"/>
          <w:lang w:eastAsia="ja-JP"/>
        </w:rPr>
        <w:t>[12]</w:t>
      </w:r>
      <w:r w:rsidRPr="005E6B7C">
        <w:rPr>
          <w:rFonts w:asciiTheme="majorHAnsi" w:eastAsia="Yu Mincho" w:hAnsiTheme="majorHAnsi" w:cstheme="majorHAnsi"/>
          <w:color w:val="000000" w:themeColor="text1"/>
          <w:spacing w:val="-2"/>
          <w:sz w:val="22"/>
          <w:szCs w:val="22"/>
          <w:lang w:eastAsia="ja-JP"/>
        </w:rPr>
        <w:fldChar w:fldCharType="end"/>
      </w:r>
      <w:r w:rsidRPr="005E6B7C">
        <w:rPr>
          <w:rFonts w:asciiTheme="majorHAnsi" w:eastAsia="Yu Mincho" w:hAnsiTheme="majorHAnsi" w:cstheme="majorHAnsi"/>
          <w:color w:val="000000" w:themeColor="text1"/>
          <w:spacing w:val="-2"/>
          <w:sz w:val="22"/>
          <w:szCs w:val="22"/>
          <w:lang w:eastAsia="ja-JP"/>
        </w:rPr>
        <w:t>.</w:t>
      </w:r>
    </w:p>
    <w:p w14:paraId="1C31287B" w14:textId="77777777" w:rsidR="008B0A14" w:rsidRPr="005E6B7C" w:rsidRDefault="008B0A14" w:rsidP="008C0D47">
      <w:pPr>
        <w:tabs>
          <w:tab w:val="left" w:pos="567"/>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24EAA9B6" w14:textId="77777777" w:rsidR="00E049CB" w:rsidRPr="005E6B7C" w:rsidRDefault="00E049CB" w:rsidP="008C0D47">
      <w:pPr>
        <w:widowControl/>
        <w:tabs>
          <w:tab w:val="left" w:pos="270"/>
          <w:tab w:val="left" w:pos="540"/>
          <w:tab w:val="left" w:pos="9270"/>
        </w:tabs>
        <w:ind w:right="-20"/>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rPr>
        <w:drawing>
          <wp:inline distT="0" distB="0" distL="0" distR="0" wp14:anchorId="0B13EA7C" wp14:editId="1617402F">
            <wp:extent cx="2811438" cy="109864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2814617" cy="1099887"/>
                    </a:xfrm>
                    <a:prstGeom prst="rect">
                      <a:avLst/>
                    </a:prstGeom>
                    <a:noFill/>
                    <a:ln>
                      <a:noFill/>
                    </a:ln>
                  </pic:spPr>
                </pic:pic>
              </a:graphicData>
            </a:graphic>
          </wp:inline>
        </w:drawing>
      </w:r>
    </w:p>
    <w:p w14:paraId="597D7957" w14:textId="10DCF300" w:rsidR="0021087C" w:rsidRPr="005E6B7C" w:rsidRDefault="00E049CB" w:rsidP="008C0D47">
      <w:pPr>
        <w:widowControl/>
        <w:tabs>
          <w:tab w:val="left" w:pos="270"/>
          <w:tab w:val="left" w:pos="540"/>
          <w:tab w:val="left" w:pos="9270"/>
        </w:tabs>
        <w:spacing w:before="120" w:after="120"/>
        <w:ind w:right="-20"/>
        <w:jc w:val="center"/>
        <w:rPr>
          <w:rFonts w:asciiTheme="majorHAnsi" w:eastAsia="Yu Mincho" w:hAnsiTheme="majorHAnsi" w:cstheme="majorHAnsi"/>
          <w:color w:val="000000" w:themeColor="text1"/>
          <w:sz w:val="18"/>
          <w:szCs w:val="18"/>
          <w:lang w:eastAsia="ja-JP"/>
        </w:rPr>
        <w:sectPr w:rsidR="0021087C" w:rsidRPr="005E6B7C" w:rsidSect="0021087C">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color w:val="000000" w:themeColor="text1"/>
          <w:sz w:val="18"/>
          <w:szCs w:val="18"/>
          <w:lang w:eastAsia="ja-JP"/>
        </w:rPr>
        <w:t>Fig. 2</w:t>
      </w:r>
      <w:r w:rsidR="00E21A7D" w:rsidRPr="005E6B7C">
        <w:rPr>
          <w:rFonts w:asciiTheme="majorHAnsi" w:eastAsia="Yu Mincho" w:hAnsiTheme="majorHAnsi" w:cstheme="majorHAnsi"/>
          <w:b/>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Key COSY and HMBC correlations of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3</w:t>
      </w:r>
    </w:p>
    <w:p w14:paraId="3DA4F0B9" w14:textId="23E47550" w:rsidR="00E049CB" w:rsidRPr="005E6B7C" w:rsidRDefault="00E049CB" w:rsidP="008C0D47">
      <w:pPr>
        <w:widowControl/>
        <w:tabs>
          <w:tab w:val="left" w:pos="270"/>
          <w:tab w:val="left" w:pos="540"/>
          <w:tab w:val="left" w:pos="9270"/>
        </w:tabs>
        <w:spacing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Table 1. </w:t>
      </w:r>
      <w:r w:rsidRPr="005E6B7C">
        <w:rPr>
          <w:rFonts w:asciiTheme="majorHAnsi" w:eastAsia="Yu Mincho" w:hAnsiTheme="majorHAnsi" w:cstheme="majorHAnsi"/>
          <w:color w:val="000000" w:themeColor="text1"/>
          <w:sz w:val="18"/>
          <w:szCs w:val="18"/>
          <w:lang w:eastAsia="ja-JP"/>
        </w:rPr>
        <w:t xml:space="preserve">NMR spectroscopic data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 xml:space="preserve">2 </w:t>
      </w:r>
      <w:r w:rsidRPr="005E6B7C">
        <w:rPr>
          <w:rFonts w:asciiTheme="majorHAnsi" w:eastAsia="Yu Mincho" w:hAnsiTheme="majorHAnsi" w:cstheme="majorHAnsi"/>
          <w:color w:val="000000" w:themeColor="text1"/>
          <w:sz w:val="18"/>
          <w:szCs w:val="18"/>
          <w:lang w:eastAsia="ja-JP"/>
        </w:rPr>
        <w:t>and the reference compounds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01"/>
        <w:gridCol w:w="986"/>
        <w:gridCol w:w="985"/>
        <w:gridCol w:w="2065"/>
        <w:gridCol w:w="985"/>
        <w:gridCol w:w="985"/>
        <w:gridCol w:w="2065"/>
      </w:tblGrid>
      <w:tr w:rsidR="00E049CB" w:rsidRPr="005E6B7C" w14:paraId="35924DA0" w14:textId="77777777" w:rsidTr="008B0A14">
        <w:trPr>
          <w:jc w:val="center"/>
        </w:trPr>
        <w:tc>
          <w:tcPr>
            <w:tcW w:w="1118" w:type="dxa"/>
            <w:vMerge w:val="restart"/>
            <w:vAlign w:val="center"/>
          </w:tcPr>
          <w:p w14:paraId="7BB3B52E" w14:textId="77777777" w:rsidR="00E049CB" w:rsidRPr="005E6B7C" w:rsidRDefault="00E049CB" w:rsidP="008C0D47">
            <w:pPr>
              <w:widowControl/>
              <w:tabs>
                <w:tab w:val="left" w:pos="270"/>
                <w:tab w:val="left" w:pos="540"/>
                <w:tab w:val="left" w:pos="9270"/>
              </w:tabs>
              <w:snapToGrid w:val="0"/>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No.</w:t>
            </w:r>
          </w:p>
        </w:tc>
        <w:tc>
          <w:tcPr>
            <w:tcW w:w="1102" w:type="dxa"/>
            <w:vMerge w:val="restart"/>
            <w:vAlign w:val="center"/>
          </w:tcPr>
          <w:p w14:paraId="383AACF5"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b/>
                <w:color w:val="000000" w:themeColor="text1"/>
                <w:sz w:val="18"/>
                <w:szCs w:val="18"/>
                <w:lang w:eastAsia="ja-JP"/>
              </w:rPr>
            </w:pPr>
            <w:r w:rsidRPr="005E6B7C">
              <w:rPr>
                <w:rFonts w:asciiTheme="majorHAnsi" w:eastAsia="Batang" w:hAnsiTheme="majorHAnsi" w:cstheme="majorHAnsi"/>
                <w:color w:val="000000" w:themeColor="text1"/>
                <w:kern w:val="2"/>
                <w:sz w:val="18"/>
                <w:szCs w:val="18"/>
                <w:vertAlign w:val="superscript"/>
                <w:lang w:eastAsia="ja-JP"/>
              </w:rPr>
              <w:t>#</w:t>
            </w: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p>
        </w:tc>
        <w:tc>
          <w:tcPr>
            <w:tcW w:w="3448" w:type="dxa"/>
            <w:gridSpan w:val="2"/>
          </w:tcPr>
          <w:p w14:paraId="3E0A0799"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b/>
                <w:color w:val="000000" w:themeColor="text1"/>
                <w:sz w:val="18"/>
                <w:szCs w:val="18"/>
                <w:lang w:eastAsia="ja-JP"/>
              </w:rPr>
            </w:pPr>
            <w:r w:rsidRPr="005E6B7C">
              <w:rPr>
                <w:rFonts w:asciiTheme="majorHAnsi" w:eastAsia="Batang" w:hAnsiTheme="majorHAnsi" w:cstheme="majorHAnsi"/>
                <w:b/>
                <w:color w:val="000000" w:themeColor="text1"/>
                <w:sz w:val="18"/>
                <w:szCs w:val="18"/>
                <w:lang w:eastAsia="ja-JP"/>
              </w:rPr>
              <w:t>1</w:t>
            </w:r>
          </w:p>
        </w:tc>
        <w:tc>
          <w:tcPr>
            <w:tcW w:w="1101" w:type="dxa"/>
            <w:vMerge w:val="restart"/>
            <w:vAlign w:val="center"/>
          </w:tcPr>
          <w:p w14:paraId="21D25532"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sz w:val="18"/>
                <w:szCs w:val="18"/>
                <w:lang w:eastAsia="ja-JP"/>
              </w:rPr>
            </w:pPr>
            <w:r w:rsidRPr="005E6B7C">
              <w:rPr>
                <w:rFonts w:asciiTheme="majorHAnsi" w:eastAsia="Batang" w:hAnsiTheme="majorHAnsi" w:cstheme="majorHAnsi"/>
                <w:color w:val="000000" w:themeColor="text1"/>
                <w:kern w:val="2"/>
                <w:sz w:val="18"/>
                <w:szCs w:val="18"/>
                <w:vertAlign w:val="superscript"/>
                <w:lang w:eastAsia="ja-JP"/>
              </w:rPr>
              <w:t>$</w:t>
            </w: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w:t>
            </w:r>
          </w:p>
        </w:tc>
        <w:tc>
          <w:tcPr>
            <w:tcW w:w="3448" w:type="dxa"/>
            <w:gridSpan w:val="2"/>
          </w:tcPr>
          <w:p w14:paraId="1D1B2620"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sz w:val="18"/>
                <w:szCs w:val="18"/>
                <w:lang w:eastAsia="ja-JP"/>
              </w:rPr>
            </w:pPr>
            <w:r w:rsidRPr="005E6B7C">
              <w:rPr>
                <w:rFonts w:asciiTheme="majorHAnsi" w:eastAsia="Batang" w:hAnsiTheme="majorHAnsi" w:cstheme="majorHAnsi"/>
                <w:b/>
                <w:color w:val="000000" w:themeColor="text1"/>
                <w:sz w:val="18"/>
                <w:szCs w:val="18"/>
                <w:lang w:eastAsia="ja-JP"/>
              </w:rPr>
              <w:t>2</w:t>
            </w:r>
          </w:p>
        </w:tc>
      </w:tr>
      <w:tr w:rsidR="00E049CB" w:rsidRPr="005E6B7C" w14:paraId="355051BB" w14:textId="77777777" w:rsidTr="008B0A14">
        <w:trPr>
          <w:jc w:val="center"/>
        </w:trPr>
        <w:tc>
          <w:tcPr>
            <w:tcW w:w="1118" w:type="dxa"/>
            <w:vMerge/>
          </w:tcPr>
          <w:p w14:paraId="48B8CF36" w14:textId="77777777" w:rsidR="00E049CB" w:rsidRPr="005E6B7C" w:rsidRDefault="00E049CB" w:rsidP="008C0D47">
            <w:pPr>
              <w:widowControl/>
              <w:tabs>
                <w:tab w:val="left" w:pos="270"/>
                <w:tab w:val="left" w:pos="540"/>
                <w:tab w:val="left" w:pos="9270"/>
              </w:tabs>
              <w:snapToGrid w:val="0"/>
              <w:spacing w:line="180" w:lineRule="exact"/>
              <w:ind w:right="-20"/>
              <w:jc w:val="center"/>
              <w:rPr>
                <w:rFonts w:asciiTheme="majorHAnsi" w:eastAsia="Yu Mincho" w:hAnsiTheme="majorHAnsi" w:cstheme="majorHAnsi"/>
                <w:color w:val="000000" w:themeColor="text1"/>
                <w:sz w:val="18"/>
                <w:szCs w:val="18"/>
                <w:lang w:eastAsia="ja-JP"/>
              </w:rPr>
            </w:pPr>
          </w:p>
        </w:tc>
        <w:tc>
          <w:tcPr>
            <w:tcW w:w="1102" w:type="dxa"/>
            <w:vMerge/>
          </w:tcPr>
          <w:p w14:paraId="74F22D85"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p>
        </w:tc>
        <w:tc>
          <w:tcPr>
            <w:tcW w:w="1101" w:type="dxa"/>
          </w:tcPr>
          <w:p w14:paraId="09C93E88"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a,b</w:t>
            </w:r>
          </w:p>
        </w:tc>
        <w:tc>
          <w:tcPr>
            <w:tcW w:w="2347" w:type="dxa"/>
            <w:vAlign w:val="center"/>
          </w:tcPr>
          <w:p w14:paraId="08709A96"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H</w:t>
            </w:r>
            <w:r w:rsidRPr="005E6B7C">
              <w:rPr>
                <w:rFonts w:asciiTheme="majorHAnsi" w:eastAsia="Batang" w:hAnsiTheme="majorHAnsi" w:cstheme="majorHAnsi"/>
                <w:color w:val="000000" w:themeColor="text1"/>
                <w:kern w:val="2"/>
                <w:sz w:val="18"/>
                <w:szCs w:val="18"/>
                <w:vertAlign w:val="superscript"/>
                <w:lang w:eastAsia="ja-JP"/>
              </w:rPr>
              <w:t xml:space="preserve">a,c </w:t>
            </w:r>
            <w:r w:rsidRPr="005E6B7C">
              <w:rPr>
                <w:rFonts w:asciiTheme="majorHAnsi" w:eastAsia="Batang" w:hAnsiTheme="majorHAnsi" w:cstheme="majorHAnsi"/>
                <w:color w:val="000000" w:themeColor="text1"/>
                <w:kern w:val="2"/>
                <w:sz w:val="18"/>
                <w:szCs w:val="18"/>
                <w:lang w:eastAsia="ja-JP"/>
              </w:rPr>
              <w:t>mult. (</w:t>
            </w:r>
            <w:r w:rsidRPr="005E6B7C">
              <w:rPr>
                <w:rFonts w:asciiTheme="majorHAnsi" w:eastAsia="Batang" w:hAnsiTheme="majorHAnsi" w:cstheme="majorHAnsi"/>
                <w:i/>
                <w:color w:val="000000" w:themeColor="text1"/>
                <w:kern w:val="2"/>
                <w:sz w:val="18"/>
                <w:szCs w:val="18"/>
                <w:lang w:eastAsia="ja-JP"/>
              </w:rPr>
              <w:t>J</w:t>
            </w:r>
            <w:r w:rsidRPr="005E6B7C">
              <w:rPr>
                <w:rFonts w:asciiTheme="majorHAnsi" w:eastAsia="Batang" w:hAnsiTheme="majorHAnsi" w:cstheme="majorHAnsi"/>
                <w:color w:val="000000" w:themeColor="text1"/>
                <w:kern w:val="2"/>
                <w:sz w:val="18"/>
                <w:szCs w:val="18"/>
                <w:lang w:eastAsia="ja-JP"/>
              </w:rPr>
              <w:t xml:space="preserve"> in Hz)</w:t>
            </w:r>
          </w:p>
        </w:tc>
        <w:tc>
          <w:tcPr>
            <w:tcW w:w="1101" w:type="dxa"/>
            <w:vMerge/>
          </w:tcPr>
          <w:p w14:paraId="62E7224A"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i/>
                <w:color w:val="000000" w:themeColor="text1"/>
                <w:sz w:val="18"/>
                <w:szCs w:val="18"/>
                <w:lang w:eastAsia="ja-JP"/>
              </w:rPr>
            </w:pPr>
          </w:p>
        </w:tc>
        <w:tc>
          <w:tcPr>
            <w:tcW w:w="1101" w:type="dxa"/>
          </w:tcPr>
          <w:p w14:paraId="581B5AC1"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a,b</w:t>
            </w:r>
          </w:p>
        </w:tc>
        <w:tc>
          <w:tcPr>
            <w:tcW w:w="2347" w:type="dxa"/>
            <w:vAlign w:val="center"/>
          </w:tcPr>
          <w:p w14:paraId="2C759134" w14:textId="77777777" w:rsidR="00E049CB" w:rsidRPr="005E6B7C" w:rsidRDefault="00E049CB" w:rsidP="008C0D47">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H</w:t>
            </w:r>
            <w:r w:rsidRPr="005E6B7C">
              <w:rPr>
                <w:rFonts w:asciiTheme="majorHAnsi" w:eastAsia="Batang" w:hAnsiTheme="majorHAnsi" w:cstheme="majorHAnsi"/>
                <w:color w:val="000000" w:themeColor="text1"/>
                <w:kern w:val="2"/>
                <w:sz w:val="18"/>
                <w:szCs w:val="18"/>
                <w:vertAlign w:val="superscript"/>
                <w:lang w:eastAsia="ja-JP"/>
              </w:rPr>
              <w:t xml:space="preserve">a,c </w:t>
            </w:r>
            <w:r w:rsidRPr="005E6B7C">
              <w:rPr>
                <w:rFonts w:asciiTheme="majorHAnsi" w:eastAsia="Batang" w:hAnsiTheme="majorHAnsi" w:cstheme="majorHAnsi"/>
                <w:color w:val="000000" w:themeColor="text1"/>
                <w:kern w:val="2"/>
                <w:sz w:val="18"/>
                <w:szCs w:val="18"/>
                <w:lang w:eastAsia="ja-JP"/>
              </w:rPr>
              <w:t>mult. (</w:t>
            </w:r>
            <w:r w:rsidRPr="005E6B7C">
              <w:rPr>
                <w:rFonts w:asciiTheme="majorHAnsi" w:eastAsia="Batang" w:hAnsiTheme="majorHAnsi" w:cstheme="majorHAnsi"/>
                <w:i/>
                <w:color w:val="000000" w:themeColor="text1"/>
                <w:kern w:val="2"/>
                <w:sz w:val="18"/>
                <w:szCs w:val="18"/>
                <w:lang w:eastAsia="ja-JP"/>
              </w:rPr>
              <w:t>J</w:t>
            </w:r>
            <w:r w:rsidRPr="005E6B7C">
              <w:rPr>
                <w:rFonts w:asciiTheme="majorHAnsi" w:eastAsia="Batang" w:hAnsiTheme="majorHAnsi" w:cstheme="majorHAnsi"/>
                <w:color w:val="000000" w:themeColor="text1"/>
                <w:kern w:val="2"/>
                <w:sz w:val="18"/>
                <w:szCs w:val="18"/>
                <w:lang w:eastAsia="ja-JP"/>
              </w:rPr>
              <w:t xml:space="preserve"> in Hz)</w:t>
            </w:r>
          </w:p>
        </w:tc>
      </w:tr>
      <w:tr w:rsidR="00E049CB" w:rsidRPr="005E6B7C" w14:paraId="4986F308" w14:textId="77777777" w:rsidTr="008B0A14">
        <w:trPr>
          <w:jc w:val="center"/>
        </w:trPr>
        <w:tc>
          <w:tcPr>
            <w:tcW w:w="1118" w:type="dxa"/>
          </w:tcPr>
          <w:p w14:paraId="655C449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102" w:type="dxa"/>
            <w:vAlign w:val="center"/>
          </w:tcPr>
          <w:p w14:paraId="1FC0C7B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33.3</w:t>
            </w:r>
          </w:p>
        </w:tc>
        <w:tc>
          <w:tcPr>
            <w:tcW w:w="1101" w:type="dxa"/>
            <w:vAlign w:val="center"/>
          </w:tcPr>
          <w:p w14:paraId="41B9EC4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32.6</w:t>
            </w:r>
          </w:p>
        </w:tc>
        <w:tc>
          <w:tcPr>
            <w:tcW w:w="2347" w:type="dxa"/>
            <w:vAlign w:val="center"/>
          </w:tcPr>
          <w:p w14:paraId="14A9455E"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1.33 m/1.38 m</w:t>
            </w:r>
          </w:p>
        </w:tc>
        <w:tc>
          <w:tcPr>
            <w:tcW w:w="1101" w:type="dxa"/>
          </w:tcPr>
          <w:p w14:paraId="3CD6F32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32.8</w:t>
            </w:r>
          </w:p>
        </w:tc>
        <w:tc>
          <w:tcPr>
            <w:tcW w:w="1101" w:type="dxa"/>
            <w:vAlign w:val="center"/>
          </w:tcPr>
          <w:p w14:paraId="1D39F38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32.5</w:t>
            </w:r>
          </w:p>
        </w:tc>
        <w:tc>
          <w:tcPr>
            <w:tcW w:w="2347" w:type="dxa"/>
            <w:vAlign w:val="center"/>
          </w:tcPr>
          <w:p w14:paraId="533F96BF"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1.35 m/1.38 m</w:t>
            </w:r>
          </w:p>
        </w:tc>
      </w:tr>
      <w:tr w:rsidR="00E049CB" w:rsidRPr="005E6B7C" w14:paraId="22F28530" w14:textId="77777777" w:rsidTr="008B0A14">
        <w:trPr>
          <w:jc w:val="center"/>
        </w:trPr>
        <w:tc>
          <w:tcPr>
            <w:tcW w:w="1118" w:type="dxa"/>
          </w:tcPr>
          <w:p w14:paraId="592644F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1102" w:type="dxa"/>
          </w:tcPr>
          <w:p w14:paraId="2C31518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26.1</w:t>
            </w:r>
          </w:p>
        </w:tc>
        <w:tc>
          <w:tcPr>
            <w:tcW w:w="1101" w:type="dxa"/>
          </w:tcPr>
          <w:p w14:paraId="7B11D46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25.0</w:t>
            </w:r>
          </w:p>
        </w:tc>
        <w:tc>
          <w:tcPr>
            <w:tcW w:w="2347" w:type="dxa"/>
          </w:tcPr>
          <w:p w14:paraId="760D5E62"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1.55 m/1.92 m</w:t>
            </w:r>
          </w:p>
        </w:tc>
        <w:tc>
          <w:tcPr>
            <w:tcW w:w="1101" w:type="dxa"/>
          </w:tcPr>
          <w:p w14:paraId="79EACB0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25.0</w:t>
            </w:r>
          </w:p>
        </w:tc>
        <w:tc>
          <w:tcPr>
            <w:tcW w:w="1101" w:type="dxa"/>
          </w:tcPr>
          <w:p w14:paraId="3F7B243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25.0</w:t>
            </w:r>
          </w:p>
        </w:tc>
        <w:tc>
          <w:tcPr>
            <w:tcW w:w="2347" w:type="dxa"/>
          </w:tcPr>
          <w:p w14:paraId="7228D14E"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1.57 m/1.92 m</w:t>
            </w:r>
          </w:p>
        </w:tc>
      </w:tr>
      <w:tr w:rsidR="00E049CB" w:rsidRPr="005E6B7C" w14:paraId="40B5E5C4" w14:textId="77777777" w:rsidTr="008B0A14">
        <w:trPr>
          <w:jc w:val="center"/>
        </w:trPr>
        <w:tc>
          <w:tcPr>
            <w:tcW w:w="1118" w:type="dxa"/>
          </w:tcPr>
          <w:p w14:paraId="4CEC52F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1102" w:type="dxa"/>
          </w:tcPr>
          <w:p w14:paraId="2138718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74.9</w:t>
            </w:r>
          </w:p>
        </w:tc>
        <w:tc>
          <w:tcPr>
            <w:tcW w:w="1101" w:type="dxa"/>
          </w:tcPr>
          <w:p w14:paraId="0D67212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76.2</w:t>
            </w:r>
          </w:p>
        </w:tc>
        <w:tc>
          <w:tcPr>
            <w:tcW w:w="2347" w:type="dxa"/>
          </w:tcPr>
          <w:p w14:paraId="4870A7D8"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3.40 br s</w:t>
            </w:r>
          </w:p>
        </w:tc>
        <w:tc>
          <w:tcPr>
            <w:tcW w:w="1101" w:type="dxa"/>
          </w:tcPr>
          <w:p w14:paraId="24E3E3E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76.2</w:t>
            </w:r>
          </w:p>
        </w:tc>
        <w:tc>
          <w:tcPr>
            <w:tcW w:w="1101" w:type="dxa"/>
          </w:tcPr>
          <w:p w14:paraId="55AB1E5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76.1</w:t>
            </w:r>
          </w:p>
        </w:tc>
        <w:tc>
          <w:tcPr>
            <w:tcW w:w="2347" w:type="dxa"/>
          </w:tcPr>
          <w:p w14:paraId="20B7A80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3.39 br s</w:t>
            </w:r>
          </w:p>
        </w:tc>
      </w:tr>
      <w:tr w:rsidR="00E049CB" w:rsidRPr="005E6B7C" w14:paraId="6DEF2561" w14:textId="77777777" w:rsidTr="008B0A14">
        <w:trPr>
          <w:jc w:val="center"/>
        </w:trPr>
        <w:tc>
          <w:tcPr>
            <w:tcW w:w="1118" w:type="dxa"/>
          </w:tcPr>
          <w:p w14:paraId="1D3C662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102" w:type="dxa"/>
          </w:tcPr>
          <w:p w14:paraId="3127806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37.5</w:t>
            </w:r>
          </w:p>
        </w:tc>
        <w:tc>
          <w:tcPr>
            <w:tcW w:w="1101" w:type="dxa"/>
          </w:tcPr>
          <w:p w14:paraId="53756C3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37.0</w:t>
            </w:r>
          </w:p>
        </w:tc>
        <w:tc>
          <w:tcPr>
            <w:tcW w:w="2347" w:type="dxa"/>
          </w:tcPr>
          <w:p w14:paraId="5AC49B45"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43858F7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37.1</w:t>
            </w:r>
          </w:p>
        </w:tc>
        <w:tc>
          <w:tcPr>
            <w:tcW w:w="1101" w:type="dxa"/>
          </w:tcPr>
          <w:p w14:paraId="75DE9E0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37.0</w:t>
            </w:r>
          </w:p>
        </w:tc>
        <w:tc>
          <w:tcPr>
            <w:tcW w:w="2347" w:type="dxa"/>
          </w:tcPr>
          <w:p w14:paraId="78624B49"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7BBFA234" w14:textId="77777777" w:rsidTr="008B0A14">
        <w:trPr>
          <w:jc w:val="center"/>
        </w:trPr>
        <w:tc>
          <w:tcPr>
            <w:tcW w:w="1118" w:type="dxa"/>
          </w:tcPr>
          <w:p w14:paraId="0A79EFC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102" w:type="dxa"/>
          </w:tcPr>
          <w:p w14:paraId="02F1652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40.6</w:t>
            </w:r>
          </w:p>
        </w:tc>
        <w:tc>
          <w:tcPr>
            <w:tcW w:w="1101" w:type="dxa"/>
          </w:tcPr>
          <w:p w14:paraId="01C2BFF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40.4</w:t>
            </w:r>
          </w:p>
        </w:tc>
        <w:tc>
          <w:tcPr>
            <w:tcW w:w="2347" w:type="dxa"/>
          </w:tcPr>
          <w:p w14:paraId="274C54E9"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1.98 m</w:t>
            </w:r>
          </w:p>
        </w:tc>
        <w:tc>
          <w:tcPr>
            <w:tcW w:w="1101" w:type="dxa"/>
          </w:tcPr>
          <w:p w14:paraId="36622CC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40.5</w:t>
            </w:r>
          </w:p>
        </w:tc>
        <w:tc>
          <w:tcPr>
            <w:tcW w:w="1101" w:type="dxa"/>
          </w:tcPr>
          <w:p w14:paraId="6F5BD09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40.3</w:t>
            </w:r>
          </w:p>
        </w:tc>
        <w:tc>
          <w:tcPr>
            <w:tcW w:w="2347" w:type="dxa"/>
          </w:tcPr>
          <w:p w14:paraId="305D0618"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1.98 m</w:t>
            </w:r>
          </w:p>
        </w:tc>
      </w:tr>
      <w:tr w:rsidR="00E049CB" w:rsidRPr="005E6B7C" w14:paraId="4C8BB332" w14:textId="77777777" w:rsidTr="008B0A14">
        <w:trPr>
          <w:jc w:val="center"/>
        </w:trPr>
        <w:tc>
          <w:tcPr>
            <w:tcW w:w="1118" w:type="dxa"/>
          </w:tcPr>
          <w:p w14:paraId="01BE9CC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102" w:type="dxa"/>
          </w:tcPr>
          <w:p w14:paraId="089149C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25.0</w:t>
            </w:r>
          </w:p>
        </w:tc>
        <w:tc>
          <w:tcPr>
            <w:tcW w:w="1101" w:type="dxa"/>
          </w:tcPr>
          <w:p w14:paraId="48C6FAD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23.7</w:t>
            </w:r>
          </w:p>
        </w:tc>
        <w:tc>
          <w:tcPr>
            <w:tcW w:w="2347" w:type="dxa"/>
          </w:tcPr>
          <w:p w14:paraId="1492858F"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1.71 m</w:t>
            </w:r>
          </w:p>
        </w:tc>
        <w:tc>
          <w:tcPr>
            <w:tcW w:w="1101" w:type="dxa"/>
          </w:tcPr>
          <w:p w14:paraId="541A799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23.7</w:t>
            </w:r>
          </w:p>
        </w:tc>
        <w:tc>
          <w:tcPr>
            <w:tcW w:w="1101" w:type="dxa"/>
          </w:tcPr>
          <w:p w14:paraId="16B884D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23.6</w:t>
            </w:r>
          </w:p>
        </w:tc>
        <w:tc>
          <w:tcPr>
            <w:tcW w:w="2347" w:type="dxa"/>
          </w:tcPr>
          <w:p w14:paraId="3FCD92F6"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1.71 m</w:t>
            </w:r>
          </w:p>
        </w:tc>
      </w:tr>
      <w:tr w:rsidR="00E049CB" w:rsidRPr="005E6B7C" w14:paraId="47852290" w14:textId="77777777" w:rsidTr="008B0A14">
        <w:trPr>
          <w:jc w:val="center"/>
        </w:trPr>
        <w:tc>
          <w:tcPr>
            <w:tcW w:w="1118" w:type="dxa"/>
          </w:tcPr>
          <w:p w14:paraId="2666581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102" w:type="dxa"/>
          </w:tcPr>
          <w:p w14:paraId="3F4F06E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72.5</w:t>
            </w:r>
          </w:p>
        </w:tc>
        <w:tc>
          <w:tcPr>
            <w:tcW w:w="1101" w:type="dxa"/>
          </w:tcPr>
          <w:p w14:paraId="55C9D3B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72.3</w:t>
            </w:r>
          </w:p>
        </w:tc>
        <w:tc>
          <w:tcPr>
            <w:tcW w:w="2347" w:type="dxa"/>
          </w:tcPr>
          <w:p w14:paraId="3ACC0BF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3.90 t (3.0)</w:t>
            </w:r>
          </w:p>
        </w:tc>
        <w:tc>
          <w:tcPr>
            <w:tcW w:w="1101" w:type="dxa"/>
          </w:tcPr>
          <w:p w14:paraId="40F3DF9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72.3</w:t>
            </w:r>
          </w:p>
        </w:tc>
        <w:tc>
          <w:tcPr>
            <w:tcW w:w="1101" w:type="dxa"/>
          </w:tcPr>
          <w:p w14:paraId="66D4998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72.3</w:t>
            </w:r>
          </w:p>
        </w:tc>
        <w:tc>
          <w:tcPr>
            <w:tcW w:w="2347" w:type="dxa"/>
          </w:tcPr>
          <w:p w14:paraId="05131123"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3.91 br s</w:t>
            </w:r>
          </w:p>
        </w:tc>
      </w:tr>
      <w:tr w:rsidR="00E049CB" w:rsidRPr="005E6B7C" w14:paraId="4A721F25" w14:textId="77777777" w:rsidTr="008B0A14">
        <w:trPr>
          <w:jc w:val="center"/>
        </w:trPr>
        <w:tc>
          <w:tcPr>
            <w:tcW w:w="1118" w:type="dxa"/>
          </w:tcPr>
          <w:p w14:paraId="598BC6A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102" w:type="dxa"/>
          </w:tcPr>
          <w:p w14:paraId="6250D46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44.4</w:t>
            </w:r>
          </w:p>
        </w:tc>
        <w:tc>
          <w:tcPr>
            <w:tcW w:w="1101" w:type="dxa"/>
          </w:tcPr>
          <w:p w14:paraId="51F238A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44.4</w:t>
            </w:r>
          </w:p>
        </w:tc>
        <w:tc>
          <w:tcPr>
            <w:tcW w:w="2347" w:type="dxa"/>
          </w:tcPr>
          <w:p w14:paraId="5475584E"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34C9942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44.3</w:t>
            </w:r>
          </w:p>
        </w:tc>
        <w:tc>
          <w:tcPr>
            <w:tcW w:w="1101" w:type="dxa"/>
          </w:tcPr>
          <w:p w14:paraId="3445AAF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44.3</w:t>
            </w:r>
          </w:p>
        </w:tc>
        <w:tc>
          <w:tcPr>
            <w:tcW w:w="2347" w:type="dxa"/>
          </w:tcPr>
          <w:p w14:paraId="6FBD40F6"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08108E93" w14:textId="77777777" w:rsidTr="008B0A14">
        <w:trPr>
          <w:jc w:val="center"/>
        </w:trPr>
        <w:tc>
          <w:tcPr>
            <w:tcW w:w="1118" w:type="dxa"/>
          </w:tcPr>
          <w:p w14:paraId="172198F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1102" w:type="dxa"/>
          </w:tcPr>
          <w:p w14:paraId="7EF73E3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42.0</w:t>
            </w:r>
          </w:p>
        </w:tc>
        <w:tc>
          <w:tcPr>
            <w:tcW w:w="1101" w:type="dxa"/>
          </w:tcPr>
          <w:p w14:paraId="6E1A73B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41.6</w:t>
            </w:r>
          </w:p>
        </w:tc>
        <w:tc>
          <w:tcPr>
            <w:tcW w:w="2347" w:type="dxa"/>
          </w:tcPr>
          <w:p w14:paraId="07D5DBB9"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2.02 dd (12.0, 7.8)</w:t>
            </w:r>
          </w:p>
        </w:tc>
        <w:tc>
          <w:tcPr>
            <w:tcW w:w="1101" w:type="dxa"/>
          </w:tcPr>
          <w:p w14:paraId="325AEA2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41.6</w:t>
            </w:r>
          </w:p>
        </w:tc>
        <w:tc>
          <w:tcPr>
            <w:tcW w:w="1101" w:type="dxa"/>
          </w:tcPr>
          <w:p w14:paraId="64D5988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41.6</w:t>
            </w:r>
          </w:p>
        </w:tc>
        <w:tc>
          <w:tcPr>
            <w:tcW w:w="2347" w:type="dxa"/>
          </w:tcPr>
          <w:p w14:paraId="714891DC"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2.02 dd (11.4, 7.2)</w:t>
            </w:r>
          </w:p>
        </w:tc>
      </w:tr>
      <w:tr w:rsidR="00E049CB" w:rsidRPr="005E6B7C" w14:paraId="55A74C10" w14:textId="77777777" w:rsidTr="008B0A14">
        <w:trPr>
          <w:jc w:val="center"/>
        </w:trPr>
        <w:tc>
          <w:tcPr>
            <w:tcW w:w="1118" w:type="dxa"/>
          </w:tcPr>
          <w:p w14:paraId="7E3A555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1102" w:type="dxa"/>
          </w:tcPr>
          <w:p w14:paraId="1EEA11A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38.0</w:t>
            </w:r>
          </w:p>
        </w:tc>
        <w:tc>
          <w:tcPr>
            <w:tcW w:w="1101" w:type="dxa"/>
          </w:tcPr>
          <w:p w14:paraId="14B3FC2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37.7</w:t>
            </w:r>
          </w:p>
        </w:tc>
        <w:tc>
          <w:tcPr>
            <w:tcW w:w="2347" w:type="dxa"/>
          </w:tcPr>
          <w:p w14:paraId="57DC23E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335A2B5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37.7</w:t>
            </w:r>
          </w:p>
        </w:tc>
        <w:tc>
          <w:tcPr>
            <w:tcW w:w="1101" w:type="dxa"/>
          </w:tcPr>
          <w:p w14:paraId="253C601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37.6</w:t>
            </w:r>
          </w:p>
        </w:tc>
        <w:tc>
          <w:tcPr>
            <w:tcW w:w="2347" w:type="dxa"/>
          </w:tcPr>
          <w:p w14:paraId="183F763A"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1923BECC" w14:textId="77777777" w:rsidTr="008B0A14">
        <w:trPr>
          <w:jc w:val="center"/>
        </w:trPr>
        <w:tc>
          <w:tcPr>
            <w:tcW w:w="1118" w:type="dxa"/>
          </w:tcPr>
          <w:p w14:paraId="0E1DD61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1102" w:type="dxa"/>
          </w:tcPr>
          <w:p w14:paraId="29ABB0E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16.6</w:t>
            </w:r>
          </w:p>
        </w:tc>
        <w:tc>
          <w:tcPr>
            <w:tcW w:w="1101" w:type="dxa"/>
          </w:tcPr>
          <w:p w14:paraId="3AAEB21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w:t>
            </w:r>
          </w:p>
        </w:tc>
        <w:tc>
          <w:tcPr>
            <w:tcW w:w="2347" w:type="dxa"/>
          </w:tcPr>
          <w:p w14:paraId="5AF2CEDB"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1.50 m/1.74 m</w:t>
            </w:r>
          </w:p>
        </w:tc>
        <w:tc>
          <w:tcPr>
            <w:tcW w:w="1101" w:type="dxa"/>
          </w:tcPr>
          <w:p w14:paraId="2FF691B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w:t>
            </w:r>
          </w:p>
        </w:tc>
        <w:tc>
          <w:tcPr>
            <w:tcW w:w="1101" w:type="dxa"/>
          </w:tcPr>
          <w:p w14:paraId="21419B8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w:t>
            </w:r>
          </w:p>
        </w:tc>
        <w:tc>
          <w:tcPr>
            <w:tcW w:w="2347" w:type="dxa"/>
          </w:tcPr>
          <w:p w14:paraId="6CF8A01F"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1.50 m/1.72 m</w:t>
            </w:r>
          </w:p>
        </w:tc>
      </w:tr>
      <w:tr w:rsidR="00E049CB" w:rsidRPr="005E6B7C" w14:paraId="1958D21B" w14:textId="77777777" w:rsidTr="008B0A14">
        <w:trPr>
          <w:jc w:val="center"/>
        </w:trPr>
        <w:tc>
          <w:tcPr>
            <w:tcW w:w="1118" w:type="dxa"/>
          </w:tcPr>
          <w:p w14:paraId="0B5B639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1102" w:type="dxa"/>
          </w:tcPr>
          <w:p w14:paraId="4C0761C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33.3</w:t>
            </w:r>
          </w:p>
        </w:tc>
        <w:tc>
          <w:tcPr>
            <w:tcW w:w="1101" w:type="dxa"/>
          </w:tcPr>
          <w:p w14:paraId="523F00A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32.7</w:t>
            </w:r>
          </w:p>
        </w:tc>
        <w:tc>
          <w:tcPr>
            <w:tcW w:w="2347" w:type="dxa"/>
          </w:tcPr>
          <w:p w14:paraId="5609266A"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1.43 m/1.60 m</w:t>
            </w:r>
          </w:p>
        </w:tc>
        <w:tc>
          <w:tcPr>
            <w:tcW w:w="1101" w:type="dxa"/>
          </w:tcPr>
          <w:p w14:paraId="3813943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32.6</w:t>
            </w:r>
          </w:p>
        </w:tc>
        <w:tc>
          <w:tcPr>
            <w:tcW w:w="1101" w:type="dxa"/>
          </w:tcPr>
          <w:p w14:paraId="622AB8E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32.7</w:t>
            </w:r>
          </w:p>
        </w:tc>
        <w:tc>
          <w:tcPr>
            <w:tcW w:w="2347" w:type="dxa"/>
          </w:tcPr>
          <w:p w14:paraId="1C057B53"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 m/1.79 m</w:t>
            </w:r>
          </w:p>
        </w:tc>
      </w:tr>
      <w:tr w:rsidR="00E049CB" w:rsidRPr="005E6B7C" w14:paraId="6FDA50E7" w14:textId="77777777" w:rsidTr="008B0A14">
        <w:trPr>
          <w:jc w:val="center"/>
        </w:trPr>
        <w:tc>
          <w:tcPr>
            <w:tcW w:w="1118" w:type="dxa"/>
          </w:tcPr>
          <w:p w14:paraId="7F811D1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w:t>
            </w:r>
          </w:p>
        </w:tc>
        <w:tc>
          <w:tcPr>
            <w:tcW w:w="1102" w:type="dxa"/>
          </w:tcPr>
          <w:p w14:paraId="1744E50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47.0</w:t>
            </w:r>
          </w:p>
        </w:tc>
        <w:tc>
          <w:tcPr>
            <w:tcW w:w="1101" w:type="dxa"/>
          </w:tcPr>
          <w:p w14:paraId="4913EF7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47.0</w:t>
            </w:r>
          </w:p>
        </w:tc>
        <w:tc>
          <w:tcPr>
            <w:tcW w:w="2347" w:type="dxa"/>
          </w:tcPr>
          <w:p w14:paraId="1CD6E74D"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7B742F7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46.9</w:t>
            </w:r>
          </w:p>
        </w:tc>
        <w:tc>
          <w:tcPr>
            <w:tcW w:w="1101" w:type="dxa"/>
          </w:tcPr>
          <w:p w14:paraId="334EC94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46.9</w:t>
            </w:r>
          </w:p>
        </w:tc>
        <w:tc>
          <w:tcPr>
            <w:tcW w:w="2347" w:type="dxa"/>
          </w:tcPr>
          <w:p w14:paraId="708D17E3"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0437ACC" w14:textId="77777777" w:rsidTr="008B0A14">
        <w:trPr>
          <w:jc w:val="center"/>
        </w:trPr>
        <w:tc>
          <w:tcPr>
            <w:tcW w:w="1118" w:type="dxa"/>
          </w:tcPr>
          <w:p w14:paraId="255EAE6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w:t>
            </w:r>
          </w:p>
        </w:tc>
        <w:tc>
          <w:tcPr>
            <w:tcW w:w="1102" w:type="dxa"/>
          </w:tcPr>
          <w:p w14:paraId="3C562C7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162.2</w:t>
            </w:r>
          </w:p>
        </w:tc>
        <w:tc>
          <w:tcPr>
            <w:tcW w:w="1101" w:type="dxa"/>
          </w:tcPr>
          <w:p w14:paraId="50F5ADA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162.4</w:t>
            </w:r>
          </w:p>
        </w:tc>
        <w:tc>
          <w:tcPr>
            <w:tcW w:w="2347" w:type="dxa"/>
          </w:tcPr>
          <w:p w14:paraId="7C1384E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13DE9CB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162.4</w:t>
            </w:r>
          </w:p>
        </w:tc>
        <w:tc>
          <w:tcPr>
            <w:tcW w:w="1101" w:type="dxa"/>
          </w:tcPr>
          <w:p w14:paraId="5E2DCEB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162.3</w:t>
            </w:r>
          </w:p>
        </w:tc>
        <w:tc>
          <w:tcPr>
            <w:tcW w:w="2347" w:type="dxa"/>
          </w:tcPr>
          <w:p w14:paraId="1E5F7CCD"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13F35892" w14:textId="77777777" w:rsidTr="008B0A14">
        <w:trPr>
          <w:jc w:val="center"/>
        </w:trPr>
        <w:tc>
          <w:tcPr>
            <w:tcW w:w="1118" w:type="dxa"/>
          </w:tcPr>
          <w:p w14:paraId="47CAB20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w:t>
            </w:r>
          </w:p>
        </w:tc>
        <w:tc>
          <w:tcPr>
            <w:tcW w:w="1102" w:type="dxa"/>
          </w:tcPr>
          <w:p w14:paraId="461CD98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118.7</w:t>
            </w:r>
          </w:p>
        </w:tc>
        <w:tc>
          <w:tcPr>
            <w:tcW w:w="1101" w:type="dxa"/>
          </w:tcPr>
          <w:p w14:paraId="5BD1530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119.1</w:t>
            </w:r>
          </w:p>
        </w:tc>
        <w:tc>
          <w:tcPr>
            <w:tcW w:w="2347" w:type="dxa"/>
          </w:tcPr>
          <w:p w14:paraId="086BF91C"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5.42 d (1.8)</w:t>
            </w:r>
          </w:p>
        </w:tc>
        <w:tc>
          <w:tcPr>
            <w:tcW w:w="1101" w:type="dxa"/>
          </w:tcPr>
          <w:p w14:paraId="3140636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119.2</w:t>
            </w:r>
          </w:p>
        </w:tc>
        <w:tc>
          <w:tcPr>
            <w:tcW w:w="1101" w:type="dxa"/>
          </w:tcPr>
          <w:p w14:paraId="0E32B4D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119.1</w:t>
            </w:r>
          </w:p>
        </w:tc>
        <w:tc>
          <w:tcPr>
            <w:tcW w:w="2347" w:type="dxa"/>
          </w:tcPr>
          <w:p w14:paraId="4A50AC6B"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5.43 br s</w:t>
            </w:r>
          </w:p>
        </w:tc>
      </w:tr>
      <w:tr w:rsidR="00E049CB" w:rsidRPr="005E6B7C" w14:paraId="3233F643" w14:textId="77777777" w:rsidTr="008B0A14">
        <w:trPr>
          <w:jc w:val="center"/>
        </w:trPr>
        <w:tc>
          <w:tcPr>
            <w:tcW w:w="1118" w:type="dxa"/>
          </w:tcPr>
          <w:p w14:paraId="7999886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102" w:type="dxa"/>
          </w:tcPr>
          <w:p w14:paraId="12125CB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34.9</w:t>
            </w:r>
          </w:p>
        </w:tc>
        <w:tc>
          <w:tcPr>
            <w:tcW w:w="1101" w:type="dxa"/>
          </w:tcPr>
          <w:p w14:paraId="657C949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34.7</w:t>
            </w:r>
          </w:p>
        </w:tc>
        <w:tc>
          <w:tcPr>
            <w:tcW w:w="2347" w:type="dxa"/>
          </w:tcPr>
          <w:p w14:paraId="775DBEE5"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 m/2.16 m</w:t>
            </w:r>
          </w:p>
        </w:tc>
        <w:tc>
          <w:tcPr>
            <w:tcW w:w="1101" w:type="dxa"/>
          </w:tcPr>
          <w:p w14:paraId="6271470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34.7</w:t>
            </w:r>
          </w:p>
        </w:tc>
        <w:tc>
          <w:tcPr>
            <w:tcW w:w="1101" w:type="dxa"/>
          </w:tcPr>
          <w:p w14:paraId="2EBFEBA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34.6</w:t>
            </w:r>
          </w:p>
        </w:tc>
        <w:tc>
          <w:tcPr>
            <w:tcW w:w="2347" w:type="dxa"/>
          </w:tcPr>
          <w:p w14:paraId="13BF6FE2"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2.11 m/2.19 m</w:t>
            </w:r>
          </w:p>
        </w:tc>
      </w:tr>
      <w:tr w:rsidR="00E049CB" w:rsidRPr="005E6B7C" w14:paraId="22A23DCB" w14:textId="77777777" w:rsidTr="008B0A14">
        <w:trPr>
          <w:jc w:val="center"/>
        </w:trPr>
        <w:tc>
          <w:tcPr>
            <w:tcW w:w="1118" w:type="dxa"/>
          </w:tcPr>
          <w:p w14:paraId="0E7B34E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w:t>
            </w:r>
          </w:p>
        </w:tc>
        <w:tc>
          <w:tcPr>
            <w:tcW w:w="1102" w:type="dxa"/>
          </w:tcPr>
          <w:p w14:paraId="27A9E74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58.0</w:t>
            </w:r>
          </w:p>
        </w:tc>
        <w:tc>
          <w:tcPr>
            <w:tcW w:w="1101" w:type="dxa"/>
          </w:tcPr>
          <w:p w14:paraId="3C1A425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57.7</w:t>
            </w:r>
          </w:p>
        </w:tc>
        <w:tc>
          <w:tcPr>
            <w:tcW w:w="2347" w:type="dxa"/>
          </w:tcPr>
          <w:p w14:paraId="5670029C"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1.71 m</w:t>
            </w:r>
          </w:p>
        </w:tc>
        <w:tc>
          <w:tcPr>
            <w:tcW w:w="1101" w:type="dxa"/>
          </w:tcPr>
          <w:p w14:paraId="2220EFF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57.5</w:t>
            </w:r>
          </w:p>
        </w:tc>
        <w:tc>
          <w:tcPr>
            <w:tcW w:w="1101" w:type="dxa"/>
          </w:tcPr>
          <w:p w14:paraId="64A1BF2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57.4</w:t>
            </w:r>
          </w:p>
        </w:tc>
        <w:tc>
          <w:tcPr>
            <w:tcW w:w="2347" w:type="dxa"/>
          </w:tcPr>
          <w:p w14:paraId="2C2F0366"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1.92 m</w:t>
            </w:r>
          </w:p>
        </w:tc>
      </w:tr>
      <w:tr w:rsidR="00E049CB" w:rsidRPr="005E6B7C" w14:paraId="656612EE" w14:textId="77777777" w:rsidTr="008B0A14">
        <w:trPr>
          <w:jc w:val="center"/>
        </w:trPr>
        <w:tc>
          <w:tcPr>
            <w:tcW w:w="1118" w:type="dxa"/>
          </w:tcPr>
          <w:p w14:paraId="4529512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w:t>
            </w:r>
          </w:p>
        </w:tc>
        <w:tc>
          <w:tcPr>
            <w:tcW w:w="1102" w:type="dxa"/>
          </w:tcPr>
          <w:p w14:paraId="5D1A94F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19.2</w:t>
            </w:r>
          </w:p>
        </w:tc>
        <w:tc>
          <w:tcPr>
            <w:tcW w:w="1101" w:type="dxa"/>
          </w:tcPr>
          <w:p w14:paraId="5FD28F9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19.3</w:t>
            </w:r>
          </w:p>
        </w:tc>
        <w:tc>
          <w:tcPr>
            <w:tcW w:w="2347" w:type="dxa"/>
          </w:tcPr>
          <w:p w14:paraId="2BDC74D8"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1.06 s</w:t>
            </w:r>
          </w:p>
        </w:tc>
        <w:tc>
          <w:tcPr>
            <w:tcW w:w="1101" w:type="dxa"/>
          </w:tcPr>
          <w:p w14:paraId="437B512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19.3</w:t>
            </w:r>
          </w:p>
        </w:tc>
        <w:tc>
          <w:tcPr>
            <w:tcW w:w="1101" w:type="dxa"/>
          </w:tcPr>
          <w:p w14:paraId="6CE4C7A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19.2</w:t>
            </w:r>
          </w:p>
        </w:tc>
        <w:tc>
          <w:tcPr>
            <w:tcW w:w="2347" w:type="dxa"/>
          </w:tcPr>
          <w:p w14:paraId="1FCBB832"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1.06 s</w:t>
            </w:r>
          </w:p>
        </w:tc>
      </w:tr>
      <w:tr w:rsidR="00E049CB" w:rsidRPr="005E6B7C" w14:paraId="4E5F635E" w14:textId="77777777" w:rsidTr="008B0A14">
        <w:trPr>
          <w:jc w:val="center"/>
        </w:trPr>
        <w:tc>
          <w:tcPr>
            <w:tcW w:w="1118" w:type="dxa"/>
          </w:tcPr>
          <w:p w14:paraId="17F11A3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w:t>
            </w:r>
          </w:p>
        </w:tc>
        <w:tc>
          <w:tcPr>
            <w:tcW w:w="1102" w:type="dxa"/>
          </w:tcPr>
          <w:p w14:paraId="17877D1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15.6</w:t>
            </w:r>
          </w:p>
        </w:tc>
        <w:tc>
          <w:tcPr>
            <w:tcW w:w="1101" w:type="dxa"/>
          </w:tcPr>
          <w:p w14:paraId="43D664F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w:t>
            </w:r>
          </w:p>
        </w:tc>
        <w:tc>
          <w:tcPr>
            <w:tcW w:w="2347" w:type="dxa"/>
          </w:tcPr>
          <w:p w14:paraId="12EB7B59"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0.90 s</w:t>
            </w:r>
          </w:p>
        </w:tc>
        <w:tc>
          <w:tcPr>
            <w:tcW w:w="1101" w:type="dxa"/>
          </w:tcPr>
          <w:p w14:paraId="6EE7BA3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w:t>
            </w:r>
          </w:p>
        </w:tc>
        <w:tc>
          <w:tcPr>
            <w:tcW w:w="1101" w:type="dxa"/>
          </w:tcPr>
          <w:p w14:paraId="4AE04C6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w:t>
            </w:r>
          </w:p>
        </w:tc>
        <w:tc>
          <w:tcPr>
            <w:tcW w:w="2347" w:type="dxa"/>
          </w:tcPr>
          <w:p w14:paraId="19E0566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0.90 s</w:t>
            </w:r>
          </w:p>
        </w:tc>
      </w:tr>
      <w:tr w:rsidR="00E049CB" w:rsidRPr="005E6B7C" w14:paraId="405E8BC6" w14:textId="77777777" w:rsidTr="008B0A14">
        <w:trPr>
          <w:jc w:val="center"/>
        </w:trPr>
        <w:tc>
          <w:tcPr>
            <w:tcW w:w="1118" w:type="dxa"/>
          </w:tcPr>
          <w:p w14:paraId="3C73DE9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1102" w:type="dxa"/>
          </w:tcPr>
          <w:p w14:paraId="442F581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46.3</w:t>
            </w:r>
          </w:p>
        </w:tc>
        <w:tc>
          <w:tcPr>
            <w:tcW w:w="1101" w:type="dxa"/>
          </w:tcPr>
          <w:p w14:paraId="67525EC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46.2</w:t>
            </w:r>
          </w:p>
        </w:tc>
        <w:tc>
          <w:tcPr>
            <w:tcW w:w="2347" w:type="dxa"/>
          </w:tcPr>
          <w:p w14:paraId="5E0A4FD5"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2.33 m</w:t>
            </w:r>
          </w:p>
        </w:tc>
        <w:tc>
          <w:tcPr>
            <w:tcW w:w="1101" w:type="dxa"/>
          </w:tcPr>
          <w:p w14:paraId="4CA574E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45.9</w:t>
            </w:r>
          </w:p>
        </w:tc>
        <w:tc>
          <w:tcPr>
            <w:tcW w:w="1101" w:type="dxa"/>
          </w:tcPr>
          <w:p w14:paraId="028353B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45.5</w:t>
            </w:r>
          </w:p>
        </w:tc>
        <w:tc>
          <w:tcPr>
            <w:tcW w:w="2347" w:type="dxa"/>
          </w:tcPr>
          <w:p w14:paraId="032F15A8"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2.33 m</w:t>
            </w:r>
          </w:p>
        </w:tc>
      </w:tr>
      <w:tr w:rsidR="00E049CB" w:rsidRPr="005E6B7C" w14:paraId="44B0620A" w14:textId="77777777" w:rsidTr="008B0A14">
        <w:trPr>
          <w:jc w:val="center"/>
        </w:trPr>
        <w:tc>
          <w:tcPr>
            <w:tcW w:w="1118" w:type="dxa"/>
          </w:tcPr>
          <w:p w14:paraId="06250F2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w:t>
            </w:r>
          </w:p>
        </w:tc>
        <w:tc>
          <w:tcPr>
            <w:tcW w:w="1102" w:type="dxa"/>
          </w:tcPr>
          <w:p w14:paraId="56C42B4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109.5</w:t>
            </w:r>
          </w:p>
        </w:tc>
        <w:tc>
          <w:tcPr>
            <w:tcW w:w="1101" w:type="dxa"/>
          </w:tcPr>
          <w:p w14:paraId="3EBC4AC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109.2</w:t>
            </w:r>
          </w:p>
        </w:tc>
        <w:tc>
          <w:tcPr>
            <w:tcW w:w="2347" w:type="dxa"/>
          </w:tcPr>
          <w:p w14:paraId="588CCEC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4.80 d (3.6)</w:t>
            </w:r>
          </w:p>
        </w:tc>
        <w:tc>
          <w:tcPr>
            <w:tcW w:w="1101" w:type="dxa"/>
          </w:tcPr>
          <w:p w14:paraId="2CE50A5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109.6</w:t>
            </w:r>
          </w:p>
        </w:tc>
        <w:tc>
          <w:tcPr>
            <w:tcW w:w="1101" w:type="dxa"/>
          </w:tcPr>
          <w:p w14:paraId="69C9D2D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109.4</w:t>
            </w:r>
          </w:p>
        </w:tc>
        <w:tc>
          <w:tcPr>
            <w:tcW w:w="2347" w:type="dxa"/>
          </w:tcPr>
          <w:p w14:paraId="7EA96C65" w14:textId="77777777" w:rsidR="00E049CB" w:rsidRPr="005E6B7C" w:rsidRDefault="00E049CB" w:rsidP="008C0D47">
            <w:pPr>
              <w:widowControl/>
              <w:tabs>
                <w:tab w:val="left" w:pos="270"/>
                <w:tab w:val="left" w:pos="351"/>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4.80 d (3.0)</w:t>
            </w:r>
          </w:p>
        </w:tc>
      </w:tr>
      <w:tr w:rsidR="00E049CB" w:rsidRPr="005E6B7C" w14:paraId="7E946688" w14:textId="77777777" w:rsidTr="008B0A14">
        <w:trPr>
          <w:jc w:val="center"/>
        </w:trPr>
        <w:tc>
          <w:tcPr>
            <w:tcW w:w="1118" w:type="dxa"/>
          </w:tcPr>
          <w:p w14:paraId="3DAE038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w:t>
            </w:r>
          </w:p>
        </w:tc>
        <w:tc>
          <w:tcPr>
            <w:tcW w:w="1102" w:type="dxa"/>
          </w:tcPr>
          <w:p w14:paraId="57C95EF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35.2</w:t>
            </w:r>
          </w:p>
        </w:tc>
        <w:tc>
          <w:tcPr>
            <w:tcW w:w="1101" w:type="dxa"/>
          </w:tcPr>
          <w:p w14:paraId="634C907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35.5</w:t>
            </w:r>
          </w:p>
        </w:tc>
        <w:tc>
          <w:tcPr>
            <w:tcW w:w="2347" w:type="dxa"/>
          </w:tcPr>
          <w:p w14:paraId="0B4F905C"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1.60 dd (12.0, 10.8)</w:t>
            </w:r>
          </w:p>
          <w:p w14:paraId="0661CC7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1.97 ddd (12.0, 7.2, 4.8)</w:t>
            </w:r>
          </w:p>
        </w:tc>
        <w:tc>
          <w:tcPr>
            <w:tcW w:w="1101" w:type="dxa"/>
          </w:tcPr>
          <w:p w14:paraId="70ED260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w:t>
            </w:r>
          </w:p>
        </w:tc>
        <w:tc>
          <w:tcPr>
            <w:tcW w:w="1101" w:type="dxa"/>
          </w:tcPr>
          <w:p w14:paraId="54D7C01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w:t>
            </w:r>
          </w:p>
        </w:tc>
        <w:tc>
          <w:tcPr>
            <w:tcW w:w="2347" w:type="dxa"/>
          </w:tcPr>
          <w:p w14:paraId="73F20AF3"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1.78 dd (12.0, 10.2)</w:t>
            </w:r>
          </w:p>
          <w:p w14:paraId="279AF421"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1.95 ddd (12.0, 8.4, 4.8)</w:t>
            </w:r>
          </w:p>
        </w:tc>
      </w:tr>
      <w:tr w:rsidR="00E049CB" w:rsidRPr="005E6B7C" w14:paraId="0ADFD8DF" w14:textId="77777777" w:rsidTr="008B0A14">
        <w:trPr>
          <w:jc w:val="center"/>
        </w:trPr>
        <w:tc>
          <w:tcPr>
            <w:tcW w:w="1118" w:type="dxa"/>
          </w:tcPr>
          <w:p w14:paraId="1E2E79B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w:t>
            </w:r>
          </w:p>
        </w:tc>
        <w:tc>
          <w:tcPr>
            <w:tcW w:w="1102" w:type="dxa"/>
          </w:tcPr>
          <w:p w14:paraId="7800940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68.9</w:t>
            </w:r>
          </w:p>
        </w:tc>
        <w:tc>
          <w:tcPr>
            <w:tcW w:w="1101" w:type="dxa"/>
          </w:tcPr>
          <w:p w14:paraId="493BF15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75.1</w:t>
            </w:r>
          </w:p>
        </w:tc>
        <w:tc>
          <w:tcPr>
            <w:tcW w:w="2347" w:type="dxa"/>
          </w:tcPr>
          <w:p w14:paraId="1BA668F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4.21 ddd (10.8, 4.8, 2.4)</w:t>
            </w:r>
          </w:p>
        </w:tc>
        <w:tc>
          <w:tcPr>
            <w:tcW w:w="1101" w:type="dxa"/>
          </w:tcPr>
          <w:p w14:paraId="5A15240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76.9</w:t>
            </w:r>
          </w:p>
        </w:tc>
        <w:tc>
          <w:tcPr>
            <w:tcW w:w="1101" w:type="dxa"/>
          </w:tcPr>
          <w:p w14:paraId="7813A35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76.7</w:t>
            </w:r>
          </w:p>
        </w:tc>
        <w:tc>
          <w:tcPr>
            <w:tcW w:w="2347" w:type="dxa"/>
          </w:tcPr>
          <w:p w14:paraId="246D298D"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4.24 ddd (10.2, 8.4, 4.8)</w:t>
            </w:r>
          </w:p>
        </w:tc>
      </w:tr>
      <w:tr w:rsidR="00E049CB" w:rsidRPr="005E6B7C" w14:paraId="5C9E01E5" w14:textId="77777777" w:rsidTr="008B0A14">
        <w:trPr>
          <w:jc w:val="center"/>
        </w:trPr>
        <w:tc>
          <w:tcPr>
            <w:tcW w:w="1118" w:type="dxa"/>
          </w:tcPr>
          <w:p w14:paraId="488FA3E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w:t>
            </w:r>
          </w:p>
        </w:tc>
        <w:tc>
          <w:tcPr>
            <w:tcW w:w="1102" w:type="dxa"/>
          </w:tcPr>
          <w:p w14:paraId="498F93E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76.4</w:t>
            </w:r>
          </w:p>
        </w:tc>
        <w:tc>
          <w:tcPr>
            <w:tcW w:w="1101" w:type="dxa"/>
          </w:tcPr>
          <w:p w14:paraId="242B087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76.3</w:t>
            </w:r>
          </w:p>
        </w:tc>
        <w:tc>
          <w:tcPr>
            <w:tcW w:w="2347" w:type="dxa"/>
          </w:tcPr>
          <w:p w14:paraId="21EFE85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3.37 d (2.4)</w:t>
            </w:r>
          </w:p>
        </w:tc>
        <w:tc>
          <w:tcPr>
            <w:tcW w:w="1101" w:type="dxa"/>
          </w:tcPr>
          <w:p w14:paraId="0BB10CC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75.6</w:t>
            </w:r>
          </w:p>
        </w:tc>
        <w:tc>
          <w:tcPr>
            <w:tcW w:w="1101" w:type="dxa"/>
          </w:tcPr>
          <w:p w14:paraId="2244DAF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75.6</w:t>
            </w:r>
          </w:p>
        </w:tc>
        <w:tc>
          <w:tcPr>
            <w:tcW w:w="2347" w:type="dxa"/>
          </w:tcPr>
          <w:p w14:paraId="4691A61A"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3.24 d (4.8)</w:t>
            </w:r>
          </w:p>
        </w:tc>
      </w:tr>
      <w:tr w:rsidR="00E049CB" w:rsidRPr="005E6B7C" w14:paraId="06DF4611" w14:textId="77777777" w:rsidTr="008B0A14">
        <w:trPr>
          <w:jc w:val="center"/>
        </w:trPr>
        <w:tc>
          <w:tcPr>
            <w:tcW w:w="1118" w:type="dxa"/>
          </w:tcPr>
          <w:p w14:paraId="34BB8ED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w:t>
            </w:r>
          </w:p>
        </w:tc>
        <w:tc>
          <w:tcPr>
            <w:tcW w:w="1102" w:type="dxa"/>
          </w:tcPr>
          <w:p w14:paraId="1A6400D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76.4</w:t>
            </w:r>
          </w:p>
        </w:tc>
        <w:tc>
          <w:tcPr>
            <w:tcW w:w="1101" w:type="dxa"/>
          </w:tcPr>
          <w:p w14:paraId="097FE73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77.0</w:t>
            </w:r>
          </w:p>
        </w:tc>
        <w:tc>
          <w:tcPr>
            <w:tcW w:w="2347" w:type="dxa"/>
          </w:tcPr>
          <w:p w14:paraId="0AD5A636"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415623C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73.1</w:t>
            </w:r>
          </w:p>
        </w:tc>
        <w:tc>
          <w:tcPr>
            <w:tcW w:w="1101" w:type="dxa"/>
          </w:tcPr>
          <w:p w14:paraId="20A88CE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73.0</w:t>
            </w:r>
          </w:p>
        </w:tc>
        <w:tc>
          <w:tcPr>
            <w:tcW w:w="2347" w:type="dxa"/>
          </w:tcPr>
          <w:p w14:paraId="7D321F1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0C154DB" w14:textId="77777777" w:rsidTr="008B0A14">
        <w:trPr>
          <w:jc w:val="center"/>
        </w:trPr>
        <w:tc>
          <w:tcPr>
            <w:tcW w:w="1118" w:type="dxa"/>
          </w:tcPr>
          <w:p w14:paraId="3E8FC12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w:t>
            </w:r>
          </w:p>
        </w:tc>
        <w:tc>
          <w:tcPr>
            <w:tcW w:w="1102" w:type="dxa"/>
          </w:tcPr>
          <w:p w14:paraId="2BF10FB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22.8</w:t>
            </w:r>
          </w:p>
        </w:tc>
        <w:tc>
          <w:tcPr>
            <w:tcW w:w="1101" w:type="dxa"/>
          </w:tcPr>
          <w:p w14:paraId="59F4BB9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20.1</w:t>
            </w:r>
          </w:p>
        </w:tc>
        <w:tc>
          <w:tcPr>
            <w:tcW w:w="2347" w:type="dxa"/>
          </w:tcPr>
          <w:p w14:paraId="1CCC8C95"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1.15 s</w:t>
            </w:r>
          </w:p>
        </w:tc>
        <w:tc>
          <w:tcPr>
            <w:tcW w:w="1101" w:type="dxa"/>
          </w:tcPr>
          <w:p w14:paraId="6E3A00F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w:t>
            </w:r>
          </w:p>
        </w:tc>
        <w:tc>
          <w:tcPr>
            <w:tcW w:w="1101" w:type="dxa"/>
          </w:tcPr>
          <w:p w14:paraId="42445049"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26.2</w:t>
            </w:r>
          </w:p>
        </w:tc>
        <w:tc>
          <w:tcPr>
            <w:tcW w:w="2347" w:type="dxa"/>
          </w:tcPr>
          <w:p w14:paraId="51C8D5DD"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1.26 s</w:t>
            </w:r>
          </w:p>
        </w:tc>
      </w:tr>
      <w:tr w:rsidR="00E049CB" w:rsidRPr="005E6B7C" w14:paraId="1A47A713" w14:textId="77777777" w:rsidTr="008B0A14">
        <w:trPr>
          <w:jc w:val="center"/>
        </w:trPr>
        <w:tc>
          <w:tcPr>
            <w:tcW w:w="1118" w:type="dxa"/>
          </w:tcPr>
          <w:p w14:paraId="33E119A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w:t>
            </w:r>
          </w:p>
        </w:tc>
        <w:tc>
          <w:tcPr>
            <w:tcW w:w="1102" w:type="dxa"/>
          </w:tcPr>
          <w:p w14:paraId="5DA2933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20.3</w:t>
            </w:r>
          </w:p>
        </w:tc>
        <w:tc>
          <w:tcPr>
            <w:tcW w:w="1101" w:type="dxa"/>
          </w:tcPr>
          <w:p w14:paraId="40F71DA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w:t>
            </w:r>
          </w:p>
        </w:tc>
        <w:tc>
          <w:tcPr>
            <w:tcW w:w="2347" w:type="dxa"/>
          </w:tcPr>
          <w:p w14:paraId="6339FDCA"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 s</w:t>
            </w:r>
          </w:p>
        </w:tc>
        <w:tc>
          <w:tcPr>
            <w:tcW w:w="1101" w:type="dxa"/>
          </w:tcPr>
          <w:p w14:paraId="42CA11F6"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26.5</w:t>
            </w:r>
          </w:p>
        </w:tc>
        <w:tc>
          <w:tcPr>
            <w:tcW w:w="1101" w:type="dxa"/>
          </w:tcPr>
          <w:p w14:paraId="5D1FF39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w:t>
            </w:r>
          </w:p>
        </w:tc>
        <w:tc>
          <w:tcPr>
            <w:tcW w:w="2347" w:type="dxa"/>
          </w:tcPr>
          <w:p w14:paraId="2DCFDC6A"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 s</w:t>
            </w:r>
          </w:p>
        </w:tc>
      </w:tr>
      <w:tr w:rsidR="00E049CB" w:rsidRPr="005E6B7C" w14:paraId="1AEC79D6" w14:textId="77777777" w:rsidTr="008B0A14">
        <w:trPr>
          <w:jc w:val="center"/>
        </w:trPr>
        <w:tc>
          <w:tcPr>
            <w:tcW w:w="1118" w:type="dxa"/>
          </w:tcPr>
          <w:p w14:paraId="49E1523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w:t>
            </w:r>
          </w:p>
        </w:tc>
        <w:tc>
          <w:tcPr>
            <w:tcW w:w="1102" w:type="dxa"/>
          </w:tcPr>
          <w:p w14:paraId="641B679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29.0</w:t>
            </w:r>
          </w:p>
        </w:tc>
        <w:tc>
          <w:tcPr>
            <w:tcW w:w="1101" w:type="dxa"/>
          </w:tcPr>
          <w:p w14:paraId="0A62B9E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28.0</w:t>
            </w:r>
          </w:p>
        </w:tc>
        <w:tc>
          <w:tcPr>
            <w:tcW w:w="2347" w:type="dxa"/>
          </w:tcPr>
          <w:p w14:paraId="08824117"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0.95 s</w:t>
            </w:r>
          </w:p>
        </w:tc>
        <w:tc>
          <w:tcPr>
            <w:tcW w:w="1101" w:type="dxa"/>
          </w:tcPr>
          <w:p w14:paraId="0807B9F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28.1</w:t>
            </w:r>
          </w:p>
        </w:tc>
        <w:tc>
          <w:tcPr>
            <w:tcW w:w="1101" w:type="dxa"/>
          </w:tcPr>
          <w:p w14:paraId="2B77065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28.0</w:t>
            </w:r>
          </w:p>
        </w:tc>
        <w:tc>
          <w:tcPr>
            <w:tcW w:w="2347" w:type="dxa"/>
          </w:tcPr>
          <w:p w14:paraId="1039F80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0.95 s</w:t>
            </w:r>
          </w:p>
        </w:tc>
      </w:tr>
      <w:tr w:rsidR="00E049CB" w:rsidRPr="005E6B7C" w14:paraId="4E74201A" w14:textId="77777777" w:rsidTr="008B0A14">
        <w:trPr>
          <w:jc w:val="center"/>
        </w:trPr>
        <w:tc>
          <w:tcPr>
            <w:tcW w:w="1118" w:type="dxa"/>
          </w:tcPr>
          <w:p w14:paraId="7D0ACC0C"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w:t>
            </w:r>
          </w:p>
        </w:tc>
        <w:tc>
          <w:tcPr>
            <w:tcW w:w="1102" w:type="dxa"/>
          </w:tcPr>
          <w:p w14:paraId="2242E93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22.5</w:t>
            </w:r>
          </w:p>
        </w:tc>
        <w:tc>
          <w:tcPr>
            <w:tcW w:w="1101" w:type="dxa"/>
          </w:tcPr>
          <w:p w14:paraId="7BFA8CD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22.1</w:t>
            </w:r>
          </w:p>
        </w:tc>
        <w:tc>
          <w:tcPr>
            <w:tcW w:w="2347" w:type="dxa"/>
          </w:tcPr>
          <w:p w14:paraId="55F92EF4"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0.85 s</w:t>
            </w:r>
          </w:p>
        </w:tc>
        <w:tc>
          <w:tcPr>
            <w:tcW w:w="1101" w:type="dxa"/>
          </w:tcPr>
          <w:p w14:paraId="538B186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22.1</w:t>
            </w:r>
          </w:p>
        </w:tc>
        <w:tc>
          <w:tcPr>
            <w:tcW w:w="1101" w:type="dxa"/>
          </w:tcPr>
          <w:p w14:paraId="1A336E5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22.1</w:t>
            </w:r>
          </w:p>
        </w:tc>
        <w:tc>
          <w:tcPr>
            <w:tcW w:w="2347" w:type="dxa"/>
          </w:tcPr>
          <w:p w14:paraId="421C3042"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0.85 s</w:t>
            </w:r>
          </w:p>
        </w:tc>
      </w:tr>
      <w:tr w:rsidR="00E049CB" w:rsidRPr="005E6B7C" w14:paraId="1E04A7DE" w14:textId="77777777" w:rsidTr="008B0A14">
        <w:trPr>
          <w:jc w:val="center"/>
        </w:trPr>
        <w:tc>
          <w:tcPr>
            <w:tcW w:w="1118" w:type="dxa"/>
          </w:tcPr>
          <w:p w14:paraId="5800744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102" w:type="dxa"/>
          </w:tcPr>
          <w:p w14:paraId="247920FB"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28.3</w:t>
            </w:r>
          </w:p>
        </w:tc>
        <w:tc>
          <w:tcPr>
            <w:tcW w:w="1101" w:type="dxa"/>
          </w:tcPr>
          <w:p w14:paraId="55F31393"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27.7</w:t>
            </w:r>
          </w:p>
        </w:tc>
        <w:tc>
          <w:tcPr>
            <w:tcW w:w="2347" w:type="dxa"/>
          </w:tcPr>
          <w:p w14:paraId="6942D8CC"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1.05 s</w:t>
            </w:r>
          </w:p>
        </w:tc>
        <w:tc>
          <w:tcPr>
            <w:tcW w:w="1101" w:type="dxa"/>
          </w:tcPr>
          <w:p w14:paraId="4484079D"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27.7</w:t>
            </w:r>
          </w:p>
        </w:tc>
        <w:tc>
          <w:tcPr>
            <w:tcW w:w="1101" w:type="dxa"/>
          </w:tcPr>
          <w:p w14:paraId="1824F56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27.6</w:t>
            </w:r>
          </w:p>
        </w:tc>
        <w:tc>
          <w:tcPr>
            <w:tcW w:w="2347" w:type="dxa"/>
          </w:tcPr>
          <w:p w14:paraId="5CE6D19F"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1.05 s</w:t>
            </w:r>
          </w:p>
        </w:tc>
      </w:tr>
      <w:tr w:rsidR="00E049CB" w:rsidRPr="005E6B7C" w14:paraId="6F26D190" w14:textId="77777777" w:rsidTr="008B0A14">
        <w:trPr>
          <w:jc w:val="center"/>
        </w:trPr>
        <w:tc>
          <w:tcPr>
            <w:tcW w:w="1118" w:type="dxa"/>
          </w:tcPr>
          <w:p w14:paraId="33A8A0B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21-OCH</w:t>
            </w:r>
            <w:r w:rsidRPr="005E6B7C">
              <w:rPr>
                <w:rFonts w:asciiTheme="majorHAnsi" w:eastAsia="Yu Mincho" w:hAnsiTheme="majorHAnsi" w:cstheme="majorHAnsi"/>
                <w:color w:val="000000" w:themeColor="text1"/>
                <w:sz w:val="18"/>
                <w:szCs w:val="18"/>
                <w:vertAlign w:val="subscript"/>
                <w:lang w:eastAsia="ja-JP"/>
              </w:rPr>
              <w:t>3</w:t>
            </w:r>
          </w:p>
        </w:tc>
        <w:tc>
          <w:tcPr>
            <w:tcW w:w="1102" w:type="dxa"/>
          </w:tcPr>
          <w:p w14:paraId="672AD86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55.0</w:t>
            </w:r>
          </w:p>
        </w:tc>
        <w:tc>
          <w:tcPr>
            <w:tcW w:w="1101" w:type="dxa"/>
          </w:tcPr>
          <w:p w14:paraId="71BE047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55.4</w:t>
            </w:r>
          </w:p>
        </w:tc>
        <w:tc>
          <w:tcPr>
            <w:tcW w:w="2347" w:type="dxa"/>
          </w:tcPr>
          <w:p w14:paraId="21BF64BD"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3.35 s</w:t>
            </w:r>
          </w:p>
        </w:tc>
        <w:tc>
          <w:tcPr>
            <w:tcW w:w="1101" w:type="dxa"/>
          </w:tcPr>
          <w:p w14:paraId="4688700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w:t>
            </w:r>
          </w:p>
        </w:tc>
        <w:tc>
          <w:tcPr>
            <w:tcW w:w="1101" w:type="dxa"/>
          </w:tcPr>
          <w:p w14:paraId="7B3E1C9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55.5</w:t>
            </w:r>
          </w:p>
        </w:tc>
        <w:tc>
          <w:tcPr>
            <w:tcW w:w="2347" w:type="dxa"/>
          </w:tcPr>
          <w:p w14:paraId="18DCF16E"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3.35 s</w:t>
            </w:r>
          </w:p>
        </w:tc>
      </w:tr>
      <w:tr w:rsidR="00E049CB" w:rsidRPr="005E6B7C" w14:paraId="7E3EA887" w14:textId="77777777" w:rsidTr="008B0A14">
        <w:trPr>
          <w:jc w:val="center"/>
        </w:trPr>
        <w:tc>
          <w:tcPr>
            <w:tcW w:w="1118" w:type="dxa"/>
          </w:tcPr>
          <w:p w14:paraId="3F4281E4"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25-OCH</w:t>
            </w:r>
            <w:r w:rsidRPr="005E6B7C">
              <w:rPr>
                <w:rFonts w:asciiTheme="majorHAnsi" w:eastAsia="Yu Mincho" w:hAnsiTheme="majorHAnsi" w:cstheme="majorHAnsi"/>
                <w:color w:val="000000" w:themeColor="text1"/>
                <w:sz w:val="18"/>
                <w:szCs w:val="18"/>
                <w:vertAlign w:val="subscript"/>
                <w:lang w:eastAsia="ja-JP"/>
              </w:rPr>
              <w:t>3</w:t>
            </w:r>
          </w:p>
        </w:tc>
        <w:tc>
          <w:tcPr>
            <w:tcW w:w="1102" w:type="dxa"/>
          </w:tcPr>
          <w:p w14:paraId="757DD5FA"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49.0</w:t>
            </w:r>
          </w:p>
        </w:tc>
        <w:tc>
          <w:tcPr>
            <w:tcW w:w="1101" w:type="dxa"/>
          </w:tcPr>
          <w:p w14:paraId="7786C2F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49.1</w:t>
            </w:r>
          </w:p>
        </w:tc>
        <w:tc>
          <w:tcPr>
            <w:tcW w:w="2347" w:type="dxa"/>
          </w:tcPr>
          <w:p w14:paraId="07F27459"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3.23 s</w:t>
            </w:r>
          </w:p>
        </w:tc>
        <w:tc>
          <w:tcPr>
            <w:tcW w:w="1101" w:type="dxa"/>
          </w:tcPr>
          <w:p w14:paraId="7B661C1F"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1101" w:type="dxa"/>
          </w:tcPr>
          <w:p w14:paraId="1751CE65"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2347" w:type="dxa"/>
          </w:tcPr>
          <w:p w14:paraId="3867B95B" w14:textId="77777777" w:rsidR="00E049CB" w:rsidRPr="005E6B7C" w:rsidRDefault="00E049CB" w:rsidP="008C0D47">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p>
        </w:tc>
      </w:tr>
    </w:tbl>
    <w:p w14:paraId="44D44664" w14:textId="77777777" w:rsidR="008B0A14" w:rsidRPr="005E6B7C" w:rsidRDefault="008B0A14" w:rsidP="008C0D47">
      <w:pPr>
        <w:tabs>
          <w:tab w:val="left" w:pos="9270"/>
        </w:tabs>
        <w:ind w:firstLine="284"/>
        <w:contextualSpacing/>
        <w:jc w:val="both"/>
        <w:rPr>
          <w:rFonts w:asciiTheme="majorHAnsi" w:eastAsia="Yu Mincho" w:hAnsiTheme="majorHAnsi" w:cstheme="majorHAnsi"/>
          <w:i/>
          <w:color w:val="000000" w:themeColor="text1"/>
          <w:sz w:val="8"/>
          <w:szCs w:val="18"/>
          <w:lang w:eastAsia="ja-JP"/>
        </w:rPr>
      </w:pPr>
    </w:p>
    <w:p w14:paraId="1E9D5434" w14:textId="77777777" w:rsidR="00E049CB" w:rsidRPr="005E6B7C" w:rsidRDefault="00E049CB" w:rsidP="008C0D47">
      <w:pPr>
        <w:tabs>
          <w:tab w:val="left" w:pos="9270"/>
        </w:tabs>
        <w:spacing w:before="60"/>
        <w:ind w:right="-23" w:firstLine="284"/>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 xml:space="preserve">Measured in </w:t>
      </w:r>
      <w:r w:rsidRPr="005E6B7C">
        <w:rPr>
          <w:rFonts w:asciiTheme="majorHAnsi" w:eastAsia="Yu Mincho" w:hAnsiTheme="majorHAnsi" w:cstheme="majorHAnsi"/>
          <w:i/>
          <w:color w:val="000000" w:themeColor="text1"/>
          <w:sz w:val="18"/>
          <w:szCs w:val="18"/>
          <w:vertAlign w:val="superscript"/>
          <w:lang w:eastAsia="ja-JP"/>
        </w:rPr>
        <w:t>a</w:t>
      </w:r>
      <w:r w:rsidRPr="005E6B7C">
        <w:rPr>
          <w:rFonts w:asciiTheme="majorHAnsi" w:eastAsia="Yu Mincho" w:hAnsiTheme="majorHAnsi" w:cstheme="majorHAnsi"/>
          <w:i/>
          <w:color w:val="000000" w:themeColor="text1"/>
          <w:sz w:val="18"/>
          <w:szCs w:val="18"/>
          <w:lang w:eastAsia="ja-JP"/>
        </w:rPr>
        <w:t>CDCl</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vertAlign w:val="superscript"/>
          <w:lang w:eastAsia="ja-JP"/>
        </w:rPr>
        <w:t>b</w:t>
      </w:r>
      <w:r w:rsidRPr="005E6B7C">
        <w:rPr>
          <w:rFonts w:asciiTheme="majorHAnsi" w:eastAsia="Yu Mincho" w:hAnsiTheme="majorHAnsi" w:cstheme="majorHAnsi"/>
          <w:i/>
          <w:color w:val="000000" w:themeColor="text1"/>
          <w:sz w:val="18"/>
          <w:szCs w:val="18"/>
          <w:lang w:eastAsia="ja-JP"/>
        </w:rPr>
        <w:t xml:space="preserve">150 MHz, and </w:t>
      </w:r>
      <w:r w:rsidRPr="005E6B7C">
        <w:rPr>
          <w:rFonts w:asciiTheme="majorHAnsi" w:eastAsia="Yu Mincho" w:hAnsiTheme="majorHAnsi" w:cstheme="majorHAnsi"/>
          <w:i/>
          <w:color w:val="000000" w:themeColor="text1"/>
          <w:sz w:val="18"/>
          <w:szCs w:val="18"/>
          <w:vertAlign w:val="superscript"/>
          <w:lang w:eastAsia="ja-JP"/>
        </w:rPr>
        <w:t>c</w:t>
      </w:r>
      <w:r w:rsidRPr="005E6B7C">
        <w:rPr>
          <w:rFonts w:asciiTheme="majorHAnsi" w:eastAsia="Yu Mincho" w:hAnsiTheme="majorHAnsi" w:cstheme="majorHAnsi"/>
          <w:i/>
          <w:color w:val="000000" w:themeColor="text1"/>
          <w:sz w:val="18"/>
          <w:szCs w:val="18"/>
          <w:lang w:eastAsia="ja-JP"/>
        </w:rPr>
        <w:t xml:space="preserve">600 MHz. </w:t>
      </w:r>
      <w:r w:rsidRPr="005E6B7C">
        <w:rPr>
          <w:rFonts w:asciiTheme="majorHAnsi" w:eastAsia="Yu Mincho" w:hAnsiTheme="majorHAnsi" w:cstheme="majorHAnsi"/>
          <w:i/>
          <w:color w:val="000000" w:themeColor="text1"/>
          <w:sz w:val="18"/>
          <w:szCs w:val="18"/>
          <w:vertAlign w:val="superscript"/>
          <w:lang w:eastAsia="ja-JP"/>
        </w:rPr>
        <w:t>#</w:t>
      </w: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vertAlign w:val="superscript"/>
          <w:lang w:eastAsia="ja-JP"/>
        </w:rPr>
        <w:t xml:space="preserve"> </w:t>
      </w:r>
      <w:r w:rsidRPr="005E6B7C">
        <w:rPr>
          <w:rFonts w:asciiTheme="majorHAnsi" w:eastAsia="Yu Mincho" w:hAnsiTheme="majorHAnsi" w:cstheme="majorHAnsi"/>
          <w:i/>
          <w:color w:val="000000" w:themeColor="text1"/>
          <w:sz w:val="18"/>
          <w:szCs w:val="18"/>
          <w:lang w:eastAsia="ja-JP"/>
        </w:rPr>
        <w:t>of cumingianol E in pyridine-d</w:t>
      </w:r>
      <w:r w:rsidRPr="005E6B7C">
        <w:rPr>
          <w:rFonts w:asciiTheme="majorHAnsi" w:eastAsia="Yu Mincho" w:hAnsiTheme="majorHAnsi" w:cstheme="majorHAnsi"/>
          <w:i/>
          <w:color w:val="000000" w:themeColor="text1"/>
          <w:sz w:val="18"/>
          <w:szCs w:val="18"/>
          <w:vertAlign w:val="subscript"/>
          <w:lang w:eastAsia="ja-JP"/>
        </w:rPr>
        <w:t>5</w:t>
      </w:r>
      <w:r w:rsidRPr="005E6B7C">
        <w:rPr>
          <w:rFonts w:asciiTheme="majorHAnsi" w:eastAsia="Yu Mincho" w:hAnsiTheme="majorHAnsi" w:cstheme="majorHAnsi"/>
          <w:i/>
          <w:color w:val="000000" w:themeColor="text1"/>
          <w:sz w:val="18"/>
          <w:szCs w:val="18"/>
          <w:lang w:eastAsia="ja-JP"/>
        </w:rPr>
        <w:t xml:space="preserve"> + D</w:t>
      </w:r>
      <w:r w:rsidRPr="005E6B7C">
        <w:rPr>
          <w:rFonts w:asciiTheme="majorHAnsi" w:eastAsia="Yu Mincho" w:hAnsiTheme="majorHAnsi" w:cstheme="majorHAnsi"/>
          <w:i/>
          <w:color w:val="000000" w:themeColor="text1"/>
          <w:sz w:val="18"/>
          <w:szCs w:val="18"/>
          <w:vertAlign w:val="subscript"/>
          <w:lang w:eastAsia="ja-JP"/>
        </w:rPr>
        <w:t>2</w:t>
      </w:r>
      <w:r w:rsidRPr="005E6B7C">
        <w:rPr>
          <w:rFonts w:asciiTheme="majorHAnsi" w:eastAsia="Yu Mincho" w:hAnsiTheme="majorHAnsi" w:cstheme="majorHAnsi"/>
          <w:i/>
          <w:color w:val="000000" w:themeColor="text1"/>
          <w:sz w:val="18"/>
          <w:szCs w:val="18"/>
          <w:lang w:eastAsia="ja-JP"/>
        </w:rPr>
        <w:t>O</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fldChar w:fldCharType="begin"/>
      </w:r>
      <w:r w:rsidRPr="005E6B7C">
        <w:rPr>
          <w:rFonts w:asciiTheme="majorHAnsi" w:eastAsia="Yu Mincho" w:hAnsiTheme="majorHAnsi" w:cstheme="majorHAnsi"/>
          <w:color w:val="000000" w:themeColor="text1"/>
          <w:sz w:val="18"/>
          <w:szCs w:val="18"/>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18"/>
          <w:szCs w:val="18"/>
          <w:lang w:eastAsia="ja-JP"/>
        </w:rPr>
        <w:fldChar w:fldCharType="separate"/>
      </w:r>
      <w:r w:rsidRPr="005E6B7C">
        <w:rPr>
          <w:rFonts w:asciiTheme="majorHAnsi" w:eastAsia="Yu Mincho" w:hAnsiTheme="majorHAnsi" w:cstheme="majorHAnsi"/>
          <w:noProof/>
          <w:color w:val="000000" w:themeColor="text1"/>
          <w:sz w:val="18"/>
          <w:szCs w:val="18"/>
          <w:lang w:eastAsia="ja-JP"/>
        </w:rPr>
        <w:t>[12]</w:t>
      </w:r>
      <w:r w:rsidRPr="005E6B7C">
        <w:rPr>
          <w:rFonts w:asciiTheme="majorHAnsi" w:eastAsia="Yu Mincho" w:hAnsiTheme="majorHAnsi" w:cstheme="majorHAnsi"/>
          <w:color w:val="000000" w:themeColor="text1"/>
          <w:sz w:val="18"/>
          <w:szCs w:val="18"/>
          <w:lang w:eastAsia="ja-JP"/>
        </w:rPr>
        <w:fldChar w:fldCharType="end"/>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Cs/>
          <w:i/>
          <w:noProof/>
          <w:color w:val="000000" w:themeColor="text1"/>
          <w:sz w:val="18"/>
          <w:szCs w:val="18"/>
          <w:lang w:eastAsia="ja-JP"/>
        </w:rPr>
        <w:t xml:space="preserve">and </w:t>
      </w:r>
      <w:r w:rsidRPr="005E6B7C">
        <w:rPr>
          <w:rFonts w:asciiTheme="majorHAnsi" w:eastAsia="Yu Mincho" w:hAnsiTheme="majorHAnsi" w:cstheme="majorHAnsi"/>
          <w:i/>
          <w:color w:val="000000" w:themeColor="text1"/>
          <w:sz w:val="18"/>
          <w:szCs w:val="18"/>
          <w:vertAlign w:val="superscript"/>
          <w:lang w:eastAsia="ja-JP"/>
        </w:rPr>
        <w:t>$</w:t>
      </w: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vertAlign w:val="superscript"/>
          <w:lang w:eastAsia="ja-JP"/>
        </w:rPr>
        <w:t xml:space="preserve"> </w:t>
      </w:r>
      <w:r w:rsidRPr="005E6B7C">
        <w:rPr>
          <w:rFonts w:asciiTheme="majorHAnsi" w:eastAsia="Yu Mincho" w:hAnsiTheme="majorHAnsi" w:cstheme="majorHAnsi"/>
          <w:i/>
          <w:color w:val="000000" w:themeColor="text1"/>
          <w:sz w:val="18"/>
          <w:szCs w:val="18"/>
          <w:lang w:eastAsia="ja-JP"/>
        </w:rPr>
        <w:t>of 21-O-methyltoosendanpentol in CDCl</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Calibri" w:hAnsiTheme="majorHAnsi" w:cstheme="majorHAnsi"/>
          <w:color w:val="000000" w:themeColor="text1"/>
          <w:sz w:val="18"/>
          <w:szCs w:val="18"/>
          <w:lang w:eastAsia="ja-JP"/>
        </w:rPr>
        <w:fldChar w:fldCharType="begin">
          <w:fldData xml:space="preserve">PEVuZE5vdGU+PENpdGU+PEF1dGhvcj5aaG91PC9BdXRob3I+PFllYXI+MjAxNjwvWWVhcj48UmVj
TnVtPjU8L1JlY051bT48RGlzcGxheVRleHQ+WzEzXTwvRGlzcGxheVRleHQ+PHJlY29yZD48cmVj
LW51bWJlcj41PC9yZWMtbnVtYmVyPjxmb3JlaWduLWtleXM+PGtleSBhcHA9IkVOIiBkYi1pZD0i
eGQwZGQ1djVlZDl0emtlc3ZlNnY5dHZ3dHByZGQ1emYwOTBwIiB0aW1lc3RhbXA9IjE3MDIxMDQ3
NDYiPjU8L2tleT48L2ZvcmVpZ24ta2V5cz48cmVmLXR5cGUgbmFtZT0iSm91cm5hbCBBcnRpY2xl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dGxlPkNoZW0gQmlvZGl2ZXJzPC9zZWNvbmRhcnktdGl0bGU+PC90aXRsZXM+PHBlcmlvZGljYWw+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</w:fldData>
        </w:fldChar>
      </w:r>
      <w:r w:rsidRPr="005E6B7C">
        <w:rPr>
          <w:rFonts w:asciiTheme="majorHAnsi" w:eastAsia="Calibri" w:hAnsiTheme="majorHAnsi" w:cstheme="majorHAnsi"/>
          <w:color w:val="000000" w:themeColor="text1"/>
          <w:sz w:val="18"/>
          <w:szCs w:val="18"/>
          <w:lang w:eastAsia="ja-JP"/>
        </w:rPr>
        <w:instrText xml:space="preserve"> ADDIN EN.CITE </w:instrText>
      </w:r>
      <w:r w:rsidRPr="005E6B7C">
        <w:rPr>
          <w:rFonts w:asciiTheme="majorHAnsi" w:eastAsia="Calibri" w:hAnsiTheme="majorHAnsi" w:cstheme="majorHAnsi"/>
          <w:color w:val="000000" w:themeColor="text1"/>
          <w:sz w:val="18"/>
          <w:szCs w:val="18"/>
          <w:lang w:eastAsia="ja-JP"/>
        </w:rPr>
        <w:fldChar w:fldCharType="begin">
          <w:fldData xml:space="preserve">PEVuZE5vdGU+PENpdGU+PEF1dGhvcj5aaG91PC9BdXRob3I+PFllYXI+MjAxNjwvWWVhcj48UmVj
TnVtPjU8L1JlY051bT48RGlzcGxheVRleHQ+WzEzXTwvRGlzcGxheVRleHQ+PHJlY29yZD48cmVj
LW51bWJlcj41PC9yZWMtbnVtYmVyPjxmb3JlaWduLWtleXM+PGtleSBhcHA9IkVOIiBkYi1pZD0i
eGQwZGQ1djVlZDl0emtlc3ZlNnY5dHZ3dHByZGQ1emYwOTBwIiB0aW1lc3RhbXA9IjE3MDIxMDQ3
NDYiPjU8L2tleT48L2ZvcmVpZ24ta2V5cz48cmVmLXR5cGUgbmFtZT0iSm91cm5hbCBBcnRpY2xl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dGxlPkNoZW0gQmlvZGl2ZXJzPC9zZWNvbmRhcnktdGl0bGU+PC90aXRsZXM+PHBlcmlvZGljYWw+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</w:fldData>
        </w:fldChar>
      </w:r>
      <w:r w:rsidRPr="005E6B7C">
        <w:rPr>
          <w:rFonts w:asciiTheme="majorHAnsi" w:eastAsia="Calibri" w:hAnsiTheme="majorHAnsi" w:cstheme="majorHAnsi"/>
          <w:color w:val="000000" w:themeColor="text1"/>
          <w:sz w:val="18"/>
          <w:szCs w:val="18"/>
          <w:lang w:eastAsia="ja-JP"/>
        </w:rPr>
        <w:instrText xml:space="preserve"> ADDIN EN.CITE.DATA </w:instrText>
      </w:r>
      <w:r w:rsidRPr="005E6B7C">
        <w:rPr>
          <w:rFonts w:asciiTheme="majorHAnsi" w:eastAsia="Calibri" w:hAnsiTheme="majorHAnsi" w:cstheme="majorHAnsi"/>
          <w:color w:val="000000" w:themeColor="text1"/>
          <w:sz w:val="18"/>
          <w:szCs w:val="18"/>
          <w:lang w:eastAsia="ja-JP"/>
        </w:rPr>
      </w:r>
      <w:r w:rsidRPr="005E6B7C">
        <w:rPr>
          <w:rFonts w:asciiTheme="majorHAnsi" w:eastAsia="Calibri" w:hAnsiTheme="majorHAnsi" w:cstheme="majorHAnsi"/>
          <w:color w:val="000000" w:themeColor="text1"/>
          <w:sz w:val="18"/>
          <w:szCs w:val="18"/>
          <w:lang w:eastAsia="ja-JP"/>
        </w:rPr>
        <w:fldChar w:fldCharType="end"/>
      </w:r>
      <w:r w:rsidRPr="005E6B7C">
        <w:rPr>
          <w:rFonts w:asciiTheme="majorHAnsi" w:eastAsia="Calibri" w:hAnsiTheme="majorHAnsi" w:cstheme="majorHAnsi"/>
          <w:color w:val="000000" w:themeColor="text1"/>
          <w:sz w:val="18"/>
          <w:szCs w:val="18"/>
          <w:lang w:eastAsia="ja-JP"/>
        </w:rPr>
      </w:r>
      <w:r w:rsidRPr="005E6B7C">
        <w:rPr>
          <w:rFonts w:asciiTheme="majorHAnsi" w:eastAsia="Calibri" w:hAnsiTheme="majorHAnsi" w:cstheme="majorHAnsi"/>
          <w:color w:val="000000" w:themeColor="text1"/>
          <w:sz w:val="18"/>
          <w:szCs w:val="18"/>
          <w:lang w:eastAsia="ja-JP"/>
        </w:rPr>
        <w:fldChar w:fldCharType="separate"/>
      </w:r>
      <w:r w:rsidRPr="005E6B7C">
        <w:rPr>
          <w:rFonts w:asciiTheme="majorHAnsi" w:eastAsia="Calibri" w:hAnsiTheme="majorHAnsi" w:cstheme="majorHAnsi"/>
          <w:noProof/>
          <w:color w:val="000000" w:themeColor="text1"/>
          <w:sz w:val="18"/>
          <w:szCs w:val="18"/>
          <w:lang w:eastAsia="ja-JP"/>
        </w:rPr>
        <w:t>[13]</w:t>
      </w:r>
      <w:r w:rsidRPr="005E6B7C">
        <w:rPr>
          <w:rFonts w:asciiTheme="majorHAnsi" w:eastAsia="Calibri" w:hAnsiTheme="majorHAnsi" w:cstheme="majorHAnsi"/>
          <w:color w:val="000000" w:themeColor="text1"/>
          <w:sz w:val="18"/>
          <w:szCs w:val="18"/>
          <w:lang w:eastAsia="ja-JP"/>
        </w:rPr>
        <w:fldChar w:fldCharType="end"/>
      </w:r>
      <w:r w:rsidRPr="005E6B7C">
        <w:rPr>
          <w:rFonts w:asciiTheme="majorHAnsi" w:eastAsia="Calibri" w:hAnsiTheme="majorHAnsi" w:cstheme="majorHAnsi"/>
          <w:color w:val="000000" w:themeColor="text1"/>
          <w:sz w:val="18"/>
          <w:szCs w:val="18"/>
          <w:lang w:eastAsia="ja-JP"/>
        </w:rPr>
        <w:t>.</w:t>
      </w:r>
      <w:r w:rsidRPr="005E6B7C">
        <w:rPr>
          <w:rFonts w:asciiTheme="majorHAnsi" w:eastAsia="Calibri" w:hAnsiTheme="majorHAnsi" w:cstheme="majorHAnsi"/>
          <w:i/>
          <w:color w:val="000000" w:themeColor="text1"/>
          <w:sz w:val="18"/>
          <w:szCs w:val="18"/>
          <w:lang w:eastAsia="ja-JP"/>
        </w:rPr>
        <w:t xml:space="preserve">    </w:t>
      </w:r>
    </w:p>
    <w:p w14:paraId="14B41B9F" w14:textId="77777777" w:rsidR="008B0A14" w:rsidRPr="005E6B7C" w:rsidRDefault="008B0A14" w:rsidP="008C0D47">
      <w:pPr>
        <w:tabs>
          <w:tab w:val="left" w:pos="270"/>
          <w:tab w:val="left" w:pos="540"/>
          <w:tab w:val="left" w:pos="9270"/>
        </w:tabs>
        <w:ind w:right="-23"/>
        <w:jc w:val="both"/>
        <w:rPr>
          <w:rFonts w:asciiTheme="majorHAnsi" w:eastAsia="Yu Mincho" w:hAnsiTheme="majorHAnsi" w:cstheme="majorHAnsi"/>
          <w:color w:val="000000" w:themeColor="text1"/>
          <w:sz w:val="18"/>
          <w:szCs w:val="22"/>
          <w:lang w:eastAsia="ja-JP"/>
        </w:rPr>
      </w:pPr>
    </w:p>
    <w:p w14:paraId="5C94563C" w14:textId="77777777" w:rsidR="0021087C" w:rsidRPr="005E6B7C" w:rsidRDefault="0021087C" w:rsidP="008C0D47">
      <w:pPr>
        <w:tabs>
          <w:tab w:val="left" w:pos="270"/>
          <w:tab w:val="left" w:pos="540"/>
          <w:tab w:val="left" w:pos="9270"/>
        </w:tabs>
        <w:ind w:firstLine="284"/>
        <w:jc w:val="both"/>
        <w:rPr>
          <w:rFonts w:asciiTheme="majorHAnsi" w:eastAsia="Yu Mincho" w:hAnsiTheme="majorHAnsi" w:cstheme="majorHAnsi"/>
          <w:color w:val="000000" w:themeColor="text1"/>
          <w:sz w:val="18"/>
          <w:szCs w:val="22"/>
          <w:lang w:eastAsia="ja-JP"/>
        </w:rPr>
        <w:sectPr w:rsidR="0021087C" w:rsidRPr="005E6B7C" w:rsidSect="002206BB">
          <w:type w:val="continuous"/>
          <w:pgSz w:w="10773" w:h="15309" w:code="9"/>
          <w:pgMar w:top="907" w:right="851" w:bottom="1418" w:left="851" w:header="397" w:footer="851" w:gutter="0"/>
          <w:cols w:space="284"/>
          <w:docGrid w:linePitch="360"/>
        </w:sectPr>
      </w:pPr>
    </w:p>
    <w:p w14:paraId="41BD33D5" w14:textId="197F4BBE"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Moreover, the </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-configuration at C-24 was confirmed on the basis of the small coupling constant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vertAlign w:val="subscript"/>
          <w:lang w:eastAsia="ja-JP"/>
        </w:rPr>
        <w:t>H‑23/H‑24</w:t>
      </w:r>
      <w:r w:rsidRPr="005E6B7C">
        <w:rPr>
          <w:rFonts w:asciiTheme="majorHAnsi" w:eastAsia="Yu Mincho" w:hAnsiTheme="majorHAnsi" w:cstheme="majorHAnsi"/>
          <w:color w:val="000000" w:themeColor="text1"/>
          <w:sz w:val="22"/>
          <w:szCs w:val="22"/>
          <w:lang w:eastAsia="ja-JP"/>
        </w:rPr>
        <w:t xml:space="preserve"> = 2.4 Hz) in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spectrum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Calibri" w:hAnsiTheme="majorHAnsi" w:cstheme="majorHAnsi"/>
          <w:color w:val="000000" w:themeColor="text1"/>
          <w:sz w:val="22"/>
          <w:szCs w:val="22"/>
          <w:lang w:eastAsia="ja-JP"/>
        </w:rPr>
        <w:fldChar w:fldCharType="begin">
          <w:fldData xml:space="preserve">PEVuZE5vdGU+PENpdGU+PEF1dGhvcj5aaG91PC9BdXRob3I+PFllYXI+MjAxNjwvWWVhcj48UmVj
TnVtPjU8L1JlY051bT48RGlzcGxheVRleHQ+WzEzXTwvRGlzcGxheVRleHQ+PHJlY29yZD48cmVj
LW51bWJlcj41PC9yZWMtbnVtYmVyPjxmb3JlaWduLWtleXM+PGtleSBhcHA9IkVOIiBkYi1pZD0i
eGQwZGQ1djVlZDl0emtlc3ZlNnY5dHZ3dHByZGQ1emYwOTBwIiB0aW1lc3RhbXA9IjE3MDIxMDQ3
NDYiPjU8L2tleT48L2ZvcmVpZ24ta2V5cz48cmVmLXR5cGUgbmFtZT0iSm91cm5hbCBBcnRpY2xl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dGxlPkNoZW0gQmlvZGl2ZXJzPC9zZWNvbmRhcnktdGl0bGU+PC90aXRsZXM+PHBlcmlvZGljYWw+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</w:fldData>
        </w:fldChar>
      </w:r>
      <w:r w:rsidRPr="005E6B7C">
        <w:rPr>
          <w:rFonts w:asciiTheme="majorHAnsi" w:eastAsia="Calibri" w:hAnsiTheme="majorHAnsi" w:cstheme="majorHAnsi"/>
          <w:color w:val="000000" w:themeColor="text1"/>
          <w:sz w:val="22"/>
          <w:szCs w:val="22"/>
          <w:lang w:eastAsia="ja-JP"/>
        </w:rPr>
        <w:instrText xml:space="preserve"> ADDIN EN.CITE </w:instrText>
      </w:r>
      <w:r w:rsidRPr="005E6B7C">
        <w:rPr>
          <w:rFonts w:asciiTheme="majorHAnsi" w:eastAsia="Calibri" w:hAnsiTheme="majorHAnsi" w:cstheme="majorHAnsi"/>
          <w:color w:val="000000" w:themeColor="text1"/>
          <w:sz w:val="22"/>
          <w:szCs w:val="22"/>
          <w:lang w:eastAsia="ja-JP"/>
        </w:rPr>
        <w:fldChar w:fldCharType="begin">
          <w:fldData xml:space="preserve">PEVuZE5vdGU+PENpdGU+PEF1dGhvcj5aaG91PC9BdXRob3I+PFllYXI+MjAxNjwvWWVhcj48UmVj
TnVtPjU8L1JlY051bT48RGlzcGxheVRleHQ+WzEzXTwvRGlzcGxheVRleHQ+PHJlY29yZD48cmVj
LW51bWJlcj41PC9yZWMtbnVtYmVyPjxmb3JlaWduLWtleXM+PGtleSBhcHA9IkVOIiBkYi1pZD0i
eGQwZGQ1djVlZDl0emtlc3ZlNnY5dHZ3dHByZGQ1emYwOTBwIiB0aW1lc3RhbXA9IjE3MDIxMDQ3
NDYiPjU8L2tleT48L2ZvcmVpZ24ta2V5cz48cmVmLXR5cGUgbmFtZT0iSm91cm5hbCBBcnRpY2xl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dGxlPkNoZW0gQmlvZGl2ZXJzPC9zZWNvbmRhcnktdGl0bGU+PC90aXRsZXM+PHBlcmlvZGljYWw+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</w:fldData>
        </w:fldChar>
      </w:r>
      <w:r w:rsidRPr="005E6B7C">
        <w:rPr>
          <w:rFonts w:asciiTheme="majorHAnsi" w:eastAsia="Calibri" w:hAnsiTheme="majorHAnsi" w:cstheme="majorHAnsi"/>
          <w:color w:val="000000" w:themeColor="text1"/>
          <w:sz w:val="22"/>
          <w:szCs w:val="22"/>
          <w:lang w:eastAsia="ja-JP"/>
        </w:rPr>
        <w:instrText xml:space="preserve"> ADDIN EN.CITE.DATA </w:instrText>
      </w:r>
      <w:r w:rsidRPr="005E6B7C">
        <w:rPr>
          <w:rFonts w:asciiTheme="majorHAnsi" w:eastAsia="Calibri" w:hAnsiTheme="majorHAnsi" w:cstheme="majorHAnsi"/>
          <w:color w:val="000000" w:themeColor="text1"/>
          <w:sz w:val="22"/>
          <w:szCs w:val="22"/>
          <w:lang w:eastAsia="ja-JP"/>
        </w:rPr>
      </w:r>
      <w:r w:rsidRPr="005E6B7C">
        <w:rPr>
          <w:rFonts w:asciiTheme="majorHAnsi" w:eastAsia="Calibri" w:hAnsiTheme="majorHAnsi" w:cstheme="majorHAnsi"/>
          <w:color w:val="000000" w:themeColor="text1"/>
          <w:sz w:val="22"/>
          <w:szCs w:val="22"/>
          <w:lang w:eastAsia="ja-JP"/>
        </w:rPr>
        <w:fldChar w:fldCharType="end"/>
      </w:r>
      <w:r w:rsidRPr="005E6B7C">
        <w:rPr>
          <w:rFonts w:asciiTheme="majorHAnsi" w:eastAsia="Calibri" w:hAnsiTheme="majorHAnsi" w:cstheme="majorHAnsi"/>
          <w:color w:val="000000" w:themeColor="text1"/>
          <w:sz w:val="22"/>
          <w:szCs w:val="22"/>
          <w:lang w:eastAsia="ja-JP"/>
        </w:rPr>
      </w:r>
      <w:r w:rsidRPr="005E6B7C">
        <w:rPr>
          <w:rFonts w:asciiTheme="majorHAnsi" w:eastAsia="Calibri" w:hAnsiTheme="majorHAnsi" w:cstheme="majorHAnsi"/>
          <w:color w:val="000000" w:themeColor="text1"/>
          <w:sz w:val="22"/>
          <w:szCs w:val="22"/>
          <w:lang w:eastAsia="ja-JP"/>
        </w:rPr>
        <w:fldChar w:fldCharType="separate"/>
      </w:r>
      <w:r w:rsidRPr="005E6B7C">
        <w:rPr>
          <w:rFonts w:asciiTheme="majorHAnsi" w:eastAsia="Calibri" w:hAnsiTheme="majorHAnsi" w:cstheme="majorHAnsi"/>
          <w:noProof/>
          <w:color w:val="000000" w:themeColor="text1"/>
          <w:sz w:val="22"/>
          <w:szCs w:val="22"/>
          <w:lang w:eastAsia="ja-JP"/>
        </w:rPr>
        <w:t>[13]</w:t>
      </w:r>
      <w:r w:rsidRPr="005E6B7C">
        <w:rPr>
          <w:rFonts w:asciiTheme="majorHAnsi" w:eastAsia="Calibri"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NOESY correlations of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-29/H-2</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H-2</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-19,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-19/H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-30, and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-30/H-17 indicated that these methyl groups are cofacial and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-oriented, whereas the correlations of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-28/H-5 and H-9/H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-18 supported an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-orientation. Additionally, the cross-peak observed </w:t>
      </w:r>
      <w:r w:rsidRPr="005E6B7C">
        <w:rPr>
          <w:rFonts w:asciiTheme="majorHAnsi" w:eastAsia="Yu Mincho" w:hAnsiTheme="majorHAnsi" w:cstheme="majorHAnsi"/>
          <w:color w:val="000000" w:themeColor="text1"/>
          <w:sz w:val="22"/>
          <w:szCs w:val="22"/>
          <w:lang w:eastAsia="ja-JP"/>
        </w:rPr>
        <w:t>for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-18/H-20, H</w:t>
      </w:r>
      <w:r w:rsidRPr="005E6B7C">
        <w:rPr>
          <w:rFonts w:asciiTheme="majorHAnsi" w:eastAsia="Yu Mincho" w:hAnsiTheme="majorHAnsi" w:cstheme="majorHAnsi"/>
          <w:color w:val="000000" w:themeColor="text1"/>
          <w:sz w:val="22"/>
          <w:szCs w:val="22"/>
          <w:vertAlign w:val="subscript"/>
          <w:lang w:eastAsia="ja-JP"/>
        </w:rPr>
        <w:t>a</w:t>
      </w:r>
      <w:r w:rsidRPr="005E6B7C">
        <w:rPr>
          <w:rFonts w:asciiTheme="majorHAnsi" w:eastAsia="Yu Mincho" w:hAnsiTheme="majorHAnsi" w:cstheme="majorHAnsi"/>
          <w:color w:val="000000" w:themeColor="text1"/>
          <w:sz w:val="22"/>
          <w:szCs w:val="22"/>
          <w:lang w:eastAsia="ja-JP"/>
        </w:rPr>
        <w:t>-22/H-23, and H-23/H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-26 showed that both H-20 and H-23 are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-oriented, whereas those for H-17/H-21, H-21/H-24 revealed that H-21 and H-24 are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-oriented. Based on the above evidence and comparison with the published data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finally identified as cumingianol E (Fig. 1 and Table 1). This compound was previously obtained from the leaves of </w:t>
      </w:r>
      <w:r w:rsidRPr="005E6B7C">
        <w:rPr>
          <w:rFonts w:asciiTheme="majorHAnsi" w:eastAsia="Yu Mincho" w:hAnsiTheme="majorHAnsi" w:cstheme="majorHAnsi"/>
          <w:i/>
          <w:color w:val="000000" w:themeColor="text1"/>
          <w:sz w:val="22"/>
          <w:szCs w:val="22"/>
          <w:lang w:eastAsia="ja-JP"/>
        </w:rPr>
        <w:t>Dysoxylum cumingianum</w:t>
      </w:r>
      <w:r w:rsidRPr="005E6B7C">
        <w:rPr>
          <w:rFonts w:asciiTheme="majorHAnsi" w:eastAsia="Yu Mincho" w:hAnsiTheme="majorHAnsi" w:cstheme="majorHAnsi"/>
          <w:color w:val="000000" w:themeColor="text1"/>
          <w:sz w:val="22"/>
          <w:szCs w:val="22"/>
          <w:lang w:eastAsia="ja-JP"/>
        </w:rPr>
        <w:t xml:space="preserve"> (Meliaceae) </w:t>
      </w:r>
      <w:r w:rsidRPr="005E6B7C">
        <w:rPr>
          <w:rFonts w:asciiTheme="majorHAnsi" w:eastAsia="Yu Mincho" w:hAnsiTheme="majorHAnsi" w:cstheme="majorHAnsi"/>
          <w:color w:val="000000" w:themeColor="text1"/>
          <w:sz w:val="22"/>
          <w:szCs w:val="22"/>
          <w:lang w:eastAsia="ja-JP"/>
        </w:rPr>
        <w:lastRenderedPageBreak/>
        <w:t>and was reported to show no growth inhibitory effects against KB, MCF</w:t>
      </w:r>
      <w:r w:rsidR="00FB7B36"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7, and KB-C2 cell lines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43998735" w14:textId="5187C25C" w:rsidR="00E21A7D" w:rsidRPr="005E6B7C" w:rsidRDefault="00E21A7D" w:rsidP="00E21A7D">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 xml:space="preserve">2 </w:t>
      </w:r>
      <w:r w:rsidRPr="005E6B7C">
        <w:rPr>
          <w:rFonts w:asciiTheme="majorHAnsi" w:eastAsia="Yu Mincho" w:hAnsiTheme="majorHAnsi" w:cstheme="majorHAnsi"/>
          <w:color w:val="000000" w:themeColor="text1"/>
          <w:sz w:val="22"/>
          <w:szCs w:val="22"/>
          <w:lang w:eastAsia="ja-JP"/>
        </w:rPr>
        <w:t xml:space="preserve">was isolated as a white amorphous powder. The HRESIMS data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showed a sodium adduct ion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543.3679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31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52</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543.3676), consistent with the molecular formula C</w:t>
      </w:r>
      <w:r w:rsidRPr="005E6B7C">
        <w:rPr>
          <w:rFonts w:asciiTheme="majorHAnsi" w:eastAsia="Yu Mincho" w:hAnsiTheme="majorHAnsi" w:cstheme="majorHAnsi"/>
          <w:color w:val="000000" w:themeColor="text1"/>
          <w:sz w:val="22"/>
          <w:szCs w:val="22"/>
          <w:vertAlign w:val="subscript"/>
          <w:lang w:eastAsia="ja-JP"/>
        </w:rPr>
        <w:t>31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52</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(six degrees of unsaturation). Analysis of the NMR spectra allowed the assignment of most functional groups characteristic of an apotirucallane-type triterpenoid skeleton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PEVuZE5vdGU+PENpdGU+PEF1dGhvcj5LdXJpbW90bzwvQXV0aG9yPjxZZWFyPjIwMTE8L1llYXI+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PEVuZE5vdGU+PENpdGU+PEF1dGhvcj5LdXJpbW90bzwvQXV0aG9yPjxZZWFyPjIwMTE8L1llYXI+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Complete elucidation of 1D NMR (Table 1) and HSQC spectra indicated that the structure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closely resembled that of cumingianol E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&lt;EndNote&gt;&lt;Cite&gt;&lt;Author&gt;Kurimoto&lt;/Author&gt;&lt;Year&gt;2011&lt;/Year&gt;&lt;RecNum&gt;142&lt;/RecNum&gt;&lt;DisplayText&gt;[12]&lt;/DisplayText&gt;&lt;record&gt;&lt;rec-number&gt;142&lt;/rec-number&gt;&lt;foreign-keys&gt;&lt;key app="EN" db-id="wtwztf5x4xdspae09au5etpxp0p5w5trdz2e" timestamp="1763801178"&gt;142&lt;/key&gt;&lt;/foreign-keys&gt;&lt;ref-type name="Journal Article"&gt;17&lt;/ref-type&gt;&lt;contributors&gt;&lt;authors&gt;&lt;author&gt;Kurimoto, Shin-ichiro&lt;/author&gt;&lt;author&gt;Kashiwada, Yoshiki&lt;/author&gt;&lt;author&gt;Lee, Kuo-Hsiung&lt;/author&gt;&lt;author&gt;Takaishi, Yoshihisa&lt;/author&gt;&lt;/authors&gt;&lt;/contributors&gt;&lt;titles&gt;&lt;title&gt;Triterpenes and a triterpene glucoside from Dysoxylum cumingianum&lt;/title&gt;&lt;secondary-title&gt;Phytochemistry&lt;/secondary-title&gt;&lt;/titles&gt;&lt;periodical&gt;&lt;full-title&gt;Phytochemistry&lt;/full-title&gt;&lt;abbr-1&gt;Phytochemistry&lt;/abbr-1&gt;&lt;abbr-2&gt;Phytochemistry&lt;/abbr-2&gt;&lt;/periodical&gt;&lt;pages&gt;2205-2211&lt;/pages&gt;&lt;volume&gt;72&lt;/volume&gt;&lt;number&gt;17&lt;/number&gt;&lt;keywords&gt;&lt;keyword&gt;Meliaceae&lt;/keyword&gt;&lt;keyword&gt;Triterpene&lt;/keyword&gt;&lt;keyword&gt;Multi-drug resistant (MDR)&lt;/keyword&gt;&lt;/keywords&gt;&lt;dates&gt;&lt;year&gt;2011&lt;/year&gt;&lt;pub-dates&gt;&lt;date&gt;2011/12/01/&lt;/date&gt;&lt;/pub-dates&gt;&lt;/dates&gt;&lt;isbn&gt;0031-9422&lt;/isbn&gt;&lt;urls&gt;&lt;related-urls&gt;&lt;url&gt;https://www.sciencedirect.com/science/article/pii/S0031942211003682&lt;/url&gt;&lt;/related-urls&gt;&lt;/urls&gt;&lt;electronic-resource-num&gt;https://doi.org/10.1016/j.phytochem.2011.08.002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(Table 1), except for minor differences observed at C-25 resonance in the side chain. The difference between the two compounds is that the methoxy group at C-25 in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replaced by a hydroxy group in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This substitution was suggested by the upfield shifts of C-25, from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77.0 in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to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73.0 in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(Table 1). This conclusion was further supported by 2D HMBC correlations from the proton signal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1.26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-26)/1.29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-27) with C-25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73.0), as well as a 14 mass units difference between the </w:t>
      </w:r>
      <w:r w:rsidRPr="005E6B7C">
        <w:rPr>
          <w:rFonts w:asciiTheme="majorHAnsi" w:eastAsia="Yu Mincho" w:hAnsiTheme="majorHAnsi" w:cstheme="majorHAnsi"/>
          <w:color w:val="000000" w:themeColor="text1"/>
          <w:spacing w:val="-2"/>
          <w:sz w:val="22"/>
          <w:szCs w:val="22"/>
          <w:lang w:eastAsia="ja-JP"/>
        </w:rPr>
        <w:t xml:space="preserve">two molecules. The structure of </w:t>
      </w:r>
      <w:r w:rsidRPr="005E6B7C">
        <w:rPr>
          <w:rFonts w:asciiTheme="majorHAnsi" w:eastAsia="Yu Mincho" w:hAnsiTheme="majorHAnsi" w:cstheme="majorHAnsi"/>
          <w:b/>
          <w:color w:val="000000" w:themeColor="text1"/>
          <w:spacing w:val="-2"/>
          <w:sz w:val="22"/>
          <w:szCs w:val="22"/>
          <w:lang w:eastAsia="ja-JP"/>
        </w:rPr>
        <w:t>2</w:t>
      </w:r>
      <w:r w:rsidRPr="005E6B7C">
        <w:rPr>
          <w:rFonts w:asciiTheme="majorHAnsi" w:eastAsia="Yu Mincho" w:hAnsiTheme="majorHAnsi" w:cstheme="majorHAnsi"/>
          <w:color w:val="000000" w:themeColor="text1"/>
          <w:spacing w:val="-2"/>
          <w:sz w:val="22"/>
          <w:szCs w:val="22"/>
          <w:lang w:eastAsia="ja-JP"/>
        </w:rPr>
        <w:t xml:space="preserve"> was additionally confirmed through 2D NMR experiments, including HSQC, HMBC, and NOESY spectra. Its relative configuration of </w:t>
      </w:r>
      <w:r w:rsidRPr="005E6B7C">
        <w:rPr>
          <w:rFonts w:asciiTheme="majorHAnsi" w:eastAsia="Yu Mincho" w:hAnsiTheme="majorHAnsi" w:cstheme="majorHAnsi"/>
          <w:b/>
          <w:color w:val="000000" w:themeColor="text1"/>
          <w:spacing w:val="-2"/>
          <w:sz w:val="22"/>
          <w:szCs w:val="22"/>
          <w:lang w:eastAsia="ja-JP"/>
        </w:rPr>
        <w:t>2</w:t>
      </w:r>
      <w:r w:rsidRPr="005E6B7C">
        <w:rPr>
          <w:rFonts w:asciiTheme="majorHAnsi" w:eastAsia="Yu Mincho" w:hAnsiTheme="majorHAnsi" w:cstheme="majorHAnsi"/>
          <w:color w:val="000000" w:themeColor="text1"/>
          <w:spacing w:val="-2"/>
          <w:sz w:val="22"/>
          <w:szCs w:val="22"/>
          <w:lang w:eastAsia="ja-JP"/>
        </w:rPr>
        <w:t xml:space="preserve"> was inferred from NOESY correlations and found to be identical to that of compound </w:t>
      </w:r>
      <w:r w:rsidRPr="005E6B7C">
        <w:rPr>
          <w:rFonts w:asciiTheme="majorHAnsi" w:eastAsia="Yu Mincho" w:hAnsiTheme="majorHAnsi" w:cstheme="majorHAnsi"/>
          <w:b/>
          <w:color w:val="000000" w:themeColor="text1"/>
          <w:spacing w:val="-2"/>
          <w:sz w:val="22"/>
          <w:szCs w:val="22"/>
          <w:lang w:eastAsia="ja-JP"/>
        </w:rPr>
        <w:t>1</w:t>
      </w:r>
      <w:r w:rsidRPr="005E6B7C">
        <w:rPr>
          <w:rFonts w:asciiTheme="majorHAnsi" w:eastAsia="Yu Mincho" w:hAnsiTheme="majorHAnsi" w:cstheme="majorHAnsi"/>
          <w:color w:val="000000" w:themeColor="text1"/>
          <w:spacing w:val="-2"/>
          <w:sz w:val="22"/>
          <w:szCs w:val="22"/>
          <w:lang w:eastAsia="ja-JP"/>
        </w:rPr>
        <w:t xml:space="preserve">. Detailed examination of the NMR spectroscopic data supported the identification of </w:t>
      </w:r>
      <w:r w:rsidRPr="005E6B7C">
        <w:rPr>
          <w:rFonts w:asciiTheme="majorHAnsi" w:eastAsia="Yu Mincho" w:hAnsiTheme="majorHAnsi" w:cstheme="majorHAnsi"/>
          <w:b/>
          <w:color w:val="000000" w:themeColor="text1"/>
          <w:spacing w:val="-2"/>
          <w:sz w:val="22"/>
          <w:szCs w:val="22"/>
          <w:lang w:eastAsia="ja-JP"/>
        </w:rPr>
        <w:t>2</w:t>
      </w:r>
      <w:r w:rsidRPr="005E6B7C">
        <w:rPr>
          <w:rFonts w:asciiTheme="majorHAnsi" w:eastAsia="Yu Mincho" w:hAnsiTheme="majorHAnsi" w:cstheme="majorHAnsi"/>
          <w:color w:val="000000" w:themeColor="text1"/>
          <w:spacing w:val="-2"/>
          <w:sz w:val="22"/>
          <w:szCs w:val="22"/>
          <w:lang w:eastAsia="ja-JP"/>
        </w:rPr>
        <w:t xml:space="preserve"> and in comparison with reported literature</w:t>
      </w:r>
      <w:r w:rsidR="007A051F"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established it as </w:t>
      </w:r>
      <w:r w:rsidRPr="005E6B7C">
        <w:rPr>
          <w:rFonts w:asciiTheme="majorHAnsi" w:eastAsia="Calibri" w:hAnsiTheme="majorHAnsi" w:cstheme="majorHAnsi"/>
          <w:color w:val="000000" w:themeColor="text1"/>
          <w:spacing w:val="-2"/>
          <w:sz w:val="22"/>
          <w:szCs w:val="22"/>
          <w:lang w:eastAsia="ja-JP"/>
        </w:rPr>
        <w:t>21-</w:t>
      </w:r>
      <w:r w:rsidRPr="005E6B7C">
        <w:rPr>
          <w:rFonts w:asciiTheme="majorHAnsi" w:eastAsia="Calibri" w:hAnsiTheme="majorHAnsi" w:cstheme="majorHAnsi"/>
          <w:i/>
          <w:color w:val="000000" w:themeColor="text1"/>
          <w:spacing w:val="-2"/>
          <w:sz w:val="22"/>
          <w:szCs w:val="22"/>
          <w:lang w:eastAsia="ja-JP"/>
        </w:rPr>
        <w:t>O</w:t>
      </w:r>
      <w:r w:rsidRPr="005E6B7C">
        <w:rPr>
          <w:rFonts w:asciiTheme="majorHAnsi" w:eastAsia="Calibri" w:hAnsiTheme="majorHAnsi" w:cstheme="majorHAnsi"/>
          <w:color w:val="000000" w:themeColor="text1"/>
          <w:spacing w:val="-2"/>
          <w:sz w:val="22"/>
          <w:szCs w:val="22"/>
          <w:lang w:eastAsia="ja-JP"/>
        </w:rPr>
        <w:t>-</w:t>
      </w:r>
      <w:r w:rsidRPr="005E6B7C">
        <w:rPr>
          <w:rFonts w:asciiTheme="majorHAnsi" w:eastAsia="Calibri" w:hAnsiTheme="majorHAnsi" w:cstheme="majorHAnsi"/>
          <w:color w:val="000000" w:themeColor="text1"/>
          <w:spacing w:val="-2"/>
          <w:sz w:val="22"/>
          <w:szCs w:val="22"/>
          <w:lang w:eastAsia="ja-JP"/>
        </w:rPr>
        <w:t xml:space="preserve">methyltoosendanpentol </w:t>
      </w:r>
      <w:r w:rsidRPr="005E6B7C">
        <w:rPr>
          <w:rFonts w:asciiTheme="majorHAnsi" w:eastAsia="Calibri" w:hAnsiTheme="majorHAnsi" w:cstheme="majorHAnsi"/>
          <w:color w:val="000000" w:themeColor="text1"/>
          <w:spacing w:val="-2"/>
          <w:sz w:val="22"/>
          <w:szCs w:val="22"/>
          <w:lang w:eastAsia="ja-JP"/>
        </w:rPr>
        <w:fldChar w:fldCharType="begin"/>
      </w:r>
      <w:r w:rsidRPr="005E6B7C">
        <w:rPr>
          <w:rFonts w:asciiTheme="majorHAnsi" w:eastAsia="Calibri" w:hAnsiTheme="majorHAnsi" w:cstheme="majorHAnsi"/>
          <w:color w:val="000000" w:themeColor="text1"/>
          <w:spacing w:val="-2"/>
          <w:sz w:val="22"/>
          <w:szCs w:val="22"/>
          <w:lang w:eastAsia="ja-JP"/>
        </w:rPr>
        <w:instrText xml:space="preserve"> ADDIN EN.CITE &lt;EndNote&gt;&lt;Cite&gt;&lt;Author&gt;Xie&lt;/Author&gt;&lt;Year&gt;2007&lt;/Year&gt;&lt;RecNum&gt;332&lt;/RecNum&gt;&lt;DisplayText&gt;[14]&lt;/DisplayText&gt;&lt;record&gt;&lt;rec-number&gt;332&lt;/rec-number&gt;&lt;foreign-keys&gt;&lt;key app="EN" db-id="9sr5eszf50a29ae55xgpdt5w0vxdz95ex2xv" timestamp="1767580919"&gt;332&lt;/key&gt;&lt;/foreign-keys&gt;&lt;ref-type name="Journal Article"&gt;17&lt;/ref-type&gt;&lt;contributors&gt;&lt;authors&gt;&lt;author&gt;Bo Jun Xie&lt;/author&gt;&lt;author&gt;Sheng Ping Yang&lt;/author&gt;&lt;author&gt;Hua Dong Chen&lt;/author&gt;&lt;author&gt;Jian Min Yue&lt;/author&gt;&lt;/authors&gt;&lt;/contributors&gt;&lt;titles&gt;&lt;title&gt;&lt;style face="normal" font="default" size="100%"&gt;Agladupols A–E, triterpenoids from &lt;/style&gt;&lt;style face="italic" font="default" size="100%"&gt;Aglaia duperreana&lt;/style&gt;&lt;/title&gt;&lt;secondary-title&gt;J. Nat. Prod.&lt;/secondary-title&gt;&lt;/titles&gt;&lt;periodical&gt;&lt;full-title&gt;J. Nat. Prod.&lt;/full-title&gt;&lt;/periodical&gt;&lt;pages&gt;1532–1535&lt;/pages&gt;&lt;volume&gt;70&lt;/volume&gt;&lt;number&gt;9&lt;/number&gt;&lt;section&gt;1532&lt;/section&gt;&lt;dates&gt;&lt;year&gt;2007&lt;/year&gt;&lt;/dates&gt;&lt;urls&gt;&lt;/urls&gt;&lt;/record&gt;&lt;/Cite&gt;&lt;/EndNote&gt;</w:instrText>
      </w:r>
      <w:r w:rsidRPr="005E6B7C">
        <w:rPr>
          <w:rFonts w:asciiTheme="majorHAnsi" w:eastAsia="Calibri" w:hAnsiTheme="majorHAnsi" w:cstheme="majorHAnsi"/>
          <w:color w:val="000000" w:themeColor="text1"/>
          <w:spacing w:val="-2"/>
          <w:sz w:val="22"/>
          <w:szCs w:val="22"/>
          <w:lang w:eastAsia="ja-JP"/>
        </w:rPr>
        <w:fldChar w:fldCharType="separate"/>
      </w:r>
      <w:r w:rsidRPr="005E6B7C">
        <w:rPr>
          <w:rFonts w:asciiTheme="majorHAnsi" w:eastAsia="Calibri" w:hAnsiTheme="majorHAnsi" w:cstheme="majorHAnsi"/>
          <w:noProof/>
          <w:color w:val="000000" w:themeColor="text1"/>
          <w:spacing w:val="-2"/>
          <w:sz w:val="22"/>
          <w:szCs w:val="22"/>
          <w:lang w:eastAsia="ja-JP"/>
        </w:rPr>
        <w:t>[14]</w:t>
      </w:r>
      <w:r w:rsidRPr="005E6B7C">
        <w:rPr>
          <w:rFonts w:asciiTheme="majorHAnsi" w:eastAsia="Calibri" w:hAnsiTheme="majorHAnsi" w:cstheme="majorHAnsi"/>
          <w:color w:val="000000" w:themeColor="text1"/>
          <w:spacing w:val="-2"/>
          <w:sz w:val="22"/>
          <w:szCs w:val="22"/>
          <w:lang w:eastAsia="ja-JP"/>
        </w:rPr>
        <w:fldChar w:fldCharType="end"/>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Calibri" w:hAnsiTheme="majorHAnsi" w:cstheme="majorHAnsi"/>
          <w:color w:val="000000" w:themeColor="text1"/>
          <w:spacing w:val="-2"/>
          <w:sz w:val="22"/>
          <w:szCs w:val="22"/>
          <w:lang w:eastAsia="ja-JP"/>
        </w:rPr>
        <w:t xml:space="preserve"> This compound was previously reported from the leaves and stems of </w:t>
      </w:r>
      <w:r w:rsidRPr="005E6B7C">
        <w:rPr>
          <w:rFonts w:asciiTheme="majorHAnsi" w:eastAsia="Calibri" w:hAnsiTheme="majorHAnsi" w:cstheme="majorHAnsi"/>
          <w:i/>
          <w:color w:val="000000" w:themeColor="text1"/>
          <w:spacing w:val="-2"/>
          <w:sz w:val="22"/>
          <w:szCs w:val="22"/>
          <w:lang w:eastAsia="ja-JP"/>
        </w:rPr>
        <w:t>Aglaia duperreana</w:t>
      </w:r>
      <w:r w:rsidRPr="005E6B7C">
        <w:rPr>
          <w:rFonts w:asciiTheme="majorHAnsi" w:eastAsia="Calibri" w:hAnsiTheme="majorHAnsi" w:cstheme="majorHAnsi"/>
          <w:color w:val="000000" w:themeColor="text1"/>
          <w:spacing w:val="-2"/>
          <w:sz w:val="22"/>
          <w:szCs w:val="22"/>
          <w:lang w:eastAsia="ja-JP"/>
        </w:rPr>
        <w:t xml:space="preserve"> </w:t>
      </w:r>
      <w:r w:rsidRPr="005E6B7C">
        <w:rPr>
          <w:rFonts w:asciiTheme="majorHAnsi" w:eastAsia="Calibri" w:hAnsiTheme="majorHAnsi" w:cstheme="majorHAnsi"/>
          <w:color w:val="000000" w:themeColor="text1"/>
          <w:spacing w:val="-2"/>
          <w:sz w:val="22"/>
          <w:szCs w:val="22"/>
          <w:lang w:eastAsia="ja-JP"/>
        </w:rPr>
        <w:fldChar w:fldCharType="begin"/>
      </w:r>
      <w:r w:rsidRPr="005E6B7C">
        <w:rPr>
          <w:rFonts w:asciiTheme="majorHAnsi" w:eastAsia="Calibri" w:hAnsiTheme="majorHAnsi" w:cstheme="majorHAnsi"/>
          <w:color w:val="000000" w:themeColor="text1"/>
          <w:spacing w:val="-2"/>
          <w:sz w:val="22"/>
          <w:szCs w:val="22"/>
          <w:lang w:eastAsia="ja-JP"/>
        </w:rPr>
        <w:instrText xml:space="preserve"> ADDIN EN.CITE &lt;EndNote&gt;&lt;Cite&gt;&lt;Author&gt;Xie&lt;/Author&gt;&lt;Year&gt;2007&lt;/Year&gt;&lt;RecNum&gt;332&lt;/RecNum&gt;&lt;DisplayText&gt;[14]&lt;/DisplayText&gt;&lt;record&gt;&lt;rec-number&gt;332&lt;/rec-number&gt;&lt;foreign-keys&gt;&lt;key app="EN" db-id="9sr5eszf50a29ae55xgpdt5w0vxdz95ex2xv" timestamp="1767580919"&gt;332&lt;/key&gt;&lt;/foreign-keys&gt;&lt;ref-type name="Journal Article"&gt;17&lt;/ref-type&gt;&lt;contributors&gt;&lt;authors&gt;&lt;author&gt;Bo Jun Xie&lt;/author&gt;&lt;author&gt;Sheng Ping Yang&lt;/author&gt;&lt;author&gt;Hua Dong Chen&lt;/author&gt;&lt;author&gt;Jian Min Yue&lt;/author&gt;&lt;/authors&gt;&lt;/contributors&gt;&lt;titles&gt;&lt;title&gt;&lt;style face="normal" font="default" size="100%"&gt;Agladupols A–E, triterpenoids from &lt;/style&gt;&lt;style face="italic" font="default" size="100%"&gt;Aglaia duperreana&lt;/style&gt;&lt;/title&gt;&lt;secondary-title&gt;J. Nat. Prod.&lt;/secondary-title&gt;&lt;/titles&gt;&lt;periodical&gt;&lt;full-title&gt;J. Nat. Prod.&lt;/full-title&gt;&lt;/periodical&gt;&lt;pages&gt;1532–1535&lt;/pages&gt;&lt;volume&gt;70&lt;/volume&gt;&lt;number&gt;9&lt;/number&gt;&lt;section&gt;1532&lt;/section&gt;&lt;dates&gt;&lt;year&gt;2007&lt;/year&gt;&lt;/dates&gt;&lt;urls&gt;&lt;/urls&gt;&lt;/record&gt;&lt;/Cite&gt;&lt;/EndNote&gt;</w:instrText>
      </w:r>
      <w:r w:rsidRPr="005E6B7C">
        <w:rPr>
          <w:rFonts w:asciiTheme="majorHAnsi" w:eastAsia="Calibri" w:hAnsiTheme="majorHAnsi" w:cstheme="majorHAnsi"/>
          <w:color w:val="000000" w:themeColor="text1"/>
          <w:spacing w:val="-2"/>
          <w:sz w:val="22"/>
          <w:szCs w:val="22"/>
          <w:lang w:eastAsia="ja-JP"/>
        </w:rPr>
        <w:fldChar w:fldCharType="separate"/>
      </w:r>
      <w:r w:rsidRPr="005E6B7C">
        <w:rPr>
          <w:rFonts w:asciiTheme="majorHAnsi" w:eastAsia="Calibri" w:hAnsiTheme="majorHAnsi" w:cstheme="majorHAnsi"/>
          <w:noProof/>
          <w:color w:val="000000" w:themeColor="text1"/>
          <w:spacing w:val="-2"/>
          <w:sz w:val="22"/>
          <w:szCs w:val="22"/>
          <w:lang w:eastAsia="ja-JP"/>
        </w:rPr>
        <w:t>[14]</w:t>
      </w:r>
      <w:r w:rsidRPr="005E6B7C">
        <w:rPr>
          <w:rFonts w:asciiTheme="majorHAnsi" w:eastAsia="Calibri" w:hAnsiTheme="majorHAnsi" w:cstheme="majorHAnsi"/>
          <w:color w:val="000000" w:themeColor="text1"/>
          <w:spacing w:val="-2"/>
          <w:sz w:val="22"/>
          <w:szCs w:val="22"/>
          <w:lang w:eastAsia="ja-JP"/>
        </w:rPr>
        <w:fldChar w:fldCharType="end"/>
      </w:r>
      <w:r w:rsidRPr="005E6B7C">
        <w:rPr>
          <w:rFonts w:asciiTheme="majorHAnsi" w:eastAsia="Calibri" w:hAnsiTheme="majorHAnsi" w:cstheme="majorHAnsi"/>
          <w:color w:val="000000" w:themeColor="text1"/>
          <w:spacing w:val="-2"/>
          <w:sz w:val="22"/>
          <w:szCs w:val="22"/>
          <w:lang w:eastAsia="ja-JP"/>
        </w:rPr>
        <w:t xml:space="preserve"> and the fruits of </w:t>
      </w:r>
      <w:r w:rsidRPr="005E6B7C">
        <w:rPr>
          <w:rFonts w:asciiTheme="majorHAnsi" w:eastAsia="Calibri" w:hAnsiTheme="majorHAnsi" w:cstheme="majorHAnsi"/>
          <w:i/>
          <w:color w:val="000000" w:themeColor="text1"/>
          <w:spacing w:val="-2"/>
          <w:sz w:val="22"/>
          <w:szCs w:val="22"/>
          <w:lang w:eastAsia="ja-JP"/>
        </w:rPr>
        <w:t xml:space="preserve">Melia toosendan </w:t>
      </w:r>
      <w:r w:rsidRPr="005E6B7C">
        <w:rPr>
          <w:rFonts w:asciiTheme="majorHAnsi" w:eastAsia="Calibri" w:hAnsiTheme="majorHAnsi" w:cstheme="majorHAnsi"/>
          <w:color w:val="000000" w:themeColor="text1"/>
          <w:spacing w:val="-2"/>
          <w:sz w:val="22"/>
          <w:szCs w:val="22"/>
          <w:lang w:eastAsia="ja-JP"/>
        </w:rPr>
        <w:fldChar w:fldCharType="begin"/>
      </w:r>
      <w:r w:rsidRPr="005E6B7C">
        <w:rPr>
          <w:rFonts w:asciiTheme="majorHAnsi" w:eastAsia="Calibri" w:hAnsiTheme="majorHAnsi" w:cstheme="majorHAnsi"/>
          <w:color w:val="000000" w:themeColor="text1"/>
          <w:spacing w:val="-2"/>
          <w:sz w:val="22"/>
          <w:szCs w:val="22"/>
          <w:lang w:eastAsia="ja-JP"/>
        </w:rPr>
        <w:instrText xml:space="preserve"> ADDIN EN.CITE &lt;EndNote&gt;&lt;Cite&gt;&lt;Author&gt;Inada&lt;/Author&gt;&lt;Year&gt;1989&lt;/Year&gt;&lt;RecNum&gt;331&lt;/RecNum&gt;&lt;DisplayText&gt;[15]&lt;/DisplayText&gt;&lt;record&gt;&lt;rec-number&gt;331&lt;/rec-number&gt;&lt;foreign-keys&gt;&lt;key app="EN" db-id="9sr5eszf50a29ae55xgpdt5w0vxdz95ex2xv" timestamp="1764750549"&gt;331&lt;/key&gt;&lt;/foreign-keys&gt;&lt;ref-type name="Journal Article"&gt;17&lt;/ref-type&gt;&lt;contributors&gt;&lt;authors&gt;&lt;author&gt;Akira Inada&lt;/author&gt;&lt;author&gt;Mari Konishi&lt;/author&gt;&lt;author&gt;Tsutomu Nakanishi&lt;/author&gt;&lt;/authors&gt;&lt;/contributors&gt;&lt;titles&gt;&lt;title&gt;&lt;style face="normal" font="default" size="100%"&gt;Phytochemical studies on Meliaceous plants. V. Structure of a new apotirucallane-type triterpene, 21-0-methyltoosendanpentol from fruits of &lt;/style&gt;&lt;style face="italic" font="default" size="100%"&gt;Melia toosendan&lt;/style&gt;&lt;style face="normal" font="default" size="100%"&gt; Sieb. et Zucc&lt;/style&gt;&lt;/title&gt;&lt;secondary-title&gt;Heterocycles&lt;/secondary-title&gt;&lt;/titles&gt;&lt;periodical&gt;&lt;full-title&gt;Heterocycles&lt;/full-title&gt;&lt;/periodical&gt;&lt;pages&gt;383-387&lt;/pages&gt;&lt;volume&gt;28&lt;/volume&gt;&lt;number&gt;1&lt;/number&gt;&lt;section&gt;383&lt;/section&gt;&lt;dates&gt;&lt;year&gt;1989&lt;/year&gt;&lt;/dates&gt;&lt;urls&gt;&lt;/urls&gt;&lt;/record&gt;&lt;/Cite&gt;&lt;/EndNote&gt;</w:instrText>
      </w:r>
      <w:r w:rsidRPr="005E6B7C">
        <w:rPr>
          <w:rFonts w:asciiTheme="majorHAnsi" w:eastAsia="Calibri" w:hAnsiTheme="majorHAnsi" w:cstheme="majorHAnsi"/>
          <w:color w:val="000000" w:themeColor="text1"/>
          <w:spacing w:val="-2"/>
          <w:sz w:val="22"/>
          <w:szCs w:val="22"/>
          <w:lang w:eastAsia="ja-JP"/>
        </w:rPr>
        <w:fldChar w:fldCharType="separate"/>
      </w:r>
      <w:r w:rsidRPr="005E6B7C">
        <w:rPr>
          <w:rFonts w:asciiTheme="majorHAnsi" w:eastAsia="Calibri" w:hAnsiTheme="majorHAnsi" w:cstheme="majorHAnsi"/>
          <w:noProof/>
          <w:color w:val="000000" w:themeColor="text1"/>
          <w:spacing w:val="-2"/>
          <w:sz w:val="22"/>
          <w:szCs w:val="22"/>
          <w:lang w:eastAsia="ja-JP"/>
        </w:rPr>
        <w:t>[15]</w:t>
      </w:r>
      <w:r w:rsidRPr="005E6B7C">
        <w:rPr>
          <w:rFonts w:asciiTheme="majorHAnsi" w:eastAsia="Calibri" w:hAnsiTheme="majorHAnsi" w:cstheme="majorHAnsi"/>
          <w:color w:val="000000" w:themeColor="text1"/>
          <w:spacing w:val="-2"/>
          <w:sz w:val="22"/>
          <w:szCs w:val="22"/>
          <w:lang w:eastAsia="ja-JP"/>
        </w:rPr>
        <w:fldChar w:fldCharType="end"/>
      </w:r>
      <w:r w:rsidRPr="005E6B7C">
        <w:rPr>
          <w:rFonts w:asciiTheme="majorHAnsi" w:eastAsia="Calibri" w:hAnsiTheme="majorHAnsi" w:cstheme="majorHAnsi"/>
          <w:color w:val="000000" w:themeColor="text1"/>
          <w:spacing w:val="-2"/>
          <w:sz w:val="22"/>
          <w:szCs w:val="22"/>
          <w:lang w:eastAsia="ja-JP"/>
        </w:rPr>
        <w:t xml:space="preserve">. Thus far, no activity was found in an inhibition assay for compound </w:t>
      </w:r>
      <w:r w:rsidRPr="005E6B7C">
        <w:rPr>
          <w:rFonts w:asciiTheme="majorHAnsi" w:eastAsia="Calibri" w:hAnsiTheme="majorHAnsi" w:cstheme="majorHAnsi"/>
          <w:b/>
          <w:color w:val="000000" w:themeColor="text1"/>
          <w:spacing w:val="-2"/>
          <w:sz w:val="22"/>
          <w:szCs w:val="22"/>
          <w:lang w:eastAsia="ja-JP"/>
        </w:rPr>
        <w:t>2</w:t>
      </w:r>
      <w:r w:rsidRPr="005E6B7C">
        <w:rPr>
          <w:rFonts w:asciiTheme="majorHAnsi" w:eastAsia="Calibri" w:hAnsiTheme="majorHAnsi" w:cstheme="majorHAnsi"/>
          <w:color w:val="000000" w:themeColor="text1"/>
          <w:spacing w:val="-2"/>
          <w:sz w:val="22"/>
          <w:szCs w:val="22"/>
          <w:lang w:eastAsia="ja-JP"/>
        </w:rPr>
        <w:t>.</w:t>
      </w:r>
    </w:p>
    <w:p w14:paraId="73E4DF9B" w14:textId="187F8CF3" w:rsidR="00E21A7D" w:rsidRPr="005E6B7C" w:rsidRDefault="00E21A7D" w:rsidP="00E21A7D">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E21A7D" w:rsidRPr="005E6B7C" w:rsidSect="00E21A7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pacing w:val="4"/>
          <w:sz w:val="22"/>
          <w:szCs w:val="22"/>
          <w:lang w:eastAsia="ja-JP"/>
        </w:rPr>
        <w:t xml:space="preserve">Compound </w:t>
      </w:r>
      <w:r w:rsidRPr="005E6B7C">
        <w:rPr>
          <w:rFonts w:asciiTheme="majorHAnsi" w:eastAsia="Yu Mincho" w:hAnsiTheme="majorHAnsi" w:cstheme="majorHAnsi"/>
          <w:b/>
          <w:color w:val="000000" w:themeColor="text1"/>
          <w:spacing w:val="4"/>
          <w:sz w:val="22"/>
          <w:szCs w:val="22"/>
          <w:lang w:eastAsia="ja-JP"/>
        </w:rPr>
        <w:t xml:space="preserve">3 </w:t>
      </w:r>
      <w:r w:rsidRPr="005E6B7C">
        <w:rPr>
          <w:rFonts w:asciiTheme="majorHAnsi" w:eastAsia="Yu Mincho" w:hAnsiTheme="majorHAnsi" w:cstheme="majorHAnsi"/>
          <w:color w:val="000000" w:themeColor="text1"/>
          <w:spacing w:val="4"/>
          <w:sz w:val="22"/>
          <w:szCs w:val="22"/>
          <w:lang w:eastAsia="ja-JP"/>
        </w:rPr>
        <w:t>was obtained as a white amorphous powder. Its molecular formula, C</w:t>
      </w:r>
      <w:r w:rsidRPr="005E6B7C">
        <w:rPr>
          <w:rFonts w:asciiTheme="majorHAnsi" w:eastAsia="Yu Mincho" w:hAnsiTheme="majorHAnsi" w:cstheme="majorHAnsi"/>
          <w:color w:val="000000" w:themeColor="text1"/>
          <w:spacing w:val="4"/>
          <w:sz w:val="22"/>
          <w:szCs w:val="22"/>
          <w:vertAlign w:val="subscript"/>
          <w:lang w:eastAsia="ja-JP"/>
        </w:rPr>
        <w:t>31</w:t>
      </w:r>
      <w:r w:rsidRPr="005E6B7C">
        <w:rPr>
          <w:rFonts w:asciiTheme="majorHAnsi" w:eastAsia="Yu Mincho" w:hAnsiTheme="majorHAnsi" w:cstheme="majorHAnsi"/>
          <w:color w:val="000000" w:themeColor="text1"/>
          <w:spacing w:val="4"/>
          <w:sz w:val="22"/>
          <w:szCs w:val="22"/>
          <w:lang w:eastAsia="ja-JP"/>
        </w:rPr>
        <w:t>H</w:t>
      </w:r>
      <w:r w:rsidRPr="005E6B7C">
        <w:rPr>
          <w:rFonts w:asciiTheme="majorHAnsi" w:eastAsia="Yu Mincho" w:hAnsiTheme="majorHAnsi" w:cstheme="majorHAnsi"/>
          <w:color w:val="000000" w:themeColor="text1"/>
          <w:spacing w:val="4"/>
          <w:sz w:val="22"/>
          <w:szCs w:val="22"/>
          <w:vertAlign w:val="subscript"/>
          <w:lang w:eastAsia="ja-JP"/>
        </w:rPr>
        <w:t>50</w:t>
      </w:r>
      <w:r w:rsidRPr="005E6B7C">
        <w:rPr>
          <w:rFonts w:asciiTheme="majorHAnsi" w:eastAsia="Yu Mincho" w:hAnsiTheme="majorHAnsi" w:cstheme="majorHAnsi"/>
          <w:color w:val="000000" w:themeColor="text1"/>
          <w:spacing w:val="4"/>
          <w:sz w:val="22"/>
          <w:szCs w:val="22"/>
          <w:lang w:eastAsia="ja-JP"/>
        </w:rPr>
        <w:t>O</w:t>
      </w:r>
      <w:r w:rsidRPr="005E6B7C">
        <w:rPr>
          <w:rFonts w:asciiTheme="majorHAnsi" w:eastAsia="Yu Mincho" w:hAnsiTheme="majorHAnsi" w:cstheme="majorHAnsi"/>
          <w:color w:val="000000" w:themeColor="text1"/>
          <w:spacing w:val="4"/>
          <w:sz w:val="22"/>
          <w:szCs w:val="22"/>
          <w:vertAlign w:val="subscript"/>
          <w:lang w:eastAsia="ja-JP"/>
        </w:rPr>
        <w:t>5</w:t>
      </w:r>
      <w:r w:rsidRPr="005E6B7C">
        <w:rPr>
          <w:rFonts w:asciiTheme="majorHAnsi" w:eastAsia="Yu Mincho" w:hAnsiTheme="majorHAnsi" w:cstheme="majorHAnsi"/>
          <w:color w:val="000000" w:themeColor="text1"/>
          <w:spacing w:val="4"/>
          <w:sz w:val="22"/>
          <w:szCs w:val="22"/>
          <w:lang w:eastAsia="ja-JP"/>
        </w:rPr>
        <w:t xml:space="preserve">, was established based on the HRESIMS peak at </w:t>
      </w:r>
      <w:r w:rsidRPr="005E6B7C">
        <w:rPr>
          <w:rFonts w:asciiTheme="majorHAnsi" w:eastAsia="Yu Mincho" w:hAnsiTheme="majorHAnsi" w:cstheme="majorHAnsi"/>
          <w:i/>
          <w:color w:val="000000" w:themeColor="text1"/>
          <w:spacing w:val="4"/>
          <w:sz w:val="22"/>
          <w:szCs w:val="22"/>
          <w:lang w:eastAsia="ja-JP"/>
        </w:rPr>
        <w:t>m/z</w:t>
      </w:r>
      <w:r w:rsidRPr="005E6B7C">
        <w:rPr>
          <w:rFonts w:asciiTheme="majorHAnsi" w:eastAsia="Yu Mincho" w:hAnsiTheme="majorHAnsi" w:cstheme="majorHAnsi"/>
          <w:color w:val="000000" w:themeColor="text1"/>
          <w:spacing w:val="4"/>
          <w:sz w:val="22"/>
          <w:szCs w:val="22"/>
          <w:lang w:eastAsia="ja-JP"/>
        </w:rPr>
        <w:t xml:space="preserve"> 503.3739 [M + H]</w:t>
      </w:r>
      <w:r w:rsidRPr="005E6B7C">
        <w:rPr>
          <w:rFonts w:asciiTheme="majorHAnsi" w:eastAsia="Yu Mincho" w:hAnsiTheme="majorHAnsi" w:cstheme="majorHAnsi"/>
          <w:color w:val="000000" w:themeColor="text1"/>
          <w:spacing w:val="4"/>
          <w:sz w:val="22"/>
          <w:szCs w:val="22"/>
          <w:vertAlign w:val="superscript"/>
          <w:lang w:eastAsia="ja-JP"/>
        </w:rPr>
        <w:t>+</w:t>
      </w:r>
      <w:r w:rsidRPr="005E6B7C">
        <w:rPr>
          <w:rFonts w:asciiTheme="majorHAnsi" w:eastAsia="Yu Mincho" w:hAnsiTheme="majorHAnsi" w:cstheme="majorHAnsi"/>
          <w:color w:val="000000" w:themeColor="text1"/>
          <w:spacing w:val="4"/>
          <w:sz w:val="22"/>
          <w:szCs w:val="22"/>
          <w:lang w:eastAsia="ja-JP"/>
        </w:rPr>
        <w:t xml:space="preserve"> (calcd. for [C</w:t>
      </w:r>
      <w:r w:rsidRPr="005E6B7C">
        <w:rPr>
          <w:rFonts w:asciiTheme="majorHAnsi" w:eastAsia="Yu Mincho" w:hAnsiTheme="majorHAnsi" w:cstheme="majorHAnsi"/>
          <w:color w:val="000000" w:themeColor="text1"/>
          <w:spacing w:val="4"/>
          <w:sz w:val="22"/>
          <w:szCs w:val="22"/>
          <w:vertAlign w:val="subscript"/>
          <w:lang w:eastAsia="ja-JP"/>
        </w:rPr>
        <w:t>31</w:t>
      </w:r>
      <w:r w:rsidRPr="005E6B7C">
        <w:rPr>
          <w:rFonts w:asciiTheme="majorHAnsi" w:eastAsia="Yu Mincho" w:hAnsiTheme="majorHAnsi" w:cstheme="majorHAnsi"/>
          <w:color w:val="000000" w:themeColor="text1"/>
          <w:spacing w:val="4"/>
          <w:sz w:val="22"/>
          <w:szCs w:val="22"/>
          <w:lang w:eastAsia="ja-JP"/>
        </w:rPr>
        <w:t>H</w:t>
      </w:r>
      <w:r w:rsidRPr="005E6B7C">
        <w:rPr>
          <w:rFonts w:asciiTheme="majorHAnsi" w:eastAsia="Yu Mincho" w:hAnsiTheme="majorHAnsi" w:cstheme="majorHAnsi"/>
          <w:color w:val="000000" w:themeColor="text1"/>
          <w:spacing w:val="4"/>
          <w:sz w:val="22"/>
          <w:szCs w:val="22"/>
          <w:vertAlign w:val="subscript"/>
          <w:lang w:eastAsia="ja-JP"/>
        </w:rPr>
        <w:t>51</w:t>
      </w:r>
      <w:r w:rsidRPr="005E6B7C">
        <w:rPr>
          <w:rFonts w:asciiTheme="majorHAnsi" w:eastAsia="Yu Mincho" w:hAnsiTheme="majorHAnsi" w:cstheme="majorHAnsi"/>
          <w:color w:val="000000" w:themeColor="text1"/>
          <w:spacing w:val="4"/>
          <w:sz w:val="22"/>
          <w:szCs w:val="22"/>
          <w:lang w:eastAsia="ja-JP"/>
        </w:rPr>
        <w:t>O</w:t>
      </w:r>
      <w:r w:rsidRPr="005E6B7C">
        <w:rPr>
          <w:rFonts w:asciiTheme="majorHAnsi" w:eastAsia="Yu Mincho" w:hAnsiTheme="majorHAnsi" w:cstheme="majorHAnsi"/>
          <w:color w:val="000000" w:themeColor="text1"/>
          <w:spacing w:val="4"/>
          <w:sz w:val="22"/>
          <w:szCs w:val="22"/>
          <w:vertAlign w:val="subscript"/>
          <w:lang w:eastAsia="ja-JP"/>
        </w:rPr>
        <w:t>5</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vertAlign w:val="superscript"/>
          <w:lang w:eastAsia="ja-JP"/>
        </w:rPr>
        <w:t>+</w:t>
      </w:r>
      <w:r w:rsidRPr="005E6B7C">
        <w:rPr>
          <w:rFonts w:asciiTheme="majorHAnsi" w:eastAsia="Yu Mincho" w:hAnsiTheme="majorHAnsi" w:cstheme="majorHAnsi"/>
          <w:color w:val="000000" w:themeColor="text1"/>
          <w:spacing w:val="4"/>
          <w:sz w:val="22"/>
          <w:szCs w:val="22"/>
          <w:lang w:eastAsia="ja-JP"/>
        </w:rPr>
        <w:t xml:space="preserve">, 503.3731) and NMR data, indicating seven degrees of unsaturation. The </w:t>
      </w:r>
      <w:r w:rsidRPr="005E6B7C">
        <w:rPr>
          <w:rFonts w:asciiTheme="majorHAnsi" w:eastAsia="Yu Mincho" w:hAnsiTheme="majorHAnsi" w:cstheme="majorHAnsi"/>
          <w:color w:val="000000" w:themeColor="text1"/>
          <w:spacing w:val="4"/>
          <w:sz w:val="22"/>
          <w:szCs w:val="22"/>
          <w:vertAlign w:val="superscript"/>
          <w:lang w:eastAsia="ja-JP"/>
        </w:rPr>
        <w:t>1</w:t>
      </w:r>
      <w:r w:rsidRPr="005E6B7C">
        <w:rPr>
          <w:rFonts w:asciiTheme="majorHAnsi" w:eastAsia="Yu Mincho" w:hAnsiTheme="majorHAnsi" w:cstheme="majorHAnsi"/>
          <w:color w:val="000000" w:themeColor="text1"/>
          <w:spacing w:val="4"/>
          <w:sz w:val="22"/>
          <w:szCs w:val="22"/>
          <w:lang w:eastAsia="ja-JP"/>
        </w:rPr>
        <w:t xml:space="preserve">H NMR spectrum of </w:t>
      </w:r>
      <w:r w:rsidRPr="005E6B7C">
        <w:rPr>
          <w:rFonts w:asciiTheme="majorHAnsi" w:eastAsia="Yu Mincho" w:hAnsiTheme="majorHAnsi" w:cstheme="majorHAnsi"/>
          <w:b/>
          <w:color w:val="000000" w:themeColor="text1"/>
          <w:spacing w:val="4"/>
          <w:sz w:val="22"/>
          <w:szCs w:val="22"/>
          <w:lang w:eastAsia="ja-JP"/>
        </w:rPr>
        <w:t>3</w:t>
      </w:r>
      <w:r w:rsidRPr="005E6B7C">
        <w:rPr>
          <w:rFonts w:asciiTheme="majorHAnsi" w:eastAsia="Yu Mincho" w:hAnsiTheme="majorHAnsi" w:cstheme="majorHAnsi"/>
          <w:color w:val="000000" w:themeColor="text1"/>
          <w:spacing w:val="4"/>
          <w:sz w:val="22"/>
          <w:szCs w:val="22"/>
          <w:lang w:eastAsia="ja-JP"/>
        </w:rPr>
        <w:t xml:space="preserve"> showed signals corresponding to seven methyl groups, one methoxy group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3.34 (3H, s)], three oxygenated methine protons, one olefinic proton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5.32 (1H, dd, </w:t>
      </w:r>
      <w:r w:rsidRPr="005E6B7C">
        <w:rPr>
          <w:rFonts w:asciiTheme="majorHAnsi" w:eastAsia="Yu Mincho" w:hAnsiTheme="majorHAnsi" w:cstheme="majorHAnsi"/>
          <w:i/>
          <w:color w:val="000000" w:themeColor="text1"/>
          <w:spacing w:val="4"/>
          <w:sz w:val="22"/>
          <w:szCs w:val="22"/>
          <w:lang w:eastAsia="ja-JP"/>
        </w:rPr>
        <w:t>J</w:t>
      </w:r>
      <w:r w:rsidRPr="005E6B7C">
        <w:rPr>
          <w:rFonts w:asciiTheme="majorHAnsi" w:eastAsia="Yu Mincho" w:hAnsiTheme="majorHAnsi" w:cstheme="majorHAnsi"/>
          <w:color w:val="000000" w:themeColor="text1"/>
          <w:spacing w:val="4"/>
          <w:sz w:val="22"/>
          <w:szCs w:val="22"/>
          <w:lang w:eastAsia="ja-JP"/>
        </w:rPr>
        <w:t xml:space="preserve"> = 6.6, 3.0 Hz, H-7], and several overlapping resonances for aliphatic methine and methylene protons. </w:t>
      </w:r>
      <w:r w:rsidRPr="005E6B7C">
        <w:rPr>
          <w:rFonts w:asciiTheme="majorHAnsi" w:eastAsia="Yu Mincho" w:hAnsiTheme="majorHAnsi" w:cstheme="majorHAnsi"/>
          <w:color w:val="000000" w:themeColor="text1"/>
          <w:sz w:val="22"/>
          <w:szCs w:val="22"/>
          <w:lang w:eastAsia="ja-JP"/>
        </w:rPr>
        <w:t xml:space="preserve">Combined analysis of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and HSQC spectra revealed 31 carbon signals attributable to one ketone group, seven methyl groups, one methoxy carbon, eight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methylenes, seven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color w:val="000000" w:themeColor="text1"/>
          <w:sz w:val="22"/>
          <w:szCs w:val="22"/>
          <w:lang w:eastAsia="ja-JP"/>
        </w:rPr>
        <w:t xml:space="preserve"> methines (three oxygenated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109.0, 76.8, and 75.6), one </w:t>
      </w:r>
      <w:r w:rsidRPr="005E6B7C">
        <w:rPr>
          <w:rFonts w:asciiTheme="majorHAnsi" w:eastAsia="Yu Mincho" w:hAnsiTheme="majorHAnsi" w:cstheme="majorHAnsi"/>
          <w:i/>
          <w:color w:val="000000" w:themeColor="text1"/>
          <w:sz w:val="22"/>
          <w:szCs w:val="22"/>
          <w:lang w:eastAsia="ja-JP"/>
        </w:rPr>
        <w:t>sp</w:t>
      </w:r>
      <w:r w:rsidR="00DB0962"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methine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118.2), one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non-protonated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145.6), and five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color w:val="000000" w:themeColor="text1"/>
          <w:sz w:val="22"/>
          <w:szCs w:val="22"/>
          <w:lang w:eastAsia="ja-JP"/>
        </w:rPr>
        <w:t xml:space="preserve"> non-protonated carbons (Table 2). The remaining five degrees of unsaturation indicated that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possessed a pentacyclic core. The presence of a tetrahydrofuran ring in the side chain was assigned based on correlations observed in the 2D NMR data. Overall, the NMR spectroscopic data closely matched those reported for a </w:t>
      </w:r>
      <w:r w:rsidRPr="005E6B7C">
        <w:rPr>
          <w:rFonts w:asciiTheme="majorHAnsi" w:eastAsia="Calibri" w:hAnsiTheme="majorHAnsi" w:cstheme="majorHAnsi"/>
          <w:color w:val="000000" w:themeColor="text1"/>
          <w:sz w:val="22"/>
          <w:szCs w:val="22"/>
          <w:lang w:eastAsia="ja-JP"/>
        </w:rPr>
        <w:t>3-oxotirucalla-7-ene skeleton bearing a 21,23-epoxy-21-methoxy-24,25-dihydroxy side chain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Calibri" w:hAnsiTheme="majorHAnsi" w:cstheme="majorHAnsi"/>
          <w:color w:val="000000" w:themeColor="text1"/>
          <w:sz w:val="22"/>
          <w:szCs w:val="22"/>
          <w:lang w:eastAsia="ja-JP"/>
        </w:rPr>
        <w:fldChar w:fldCharType="begin"/>
      </w:r>
      <w:r w:rsidRPr="005E6B7C">
        <w:rPr>
          <w:rFonts w:asciiTheme="majorHAnsi" w:eastAsia="Calibri" w:hAnsiTheme="majorHAnsi" w:cstheme="majorHAnsi"/>
          <w:color w:val="000000" w:themeColor="text1"/>
          <w:sz w:val="22"/>
          <w:szCs w:val="22"/>
          <w:lang w:eastAsia="ja-JP"/>
        </w:rPr>
        <w:instrText xml:space="preserve"> ADDIN EN.CITE &lt;EndNote&gt;&lt;Cite&gt;&lt;Author&gt;Xu&lt;/Author&gt;&lt;Year&gt;2008&lt;/Year&gt;&lt;RecNum&gt;3&lt;/RecNum&gt;&lt;DisplayText&gt;[16]&lt;/DisplayText&gt;&lt;record&gt;&lt;rec-number&gt;3&lt;/rec-number&gt;&lt;foreign-keys&gt;&lt;key app="EN" db-id="xd0dd5v5ed9tzkesve6v9tvwtprdd5zf090p" timestamp="1701923999"&gt;3&lt;/key&gt;&lt;/foreign-keys&gt;&lt;ref-type name="Journal Article"&gt;17&lt;/ref-type&gt;&lt;contributors&gt;&lt;authors&gt;&lt;author&gt;Xu, G. H.&lt;/author&gt;&lt;author&gt;Kim, J. A.&lt;/author&gt;&lt;author&gt;Kim, S. Y.&lt;/author&gt;&lt;author&gt;Ryu, J. C.&lt;/author&gt;&lt;author&gt;Kim, Y. S.&lt;/author&gt;&lt;author&gt;Jung, S. H.&lt;/author&gt;&lt;author&gt;Kim, M. K.&lt;/author&gt;&lt;author&gt;Lee, S. H.&lt;/author&gt;&lt;/authors&gt;&lt;/contributors&gt;&lt;auth-address&gt;College of Pharmacy, Yeungnam University, Gyeongsan, Korea.&lt;/auth-address&gt;&lt;titles&gt;&lt;title&gt;Terpenoids and coumarins isolated from the fruits of Poncirus trifoliata&lt;/title&gt;&lt;secondary-title&gt;Chem Pharm Bull (Tokyo)&lt;/secondary-title&gt;&lt;/titles&gt;&lt;periodical&gt;&lt;full-title&gt;Chem Pharm Bull (Tokyo)&lt;/full-title&gt;&lt;/periodical&gt;&lt;pages&gt;839-42&lt;/pages&gt;&lt;volume&gt;56&lt;/volume&gt;&lt;number&gt;6&lt;/number&gt;&lt;edition&gt;2008/06/04&lt;/edition&gt;&lt;keywords&gt;&lt;keyword&gt;Coumarins/*chemistry/isolation &amp;amp; purification&lt;/keyword&gt;&lt;keyword&gt;Fruit/*chemistry&lt;/keyword&gt;&lt;keyword&gt;Indicators and Reagents&lt;/keyword&gt;&lt;keyword&gt;Magnetic Resonance Spectroscopy&lt;/keyword&gt;&lt;keyword&gt;Molecular Conformation&lt;/keyword&gt;&lt;keyword&gt;Poncirus/*chemistry&lt;/keyword&gt;&lt;keyword&gt;Spectrometry, Mass, Fast Atom Bombardment&lt;/keyword&gt;&lt;keyword&gt;Spectrophotometry, Infrared&lt;/keyword&gt;&lt;keyword&gt;Spectrophotometry, Ultraviolet&lt;/keyword&gt;&lt;keyword&gt;Terpenes/*chemistry/isolation &amp;amp; purification&lt;/keyword&gt;&lt;/keywords&gt;&lt;dates&gt;&lt;year&gt;2008&lt;/year&gt;&lt;pub-dates&gt;&lt;date&gt;Jun&lt;/date&gt;&lt;/pub-dates&gt;&lt;/dates&gt;&lt;isbn&gt;0009-2363 (Print)&amp;#xD;0009-2363&lt;/isbn&gt;&lt;accession-num&gt;18520091&lt;/accession-num&gt;&lt;urls&gt;&lt;/urls&gt;&lt;electronic-resource-num&gt;10.1248/cpb.56.839&lt;/electronic-resource-num&gt;&lt;remote-database-provider&gt;NLM&lt;/remote-database-provider&gt;&lt;language&gt;eng&lt;/language&gt;&lt;/record&gt;&lt;/Cite&gt;&lt;/EndNote&gt;</w:instrText>
      </w:r>
      <w:r w:rsidRPr="005E6B7C">
        <w:rPr>
          <w:rFonts w:asciiTheme="majorHAnsi" w:eastAsia="Calibri" w:hAnsiTheme="majorHAnsi" w:cstheme="majorHAnsi"/>
          <w:color w:val="000000" w:themeColor="text1"/>
          <w:sz w:val="22"/>
          <w:szCs w:val="22"/>
          <w:lang w:eastAsia="ja-JP"/>
        </w:rPr>
        <w:fldChar w:fldCharType="separate"/>
      </w:r>
      <w:r w:rsidRPr="005E6B7C">
        <w:rPr>
          <w:rFonts w:asciiTheme="majorHAnsi" w:eastAsia="Calibri" w:hAnsiTheme="majorHAnsi" w:cstheme="majorHAnsi"/>
          <w:noProof/>
          <w:color w:val="000000" w:themeColor="text1"/>
          <w:sz w:val="22"/>
          <w:szCs w:val="22"/>
          <w:lang w:eastAsia="ja-JP"/>
        </w:rPr>
        <w:t>[16]</w:t>
      </w:r>
      <w:r w:rsidRPr="005E6B7C">
        <w:rPr>
          <w:rFonts w:asciiTheme="majorHAnsi" w:eastAsia="Calibri" w:hAnsiTheme="majorHAnsi" w:cstheme="majorHAnsi"/>
          <w:color w:val="000000" w:themeColor="text1"/>
          <w:sz w:val="22"/>
          <w:szCs w:val="22"/>
          <w:lang w:eastAsia="ja-JP"/>
        </w:rPr>
        <w:fldChar w:fldCharType="end"/>
      </w:r>
      <w:r w:rsidRPr="005E6B7C">
        <w:rPr>
          <w:rFonts w:asciiTheme="majorHAnsi" w:eastAsia="Calibri" w:hAnsiTheme="majorHAnsi" w:cstheme="majorHAnsi"/>
          <w:color w:val="000000" w:themeColor="text1"/>
          <w:sz w:val="22"/>
          <w:szCs w:val="22"/>
          <w:lang w:eastAsia="ja-JP"/>
        </w:rPr>
        <w:t>.</w:t>
      </w:r>
    </w:p>
    <w:p w14:paraId="02414181" w14:textId="77777777" w:rsidR="0021087C" w:rsidRPr="005E6B7C" w:rsidRDefault="0021087C"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1087C" w:rsidRPr="005E6B7C" w:rsidSect="0021087C">
          <w:type w:val="continuous"/>
          <w:pgSz w:w="10773" w:h="15309" w:code="9"/>
          <w:pgMar w:top="907" w:right="851" w:bottom="1418" w:left="851" w:header="397" w:footer="851" w:gutter="0"/>
          <w:cols w:num="2" w:space="284"/>
          <w:docGrid w:linePitch="360"/>
        </w:sectPr>
      </w:pPr>
    </w:p>
    <w:p w14:paraId="784032FF" w14:textId="77777777" w:rsidR="00E21A7D" w:rsidRPr="005E6B7C" w:rsidRDefault="00E21A7D" w:rsidP="00E21A7D">
      <w:pPr>
        <w:tabs>
          <w:tab w:val="left" w:pos="9270"/>
        </w:tabs>
        <w:spacing w:before="120" w:after="120" w:line="24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Table 2. </w:t>
      </w:r>
      <w:r w:rsidRPr="005E6B7C">
        <w:rPr>
          <w:rFonts w:asciiTheme="majorHAnsi" w:eastAsia="Yu Mincho" w:hAnsiTheme="majorHAnsi" w:cstheme="majorHAnsi"/>
          <w:color w:val="000000" w:themeColor="text1"/>
          <w:sz w:val="18"/>
          <w:szCs w:val="18"/>
          <w:lang w:eastAsia="ja-JP"/>
        </w:rPr>
        <w:t xml:space="preserve">NMR spectroscopic data of compounds </w:t>
      </w:r>
      <w:r w:rsidRPr="005E6B7C">
        <w:rPr>
          <w:rFonts w:asciiTheme="majorHAnsi" w:eastAsia="Yu Mincho" w:hAnsiTheme="majorHAnsi" w:cstheme="majorHAnsi"/>
          <w:b/>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 xml:space="preserve">4 </w:t>
      </w:r>
      <w:r w:rsidRPr="005E6B7C">
        <w:rPr>
          <w:rFonts w:asciiTheme="majorHAnsi" w:eastAsia="Yu Mincho" w:hAnsiTheme="majorHAnsi" w:cstheme="majorHAnsi"/>
          <w:color w:val="000000" w:themeColor="text1"/>
          <w:sz w:val="18"/>
          <w:szCs w:val="18"/>
          <w:lang w:eastAsia="ja-JP"/>
        </w:rPr>
        <w:t>and the reference compounds.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01"/>
        <w:gridCol w:w="986"/>
        <w:gridCol w:w="985"/>
        <w:gridCol w:w="2065"/>
        <w:gridCol w:w="985"/>
        <w:gridCol w:w="985"/>
        <w:gridCol w:w="2065"/>
      </w:tblGrid>
      <w:tr w:rsidR="00E21A7D" w:rsidRPr="005E6B7C" w14:paraId="531783F2" w14:textId="77777777" w:rsidTr="004E2C03">
        <w:trPr>
          <w:tblHeader/>
          <w:jc w:val="center"/>
        </w:trPr>
        <w:tc>
          <w:tcPr>
            <w:tcW w:w="1118" w:type="dxa"/>
            <w:vMerge w:val="restart"/>
            <w:vAlign w:val="center"/>
          </w:tcPr>
          <w:p w14:paraId="51F14A49" w14:textId="77777777" w:rsidR="00E21A7D" w:rsidRPr="005E6B7C" w:rsidRDefault="00E21A7D" w:rsidP="004E2C03">
            <w:pPr>
              <w:widowControl/>
              <w:tabs>
                <w:tab w:val="left" w:pos="270"/>
                <w:tab w:val="left" w:pos="540"/>
                <w:tab w:val="left" w:pos="9270"/>
              </w:tabs>
              <w:snapToGrid w:val="0"/>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No.</w:t>
            </w:r>
          </w:p>
        </w:tc>
        <w:tc>
          <w:tcPr>
            <w:tcW w:w="1102" w:type="dxa"/>
            <w:vMerge w:val="restart"/>
            <w:vAlign w:val="center"/>
          </w:tcPr>
          <w:p w14:paraId="30BBB0DB"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b/>
                <w:color w:val="000000" w:themeColor="text1"/>
                <w:sz w:val="18"/>
                <w:szCs w:val="18"/>
                <w:lang w:eastAsia="ja-JP"/>
              </w:rPr>
            </w:pPr>
            <w:r w:rsidRPr="005E6B7C">
              <w:rPr>
                <w:rFonts w:asciiTheme="majorHAnsi" w:eastAsia="Batang" w:hAnsiTheme="majorHAnsi" w:cstheme="majorHAnsi"/>
                <w:color w:val="000000" w:themeColor="text1"/>
                <w:kern w:val="2"/>
                <w:sz w:val="18"/>
                <w:szCs w:val="18"/>
                <w:vertAlign w:val="superscript"/>
                <w:lang w:eastAsia="ja-JP"/>
              </w:rPr>
              <w:t>#</w:t>
            </w: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w:t>
            </w:r>
          </w:p>
        </w:tc>
        <w:tc>
          <w:tcPr>
            <w:tcW w:w="3448" w:type="dxa"/>
            <w:gridSpan w:val="2"/>
          </w:tcPr>
          <w:p w14:paraId="2B7C8F56"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b/>
                <w:color w:val="000000" w:themeColor="text1"/>
                <w:sz w:val="18"/>
                <w:szCs w:val="18"/>
                <w:lang w:eastAsia="ja-JP"/>
              </w:rPr>
            </w:pPr>
            <w:r w:rsidRPr="005E6B7C">
              <w:rPr>
                <w:rFonts w:asciiTheme="majorHAnsi" w:eastAsia="Batang" w:hAnsiTheme="majorHAnsi" w:cstheme="majorHAnsi"/>
                <w:b/>
                <w:color w:val="000000" w:themeColor="text1"/>
                <w:sz w:val="18"/>
                <w:szCs w:val="18"/>
                <w:lang w:eastAsia="ja-JP"/>
              </w:rPr>
              <w:t>3</w:t>
            </w:r>
          </w:p>
        </w:tc>
        <w:tc>
          <w:tcPr>
            <w:tcW w:w="1101" w:type="dxa"/>
            <w:vMerge w:val="restart"/>
            <w:vAlign w:val="center"/>
          </w:tcPr>
          <w:p w14:paraId="64939E8C"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sz w:val="18"/>
                <w:szCs w:val="18"/>
                <w:lang w:eastAsia="ja-JP"/>
              </w:rPr>
            </w:pPr>
            <w:r w:rsidRPr="005E6B7C">
              <w:rPr>
                <w:rFonts w:asciiTheme="majorHAnsi" w:eastAsia="Batang" w:hAnsiTheme="majorHAnsi" w:cstheme="majorHAnsi"/>
                <w:color w:val="000000" w:themeColor="text1"/>
                <w:kern w:val="2"/>
                <w:sz w:val="18"/>
                <w:szCs w:val="18"/>
                <w:vertAlign w:val="superscript"/>
                <w:lang w:eastAsia="ja-JP"/>
              </w:rPr>
              <w:t>$</w:t>
            </w: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w:t>
            </w:r>
          </w:p>
        </w:tc>
        <w:tc>
          <w:tcPr>
            <w:tcW w:w="3448" w:type="dxa"/>
            <w:gridSpan w:val="2"/>
          </w:tcPr>
          <w:p w14:paraId="0E364591"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sz w:val="18"/>
                <w:szCs w:val="18"/>
                <w:lang w:eastAsia="ja-JP"/>
              </w:rPr>
            </w:pPr>
            <w:r w:rsidRPr="005E6B7C">
              <w:rPr>
                <w:rFonts w:asciiTheme="majorHAnsi" w:eastAsia="Batang" w:hAnsiTheme="majorHAnsi" w:cstheme="majorHAnsi"/>
                <w:b/>
                <w:color w:val="000000" w:themeColor="text1"/>
                <w:sz w:val="18"/>
                <w:szCs w:val="18"/>
                <w:lang w:eastAsia="ja-JP"/>
              </w:rPr>
              <w:t>4</w:t>
            </w:r>
          </w:p>
        </w:tc>
      </w:tr>
      <w:tr w:rsidR="00E21A7D" w:rsidRPr="005E6B7C" w14:paraId="07E5F6E3" w14:textId="77777777" w:rsidTr="004E2C03">
        <w:trPr>
          <w:tblHeader/>
          <w:jc w:val="center"/>
        </w:trPr>
        <w:tc>
          <w:tcPr>
            <w:tcW w:w="1118" w:type="dxa"/>
            <w:vMerge/>
          </w:tcPr>
          <w:p w14:paraId="482DC490" w14:textId="77777777" w:rsidR="00E21A7D" w:rsidRPr="005E6B7C" w:rsidRDefault="00E21A7D" w:rsidP="004E2C03">
            <w:pPr>
              <w:widowControl/>
              <w:tabs>
                <w:tab w:val="left" w:pos="270"/>
                <w:tab w:val="left" w:pos="540"/>
                <w:tab w:val="left" w:pos="9270"/>
              </w:tabs>
              <w:snapToGrid w:val="0"/>
              <w:spacing w:line="180" w:lineRule="exact"/>
              <w:ind w:right="-20"/>
              <w:jc w:val="center"/>
              <w:rPr>
                <w:rFonts w:asciiTheme="majorHAnsi" w:eastAsia="Yu Mincho" w:hAnsiTheme="majorHAnsi" w:cstheme="majorHAnsi"/>
                <w:color w:val="000000" w:themeColor="text1"/>
                <w:sz w:val="18"/>
                <w:szCs w:val="18"/>
                <w:lang w:eastAsia="ja-JP"/>
              </w:rPr>
            </w:pPr>
          </w:p>
        </w:tc>
        <w:tc>
          <w:tcPr>
            <w:tcW w:w="1102" w:type="dxa"/>
            <w:vMerge/>
          </w:tcPr>
          <w:p w14:paraId="1EDAA680"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p>
        </w:tc>
        <w:tc>
          <w:tcPr>
            <w:tcW w:w="1101" w:type="dxa"/>
          </w:tcPr>
          <w:p w14:paraId="45323C57"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both"/>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a,b</w:t>
            </w:r>
          </w:p>
        </w:tc>
        <w:tc>
          <w:tcPr>
            <w:tcW w:w="2347" w:type="dxa"/>
            <w:vAlign w:val="center"/>
          </w:tcPr>
          <w:p w14:paraId="3341A628"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H</w:t>
            </w:r>
            <w:r w:rsidRPr="005E6B7C">
              <w:rPr>
                <w:rFonts w:asciiTheme="majorHAnsi" w:eastAsia="Batang" w:hAnsiTheme="majorHAnsi" w:cstheme="majorHAnsi"/>
                <w:color w:val="000000" w:themeColor="text1"/>
                <w:kern w:val="2"/>
                <w:sz w:val="18"/>
                <w:szCs w:val="18"/>
                <w:vertAlign w:val="superscript"/>
                <w:lang w:eastAsia="ja-JP"/>
              </w:rPr>
              <w:t xml:space="preserve">a,c </w:t>
            </w:r>
            <w:r w:rsidRPr="005E6B7C">
              <w:rPr>
                <w:rFonts w:asciiTheme="majorHAnsi" w:eastAsia="Batang" w:hAnsiTheme="majorHAnsi" w:cstheme="majorHAnsi"/>
                <w:color w:val="000000" w:themeColor="text1"/>
                <w:kern w:val="2"/>
                <w:sz w:val="18"/>
                <w:szCs w:val="18"/>
                <w:lang w:eastAsia="ja-JP"/>
              </w:rPr>
              <w:t>mult. (</w:t>
            </w:r>
            <w:r w:rsidRPr="005E6B7C">
              <w:rPr>
                <w:rFonts w:asciiTheme="majorHAnsi" w:eastAsia="Batang" w:hAnsiTheme="majorHAnsi" w:cstheme="majorHAnsi"/>
                <w:i/>
                <w:color w:val="000000" w:themeColor="text1"/>
                <w:kern w:val="2"/>
                <w:sz w:val="18"/>
                <w:szCs w:val="18"/>
                <w:lang w:eastAsia="ja-JP"/>
              </w:rPr>
              <w:t>J</w:t>
            </w:r>
            <w:r w:rsidRPr="005E6B7C">
              <w:rPr>
                <w:rFonts w:asciiTheme="majorHAnsi" w:eastAsia="Batang" w:hAnsiTheme="majorHAnsi" w:cstheme="majorHAnsi"/>
                <w:color w:val="000000" w:themeColor="text1"/>
                <w:kern w:val="2"/>
                <w:sz w:val="18"/>
                <w:szCs w:val="18"/>
                <w:lang w:eastAsia="ja-JP"/>
              </w:rPr>
              <w:t xml:space="preserve"> in Hz)</w:t>
            </w:r>
          </w:p>
        </w:tc>
        <w:tc>
          <w:tcPr>
            <w:tcW w:w="1101" w:type="dxa"/>
            <w:vMerge/>
          </w:tcPr>
          <w:p w14:paraId="78900A1F"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i/>
                <w:color w:val="000000" w:themeColor="text1"/>
                <w:sz w:val="18"/>
                <w:szCs w:val="18"/>
                <w:lang w:eastAsia="ja-JP"/>
              </w:rPr>
            </w:pPr>
          </w:p>
        </w:tc>
        <w:tc>
          <w:tcPr>
            <w:tcW w:w="1101" w:type="dxa"/>
          </w:tcPr>
          <w:p w14:paraId="48E12CF0"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C</w:t>
            </w:r>
            <w:r w:rsidRPr="005E6B7C">
              <w:rPr>
                <w:rFonts w:asciiTheme="majorHAnsi" w:eastAsia="Batang" w:hAnsiTheme="majorHAnsi" w:cstheme="majorHAnsi"/>
                <w:color w:val="000000" w:themeColor="text1"/>
                <w:kern w:val="2"/>
                <w:sz w:val="18"/>
                <w:szCs w:val="18"/>
                <w:vertAlign w:val="superscript"/>
                <w:lang w:eastAsia="ja-JP"/>
              </w:rPr>
              <w:t>a,b</w:t>
            </w:r>
          </w:p>
        </w:tc>
        <w:tc>
          <w:tcPr>
            <w:tcW w:w="2347" w:type="dxa"/>
            <w:vAlign w:val="center"/>
          </w:tcPr>
          <w:p w14:paraId="0185DFC3" w14:textId="77777777" w:rsidR="00E21A7D" w:rsidRPr="005E6B7C" w:rsidRDefault="00E21A7D" w:rsidP="004E2C03">
            <w:pPr>
              <w:tabs>
                <w:tab w:val="left" w:pos="270"/>
                <w:tab w:val="left" w:pos="540"/>
                <w:tab w:val="left" w:pos="9270"/>
              </w:tabs>
              <w:autoSpaceDE w:val="0"/>
              <w:autoSpaceDN w:val="0"/>
              <w:snapToGrid w:val="0"/>
              <w:spacing w:line="180" w:lineRule="exact"/>
              <w:ind w:right="-20"/>
              <w:jc w:val="center"/>
              <w:rPr>
                <w:rFonts w:asciiTheme="majorHAnsi" w:eastAsia="Batang" w:hAnsiTheme="majorHAnsi" w:cstheme="majorHAnsi"/>
                <w:b/>
                <w:bCs/>
                <w:color w:val="000000" w:themeColor="text1"/>
                <w:kern w:val="2"/>
                <w:sz w:val="18"/>
                <w:szCs w:val="18"/>
                <w:lang w:eastAsia="ja-JP"/>
              </w:rPr>
            </w:pPr>
            <w:r w:rsidRPr="005E6B7C">
              <w:rPr>
                <w:rFonts w:asciiTheme="majorHAnsi" w:eastAsia="Batang" w:hAnsiTheme="majorHAnsi" w:cstheme="majorHAnsi"/>
                <w:b/>
                <w:i/>
                <w:color w:val="000000" w:themeColor="text1"/>
                <w:kern w:val="2"/>
                <w:sz w:val="18"/>
                <w:szCs w:val="18"/>
                <w:lang w:eastAsia="ja-JP"/>
              </w:rPr>
              <w:t>δ</w:t>
            </w:r>
            <w:r w:rsidRPr="005E6B7C">
              <w:rPr>
                <w:rFonts w:asciiTheme="majorHAnsi" w:eastAsia="Batang" w:hAnsiTheme="majorHAnsi" w:cstheme="majorHAnsi"/>
                <w:color w:val="000000" w:themeColor="text1"/>
                <w:kern w:val="2"/>
                <w:sz w:val="18"/>
                <w:szCs w:val="18"/>
                <w:vertAlign w:val="subscript"/>
                <w:lang w:eastAsia="ja-JP"/>
              </w:rPr>
              <w:t>H</w:t>
            </w:r>
            <w:r w:rsidRPr="005E6B7C">
              <w:rPr>
                <w:rFonts w:asciiTheme="majorHAnsi" w:eastAsia="Batang" w:hAnsiTheme="majorHAnsi" w:cstheme="majorHAnsi"/>
                <w:color w:val="000000" w:themeColor="text1"/>
                <w:kern w:val="2"/>
                <w:sz w:val="18"/>
                <w:szCs w:val="18"/>
                <w:vertAlign w:val="superscript"/>
                <w:lang w:eastAsia="ja-JP"/>
              </w:rPr>
              <w:t xml:space="preserve">a,c </w:t>
            </w:r>
            <w:r w:rsidRPr="005E6B7C">
              <w:rPr>
                <w:rFonts w:asciiTheme="majorHAnsi" w:eastAsia="Batang" w:hAnsiTheme="majorHAnsi" w:cstheme="majorHAnsi"/>
                <w:color w:val="000000" w:themeColor="text1"/>
                <w:kern w:val="2"/>
                <w:sz w:val="18"/>
                <w:szCs w:val="18"/>
                <w:lang w:eastAsia="ja-JP"/>
              </w:rPr>
              <w:t>mult. (</w:t>
            </w:r>
            <w:r w:rsidRPr="005E6B7C">
              <w:rPr>
                <w:rFonts w:asciiTheme="majorHAnsi" w:eastAsia="Batang" w:hAnsiTheme="majorHAnsi" w:cstheme="majorHAnsi"/>
                <w:i/>
                <w:color w:val="000000" w:themeColor="text1"/>
                <w:kern w:val="2"/>
                <w:sz w:val="18"/>
                <w:szCs w:val="18"/>
                <w:lang w:eastAsia="ja-JP"/>
              </w:rPr>
              <w:t>J</w:t>
            </w:r>
            <w:r w:rsidRPr="005E6B7C">
              <w:rPr>
                <w:rFonts w:asciiTheme="majorHAnsi" w:eastAsia="Batang" w:hAnsiTheme="majorHAnsi" w:cstheme="majorHAnsi"/>
                <w:color w:val="000000" w:themeColor="text1"/>
                <w:kern w:val="2"/>
                <w:sz w:val="18"/>
                <w:szCs w:val="18"/>
                <w:lang w:eastAsia="ja-JP"/>
              </w:rPr>
              <w:t xml:space="preserve"> in Hz)</w:t>
            </w:r>
          </w:p>
        </w:tc>
      </w:tr>
      <w:tr w:rsidR="00E21A7D" w:rsidRPr="005E6B7C" w14:paraId="4ED77CCD" w14:textId="77777777" w:rsidTr="004E2C03">
        <w:trPr>
          <w:jc w:val="center"/>
        </w:trPr>
        <w:tc>
          <w:tcPr>
            <w:tcW w:w="1118" w:type="dxa"/>
          </w:tcPr>
          <w:p w14:paraId="1C3D1B0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102" w:type="dxa"/>
            <w:vAlign w:val="center"/>
          </w:tcPr>
          <w:p w14:paraId="6F4312E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38.5</w:t>
            </w:r>
          </w:p>
        </w:tc>
        <w:tc>
          <w:tcPr>
            <w:tcW w:w="1101" w:type="dxa"/>
            <w:vAlign w:val="center"/>
          </w:tcPr>
          <w:p w14:paraId="7B3A10C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38.5</w:t>
            </w:r>
          </w:p>
        </w:tc>
        <w:tc>
          <w:tcPr>
            <w:tcW w:w="2347" w:type="dxa"/>
            <w:vAlign w:val="center"/>
          </w:tcPr>
          <w:p w14:paraId="7DA3BD6C"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1.47 m/1.98 m</w:t>
            </w:r>
          </w:p>
        </w:tc>
        <w:tc>
          <w:tcPr>
            <w:tcW w:w="1101" w:type="dxa"/>
            <w:vAlign w:val="center"/>
          </w:tcPr>
          <w:p w14:paraId="0DA6CB8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37.2</w:t>
            </w:r>
          </w:p>
        </w:tc>
        <w:tc>
          <w:tcPr>
            <w:tcW w:w="1101" w:type="dxa"/>
            <w:vAlign w:val="center"/>
          </w:tcPr>
          <w:p w14:paraId="52DBA8A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37.2</w:t>
            </w:r>
          </w:p>
        </w:tc>
        <w:tc>
          <w:tcPr>
            <w:tcW w:w="2347" w:type="dxa"/>
            <w:vAlign w:val="center"/>
          </w:tcPr>
          <w:p w14:paraId="4FE2E77D"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1.14 m/1.67 m</w:t>
            </w:r>
          </w:p>
        </w:tc>
      </w:tr>
      <w:tr w:rsidR="00E21A7D" w:rsidRPr="005E6B7C" w14:paraId="12B3271E" w14:textId="77777777" w:rsidTr="004E2C03">
        <w:trPr>
          <w:jc w:val="center"/>
        </w:trPr>
        <w:tc>
          <w:tcPr>
            <w:tcW w:w="1118" w:type="dxa"/>
          </w:tcPr>
          <w:p w14:paraId="3BDBAED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1102" w:type="dxa"/>
          </w:tcPr>
          <w:p w14:paraId="75D0782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35.1</w:t>
            </w:r>
          </w:p>
        </w:tc>
        <w:tc>
          <w:tcPr>
            <w:tcW w:w="1101" w:type="dxa"/>
          </w:tcPr>
          <w:p w14:paraId="599E538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35.1</w:t>
            </w:r>
          </w:p>
        </w:tc>
        <w:tc>
          <w:tcPr>
            <w:tcW w:w="2347" w:type="dxa"/>
          </w:tcPr>
          <w:p w14:paraId="29F7102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2.24 dt (14.4, 3.6)</w:t>
            </w:r>
          </w:p>
          <w:p w14:paraId="06326A4E"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2.75 ddd (14.4, 14.4, 5.4)</w:t>
            </w:r>
          </w:p>
        </w:tc>
        <w:tc>
          <w:tcPr>
            <w:tcW w:w="1101" w:type="dxa"/>
          </w:tcPr>
          <w:p w14:paraId="5724DB2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27.7</w:t>
            </w:r>
          </w:p>
        </w:tc>
        <w:tc>
          <w:tcPr>
            <w:tcW w:w="1101" w:type="dxa"/>
          </w:tcPr>
          <w:p w14:paraId="3BF9009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27.7</w:t>
            </w:r>
          </w:p>
        </w:tc>
        <w:tc>
          <w:tcPr>
            <w:tcW w:w="2347" w:type="dxa"/>
          </w:tcPr>
          <w:p w14:paraId="5A98D0B6"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1.60 m</w:t>
            </w:r>
          </w:p>
          <w:p w14:paraId="338BBBDF"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1.64 m</w:t>
            </w:r>
          </w:p>
        </w:tc>
      </w:tr>
      <w:tr w:rsidR="00E21A7D" w:rsidRPr="005E6B7C" w14:paraId="60DD0419" w14:textId="77777777" w:rsidTr="004E2C03">
        <w:trPr>
          <w:jc w:val="center"/>
        </w:trPr>
        <w:tc>
          <w:tcPr>
            <w:tcW w:w="1118" w:type="dxa"/>
          </w:tcPr>
          <w:p w14:paraId="7DF059D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1102" w:type="dxa"/>
          </w:tcPr>
          <w:p w14:paraId="08B3E3A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216.9</w:t>
            </w:r>
          </w:p>
        </w:tc>
        <w:tc>
          <w:tcPr>
            <w:tcW w:w="1101" w:type="dxa"/>
          </w:tcPr>
          <w:p w14:paraId="78304C7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216.8</w:t>
            </w:r>
          </w:p>
        </w:tc>
        <w:tc>
          <w:tcPr>
            <w:tcW w:w="2347" w:type="dxa"/>
          </w:tcPr>
          <w:p w14:paraId="6FF234D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39E109C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79.2</w:t>
            </w:r>
          </w:p>
        </w:tc>
        <w:tc>
          <w:tcPr>
            <w:tcW w:w="1101" w:type="dxa"/>
          </w:tcPr>
          <w:p w14:paraId="0940AE4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79.2</w:t>
            </w:r>
          </w:p>
        </w:tc>
        <w:tc>
          <w:tcPr>
            <w:tcW w:w="2347" w:type="dxa"/>
          </w:tcPr>
          <w:p w14:paraId="116B6A63"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3.23 m</w:t>
            </w:r>
          </w:p>
        </w:tc>
      </w:tr>
      <w:tr w:rsidR="00E21A7D" w:rsidRPr="005E6B7C" w14:paraId="306F564E" w14:textId="77777777" w:rsidTr="004E2C03">
        <w:trPr>
          <w:jc w:val="center"/>
        </w:trPr>
        <w:tc>
          <w:tcPr>
            <w:tcW w:w="1118" w:type="dxa"/>
          </w:tcPr>
          <w:p w14:paraId="19F30C6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102" w:type="dxa"/>
          </w:tcPr>
          <w:p w14:paraId="1C2F6C5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47.9</w:t>
            </w:r>
          </w:p>
        </w:tc>
        <w:tc>
          <w:tcPr>
            <w:tcW w:w="1101" w:type="dxa"/>
          </w:tcPr>
          <w:p w14:paraId="625B08E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47.9</w:t>
            </w:r>
          </w:p>
        </w:tc>
        <w:tc>
          <w:tcPr>
            <w:tcW w:w="2347" w:type="dxa"/>
          </w:tcPr>
          <w:p w14:paraId="5972AACA"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1F0EEBC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38.9</w:t>
            </w:r>
          </w:p>
        </w:tc>
        <w:tc>
          <w:tcPr>
            <w:tcW w:w="1101" w:type="dxa"/>
          </w:tcPr>
          <w:p w14:paraId="1A78672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39.0</w:t>
            </w:r>
          </w:p>
        </w:tc>
        <w:tc>
          <w:tcPr>
            <w:tcW w:w="2347" w:type="dxa"/>
          </w:tcPr>
          <w:p w14:paraId="1819CA37"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2C31C410" w14:textId="77777777" w:rsidTr="004E2C03">
        <w:trPr>
          <w:jc w:val="center"/>
        </w:trPr>
        <w:tc>
          <w:tcPr>
            <w:tcW w:w="1118" w:type="dxa"/>
          </w:tcPr>
          <w:p w14:paraId="3A4EBC4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102" w:type="dxa"/>
          </w:tcPr>
          <w:p w14:paraId="79992C9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52.3</w:t>
            </w:r>
          </w:p>
        </w:tc>
        <w:tc>
          <w:tcPr>
            <w:tcW w:w="1101" w:type="dxa"/>
          </w:tcPr>
          <w:p w14:paraId="04502C98"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52.4</w:t>
            </w:r>
          </w:p>
        </w:tc>
        <w:tc>
          <w:tcPr>
            <w:tcW w:w="2347" w:type="dxa"/>
          </w:tcPr>
          <w:p w14:paraId="12CB7C64"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1.72 dd (9.6, 7.8)</w:t>
            </w:r>
          </w:p>
        </w:tc>
        <w:tc>
          <w:tcPr>
            <w:tcW w:w="1101" w:type="dxa"/>
          </w:tcPr>
          <w:p w14:paraId="236FD28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50.7</w:t>
            </w:r>
          </w:p>
        </w:tc>
        <w:tc>
          <w:tcPr>
            <w:tcW w:w="1101" w:type="dxa"/>
          </w:tcPr>
          <w:p w14:paraId="13EB985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50.8</w:t>
            </w:r>
          </w:p>
        </w:tc>
        <w:tc>
          <w:tcPr>
            <w:tcW w:w="2347" w:type="dxa"/>
          </w:tcPr>
          <w:p w14:paraId="503F6C7C"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 m</w:t>
            </w:r>
          </w:p>
        </w:tc>
      </w:tr>
      <w:tr w:rsidR="00E21A7D" w:rsidRPr="005E6B7C" w14:paraId="5DDC3509" w14:textId="77777777" w:rsidTr="004E2C03">
        <w:trPr>
          <w:jc w:val="center"/>
        </w:trPr>
        <w:tc>
          <w:tcPr>
            <w:tcW w:w="1118" w:type="dxa"/>
          </w:tcPr>
          <w:p w14:paraId="0C3B6CB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102" w:type="dxa"/>
          </w:tcPr>
          <w:p w14:paraId="5EC54B5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24.3</w:t>
            </w:r>
          </w:p>
        </w:tc>
        <w:tc>
          <w:tcPr>
            <w:tcW w:w="1101" w:type="dxa"/>
          </w:tcPr>
          <w:p w14:paraId="51E92E2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24.4</w:t>
            </w:r>
          </w:p>
        </w:tc>
        <w:tc>
          <w:tcPr>
            <w:tcW w:w="2347" w:type="dxa"/>
          </w:tcPr>
          <w:p w14:paraId="799CD30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2.09 m/2.11 m</w:t>
            </w:r>
          </w:p>
        </w:tc>
        <w:tc>
          <w:tcPr>
            <w:tcW w:w="1101" w:type="dxa"/>
          </w:tcPr>
          <w:p w14:paraId="1057ADB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24.0</w:t>
            </w:r>
          </w:p>
        </w:tc>
        <w:tc>
          <w:tcPr>
            <w:tcW w:w="1101" w:type="dxa"/>
          </w:tcPr>
          <w:p w14:paraId="0EB05C7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24.0</w:t>
            </w:r>
          </w:p>
        </w:tc>
        <w:tc>
          <w:tcPr>
            <w:tcW w:w="2347" w:type="dxa"/>
          </w:tcPr>
          <w:p w14:paraId="1ED7F4EF"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1.97 m/2.14 m</w:t>
            </w:r>
          </w:p>
        </w:tc>
      </w:tr>
      <w:tr w:rsidR="00E21A7D" w:rsidRPr="005E6B7C" w14:paraId="3AF98E5A" w14:textId="77777777" w:rsidTr="004E2C03">
        <w:trPr>
          <w:jc w:val="center"/>
        </w:trPr>
        <w:tc>
          <w:tcPr>
            <w:tcW w:w="1118" w:type="dxa"/>
          </w:tcPr>
          <w:p w14:paraId="63EB8DA8"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102" w:type="dxa"/>
          </w:tcPr>
          <w:p w14:paraId="5EA65BB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118.1</w:t>
            </w:r>
          </w:p>
        </w:tc>
        <w:tc>
          <w:tcPr>
            <w:tcW w:w="1101" w:type="dxa"/>
          </w:tcPr>
          <w:p w14:paraId="2F1A6F9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118.2</w:t>
            </w:r>
          </w:p>
        </w:tc>
        <w:tc>
          <w:tcPr>
            <w:tcW w:w="2347" w:type="dxa"/>
          </w:tcPr>
          <w:p w14:paraId="2437354B"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5.32 dd (6.6, 3.0)</w:t>
            </w:r>
          </w:p>
        </w:tc>
        <w:tc>
          <w:tcPr>
            <w:tcW w:w="1101" w:type="dxa"/>
          </w:tcPr>
          <w:p w14:paraId="75043E6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118.2</w:t>
            </w:r>
          </w:p>
        </w:tc>
        <w:tc>
          <w:tcPr>
            <w:tcW w:w="1101" w:type="dxa"/>
          </w:tcPr>
          <w:p w14:paraId="3EDA220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118.2</w:t>
            </w:r>
          </w:p>
        </w:tc>
        <w:tc>
          <w:tcPr>
            <w:tcW w:w="2347" w:type="dxa"/>
          </w:tcPr>
          <w:p w14:paraId="515813B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5.26 q (3.0)</w:t>
            </w:r>
          </w:p>
        </w:tc>
      </w:tr>
      <w:tr w:rsidR="00E21A7D" w:rsidRPr="005E6B7C" w14:paraId="306DE92F" w14:textId="77777777" w:rsidTr="004E2C03">
        <w:trPr>
          <w:jc w:val="center"/>
        </w:trPr>
        <w:tc>
          <w:tcPr>
            <w:tcW w:w="1118" w:type="dxa"/>
          </w:tcPr>
          <w:p w14:paraId="12D6ECF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102" w:type="dxa"/>
          </w:tcPr>
          <w:p w14:paraId="5A4E54A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145.5</w:t>
            </w:r>
          </w:p>
        </w:tc>
        <w:tc>
          <w:tcPr>
            <w:tcW w:w="1101" w:type="dxa"/>
          </w:tcPr>
          <w:p w14:paraId="0A12E4C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145.6</w:t>
            </w:r>
          </w:p>
        </w:tc>
        <w:tc>
          <w:tcPr>
            <w:tcW w:w="2347" w:type="dxa"/>
          </w:tcPr>
          <w:p w14:paraId="11DFC37F"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505B95C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145.5</w:t>
            </w:r>
          </w:p>
        </w:tc>
        <w:tc>
          <w:tcPr>
            <w:tcW w:w="1101" w:type="dxa"/>
          </w:tcPr>
          <w:p w14:paraId="648D1D4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145.6</w:t>
            </w:r>
          </w:p>
        </w:tc>
        <w:tc>
          <w:tcPr>
            <w:tcW w:w="2347" w:type="dxa"/>
          </w:tcPr>
          <w:p w14:paraId="14A8F28E"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59391C42" w14:textId="77777777" w:rsidTr="004E2C03">
        <w:trPr>
          <w:jc w:val="center"/>
        </w:trPr>
        <w:tc>
          <w:tcPr>
            <w:tcW w:w="1118" w:type="dxa"/>
          </w:tcPr>
          <w:p w14:paraId="0397816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1102" w:type="dxa"/>
          </w:tcPr>
          <w:p w14:paraId="664AF66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48.3</w:t>
            </w:r>
          </w:p>
        </w:tc>
        <w:tc>
          <w:tcPr>
            <w:tcW w:w="1101" w:type="dxa"/>
          </w:tcPr>
          <w:p w14:paraId="64DC701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48.4</w:t>
            </w:r>
          </w:p>
        </w:tc>
        <w:tc>
          <w:tcPr>
            <w:tcW w:w="2347" w:type="dxa"/>
          </w:tcPr>
          <w:p w14:paraId="77C4060D"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2.33 m</w:t>
            </w:r>
          </w:p>
        </w:tc>
        <w:tc>
          <w:tcPr>
            <w:tcW w:w="1101" w:type="dxa"/>
          </w:tcPr>
          <w:p w14:paraId="362924A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48.8</w:t>
            </w:r>
          </w:p>
        </w:tc>
        <w:tc>
          <w:tcPr>
            <w:tcW w:w="1101" w:type="dxa"/>
          </w:tcPr>
          <w:p w14:paraId="6370AF6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48.9</w:t>
            </w:r>
          </w:p>
        </w:tc>
        <w:tc>
          <w:tcPr>
            <w:tcW w:w="2347" w:type="dxa"/>
          </w:tcPr>
          <w:p w14:paraId="7504EE5B"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2.24 m</w:t>
            </w:r>
          </w:p>
        </w:tc>
      </w:tr>
      <w:tr w:rsidR="00E21A7D" w:rsidRPr="005E6B7C" w14:paraId="4E902194" w14:textId="77777777" w:rsidTr="004E2C03">
        <w:trPr>
          <w:jc w:val="center"/>
        </w:trPr>
        <w:tc>
          <w:tcPr>
            <w:tcW w:w="1118" w:type="dxa"/>
          </w:tcPr>
          <w:p w14:paraId="7EFDEBE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1102" w:type="dxa"/>
          </w:tcPr>
          <w:p w14:paraId="6E5044F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34.9</w:t>
            </w:r>
          </w:p>
        </w:tc>
        <w:tc>
          <w:tcPr>
            <w:tcW w:w="1101" w:type="dxa"/>
          </w:tcPr>
          <w:p w14:paraId="1873041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34.9</w:t>
            </w:r>
          </w:p>
        </w:tc>
        <w:tc>
          <w:tcPr>
            <w:tcW w:w="2347" w:type="dxa"/>
          </w:tcPr>
          <w:p w14:paraId="0F6F9A2E"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477A8B4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35.0</w:t>
            </w:r>
          </w:p>
        </w:tc>
        <w:tc>
          <w:tcPr>
            <w:tcW w:w="1101" w:type="dxa"/>
          </w:tcPr>
          <w:p w14:paraId="433F432B"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35.1</w:t>
            </w:r>
          </w:p>
        </w:tc>
        <w:tc>
          <w:tcPr>
            <w:tcW w:w="2347" w:type="dxa"/>
          </w:tcPr>
          <w:p w14:paraId="6D00B0EB"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353A8D0C" w14:textId="77777777" w:rsidTr="004E2C03">
        <w:trPr>
          <w:jc w:val="center"/>
        </w:trPr>
        <w:tc>
          <w:tcPr>
            <w:tcW w:w="1118" w:type="dxa"/>
          </w:tcPr>
          <w:p w14:paraId="0A650E8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1102" w:type="dxa"/>
          </w:tcPr>
          <w:p w14:paraId="61E9EEE8"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w:t>
            </w:r>
          </w:p>
        </w:tc>
        <w:tc>
          <w:tcPr>
            <w:tcW w:w="1101" w:type="dxa"/>
          </w:tcPr>
          <w:p w14:paraId="667F332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17.8</w:t>
            </w:r>
          </w:p>
        </w:tc>
        <w:tc>
          <w:tcPr>
            <w:tcW w:w="2347" w:type="dxa"/>
          </w:tcPr>
          <w:p w14:paraId="38D9C565"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1.59 m</w:t>
            </w:r>
          </w:p>
        </w:tc>
        <w:tc>
          <w:tcPr>
            <w:tcW w:w="1101" w:type="dxa"/>
          </w:tcPr>
          <w:p w14:paraId="15767AF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w:t>
            </w:r>
          </w:p>
        </w:tc>
        <w:tc>
          <w:tcPr>
            <w:tcW w:w="1101" w:type="dxa"/>
          </w:tcPr>
          <w:p w14:paraId="7D578C2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w:t>
            </w:r>
          </w:p>
        </w:tc>
        <w:tc>
          <w:tcPr>
            <w:tcW w:w="2347" w:type="dxa"/>
          </w:tcPr>
          <w:p w14:paraId="22A87FC6"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 m</w:t>
            </w:r>
          </w:p>
        </w:tc>
      </w:tr>
      <w:tr w:rsidR="00E21A7D" w:rsidRPr="005E6B7C" w14:paraId="378DFF20" w14:textId="77777777" w:rsidTr="004E2C03">
        <w:trPr>
          <w:jc w:val="center"/>
        </w:trPr>
        <w:tc>
          <w:tcPr>
            <w:tcW w:w="1118" w:type="dxa"/>
          </w:tcPr>
          <w:p w14:paraId="2241CF1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1102" w:type="dxa"/>
          </w:tcPr>
          <w:p w14:paraId="51B2750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31.5</w:t>
            </w:r>
          </w:p>
        </w:tc>
        <w:tc>
          <w:tcPr>
            <w:tcW w:w="1101" w:type="dxa"/>
          </w:tcPr>
          <w:p w14:paraId="463F846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31.6</w:t>
            </w:r>
          </w:p>
        </w:tc>
        <w:tc>
          <w:tcPr>
            <w:tcW w:w="2347" w:type="dxa"/>
          </w:tcPr>
          <w:p w14:paraId="0DC8140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1.55 m/1.75 m</w:t>
            </w:r>
          </w:p>
        </w:tc>
        <w:tc>
          <w:tcPr>
            <w:tcW w:w="1101" w:type="dxa"/>
          </w:tcPr>
          <w:p w14:paraId="4FB42C0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31.2</w:t>
            </w:r>
          </w:p>
        </w:tc>
        <w:tc>
          <w:tcPr>
            <w:tcW w:w="1101" w:type="dxa"/>
          </w:tcPr>
          <w:p w14:paraId="4E08DA5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31.2</w:t>
            </w:r>
          </w:p>
        </w:tc>
        <w:tc>
          <w:tcPr>
            <w:tcW w:w="2347" w:type="dxa"/>
          </w:tcPr>
          <w:p w14:paraId="44ACE305"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 m/1.87 m</w:t>
            </w:r>
          </w:p>
        </w:tc>
      </w:tr>
      <w:tr w:rsidR="00E21A7D" w:rsidRPr="005E6B7C" w14:paraId="1D3B4198" w14:textId="77777777" w:rsidTr="004E2C03">
        <w:trPr>
          <w:jc w:val="center"/>
        </w:trPr>
        <w:tc>
          <w:tcPr>
            <w:tcW w:w="1118" w:type="dxa"/>
          </w:tcPr>
          <w:p w14:paraId="5D812CF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w:t>
            </w:r>
          </w:p>
        </w:tc>
        <w:tc>
          <w:tcPr>
            <w:tcW w:w="1102" w:type="dxa"/>
          </w:tcPr>
          <w:p w14:paraId="3FA6DE5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43.60</w:t>
            </w:r>
          </w:p>
        </w:tc>
        <w:tc>
          <w:tcPr>
            <w:tcW w:w="1101" w:type="dxa"/>
          </w:tcPr>
          <w:p w14:paraId="7FAD7F6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43.8</w:t>
            </w:r>
          </w:p>
        </w:tc>
        <w:tc>
          <w:tcPr>
            <w:tcW w:w="2347" w:type="dxa"/>
          </w:tcPr>
          <w:p w14:paraId="3DFEA382"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6CD3988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43.5</w:t>
            </w:r>
          </w:p>
        </w:tc>
        <w:tc>
          <w:tcPr>
            <w:tcW w:w="1101" w:type="dxa"/>
          </w:tcPr>
          <w:p w14:paraId="0C8E646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43.6</w:t>
            </w:r>
          </w:p>
        </w:tc>
        <w:tc>
          <w:tcPr>
            <w:tcW w:w="2347" w:type="dxa"/>
          </w:tcPr>
          <w:p w14:paraId="4DADBD12"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795E2AC5" w14:textId="77777777" w:rsidTr="004E2C03">
        <w:trPr>
          <w:jc w:val="center"/>
        </w:trPr>
        <w:tc>
          <w:tcPr>
            <w:tcW w:w="1118" w:type="dxa"/>
          </w:tcPr>
          <w:p w14:paraId="055026D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w:t>
            </w:r>
          </w:p>
        </w:tc>
        <w:tc>
          <w:tcPr>
            <w:tcW w:w="1102" w:type="dxa"/>
          </w:tcPr>
          <w:p w14:paraId="6EEE7F3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50.9</w:t>
            </w:r>
          </w:p>
        </w:tc>
        <w:tc>
          <w:tcPr>
            <w:tcW w:w="1101" w:type="dxa"/>
          </w:tcPr>
          <w:p w14:paraId="4E931F8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51.0</w:t>
            </w:r>
          </w:p>
        </w:tc>
        <w:tc>
          <w:tcPr>
            <w:tcW w:w="2347" w:type="dxa"/>
          </w:tcPr>
          <w:p w14:paraId="7D2E0B1B"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6A6D156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50.7</w:t>
            </w:r>
          </w:p>
        </w:tc>
        <w:tc>
          <w:tcPr>
            <w:tcW w:w="1101" w:type="dxa"/>
          </w:tcPr>
          <w:p w14:paraId="75DBD1E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50.8</w:t>
            </w:r>
          </w:p>
        </w:tc>
        <w:tc>
          <w:tcPr>
            <w:tcW w:w="2347" w:type="dxa"/>
          </w:tcPr>
          <w:p w14:paraId="0D11A7C7"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7150E768" w14:textId="77777777" w:rsidTr="004E2C03">
        <w:trPr>
          <w:jc w:val="center"/>
        </w:trPr>
        <w:tc>
          <w:tcPr>
            <w:tcW w:w="1118" w:type="dxa"/>
          </w:tcPr>
          <w:p w14:paraId="2C9BD19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w:t>
            </w:r>
          </w:p>
        </w:tc>
        <w:tc>
          <w:tcPr>
            <w:tcW w:w="1102" w:type="dxa"/>
          </w:tcPr>
          <w:p w14:paraId="70C4317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34.3</w:t>
            </w:r>
          </w:p>
        </w:tc>
        <w:tc>
          <w:tcPr>
            <w:tcW w:w="1101" w:type="dxa"/>
          </w:tcPr>
          <w:p w14:paraId="31A9C6F8"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34.4</w:t>
            </w:r>
          </w:p>
        </w:tc>
        <w:tc>
          <w:tcPr>
            <w:tcW w:w="2347" w:type="dxa"/>
          </w:tcPr>
          <w:p w14:paraId="5942E8F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5.48 d (1.8)</w:t>
            </w:r>
          </w:p>
        </w:tc>
        <w:tc>
          <w:tcPr>
            <w:tcW w:w="1101" w:type="dxa"/>
          </w:tcPr>
          <w:p w14:paraId="76EF3F0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34.2</w:t>
            </w:r>
          </w:p>
        </w:tc>
        <w:tc>
          <w:tcPr>
            <w:tcW w:w="1101" w:type="dxa"/>
          </w:tcPr>
          <w:p w14:paraId="535151A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34.2</w:t>
            </w:r>
          </w:p>
        </w:tc>
        <w:tc>
          <w:tcPr>
            <w:tcW w:w="2347" w:type="dxa"/>
          </w:tcPr>
          <w:p w14:paraId="71B61502"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1.49 m/1.54 m</w:t>
            </w:r>
          </w:p>
        </w:tc>
      </w:tr>
      <w:tr w:rsidR="00E21A7D" w:rsidRPr="005E6B7C" w14:paraId="3B3E2F20" w14:textId="77777777" w:rsidTr="004E2C03">
        <w:trPr>
          <w:jc w:val="center"/>
        </w:trPr>
        <w:tc>
          <w:tcPr>
            <w:tcW w:w="1118" w:type="dxa"/>
          </w:tcPr>
          <w:p w14:paraId="47CA806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102" w:type="dxa"/>
          </w:tcPr>
          <w:p w14:paraId="3EAC165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27.4</w:t>
            </w:r>
          </w:p>
        </w:tc>
        <w:tc>
          <w:tcPr>
            <w:tcW w:w="1101" w:type="dxa"/>
          </w:tcPr>
          <w:p w14:paraId="6AE16F7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27.4</w:t>
            </w:r>
          </w:p>
        </w:tc>
        <w:tc>
          <w:tcPr>
            <w:tcW w:w="2347" w:type="dxa"/>
          </w:tcPr>
          <w:p w14:paraId="657E88CA"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1.75 m/1.95 m</w:t>
            </w:r>
          </w:p>
        </w:tc>
        <w:tc>
          <w:tcPr>
            <w:tcW w:w="1101" w:type="dxa"/>
          </w:tcPr>
          <w:p w14:paraId="425295C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1101" w:type="dxa"/>
          </w:tcPr>
          <w:p w14:paraId="75480E4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2347" w:type="dxa"/>
          </w:tcPr>
          <w:p w14:paraId="68590C6A"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 m/1.87 m</w:t>
            </w:r>
          </w:p>
        </w:tc>
      </w:tr>
      <w:tr w:rsidR="00E21A7D" w:rsidRPr="005E6B7C" w14:paraId="40E7EECF" w14:textId="77777777" w:rsidTr="004E2C03">
        <w:trPr>
          <w:jc w:val="center"/>
        </w:trPr>
        <w:tc>
          <w:tcPr>
            <w:tcW w:w="1118" w:type="dxa"/>
          </w:tcPr>
          <w:p w14:paraId="5BA2B8B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w:t>
            </w:r>
          </w:p>
        </w:tc>
        <w:tc>
          <w:tcPr>
            <w:tcW w:w="1102" w:type="dxa"/>
          </w:tcPr>
          <w:p w14:paraId="0C941E8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50.3</w:t>
            </w:r>
          </w:p>
        </w:tc>
        <w:tc>
          <w:tcPr>
            <w:tcW w:w="1101" w:type="dxa"/>
          </w:tcPr>
          <w:p w14:paraId="29637AFB"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50.3</w:t>
            </w:r>
          </w:p>
        </w:tc>
        <w:tc>
          <w:tcPr>
            <w:tcW w:w="2347" w:type="dxa"/>
          </w:tcPr>
          <w:p w14:paraId="6871BE88"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 m/1.94 m</w:t>
            </w:r>
          </w:p>
        </w:tc>
        <w:tc>
          <w:tcPr>
            <w:tcW w:w="1101" w:type="dxa"/>
          </w:tcPr>
          <w:p w14:paraId="6EA74EF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45.0</w:t>
            </w:r>
          </w:p>
        </w:tc>
        <w:tc>
          <w:tcPr>
            <w:tcW w:w="1101" w:type="dxa"/>
          </w:tcPr>
          <w:p w14:paraId="238CE7E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45.0</w:t>
            </w:r>
          </w:p>
        </w:tc>
        <w:tc>
          <w:tcPr>
            <w:tcW w:w="2347" w:type="dxa"/>
          </w:tcPr>
          <w:p w14:paraId="6FA8FC67"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2.03 t (9.0)</w:t>
            </w:r>
          </w:p>
        </w:tc>
      </w:tr>
      <w:tr w:rsidR="00E21A7D" w:rsidRPr="005E6B7C" w14:paraId="7177ABFD" w14:textId="77777777" w:rsidTr="004E2C03">
        <w:trPr>
          <w:jc w:val="center"/>
        </w:trPr>
        <w:tc>
          <w:tcPr>
            <w:tcW w:w="1118" w:type="dxa"/>
          </w:tcPr>
          <w:p w14:paraId="1CC14A8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w:t>
            </w:r>
          </w:p>
        </w:tc>
        <w:tc>
          <w:tcPr>
            <w:tcW w:w="1102" w:type="dxa"/>
          </w:tcPr>
          <w:p w14:paraId="3E55C46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22.6</w:t>
            </w:r>
          </w:p>
        </w:tc>
        <w:tc>
          <w:tcPr>
            <w:tcW w:w="1101" w:type="dxa"/>
          </w:tcPr>
          <w:p w14:paraId="7B5CCB0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22.6</w:t>
            </w:r>
          </w:p>
        </w:tc>
        <w:tc>
          <w:tcPr>
            <w:tcW w:w="2347" w:type="dxa"/>
          </w:tcPr>
          <w:p w14:paraId="31E5D86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0.86 s</w:t>
            </w:r>
          </w:p>
        </w:tc>
        <w:tc>
          <w:tcPr>
            <w:tcW w:w="1101" w:type="dxa"/>
          </w:tcPr>
          <w:p w14:paraId="59ABFA3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23.2</w:t>
            </w:r>
          </w:p>
        </w:tc>
        <w:tc>
          <w:tcPr>
            <w:tcW w:w="1101" w:type="dxa"/>
          </w:tcPr>
          <w:p w14:paraId="35AA705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23.2</w:t>
            </w:r>
          </w:p>
        </w:tc>
        <w:tc>
          <w:tcPr>
            <w:tcW w:w="2347" w:type="dxa"/>
          </w:tcPr>
          <w:p w14:paraId="66A5609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0.83 s</w:t>
            </w:r>
          </w:p>
        </w:tc>
      </w:tr>
      <w:tr w:rsidR="00E21A7D" w:rsidRPr="005E6B7C" w14:paraId="5151B12B" w14:textId="77777777" w:rsidTr="004E2C03">
        <w:trPr>
          <w:jc w:val="center"/>
        </w:trPr>
        <w:tc>
          <w:tcPr>
            <w:tcW w:w="1118" w:type="dxa"/>
          </w:tcPr>
          <w:p w14:paraId="170E040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19</w:t>
            </w:r>
          </w:p>
        </w:tc>
        <w:tc>
          <w:tcPr>
            <w:tcW w:w="1102" w:type="dxa"/>
          </w:tcPr>
          <w:p w14:paraId="0FBCF81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w:t>
            </w:r>
          </w:p>
        </w:tc>
        <w:tc>
          <w:tcPr>
            <w:tcW w:w="1101" w:type="dxa"/>
          </w:tcPr>
          <w:p w14:paraId="5F85DCF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12.8</w:t>
            </w:r>
          </w:p>
        </w:tc>
        <w:tc>
          <w:tcPr>
            <w:tcW w:w="2347" w:type="dxa"/>
          </w:tcPr>
          <w:p w14:paraId="2D7A2D45"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1.00 s</w:t>
            </w:r>
          </w:p>
        </w:tc>
        <w:tc>
          <w:tcPr>
            <w:tcW w:w="1101" w:type="dxa"/>
          </w:tcPr>
          <w:p w14:paraId="4327857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w:t>
            </w:r>
          </w:p>
        </w:tc>
        <w:tc>
          <w:tcPr>
            <w:tcW w:w="1101" w:type="dxa"/>
          </w:tcPr>
          <w:p w14:paraId="5E38C29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w:t>
            </w:r>
          </w:p>
        </w:tc>
        <w:tc>
          <w:tcPr>
            <w:tcW w:w="2347" w:type="dxa"/>
          </w:tcPr>
          <w:p w14:paraId="428DB47B"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0.75 s</w:t>
            </w:r>
          </w:p>
        </w:tc>
      </w:tr>
      <w:tr w:rsidR="00E21A7D" w:rsidRPr="005E6B7C" w14:paraId="5585B856" w14:textId="77777777" w:rsidTr="004E2C03">
        <w:trPr>
          <w:jc w:val="center"/>
        </w:trPr>
        <w:tc>
          <w:tcPr>
            <w:tcW w:w="1118" w:type="dxa"/>
          </w:tcPr>
          <w:p w14:paraId="46069A5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1102" w:type="dxa"/>
          </w:tcPr>
          <w:p w14:paraId="065B954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47.7</w:t>
            </w:r>
          </w:p>
        </w:tc>
        <w:tc>
          <w:tcPr>
            <w:tcW w:w="1101" w:type="dxa"/>
          </w:tcPr>
          <w:p w14:paraId="027BB6CB"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47.8</w:t>
            </w:r>
          </w:p>
        </w:tc>
        <w:tc>
          <w:tcPr>
            <w:tcW w:w="2347" w:type="dxa"/>
          </w:tcPr>
          <w:p w14:paraId="5F203AF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2.17 m</w:t>
            </w:r>
          </w:p>
        </w:tc>
        <w:tc>
          <w:tcPr>
            <w:tcW w:w="1101" w:type="dxa"/>
          </w:tcPr>
          <w:p w14:paraId="7283494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46.5</w:t>
            </w:r>
          </w:p>
        </w:tc>
        <w:tc>
          <w:tcPr>
            <w:tcW w:w="1101" w:type="dxa"/>
          </w:tcPr>
          <w:p w14:paraId="319E61E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46.5</w:t>
            </w:r>
          </w:p>
        </w:tc>
        <w:tc>
          <w:tcPr>
            <w:tcW w:w="2347" w:type="dxa"/>
          </w:tcPr>
          <w:p w14:paraId="241F0814"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1.96 m</w:t>
            </w:r>
          </w:p>
        </w:tc>
      </w:tr>
      <w:tr w:rsidR="00E21A7D" w:rsidRPr="005E6B7C" w14:paraId="4F398985" w14:textId="77777777" w:rsidTr="004E2C03">
        <w:trPr>
          <w:jc w:val="center"/>
        </w:trPr>
        <w:tc>
          <w:tcPr>
            <w:tcW w:w="1118" w:type="dxa"/>
          </w:tcPr>
          <w:p w14:paraId="05FDA99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w:t>
            </w:r>
          </w:p>
        </w:tc>
        <w:tc>
          <w:tcPr>
            <w:tcW w:w="1102" w:type="dxa"/>
          </w:tcPr>
          <w:p w14:paraId="6F60B4D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108.9</w:t>
            </w:r>
          </w:p>
        </w:tc>
        <w:tc>
          <w:tcPr>
            <w:tcW w:w="1101" w:type="dxa"/>
          </w:tcPr>
          <w:p w14:paraId="6C07716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109.0</w:t>
            </w:r>
          </w:p>
        </w:tc>
        <w:tc>
          <w:tcPr>
            <w:tcW w:w="2347" w:type="dxa"/>
          </w:tcPr>
          <w:p w14:paraId="749664A4"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4.78 d (3.6)</w:t>
            </w:r>
          </w:p>
        </w:tc>
        <w:tc>
          <w:tcPr>
            <w:tcW w:w="1101" w:type="dxa"/>
          </w:tcPr>
          <w:p w14:paraId="489FDAE4"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104.8</w:t>
            </w:r>
          </w:p>
        </w:tc>
        <w:tc>
          <w:tcPr>
            <w:tcW w:w="1101" w:type="dxa"/>
          </w:tcPr>
          <w:p w14:paraId="379D4BA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104.9</w:t>
            </w:r>
          </w:p>
        </w:tc>
        <w:tc>
          <w:tcPr>
            <w:tcW w:w="2347" w:type="dxa"/>
          </w:tcPr>
          <w:p w14:paraId="286BEB95"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4.68 d (3.6)</w:t>
            </w:r>
          </w:p>
        </w:tc>
      </w:tr>
      <w:tr w:rsidR="00E21A7D" w:rsidRPr="005E6B7C" w14:paraId="421AA4AD" w14:textId="77777777" w:rsidTr="004E2C03">
        <w:trPr>
          <w:jc w:val="center"/>
        </w:trPr>
        <w:tc>
          <w:tcPr>
            <w:tcW w:w="1118" w:type="dxa"/>
          </w:tcPr>
          <w:p w14:paraId="6D5D9DB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w:t>
            </w:r>
          </w:p>
        </w:tc>
        <w:tc>
          <w:tcPr>
            <w:tcW w:w="1102" w:type="dxa"/>
          </w:tcPr>
          <w:p w14:paraId="3B784C9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w:t>
            </w:r>
          </w:p>
        </w:tc>
        <w:tc>
          <w:tcPr>
            <w:tcW w:w="1101" w:type="dxa"/>
          </w:tcPr>
          <w:p w14:paraId="1120533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33.9</w:t>
            </w:r>
          </w:p>
        </w:tc>
        <w:tc>
          <w:tcPr>
            <w:tcW w:w="2347" w:type="dxa"/>
          </w:tcPr>
          <w:p w14:paraId="20245A1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 m</w:t>
            </w:r>
          </w:p>
        </w:tc>
        <w:tc>
          <w:tcPr>
            <w:tcW w:w="1101" w:type="dxa"/>
          </w:tcPr>
          <w:p w14:paraId="2D9FFACB"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32.5</w:t>
            </w:r>
          </w:p>
        </w:tc>
        <w:tc>
          <w:tcPr>
            <w:tcW w:w="1101" w:type="dxa"/>
          </w:tcPr>
          <w:p w14:paraId="6D65158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32.6</w:t>
            </w:r>
          </w:p>
        </w:tc>
        <w:tc>
          <w:tcPr>
            <w:tcW w:w="2347" w:type="dxa"/>
          </w:tcPr>
          <w:p w14:paraId="59F90AA8"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1.78 m/1.94 m</w:t>
            </w:r>
          </w:p>
        </w:tc>
      </w:tr>
      <w:tr w:rsidR="00E21A7D" w:rsidRPr="005E6B7C" w14:paraId="617FDBFE" w14:textId="77777777" w:rsidTr="004E2C03">
        <w:trPr>
          <w:jc w:val="center"/>
        </w:trPr>
        <w:tc>
          <w:tcPr>
            <w:tcW w:w="1118" w:type="dxa"/>
          </w:tcPr>
          <w:p w14:paraId="132C4BE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w:t>
            </w:r>
          </w:p>
        </w:tc>
        <w:tc>
          <w:tcPr>
            <w:tcW w:w="1102" w:type="dxa"/>
          </w:tcPr>
          <w:p w14:paraId="25699D1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76.7</w:t>
            </w:r>
          </w:p>
        </w:tc>
        <w:tc>
          <w:tcPr>
            <w:tcW w:w="1101" w:type="dxa"/>
          </w:tcPr>
          <w:p w14:paraId="5FBC349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76.8</w:t>
            </w:r>
          </w:p>
        </w:tc>
        <w:tc>
          <w:tcPr>
            <w:tcW w:w="2347" w:type="dxa"/>
          </w:tcPr>
          <w:p w14:paraId="523AC918"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4.22 ddd (10.8, 5.4, 1.8)</w:t>
            </w:r>
          </w:p>
        </w:tc>
        <w:tc>
          <w:tcPr>
            <w:tcW w:w="1101" w:type="dxa"/>
          </w:tcPr>
          <w:p w14:paraId="34416CB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77.8</w:t>
            </w:r>
          </w:p>
        </w:tc>
        <w:tc>
          <w:tcPr>
            <w:tcW w:w="1101" w:type="dxa"/>
          </w:tcPr>
          <w:p w14:paraId="4CF3AD5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77.8</w:t>
            </w:r>
          </w:p>
        </w:tc>
        <w:tc>
          <w:tcPr>
            <w:tcW w:w="2347" w:type="dxa"/>
          </w:tcPr>
          <w:p w14:paraId="3B4F050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4.44 ddd (9.6, 9.6, 2.4)</w:t>
            </w:r>
          </w:p>
        </w:tc>
      </w:tr>
      <w:tr w:rsidR="00E21A7D" w:rsidRPr="005E6B7C" w14:paraId="4CD9A8C5" w14:textId="77777777" w:rsidTr="004E2C03">
        <w:trPr>
          <w:jc w:val="center"/>
        </w:trPr>
        <w:tc>
          <w:tcPr>
            <w:tcW w:w="1118" w:type="dxa"/>
          </w:tcPr>
          <w:p w14:paraId="012776F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w:t>
            </w:r>
          </w:p>
        </w:tc>
        <w:tc>
          <w:tcPr>
            <w:tcW w:w="1102" w:type="dxa"/>
          </w:tcPr>
          <w:p w14:paraId="620AC2F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75.3</w:t>
            </w:r>
          </w:p>
        </w:tc>
        <w:tc>
          <w:tcPr>
            <w:tcW w:w="1101" w:type="dxa"/>
          </w:tcPr>
          <w:p w14:paraId="51E60ED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75.6</w:t>
            </w:r>
          </w:p>
        </w:tc>
        <w:tc>
          <w:tcPr>
            <w:tcW w:w="2347" w:type="dxa"/>
          </w:tcPr>
          <w:p w14:paraId="01D336C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3.25 dd (9.6, 1.2)</w:t>
            </w:r>
          </w:p>
        </w:tc>
        <w:tc>
          <w:tcPr>
            <w:tcW w:w="1101" w:type="dxa"/>
          </w:tcPr>
          <w:p w14:paraId="1EE840E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76.7</w:t>
            </w:r>
          </w:p>
        </w:tc>
        <w:tc>
          <w:tcPr>
            <w:tcW w:w="1101" w:type="dxa"/>
          </w:tcPr>
          <w:p w14:paraId="4F0E15D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77.0</w:t>
            </w:r>
          </w:p>
        </w:tc>
        <w:tc>
          <w:tcPr>
            <w:tcW w:w="2347" w:type="dxa"/>
          </w:tcPr>
          <w:p w14:paraId="6A68AD9F"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3.26 dd (9.6, 2.4)</w:t>
            </w:r>
          </w:p>
        </w:tc>
      </w:tr>
      <w:tr w:rsidR="00E21A7D" w:rsidRPr="005E6B7C" w14:paraId="236DAF16" w14:textId="77777777" w:rsidTr="004E2C03">
        <w:trPr>
          <w:jc w:val="center"/>
        </w:trPr>
        <w:tc>
          <w:tcPr>
            <w:tcW w:w="1118" w:type="dxa"/>
          </w:tcPr>
          <w:p w14:paraId="552C58A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w:t>
            </w:r>
          </w:p>
        </w:tc>
        <w:tc>
          <w:tcPr>
            <w:tcW w:w="1102" w:type="dxa"/>
          </w:tcPr>
          <w:p w14:paraId="21518BE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73.1</w:t>
            </w:r>
          </w:p>
        </w:tc>
        <w:tc>
          <w:tcPr>
            <w:tcW w:w="1101" w:type="dxa"/>
          </w:tcPr>
          <w:p w14:paraId="5072091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73.1</w:t>
            </w:r>
          </w:p>
        </w:tc>
        <w:tc>
          <w:tcPr>
            <w:tcW w:w="2347" w:type="dxa"/>
          </w:tcPr>
          <w:p w14:paraId="41D2C8B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101" w:type="dxa"/>
          </w:tcPr>
          <w:p w14:paraId="4E69D6E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77.1</w:t>
            </w:r>
          </w:p>
        </w:tc>
        <w:tc>
          <w:tcPr>
            <w:tcW w:w="1101" w:type="dxa"/>
          </w:tcPr>
          <w:p w14:paraId="4D6693B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77.1</w:t>
            </w:r>
          </w:p>
        </w:tc>
        <w:tc>
          <w:tcPr>
            <w:tcW w:w="2347" w:type="dxa"/>
          </w:tcPr>
          <w:p w14:paraId="733DC2F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21A7D" w:rsidRPr="005E6B7C" w14:paraId="0A5C2809" w14:textId="77777777" w:rsidTr="004E2C03">
        <w:trPr>
          <w:jc w:val="center"/>
        </w:trPr>
        <w:tc>
          <w:tcPr>
            <w:tcW w:w="1118" w:type="dxa"/>
          </w:tcPr>
          <w:p w14:paraId="41E2B6B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w:t>
            </w:r>
          </w:p>
        </w:tc>
        <w:tc>
          <w:tcPr>
            <w:tcW w:w="1102" w:type="dxa"/>
          </w:tcPr>
          <w:p w14:paraId="318918A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26.3</w:t>
            </w:r>
          </w:p>
        </w:tc>
        <w:tc>
          <w:tcPr>
            <w:tcW w:w="1101" w:type="dxa"/>
          </w:tcPr>
          <w:p w14:paraId="7384582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w:t>
            </w:r>
          </w:p>
        </w:tc>
        <w:tc>
          <w:tcPr>
            <w:tcW w:w="2347" w:type="dxa"/>
          </w:tcPr>
          <w:p w14:paraId="37377A15"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 s</w:t>
            </w:r>
          </w:p>
        </w:tc>
        <w:tc>
          <w:tcPr>
            <w:tcW w:w="1101" w:type="dxa"/>
          </w:tcPr>
          <w:p w14:paraId="6653594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20.1</w:t>
            </w:r>
          </w:p>
        </w:tc>
        <w:tc>
          <w:tcPr>
            <w:tcW w:w="1101" w:type="dxa"/>
          </w:tcPr>
          <w:p w14:paraId="26942CD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20.1</w:t>
            </w:r>
          </w:p>
        </w:tc>
        <w:tc>
          <w:tcPr>
            <w:tcW w:w="2347" w:type="dxa"/>
          </w:tcPr>
          <w:p w14:paraId="1D8820B9"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 s</w:t>
            </w:r>
          </w:p>
        </w:tc>
      </w:tr>
      <w:tr w:rsidR="00E21A7D" w:rsidRPr="005E6B7C" w14:paraId="72ED0AB0" w14:textId="77777777" w:rsidTr="004E2C03">
        <w:trPr>
          <w:jc w:val="center"/>
        </w:trPr>
        <w:tc>
          <w:tcPr>
            <w:tcW w:w="1118" w:type="dxa"/>
          </w:tcPr>
          <w:p w14:paraId="0C78980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w:t>
            </w:r>
          </w:p>
        </w:tc>
        <w:tc>
          <w:tcPr>
            <w:tcW w:w="1102" w:type="dxa"/>
          </w:tcPr>
          <w:p w14:paraId="096DAF5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w:t>
            </w:r>
          </w:p>
        </w:tc>
        <w:tc>
          <w:tcPr>
            <w:tcW w:w="1101" w:type="dxa"/>
          </w:tcPr>
          <w:p w14:paraId="4FED8D0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26.5</w:t>
            </w:r>
          </w:p>
        </w:tc>
        <w:tc>
          <w:tcPr>
            <w:tcW w:w="2347" w:type="dxa"/>
          </w:tcPr>
          <w:p w14:paraId="6748244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 s</w:t>
            </w:r>
          </w:p>
        </w:tc>
        <w:tc>
          <w:tcPr>
            <w:tcW w:w="1101" w:type="dxa"/>
          </w:tcPr>
          <w:p w14:paraId="55A39BD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22.4</w:t>
            </w:r>
          </w:p>
        </w:tc>
        <w:tc>
          <w:tcPr>
            <w:tcW w:w="1101" w:type="dxa"/>
          </w:tcPr>
          <w:p w14:paraId="009F6DB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22.4</w:t>
            </w:r>
          </w:p>
        </w:tc>
        <w:tc>
          <w:tcPr>
            <w:tcW w:w="2347" w:type="dxa"/>
          </w:tcPr>
          <w:p w14:paraId="7F40C5B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 s</w:t>
            </w:r>
          </w:p>
        </w:tc>
      </w:tr>
      <w:tr w:rsidR="00E21A7D" w:rsidRPr="005E6B7C" w14:paraId="5CCDD9C2" w14:textId="77777777" w:rsidTr="004E2C03">
        <w:trPr>
          <w:jc w:val="center"/>
        </w:trPr>
        <w:tc>
          <w:tcPr>
            <w:tcW w:w="1118" w:type="dxa"/>
          </w:tcPr>
          <w:p w14:paraId="0AC0033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w:t>
            </w:r>
          </w:p>
        </w:tc>
        <w:tc>
          <w:tcPr>
            <w:tcW w:w="1102" w:type="dxa"/>
          </w:tcPr>
          <w:p w14:paraId="03472F0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w:t>
            </w:r>
          </w:p>
        </w:tc>
        <w:tc>
          <w:tcPr>
            <w:tcW w:w="1101" w:type="dxa"/>
          </w:tcPr>
          <w:p w14:paraId="5CE3797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w:t>
            </w:r>
          </w:p>
        </w:tc>
        <w:tc>
          <w:tcPr>
            <w:tcW w:w="2347" w:type="dxa"/>
          </w:tcPr>
          <w:p w14:paraId="1DB8330A"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1.10 s</w:t>
            </w:r>
          </w:p>
        </w:tc>
        <w:tc>
          <w:tcPr>
            <w:tcW w:w="1101" w:type="dxa"/>
          </w:tcPr>
          <w:p w14:paraId="3E8AB876"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27.0</w:t>
            </w:r>
          </w:p>
        </w:tc>
        <w:tc>
          <w:tcPr>
            <w:tcW w:w="1101" w:type="dxa"/>
          </w:tcPr>
          <w:p w14:paraId="6AD358B0"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27.6</w:t>
            </w:r>
          </w:p>
        </w:tc>
        <w:tc>
          <w:tcPr>
            <w:tcW w:w="2347" w:type="dxa"/>
          </w:tcPr>
          <w:p w14:paraId="48FE3F43"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0.97 s</w:t>
            </w:r>
          </w:p>
        </w:tc>
      </w:tr>
      <w:tr w:rsidR="00E21A7D" w:rsidRPr="005E6B7C" w14:paraId="59CCC66B" w14:textId="77777777" w:rsidTr="004E2C03">
        <w:trPr>
          <w:jc w:val="center"/>
        </w:trPr>
        <w:tc>
          <w:tcPr>
            <w:tcW w:w="1118" w:type="dxa"/>
          </w:tcPr>
          <w:p w14:paraId="6027E14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w:t>
            </w:r>
          </w:p>
        </w:tc>
        <w:tc>
          <w:tcPr>
            <w:tcW w:w="1102" w:type="dxa"/>
          </w:tcPr>
          <w:p w14:paraId="74FB7AD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24.5</w:t>
            </w:r>
          </w:p>
        </w:tc>
        <w:tc>
          <w:tcPr>
            <w:tcW w:w="1101" w:type="dxa"/>
          </w:tcPr>
          <w:p w14:paraId="6EA5C1C8"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24.6</w:t>
            </w:r>
          </w:p>
        </w:tc>
        <w:tc>
          <w:tcPr>
            <w:tcW w:w="2347" w:type="dxa"/>
          </w:tcPr>
          <w:p w14:paraId="680810C3"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1.05 s</w:t>
            </w:r>
          </w:p>
        </w:tc>
        <w:tc>
          <w:tcPr>
            <w:tcW w:w="1101" w:type="dxa"/>
          </w:tcPr>
          <w:p w14:paraId="1877F37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w:t>
            </w:r>
          </w:p>
        </w:tc>
        <w:tc>
          <w:tcPr>
            <w:tcW w:w="1101" w:type="dxa"/>
          </w:tcPr>
          <w:p w14:paraId="4CC3E1EA"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w:t>
            </w:r>
          </w:p>
        </w:tc>
        <w:tc>
          <w:tcPr>
            <w:tcW w:w="2347" w:type="dxa"/>
          </w:tcPr>
          <w:p w14:paraId="11BEA50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0.86 s</w:t>
            </w:r>
          </w:p>
        </w:tc>
      </w:tr>
      <w:tr w:rsidR="00E21A7D" w:rsidRPr="005E6B7C" w14:paraId="2351C792" w14:textId="77777777" w:rsidTr="004E2C03">
        <w:trPr>
          <w:jc w:val="center"/>
        </w:trPr>
        <w:tc>
          <w:tcPr>
            <w:tcW w:w="1118" w:type="dxa"/>
          </w:tcPr>
          <w:p w14:paraId="1FE4D36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102" w:type="dxa"/>
          </w:tcPr>
          <w:p w14:paraId="288F2323"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1101" w:type="dxa"/>
          </w:tcPr>
          <w:p w14:paraId="1643ADD7"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2347" w:type="dxa"/>
          </w:tcPr>
          <w:p w14:paraId="3D70C674"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1.12 s</w:t>
            </w:r>
          </w:p>
        </w:tc>
        <w:tc>
          <w:tcPr>
            <w:tcW w:w="1101" w:type="dxa"/>
          </w:tcPr>
          <w:p w14:paraId="2A7A369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1101" w:type="dxa"/>
          </w:tcPr>
          <w:p w14:paraId="2D8C3E2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w:t>
            </w:r>
          </w:p>
        </w:tc>
        <w:tc>
          <w:tcPr>
            <w:tcW w:w="2347" w:type="dxa"/>
          </w:tcPr>
          <w:p w14:paraId="78384F94"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0.99 s</w:t>
            </w:r>
          </w:p>
        </w:tc>
      </w:tr>
      <w:tr w:rsidR="00E21A7D" w:rsidRPr="005E6B7C" w14:paraId="23D49CD2" w14:textId="77777777" w:rsidTr="004E2C03">
        <w:trPr>
          <w:jc w:val="center"/>
        </w:trPr>
        <w:tc>
          <w:tcPr>
            <w:tcW w:w="1118" w:type="dxa"/>
          </w:tcPr>
          <w:p w14:paraId="1361E79C"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21-OCH</w:t>
            </w:r>
            <w:r w:rsidRPr="005E6B7C">
              <w:rPr>
                <w:rFonts w:asciiTheme="majorHAnsi" w:eastAsia="Yu Mincho" w:hAnsiTheme="majorHAnsi" w:cstheme="majorHAnsi"/>
                <w:color w:val="000000" w:themeColor="text1"/>
                <w:sz w:val="18"/>
                <w:szCs w:val="18"/>
                <w:vertAlign w:val="subscript"/>
                <w:lang w:eastAsia="ja-JP"/>
              </w:rPr>
              <w:t>3</w:t>
            </w:r>
          </w:p>
        </w:tc>
        <w:tc>
          <w:tcPr>
            <w:tcW w:w="1102" w:type="dxa"/>
          </w:tcPr>
          <w:p w14:paraId="2DFF0EA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w:t>
            </w:r>
          </w:p>
        </w:tc>
        <w:tc>
          <w:tcPr>
            <w:tcW w:w="1101" w:type="dxa"/>
          </w:tcPr>
          <w:p w14:paraId="2CE22BB5"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w:t>
            </w:r>
          </w:p>
        </w:tc>
        <w:tc>
          <w:tcPr>
            <w:tcW w:w="2347" w:type="dxa"/>
          </w:tcPr>
          <w:p w14:paraId="7BB38F13"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3.34 s</w:t>
            </w:r>
          </w:p>
        </w:tc>
        <w:tc>
          <w:tcPr>
            <w:tcW w:w="1101" w:type="dxa"/>
          </w:tcPr>
          <w:p w14:paraId="3284C151"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55.0</w:t>
            </w:r>
          </w:p>
        </w:tc>
        <w:tc>
          <w:tcPr>
            <w:tcW w:w="1101" w:type="dxa"/>
          </w:tcPr>
          <w:p w14:paraId="29F90C2E"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55.0</w:t>
            </w:r>
          </w:p>
        </w:tc>
        <w:tc>
          <w:tcPr>
            <w:tcW w:w="2347" w:type="dxa"/>
          </w:tcPr>
          <w:p w14:paraId="52550CB0"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3.35 s</w:t>
            </w:r>
          </w:p>
        </w:tc>
      </w:tr>
      <w:tr w:rsidR="00E21A7D" w:rsidRPr="005E6B7C" w14:paraId="72683FB8" w14:textId="77777777" w:rsidTr="004E2C03">
        <w:trPr>
          <w:jc w:val="center"/>
        </w:trPr>
        <w:tc>
          <w:tcPr>
            <w:tcW w:w="1118" w:type="dxa"/>
          </w:tcPr>
          <w:p w14:paraId="2E90F8CF"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25-OCH</w:t>
            </w:r>
            <w:r w:rsidRPr="005E6B7C">
              <w:rPr>
                <w:rFonts w:asciiTheme="majorHAnsi" w:eastAsia="Yu Mincho" w:hAnsiTheme="majorHAnsi" w:cstheme="majorHAnsi"/>
                <w:color w:val="000000" w:themeColor="text1"/>
                <w:sz w:val="18"/>
                <w:szCs w:val="18"/>
                <w:vertAlign w:val="subscript"/>
                <w:lang w:eastAsia="ja-JP"/>
              </w:rPr>
              <w:t>3</w:t>
            </w:r>
          </w:p>
        </w:tc>
        <w:tc>
          <w:tcPr>
            <w:tcW w:w="1102" w:type="dxa"/>
          </w:tcPr>
          <w:p w14:paraId="0AA5F2D9"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1101" w:type="dxa"/>
          </w:tcPr>
          <w:p w14:paraId="1B62138D"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2347" w:type="dxa"/>
          </w:tcPr>
          <w:p w14:paraId="1C94BBDA"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p>
        </w:tc>
        <w:tc>
          <w:tcPr>
            <w:tcW w:w="1101" w:type="dxa"/>
          </w:tcPr>
          <w:p w14:paraId="10F7537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49.3</w:t>
            </w:r>
          </w:p>
        </w:tc>
        <w:tc>
          <w:tcPr>
            <w:tcW w:w="1101" w:type="dxa"/>
          </w:tcPr>
          <w:p w14:paraId="7B48E732" w14:textId="77777777" w:rsidR="00E21A7D" w:rsidRPr="005E6B7C" w:rsidRDefault="00E21A7D"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49.3</w:t>
            </w:r>
          </w:p>
        </w:tc>
        <w:tc>
          <w:tcPr>
            <w:tcW w:w="2347" w:type="dxa"/>
          </w:tcPr>
          <w:p w14:paraId="36DA5E81" w14:textId="77777777" w:rsidR="00E21A7D" w:rsidRPr="005E6B7C" w:rsidRDefault="00E21A7D" w:rsidP="004E2C03">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3.25 s</w:t>
            </w:r>
          </w:p>
        </w:tc>
      </w:tr>
    </w:tbl>
    <w:p w14:paraId="24617347" w14:textId="77777777" w:rsidR="00E21A7D" w:rsidRPr="005E6B7C" w:rsidRDefault="00E21A7D" w:rsidP="00E21A7D">
      <w:pPr>
        <w:widowControl/>
        <w:tabs>
          <w:tab w:val="left" w:pos="9270"/>
        </w:tabs>
        <w:ind w:right="-23" w:firstLine="284"/>
        <w:contextualSpacing/>
        <w:jc w:val="both"/>
        <w:rPr>
          <w:rFonts w:asciiTheme="majorHAnsi" w:eastAsia="Yu Mincho" w:hAnsiTheme="majorHAnsi" w:cstheme="majorHAnsi"/>
          <w:i/>
          <w:color w:val="000000" w:themeColor="text1"/>
          <w:sz w:val="8"/>
          <w:szCs w:val="18"/>
          <w:lang w:eastAsia="ja-JP"/>
        </w:rPr>
      </w:pPr>
    </w:p>
    <w:p w14:paraId="499020F7" w14:textId="77777777" w:rsidR="00E21A7D" w:rsidRPr="005E6B7C" w:rsidRDefault="00E21A7D" w:rsidP="00E21A7D">
      <w:pPr>
        <w:widowControl/>
        <w:tabs>
          <w:tab w:val="left" w:pos="9270"/>
        </w:tabs>
        <w:ind w:right="-20" w:firstLine="284"/>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 xml:space="preserve">Measured in </w:t>
      </w:r>
      <w:r w:rsidRPr="005E6B7C">
        <w:rPr>
          <w:rFonts w:asciiTheme="majorHAnsi" w:eastAsia="Yu Mincho" w:hAnsiTheme="majorHAnsi" w:cstheme="majorHAnsi"/>
          <w:i/>
          <w:color w:val="000000" w:themeColor="text1"/>
          <w:sz w:val="18"/>
          <w:szCs w:val="18"/>
          <w:vertAlign w:val="superscript"/>
          <w:lang w:eastAsia="ja-JP"/>
        </w:rPr>
        <w:t>a</w:t>
      </w:r>
      <w:r w:rsidRPr="005E6B7C">
        <w:rPr>
          <w:rFonts w:asciiTheme="majorHAnsi" w:eastAsia="Yu Mincho" w:hAnsiTheme="majorHAnsi" w:cstheme="majorHAnsi"/>
          <w:i/>
          <w:color w:val="000000" w:themeColor="text1"/>
          <w:sz w:val="18"/>
          <w:szCs w:val="18"/>
          <w:lang w:eastAsia="ja-JP"/>
        </w:rPr>
        <w:t>CDCl</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vertAlign w:val="superscript"/>
          <w:lang w:eastAsia="ja-JP"/>
        </w:rPr>
        <w:t>b</w:t>
      </w:r>
      <w:r w:rsidRPr="005E6B7C">
        <w:rPr>
          <w:rFonts w:asciiTheme="majorHAnsi" w:eastAsia="Yu Mincho" w:hAnsiTheme="majorHAnsi" w:cstheme="majorHAnsi"/>
          <w:i/>
          <w:color w:val="000000" w:themeColor="text1"/>
          <w:sz w:val="18"/>
          <w:szCs w:val="18"/>
          <w:lang w:eastAsia="ja-JP"/>
        </w:rPr>
        <w:t xml:space="preserve">150 MHz, and </w:t>
      </w:r>
      <w:r w:rsidRPr="005E6B7C">
        <w:rPr>
          <w:rFonts w:asciiTheme="majorHAnsi" w:eastAsia="Yu Mincho" w:hAnsiTheme="majorHAnsi" w:cstheme="majorHAnsi"/>
          <w:i/>
          <w:color w:val="000000" w:themeColor="text1"/>
          <w:sz w:val="18"/>
          <w:szCs w:val="18"/>
          <w:vertAlign w:val="superscript"/>
          <w:lang w:eastAsia="ja-JP"/>
        </w:rPr>
        <w:t>c</w:t>
      </w:r>
      <w:r w:rsidRPr="005E6B7C">
        <w:rPr>
          <w:rFonts w:asciiTheme="majorHAnsi" w:eastAsia="Yu Mincho" w:hAnsiTheme="majorHAnsi" w:cstheme="majorHAnsi"/>
          <w:i/>
          <w:color w:val="000000" w:themeColor="text1"/>
          <w:sz w:val="18"/>
          <w:szCs w:val="18"/>
          <w:lang w:eastAsia="ja-JP"/>
        </w:rPr>
        <w:t xml:space="preserve">600 MHz. </w:t>
      </w:r>
      <w:r w:rsidRPr="005E6B7C">
        <w:rPr>
          <w:rFonts w:asciiTheme="majorHAnsi" w:eastAsia="Yu Mincho" w:hAnsiTheme="majorHAnsi" w:cstheme="majorHAnsi"/>
          <w:i/>
          <w:color w:val="000000" w:themeColor="text1"/>
          <w:sz w:val="18"/>
          <w:szCs w:val="18"/>
          <w:vertAlign w:val="superscript"/>
          <w:lang w:eastAsia="ja-JP"/>
        </w:rPr>
        <w:t>#</w:t>
      </w: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vertAlign w:val="superscript"/>
          <w:lang w:eastAsia="ja-JP"/>
        </w:rPr>
        <w:t xml:space="preserve"> </w:t>
      </w:r>
      <w:r w:rsidRPr="005E6B7C">
        <w:rPr>
          <w:rFonts w:asciiTheme="majorHAnsi" w:eastAsia="Yu Mincho" w:hAnsiTheme="majorHAnsi" w:cstheme="majorHAnsi"/>
          <w:i/>
          <w:color w:val="000000" w:themeColor="text1"/>
          <w:sz w:val="18"/>
          <w:szCs w:val="18"/>
          <w:lang w:eastAsia="ja-JP"/>
        </w:rPr>
        <w:t xml:space="preserve">of 21α-methylmelianodiol </w:t>
      </w:r>
      <w:r w:rsidRPr="005E6B7C">
        <w:rPr>
          <w:rFonts w:asciiTheme="majorHAnsi" w:eastAsia="Calibri" w:hAnsiTheme="majorHAnsi" w:cstheme="majorHAnsi"/>
          <w:color w:val="000000" w:themeColor="text1"/>
          <w:sz w:val="18"/>
          <w:szCs w:val="18"/>
          <w:lang w:eastAsia="ja-JP"/>
        </w:rPr>
        <w:fldChar w:fldCharType="begin"/>
      </w:r>
      <w:r w:rsidRPr="005E6B7C">
        <w:rPr>
          <w:rFonts w:asciiTheme="majorHAnsi" w:eastAsia="Calibri" w:hAnsiTheme="majorHAnsi" w:cstheme="majorHAnsi"/>
          <w:color w:val="000000" w:themeColor="text1"/>
          <w:sz w:val="18"/>
          <w:szCs w:val="18"/>
          <w:lang w:eastAsia="ja-JP"/>
        </w:rPr>
        <w:instrText xml:space="preserve"> ADDIN EN.CITE &lt;EndNote&gt;&lt;Cite&gt;&lt;Author&gt;Xu&lt;/Author&gt;&lt;Year&gt;2008&lt;/Year&gt;&lt;RecNum&gt;3&lt;/RecNum&gt;&lt;DisplayText&gt;[16]&lt;/DisplayText&gt;&lt;record&gt;&lt;rec-number&gt;3&lt;/rec-number&gt;&lt;foreign-keys&gt;&lt;key app="EN" db-id="xd0dd5v5ed9tzkesve6v9tvwtprdd5zf090p" timestamp="1701923999"&gt;3&lt;/key&gt;&lt;/foreign-keys&gt;&lt;ref-type name="Journal Article"&gt;17&lt;/ref-type&gt;&lt;contributors&gt;&lt;authors&gt;&lt;author&gt;Xu, G. H.&lt;/author&gt;&lt;author&gt;Kim, J. A.&lt;/author&gt;&lt;author&gt;Kim, S. Y.&lt;/author&gt;&lt;author&gt;Ryu, J. C.&lt;/author&gt;&lt;author&gt;Kim, Y. S.&lt;/author&gt;&lt;author&gt;Jung, S. H.&lt;/author&gt;&lt;author&gt;Kim, M. K.&lt;/author&gt;&lt;author&gt;Lee, S. H.&lt;/author&gt;&lt;/authors&gt;&lt;/contributors&gt;&lt;auth-address&gt;College of Pharmacy, Yeungnam University, Gyeongsan, Korea.&lt;/auth-address&gt;&lt;titles&gt;&lt;title&gt;Terpenoids and coumarins isolated from the fruits of Poncirus trifoliata&lt;/title&gt;&lt;secondary-title&gt;Chem Pharm Bull (Tokyo)&lt;/secondary-title&gt;&lt;/titles&gt;&lt;periodical&gt;&lt;full-title&gt;Chem Pharm Bull (Tokyo)&lt;/full-title&gt;&lt;/periodical&gt;&lt;pages&gt;839-42&lt;/pages&gt;&lt;volume&gt;56&lt;/volume&gt;&lt;number&gt;6&lt;/number&gt;&lt;edition&gt;2008/06/04&lt;/edition&gt;&lt;keywords&gt;&lt;keyword&gt;Coumarins/*chemistry/isolation &amp;amp; purification&lt;/keyword&gt;&lt;keyword&gt;Fruit/*chemistry&lt;/keyword&gt;&lt;keyword&gt;Indicators and Reagents&lt;/keyword&gt;&lt;keyword&gt;Magnetic Resonance Spectroscopy&lt;/keyword&gt;&lt;keyword&gt;Molecular Conformation&lt;/keyword&gt;&lt;keyword&gt;Poncirus/*chemistry&lt;/keyword&gt;&lt;keyword&gt;Spectrometry, Mass, Fast Atom Bombardment&lt;/keyword&gt;&lt;keyword&gt;Spectrophotometry, Infrared&lt;/keyword&gt;&lt;keyword&gt;Spectrophotometry, Ultraviolet&lt;/keyword&gt;&lt;keyword&gt;Terpenes/*chemistry/isolation &amp;amp; purification&lt;/keyword&gt;&lt;/keywords&gt;&lt;dates&gt;&lt;year&gt;2008&lt;/year&gt;&lt;pub-dates&gt;&lt;date&gt;Jun&lt;/date&gt;&lt;/pub-dates&gt;&lt;/dates&gt;&lt;isbn&gt;0009-2363 (Print)&amp;#xD;0009-2363&lt;/isbn&gt;&lt;accession-num&gt;18520091&lt;/accession-num&gt;&lt;urls&gt;&lt;/urls&gt;&lt;electronic-resource-num&gt;10.1248/cpb.56.839&lt;/electronic-resource-num&gt;&lt;remote-database-provider&gt;NLM&lt;/remote-database-provider&gt;&lt;language&gt;eng&lt;/language&gt;&lt;/record&gt;&lt;/Cite&gt;&lt;/EndNote&gt;</w:instrText>
      </w:r>
      <w:r w:rsidRPr="005E6B7C">
        <w:rPr>
          <w:rFonts w:asciiTheme="majorHAnsi" w:eastAsia="Calibri" w:hAnsiTheme="majorHAnsi" w:cstheme="majorHAnsi"/>
          <w:color w:val="000000" w:themeColor="text1"/>
          <w:sz w:val="18"/>
          <w:szCs w:val="18"/>
          <w:lang w:eastAsia="ja-JP"/>
        </w:rPr>
        <w:fldChar w:fldCharType="separate"/>
      </w:r>
      <w:r w:rsidRPr="005E6B7C">
        <w:rPr>
          <w:rFonts w:asciiTheme="majorHAnsi" w:eastAsia="Calibri" w:hAnsiTheme="majorHAnsi" w:cstheme="majorHAnsi"/>
          <w:noProof/>
          <w:color w:val="000000" w:themeColor="text1"/>
          <w:sz w:val="18"/>
          <w:szCs w:val="18"/>
          <w:lang w:eastAsia="ja-JP"/>
        </w:rPr>
        <w:t>[16]</w:t>
      </w:r>
      <w:r w:rsidRPr="005E6B7C">
        <w:rPr>
          <w:rFonts w:asciiTheme="majorHAnsi" w:eastAsia="Calibri" w:hAnsiTheme="majorHAnsi" w:cstheme="majorHAnsi"/>
          <w:color w:val="000000" w:themeColor="text1"/>
          <w:sz w:val="18"/>
          <w:szCs w:val="18"/>
          <w:lang w:eastAsia="ja-JP"/>
        </w:rPr>
        <w:fldChar w:fldCharType="end"/>
      </w:r>
      <w:r w:rsidRPr="005E6B7C">
        <w:rPr>
          <w:rFonts w:asciiTheme="majorHAnsi" w:eastAsia="Calibri" w:hAnsiTheme="majorHAnsi" w:cstheme="majorHAnsi"/>
          <w:i/>
          <w:color w:val="000000" w:themeColor="text1"/>
          <w:sz w:val="18"/>
          <w:szCs w:val="18"/>
          <w:lang w:eastAsia="ja-JP"/>
        </w:rPr>
        <w:t xml:space="preserve"> </w:t>
      </w:r>
      <w:r w:rsidRPr="005E6B7C">
        <w:rPr>
          <w:rFonts w:asciiTheme="majorHAnsi" w:eastAsia="Yu Mincho" w:hAnsiTheme="majorHAnsi" w:cstheme="majorHAnsi"/>
          <w:bCs/>
          <w:i/>
          <w:noProof/>
          <w:color w:val="000000" w:themeColor="text1"/>
          <w:sz w:val="18"/>
          <w:szCs w:val="18"/>
          <w:lang w:eastAsia="ja-JP"/>
        </w:rPr>
        <w:t xml:space="preserve">and </w:t>
      </w:r>
      <w:r w:rsidRPr="005E6B7C">
        <w:rPr>
          <w:rFonts w:asciiTheme="majorHAnsi" w:eastAsia="Yu Mincho" w:hAnsiTheme="majorHAnsi" w:cstheme="majorHAnsi"/>
          <w:i/>
          <w:color w:val="000000" w:themeColor="text1"/>
          <w:sz w:val="18"/>
          <w:szCs w:val="18"/>
          <w:vertAlign w:val="superscript"/>
          <w:lang w:eastAsia="ja-JP"/>
        </w:rPr>
        <w:t>$</w:t>
      </w: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vertAlign w:val="superscript"/>
          <w:lang w:eastAsia="ja-JP"/>
        </w:rPr>
        <w:t xml:space="preserve"> </w:t>
      </w:r>
      <w:r w:rsidRPr="005E6B7C">
        <w:rPr>
          <w:rFonts w:asciiTheme="majorHAnsi" w:eastAsia="Yu Mincho" w:hAnsiTheme="majorHAnsi" w:cstheme="majorHAnsi"/>
          <w:i/>
          <w:color w:val="000000" w:themeColor="text1"/>
          <w:sz w:val="18"/>
          <w:szCs w:val="18"/>
          <w:lang w:eastAsia="ja-JP"/>
        </w:rPr>
        <w:t>of 21S,23R-epoxy-3β,24R-dihydroxy-21β,25-dimethoxy-tirucalla-7-en</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18"/>
          <w:szCs w:val="18"/>
          <w:lang w:eastAsia="ja-JP"/>
        </w:rPr>
        <w:instrText xml:space="preserve"> ADDIN EN.CITE </w:instrText>
      </w:r>
      <w:r w:rsidRPr="005E6B7C">
        <w:rPr>
          <w:rFonts w:asciiTheme="majorHAnsi" w:eastAsia="Yu Mincho" w:hAnsiTheme="majorHAnsi" w:cstheme="majorHAnsi"/>
          <w:color w:val="000000" w:themeColor="text1"/>
          <w:sz w:val="18"/>
          <w:szCs w:val="18"/>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18"/>
          <w:szCs w:val="18"/>
          <w:lang w:eastAsia="ja-JP"/>
        </w:rPr>
        <w:instrText xml:space="preserve"> ADDIN EN.CITE.DATA </w:instrText>
      </w:r>
      <w:r w:rsidRPr="005E6B7C">
        <w:rPr>
          <w:rFonts w:asciiTheme="majorHAnsi" w:eastAsia="Yu Mincho" w:hAnsiTheme="majorHAnsi" w:cstheme="majorHAnsi"/>
          <w:color w:val="000000" w:themeColor="text1"/>
          <w:sz w:val="18"/>
          <w:szCs w:val="18"/>
          <w:lang w:eastAsia="ja-JP"/>
        </w:rPr>
      </w:r>
      <w:r w:rsidRPr="005E6B7C">
        <w:rPr>
          <w:rFonts w:asciiTheme="majorHAnsi" w:eastAsia="Yu Mincho" w:hAnsiTheme="majorHAnsi" w:cstheme="majorHAnsi"/>
          <w:color w:val="000000" w:themeColor="text1"/>
          <w:sz w:val="18"/>
          <w:szCs w:val="18"/>
          <w:lang w:eastAsia="ja-JP"/>
        </w:rPr>
        <w:fldChar w:fldCharType="end"/>
      </w:r>
      <w:r w:rsidRPr="005E6B7C">
        <w:rPr>
          <w:rFonts w:asciiTheme="majorHAnsi" w:eastAsia="Yu Mincho" w:hAnsiTheme="majorHAnsi" w:cstheme="majorHAnsi"/>
          <w:color w:val="000000" w:themeColor="text1"/>
          <w:sz w:val="18"/>
          <w:szCs w:val="18"/>
          <w:lang w:eastAsia="ja-JP"/>
        </w:rPr>
      </w:r>
      <w:r w:rsidRPr="005E6B7C">
        <w:rPr>
          <w:rFonts w:asciiTheme="majorHAnsi" w:eastAsia="Yu Mincho" w:hAnsiTheme="majorHAnsi" w:cstheme="majorHAnsi"/>
          <w:color w:val="000000" w:themeColor="text1"/>
          <w:sz w:val="18"/>
          <w:szCs w:val="18"/>
          <w:lang w:eastAsia="ja-JP"/>
        </w:rPr>
        <w:fldChar w:fldCharType="separate"/>
      </w:r>
      <w:r w:rsidRPr="005E6B7C">
        <w:rPr>
          <w:rFonts w:asciiTheme="majorHAnsi" w:eastAsia="Yu Mincho" w:hAnsiTheme="majorHAnsi" w:cstheme="majorHAnsi"/>
          <w:noProof/>
          <w:color w:val="000000" w:themeColor="text1"/>
          <w:sz w:val="18"/>
          <w:szCs w:val="18"/>
          <w:lang w:eastAsia="ja-JP"/>
        </w:rPr>
        <w:t>[13]</w:t>
      </w:r>
      <w:r w:rsidRPr="005E6B7C">
        <w:rPr>
          <w:rFonts w:asciiTheme="majorHAnsi" w:eastAsia="Yu Mincho" w:hAnsiTheme="majorHAnsi" w:cstheme="majorHAnsi"/>
          <w:color w:val="000000" w:themeColor="text1"/>
          <w:sz w:val="18"/>
          <w:szCs w:val="18"/>
          <w:lang w:eastAsia="ja-JP"/>
        </w:rPr>
        <w:fldChar w:fldCharType="end"/>
      </w:r>
      <w:r w:rsidRPr="005E6B7C">
        <w:rPr>
          <w:rFonts w:asciiTheme="majorHAnsi" w:eastAsia="Calibri" w:hAnsiTheme="majorHAnsi" w:cstheme="majorHAnsi"/>
          <w:color w:val="000000" w:themeColor="text1"/>
          <w:sz w:val="18"/>
          <w:szCs w:val="18"/>
          <w:lang w:eastAsia="ja-JP"/>
        </w:rPr>
        <w:t>.</w:t>
      </w:r>
    </w:p>
    <w:p w14:paraId="6792B8D3" w14:textId="77777777" w:rsidR="008B0A14" w:rsidRPr="005E6B7C" w:rsidRDefault="008B0A14" w:rsidP="008C0D47">
      <w:pPr>
        <w:widowControl/>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02C96985" w14:textId="77777777" w:rsidR="0021087C" w:rsidRPr="005E6B7C" w:rsidRDefault="0021087C"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1087C" w:rsidRPr="005E6B7C" w:rsidSect="002206BB">
          <w:type w:val="continuous"/>
          <w:pgSz w:w="10773" w:h="15309" w:code="9"/>
          <w:pgMar w:top="907" w:right="851" w:bottom="1418" w:left="851" w:header="397" w:footer="851" w:gutter="0"/>
          <w:cols w:space="284"/>
          <w:docGrid w:linePitch="360"/>
        </w:sectPr>
      </w:pPr>
    </w:p>
    <w:p w14:paraId="60B78069" w14:textId="77777777" w:rsidR="00E21A7D" w:rsidRPr="005E6B7C" w:rsidRDefault="00E21A7D" w:rsidP="00E21A7D">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Calibri" w:hAnsiTheme="majorHAnsi" w:cstheme="majorHAnsi"/>
          <w:color w:val="000000" w:themeColor="text1"/>
          <w:sz w:val="22"/>
          <w:szCs w:val="22"/>
          <w:lang w:eastAsia="ja-JP"/>
        </w:rPr>
        <w:t>The strong cross-peaks observed in the HMBC spectrum (Fig. 2) between the methyl protons and their neighboring carbons were used to establish the tirucallane backbone. The location of the methoxy group at C-21 was confirmed by the HMBC cross-peak from the methoxy protons to C-21. HMBC correlations from olefinic proton H-7 [</w:t>
      </w:r>
      <w:r w:rsidRPr="005E6B7C">
        <w:rPr>
          <w:rFonts w:asciiTheme="majorHAnsi" w:eastAsia="Calibri" w:hAnsiTheme="majorHAnsi" w:cstheme="majorHAnsi"/>
          <w:i/>
          <w:color w:val="000000" w:themeColor="text1"/>
          <w:sz w:val="22"/>
          <w:szCs w:val="22"/>
          <w:lang w:eastAsia="ja-JP"/>
        </w:rPr>
        <w:t>δ</w:t>
      </w:r>
      <w:r w:rsidRPr="005E6B7C">
        <w:rPr>
          <w:rFonts w:asciiTheme="majorHAnsi" w:eastAsia="Calibri" w:hAnsiTheme="majorHAnsi" w:cstheme="majorHAnsi"/>
          <w:color w:val="000000" w:themeColor="text1"/>
          <w:sz w:val="22"/>
          <w:szCs w:val="22"/>
          <w:vertAlign w:val="subscript"/>
          <w:lang w:eastAsia="ja-JP"/>
        </w:rPr>
        <w:t>H</w:t>
      </w:r>
      <w:r w:rsidRPr="005E6B7C">
        <w:rPr>
          <w:rFonts w:asciiTheme="majorHAnsi" w:eastAsia="Calibri" w:hAnsiTheme="majorHAnsi" w:cstheme="majorHAnsi"/>
          <w:color w:val="000000" w:themeColor="text1"/>
          <w:sz w:val="22"/>
          <w:szCs w:val="22"/>
          <w:lang w:eastAsia="ja-JP"/>
        </w:rPr>
        <w:t xml:space="preserve"> 5.32 (1H, dd, </w:t>
      </w:r>
      <w:r w:rsidRPr="005E6B7C">
        <w:rPr>
          <w:rFonts w:asciiTheme="majorHAnsi" w:eastAsia="Calibri" w:hAnsiTheme="majorHAnsi" w:cstheme="majorHAnsi"/>
          <w:i/>
          <w:color w:val="000000" w:themeColor="text1"/>
          <w:sz w:val="22"/>
          <w:szCs w:val="22"/>
          <w:lang w:eastAsia="ja-JP"/>
        </w:rPr>
        <w:t>J</w:t>
      </w:r>
      <w:r w:rsidRPr="005E6B7C">
        <w:rPr>
          <w:rFonts w:asciiTheme="majorHAnsi" w:eastAsia="Calibri" w:hAnsiTheme="majorHAnsi" w:cstheme="majorHAnsi"/>
          <w:color w:val="000000" w:themeColor="text1"/>
          <w:sz w:val="22"/>
          <w:szCs w:val="22"/>
          <w:lang w:eastAsia="ja-JP"/>
        </w:rPr>
        <w:t xml:space="preserve"> = 6.6, 3.0 Hz, H-7)] to C-5 (</w:t>
      </w:r>
      <w:r w:rsidRPr="005E6B7C">
        <w:rPr>
          <w:rFonts w:asciiTheme="majorHAnsi" w:eastAsia="Calibri" w:hAnsiTheme="majorHAnsi" w:cstheme="majorHAnsi"/>
          <w:i/>
          <w:color w:val="000000" w:themeColor="text1"/>
          <w:sz w:val="22"/>
          <w:szCs w:val="22"/>
          <w:lang w:eastAsia="ja-JP"/>
        </w:rPr>
        <w:t>δ</w:t>
      </w:r>
      <w:r w:rsidRPr="005E6B7C">
        <w:rPr>
          <w:rFonts w:asciiTheme="majorHAnsi" w:eastAsia="Calibri" w:hAnsiTheme="majorHAnsi" w:cstheme="majorHAnsi"/>
          <w:color w:val="000000" w:themeColor="text1"/>
          <w:sz w:val="22"/>
          <w:szCs w:val="22"/>
          <w:vertAlign w:val="subscript"/>
          <w:lang w:eastAsia="ja-JP"/>
        </w:rPr>
        <w:t>C</w:t>
      </w:r>
      <w:r w:rsidRPr="005E6B7C">
        <w:rPr>
          <w:rFonts w:asciiTheme="majorHAnsi" w:eastAsia="Calibri" w:hAnsiTheme="majorHAnsi" w:cstheme="majorHAnsi"/>
          <w:color w:val="000000" w:themeColor="text1"/>
          <w:sz w:val="22"/>
          <w:szCs w:val="22"/>
          <w:lang w:eastAsia="ja-JP"/>
        </w:rPr>
        <w:t xml:space="preserve"> 52.4), and C-9 (</w:t>
      </w:r>
      <w:r w:rsidRPr="005E6B7C">
        <w:rPr>
          <w:rFonts w:asciiTheme="majorHAnsi" w:eastAsia="Calibri" w:hAnsiTheme="majorHAnsi" w:cstheme="majorHAnsi"/>
          <w:i/>
          <w:color w:val="000000" w:themeColor="text1"/>
          <w:sz w:val="22"/>
          <w:szCs w:val="22"/>
          <w:lang w:eastAsia="ja-JP"/>
        </w:rPr>
        <w:t>δ</w:t>
      </w:r>
      <w:r w:rsidRPr="005E6B7C">
        <w:rPr>
          <w:rFonts w:asciiTheme="majorHAnsi" w:eastAsia="Calibri" w:hAnsiTheme="majorHAnsi" w:cstheme="majorHAnsi"/>
          <w:color w:val="000000" w:themeColor="text1"/>
          <w:sz w:val="22"/>
          <w:szCs w:val="22"/>
          <w:vertAlign w:val="subscript"/>
          <w:lang w:eastAsia="ja-JP"/>
        </w:rPr>
        <w:t>C</w:t>
      </w:r>
      <w:r w:rsidRPr="005E6B7C">
        <w:rPr>
          <w:rFonts w:asciiTheme="majorHAnsi" w:eastAsia="Calibri" w:hAnsiTheme="majorHAnsi" w:cstheme="majorHAnsi"/>
          <w:color w:val="000000" w:themeColor="text1"/>
          <w:sz w:val="22"/>
          <w:szCs w:val="22"/>
          <w:lang w:eastAsia="ja-JP"/>
        </w:rPr>
        <w:t xml:space="preserve"> 48.4) assigned the trisubstituted double bond to C-7 (</w:t>
      </w:r>
      <w:r w:rsidRPr="005E6B7C">
        <w:rPr>
          <w:rFonts w:asciiTheme="majorHAnsi" w:eastAsia="Calibri" w:hAnsiTheme="majorHAnsi" w:cstheme="majorHAnsi"/>
          <w:i/>
          <w:color w:val="000000" w:themeColor="text1"/>
          <w:sz w:val="22"/>
          <w:szCs w:val="22"/>
          <w:lang w:eastAsia="ja-JP"/>
        </w:rPr>
        <w:t>δ</w:t>
      </w:r>
      <w:r w:rsidRPr="005E6B7C">
        <w:rPr>
          <w:rFonts w:asciiTheme="majorHAnsi" w:eastAsia="Calibri" w:hAnsiTheme="majorHAnsi" w:cstheme="majorHAnsi"/>
          <w:color w:val="000000" w:themeColor="text1"/>
          <w:sz w:val="22"/>
          <w:szCs w:val="22"/>
          <w:vertAlign w:val="subscript"/>
          <w:lang w:eastAsia="ja-JP"/>
        </w:rPr>
        <w:t>C</w:t>
      </w:r>
      <w:r w:rsidRPr="005E6B7C">
        <w:rPr>
          <w:rFonts w:asciiTheme="majorHAnsi" w:eastAsia="Calibri" w:hAnsiTheme="majorHAnsi" w:cstheme="majorHAnsi"/>
          <w:color w:val="000000" w:themeColor="text1"/>
          <w:sz w:val="22"/>
          <w:szCs w:val="22"/>
          <w:lang w:eastAsia="ja-JP"/>
        </w:rPr>
        <w:t xml:space="preserve"> 118.2) and C-8 (</w:t>
      </w:r>
      <w:r w:rsidRPr="005E6B7C">
        <w:rPr>
          <w:rFonts w:asciiTheme="majorHAnsi" w:eastAsia="Calibri" w:hAnsiTheme="majorHAnsi" w:cstheme="majorHAnsi"/>
          <w:i/>
          <w:color w:val="000000" w:themeColor="text1"/>
          <w:sz w:val="22"/>
          <w:szCs w:val="22"/>
          <w:lang w:eastAsia="ja-JP"/>
        </w:rPr>
        <w:t>δ</w:t>
      </w:r>
      <w:r w:rsidRPr="005E6B7C">
        <w:rPr>
          <w:rFonts w:asciiTheme="majorHAnsi" w:eastAsia="Calibri" w:hAnsiTheme="majorHAnsi" w:cstheme="majorHAnsi"/>
          <w:color w:val="000000" w:themeColor="text1"/>
          <w:sz w:val="22"/>
          <w:szCs w:val="22"/>
          <w:vertAlign w:val="subscript"/>
          <w:lang w:eastAsia="ja-JP"/>
        </w:rPr>
        <w:t>C</w:t>
      </w:r>
      <w:r w:rsidRPr="005E6B7C">
        <w:rPr>
          <w:rFonts w:asciiTheme="majorHAnsi" w:eastAsia="Calibri" w:hAnsiTheme="majorHAnsi" w:cstheme="majorHAnsi"/>
          <w:color w:val="000000" w:themeColor="text1"/>
          <w:sz w:val="22"/>
          <w:szCs w:val="22"/>
          <w:lang w:eastAsia="ja-JP"/>
        </w:rPr>
        <w:t xml:space="preserve"> 145.6). </w:t>
      </w:r>
      <w:r w:rsidRPr="005E6B7C">
        <w:rPr>
          <w:rFonts w:asciiTheme="majorHAnsi" w:eastAsia="Yu Mincho" w:hAnsiTheme="majorHAnsi" w:cstheme="majorHAnsi"/>
          <w:color w:val="000000" w:themeColor="text1"/>
          <w:sz w:val="22"/>
          <w:szCs w:val="22"/>
          <w:lang w:eastAsia="ja-JP"/>
        </w:rPr>
        <w:t xml:space="preserve">Further structural elucidation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analyzed by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COSY spectrum, which enabled the identification of four structural fragments: C-1−C-3, C-5−C-6−C-7, C-9−C-11−C-12, and C-15−C-16−C-17−C-20(C-21)−C-22−C-23−C-24 based on the sequences of correlated protons (Fig. 2). </w:t>
      </w:r>
      <w:r w:rsidRPr="005E6B7C">
        <w:rPr>
          <w:rFonts w:asciiTheme="majorHAnsi" w:eastAsia="Yu Mincho" w:hAnsiTheme="majorHAnsi" w:cstheme="majorHAnsi"/>
          <w:color w:val="000000" w:themeColor="text1"/>
          <w:sz w:val="22"/>
          <w:szCs w:val="22"/>
          <w:lang w:val="pt-BR" w:eastAsia="ja-JP"/>
        </w:rPr>
        <w:t>The NOESY cross-peaks for H-5/H-9, H-5/H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-28, H-9/H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-18, 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-18/H-20, and H-20/H-23, indicated that H-5, H-9, 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-18, 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-28, H-23 were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val="pt-BR" w:eastAsia="ja-JP"/>
        </w:rPr>
        <w:t xml:space="preserve">-oriented. </w:t>
      </w:r>
      <w:r w:rsidRPr="005E6B7C">
        <w:rPr>
          <w:rFonts w:asciiTheme="majorHAnsi" w:eastAsia="Yu Mincho" w:hAnsiTheme="majorHAnsi" w:cstheme="majorHAnsi"/>
          <w:color w:val="000000" w:themeColor="text1"/>
          <w:sz w:val="22"/>
          <w:szCs w:val="22"/>
          <w:lang w:eastAsia="ja-JP"/>
        </w:rPr>
        <w:t>The observable NOESY correlations between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-29/H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-19,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-30/H-17 suggested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-configurations for H-17,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-19,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-29 and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-30. The coupling constant between H-23 and H-24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9.6 Hz) in</w:t>
      </w:r>
      <w:r w:rsidRPr="005E6B7C">
        <w:rPr>
          <w:rFonts w:asciiTheme="majorHAnsi" w:eastAsia="Yu Mincho" w:hAnsiTheme="majorHAnsi" w:cstheme="majorHAnsi"/>
          <w:b/>
          <w:color w:val="000000" w:themeColor="text1"/>
          <w:sz w:val="22"/>
          <w:szCs w:val="22"/>
          <w:lang w:eastAsia="ja-JP"/>
        </w:rPr>
        <w:t xml:space="preserve"> 3</w:t>
      </w:r>
      <w:r w:rsidRPr="005E6B7C">
        <w:rPr>
          <w:rFonts w:asciiTheme="majorHAnsi" w:eastAsia="Yu Mincho" w:hAnsiTheme="majorHAnsi" w:cstheme="majorHAnsi"/>
          <w:color w:val="000000" w:themeColor="text1"/>
          <w:sz w:val="22"/>
          <w:szCs w:val="22"/>
          <w:lang w:eastAsia="ja-JP"/>
        </w:rPr>
        <w:t xml:space="preserve"> indicated a</w:t>
      </w:r>
      <w:r w:rsidRPr="005E6B7C">
        <w:rPr>
          <w:rFonts w:asciiTheme="majorHAnsi" w:eastAsia="Yu Mincho" w:hAnsiTheme="majorHAnsi" w:cstheme="majorHAnsi"/>
          <w:i/>
          <w:color w:val="000000" w:themeColor="text1"/>
          <w:sz w:val="22"/>
          <w:szCs w:val="22"/>
          <w:lang w:eastAsia="ja-JP"/>
        </w:rPr>
        <w:t xml:space="preserve"> trans</w:t>
      </w:r>
      <w:r w:rsidRPr="005E6B7C">
        <w:rPr>
          <w:rFonts w:asciiTheme="majorHAnsi" w:eastAsia="Yu Mincho" w:hAnsiTheme="majorHAnsi" w:cstheme="majorHAnsi"/>
          <w:color w:val="000000" w:themeColor="text1"/>
          <w:sz w:val="22"/>
          <w:szCs w:val="22"/>
          <w:lang w:eastAsia="ja-JP"/>
        </w:rPr>
        <w:t xml:space="preserve"> relationship, which was further supported by the NOESY correlation between H-24/H-21. Furthermore,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displayed the same configuration at C-20 as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The comparison of the NMR data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with NMR spectroscopic data in the published literature </w:t>
      </w:r>
      <w:r w:rsidRPr="005E6B7C">
        <w:rPr>
          <w:rFonts w:asciiTheme="majorHAnsi" w:eastAsia="Calibri" w:hAnsiTheme="majorHAnsi" w:cstheme="majorHAnsi"/>
          <w:color w:val="000000" w:themeColor="text1"/>
          <w:sz w:val="22"/>
          <w:szCs w:val="22"/>
          <w:lang w:eastAsia="ja-JP"/>
        </w:rPr>
        <w:fldChar w:fldCharType="begin"/>
      </w:r>
      <w:r w:rsidRPr="005E6B7C">
        <w:rPr>
          <w:rFonts w:asciiTheme="majorHAnsi" w:eastAsia="Calibri" w:hAnsiTheme="majorHAnsi" w:cstheme="majorHAnsi"/>
          <w:color w:val="000000" w:themeColor="text1"/>
          <w:sz w:val="22"/>
          <w:szCs w:val="22"/>
          <w:lang w:eastAsia="ja-JP"/>
        </w:rPr>
        <w:instrText xml:space="preserve"> ADDIN EN.CITE &lt;EndNote&gt;&lt;Cite&gt;&lt;Author&gt;Xu&lt;/Author&gt;&lt;Year&gt;2008&lt;/Year&gt;&lt;RecNum&gt;3&lt;/RecNum&gt;&lt;DisplayText&gt;[16]&lt;/DisplayText&gt;&lt;record&gt;&lt;rec-number&gt;3&lt;/rec-number&gt;&lt;foreign-keys&gt;&lt;key app="EN" db-id="xd0dd5v5ed9tzkesve6v9tvwtprdd5zf090p" timestamp="1701923999"&gt;3&lt;/key&gt;&lt;/foreign-keys&gt;&lt;ref-type name="Journal Article"&gt;17&lt;/ref-type&gt;&lt;contributors&gt;&lt;authors&gt;&lt;author&gt;Xu, G. H.&lt;/author&gt;&lt;author&gt;Kim, J. A.&lt;/author&gt;&lt;author&gt;Kim, S. Y.&lt;/author&gt;&lt;author&gt;Ryu, J. C.&lt;/author&gt;&lt;author&gt;Kim, Y. S.&lt;/author&gt;&lt;author&gt;Jung, S. H.&lt;/author&gt;&lt;author&gt;Kim, M. K.&lt;/author&gt;&lt;author&gt;Lee, S. H.&lt;/author&gt;&lt;/authors&gt;&lt;/contributors&gt;&lt;auth-address&gt;College of Pharmacy, Yeungnam University, Gyeongsan, Korea.&lt;/auth-address&gt;&lt;titles&gt;&lt;title&gt;Terpenoids and coumarins isolated from the fruits of Poncirus trifoliata&lt;/title&gt;&lt;secondary-title&gt;Chem Pharm Bull (Tokyo)&lt;/secondary-title&gt;&lt;/titles&gt;&lt;periodical&gt;&lt;full-title&gt;Chem Pharm Bull (Tokyo)&lt;/full-title&gt;&lt;/periodical&gt;&lt;pages&gt;839-42&lt;/pages&gt;&lt;volume&gt;56&lt;/volume&gt;&lt;number&gt;6&lt;/number&gt;&lt;edition&gt;2008/06/04&lt;/edition&gt;&lt;keywords&gt;&lt;keyword&gt;Coumarins/*chemistry/isolation &amp;amp; purification&lt;/keyword&gt;&lt;keyword&gt;Fruit/*chemistry&lt;/keyword&gt;&lt;keyword&gt;Indicators and Reagents&lt;/keyword&gt;&lt;keyword&gt;Magnetic Resonance Spectroscopy&lt;/keyword&gt;&lt;keyword&gt;Molecular Conformation&lt;/keyword&gt;&lt;keyword&gt;Poncirus/*chemistry&lt;/keyword&gt;&lt;keyword&gt;Spectrometry, Mass, Fast Atom Bombardment&lt;/keyword&gt;&lt;keyword&gt;Spectrophotometry, Infrared&lt;/keyword&gt;&lt;keyword&gt;Spectrophotometry, Ultraviolet&lt;/keyword&gt;&lt;keyword&gt;Terpenes/*chemistry/isolation &amp;amp; purification&lt;/keyword&gt;&lt;/keywords&gt;&lt;dates&gt;&lt;year&gt;2008&lt;/year&gt;&lt;pub-dates&gt;&lt;date&gt;Jun&lt;/date&gt;&lt;/pub-dates&gt;&lt;/dates&gt;&lt;isbn&gt;0009-2363 (Print)&amp;#xD;0009-2363&lt;/isbn&gt;&lt;accession-num&gt;18520091&lt;/accession-num&gt;&lt;urls&gt;&lt;/urls&gt;&lt;electronic-resource-num&gt;10.1248/cpb.56.839&lt;/electronic-resource-num&gt;&lt;remote-database-provider&gt;NLM&lt;/remote-database-provider&gt;&lt;language&gt;eng&lt;/language&gt;&lt;/record&gt;&lt;/Cite&gt;&lt;/EndNote&gt;</w:instrText>
      </w:r>
      <w:r w:rsidRPr="005E6B7C">
        <w:rPr>
          <w:rFonts w:asciiTheme="majorHAnsi" w:eastAsia="Calibri" w:hAnsiTheme="majorHAnsi" w:cstheme="majorHAnsi"/>
          <w:color w:val="000000" w:themeColor="text1"/>
          <w:sz w:val="22"/>
          <w:szCs w:val="22"/>
          <w:lang w:eastAsia="ja-JP"/>
        </w:rPr>
        <w:fldChar w:fldCharType="separate"/>
      </w:r>
      <w:r w:rsidRPr="005E6B7C">
        <w:rPr>
          <w:rFonts w:asciiTheme="majorHAnsi" w:eastAsia="Calibri" w:hAnsiTheme="majorHAnsi" w:cstheme="majorHAnsi"/>
          <w:noProof/>
          <w:color w:val="000000" w:themeColor="text1"/>
          <w:sz w:val="22"/>
          <w:szCs w:val="22"/>
          <w:lang w:eastAsia="ja-JP"/>
        </w:rPr>
        <w:t>[16]</w:t>
      </w:r>
      <w:r w:rsidRPr="005E6B7C">
        <w:rPr>
          <w:rFonts w:asciiTheme="majorHAnsi" w:eastAsia="Calibri" w:hAnsiTheme="majorHAnsi" w:cstheme="majorHAnsi"/>
          <w:color w:val="000000" w:themeColor="text1"/>
          <w:sz w:val="22"/>
          <w:szCs w:val="22"/>
          <w:lang w:eastAsia="ja-JP"/>
        </w:rPr>
        <w:fldChar w:fldCharType="end"/>
      </w:r>
      <w:r w:rsidRPr="005E6B7C">
        <w:rPr>
          <w:rFonts w:asciiTheme="majorHAnsi" w:eastAsia="Calibri" w:hAnsiTheme="majorHAnsi" w:cstheme="majorHAnsi"/>
          <w:color w:val="000000" w:themeColor="text1"/>
          <w:sz w:val="22"/>
          <w:szCs w:val="22"/>
          <w:lang w:eastAsia="ja-JP"/>
        </w:rPr>
        <w:t xml:space="preserve"> supported the identification of </w:t>
      </w:r>
      <w:r w:rsidRPr="005E6B7C">
        <w:rPr>
          <w:rFonts w:asciiTheme="majorHAnsi" w:eastAsia="Calibri" w:hAnsiTheme="majorHAnsi" w:cstheme="majorHAnsi"/>
          <w:b/>
          <w:color w:val="000000" w:themeColor="text1"/>
          <w:sz w:val="22"/>
          <w:szCs w:val="22"/>
          <w:lang w:eastAsia="ja-JP"/>
        </w:rPr>
        <w:t>3</w:t>
      </w:r>
      <w:r w:rsidRPr="005E6B7C">
        <w:rPr>
          <w:rFonts w:asciiTheme="majorHAnsi" w:eastAsia="Calibri" w:hAnsiTheme="majorHAnsi" w:cstheme="majorHAnsi"/>
          <w:color w:val="000000" w:themeColor="text1"/>
          <w:sz w:val="22"/>
          <w:szCs w:val="22"/>
          <w:lang w:eastAsia="ja-JP"/>
        </w:rPr>
        <w:t xml:space="preserve">. Thus, compound </w:t>
      </w:r>
      <w:r w:rsidRPr="005E6B7C">
        <w:rPr>
          <w:rFonts w:asciiTheme="majorHAnsi" w:eastAsia="Calibri" w:hAnsiTheme="majorHAnsi" w:cstheme="majorHAnsi"/>
          <w:b/>
          <w:color w:val="000000" w:themeColor="text1"/>
          <w:sz w:val="22"/>
          <w:szCs w:val="22"/>
          <w:lang w:eastAsia="ja-JP"/>
        </w:rPr>
        <w:t>3</w:t>
      </w:r>
      <w:r w:rsidRPr="005E6B7C">
        <w:rPr>
          <w:rFonts w:asciiTheme="majorHAnsi" w:eastAsia="Calibri" w:hAnsiTheme="majorHAnsi" w:cstheme="majorHAnsi"/>
          <w:color w:val="000000" w:themeColor="text1"/>
          <w:sz w:val="22"/>
          <w:szCs w:val="22"/>
          <w:lang w:eastAsia="ja-JP"/>
        </w:rPr>
        <w:t xml:space="preserve"> was established as </w:t>
      </w:r>
      <w:r w:rsidRPr="005E6B7C">
        <w:rPr>
          <w:rFonts w:asciiTheme="majorHAnsi" w:eastAsia="Yu Mincho" w:hAnsiTheme="majorHAnsi" w:cstheme="majorHAnsi"/>
          <w:color w:val="000000" w:themeColor="text1"/>
          <w:sz w:val="22"/>
          <w:szCs w:val="22"/>
          <w:lang w:eastAsia="ja-JP"/>
        </w:rPr>
        <w:t>21</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-methylmelianodiol, previously reported from the fruits of </w:t>
      </w:r>
      <w:r w:rsidRPr="005E6B7C">
        <w:rPr>
          <w:rFonts w:asciiTheme="majorHAnsi" w:eastAsia="Yu Mincho" w:hAnsiTheme="majorHAnsi" w:cstheme="majorHAnsi"/>
          <w:i/>
          <w:color w:val="000000" w:themeColor="text1"/>
          <w:sz w:val="22"/>
          <w:szCs w:val="22"/>
          <w:lang w:eastAsia="ja-JP"/>
        </w:rPr>
        <w:t>Poncirus trifoliata</w:t>
      </w:r>
      <w:r w:rsidRPr="005E6B7C">
        <w:rPr>
          <w:rFonts w:asciiTheme="majorHAnsi" w:eastAsia="Yu Mincho" w:hAnsiTheme="majorHAnsi" w:cstheme="majorHAnsi"/>
          <w:color w:val="000000" w:themeColor="text1"/>
          <w:sz w:val="22"/>
          <w:szCs w:val="22"/>
          <w:lang w:eastAsia="ja-JP"/>
        </w:rPr>
        <w:t xml:space="preserve"> (Rutaceae)</w:t>
      </w:r>
      <w:r w:rsidRPr="005E6B7C">
        <w:rPr>
          <w:rFonts w:asciiTheme="majorHAnsi" w:eastAsia="Calibri" w:hAnsiTheme="majorHAnsi" w:cstheme="majorHAnsi"/>
          <w:color w:val="000000" w:themeColor="text1"/>
          <w:sz w:val="22"/>
          <w:szCs w:val="22"/>
          <w:lang w:eastAsia="ja-JP"/>
        </w:rPr>
        <w:t xml:space="preserve"> </w:t>
      </w:r>
      <w:r w:rsidRPr="005E6B7C">
        <w:rPr>
          <w:rFonts w:asciiTheme="majorHAnsi" w:eastAsia="Calibri" w:hAnsiTheme="majorHAnsi" w:cstheme="majorHAnsi"/>
          <w:color w:val="000000" w:themeColor="text1"/>
          <w:sz w:val="22"/>
          <w:szCs w:val="22"/>
          <w:lang w:eastAsia="ja-JP"/>
        </w:rPr>
        <w:fldChar w:fldCharType="begin"/>
      </w:r>
      <w:r w:rsidRPr="005E6B7C">
        <w:rPr>
          <w:rFonts w:asciiTheme="majorHAnsi" w:eastAsia="Calibri" w:hAnsiTheme="majorHAnsi" w:cstheme="majorHAnsi"/>
          <w:color w:val="000000" w:themeColor="text1"/>
          <w:sz w:val="22"/>
          <w:szCs w:val="22"/>
          <w:lang w:eastAsia="ja-JP"/>
        </w:rPr>
        <w:instrText xml:space="preserve"> ADDIN EN.CITE &lt;EndNote&gt;&lt;Cite&gt;&lt;Author&gt;Xu&lt;/Author&gt;&lt;Year&gt;2008&lt;/Year&gt;&lt;RecNum&gt;3&lt;/RecNum&gt;&lt;DisplayText&gt;[16]&lt;/DisplayText&gt;&lt;record&gt;&lt;rec-number&gt;3&lt;/rec-number&gt;&lt;foreign-keys&gt;&lt;key app="EN" db-id="xd0dd5v5ed9tzkesve6v9tvwtprdd5zf090p" timestamp="1701923999"&gt;3&lt;/key&gt;&lt;/foreign-keys&gt;&lt;ref-type name="Journal Article"&gt;17&lt;/ref-type&gt;&lt;contributors&gt;&lt;authors&gt;&lt;author&gt;Xu, G. H.&lt;/author&gt;&lt;author&gt;Kim, J. A.&lt;/author&gt;&lt;author&gt;Kim, S. Y.&lt;/author&gt;&lt;author&gt;Ryu, J. C.&lt;/author&gt;&lt;author&gt;Kim, Y. S.&lt;/author&gt;&lt;author&gt;Jung, S. H.&lt;/author&gt;&lt;author&gt;Kim, M. K.&lt;/author&gt;&lt;author&gt;Lee, S. H.&lt;/author&gt;&lt;/authors&gt;&lt;/contributors&gt;&lt;auth-address&gt;College of Pharmacy, Yeungnam University, Gyeongsan, Korea.&lt;/auth-address&gt;&lt;titles&gt;&lt;title&gt;Terpenoids and coumarins isolated from the fruits of Poncirus trifoliata&lt;/title&gt;&lt;secondary-title&gt;Chem Pharm Bull (Tokyo)&lt;/secondary-title&gt;&lt;/titles&gt;&lt;periodical&gt;&lt;full-title&gt;Chem Pharm Bull (Tokyo)&lt;/full-title&gt;&lt;/periodical&gt;&lt;pages&gt;839-42&lt;/pages&gt;&lt;volume&gt;56&lt;/volume&gt;&lt;number&gt;6&lt;/number&gt;&lt;edition&gt;2008/06/04&lt;/edition&gt;&lt;keywords&gt;&lt;keyword&gt;Coumarins/*chemistry/isolation &amp;amp; purification&lt;/keyword&gt;&lt;keyword&gt;Fruit/*chemistry&lt;/keyword&gt;&lt;keyword&gt;Indicators and Reagents&lt;/keyword&gt;&lt;keyword&gt;Magnetic Resonance Spectroscopy&lt;/keyword&gt;&lt;keyword&gt;Molecular Conformation&lt;/keyword&gt;&lt;keyword&gt;Poncirus/*chemistry&lt;/keyword&gt;&lt;keyword&gt;Spectrometry, Mass, Fast Atom Bombardment&lt;/keyword&gt;&lt;keyword&gt;Spectrophotometry, Infrared&lt;/keyword&gt;&lt;keyword&gt;Spectrophotometry, Ultraviolet&lt;/keyword&gt;&lt;keyword&gt;Terpenes/*chemistry/isolation &amp;amp; purification&lt;/keyword&gt;&lt;/keywords&gt;&lt;dates&gt;&lt;year&gt;2008&lt;/year&gt;&lt;pub-dates&gt;&lt;date&gt;Jun&lt;/date&gt;&lt;/pub-dates&gt;&lt;/dates&gt;&lt;isbn&gt;0009-2363 (Print)&amp;#xD;0009-2363&lt;/isbn&gt;&lt;accession-num&gt;18520091&lt;/accession-num&gt;&lt;urls&gt;&lt;/urls&gt;&lt;electronic-resource-num&gt;10.1248/cpb.56.839&lt;/electronic-resource-num&gt;&lt;remote-database-provider&gt;NLM&lt;/remote-database-provider&gt;&lt;language&gt;eng&lt;/language&gt;&lt;/record&gt;&lt;/Cite&gt;&lt;/EndNote&gt;</w:instrText>
      </w:r>
      <w:r w:rsidRPr="005E6B7C">
        <w:rPr>
          <w:rFonts w:asciiTheme="majorHAnsi" w:eastAsia="Calibri" w:hAnsiTheme="majorHAnsi" w:cstheme="majorHAnsi"/>
          <w:color w:val="000000" w:themeColor="text1"/>
          <w:sz w:val="22"/>
          <w:szCs w:val="22"/>
          <w:lang w:eastAsia="ja-JP"/>
        </w:rPr>
        <w:fldChar w:fldCharType="separate"/>
      </w:r>
      <w:r w:rsidRPr="005E6B7C">
        <w:rPr>
          <w:rFonts w:asciiTheme="majorHAnsi" w:eastAsia="Calibri" w:hAnsiTheme="majorHAnsi" w:cstheme="majorHAnsi"/>
          <w:noProof/>
          <w:color w:val="000000" w:themeColor="text1"/>
          <w:sz w:val="22"/>
          <w:szCs w:val="22"/>
          <w:lang w:eastAsia="ja-JP"/>
        </w:rPr>
        <w:t>[16]</w:t>
      </w:r>
      <w:r w:rsidRPr="005E6B7C">
        <w:rPr>
          <w:rFonts w:asciiTheme="majorHAnsi" w:eastAsia="Calibri" w:hAnsiTheme="majorHAnsi" w:cstheme="majorHAnsi"/>
          <w:color w:val="000000" w:themeColor="text1"/>
          <w:sz w:val="22"/>
          <w:szCs w:val="22"/>
          <w:lang w:eastAsia="ja-JP"/>
        </w:rPr>
        <w:fldChar w:fldCharType="end"/>
      </w:r>
      <w:r w:rsidRPr="005E6B7C">
        <w:rPr>
          <w:rFonts w:asciiTheme="majorHAnsi" w:eastAsia="Calibri"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Melia azedarach</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&lt;EndNote&gt;&lt;Cite&gt;&lt;Author&gt;Song&lt;/Author&gt;&lt;Year&gt;2022&lt;/Year&gt;&lt;RecNum&gt;333&lt;/RecNum&gt;&lt;DisplayText&gt;[17]&lt;/DisplayText&gt;&lt;record&gt;&lt;rec-number&gt;333&lt;/rec-number&gt;&lt;foreign-keys&gt;&lt;key app="EN" db-id="9sr5eszf50a29ae55xgpdt5w0vxdz95ex2xv" timestamp="1767581469"&gt;333&lt;/key&gt;&lt;/foreign-keys&gt;&lt;ref-type name="Journal Article"&gt;17&lt;/ref-type&gt;&lt;contributors&gt;&lt;authors&gt;&lt;author&gt;Min Song&lt;/author&gt;&lt;author&gt;Ging Chan&lt;/author&gt;&lt;author&gt;Li Gen Lin&lt;/author&gt;&lt;author&gt;Derong Li&lt;/author&gt;&lt;author&gt;Kehan Zhang&lt;/author&gt;&lt;author&gt;Xiao Qi Zhang&lt;/author&gt;&lt;author&gt;Wen Cai Ye&lt;/author&gt;&lt;author&gt;Na Li&lt;/author&gt;&lt;author&gt;Qing Wen Zhang &lt;/author&gt;&lt;/authors&gt;&lt;/contributors&gt;&lt;titles&gt;&lt;title&gt;&lt;style face="normal" font="default" size="100%"&gt;Triterpenoids from the fruits of &lt;/style&gt;&lt;style face="italic" font="default" size="100%"&gt;Melia azedarach &lt;/style&gt;&lt;style face="normal" font="default" size="100%"&gt;L. and their cytotoxic activities&lt;/style&gt;&lt;/title&gt;&lt;secondary-title&gt;Phytochemistry&lt;/secondary-title&gt;&lt;/titles&gt;&lt;periodical&gt;&lt;full-title&gt;Phytochemistry&lt;/full-title&gt;&lt;/periodical&gt;&lt;pages&gt;e113280&lt;/pages&gt;&lt;volume&gt;201&lt;/volume&gt;&lt;section&gt;e113280&lt;/section&gt;&lt;dates&gt;&lt;year&gt;2022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21</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-Methylmelianodiol showed significant cytotoxicity against HCT116 (carcinoma) and RKO (adenocarcinoma) cell lines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of 10.16 ± 1.22 and 8.57 ± 0.80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M, respectively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&lt;EndNote&gt;&lt;Cite&gt;&lt;Author&gt;Song&lt;/Author&gt;&lt;Year&gt;2022&lt;/Year&gt;&lt;RecNum&gt;333&lt;/RecNum&gt;&lt;DisplayText&gt;[17]&lt;/DisplayText&gt;&lt;record&gt;&lt;rec-number&gt;333&lt;/rec-number&gt;&lt;foreign-keys&gt;&lt;key app="EN" db-id="9sr5eszf50a29ae55xgpdt5w0vxdz95ex2xv" timestamp="1767581469"&gt;333&lt;/key&gt;&lt;/foreign-keys&gt;&lt;ref-type name="Journal Article"&gt;17&lt;/ref-type&gt;&lt;contributors&gt;&lt;authors&gt;&lt;author&gt;Min Song&lt;/author&gt;&lt;author&gt;Ging Chan&lt;/author&gt;&lt;author&gt;Li Gen Lin&lt;/author&gt;&lt;author&gt;Derong Li&lt;/author&gt;&lt;author&gt;Kehan Zhang&lt;/author&gt;&lt;author&gt;Xiao Qi Zhang&lt;/author&gt;&lt;author&gt;Wen Cai Ye&lt;/author&gt;&lt;author&gt;Na Li&lt;/author&gt;&lt;author&gt;Qing Wen Zhang &lt;/author&gt;&lt;/authors&gt;&lt;/contributors&gt;&lt;titles&gt;&lt;title&gt;&lt;style face="normal" font="default" size="100%"&gt;Triterpenoids from the fruits of &lt;/style&gt;&lt;style face="italic" font="default" size="100%"&gt;Melia azedarach &lt;/style&gt;&lt;style face="normal" font="default" size="100%"&gt;L. and their cytotoxic activities&lt;/style&gt;&lt;/title&gt;&lt;secondary-title&gt;Phytochemistry&lt;/secondary-title&gt;&lt;/titles&gt;&lt;periodical&gt;&lt;full-title&gt;Phytochemistry&lt;/full-title&gt;&lt;/periodical&gt;&lt;pages&gt;e113280&lt;/pages&gt;&lt;volume&gt;201&lt;/volume&gt;&lt;section&gt;e113280&lt;/section&gt;&lt;dates&gt;&lt;year&gt;2022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 anticancer potential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with a redox regulatory mechanism and also outlines the mechanistic action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in inhibiting the growth, survival, and metastasis of human non-small cell lung cancer cells and influences a mechanism that results in the influence on suppression of P-gp/MDR1-associated multidrug resistance in drug-resistant human non-small cell lung cancer cells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&lt;EndNote&gt;&lt;Cite&gt;&lt;Author&gt;Aldonza&lt;/Author&gt;&lt;Year&gt;2015&lt;/Year&gt;&lt;RecNum&gt;334&lt;/RecNum&gt;&lt;DisplayText&gt;[18]&lt;/DisplayText&gt;&lt;record&gt;&lt;rec-number&gt;334&lt;/rec-number&gt;&lt;foreign-keys&gt;&lt;key app="EN" db-id="9sr5eszf50a29ae55xgpdt5w0vxdz95ex2xv" timestamp="1767582009"&gt;334&lt;/key&gt;&lt;/foreign-keys&gt;&lt;ref-type name="Journal Article"&gt;17&lt;/ref-type&gt;&lt;contributors&gt;&lt;authors&gt;&lt;author&gt;Mark Borris Docdoc Aldonza&lt;/author&gt;&lt;author&gt;Ji Young Hong&lt;/author&gt;&lt;author&gt;Song Yi Bae&lt;/author&gt;&lt;author&gt;Jayoung Song&lt;/author&gt;&lt;author&gt;Won Kyung Kim&lt;/author&gt;&lt;author&gt;Jedo Oh&lt;/author&gt;&lt;author&gt;Yoonho Shin&lt;/author&gt;&lt;author&gt;Seung Ho Lee&lt;/author&gt;&lt;author&gt;Sang Kook Lee&lt;/author&gt;&lt;/authors&gt;&lt;/contributors&gt;&lt;titles&gt;&lt;title&gt;&lt;style face="normal" font="default" size="100%"&gt;Suppression of MAPK signaling and reversal of mTOR-dependent MDR1-associated multidrug resistance by 21&lt;/style&gt;&lt;style face="normal" font="default" charset="161" size="100%"&gt;α&lt;/style&gt;&lt;style face="normal" font="default" size="100%"&gt;-&lt;/style&gt;&lt;style face="normal" font="default" charset="161" size="100%"&gt;methylmelianodiol in lung cancer cells&lt;/style&gt;&lt;/title&gt;&lt;secondary-title&gt;Plos One&lt;/secondary-title&gt;&lt;/titles&gt;&lt;periodical&gt;&lt;full-title&gt;Plos One&lt;/full-title&gt;&lt;/periodical&gt;&lt;pages&gt;e0127841&lt;/pages&gt;&lt;volume&gt;10&lt;/volume&gt;&lt;number&gt;6&lt;/number&gt;&lt;section&gt;e0127841&lt;/section&gt;&lt;dates&gt;&lt;year&gt;2015&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Additionally, the anti-inflammatory effect of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evaluated based on its ability to inhibit nitric oxide (NO) production in mouse peritoneal macrophages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&lt;EndNote&gt;&lt;Cite&gt;&lt;Author&gt;Chen&lt;/Author&gt;&lt;Year&gt;2013&lt;/Year&gt;&lt;RecNum&gt;335&lt;/RecNum&gt;&lt;DisplayText&gt;[19]&lt;/DisplayText&gt;&lt;record&gt;&lt;rec-number&gt;335&lt;/rec-number&gt;&lt;foreign-keys&gt;&lt;key app="EN" db-id="9sr5eszf50a29ae55xgpdt5w0vxdz95ex2xv" timestamp="1767582908"&gt;335&lt;/key&gt;&lt;/foreign-keys&gt;&lt;ref-type name="Journal Article"&gt;17&lt;/ref-type&gt;&lt;contributors&gt;&lt;authors&gt;&lt;author&gt;Hui Chen&lt;/author&gt;&lt;author&gt;Shuang Gang Ma&lt;/author&gt;&lt;author&gt;Zhen Feng Fang&lt;/author&gt;&lt;author&gt;Jian Bai&lt;/author&gt;&lt;author&gt;Shi Shan Yu&lt;/author&gt;&lt;author&gt;Xiao Guang Chen&lt;/author&gt;&lt;author&gt;Qi Hou&lt;/author&gt;&lt;author&gt;Shao Peng Yuan&lt;/author&gt;&lt;author&gt;Xia Chen&lt;/author&gt;&lt;/authors&gt;&lt;/contributors&gt;&lt;titles&gt;&lt;title&gt;&lt;style face="normal" font="default" size="100%"&gt;Tirucallane triterpenoids from the stems of &lt;/style&gt;&lt;style face="italic" font="default" size="100%"&gt;Brucea mollis&lt;/style&gt;&lt;/title&gt;&lt;secondary-title&gt;Chemistry &amp;amp; Biodiversity&lt;/secondary-title&gt;&lt;/titles&gt;&lt;periodical&gt;&lt;full-title&gt;Chemistry &amp;amp; Biodiversity&lt;/full-title&gt;&lt;/periodical&gt;&lt;pages&gt;695-702&lt;/pages&gt;&lt;volume&gt;10&lt;/volume&gt;&lt;section&gt;695&lt;/section&gt;&lt;dates&gt;&lt;year&gt;2013&lt;/year&gt;&lt;/dates&gt;&lt;urls&gt;&lt;/urls&gt;&lt;/record&gt;&lt;/Cite&gt;&lt;/EndNote&gt;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This effect was mediated through the suppression of interleukin-6 (IL-6) expression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&lt;EndNote&gt;&lt;Cite&gt;&lt;Author&gt;Lee&lt;/Author&gt;&lt;Year&gt;2008&lt;/Year&gt;&lt;RecNum&gt;337&lt;/RecNum&gt;&lt;DisplayText&gt;[20]&lt;/DisplayText&gt;&lt;record&gt;&lt;rec-number&gt;337&lt;/rec-number&gt;&lt;foreign-keys&gt;&lt;key app="EN" db-id="9sr5eszf50a29ae55xgpdt5w0vxdz95ex2xv" timestamp="1767583283"&gt;337&lt;/key&gt;&lt;/foreign-keys&gt;&lt;ref-type name="Journal Article"&gt;17&lt;/ref-type&gt;&lt;contributors&gt;&lt;authors&gt;&lt;author&gt;In Jeong Lee&lt;/author&gt;&lt;author&gt;Guang Hua Xu&lt;/author&gt;&lt;author&gt;Jung Hun Ju&lt;/author&gt;&lt;author&gt;Jeong Ah Kim&lt;/author&gt;&lt;author&gt;Soon Woo Kwon&lt;/author&gt;&lt;author&gt;Seung Ho Lee&lt;/author&gt;&lt;author&gt;Sang Bae Han&lt;/author&gt;&lt;author&gt;Youngsoo Kim&lt;/author&gt;&lt;/authors&gt;&lt;/contributors&gt;&lt;titles&gt;&lt;title&gt;&lt;style face="normal" font="default" size="100%"&gt;21-Methylmelianodiols from&lt;/style&gt;&lt;style face="italic" font="default" size="100%"&gt; Poncirus trifoliata &lt;/style&gt;&lt;style face="normal" font="default" size="100%"&gt;as inhibitors of interleukin-5 bioactivity in Pro-B cells&lt;/style&gt;&lt;/title&gt;&lt;secondary-title&gt;Planta Medica&lt;/secondary-title&gt;&lt;/titles&gt;&lt;periodical&gt;&lt;full-title&gt;Planta Medica&lt;/full-title&gt;&lt;/periodical&gt;&lt;pages&gt;396-400&lt;/pages&gt;&lt;volume&gt;74&lt;/volume&gt;&lt;number&gt;4&lt;/number&gt;&lt;section&gt;396&lt;/section&gt;&lt;dates&gt;&lt;year&gt;2008&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and the inhibition of NF-</w:t>
      </w:r>
      <w:r w:rsidRPr="005E6B7C">
        <w:rPr>
          <w:rFonts w:asciiTheme="majorHAnsi" w:eastAsia="Yu Mincho" w:hAnsiTheme="majorHAnsi" w:cstheme="majorHAnsi"/>
          <w:i/>
          <w:color w:val="000000" w:themeColor="text1"/>
          <w:sz w:val="22"/>
          <w:szCs w:val="22"/>
          <w:lang w:eastAsia="ja-JP"/>
        </w:rPr>
        <w:t>κ</w:t>
      </w:r>
      <w:r w:rsidRPr="005E6B7C">
        <w:rPr>
          <w:rFonts w:asciiTheme="majorHAnsi" w:eastAsia="Yu Mincho" w:hAnsiTheme="majorHAnsi" w:cstheme="majorHAnsi"/>
          <w:color w:val="000000" w:themeColor="text1"/>
          <w:sz w:val="22"/>
          <w:szCs w:val="22"/>
          <w:lang w:eastAsia="ja-JP"/>
        </w:rPr>
        <w:t xml:space="preserve">B phosphorylation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&lt;EndNote&gt;&lt;Cite&gt;&lt;Author&gt;Zhou&lt;/Author&gt;&lt;Year&gt;2007&lt;/Year&gt;&lt;RecNum&gt;336&lt;/RecNum&gt;&lt;DisplayText&gt;[21]&lt;/DisplayText&gt;&lt;record&gt;&lt;rec-number&gt;336&lt;/rec-number&gt;&lt;foreign-keys&gt;&lt;key app="EN" db-id="9sr5eszf50a29ae55xgpdt5w0vxdz95ex2xv" timestamp="1767583134"&gt;336&lt;/key&gt;&lt;/foreign-keys&gt;&lt;ref-type name="Journal Article"&gt;17&lt;/ref-type&gt;&lt;contributors&gt;&lt;authors&gt;&lt;author&gt;Hong Yu Zhou&lt;/author&gt;&lt;author&gt;Eun Myung Shin&lt;/author&gt;&lt;author&gt;Lian Yu Guo&lt;/author&gt;&lt;author&gt;Li Bo Zou&lt;/author&gt;&lt;author&gt;Guang Hua Xu&lt;/author&gt;&lt;author&gt;Seung Ho Lee&lt;/author&gt;&lt;author&gt;Keum Ryon Ze&lt;/author&gt;&lt;author&gt;Eun Kyung Kim&lt;/author&gt;&lt;author&gt;Sam Sik Kang&lt;/author&gt;&lt;author&gt;Yeong Shik Kim&lt;/author&gt;&lt;/authors&gt;&lt;/contributors&gt;&lt;titles&gt;&lt;title&gt;&lt;style face="normal" font="default" size="100%"&gt;Anti-inflammatory activity of 21(&lt;/style&gt;&lt;style face="normal" font="default" charset="161" size="100%"&gt;α, β)-methylmelianodiols, novel compounds from &lt;/style&gt;&lt;style face="italic" font="default" charset="161" size="100%"&gt;Poncirus trifoliata&lt;/style&gt;&lt;style face="normal" font="default" charset="161" size="100%"&gt; Rafinesque&lt;/style&gt;&lt;/title&gt;&lt;secondary-title&gt;European Journal of Pharmacology&lt;/secondary-title&gt;&lt;/titles&gt;&lt;periodical&gt;&lt;full-title&gt;European Journal of Pharmacology&lt;/full-title&gt;&lt;/periodical&gt;&lt;pages&gt;239-248&lt;/pages&gt;&lt;volume&gt;572&lt;/volume&gt;&lt;number&gt;2-3&lt;/number&gt;&lt;section&gt;239&lt;/section&gt;&lt;dates&gt;&lt;year&gt;2007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7AC62351" w14:textId="2E419B3E" w:rsidR="00E21A7D" w:rsidRPr="005E6B7C" w:rsidRDefault="00E21A7D" w:rsidP="00E21A7D">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obtained as a white amorphous powder with the molecular formula C</w:t>
      </w:r>
      <w:r w:rsidRPr="005E6B7C">
        <w:rPr>
          <w:rFonts w:asciiTheme="majorHAnsi" w:eastAsia="Yu Mincho" w:hAnsiTheme="majorHAnsi" w:cstheme="majorHAnsi"/>
          <w:color w:val="000000" w:themeColor="text1"/>
          <w:sz w:val="22"/>
          <w:szCs w:val="22"/>
          <w:vertAlign w:val="subscript"/>
          <w:lang w:eastAsia="ja-JP"/>
        </w:rPr>
        <w:t>32</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54</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5</w:t>
      </w:r>
      <w:r w:rsidRPr="005E6B7C">
        <w:rPr>
          <w:rFonts w:asciiTheme="majorHAnsi" w:eastAsia="Yu Mincho" w:hAnsiTheme="majorHAnsi" w:cstheme="majorHAnsi"/>
          <w:color w:val="000000" w:themeColor="text1"/>
          <w:sz w:val="22"/>
          <w:szCs w:val="22"/>
          <w:lang w:eastAsia="ja-JP"/>
        </w:rPr>
        <w:t xml:space="preserve">, as confirmed by the sodium adduct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541.3874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32</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54</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5</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541.3864). The 1D and 2D NMR spectroscopic data of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were highly similar to those of the compound 21</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-methylmelianodiol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indicating that both compounds shared the same tirucallane-type triterpenoid core </w: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 </w:instrTex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EN.CITE.DATA </w:instrText>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separate"/>
      </w:r>
      <w:r w:rsidRPr="005E6B7C">
        <w:rPr>
          <w:rFonts w:asciiTheme="majorHAnsi" w:eastAsia="Calibri" w:hAnsiTheme="majorHAnsi" w:cstheme="majorHAnsi"/>
          <w:iCs/>
          <w:noProof/>
          <w:color w:val="000000" w:themeColor="text1"/>
          <w:sz w:val="22"/>
          <w:szCs w:val="22"/>
          <w:lang w:eastAsia="ja-JP"/>
        </w:rPr>
        <w:t>[13],[22]</w:t>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obvious difference was the presence of the addition of a methoxy group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3.25/</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49.3) and a ketone signal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216.8) in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instead of an oxygenated methine signal for C-3 in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In the HMBC spectrum of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cross-peaks from the two </w:t>
      </w:r>
      <w:r w:rsidRPr="005E6B7C">
        <w:rPr>
          <w:rFonts w:asciiTheme="majorHAnsi" w:eastAsia="Yu Mincho" w:hAnsiTheme="majorHAnsi" w:cstheme="majorHAnsi"/>
          <w:i/>
          <w:color w:val="000000" w:themeColor="text1"/>
          <w:sz w:val="22"/>
          <w:szCs w:val="22"/>
          <w:lang w:eastAsia="ja-JP"/>
        </w:rPr>
        <w:t>gem</w:t>
      </w:r>
      <w:r w:rsidRPr="005E6B7C">
        <w:rPr>
          <w:rFonts w:asciiTheme="majorHAnsi" w:eastAsia="Yu Mincho" w:hAnsiTheme="majorHAnsi" w:cstheme="majorHAnsi"/>
          <w:color w:val="000000" w:themeColor="text1"/>
          <w:sz w:val="22"/>
          <w:szCs w:val="22"/>
          <w:lang w:eastAsia="ja-JP"/>
        </w:rPr>
        <w:t xml:space="preserve">-dimethyl protons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0.97 and 0.86 (each 3H, s) to the oxymethine carbon resonance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79.2 sugg</w:t>
      </w:r>
      <w:r w:rsidR="00DB0962" w:rsidRPr="005E6B7C">
        <w:rPr>
          <w:rFonts w:asciiTheme="majorHAnsi" w:eastAsia="Yu Mincho" w:hAnsiTheme="majorHAnsi" w:cstheme="majorHAnsi"/>
          <w:color w:val="000000" w:themeColor="text1"/>
          <w:sz w:val="22"/>
          <w:szCs w:val="22"/>
          <w:lang w:eastAsia="ja-JP"/>
        </w:rPr>
        <w:t>ested the presence of a hydroxy</w:t>
      </w:r>
      <w:r w:rsidRPr="005E6B7C">
        <w:rPr>
          <w:rFonts w:asciiTheme="majorHAnsi" w:eastAsia="Yu Mincho" w:hAnsiTheme="majorHAnsi" w:cstheme="majorHAnsi"/>
          <w:color w:val="000000" w:themeColor="text1"/>
          <w:sz w:val="22"/>
          <w:szCs w:val="22"/>
          <w:lang w:eastAsia="ja-JP"/>
        </w:rPr>
        <w:t xml:space="preserve"> group at the C-3 position. Furthermore, the methoxy group was assigned to C-25 based on the HMBC correlation between OMe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3.25) and C-25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77.1). The configuration of the hydroxy group was determined to be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-orientation from the multiplicity of H-3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3.23, m), in contrast to the </w:t>
      </w:r>
      <w:r w:rsidRPr="005E6B7C">
        <w:rPr>
          <w:rFonts w:asciiTheme="majorHAnsi" w:eastAsia="Yu Mincho" w:hAnsiTheme="majorHAnsi" w:cstheme="majorHAnsi"/>
          <w:color w:val="000000" w:themeColor="text1"/>
          <w:sz w:val="22"/>
          <w:szCs w:val="22"/>
          <w:lang w:eastAsia="ja-JP"/>
        </w:rPr>
        <w:lastRenderedPageBreak/>
        <w:t xml:space="preserve">broad singlet typically observed for an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-orientation</w:t>
      </w:r>
      <w:r w:rsidRPr="005E6B7C">
        <w:rPr>
          <w:rFonts w:asciiTheme="majorHAnsi" w:eastAsia="Calibri" w:hAnsiTheme="majorHAnsi" w:cstheme="majorHAnsi"/>
          <w:iCs/>
          <w:color w:val="000000" w:themeColor="text1"/>
          <w:sz w:val="22"/>
          <w:szCs w:val="22"/>
          <w:lang w:eastAsia="ja-JP"/>
        </w:rPr>
        <w:t xml:space="preserve"> </w: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 </w:instrTex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EN.CITE.DATA </w:instrText>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separate"/>
      </w:r>
      <w:r w:rsidRPr="005E6B7C">
        <w:rPr>
          <w:rFonts w:asciiTheme="majorHAnsi" w:eastAsia="Calibri" w:hAnsiTheme="majorHAnsi" w:cstheme="majorHAnsi"/>
          <w:iCs/>
          <w:noProof/>
          <w:color w:val="000000" w:themeColor="text1"/>
          <w:sz w:val="22"/>
          <w:szCs w:val="22"/>
          <w:lang w:eastAsia="ja-JP"/>
        </w:rPr>
        <w:t>[13],[22]</w:t>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Similarly, a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-orientation of the methoxy group at C-21 was supported by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chemical shift of C-21 in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104.9), which closely matched the corresponding value reported for 21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,23</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-epoxy-3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,24</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-dihydroxy-21</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,25-dimethoxy-tirucalla-7-en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Calibri"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104.8. A comprehensive analysis of the NMR spectroscopic data, together with comparison to previously published data </w: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 </w:instrText>
      </w:r>
      <w:r w:rsidRPr="005E6B7C">
        <w:rPr>
          <w:rFonts w:asciiTheme="majorHAnsi" w:eastAsia="Calibri" w:hAnsiTheme="majorHAnsi" w:cstheme="majorHAnsi"/>
          <w:iCs/>
          <w:color w:val="000000" w:themeColor="text1"/>
          <w:sz w:val="22"/>
          <w:szCs w:val="22"/>
          <w:lang w:eastAsia="ja-JP"/>
        </w:rPr>
        <w:fldChar w:fldCharType="begin">
          <w:fldData xml:space="preserve">PEVuZE5vdGU+PENpdGU+PEF1dGhvcj5aaG91PC9BdXRob3I+PFllYXI+MjAxNjwvWWVhcj48UmVj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</w:fldData>
        </w:fldChar>
      </w:r>
      <w:r w:rsidRPr="005E6B7C">
        <w:rPr>
          <w:rFonts w:asciiTheme="majorHAnsi" w:eastAsia="Calibri" w:hAnsiTheme="majorHAnsi" w:cstheme="majorHAnsi"/>
          <w:iCs/>
          <w:color w:val="000000" w:themeColor="text1"/>
          <w:sz w:val="22"/>
          <w:szCs w:val="22"/>
          <w:lang w:eastAsia="ja-JP"/>
        </w:rPr>
        <w:instrText xml:space="preserve"> ADDIN EN.CITE.DATA </w:instrText>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Calibri" w:hAnsiTheme="majorHAnsi" w:cstheme="majorHAnsi"/>
          <w:iCs/>
          <w:color w:val="000000" w:themeColor="text1"/>
          <w:sz w:val="22"/>
          <w:szCs w:val="22"/>
          <w:lang w:eastAsia="ja-JP"/>
        </w:rPr>
      </w:r>
      <w:r w:rsidRPr="005E6B7C">
        <w:rPr>
          <w:rFonts w:asciiTheme="majorHAnsi" w:eastAsia="Calibri" w:hAnsiTheme="majorHAnsi" w:cstheme="majorHAnsi"/>
          <w:iCs/>
          <w:color w:val="000000" w:themeColor="text1"/>
          <w:sz w:val="22"/>
          <w:szCs w:val="22"/>
          <w:lang w:eastAsia="ja-JP"/>
        </w:rPr>
        <w:fldChar w:fldCharType="separate"/>
      </w:r>
      <w:r w:rsidRPr="005E6B7C">
        <w:rPr>
          <w:rFonts w:asciiTheme="majorHAnsi" w:eastAsia="Calibri" w:hAnsiTheme="majorHAnsi" w:cstheme="majorHAnsi"/>
          <w:iCs/>
          <w:noProof/>
          <w:color w:val="000000" w:themeColor="text1"/>
          <w:sz w:val="22"/>
          <w:szCs w:val="22"/>
          <w:lang w:eastAsia="ja-JP"/>
        </w:rPr>
        <w:t>[13],[22]</w:t>
      </w:r>
      <w:r w:rsidRPr="005E6B7C">
        <w:rPr>
          <w:rFonts w:asciiTheme="majorHAnsi" w:eastAsia="Calibri" w:hAnsiTheme="majorHAnsi" w:cstheme="majorHAnsi"/>
          <w:iCs/>
          <w:color w:val="000000" w:themeColor="text1"/>
          <w:sz w:val="22"/>
          <w:szCs w:val="22"/>
          <w:lang w:eastAsia="ja-JP"/>
        </w:rPr>
        <w:fldChar w:fldCharType="end"/>
      </w:r>
      <w:r w:rsidRPr="005E6B7C">
        <w:rPr>
          <w:rFonts w:asciiTheme="majorHAnsi" w:eastAsia="Calibri" w:hAnsiTheme="majorHAnsi" w:cstheme="majorHAnsi"/>
          <w:iCs/>
          <w:color w:val="000000" w:themeColor="text1"/>
          <w:sz w:val="22"/>
          <w:szCs w:val="22"/>
          <w:lang w:eastAsia="ja-JP"/>
        </w:rPr>
        <w:t>, led to</w:t>
      </w:r>
      <w:r w:rsidRPr="005E6B7C">
        <w:rPr>
          <w:rFonts w:asciiTheme="majorHAnsi" w:eastAsia="Yu Mincho" w:hAnsiTheme="majorHAnsi" w:cstheme="majorHAnsi"/>
          <w:color w:val="000000" w:themeColor="text1"/>
          <w:sz w:val="22"/>
          <w:szCs w:val="22"/>
          <w:lang w:eastAsia="ja-JP"/>
        </w:rPr>
        <w:t xml:space="preserve"> the identification of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to be 21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,23</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-epoxy-3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,24</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-dihydroxy-21</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,25-dimethoxy-tirucalla-7-en.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evaluated for its growth-inhibitory effects on HepG2 (liver), K562 (leukemia), SGC7901 (gastric), and HL60 (leukemia) cancer cell lines using MTT and SRB assays. The results showed that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exhibited moderate cytotoxic activity against the HL60 cell line, with an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 of 44.9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 in comparison with cisplatin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4.2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PEVuZE5vdGU+PENpdGU+PEF1dGhvcj5aaG91PC9BdXRob3I+PFllYXI+MjAxNjwvWWVhcj48UmVj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1E45DF33" w14:textId="77777777" w:rsidR="00E21A7D" w:rsidRPr="005E6B7C" w:rsidRDefault="00E21A7D" w:rsidP="00E21A7D">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Two remaining compounds were determined to be odoratone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&lt;EndNote&gt;&lt;Cite&gt;&lt;Author&gt;Luo&lt;/Author&gt;&lt;Year&gt;2000&lt;/Year&gt;&lt;RecNum&gt;145&lt;/RecNum&gt;&lt;DisplayText&gt;[23]&lt;/DisplayText&gt;&lt;record&gt;&lt;rec-number&gt;145&lt;/rec-number&gt;&lt;foreign-keys&gt;&lt;key app="EN" db-id="wtwztf5x4xdspae09au5etpxp0p5w5trdz2e" timestamp="1763801907"&gt;145&lt;/key&gt;&lt;/foreign-keys&gt;&lt;ref-type name="Journal Article"&gt;17&lt;/ref-type&gt;&lt;contributors&gt;&lt;authors&gt;&lt;author&gt;Luo, Xiao-Dong&lt;/author&gt;&lt;author&gt;Wu, Shao-Hua&lt;/author&gt;&lt;author&gt;Ma, Yun-Bao&lt;/author&gt;&lt;author&gt;Wu, Da-Gang&lt;/author&gt;&lt;/authors&gt;&lt;/contributors&gt;&lt;titles&gt;&lt;title&gt;A new triterpenoid from Azadirachta indica&lt;/title&gt;&lt;secondary-title&gt;Fitoterapia&lt;/secondary-title&gt;&lt;/titles&gt;&lt;periodical&gt;&lt;full-title&gt;Fitoterapia&lt;/full-title&gt;&lt;abbr-1&gt;Fitoterapia&lt;/abbr-1&gt;&lt;abbr-2&gt;Fitoterapia&lt;/abbr-2&gt;&lt;/periodical&gt;&lt;pages&gt;668-672&lt;/pages&gt;&lt;volume&gt;71&lt;/volume&gt;&lt;number&gt;6&lt;/number&gt;&lt;keywords&gt;&lt;keyword&gt;Triterpenoid&lt;/keyword&gt;&lt;keyword&gt;Steroids&lt;/keyword&gt;&lt;/keywords&gt;&lt;dates&gt;&lt;year&gt;2000&lt;/year&gt;&lt;pub-dates&gt;&lt;date&gt;2000/12/01/&lt;/date&gt;&lt;/pub-dates&gt;&lt;/dates&gt;&lt;isbn&gt;0367-326X&lt;/isbn&gt;&lt;urls&gt;&lt;related-urls&gt;&lt;url&gt;https://www.sciencedirect.com/science/article/pii/S0367326X00002306&lt;/url&gt;&lt;/related-urls&gt;&lt;/urls&gt;&lt;electronic-resource-num&gt;https://doi.org/10.1016/S0367-326X(00)00230-6&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and cabraleone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&lt;EndNote&gt;&lt;Cite&gt;&lt;Author&gt;Singh&lt;/Author&gt;&lt;Year&gt;1992&lt;/Year&gt;&lt;RecNum&gt;123&lt;/RecNum&gt;&lt;DisplayText&gt;[24]&lt;/DisplayText&gt;&lt;record&gt;&lt;rec-number&gt;123&lt;/rec-number&gt;&lt;foreign-keys&gt;&lt;key app="EN" db-id="wtwztf5x4xdspae09au5etpxp0p5w5trdz2e" timestamp="1763604224"&gt;123&lt;/key&gt;&lt;/foreign-keys&gt;&lt;ref-type name="Journal Article"&gt;17&lt;/ref-type&gt;&lt;contributors&gt;&lt;authors&gt;&lt;author&gt;Singh, Yogendra&lt;/author&gt;&lt;author&gt;Aalbersberg, William&lt;/author&gt;&lt;/authors&gt;&lt;/contributors&gt;&lt;titles&gt;&lt;title&gt;Dammarane triterpenoids from dysoxylum richii&lt;/title&gt;&lt;secondary-title&gt;Phytochemistry&lt;/secondary-title&gt;&lt;/titles&gt;&lt;periodical&gt;&lt;full-title&gt;Phytochemistry&lt;/full-title&gt;&lt;abbr-1&gt;Phytochemistry&lt;/abbr-1&gt;&lt;abbr-2&gt;Phytochemistry&lt;/abbr-2&gt;&lt;/periodical&gt;&lt;pages&gt;4033-4035&lt;/pages&gt;&lt;volume&gt;31&lt;/volume&gt;&lt;number&gt;11&lt;/number&gt;&lt;keywords&gt;&lt;keyword&gt;, Meliaceae&lt;/keyword&gt;&lt;keyword&gt;dammarane&lt;/keyword&gt;&lt;keyword&gt;triterpenoid.&lt;/keyword&gt;&lt;/keywords&gt;&lt;dates&gt;&lt;year&gt;1992&lt;/year&gt;&lt;pub-dates&gt;&lt;date&gt;1992/01/01/&lt;/date&gt;&lt;/pub-dates&gt;&lt;/dates&gt;&lt;isbn&gt;0031-9422&lt;/isbn&gt;&lt;urls&gt;&lt;related-urls&gt;&lt;url&gt;https://www.sciencedirect.com/science/article/pii/S0031942200975812&lt;/url&gt;&lt;/related-urls&gt;&lt;/urls&gt;&lt;electronic-resource-num&gt;https://doi.org/10.1016/S0031-9422(00)97581-2&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by comparison of their physical and spectroscopic data to those reported in the references. Indeed, odoratone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was reported for the first time by Chan and co-workers in 1967 from </w:t>
      </w:r>
      <w:r w:rsidRPr="005E6B7C">
        <w:rPr>
          <w:rFonts w:asciiTheme="majorHAnsi" w:eastAsia="Yu Mincho" w:hAnsiTheme="majorHAnsi" w:cstheme="majorHAnsi"/>
          <w:i/>
          <w:color w:val="000000" w:themeColor="text1"/>
          <w:sz w:val="22"/>
          <w:szCs w:val="22"/>
          <w:lang w:eastAsia="ja-JP"/>
        </w:rPr>
        <w:t xml:space="preserve">Cedrela </w:t>
      </w:r>
      <w:r w:rsidRPr="005E6B7C">
        <w:rPr>
          <w:rFonts w:asciiTheme="majorHAnsi" w:eastAsia="Yu Mincho" w:hAnsiTheme="majorHAnsi" w:cstheme="majorHAnsi"/>
          <w:i/>
          <w:color w:val="000000" w:themeColor="text1"/>
          <w:sz w:val="22"/>
          <w:szCs w:val="22"/>
          <w:lang w:eastAsia="ja-JP"/>
        </w:rPr>
        <w:t>odorata</w:t>
      </w:r>
      <w:r w:rsidRPr="005E6B7C">
        <w:rPr>
          <w:rFonts w:asciiTheme="majorHAnsi" w:eastAsia="Yu Mincho" w:hAnsiTheme="majorHAnsi" w:cstheme="majorHAnsi"/>
          <w:color w:val="000000" w:themeColor="text1"/>
          <w:sz w:val="22"/>
          <w:szCs w:val="22"/>
          <w:lang w:eastAsia="ja-JP"/>
        </w:rPr>
        <w:t xml:space="preserve"> based on its IR absorption bands and the characteristic proton signals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&lt;EndNote&gt;&lt;Cite&gt;&lt;Author&gt;Chan&lt;/Author&gt;&lt;Year&gt;1967&lt;/Year&gt;&lt;RecNum&gt;338&lt;/RecNum&gt;&lt;DisplayText&gt;[25]&lt;/DisplayText&gt;&lt;record&gt;&lt;rec-number&gt;338&lt;/rec-number&gt;&lt;foreign-keys&gt;&lt;key app="EN" db-id="9sr5eszf50a29ae55xgpdt5w0vxdz95ex2xv" timestamp="1767585818"&gt;338&lt;/key&gt;&lt;/foreign-keys&gt;&lt;ref-type name="Journal Article"&gt;17&lt;/ref-type&gt;&lt;contributors&gt;&lt;authors&gt;&lt;author&gt;W. R. Chan&lt;/author&gt;&lt;author&gt;D. R. Taylor&lt;/author&gt;&lt;author&gt;G. Snatzke&lt;/author&gt;&lt;author&gt;H. W. Fehlhaber&lt;/author&gt;&lt;/authors&gt;&lt;/contributors&gt;&lt;titles&gt;&lt;title&gt;&lt;style face="normal" font="default" size="100%"&gt;The tetracyclic triterpenes from &lt;/style&gt;&lt;style face="italic" font="default" size="100%"&gt;Cedrela odorata&lt;/style&gt;&lt;style face="normal" font="default" size="100%"&gt; L&lt;/style&gt;&lt;/title&gt;&lt;secondary-title&gt;Chemical Communications&lt;/secondary-title&gt;&lt;/titles&gt;&lt;periodical&gt;&lt;full-title&gt;Chemical Communications&lt;/full-title&gt;&lt;/periodical&gt;&lt;pages&gt;548-550&lt;/pages&gt;&lt;volume&gt;11&lt;/volume&gt;&lt;section&gt;548&lt;/section&gt;&lt;dates&gt;&lt;year&gt;1967&lt;/year&gt;&lt;/dates&gt;&lt;urls&gt;&lt;/urls&gt;&lt;/record&gt;&lt;/Cite&gt;&lt;/EndNote&gt;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Its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data were published for the first time by Luo et al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&lt;EndNote&gt;&lt;Cite&gt;&lt;Author&gt;Luo&lt;/Author&gt;&lt;Year&gt;2000&lt;/Year&gt;&lt;RecNum&gt;145&lt;/RecNum&gt;&lt;DisplayText&gt;[23]&lt;/DisplayText&gt;&lt;record&gt;&lt;rec-number&gt;145&lt;/rec-number&gt;&lt;foreign-keys&gt;&lt;key app="EN" db-id="wtwztf5x4xdspae09au5etpxp0p5w5trdz2e" timestamp="1763801907"&gt;145&lt;/key&gt;&lt;/foreign-keys&gt;&lt;ref-type name="Journal Article"&gt;17&lt;/ref-type&gt;&lt;contributors&gt;&lt;authors&gt;&lt;author&gt;Luo, Xiao-Dong&lt;/author&gt;&lt;author&gt;Wu, Shao-Hua&lt;/author&gt;&lt;author&gt;Ma, Yun-Bao&lt;/author&gt;&lt;author&gt;Wu, Da-Gang&lt;/author&gt;&lt;/authors&gt;&lt;/contributors&gt;&lt;titles&gt;&lt;title&gt;A new triterpenoid from Azadirachta indica&lt;/title&gt;&lt;secondary-title&gt;Fitoterapia&lt;/secondary-title&gt;&lt;/titles&gt;&lt;periodical&gt;&lt;full-title&gt;Fitoterapia&lt;/full-title&gt;&lt;abbr-1&gt;Fitoterapia&lt;/abbr-1&gt;&lt;abbr-2&gt;Fitoterapia&lt;/abbr-2&gt;&lt;/periodical&gt;&lt;pages&gt;668-672&lt;/pages&gt;&lt;volume&gt;71&lt;/volume&gt;&lt;number&gt;6&lt;/number&gt;&lt;keywords&gt;&lt;keyword&gt;Triterpenoid&lt;/keyword&gt;&lt;keyword&gt;Steroids&lt;/keyword&gt;&lt;/keywords&gt;&lt;dates&gt;&lt;year&gt;2000&lt;/year&gt;&lt;pub-dates&gt;&lt;date&gt;2000/12/01/&lt;/date&gt;&lt;/pub-dates&gt;&lt;/dates&gt;&lt;isbn&gt;0367-326X&lt;/isbn&gt;&lt;urls&gt;&lt;related-urls&gt;&lt;url&gt;https://www.sciencedirect.com/science/article/pii/S0367326X00002306&lt;/url&gt;&lt;/related-urls&gt;&lt;/urls&gt;&lt;electronic-resource-num&gt;https://doi.org/10.1016/S0367-326X(00)00230-6&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Unfortunately, although compounds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have been reported in many other plants, it is worth noting that there is still little research on their biological assay.</w:t>
      </w:r>
    </w:p>
    <w:p w14:paraId="79907C45" w14:textId="77777777" w:rsidR="00E21A7D" w:rsidRPr="005E6B7C" w:rsidRDefault="00E21A7D" w:rsidP="00E21A7D">
      <w:pPr>
        <w:tabs>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Conclusions</w:t>
      </w:r>
    </w:p>
    <w:p w14:paraId="36FC4D9E" w14:textId="364E5EC9" w:rsidR="00E21A7D" w:rsidRPr="005E6B7C" w:rsidRDefault="00E21A7D" w:rsidP="00E21A7D">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chemical constituents of </w:t>
      </w:r>
      <w:r w:rsidRPr="005E6B7C">
        <w:rPr>
          <w:rFonts w:asciiTheme="majorHAnsi" w:eastAsia="Yu Mincho" w:hAnsiTheme="majorHAnsi" w:cstheme="majorHAnsi"/>
          <w:i/>
          <w:color w:val="000000" w:themeColor="text1"/>
          <w:sz w:val="22"/>
          <w:szCs w:val="22"/>
          <w:lang w:eastAsia="ja-JP"/>
        </w:rPr>
        <w:t>W. pinnata</w:t>
      </w:r>
      <w:r w:rsidRPr="005E6B7C">
        <w:rPr>
          <w:rFonts w:asciiTheme="majorHAnsi" w:eastAsia="Yu Mincho" w:hAnsiTheme="majorHAnsi" w:cstheme="majorHAnsi"/>
          <w:color w:val="000000" w:themeColor="text1"/>
          <w:sz w:val="22"/>
          <w:szCs w:val="22"/>
          <w:lang w:eastAsia="ja-JP"/>
        </w:rPr>
        <w:t xml:space="preserve"> leaves have been identified in the present study. Six compounds were isolated, including cumingianol E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21-</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-methyltoosendanpentol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21</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-methylmelianodiol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21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,23</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-epoxy-3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,24</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-dihydroxy-21</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,25-dimethoxy-tirucalla-7-en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odoratone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and cabraleone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The structures of these compounds were elucidated through NMR spectroscopic analysis and comparison with previously reported data. To the best of our knowledge, the occurrence of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
          <w:color w:val="000000" w:themeColor="text1"/>
          <w:sz w:val="22"/>
          <w:szCs w:val="22"/>
          <w:lang w:eastAsia="ja-JP"/>
        </w:rPr>
        <w:t xml:space="preserve">6 </w:t>
      </w:r>
      <w:r w:rsidR="00367740" w:rsidRPr="005E6B7C">
        <w:rPr>
          <w:rFonts w:asciiTheme="majorHAnsi" w:eastAsia="Yu Mincho" w:hAnsiTheme="majorHAnsi" w:cstheme="majorHAnsi"/>
          <w:color w:val="000000" w:themeColor="text1"/>
          <w:sz w:val="22"/>
          <w:szCs w:val="22"/>
          <w:lang w:eastAsia="ja-JP"/>
        </w:rPr>
        <w:t>are reported here for the first time in this species</w:t>
      </w:r>
      <w:r w:rsidRPr="005E6B7C">
        <w:rPr>
          <w:rFonts w:asciiTheme="majorHAnsi" w:eastAsia="Yu Mincho" w:hAnsiTheme="majorHAnsi" w:cstheme="majorHAnsi"/>
          <w:color w:val="000000" w:themeColor="text1"/>
          <w:sz w:val="22"/>
          <w:szCs w:val="22"/>
          <w:lang w:eastAsia="ja-JP"/>
        </w:rPr>
        <w:t>.</w:t>
      </w:r>
    </w:p>
    <w:p w14:paraId="083A6544" w14:textId="77777777" w:rsidR="00E21A7D" w:rsidRPr="005E6B7C" w:rsidRDefault="00E21A7D" w:rsidP="00E21A7D">
      <w:pPr>
        <w:tabs>
          <w:tab w:val="left" w:pos="9270"/>
        </w:tabs>
        <w:spacing w:before="120"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iCs/>
          <w:color w:val="000000" w:themeColor="text1"/>
          <w:sz w:val="20"/>
          <w:szCs w:val="20"/>
          <w:lang w:eastAsia="ja-JP"/>
        </w:rPr>
        <w:t>Acknowledgments</w:t>
      </w:r>
      <w:r w:rsidRPr="005E6B7C">
        <w:rPr>
          <w:rFonts w:asciiTheme="majorHAnsi" w:eastAsia="Yu Mincho" w:hAnsiTheme="majorHAnsi" w:cstheme="majorHAnsi"/>
          <w:iCs/>
          <w:color w:val="000000" w:themeColor="text1"/>
          <w:sz w:val="20"/>
          <w:szCs w:val="20"/>
          <w:lang w:eastAsia="ja-JP"/>
        </w:rPr>
        <w:t xml:space="preserve">: </w:t>
      </w:r>
      <w:r w:rsidRPr="005E6B7C">
        <w:rPr>
          <w:rFonts w:asciiTheme="majorHAnsi" w:eastAsia="Yu Mincho" w:hAnsiTheme="majorHAnsi" w:cstheme="majorHAnsi"/>
          <w:i/>
          <w:iCs/>
          <w:color w:val="000000" w:themeColor="text1"/>
          <w:sz w:val="20"/>
          <w:szCs w:val="20"/>
          <w:lang w:eastAsia="ja-JP"/>
        </w:rPr>
        <w:t>This research was financially supported by the Vietnam National Foundation for Science and Technology Development (NAFOSTED) under grant number: 104.01-2024.03.</w:t>
      </w:r>
    </w:p>
    <w:p w14:paraId="7585F858" w14:textId="26748FA5" w:rsidR="0021087C" w:rsidRPr="005E6B7C" w:rsidRDefault="0021087C"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p>
    <w:p w14:paraId="2F953EA8" w14:textId="77777777" w:rsidR="0021087C" w:rsidRPr="005E6B7C" w:rsidRDefault="0021087C"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21087C" w:rsidRPr="005E6B7C" w:rsidSect="0021087C">
          <w:type w:val="continuous"/>
          <w:pgSz w:w="10773" w:h="15309" w:code="9"/>
          <w:pgMar w:top="907" w:right="851" w:bottom="1418" w:left="851" w:header="397" w:footer="851" w:gutter="0"/>
          <w:cols w:num="2" w:space="284"/>
          <w:docGrid w:linePitch="360"/>
        </w:sectPr>
      </w:pPr>
    </w:p>
    <w:p w14:paraId="0B918216" w14:textId="77777777" w:rsidR="00E049CB" w:rsidRPr="005E6B7C" w:rsidRDefault="00E049CB" w:rsidP="008C0D47">
      <w:pPr>
        <w:widowControl/>
        <w:tabs>
          <w:tab w:val="left" w:pos="270"/>
          <w:tab w:val="left" w:pos="540"/>
          <w:tab w:val="left" w:pos="9270"/>
        </w:tabs>
        <w:spacing w:before="120"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68382B4E" w14:textId="77972021"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noProof/>
          <w:color w:val="000000" w:themeColor="text1"/>
          <w:spacing w:val="-4"/>
          <w:sz w:val="18"/>
          <w:szCs w:val="18"/>
          <w:lang w:eastAsia="ja-JP"/>
        </w:rPr>
        <w:t>1</w:t>
      </w:r>
      <w:r w:rsidRPr="005E6B7C">
        <w:rPr>
          <w:rFonts w:asciiTheme="majorHAnsi" w:eastAsia="Yu Mincho" w:hAnsiTheme="majorHAnsi" w:cstheme="majorHAnsi"/>
          <w:noProof/>
          <w:color w:val="000000" w:themeColor="text1"/>
          <w:spacing w:val="-4"/>
          <w:sz w:val="18"/>
          <w:szCs w:val="18"/>
          <w:lang w:eastAsia="ja-JP"/>
        </w:rPr>
        <w:t xml:space="preserve">. </w:t>
      </w:r>
      <w:r w:rsidR="00367740" w:rsidRPr="005E6B7C">
        <w:rPr>
          <w:rFonts w:asciiTheme="majorHAnsi" w:eastAsia="Yu Mincho" w:hAnsiTheme="majorHAnsi" w:cstheme="majorHAnsi"/>
          <w:noProof/>
          <w:color w:val="000000" w:themeColor="text1"/>
          <w:spacing w:val="-4"/>
          <w:sz w:val="18"/>
          <w:szCs w:val="18"/>
          <w:lang w:eastAsia="ja-JP"/>
        </w:rPr>
        <w:t xml:space="preserve">Plants of the World </w:t>
      </w:r>
      <w:r w:rsidRPr="005E6B7C">
        <w:rPr>
          <w:rFonts w:asciiTheme="majorHAnsi" w:eastAsia="Yu Mincho" w:hAnsiTheme="majorHAnsi" w:cstheme="majorHAnsi"/>
          <w:noProof/>
          <w:color w:val="000000" w:themeColor="text1"/>
          <w:spacing w:val="-4"/>
          <w:sz w:val="18"/>
          <w:szCs w:val="18"/>
          <w:lang w:eastAsia="ja-JP"/>
        </w:rPr>
        <w:t xml:space="preserve">Online </w:t>
      </w:r>
      <w:r w:rsidR="00045518" w:rsidRPr="005E6B7C">
        <w:rPr>
          <w:rFonts w:asciiTheme="majorHAnsi" w:eastAsia="Yu Mincho" w:hAnsiTheme="majorHAnsi" w:cstheme="majorHAnsi"/>
          <w:noProof/>
          <w:color w:val="000000" w:themeColor="text1"/>
          <w:spacing w:val="-4"/>
          <w:sz w:val="18"/>
          <w:szCs w:val="18"/>
          <w:lang w:eastAsia="ja-JP"/>
        </w:rPr>
        <w:t xml:space="preserve">(2025). </w:t>
      </w:r>
      <w:r w:rsidR="00AC78CB" w:rsidRPr="005E6B7C">
        <w:rPr>
          <w:rFonts w:asciiTheme="majorHAnsi" w:eastAsia="Yu Mincho" w:hAnsiTheme="majorHAnsi" w:cstheme="majorHAnsi"/>
          <w:noProof/>
          <w:color w:val="000000" w:themeColor="text1"/>
          <w:spacing w:val="-4"/>
          <w:sz w:val="18"/>
          <w:szCs w:val="18"/>
          <w:lang w:eastAsia="ja-JP"/>
        </w:rPr>
        <w:t>https://powo.science.kew.org/results?f=accepted_names&amp;q=Walsura</w:t>
      </w:r>
      <w:r w:rsidRPr="005E6B7C">
        <w:rPr>
          <w:rFonts w:asciiTheme="majorHAnsi" w:eastAsia="Yu Mincho" w:hAnsiTheme="majorHAnsi" w:cstheme="majorHAnsi"/>
          <w:noProof/>
          <w:color w:val="000000" w:themeColor="text1"/>
          <w:spacing w:val="-4"/>
          <w:sz w:val="18"/>
          <w:szCs w:val="18"/>
          <w:lang w:eastAsia="ja-JP"/>
        </w:rPr>
        <w:t>, accessed 08/12/2025.</w:t>
      </w:r>
    </w:p>
    <w:p w14:paraId="4DE23AB5"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2</w:t>
      </w:r>
      <w:r w:rsidRPr="005E6B7C">
        <w:rPr>
          <w:rFonts w:asciiTheme="majorHAnsi" w:eastAsia="Yu Mincho" w:hAnsiTheme="majorHAnsi" w:cstheme="majorHAnsi"/>
          <w:noProof/>
          <w:color w:val="000000" w:themeColor="text1"/>
          <w:spacing w:val="-4"/>
          <w:sz w:val="18"/>
          <w:szCs w:val="18"/>
          <w:lang w:eastAsia="ja-JP"/>
        </w:rPr>
        <w:t xml:space="preserve">. Han M. L., Zhang H., Yang S. P., Yue J. M. (2011), Walsucochinoids A and B: new rearranged limonoids from </w:t>
      </w:r>
      <w:r w:rsidRPr="005E6B7C">
        <w:rPr>
          <w:rFonts w:asciiTheme="majorHAnsi" w:eastAsia="Yu Mincho" w:hAnsiTheme="majorHAnsi" w:cstheme="majorHAnsi"/>
          <w:i/>
          <w:noProof/>
          <w:color w:val="000000" w:themeColor="text1"/>
          <w:spacing w:val="-4"/>
          <w:sz w:val="18"/>
          <w:szCs w:val="18"/>
          <w:lang w:eastAsia="ja-JP"/>
        </w:rPr>
        <w:t>Walsura cochinchinensis.</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Organic Letters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14(2), 486−489.</w:t>
      </w:r>
    </w:p>
    <w:p w14:paraId="7AF316C1"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3</w:t>
      </w:r>
      <w:r w:rsidRPr="005E6B7C">
        <w:rPr>
          <w:rFonts w:asciiTheme="majorHAnsi" w:eastAsia="Yu Mincho" w:hAnsiTheme="majorHAnsi" w:cstheme="majorHAnsi"/>
          <w:noProof/>
          <w:color w:val="000000" w:themeColor="text1"/>
          <w:spacing w:val="-4"/>
          <w:sz w:val="18"/>
          <w:szCs w:val="18"/>
          <w:lang w:eastAsia="ja-JP"/>
        </w:rPr>
        <w:t xml:space="preserve">. Ban N. T., Khoi N. K., Phuong V. X., Anh T. T. P., Bien L. K., Binh N. Q., Dung H. T. (2001), Checklist of plant species of Vietnam. </w:t>
      </w:r>
      <w:r w:rsidRPr="005E6B7C">
        <w:rPr>
          <w:rFonts w:asciiTheme="majorHAnsi" w:eastAsia="Yu Mincho" w:hAnsiTheme="majorHAnsi" w:cstheme="majorHAnsi"/>
          <w:i/>
          <w:noProof/>
          <w:color w:val="000000" w:themeColor="text1"/>
          <w:spacing w:val="-4"/>
          <w:sz w:val="18"/>
          <w:szCs w:val="18"/>
          <w:lang w:eastAsia="ja-JP"/>
        </w:rPr>
        <w:t>Agricultural Publishing House</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Vol. II, 1005−1006.</w:t>
      </w:r>
    </w:p>
    <w:p w14:paraId="5ABCE49F"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4</w:t>
      </w:r>
      <w:r w:rsidRPr="005E6B7C">
        <w:rPr>
          <w:rFonts w:asciiTheme="majorHAnsi" w:eastAsia="Yu Mincho" w:hAnsiTheme="majorHAnsi" w:cstheme="majorHAnsi"/>
          <w:noProof/>
          <w:color w:val="000000" w:themeColor="text1"/>
          <w:spacing w:val="-4"/>
          <w:sz w:val="18"/>
          <w:szCs w:val="18"/>
          <w:lang w:eastAsia="ja-JP"/>
        </w:rPr>
        <w:t xml:space="preserve">. Son N. T. (2022), The genus </w:t>
      </w:r>
      <w:r w:rsidRPr="005E6B7C">
        <w:rPr>
          <w:rFonts w:asciiTheme="majorHAnsi" w:eastAsia="Yu Mincho" w:hAnsiTheme="majorHAnsi" w:cstheme="majorHAnsi"/>
          <w:i/>
          <w:noProof/>
          <w:color w:val="000000" w:themeColor="text1"/>
          <w:spacing w:val="-4"/>
          <w:sz w:val="18"/>
          <w:szCs w:val="18"/>
          <w:lang w:eastAsia="ja-JP"/>
        </w:rPr>
        <w:t>Walsura</w:t>
      </w:r>
      <w:r w:rsidRPr="005E6B7C">
        <w:rPr>
          <w:rFonts w:asciiTheme="majorHAnsi" w:eastAsia="Yu Mincho" w:hAnsiTheme="majorHAnsi" w:cstheme="majorHAnsi"/>
          <w:noProof/>
          <w:color w:val="000000" w:themeColor="text1"/>
          <w:spacing w:val="-4"/>
          <w:sz w:val="18"/>
          <w:szCs w:val="18"/>
          <w:lang w:eastAsia="ja-JP"/>
        </w:rPr>
        <w:t>: a rich resource of bioactive limonoids, triterpenoids, and other types of compounds</w:t>
      </w:r>
      <w:r w:rsidRPr="005E6B7C">
        <w:rPr>
          <w:rFonts w:asciiTheme="majorHAnsi" w:eastAsia="Yu Mincho" w:hAnsiTheme="majorHAnsi" w:cstheme="majorHAnsi"/>
          <w:i/>
          <w:noProof/>
          <w:color w:val="000000" w:themeColor="text1"/>
          <w:spacing w:val="-4"/>
          <w:sz w:val="18"/>
          <w:szCs w:val="18"/>
          <w:lang w:eastAsia="ja-JP"/>
        </w:rPr>
        <w:t>. Progress in the Chemistry of Organic Natural Products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118, 131−177.</w:t>
      </w:r>
    </w:p>
    <w:p w14:paraId="1B9B8101"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5</w:t>
      </w:r>
      <w:r w:rsidRPr="005E6B7C">
        <w:rPr>
          <w:rFonts w:asciiTheme="majorHAnsi" w:eastAsia="Yu Mincho" w:hAnsiTheme="majorHAnsi" w:cstheme="majorHAnsi"/>
          <w:noProof/>
          <w:color w:val="000000" w:themeColor="text1"/>
          <w:spacing w:val="-4"/>
          <w:sz w:val="18"/>
          <w:szCs w:val="18"/>
          <w:lang w:eastAsia="ja-JP"/>
        </w:rPr>
        <w:t xml:space="preserve">. Ji K. L., Zhang P., Hu H. B., Hua S., Liao S. G., Xu Y. K. (2014), Limonoids from the leaves and twigs of </w:t>
      </w:r>
      <w:r w:rsidRPr="005E6B7C">
        <w:rPr>
          <w:rFonts w:asciiTheme="majorHAnsi" w:eastAsia="Yu Mincho" w:hAnsiTheme="majorHAnsi" w:cstheme="majorHAnsi"/>
          <w:i/>
          <w:noProof/>
          <w:color w:val="000000" w:themeColor="text1"/>
          <w:spacing w:val="-4"/>
          <w:sz w:val="18"/>
          <w:szCs w:val="18"/>
          <w:lang w:eastAsia="ja-JP"/>
        </w:rPr>
        <w:t>Walsura yunnanensis.</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Journal of Natural Products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77(8), 1764−1769.</w:t>
      </w:r>
    </w:p>
    <w:p w14:paraId="37B0C3A7"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6</w:t>
      </w:r>
      <w:r w:rsidRPr="005E6B7C">
        <w:rPr>
          <w:rFonts w:asciiTheme="majorHAnsi" w:eastAsia="Yu Mincho" w:hAnsiTheme="majorHAnsi" w:cstheme="majorHAnsi"/>
          <w:noProof/>
          <w:color w:val="000000" w:themeColor="text1"/>
          <w:spacing w:val="-4"/>
          <w:sz w:val="18"/>
          <w:szCs w:val="18"/>
          <w:lang w:eastAsia="ja-JP"/>
        </w:rPr>
        <w:t xml:space="preserve">. Rao M. S. A., Suresh G., Yadav P. A., Prasad K. R., Rani P. U., Rao C. V., Babu K. S. (2015), Piscidinols H−L, apotirucallane triterpenes from the leaves of </w:t>
      </w:r>
      <w:r w:rsidRPr="005E6B7C">
        <w:rPr>
          <w:rFonts w:asciiTheme="majorHAnsi" w:eastAsia="Yu Mincho" w:hAnsiTheme="majorHAnsi" w:cstheme="majorHAnsi"/>
          <w:i/>
          <w:noProof/>
          <w:color w:val="000000" w:themeColor="text1"/>
          <w:spacing w:val="-4"/>
          <w:sz w:val="18"/>
          <w:szCs w:val="18"/>
          <w:lang w:eastAsia="ja-JP"/>
        </w:rPr>
        <w:t xml:space="preserve">Walsura trifoliata </w:t>
      </w:r>
      <w:r w:rsidRPr="005E6B7C">
        <w:rPr>
          <w:rFonts w:asciiTheme="majorHAnsi" w:eastAsia="Yu Mincho" w:hAnsiTheme="majorHAnsi" w:cstheme="majorHAnsi"/>
          <w:noProof/>
          <w:color w:val="000000" w:themeColor="text1"/>
          <w:spacing w:val="-4"/>
          <w:sz w:val="18"/>
          <w:szCs w:val="18"/>
          <w:lang w:eastAsia="ja-JP"/>
        </w:rPr>
        <w:t>and their insecticidal activity</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Tetrahedron</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71(9), 1431−1437.</w:t>
      </w:r>
    </w:p>
    <w:p w14:paraId="134EB1AA"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7</w:t>
      </w:r>
      <w:r w:rsidRPr="005E6B7C">
        <w:rPr>
          <w:rFonts w:asciiTheme="majorHAnsi" w:eastAsia="Yu Mincho" w:hAnsiTheme="majorHAnsi" w:cstheme="majorHAnsi"/>
          <w:noProof/>
          <w:color w:val="000000" w:themeColor="text1"/>
          <w:spacing w:val="-4"/>
          <w:sz w:val="18"/>
          <w:szCs w:val="18"/>
          <w:lang w:eastAsia="ja-JP"/>
        </w:rPr>
        <w:t xml:space="preserve">. Luo X. D., Wu D. G., Cai X. H., Kennelly E. J. (2006), New antioxidant phenolic glycosides from </w:t>
      </w:r>
      <w:r w:rsidRPr="005E6B7C">
        <w:rPr>
          <w:rFonts w:asciiTheme="majorHAnsi" w:eastAsia="Yu Mincho" w:hAnsiTheme="majorHAnsi" w:cstheme="majorHAnsi"/>
          <w:i/>
          <w:noProof/>
          <w:color w:val="000000" w:themeColor="text1"/>
          <w:spacing w:val="-4"/>
          <w:sz w:val="18"/>
          <w:szCs w:val="18"/>
          <w:lang w:eastAsia="ja-JP"/>
        </w:rPr>
        <w:t>Walsura yunnanensis.</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Chemistry &amp; Biodiversity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3(2), 224−230.</w:t>
      </w:r>
    </w:p>
    <w:p w14:paraId="4D0291FC"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b/>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8</w:t>
      </w:r>
      <w:r w:rsidRPr="005E6B7C">
        <w:rPr>
          <w:rFonts w:asciiTheme="majorHAnsi" w:eastAsia="Yu Mincho" w:hAnsiTheme="majorHAnsi" w:cstheme="majorHAnsi"/>
          <w:noProof/>
          <w:color w:val="000000" w:themeColor="text1"/>
          <w:spacing w:val="-4"/>
          <w:sz w:val="18"/>
          <w:szCs w:val="18"/>
          <w:lang w:eastAsia="ja-JP"/>
        </w:rPr>
        <w:t xml:space="preserve">. Yusoff M. (2012), Chemical constituents of </w:t>
      </w:r>
      <w:r w:rsidRPr="005E6B7C">
        <w:rPr>
          <w:rFonts w:asciiTheme="majorHAnsi" w:eastAsia="Yu Mincho" w:hAnsiTheme="majorHAnsi" w:cstheme="majorHAnsi"/>
          <w:i/>
          <w:noProof/>
          <w:color w:val="000000" w:themeColor="text1"/>
          <w:spacing w:val="-4"/>
          <w:sz w:val="18"/>
          <w:szCs w:val="18"/>
          <w:lang w:eastAsia="ja-JP"/>
        </w:rPr>
        <w:t xml:space="preserve">Walsura pinnata </w:t>
      </w:r>
      <w:r w:rsidRPr="005E6B7C">
        <w:rPr>
          <w:rFonts w:asciiTheme="majorHAnsi" w:eastAsia="Yu Mincho" w:hAnsiTheme="majorHAnsi" w:cstheme="majorHAnsi"/>
          <w:noProof/>
          <w:color w:val="000000" w:themeColor="text1"/>
          <w:spacing w:val="-4"/>
          <w:sz w:val="18"/>
          <w:szCs w:val="18"/>
          <w:lang w:eastAsia="ja-JP"/>
        </w:rPr>
        <w:t>Hassk</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Master’s thesis, University of Malaya, Kuala Lumpur, Malaysia</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p>
    <w:p w14:paraId="76A75878"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9</w:t>
      </w:r>
      <w:r w:rsidRPr="005E6B7C">
        <w:rPr>
          <w:rFonts w:asciiTheme="majorHAnsi" w:eastAsia="Yu Mincho" w:hAnsiTheme="majorHAnsi" w:cstheme="majorHAnsi"/>
          <w:noProof/>
          <w:color w:val="000000" w:themeColor="text1"/>
          <w:spacing w:val="-4"/>
          <w:sz w:val="18"/>
          <w:szCs w:val="18"/>
          <w:lang w:eastAsia="ja-JP"/>
        </w:rPr>
        <w:t xml:space="preserve">. Mahdzir M. A., Shilpi J. A., Mahmud N., Ramasamy S., Awang K. (2017), Chemical constituents from </w:t>
      </w:r>
      <w:r w:rsidRPr="005E6B7C">
        <w:rPr>
          <w:rFonts w:asciiTheme="majorHAnsi" w:eastAsia="Yu Mincho" w:hAnsiTheme="majorHAnsi" w:cstheme="majorHAnsi"/>
          <w:i/>
          <w:noProof/>
          <w:color w:val="000000" w:themeColor="text1"/>
          <w:spacing w:val="-4"/>
          <w:sz w:val="18"/>
          <w:szCs w:val="18"/>
          <w:lang w:eastAsia="ja-JP"/>
        </w:rPr>
        <w:t>Walsura pinnata</w:t>
      </w:r>
      <w:r w:rsidRPr="005E6B7C">
        <w:rPr>
          <w:rFonts w:asciiTheme="majorHAnsi" w:eastAsia="Yu Mincho" w:hAnsiTheme="majorHAnsi" w:cstheme="majorHAnsi"/>
          <w:noProof/>
          <w:color w:val="000000" w:themeColor="text1"/>
          <w:spacing w:val="-4"/>
          <w:sz w:val="18"/>
          <w:szCs w:val="18"/>
          <w:lang w:eastAsia="ja-JP"/>
        </w:rPr>
        <w:t xml:space="preserve"> (Meliaceae)</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Natural Product Communications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12, 1397−1400.</w:t>
      </w:r>
    </w:p>
    <w:p w14:paraId="0CF9F154"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10</w:t>
      </w:r>
      <w:r w:rsidRPr="005E6B7C">
        <w:rPr>
          <w:rFonts w:asciiTheme="majorHAnsi" w:eastAsia="Yu Mincho" w:hAnsiTheme="majorHAnsi" w:cstheme="majorHAnsi"/>
          <w:noProof/>
          <w:color w:val="000000" w:themeColor="text1"/>
          <w:spacing w:val="-4"/>
          <w:sz w:val="18"/>
          <w:szCs w:val="18"/>
          <w:lang w:eastAsia="ja-JP"/>
        </w:rPr>
        <w:t xml:space="preserve">. Zakaria N., Mahdzir M. A., Yusoff M., Arshad N. M., Awang K., Nagoor N. H. (2018), Cytotoxic effects of pinnatane A extracted from </w:t>
      </w:r>
      <w:r w:rsidRPr="005E6B7C">
        <w:rPr>
          <w:rFonts w:asciiTheme="majorHAnsi" w:eastAsia="Yu Mincho" w:hAnsiTheme="majorHAnsi" w:cstheme="majorHAnsi"/>
          <w:i/>
          <w:noProof/>
          <w:color w:val="000000" w:themeColor="text1"/>
          <w:spacing w:val="-4"/>
          <w:sz w:val="18"/>
          <w:szCs w:val="18"/>
          <w:lang w:eastAsia="ja-JP"/>
        </w:rPr>
        <w:t>Walsura pinnata</w:t>
      </w:r>
      <w:r w:rsidRPr="005E6B7C">
        <w:rPr>
          <w:rFonts w:asciiTheme="majorHAnsi" w:eastAsia="Yu Mincho" w:hAnsiTheme="majorHAnsi" w:cstheme="majorHAnsi"/>
          <w:noProof/>
          <w:color w:val="000000" w:themeColor="text1"/>
          <w:spacing w:val="-4"/>
          <w:sz w:val="18"/>
          <w:szCs w:val="18"/>
          <w:lang w:eastAsia="ja-JP"/>
        </w:rPr>
        <w:t xml:space="preserve"> (Meliaceae) on human liver cancer cells</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Molecules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23(11), e2733.</w:t>
      </w:r>
    </w:p>
    <w:p w14:paraId="6BABCF32"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b/>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11</w:t>
      </w:r>
      <w:r w:rsidRPr="005E6B7C">
        <w:rPr>
          <w:rFonts w:asciiTheme="majorHAnsi" w:eastAsia="Yu Mincho" w:hAnsiTheme="majorHAnsi" w:cstheme="majorHAnsi"/>
          <w:noProof/>
          <w:color w:val="000000" w:themeColor="text1"/>
          <w:spacing w:val="-4"/>
          <w:sz w:val="18"/>
          <w:szCs w:val="18"/>
          <w:lang w:eastAsia="ja-JP"/>
        </w:rPr>
        <w:t xml:space="preserve">. Azrul M. M. (2017), Phytochemical investigation of </w:t>
      </w:r>
      <w:r w:rsidRPr="005E6B7C">
        <w:rPr>
          <w:rFonts w:asciiTheme="majorHAnsi" w:eastAsia="Yu Mincho" w:hAnsiTheme="majorHAnsi" w:cstheme="majorHAnsi"/>
          <w:i/>
          <w:noProof/>
          <w:color w:val="000000" w:themeColor="text1"/>
          <w:spacing w:val="-4"/>
          <w:sz w:val="18"/>
          <w:szCs w:val="18"/>
          <w:lang w:eastAsia="ja-JP"/>
        </w:rPr>
        <w:t>Walsura pinnata.</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Master’s thesis, University of Malaya,</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Kuala Lumpur, Malaysia</w:t>
      </w:r>
      <w:r w:rsidRPr="005E6B7C">
        <w:rPr>
          <w:rFonts w:asciiTheme="majorHAnsi" w:eastAsia="Yu Mincho" w:hAnsiTheme="majorHAnsi" w:cstheme="majorHAnsi"/>
          <w:noProof/>
          <w:color w:val="000000" w:themeColor="text1"/>
          <w:spacing w:val="-4"/>
          <w:sz w:val="18"/>
          <w:szCs w:val="18"/>
          <w:lang w:eastAsia="ja-JP"/>
        </w:rPr>
        <w:t>.</w:t>
      </w:r>
    </w:p>
    <w:p w14:paraId="3938AD65"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12</w:t>
      </w:r>
      <w:r w:rsidRPr="005E6B7C">
        <w:rPr>
          <w:rFonts w:asciiTheme="majorHAnsi" w:eastAsia="Yu Mincho" w:hAnsiTheme="majorHAnsi" w:cstheme="majorHAnsi"/>
          <w:noProof/>
          <w:color w:val="000000" w:themeColor="text1"/>
          <w:spacing w:val="-4"/>
          <w:sz w:val="18"/>
          <w:szCs w:val="18"/>
          <w:lang w:eastAsia="ja-JP"/>
        </w:rPr>
        <w:t>. Kurimoto S., Kashiwada Y., Lee K. H., Takaishi Y. (2011),</w:t>
      </w:r>
      <w:r w:rsidRPr="005E6B7C">
        <w:rPr>
          <w:rFonts w:asciiTheme="majorHAnsi" w:eastAsia="Yu Mincho" w:hAnsiTheme="majorHAnsi" w:cstheme="majorHAnsi"/>
          <w: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 xml:space="preserve">Triterpenes and a triterpene glucoside from </w:t>
      </w:r>
      <w:r w:rsidRPr="005E6B7C">
        <w:rPr>
          <w:rFonts w:asciiTheme="majorHAnsi" w:eastAsia="Yu Mincho" w:hAnsiTheme="majorHAnsi" w:cstheme="majorHAnsi"/>
          <w:i/>
          <w:noProof/>
          <w:color w:val="000000" w:themeColor="text1"/>
          <w:spacing w:val="-4"/>
          <w:sz w:val="18"/>
          <w:szCs w:val="18"/>
          <w:lang w:eastAsia="ja-JP"/>
        </w:rPr>
        <w:t>Dysoxylum cumingianum.</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Phytochemistry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72(17), 2205−2211.</w:t>
      </w:r>
    </w:p>
    <w:p w14:paraId="4E60DBD3" w14:textId="33A4E94A"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13</w:t>
      </w:r>
      <w:r w:rsidRPr="005E6B7C">
        <w:rPr>
          <w:rFonts w:asciiTheme="majorHAnsi" w:eastAsia="Yu Mincho" w:hAnsiTheme="majorHAnsi" w:cstheme="majorHAnsi"/>
          <w:noProof/>
          <w:color w:val="000000" w:themeColor="text1"/>
          <w:spacing w:val="-4"/>
          <w:sz w:val="18"/>
          <w:szCs w:val="18"/>
          <w:lang w:eastAsia="ja-JP"/>
        </w:rPr>
        <w:t xml:space="preserve">. Zhou F., Ma X. H., Li Z. J., Li W., Zheng W. M., Wang Z. B., Zeng X. M., Sun K. H., Zhang Y. H. (2016), Four new tirucallane triterpenoids from the fruits of </w:t>
      </w:r>
      <w:r w:rsidRPr="005E6B7C">
        <w:rPr>
          <w:rFonts w:asciiTheme="majorHAnsi" w:eastAsia="Yu Mincho" w:hAnsiTheme="majorHAnsi" w:cstheme="majorHAnsi"/>
          <w:i/>
          <w:noProof/>
          <w:color w:val="000000" w:themeColor="text1"/>
          <w:spacing w:val="-4"/>
          <w:sz w:val="18"/>
          <w:szCs w:val="18"/>
          <w:lang w:eastAsia="ja-JP"/>
        </w:rPr>
        <w:t xml:space="preserve">Melia azedarach </w:t>
      </w:r>
      <w:r w:rsidRPr="005E6B7C">
        <w:rPr>
          <w:rFonts w:asciiTheme="majorHAnsi" w:eastAsia="Yu Mincho" w:hAnsiTheme="majorHAnsi" w:cstheme="majorHAnsi"/>
          <w:noProof/>
          <w:color w:val="000000" w:themeColor="text1"/>
          <w:spacing w:val="-4"/>
          <w:sz w:val="18"/>
          <w:szCs w:val="18"/>
          <w:lang w:eastAsia="ja-JP"/>
        </w:rPr>
        <w:t xml:space="preserve">and </w:t>
      </w:r>
      <w:r w:rsidR="00367740" w:rsidRPr="005E6B7C">
        <w:rPr>
          <w:rFonts w:asciiTheme="majorHAnsi" w:eastAsia="Yu Mincho" w:hAnsiTheme="majorHAnsi" w:cstheme="majorHAnsi"/>
          <w:noProof/>
          <w:color w:val="000000" w:themeColor="text1"/>
          <w:spacing w:val="-4"/>
          <w:sz w:val="18"/>
          <w:szCs w:val="18"/>
          <w:lang w:eastAsia="ja-JP"/>
        </w:rPr>
        <w:t>t</w:t>
      </w:r>
      <w:r w:rsidRPr="005E6B7C">
        <w:rPr>
          <w:rFonts w:asciiTheme="majorHAnsi" w:eastAsia="Yu Mincho" w:hAnsiTheme="majorHAnsi" w:cstheme="majorHAnsi"/>
          <w:noProof/>
          <w:color w:val="000000" w:themeColor="text1"/>
          <w:spacing w:val="-4"/>
          <w:sz w:val="18"/>
          <w:szCs w:val="18"/>
          <w:lang w:eastAsia="ja-JP"/>
        </w:rPr>
        <w:t xml:space="preserve">heir </w:t>
      </w:r>
      <w:r w:rsidR="00367740" w:rsidRPr="005E6B7C">
        <w:rPr>
          <w:rFonts w:asciiTheme="majorHAnsi" w:eastAsia="Yu Mincho" w:hAnsiTheme="majorHAnsi" w:cstheme="majorHAnsi"/>
          <w:noProof/>
          <w:color w:val="000000" w:themeColor="text1"/>
          <w:spacing w:val="-4"/>
          <w:sz w:val="18"/>
          <w:szCs w:val="18"/>
          <w:lang w:val="vi-VN" w:eastAsia="ja-JP"/>
        </w:rPr>
        <w:t>c</w:t>
      </w:r>
      <w:r w:rsidRPr="005E6B7C">
        <w:rPr>
          <w:rFonts w:asciiTheme="majorHAnsi" w:eastAsia="Yu Mincho" w:hAnsiTheme="majorHAnsi" w:cstheme="majorHAnsi"/>
          <w:noProof/>
          <w:color w:val="000000" w:themeColor="text1"/>
          <w:spacing w:val="-4"/>
          <w:sz w:val="18"/>
          <w:szCs w:val="18"/>
          <w:lang w:eastAsia="ja-JP"/>
        </w:rPr>
        <w:t xml:space="preserve">ytotoxic </w:t>
      </w:r>
      <w:r w:rsidR="00367740" w:rsidRPr="005E6B7C">
        <w:rPr>
          <w:rFonts w:asciiTheme="majorHAnsi" w:eastAsia="Yu Mincho" w:hAnsiTheme="majorHAnsi" w:cstheme="majorHAnsi"/>
          <w:noProof/>
          <w:color w:val="000000" w:themeColor="text1"/>
          <w:spacing w:val="-4"/>
          <w:sz w:val="18"/>
          <w:szCs w:val="18"/>
          <w:lang w:eastAsia="ja-JP"/>
        </w:rPr>
        <w:t>a</w:t>
      </w:r>
      <w:r w:rsidRPr="005E6B7C">
        <w:rPr>
          <w:rFonts w:asciiTheme="majorHAnsi" w:eastAsia="Yu Mincho" w:hAnsiTheme="majorHAnsi" w:cstheme="majorHAnsi"/>
          <w:noProof/>
          <w:color w:val="000000" w:themeColor="text1"/>
          <w:spacing w:val="-4"/>
          <w:sz w:val="18"/>
          <w:szCs w:val="18"/>
          <w:lang w:eastAsia="ja-JP"/>
        </w:rPr>
        <w:t>ctivities</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Chemistry &amp; Biodiversity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13(12), 1738−1746.</w:t>
      </w:r>
    </w:p>
    <w:p w14:paraId="74DE0936"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14</w:t>
      </w:r>
      <w:r w:rsidRPr="005E6B7C">
        <w:rPr>
          <w:rFonts w:asciiTheme="majorHAnsi" w:eastAsia="Yu Mincho" w:hAnsiTheme="majorHAnsi" w:cstheme="majorHAnsi"/>
          <w:noProof/>
          <w:color w:val="000000" w:themeColor="text1"/>
          <w:spacing w:val="-4"/>
          <w:sz w:val="18"/>
          <w:szCs w:val="18"/>
          <w:lang w:eastAsia="ja-JP"/>
        </w:rPr>
        <w:t xml:space="preserve">. Xie B. J., Yang S. P., Chen H. D., Yue J. M. (2007), Agladupols A–E, triterpenoids from </w:t>
      </w:r>
      <w:r w:rsidRPr="005E6B7C">
        <w:rPr>
          <w:rFonts w:asciiTheme="majorHAnsi" w:eastAsia="Yu Mincho" w:hAnsiTheme="majorHAnsi" w:cstheme="majorHAnsi"/>
          <w:i/>
          <w:noProof/>
          <w:color w:val="000000" w:themeColor="text1"/>
          <w:spacing w:val="-4"/>
          <w:sz w:val="18"/>
          <w:szCs w:val="18"/>
          <w:lang w:eastAsia="ja-JP"/>
        </w:rPr>
        <w:t>Aglaia duperreana.</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Journal of Natural Products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70(9), 1532–1535.</w:t>
      </w:r>
    </w:p>
    <w:p w14:paraId="05145B7A"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15</w:t>
      </w:r>
      <w:r w:rsidRPr="005E6B7C">
        <w:rPr>
          <w:rFonts w:asciiTheme="majorHAnsi" w:eastAsia="Yu Mincho" w:hAnsiTheme="majorHAnsi" w:cstheme="majorHAnsi"/>
          <w:noProof/>
          <w:color w:val="000000" w:themeColor="text1"/>
          <w:spacing w:val="-4"/>
          <w:sz w:val="18"/>
          <w:szCs w:val="18"/>
          <w:lang w:eastAsia="ja-JP"/>
        </w:rPr>
        <w:t xml:space="preserve">. Inada A., Konishi M., Nakanishi T. (1989), Phytochemical studies on Meliaceous plants. V. Structure of a new apotirucallane-type triterpene, 21-O-methyltoosendanpentol from fruits of </w:t>
      </w:r>
      <w:r w:rsidRPr="005E6B7C">
        <w:rPr>
          <w:rFonts w:asciiTheme="majorHAnsi" w:eastAsia="Yu Mincho" w:hAnsiTheme="majorHAnsi" w:cstheme="majorHAnsi"/>
          <w:i/>
          <w:noProof/>
          <w:color w:val="000000" w:themeColor="text1"/>
          <w:spacing w:val="-4"/>
          <w:sz w:val="18"/>
          <w:szCs w:val="18"/>
          <w:lang w:eastAsia="ja-JP"/>
        </w:rPr>
        <w:t>Melia toosendan</w:t>
      </w:r>
      <w:r w:rsidRPr="005E6B7C">
        <w:rPr>
          <w:rFonts w:asciiTheme="majorHAnsi" w:eastAsia="Yu Mincho" w:hAnsiTheme="majorHAnsi" w:cstheme="majorHAnsi"/>
          <w:noProof/>
          <w:color w:val="000000" w:themeColor="text1"/>
          <w:spacing w:val="-4"/>
          <w:sz w:val="18"/>
          <w:szCs w:val="18"/>
          <w:lang w:eastAsia="ja-JP"/>
        </w:rPr>
        <w:t xml:space="preserve"> Sieb. et Zucc</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Heterocycles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28, 383−387.</w:t>
      </w:r>
    </w:p>
    <w:p w14:paraId="7905F85C"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16</w:t>
      </w:r>
      <w:r w:rsidRPr="005E6B7C">
        <w:rPr>
          <w:rFonts w:asciiTheme="majorHAnsi" w:eastAsia="Yu Mincho" w:hAnsiTheme="majorHAnsi" w:cstheme="majorHAnsi"/>
          <w:noProof/>
          <w:color w:val="000000" w:themeColor="text1"/>
          <w:spacing w:val="-4"/>
          <w:sz w:val="18"/>
          <w:szCs w:val="18"/>
          <w:lang w:eastAsia="ja-JP"/>
        </w:rPr>
        <w:t>. Xu G. H., Kim J. A., Kim S. Y., Ryu J. C., Kim Y. S., Jung S. H., Kim M. K., Lee S. H. (2008),</w:t>
      </w:r>
      <w:r w:rsidRPr="005E6B7C">
        <w:rPr>
          <w:rFonts w:asciiTheme="majorHAnsi" w:eastAsia="Yu Mincho" w:hAnsiTheme="majorHAnsi" w:cstheme="majorHAnsi"/>
          <w: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 xml:space="preserve">Terpenoids and coumarins isolated from the fruits of </w:t>
      </w:r>
      <w:r w:rsidRPr="005E6B7C">
        <w:rPr>
          <w:rFonts w:asciiTheme="majorHAnsi" w:eastAsia="Yu Mincho" w:hAnsiTheme="majorHAnsi" w:cstheme="majorHAnsi"/>
          <w:i/>
          <w:noProof/>
          <w:color w:val="000000" w:themeColor="text1"/>
          <w:spacing w:val="-4"/>
          <w:sz w:val="18"/>
          <w:szCs w:val="18"/>
          <w:lang w:eastAsia="ja-JP"/>
        </w:rPr>
        <w:t>Poncirus trifoliata.</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Chemical and Pharmaceutical Bulletin</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56(6), 839−842.</w:t>
      </w:r>
    </w:p>
    <w:p w14:paraId="7515E598"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17</w:t>
      </w:r>
      <w:r w:rsidRPr="005E6B7C">
        <w:rPr>
          <w:rFonts w:asciiTheme="majorHAnsi" w:eastAsia="Yu Mincho" w:hAnsiTheme="majorHAnsi" w:cstheme="majorHAnsi"/>
          <w:noProof/>
          <w:color w:val="000000" w:themeColor="text1"/>
          <w:spacing w:val="-4"/>
          <w:sz w:val="18"/>
          <w:szCs w:val="18"/>
          <w:lang w:eastAsia="ja-JP"/>
        </w:rPr>
        <w:t xml:space="preserve">. Song M., Chan G., Lin L. G., Li D., Zhang K., Zhang X. Q., Ye W. C., Li N., Zhang Q. W. (2022), Triterpenoids from the fruits of </w:t>
      </w:r>
      <w:r w:rsidRPr="005E6B7C">
        <w:rPr>
          <w:rFonts w:asciiTheme="majorHAnsi" w:eastAsia="Yu Mincho" w:hAnsiTheme="majorHAnsi" w:cstheme="majorHAnsi"/>
          <w:i/>
          <w:noProof/>
          <w:color w:val="000000" w:themeColor="text1"/>
          <w:spacing w:val="-4"/>
          <w:sz w:val="18"/>
          <w:szCs w:val="18"/>
          <w:lang w:eastAsia="ja-JP"/>
        </w:rPr>
        <w:t xml:space="preserve">Melia azedarach </w:t>
      </w:r>
      <w:r w:rsidRPr="005E6B7C">
        <w:rPr>
          <w:rFonts w:asciiTheme="majorHAnsi" w:eastAsia="Yu Mincho" w:hAnsiTheme="majorHAnsi" w:cstheme="majorHAnsi"/>
          <w:noProof/>
          <w:color w:val="000000" w:themeColor="text1"/>
          <w:spacing w:val="-4"/>
          <w:sz w:val="18"/>
          <w:szCs w:val="18"/>
          <w:lang w:eastAsia="ja-JP"/>
        </w:rPr>
        <w:t>L. and their cytotoxic activities</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Phytochemistry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201, e113280.</w:t>
      </w:r>
    </w:p>
    <w:p w14:paraId="6415E1F1"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lastRenderedPageBreak/>
        <w:t>18</w:t>
      </w:r>
      <w:r w:rsidRPr="005E6B7C">
        <w:rPr>
          <w:rFonts w:asciiTheme="majorHAnsi" w:eastAsia="Yu Mincho" w:hAnsiTheme="majorHAnsi" w:cstheme="majorHAnsi"/>
          <w:noProof/>
          <w:color w:val="000000" w:themeColor="text1"/>
          <w:spacing w:val="-4"/>
          <w:sz w:val="18"/>
          <w:szCs w:val="18"/>
          <w:lang w:eastAsia="ja-JP"/>
        </w:rPr>
        <w:t>. Aldonza M. B. D., Hong J. Y., Bae S. Y., Song J., Kim W. K., Oh J., Shin Y., Lee S. H., Lee S. K. (2015), Suppression of MAPK signaling and reversal of mTOR-dependent MDR1-associated multidrug resistance by 21</w:t>
      </w:r>
      <w:r w:rsidRPr="005E6B7C">
        <w:rPr>
          <w:rFonts w:asciiTheme="majorHAnsi" w:eastAsia="Yu Mincho" w:hAnsiTheme="majorHAnsi" w:cstheme="majorHAnsi"/>
          <w:i/>
          <w:noProof/>
          <w:color w:val="000000" w:themeColor="text1"/>
          <w:spacing w:val="-4"/>
          <w:sz w:val="18"/>
          <w:szCs w:val="18"/>
          <w:lang w:eastAsia="ja-JP"/>
        </w:rPr>
        <w:t>α</w:t>
      </w:r>
      <w:r w:rsidRPr="005E6B7C">
        <w:rPr>
          <w:rFonts w:asciiTheme="majorHAnsi" w:eastAsia="Yu Mincho" w:hAnsiTheme="majorHAnsi" w:cstheme="majorHAnsi"/>
          <w:noProof/>
          <w:color w:val="000000" w:themeColor="text1"/>
          <w:spacing w:val="-4"/>
          <w:sz w:val="18"/>
          <w:szCs w:val="18"/>
          <w:lang w:eastAsia="ja-JP"/>
        </w:rPr>
        <w:t>-methylmelianodiol in lung cancer cells</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Plos One</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10(7), e0133922.</w:t>
      </w:r>
    </w:p>
    <w:p w14:paraId="3689BFC8"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19</w:t>
      </w:r>
      <w:r w:rsidRPr="005E6B7C">
        <w:rPr>
          <w:rFonts w:asciiTheme="majorHAnsi" w:eastAsia="Yu Mincho" w:hAnsiTheme="majorHAnsi" w:cstheme="majorHAnsi"/>
          <w:noProof/>
          <w:color w:val="000000" w:themeColor="text1"/>
          <w:spacing w:val="-4"/>
          <w:sz w:val="18"/>
          <w:szCs w:val="18"/>
          <w:lang w:eastAsia="ja-JP"/>
        </w:rPr>
        <w:t xml:space="preserve">. Chen H., Ma S. G., Fang Z. F., Bai J., Yu S. S., Chen X. G., Hou Q., Yuan S. P., Chen X. (2013), Tirucallane triterpenoids from the stems of </w:t>
      </w:r>
      <w:r w:rsidRPr="005E6B7C">
        <w:rPr>
          <w:rFonts w:asciiTheme="majorHAnsi" w:eastAsia="Yu Mincho" w:hAnsiTheme="majorHAnsi" w:cstheme="majorHAnsi"/>
          <w:i/>
          <w:noProof/>
          <w:color w:val="000000" w:themeColor="text1"/>
          <w:spacing w:val="-4"/>
          <w:sz w:val="18"/>
          <w:szCs w:val="18"/>
          <w:lang w:eastAsia="ja-JP"/>
        </w:rPr>
        <w:t>Brucea mollis.</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Chemistry &amp; Biodiversity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10(4), 695-702.</w:t>
      </w:r>
    </w:p>
    <w:p w14:paraId="5D8F1E57"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20</w:t>
      </w:r>
      <w:r w:rsidRPr="005E6B7C">
        <w:rPr>
          <w:rFonts w:asciiTheme="majorHAnsi" w:eastAsia="Yu Mincho" w:hAnsiTheme="majorHAnsi" w:cstheme="majorHAnsi"/>
          <w:noProof/>
          <w:color w:val="000000" w:themeColor="text1"/>
          <w:spacing w:val="-4"/>
          <w:sz w:val="18"/>
          <w:szCs w:val="18"/>
          <w:lang w:eastAsia="ja-JP"/>
        </w:rPr>
        <w:t>. Lee I. J., Xu G. H., Ju J. H., Kim J. A., Kwon S. W., Lee S. H., Han S. B., Kim Y. (2008), 21-Methylmelianodiols from</w:t>
      </w:r>
      <w:r w:rsidRPr="005E6B7C">
        <w:rPr>
          <w:rFonts w:asciiTheme="majorHAnsi" w:eastAsia="Yu Mincho" w:hAnsiTheme="majorHAnsi" w:cstheme="majorHAnsi"/>
          <w:i/>
          <w:noProof/>
          <w:color w:val="000000" w:themeColor="text1"/>
          <w:spacing w:val="-4"/>
          <w:sz w:val="18"/>
          <w:szCs w:val="18"/>
          <w:lang w:eastAsia="ja-JP"/>
        </w:rPr>
        <w:t xml:space="preserve"> Poncirus trifoliata </w:t>
      </w:r>
      <w:r w:rsidRPr="005E6B7C">
        <w:rPr>
          <w:rFonts w:asciiTheme="majorHAnsi" w:eastAsia="Yu Mincho" w:hAnsiTheme="majorHAnsi" w:cstheme="majorHAnsi"/>
          <w:noProof/>
          <w:color w:val="000000" w:themeColor="text1"/>
          <w:spacing w:val="-4"/>
          <w:sz w:val="18"/>
          <w:szCs w:val="18"/>
          <w:lang w:eastAsia="ja-JP"/>
        </w:rPr>
        <w:t>as inhibitors of interleukin-5 bioactivity in Pro-B cells</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Planta Medica</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74(4), 396−400.</w:t>
      </w:r>
    </w:p>
    <w:p w14:paraId="568BE2C5"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21</w:t>
      </w:r>
      <w:r w:rsidRPr="005E6B7C">
        <w:rPr>
          <w:rFonts w:asciiTheme="majorHAnsi" w:eastAsia="Yu Mincho" w:hAnsiTheme="majorHAnsi" w:cstheme="majorHAnsi"/>
          <w:noProof/>
          <w:color w:val="000000" w:themeColor="text1"/>
          <w:spacing w:val="-4"/>
          <w:sz w:val="18"/>
          <w:szCs w:val="18"/>
          <w:lang w:eastAsia="ja-JP"/>
        </w:rPr>
        <w:t>. Zhou H. Y., Shin E. M., Guo L. Y., Zou L. B., Xu G. H., Lee S. H., Ze K. R., Kim E. K., Kang S. S., Kim Y. S. (2007), Anti-inflammatory activity of 21(</w:t>
      </w:r>
      <w:r w:rsidRPr="005E6B7C">
        <w:rPr>
          <w:rFonts w:asciiTheme="majorHAnsi" w:eastAsia="Yu Mincho" w:hAnsiTheme="majorHAnsi" w:cstheme="majorHAnsi"/>
          <w:i/>
          <w:noProof/>
          <w:color w:val="000000" w:themeColor="text1"/>
          <w:spacing w:val="-4"/>
          <w:sz w:val="18"/>
          <w:szCs w:val="18"/>
          <w:lang w:eastAsia="ja-JP"/>
        </w:rPr>
        <w:t>α</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β</w:t>
      </w:r>
      <w:r w:rsidRPr="005E6B7C">
        <w:rPr>
          <w:rFonts w:asciiTheme="majorHAnsi" w:eastAsia="Yu Mincho" w:hAnsiTheme="majorHAnsi" w:cstheme="majorHAnsi"/>
          <w:noProof/>
          <w:color w:val="000000" w:themeColor="text1"/>
          <w:spacing w:val="-4"/>
          <w:sz w:val="18"/>
          <w:szCs w:val="18"/>
          <w:lang w:eastAsia="ja-JP"/>
        </w:rPr>
        <w:t xml:space="preserve">)-methylmelianodiols, novel compounds from </w:t>
      </w:r>
      <w:r w:rsidRPr="005E6B7C">
        <w:rPr>
          <w:rFonts w:asciiTheme="majorHAnsi" w:eastAsia="Yu Mincho" w:hAnsiTheme="majorHAnsi" w:cstheme="majorHAnsi"/>
          <w:i/>
          <w:noProof/>
          <w:color w:val="000000" w:themeColor="text1"/>
          <w:spacing w:val="-4"/>
          <w:sz w:val="18"/>
          <w:szCs w:val="18"/>
          <w:lang w:eastAsia="ja-JP"/>
        </w:rPr>
        <w:t>Poncirus trifoliata</w:t>
      </w:r>
      <w:r w:rsidRPr="005E6B7C">
        <w:rPr>
          <w:rFonts w:asciiTheme="majorHAnsi" w:eastAsia="Yu Mincho" w:hAnsiTheme="majorHAnsi" w:cstheme="majorHAnsi"/>
          <w:noProof/>
          <w:color w:val="000000" w:themeColor="text1"/>
          <w:spacing w:val="-4"/>
          <w:sz w:val="18"/>
          <w:szCs w:val="18"/>
          <w:lang w:eastAsia="ja-JP"/>
        </w:rPr>
        <w:t xml:space="preserve"> Rafinesque</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European Journal of Pharmacology</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572(2−3), 239−248.</w:t>
      </w:r>
    </w:p>
    <w:p w14:paraId="4F878060"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 xml:space="preserve">. Liu J., Yang S. P., Ni G., Gu Y. C., Yue J. M. (2012), Triterpenoids from </w:t>
      </w:r>
      <w:r w:rsidRPr="005E6B7C">
        <w:rPr>
          <w:rFonts w:asciiTheme="majorHAnsi" w:eastAsia="Yu Mincho" w:hAnsiTheme="majorHAnsi" w:cstheme="majorHAnsi"/>
          <w:i/>
          <w:noProof/>
          <w:color w:val="000000" w:themeColor="text1"/>
          <w:sz w:val="18"/>
          <w:szCs w:val="18"/>
          <w:lang w:eastAsia="ja-JP"/>
        </w:rPr>
        <w:t>Aglaia odorata</w:t>
      </w:r>
      <w:r w:rsidRPr="005E6B7C">
        <w:rPr>
          <w:rFonts w:asciiTheme="majorHAnsi" w:eastAsia="Yu Mincho" w:hAnsiTheme="majorHAnsi" w:cstheme="majorHAnsi"/>
          <w:noProof/>
          <w:color w:val="000000" w:themeColor="text1"/>
          <w:sz w:val="18"/>
          <w:szCs w:val="18"/>
          <w:lang w:eastAsia="ja-JP"/>
        </w:rPr>
        <w:t xml:space="preserve"> var. </w:t>
      </w:r>
      <w:r w:rsidRPr="005E6B7C">
        <w:rPr>
          <w:rFonts w:asciiTheme="majorHAnsi" w:eastAsia="Yu Mincho" w:hAnsiTheme="majorHAnsi" w:cstheme="majorHAnsi"/>
          <w:i/>
          <w:noProof/>
          <w:color w:val="000000" w:themeColor="text1"/>
          <w:sz w:val="18"/>
          <w:szCs w:val="18"/>
          <w:lang w:eastAsia="ja-JP"/>
        </w:rPr>
        <w:t>microphyllina.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Asian Natural Products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14(10), 929−939.</w:t>
      </w:r>
    </w:p>
    <w:p w14:paraId="1C54B06E"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noProof/>
          <w:color w:val="000000" w:themeColor="text1"/>
          <w:spacing w:val="-4"/>
          <w:sz w:val="18"/>
          <w:szCs w:val="18"/>
          <w:lang w:eastAsia="ja-JP"/>
        </w:rPr>
        <w:t>23</w:t>
      </w:r>
      <w:r w:rsidRPr="005E6B7C">
        <w:rPr>
          <w:rFonts w:asciiTheme="majorHAnsi" w:eastAsia="Yu Mincho" w:hAnsiTheme="majorHAnsi" w:cstheme="majorHAnsi"/>
          <w:noProof/>
          <w:color w:val="000000" w:themeColor="text1"/>
          <w:spacing w:val="-4"/>
          <w:sz w:val="18"/>
          <w:szCs w:val="18"/>
          <w:lang w:eastAsia="ja-JP"/>
        </w:rPr>
        <w:t xml:space="preserve">. Luo X. D., Wu S. H., Ma Y. B., Wu D. G. (2000), A new triterpenoid from </w:t>
      </w:r>
      <w:r w:rsidRPr="005E6B7C">
        <w:rPr>
          <w:rFonts w:asciiTheme="majorHAnsi" w:eastAsia="Yu Mincho" w:hAnsiTheme="majorHAnsi" w:cstheme="majorHAnsi"/>
          <w:i/>
          <w:noProof/>
          <w:color w:val="000000" w:themeColor="text1"/>
          <w:spacing w:val="-4"/>
          <w:sz w:val="18"/>
          <w:szCs w:val="18"/>
          <w:lang w:eastAsia="ja-JP"/>
        </w:rPr>
        <w:t>Azadirachta indica.</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Fitoterapia</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71(6), 668−672.</w:t>
      </w:r>
    </w:p>
    <w:p w14:paraId="78011F5C" w14:textId="77777777" w:rsidR="00E049CB" w:rsidRPr="005E6B7C" w:rsidRDefault="00E049CB" w:rsidP="008C0D47">
      <w:pPr>
        <w:tabs>
          <w:tab w:val="left" w:pos="0"/>
          <w:tab w:val="left" w:pos="270"/>
          <w:tab w:val="left" w:pos="540"/>
          <w:tab w:val="left" w:pos="9270"/>
        </w:tabs>
        <w:spacing w:line="19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24</w:t>
      </w:r>
      <w:r w:rsidRPr="005E6B7C">
        <w:rPr>
          <w:rFonts w:asciiTheme="majorHAnsi" w:eastAsia="Yu Mincho" w:hAnsiTheme="majorHAnsi" w:cstheme="majorHAnsi"/>
          <w:noProof/>
          <w:color w:val="000000" w:themeColor="text1"/>
          <w:sz w:val="18"/>
          <w:szCs w:val="18"/>
          <w:lang w:eastAsia="ja-JP"/>
        </w:rPr>
        <w:t xml:space="preserve">. Singh Y., Aalbersberg W. (1992), Dammarane triterpenoids from </w:t>
      </w:r>
      <w:r w:rsidRPr="005E6B7C">
        <w:rPr>
          <w:rFonts w:asciiTheme="majorHAnsi" w:eastAsia="Yu Mincho" w:hAnsiTheme="majorHAnsi" w:cstheme="majorHAnsi"/>
          <w:i/>
          <w:noProof/>
          <w:color w:val="000000" w:themeColor="text1"/>
          <w:sz w:val="18"/>
          <w:szCs w:val="18"/>
          <w:lang w:eastAsia="ja-JP"/>
        </w:rPr>
        <w:t>Dysoxylum richii.</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Phytochemistry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31, 4033−4035.</w:t>
      </w:r>
    </w:p>
    <w:p w14:paraId="5E1CFD7D" w14:textId="77777777" w:rsidR="00E049CB" w:rsidRPr="005E6B7C" w:rsidRDefault="00E049CB" w:rsidP="008C0D47">
      <w:pPr>
        <w:tabs>
          <w:tab w:val="left" w:pos="0"/>
          <w:tab w:val="left" w:pos="270"/>
          <w:tab w:val="left" w:pos="540"/>
          <w:tab w:val="left" w:pos="9270"/>
        </w:tabs>
        <w:spacing w:line="200" w:lineRule="exact"/>
        <w:jc w:val="both"/>
        <w:rPr>
          <w:rFonts w:asciiTheme="majorHAnsi" w:eastAsia="Yu Mincho" w:hAnsiTheme="majorHAnsi" w:cstheme="majorHAnsi"/>
          <w:noProof/>
          <w:color w:val="000000" w:themeColor="text1"/>
          <w:sz w:val="22"/>
          <w:szCs w:val="22"/>
          <w:lang w:eastAsia="ja-JP"/>
        </w:rPr>
      </w:pPr>
      <w:r w:rsidRPr="005E6B7C">
        <w:rPr>
          <w:rFonts w:asciiTheme="majorHAnsi" w:eastAsia="Yu Mincho" w:hAnsiTheme="majorHAnsi" w:cstheme="majorHAnsi"/>
          <w:b/>
          <w:noProof/>
          <w:color w:val="000000" w:themeColor="text1"/>
          <w:sz w:val="18"/>
          <w:szCs w:val="18"/>
          <w:lang w:eastAsia="ja-JP"/>
        </w:rPr>
        <w:t>25</w:t>
      </w:r>
      <w:r w:rsidRPr="005E6B7C">
        <w:rPr>
          <w:rFonts w:asciiTheme="majorHAnsi" w:eastAsia="Yu Mincho" w:hAnsiTheme="majorHAnsi" w:cstheme="majorHAnsi"/>
          <w:noProof/>
          <w:color w:val="000000" w:themeColor="text1"/>
          <w:sz w:val="18"/>
          <w:szCs w:val="18"/>
          <w:lang w:eastAsia="ja-JP"/>
        </w:rPr>
        <w:t xml:space="preserve">. Chan W. R., Taylor D. R., Snatzke G., Fehlhaber H. W. (1967), The tetracyclic triterpenes from </w:t>
      </w:r>
      <w:r w:rsidRPr="005E6B7C">
        <w:rPr>
          <w:rFonts w:asciiTheme="majorHAnsi" w:eastAsia="Yu Mincho" w:hAnsiTheme="majorHAnsi" w:cstheme="majorHAnsi"/>
          <w:i/>
          <w:noProof/>
          <w:color w:val="000000" w:themeColor="text1"/>
          <w:sz w:val="18"/>
          <w:szCs w:val="18"/>
          <w:lang w:eastAsia="ja-JP"/>
        </w:rPr>
        <w:t>Cedrela odorata</w:t>
      </w:r>
      <w:r w:rsidRPr="005E6B7C">
        <w:rPr>
          <w:rFonts w:asciiTheme="majorHAnsi" w:eastAsia="Yu Mincho" w:hAnsiTheme="majorHAnsi" w:cstheme="majorHAnsi"/>
          <w:noProof/>
          <w:color w:val="000000" w:themeColor="text1"/>
          <w:sz w:val="18"/>
          <w:szCs w:val="18"/>
          <w:lang w:eastAsia="ja-JP"/>
        </w:rPr>
        <w:t xml:space="preserve"> L</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Chemical Communications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 548−550.</w:t>
      </w:r>
      <w:r w:rsidRPr="005E6B7C">
        <w:rPr>
          <w:rFonts w:asciiTheme="majorHAnsi" w:eastAsia="Yu Mincho" w:hAnsiTheme="majorHAnsi" w:cstheme="majorHAnsi"/>
          <w:noProof/>
          <w:color w:val="000000" w:themeColor="text1"/>
          <w:sz w:val="18"/>
          <w:szCs w:val="18"/>
          <w:lang w:eastAsia="ja-JP"/>
        </w:rPr>
        <w:fldChar w:fldCharType="end"/>
      </w:r>
    </w:p>
    <w:p w14:paraId="19358200" w14:textId="77777777" w:rsidR="008B0A14" w:rsidRPr="005E6B7C" w:rsidRDefault="008B0A14" w:rsidP="008C0D47">
      <w:pPr>
        <w:widowControl/>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p>
    <w:p w14:paraId="34C8E875" w14:textId="77777777" w:rsidR="00367819" w:rsidRPr="005E6B7C" w:rsidRDefault="00367819" w:rsidP="008C0D47">
      <w:pPr>
        <w:widowControl/>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2E76F6" w:rsidRPr="005E6B7C">
        <w:rPr>
          <w:rFonts w:asciiTheme="majorHAnsi" w:eastAsia="Yu Mincho" w:hAnsiTheme="majorHAnsi" w:cstheme="majorHAnsi"/>
          <w:b/>
          <w:bCs/>
          <w:i/>
          <w:color w:val="000000" w:themeColor="text1"/>
          <w:sz w:val="26"/>
          <w:szCs w:val="26"/>
          <w:lang w:eastAsia="ja-JP"/>
        </w:rPr>
        <w:t xml:space="preserve"> 17 </w:t>
      </w:r>
      <w:r w:rsidR="005A2B3C" w:rsidRPr="005E6B7C">
        <w:rPr>
          <w:rFonts w:asciiTheme="majorHAnsi" w:eastAsia="Yu Mincho" w:hAnsiTheme="majorHAnsi" w:cstheme="majorHAnsi"/>
          <w:b/>
          <w:bCs/>
          <w:i/>
          <w:color w:val="000000" w:themeColor="text1"/>
          <w:sz w:val="26"/>
          <w:szCs w:val="26"/>
          <w:lang w:eastAsia="ja-JP"/>
        </w:rPr>
        <w:t>-</w:t>
      </w:r>
      <w:r w:rsidR="001606D2" w:rsidRPr="005E6B7C">
        <w:rPr>
          <w:rFonts w:asciiTheme="majorHAnsi" w:eastAsia="Yu Mincho" w:hAnsiTheme="majorHAnsi" w:cstheme="majorHAnsi"/>
          <w:b/>
          <w:bCs/>
          <w:i/>
          <w:color w:val="000000" w:themeColor="text1"/>
          <w:sz w:val="26"/>
          <w:szCs w:val="26"/>
          <w:lang w:eastAsia="ja-JP"/>
        </w:rPr>
        <w:t xml:space="preserve"> 22</w:t>
      </w:r>
      <w:r w:rsidRPr="005E6B7C">
        <w:rPr>
          <w:rFonts w:asciiTheme="majorHAnsi" w:eastAsia="Yu Mincho" w:hAnsiTheme="majorHAnsi" w:cstheme="majorHAnsi"/>
          <w:b/>
          <w:bCs/>
          <w:i/>
          <w:color w:val="000000" w:themeColor="text1"/>
          <w:sz w:val="26"/>
          <w:szCs w:val="26"/>
          <w:lang w:eastAsia="ja-JP"/>
        </w:rPr>
        <w:t>)</w:t>
      </w:r>
    </w:p>
    <w:p w14:paraId="1A8A9BA9" w14:textId="77777777" w:rsidR="00E049CB" w:rsidRPr="005E6B7C" w:rsidRDefault="00E049CB" w:rsidP="008C0D47">
      <w:pPr>
        <w:widowControl/>
        <w:tabs>
          <w:tab w:val="left" w:pos="0"/>
          <w:tab w:val="left" w:pos="270"/>
          <w:tab w:val="left" w:pos="540"/>
          <w:tab w:val="left" w:pos="9270"/>
        </w:tabs>
        <w:ind w:right="-20"/>
        <w:jc w:val="both"/>
        <w:rPr>
          <w:rFonts w:asciiTheme="majorHAnsi" w:eastAsia="Yu Mincho" w:hAnsiTheme="majorHAnsi" w:cstheme="majorHAnsi"/>
          <w:noProof/>
          <w:color w:val="000000" w:themeColor="text1"/>
          <w:sz w:val="22"/>
          <w:szCs w:val="22"/>
          <w:lang w:eastAsia="ja-JP"/>
        </w:rPr>
      </w:pPr>
    </w:p>
    <w:p w14:paraId="0AC02610" w14:textId="77777777" w:rsidR="009B1273" w:rsidRPr="005E6B7C" w:rsidRDefault="00E049CB" w:rsidP="008C0D47">
      <w:pPr>
        <w:widowControl/>
        <w:tabs>
          <w:tab w:val="left" w:pos="270"/>
          <w:tab w:val="left" w:pos="540"/>
          <w:tab w:val="left" w:pos="9270"/>
        </w:tabs>
        <w:ind w:right="-20"/>
        <w:jc w:val="center"/>
        <w:rPr>
          <w:rFonts w:asciiTheme="majorHAnsi" w:eastAsia="Times New Roman" w:hAnsiTheme="majorHAnsi" w:cstheme="majorHAnsi"/>
          <w:b/>
          <w:color w:val="000000" w:themeColor="text1"/>
          <w:sz w:val="26"/>
          <w:szCs w:val="26"/>
        </w:rPr>
      </w:pPr>
      <w:bookmarkStart w:id="1" w:name="_Hlk224209911"/>
      <w:r w:rsidRPr="005E6B7C">
        <w:rPr>
          <w:rFonts w:asciiTheme="majorHAnsi" w:eastAsia="Times New Roman" w:hAnsiTheme="majorHAnsi" w:cstheme="majorHAnsi"/>
          <w:b/>
          <w:color w:val="000000" w:themeColor="text1"/>
          <w:sz w:val="26"/>
          <w:szCs w:val="26"/>
        </w:rPr>
        <w:t>CHEMICAL CONSTITUENTS FROM</w:t>
      </w:r>
      <w:r w:rsidR="00367740" w:rsidRPr="005E6B7C">
        <w:rPr>
          <w:rFonts w:asciiTheme="majorHAnsi" w:eastAsia="Times New Roman" w:hAnsiTheme="majorHAnsi" w:cstheme="majorHAnsi"/>
          <w:b/>
          <w:color w:val="000000" w:themeColor="text1"/>
          <w:sz w:val="26"/>
          <w:szCs w:val="26"/>
          <w:lang w:val="vi-VN"/>
        </w:rPr>
        <w:t xml:space="preserve"> THE</w:t>
      </w:r>
      <w:r w:rsidRPr="005E6B7C">
        <w:rPr>
          <w:rFonts w:asciiTheme="majorHAnsi" w:eastAsia="Times New Roman" w:hAnsiTheme="majorHAnsi" w:cstheme="majorHAnsi"/>
          <w:b/>
          <w:color w:val="000000" w:themeColor="text1"/>
          <w:sz w:val="26"/>
          <w:szCs w:val="26"/>
        </w:rPr>
        <w:t xml:space="preserve"> PROPOLIS </w:t>
      </w:r>
    </w:p>
    <w:p w14:paraId="221A93F2" w14:textId="085046FE" w:rsidR="006E0EFF" w:rsidRPr="005E6B7C" w:rsidRDefault="00E049CB" w:rsidP="008C0D47">
      <w:pPr>
        <w:widowControl/>
        <w:tabs>
          <w:tab w:val="left" w:pos="270"/>
          <w:tab w:val="left" w:pos="540"/>
          <w:tab w:val="left" w:pos="9270"/>
        </w:tabs>
        <w:ind w:right="-20"/>
        <w:jc w:val="center"/>
        <w:rPr>
          <w:rFonts w:asciiTheme="majorHAnsi" w:eastAsia="Times New Roman" w:hAnsiTheme="majorHAnsi" w:cstheme="majorHAnsi"/>
          <w:b/>
          <w:i/>
          <w:color w:val="000000" w:themeColor="text1"/>
          <w:sz w:val="26"/>
          <w:szCs w:val="26"/>
        </w:rPr>
      </w:pPr>
      <w:r w:rsidRPr="005E6B7C">
        <w:rPr>
          <w:rFonts w:asciiTheme="majorHAnsi" w:eastAsia="Times New Roman" w:hAnsiTheme="majorHAnsi" w:cstheme="majorHAnsi"/>
          <w:b/>
          <w:color w:val="000000" w:themeColor="text1"/>
          <w:sz w:val="26"/>
          <w:szCs w:val="26"/>
        </w:rPr>
        <w:t xml:space="preserve">OF THE STINGLESS BEE </w:t>
      </w:r>
      <w:r w:rsidRPr="005E6B7C">
        <w:rPr>
          <w:rFonts w:asciiTheme="majorHAnsi" w:eastAsia="Times New Roman" w:hAnsiTheme="majorHAnsi" w:cstheme="majorHAnsi"/>
          <w:b/>
          <w:i/>
          <w:color w:val="000000" w:themeColor="text1"/>
          <w:sz w:val="26"/>
          <w:szCs w:val="26"/>
        </w:rPr>
        <w:t xml:space="preserve">LEPIDOTRIGONA TERMINATA (SMITH, 1878) </w:t>
      </w:r>
    </w:p>
    <w:p w14:paraId="52825CFD" w14:textId="0B71A6D9" w:rsidR="00E049CB" w:rsidRPr="005E6B7C" w:rsidRDefault="00E049CB" w:rsidP="008C0D47">
      <w:pPr>
        <w:widowControl/>
        <w:tabs>
          <w:tab w:val="left" w:pos="270"/>
          <w:tab w:val="left" w:pos="540"/>
          <w:tab w:val="left" w:pos="9270"/>
        </w:tabs>
        <w:ind w:right="-20"/>
        <w:jc w:val="center"/>
        <w:rPr>
          <w:rFonts w:asciiTheme="majorHAnsi" w:eastAsia="Times New Roman" w:hAnsiTheme="majorHAnsi" w:cstheme="majorHAnsi"/>
          <w:color w:val="000000" w:themeColor="text1"/>
          <w:sz w:val="26"/>
          <w:szCs w:val="26"/>
        </w:rPr>
      </w:pPr>
      <w:r w:rsidRPr="005E6B7C">
        <w:rPr>
          <w:rFonts w:asciiTheme="majorHAnsi" w:eastAsia="Times New Roman" w:hAnsiTheme="majorHAnsi" w:cstheme="majorHAnsi"/>
          <w:b/>
          <w:color w:val="000000" w:themeColor="text1"/>
          <w:sz w:val="26"/>
          <w:szCs w:val="26"/>
        </w:rPr>
        <w:t>COLLECTED IN GIA LAI</w:t>
      </w:r>
    </w:p>
    <w:p w14:paraId="6E363165" w14:textId="77777777" w:rsidR="00E049CB" w:rsidRPr="005E6B7C" w:rsidRDefault="00E049CB" w:rsidP="008C0D47">
      <w:pPr>
        <w:widowControl/>
        <w:tabs>
          <w:tab w:val="left" w:pos="270"/>
          <w:tab w:val="left" w:pos="540"/>
          <w:tab w:val="left" w:pos="9270"/>
        </w:tabs>
        <w:ind w:right="-20"/>
        <w:jc w:val="center"/>
        <w:rPr>
          <w:rFonts w:asciiTheme="majorHAnsi" w:eastAsia="Yu Mincho" w:hAnsiTheme="majorHAnsi" w:cstheme="majorHAnsi"/>
          <w:b/>
          <w:i/>
          <w:iCs/>
          <w:color w:val="000000" w:themeColor="text1"/>
          <w:sz w:val="22"/>
          <w:szCs w:val="22"/>
          <w:vertAlign w:val="superscript"/>
          <w:lang w:eastAsia="ja-JP"/>
        </w:rPr>
      </w:pPr>
      <w:r w:rsidRPr="005E6B7C">
        <w:rPr>
          <w:rFonts w:asciiTheme="majorHAnsi" w:eastAsia="Yu Mincho" w:hAnsiTheme="majorHAnsi" w:cstheme="majorHAnsi"/>
          <w:b/>
          <w:i/>
          <w:iCs/>
          <w:color w:val="000000" w:themeColor="text1"/>
          <w:sz w:val="22"/>
          <w:szCs w:val="22"/>
          <w:lang w:eastAsia="ja-JP"/>
        </w:rPr>
        <w:t>Diep Thi Lan Phuong</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Thu Thao Van</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vertAlign w:val="superscript"/>
          <w:lang w:eastAsia="ja-JP"/>
        </w:rPr>
        <w:t xml:space="preserve"> </w:t>
      </w:r>
      <w:r w:rsidRPr="005E6B7C">
        <w:rPr>
          <w:rFonts w:asciiTheme="majorHAnsi" w:eastAsia="Yu Mincho" w:hAnsiTheme="majorHAnsi" w:cstheme="majorHAnsi"/>
          <w:b/>
          <w:i/>
          <w:iCs/>
          <w:color w:val="000000" w:themeColor="text1"/>
          <w:sz w:val="22"/>
          <w:szCs w:val="22"/>
          <w:lang w:eastAsia="ja-JP"/>
        </w:rPr>
        <w:t>Vo Thi Thanh Tuyen</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w:t>
      </w:r>
      <w:r w:rsidR="008B0A14" w:rsidRPr="005E6B7C">
        <w:rPr>
          <w:rFonts w:asciiTheme="majorHAnsi" w:eastAsia="Yu Mincho" w:hAnsiTheme="majorHAnsi" w:cstheme="majorHAnsi"/>
          <w:b/>
          <w:i/>
          <w:iCs/>
          <w:color w:val="000000" w:themeColor="text1"/>
          <w:sz w:val="22"/>
          <w:szCs w:val="22"/>
          <w:lang w:eastAsia="ja-JP"/>
        </w:rPr>
        <w:br/>
      </w:r>
      <w:r w:rsidRPr="005E6B7C">
        <w:rPr>
          <w:rFonts w:asciiTheme="majorHAnsi" w:eastAsia="Yu Mincho" w:hAnsiTheme="majorHAnsi" w:cstheme="majorHAnsi"/>
          <w:b/>
          <w:i/>
          <w:iCs/>
          <w:color w:val="000000" w:themeColor="text1"/>
          <w:sz w:val="22"/>
          <w:szCs w:val="22"/>
          <w:lang w:eastAsia="ja-JP"/>
        </w:rPr>
        <w:t>Nguyen Thi Nghia</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Pham Ngoc Thach</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L</w:t>
      </w:r>
      <w:r w:rsidR="0044085B" w:rsidRPr="005E6B7C">
        <w:rPr>
          <w:rFonts w:asciiTheme="majorHAnsi" w:eastAsia="Yu Mincho" w:hAnsiTheme="majorHAnsi" w:cstheme="majorHAnsi"/>
          <w:b/>
          <w:i/>
          <w:iCs/>
          <w:color w:val="000000" w:themeColor="text1"/>
          <w:sz w:val="22"/>
          <w:szCs w:val="22"/>
          <w:lang w:eastAsia="ja-JP"/>
        </w:rPr>
        <w:t>e</w:t>
      </w:r>
      <w:r w:rsidRPr="005E6B7C">
        <w:rPr>
          <w:rFonts w:asciiTheme="majorHAnsi" w:eastAsia="Yu Mincho" w:hAnsiTheme="majorHAnsi" w:cstheme="majorHAnsi"/>
          <w:b/>
          <w:i/>
          <w:iCs/>
          <w:color w:val="000000" w:themeColor="text1"/>
          <w:sz w:val="22"/>
          <w:szCs w:val="22"/>
          <w:lang w:eastAsia="ja-JP"/>
        </w:rPr>
        <w:t xml:space="preserve"> Thi Cam Nhung</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Le Duy Thanh</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w:t>
      </w:r>
      <w:r w:rsidR="008B0A14" w:rsidRPr="005E6B7C">
        <w:rPr>
          <w:rFonts w:asciiTheme="majorHAnsi" w:eastAsia="Yu Mincho" w:hAnsiTheme="majorHAnsi" w:cstheme="majorHAnsi"/>
          <w:b/>
          <w:i/>
          <w:iCs/>
          <w:color w:val="000000" w:themeColor="text1"/>
          <w:sz w:val="22"/>
          <w:szCs w:val="22"/>
          <w:lang w:eastAsia="ja-JP"/>
        </w:rPr>
        <w:br/>
      </w:r>
      <w:r w:rsidRPr="005E6B7C">
        <w:rPr>
          <w:rFonts w:asciiTheme="majorHAnsi" w:eastAsia="Yu Mincho" w:hAnsiTheme="majorHAnsi" w:cstheme="majorHAnsi"/>
          <w:b/>
          <w:i/>
          <w:iCs/>
          <w:color w:val="000000" w:themeColor="text1"/>
          <w:sz w:val="22"/>
          <w:szCs w:val="22"/>
          <w:lang w:eastAsia="ja-JP"/>
        </w:rPr>
        <w:t>Vo Manh Tien</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Tran Minh Ngoc</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 Le Nguyen Thanh</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w:t>
      </w:r>
    </w:p>
    <w:p w14:paraId="3011E794" w14:textId="77777777" w:rsidR="00E049CB" w:rsidRPr="005E6B7C" w:rsidRDefault="00E049CB" w:rsidP="008C0D47">
      <w:pPr>
        <w:widowControl/>
        <w:tabs>
          <w:tab w:val="left" w:pos="9270"/>
        </w:tabs>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1</w:t>
      </w:r>
      <w:r w:rsidRPr="005E6B7C">
        <w:rPr>
          <w:rFonts w:asciiTheme="majorHAnsi" w:eastAsia="Times New Roman" w:hAnsiTheme="majorHAnsi" w:cstheme="majorHAnsi"/>
          <w:i/>
          <w:iCs/>
          <w:noProof/>
          <w:color w:val="000000" w:themeColor="text1"/>
          <w:sz w:val="22"/>
          <w:szCs w:val="22"/>
          <w:lang w:eastAsia="ja-JP"/>
        </w:rPr>
        <w:t>Faculty of Natural Sciences, Quy Nhon University, Binh Dinh, Vietnam</w:t>
      </w:r>
      <w:r w:rsidR="00C247FE" w:rsidRPr="005E6B7C">
        <w:rPr>
          <w:rFonts w:asciiTheme="majorHAnsi" w:eastAsia="Times New Roman" w:hAnsiTheme="majorHAnsi" w:cstheme="majorHAnsi"/>
          <w:i/>
          <w:iCs/>
          <w:noProof/>
          <w:color w:val="000000" w:themeColor="text1"/>
          <w:sz w:val="22"/>
          <w:szCs w:val="22"/>
          <w:lang w:eastAsia="ja-JP"/>
        </w:rPr>
        <w:t>;</w:t>
      </w:r>
    </w:p>
    <w:p w14:paraId="39EDE438" w14:textId="77777777" w:rsidR="00E049CB" w:rsidRPr="005E6B7C" w:rsidRDefault="00E049CB" w:rsidP="008C0D47">
      <w:pPr>
        <w:widowControl/>
        <w:tabs>
          <w:tab w:val="left" w:pos="9270"/>
        </w:tabs>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2</w:t>
      </w:r>
      <w:r w:rsidRPr="005E6B7C">
        <w:rPr>
          <w:rFonts w:asciiTheme="majorHAnsi" w:eastAsia="Times New Roman" w:hAnsiTheme="majorHAnsi" w:cstheme="majorHAnsi"/>
          <w:i/>
          <w:iCs/>
          <w:noProof/>
          <w:color w:val="000000" w:themeColor="text1"/>
          <w:sz w:val="22"/>
          <w:szCs w:val="22"/>
          <w:lang w:eastAsia="ja-JP"/>
        </w:rPr>
        <w:t>Department of Pharmacy, Hai Phong University of Medicine and Pharmacy, Vietnam</w:t>
      </w:r>
      <w:r w:rsidR="00C247FE" w:rsidRPr="005E6B7C">
        <w:rPr>
          <w:rFonts w:asciiTheme="majorHAnsi" w:eastAsia="Times New Roman" w:hAnsiTheme="majorHAnsi" w:cstheme="majorHAnsi"/>
          <w:i/>
          <w:iCs/>
          <w:noProof/>
          <w:color w:val="000000" w:themeColor="text1"/>
          <w:sz w:val="22"/>
          <w:szCs w:val="22"/>
          <w:lang w:eastAsia="ja-JP"/>
        </w:rPr>
        <w:t>;</w:t>
      </w:r>
    </w:p>
    <w:p w14:paraId="76590ECF" w14:textId="021E7075" w:rsidR="004275A4" w:rsidRPr="005E6B7C" w:rsidRDefault="004275A4" w:rsidP="008C0D47">
      <w:pPr>
        <w:widowControl/>
        <w:tabs>
          <w:tab w:val="left" w:pos="9270"/>
        </w:tabs>
        <w:ind w:right="-20"/>
        <w:jc w:val="center"/>
        <w:outlineLvl w:val="2"/>
        <w:rPr>
          <w:rFonts w:asciiTheme="majorHAnsi" w:eastAsia="Times New Roman" w:hAnsiTheme="majorHAnsi" w:cstheme="majorHAnsi"/>
          <w:bCs/>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3</w:t>
      </w:r>
      <w:r w:rsidRPr="005E6B7C">
        <w:rPr>
          <w:rFonts w:asciiTheme="majorHAnsi" w:eastAsia="Times New Roman" w:hAnsiTheme="majorHAnsi" w:cstheme="majorHAnsi"/>
          <w:i/>
          <w:iCs/>
          <w:noProof/>
          <w:color w:val="000000" w:themeColor="text1"/>
          <w:sz w:val="22"/>
          <w:szCs w:val="22"/>
          <w:lang w:eastAsia="ja-JP"/>
        </w:rPr>
        <w:t>National Institute of Medic</w:t>
      </w:r>
      <w:r w:rsidR="00B115A7" w:rsidRPr="005E6B7C">
        <w:rPr>
          <w:rFonts w:asciiTheme="majorHAnsi" w:eastAsia="Times New Roman" w:hAnsiTheme="majorHAnsi" w:cstheme="majorHAnsi"/>
          <w:i/>
          <w:iCs/>
          <w:noProof/>
          <w:color w:val="000000" w:themeColor="text1"/>
          <w:sz w:val="22"/>
          <w:szCs w:val="22"/>
          <w:lang w:eastAsia="ja-JP"/>
        </w:rPr>
        <w:t>inal</w:t>
      </w:r>
      <w:r w:rsidRPr="005E6B7C">
        <w:rPr>
          <w:rFonts w:asciiTheme="majorHAnsi" w:eastAsia="Times New Roman" w:hAnsiTheme="majorHAnsi" w:cstheme="majorHAnsi"/>
          <w:i/>
          <w:iCs/>
          <w:noProof/>
          <w:color w:val="000000" w:themeColor="text1"/>
          <w:sz w:val="22"/>
          <w:szCs w:val="22"/>
          <w:lang w:eastAsia="ja-JP"/>
        </w:rPr>
        <w:t xml:space="preserve"> Materials (NIMM), Hanoi 11018, Vietnam</w:t>
      </w:r>
    </w:p>
    <w:bookmarkEnd w:id="1"/>
    <w:p w14:paraId="519A0C91" w14:textId="77777777" w:rsidR="00C247FE" w:rsidRPr="005E6B7C" w:rsidRDefault="00C247FE" w:rsidP="008C0D47">
      <w:pPr>
        <w:widowControl/>
        <w:tabs>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lethanh7676@gmail.com</w:t>
      </w:r>
    </w:p>
    <w:p w14:paraId="1DE0E9C6" w14:textId="77777777" w:rsidR="00221F08" w:rsidRPr="005E6B7C" w:rsidRDefault="00221F08" w:rsidP="008C0D47">
      <w:pPr>
        <w:widowControl/>
        <w:tabs>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January 26</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w:t>
      </w:r>
      <w:r w:rsidR="00517F81" w:rsidRPr="005E6B7C">
        <w:rPr>
          <w:rFonts w:asciiTheme="majorHAnsi" w:eastAsia="Yu Mincho" w:hAnsiTheme="majorHAnsi" w:cstheme="majorHAnsi"/>
          <w:color w:val="000000" w:themeColor="text1"/>
          <w:sz w:val="20"/>
          <w:szCs w:val="20"/>
          <w:lang w:eastAsia="ja-JP"/>
        </w:rPr>
        <w:t>6</w:t>
      </w:r>
      <w:r w:rsidRPr="005E6B7C">
        <w:rPr>
          <w:rFonts w:asciiTheme="majorHAnsi" w:eastAsia="Yu Mincho" w:hAnsiTheme="majorHAnsi" w:cstheme="majorHAnsi"/>
          <w:color w:val="000000" w:themeColor="text1"/>
          <w:sz w:val="20"/>
          <w:szCs w:val="20"/>
          <w:lang w:eastAsia="ja-JP"/>
        </w:rPr>
        <w:t xml:space="preserve">                Accepted March 7</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58751543" w14:textId="77777777" w:rsidR="00E049CB" w:rsidRPr="005E6B7C" w:rsidRDefault="00E049CB" w:rsidP="008C0D47">
      <w:pPr>
        <w:widowControl/>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1EBD9E5B" w14:textId="5D38EA42" w:rsidR="00E049CB" w:rsidRPr="005E6B7C" w:rsidRDefault="00E049CB" w:rsidP="008C0D47">
      <w:pPr>
        <w:widowControl/>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Six compounds, including gracilol A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dipterocarpol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8-hydroxylabdan-15-oic acid</w:t>
      </w:r>
      <w:r w:rsidRPr="005E6B7C">
        <w:rPr>
          <w:rFonts w:asciiTheme="majorHAnsi" w:eastAsia="Times New Roman" w:hAnsiTheme="majorHAnsi" w:cstheme="majorHAnsi"/>
          <w:color w:val="000000" w:themeColor="text1"/>
          <w:sz w:val="18"/>
          <w:szCs w:val="18"/>
          <w:lang w:val="vi-VN"/>
        </w:rPr>
        <w:t xml:space="preserve"> (</w:t>
      </w:r>
      <w:r w:rsidRPr="005E6B7C">
        <w:rPr>
          <w:rFonts w:asciiTheme="majorHAnsi" w:eastAsia="Times New Roman" w:hAnsiTheme="majorHAnsi" w:cstheme="majorHAnsi"/>
          <w:b/>
          <w:color w:val="000000" w:themeColor="text1"/>
          <w:sz w:val="18"/>
          <w:szCs w:val="18"/>
        </w:rPr>
        <w:t>3</w:t>
      </w:r>
      <w:r w:rsidRPr="005E6B7C">
        <w:rPr>
          <w:rFonts w:asciiTheme="majorHAnsi" w:eastAsia="Times New Roman" w:hAnsiTheme="majorHAnsi" w:cstheme="majorHAnsi"/>
          <w:color w:val="000000" w:themeColor="text1"/>
          <w:sz w:val="18"/>
          <w:szCs w:val="18"/>
          <w:lang w:val="vi-VN"/>
        </w:rPr>
        <w:t>)</w:t>
      </w:r>
      <w:r w:rsidRPr="005E6B7C">
        <w:rPr>
          <w:rFonts w:asciiTheme="majorHAnsi" w:eastAsia="Times New Roman" w:hAnsiTheme="majorHAnsi" w:cstheme="majorHAnsi"/>
          <w:color w:val="000000" w:themeColor="text1"/>
          <w:sz w:val="18"/>
          <w:szCs w:val="18"/>
        </w:rPr>
        <w:t>, (</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)-1-(2-methoxy-4</w:t>
      </w:r>
      <w:r w:rsidR="0044085B" w:rsidRPr="005E6B7C">
        <w:rPr>
          <w:rFonts w:eastAsia="Yu Mincho"/>
          <w:color w:val="000000" w:themeColor="text1"/>
          <w:sz w:val="18"/>
          <w:szCs w:val="18"/>
          <w:lang w:eastAsia="ja-JP"/>
        </w:rPr>
        <w:t>ʹ</w:t>
      </w:r>
      <w:r w:rsidRPr="005E6B7C">
        <w:rPr>
          <w:rFonts w:asciiTheme="majorHAnsi" w:eastAsia="Yu Mincho" w:hAnsiTheme="majorHAnsi" w:cstheme="majorHAnsi"/>
          <w:color w:val="000000" w:themeColor="text1"/>
          <w:sz w:val="18"/>
          <w:szCs w:val="18"/>
          <w:lang w:eastAsia="ja-JP"/>
        </w:rPr>
        <w:t>,5</w:t>
      </w:r>
      <w:r w:rsidR="0044085B" w:rsidRPr="005E6B7C">
        <w:rPr>
          <w:rFonts w:asciiTheme="majorHAnsi" w:eastAsia="Yu Mincho" w:hAnsiTheme="majorHAnsi" w:cstheme="majorHAnsi"/>
          <w:color w:val="000000" w:themeColor="text1"/>
          <w:sz w:val="18"/>
          <w:szCs w:val="18"/>
          <w:lang w:eastAsia="ja-JP"/>
        </w:rPr>
        <w:t>ʹ</w:t>
      </w:r>
      <w:r w:rsidRPr="005E6B7C">
        <w:rPr>
          <w:rFonts w:asciiTheme="majorHAnsi" w:eastAsia="Yu Mincho" w:hAnsiTheme="majorHAnsi" w:cstheme="majorHAnsi"/>
          <w:color w:val="000000" w:themeColor="text1"/>
          <w:sz w:val="18"/>
          <w:szCs w:val="18"/>
          <w:lang w:eastAsia="ja-JP"/>
        </w:rPr>
        <w:t>-dihydroxyphenyl)-3-phenylprop-2-ene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(+)-eudesmin (</w:t>
      </w:r>
      <w:r w:rsidRPr="005E6B7C">
        <w:rPr>
          <w:rFonts w:asciiTheme="majorHAnsi" w:eastAsia="Yu Mincho" w:hAnsiTheme="majorHAnsi" w:cstheme="majorHAnsi"/>
          <w:b/>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w:t>
      </w:r>
      <w:r w:rsidR="00D95F4E"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i/>
          <w:color w:val="000000" w:themeColor="text1"/>
          <w:sz w:val="18"/>
          <w:szCs w:val="18"/>
          <w:lang w:eastAsia="ja-JP"/>
        </w:rPr>
        <w:t>epi</w:t>
      </w:r>
      <w:r w:rsidRPr="005E6B7C">
        <w:rPr>
          <w:rFonts w:asciiTheme="majorHAnsi" w:eastAsia="Yu Mincho" w:hAnsiTheme="majorHAnsi" w:cstheme="majorHAnsi"/>
          <w:color w:val="000000" w:themeColor="text1"/>
          <w:sz w:val="18"/>
          <w:szCs w:val="18"/>
          <w:lang w:eastAsia="ja-JP"/>
        </w:rPr>
        <w:t>-eudesmin (</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w:t>
      </w:r>
      <w:r w:rsidR="003930EC"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were isolated from propolis of stingless bee </w:t>
      </w:r>
      <w:r w:rsidRPr="005E6B7C">
        <w:rPr>
          <w:rFonts w:asciiTheme="majorHAnsi" w:eastAsia="Yu Mincho" w:hAnsiTheme="majorHAnsi" w:cstheme="majorHAnsi"/>
          <w:i/>
          <w:color w:val="000000" w:themeColor="text1"/>
          <w:sz w:val="18"/>
          <w:szCs w:val="18"/>
          <w:lang w:eastAsia="ja-JP"/>
        </w:rPr>
        <w:t>Lepidotrigona terminata</w:t>
      </w:r>
      <w:r w:rsidRPr="005E6B7C">
        <w:rPr>
          <w:rFonts w:asciiTheme="majorHAnsi" w:eastAsia="Yu Mincho" w:hAnsiTheme="majorHAnsi" w:cstheme="majorHAnsi"/>
          <w:color w:val="000000" w:themeColor="text1"/>
          <w:sz w:val="18"/>
          <w:szCs w:val="18"/>
          <w:lang w:eastAsia="ja-JP"/>
        </w:rPr>
        <w:t xml:space="preserve"> (Smith, 1878) collected in Van Duc, Gia Lai province. The structures of isolated compounds </w:t>
      </w:r>
      <w:r w:rsidRPr="005E6B7C">
        <w:rPr>
          <w:rFonts w:asciiTheme="majorHAnsi" w:eastAsia="Yu Mincho" w:hAnsiTheme="majorHAnsi" w:cstheme="majorHAnsi"/>
          <w:b/>
          <w:bCs/>
          <w:color w:val="000000" w:themeColor="text1"/>
          <w:sz w:val="18"/>
          <w:szCs w:val="18"/>
          <w:lang w:eastAsia="ja-JP"/>
        </w:rPr>
        <w:t>1</w:t>
      </w:r>
      <w:r w:rsidR="003F5D23"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were elucidated by spectroscopic (NMR, MS) analysis and comparison with previous literature. This is the first report on the NMR data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xml:space="preserve">. </w:t>
      </w:r>
    </w:p>
    <w:p w14:paraId="6B70DBED" w14:textId="77777777" w:rsidR="00E049CB" w:rsidRPr="005E6B7C" w:rsidRDefault="00E049CB" w:rsidP="008C0D47">
      <w:pPr>
        <w:widowControl/>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Lepidotrigona terminata</w:t>
      </w:r>
      <w:r w:rsidRPr="005E6B7C">
        <w:rPr>
          <w:rFonts w:asciiTheme="majorHAnsi" w:eastAsia="Yu Mincho" w:hAnsiTheme="majorHAnsi" w:cstheme="majorHAnsi"/>
          <w:i/>
          <w:iCs/>
          <w:color w:val="000000" w:themeColor="text1"/>
          <w:sz w:val="18"/>
          <w:szCs w:val="18"/>
          <w:lang w:eastAsia="ja-JP"/>
        </w:rPr>
        <w:t xml:space="preserve">; Triterpene; Diterpene; Lignan; Phenolic. </w:t>
      </w:r>
    </w:p>
    <w:p w14:paraId="63B20F41" w14:textId="77777777" w:rsidR="000B7F16" w:rsidRPr="005E6B7C" w:rsidRDefault="000B7F16" w:rsidP="008C0D47">
      <w:pPr>
        <w:widowControl/>
        <w:tabs>
          <w:tab w:val="left" w:pos="270"/>
          <w:tab w:val="left" w:pos="540"/>
          <w:tab w:val="left" w:pos="9270"/>
        </w:tabs>
        <w:ind w:right="-20"/>
        <w:jc w:val="both"/>
        <w:rPr>
          <w:rFonts w:asciiTheme="majorHAnsi" w:eastAsia="Yu Mincho" w:hAnsiTheme="majorHAnsi" w:cstheme="majorHAnsi"/>
          <w:b/>
          <w:bCs/>
          <w:color w:val="000000" w:themeColor="text1"/>
          <w:sz w:val="22"/>
          <w:szCs w:val="22"/>
          <w:lang w:eastAsia="ja-JP"/>
        </w:rPr>
      </w:pPr>
    </w:p>
    <w:p w14:paraId="410009B4" w14:textId="77777777" w:rsidR="00C50B66" w:rsidRPr="005E6B7C" w:rsidRDefault="00C50B66"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C50B66" w:rsidRPr="005E6B7C" w:rsidSect="002206BB">
          <w:type w:val="continuous"/>
          <w:pgSz w:w="10773" w:h="15309" w:code="9"/>
          <w:pgMar w:top="907" w:right="851" w:bottom="1418" w:left="851" w:header="397" w:footer="851" w:gutter="0"/>
          <w:cols w:space="284"/>
          <w:docGrid w:linePitch="360"/>
        </w:sectPr>
      </w:pPr>
    </w:p>
    <w:p w14:paraId="3981171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1. Introduction</w:t>
      </w:r>
    </w:p>
    <w:p w14:paraId="2860430C" w14:textId="6CE1E9C6"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Propolis is a complex resinous substance collected by bees from plant exudates and mixed with salivary secretions and wax. Propolis has been used since ancient times for its diverse therapeutic properties. While propolis of the honeybee (</w:t>
      </w:r>
      <w:r w:rsidRPr="005E6B7C">
        <w:rPr>
          <w:rFonts w:asciiTheme="majorHAnsi" w:eastAsia="Times New Roman" w:hAnsiTheme="majorHAnsi" w:cstheme="majorHAnsi"/>
          <w:i/>
          <w:iCs/>
          <w:color w:val="000000" w:themeColor="text1"/>
          <w:sz w:val="22"/>
          <w:szCs w:val="22"/>
        </w:rPr>
        <w:t>Apis mellifera</w:t>
      </w:r>
      <w:r w:rsidRPr="005E6B7C">
        <w:rPr>
          <w:rFonts w:asciiTheme="majorHAnsi" w:eastAsia="Times New Roman" w:hAnsiTheme="majorHAnsi" w:cstheme="majorHAnsi"/>
          <w:color w:val="000000" w:themeColor="text1"/>
          <w:sz w:val="22"/>
          <w:szCs w:val="22"/>
        </w:rPr>
        <w:t>) has been extensively studied, garnering significant scientific and commercial interest, propolis produced by stingless bees remains underexplored [1],[2]. Stingless bee propolis, known variably as "cerume" or geopropolis, differs in botanical origins, physical properties, and chemical profiles from that of honeybee (</w:t>
      </w:r>
      <w:r w:rsidRPr="005E6B7C">
        <w:rPr>
          <w:rFonts w:asciiTheme="majorHAnsi" w:eastAsia="Times New Roman" w:hAnsiTheme="majorHAnsi" w:cstheme="majorHAnsi"/>
          <w:i/>
          <w:iCs/>
          <w:color w:val="000000" w:themeColor="text1"/>
          <w:sz w:val="22"/>
          <w:szCs w:val="22"/>
        </w:rPr>
        <w:t>A. mellifera</w:t>
      </w:r>
      <w:r w:rsidRPr="005E6B7C">
        <w:rPr>
          <w:rFonts w:asciiTheme="majorHAnsi" w:eastAsia="Times New Roman" w:hAnsiTheme="majorHAnsi" w:cstheme="majorHAnsi"/>
          <w:color w:val="000000" w:themeColor="text1"/>
          <w:sz w:val="22"/>
          <w:szCs w:val="22"/>
        </w:rPr>
        <w:t xml:space="preserve">). </w:t>
      </w:r>
      <w:r w:rsidR="00EA6E3E" w:rsidRPr="005E6B7C">
        <w:rPr>
          <w:rFonts w:asciiTheme="majorHAnsi" w:eastAsia="Times New Roman" w:hAnsiTheme="majorHAnsi" w:cstheme="majorHAnsi"/>
          <w:color w:val="000000" w:themeColor="text1"/>
          <w:sz w:val="22"/>
          <w:szCs w:val="22"/>
        </w:rPr>
        <w:t>The</w:t>
      </w:r>
      <w:r w:rsidR="00EA6E3E" w:rsidRPr="005E6B7C">
        <w:rPr>
          <w:rFonts w:asciiTheme="majorHAnsi" w:eastAsia="Times New Roman" w:hAnsiTheme="majorHAnsi" w:cstheme="majorHAnsi"/>
          <w:color w:val="000000" w:themeColor="text1"/>
          <w:sz w:val="22"/>
          <w:szCs w:val="22"/>
          <w:lang w:val="vi-VN"/>
        </w:rPr>
        <w:t xml:space="preserve"> </w:t>
      </w:r>
      <w:r w:rsidR="00EA6E3E" w:rsidRPr="005E6B7C">
        <w:rPr>
          <w:rFonts w:asciiTheme="majorHAnsi" w:eastAsia="Times New Roman" w:hAnsiTheme="majorHAnsi" w:cstheme="majorHAnsi"/>
          <w:color w:val="000000" w:themeColor="text1"/>
          <w:sz w:val="22"/>
          <w:szCs w:val="22"/>
        </w:rPr>
        <w:t>c</w:t>
      </w:r>
      <w:r w:rsidRPr="005E6B7C">
        <w:rPr>
          <w:rFonts w:asciiTheme="majorHAnsi" w:eastAsia="Times New Roman" w:hAnsiTheme="majorHAnsi" w:cstheme="majorHAnsi"/>
          <w:color w:val="000000" w:themeColor="text1"/>
          <w:sz w:val="22"/>
          <w:szCs w:val="22"/>
        </w:rPr>
        <w:t xml:space="preserve">hemical composition of stingless bee propolis is remarkably diverse and geographically variable, reflecting the specific flora foraged by different meliponine species [2]. Phytochemical investigations have revealed a diverse profile of compounds, including phenolic acids, flavonoids, terpenoids, and lignans, many of which are unique to specific bee-plant interactions [3],[4],[5]. Pharmacological studies of propolis extracts and their isolated compounds exhibit a wide range of biological activities such as </w:t>
      </w:r>
      <w:r w:rsidRPr="005E6B7C">
        <w:rPr>
          <w:rFonts w:asciiTheme="majorHAnsi" w:eastAsia="Times New Roman" w:hAnsiTheme="majorHAnsi" w:cstheme="majorHAnsi"/>
          <w:color w:val="000000" w:themeColor="text1"/>
          <w:sz w:val="22"/>
          <w:szCs w:val="22"/>
          <w:lang w:val="en"/>
        </w:rPr>
        <w:t>antibacterial, anticancer, antioxidant, and anti-inflammatory effects [2].</w:t>
      </w:r>
    </w:p>
    <w:p w14:paraId="0FF8EDD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i/>
          <w:color w:val="000000" w:themeColor="text1"/>
          <w:sz w:val="22"/>
          <w:szCs w:val="22"/>
        </w:rPr>
        <w:t>Lepidotrigona terminata</w:t>
      </w:r>
      <w:r w:rsidRPr="005E6B7C">
        <w:rPr>
          <w:rFonts w:asciiTheme="majorHAnsi" w:eastAsia="Times New Roman" w:hAnsiTheme="majorHAnsi" w:cstheme="majorHAnsi"/>
          <w:color w:val="000000" w:themeColor="text1"/>
          <w:sz w:val="22"/>
          <w:szCs w:val="22"/>
        </w:rPr>
        <w:t xml:space="preserve"> (Smith, 1878) is a stingless bee species widely distributed across Southeast Asia, including Thailand, Malaysia, Vietnam, and Indonesia [6]. </w:t>
      </w:r>
      <w:r w:rsidRPr="005E6B7C">
        <w:rPr>
          <w:rFonts w:asciiTheme="majorHAnsi" w:eastAsia="Times New Roman" w:hAnsiTheme="majorHAnsi" w:cstheme="majorHAnsi"/>
          <w:color w:val="000000" w:themeColor="text1"/>
          <w:sz w:val="22"/>
          <w:szCs w:val="22"/>
          <w:lang w:eastAsia="ja-JP"/>
        </w:rPr>
        <w:t xml:space="preserve">Nevertheless, relatively few studies have characterized the </w:t>
      </w:r>
      <w:r w:rsidRPr="005E6B7C">
        <w:rPr>
          <w:rFonts w:asciiTheme="majorHAnsi" w:eastAsia="Times New Roman" w:hAnsiTheme="majorHAnsi" w:cstheme="majorHAnsi"/>
          <w:color w:val="000000" w:themeColor="text1"/>
          <w:sz w:val="22"/>
          <w:szCs w:val="22"/>
          <w:lang w:eastAsia="ja-JP"/>
        </w:rPr>
        <w:t xml:space="preserve">chemical composition and bioactivity of </w:t>
      </w:r>
      <w:r w:rsidRPr="005E6B7C">
        <w:rPr>
          <w:rFonts w:asciiTheme="majorHAnsi" w:eastAsia="Times New Roman" w:hAnsiTheme="majorHAnsi" w:cstheme="majorHAnsi"/>
          <w:i/>
          <w:color w:val="000000" w:themeColor="text1"/>
          <w:sz w:val="22"/>
          <w:szCs w:val="22"/>
        </w:rPr>
        <w:t>L. terminata</w:t>
      </w:r>
      <w:r w:rsidRPr="005E6B7C">
        <w:rPr>
          <w:rFonts w:asciiTheme="majorHAnsi" w:eastAsia="Times New Roman" w:hAnsiTheme="majorHAnsi" w:cstheme="majorHAnsi"/>
          <w:color w:val="000000" w:themeColor="text1"/>
          <w:sz w:val="22"/>
          <w:szCs w:val="22"/>
          <w:lang w:eastAsia="ja-JP"/>
        </w:rPr>
        <w:t xml:space="preserve"> propolis.</w:t>
      </w:r>
      <w:r w:rsidRPr="005E6B7C">
        <w:rPr>
          <w:rFonts w:asciiTheme="majorHAnsi" w:eastAsia="Times New Roman" w:hAnsiTheme="majorHAnsi" w:cstheme="majorHAnsi"/>
          <w:color w:val="000000" w:themeColor="text1"/>
          <w:sz w:val="22"/>
          <w:szCs w:val="22"/>
        </w:rPr>
        <w:t xml:space="preserve"> The </w:t>
      </w:r>
      <w:r w:rsidRPr="005E6B7C">
        <w:rPr>
          <w:rFonts w:asciiTheme="majorHAnsi" w:eastAsia="Times New Roman" w:hAnsiTheme="majorHAnsi" w:cstheme="majorHAnsi"/>
          <w:i/>
          <w:iCs/>
          <w:color w:val="000000" w:themeColor="text1"/>
          <w:sz w:val="22"/>
          <w:szCs w:val="22"/>
        </w:rPr>
        <w:t>L. terminata</w:t>
      </w:r>
      <w:r w:rsidRPr="005E6B7C">
        <w:rPr>
          <w:rFonts w:asciiTheme="majorHAnsi" w:eastAsia="Times New Roman" w:hAnsiTheme="majorHAnsi" w:cstheme="majorHAnsi"/>
          <w:color w:val="000000" w:themeColor="text1"/>
          <w:sz w:val="22"/>
          <w:szCs w:val="22"/>
        </w:rPr>
        <w:t xml:space="preserve"> propolis extract in Thailand, containing xanthone compounds, displayed weak cytotoxic, antioxidant, and anti-diabetic activities [7],[8]. Using the GC/MS method, Popova et al. reported that </w:t>
      </w:r>
      <w:r w:rsidRPr="005E6B7C">
        <w:rPr>
          <w:rFonts w:asciiTheme="majorHAnsi" w:eastAsia="Times New Roman" w:hAnsiTheme="majorHAnsi" w:cstheme="majorHAnsi"/>
          <w:i/>
          <w:iCs/>
          <w:color w:val="000000" w:themeColor="text1"/>
          <w:sz w:val="22"/>
          <w:szCs w:val="22"/>
        </w:rPr>
        <w:t>L. terminata</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Times New Roman" w:hAnsiTheme="majorHAnsi" w:cstheme="majorHAnsi"/>
          <w:iCs/>
          <w:color w:val="000000" w:themeColor="text1"/>
          <w:sz w:val="22"/>
          <w:szCs w:val="22"/>
        </w:rPr>
        <w:t>propolis</w:t>
      </w:r>
      <w:r w:rsidRPr="005E6B7C">
        <w:rPr>
          <w:rFonts w:asciiTheme="majorHAnsi" w:eastAsia="Times New Roman" w:hAnsiTheme="majorHAnsi" w:cstheme="majorHAnsi"/>
          <w:color w:val="000000" w:themeColor="text1"/>
          <w:sz w:val="22"/>
          <w:szCs w:val="22"/>
          <w:lang w:eastAsia="ja-JP"/>
        </w:rPr>
        <w:t xml:space="preserve"> samples in Vietnam had cardanols, fatty acids, and triterpenes with antibacterial effect [9].</w:t>
      </w:r>
      <w:r w:rsidRPr="005E6B7C">
        <w:rPr>
          <w:rFonts w:asciiTheme="majorHAnsi" w:eastAsia="Times New Roman" w:hAnsiTheme="majorHAnsi" w:cstheme="majorHAnsi"/>
          <w:color w:val="000000" w:themeColor="text1"/>
          <w:sz w:val="22"/>
          <w:szCs w:val="22"/>
        </w:rPr>
        <w:t xml:space="preserve"> There has been no isolation study of natural compounds from </w:t>
      </w:r>
      <w:r w:rsidRPr="005E6B7C">
        <w:rPr>
          <w:rFonts w:asciiTheme="majorHAnsi" w:eastAsia="Times New Roman" w:hAnsiTheme="majorHAnsi" w:cstheme="majorHAnsi"/>
          <w:i/>
          <w:color w:val="000000" w:themeColor="text1"/>
          <w:sz w:val="22"/>
          <w:szCs w:val="22"/>
        </w:rPr>
        <w:t>L. terminata</w:t>
      </w:r>
      <w:r w:rsidRPr="005E6B7C">
        <w:rPr>
          <w:rFonts w:asciiTheme="majorHAnsi" w:eastAsia="Times New Roman" w:hAnsiTheme="majorHAnsi" w:cstheme="majorHAnsi"/>
          <w:iCs/>
          <w:color w:val="000000" w:themeColor="text1"/>
          <w:sz w:val="22"/>
          <w:szCs w:val="22"/>
        </w:rPr>
        <w:t xml:space="preserve"> propolis in Vietnam so far</w:t>
      </w:r>
      <w:r w:rsidRPr="005E6B7C">
        <w:rPr>
          <w:rFonts w:asciiTheme="majorHAnsi" w:eastAsia="Times New Roman" w:hAnsiTheme="majorHAnsi" w:cstheme="majorHAnsi"/>
          <w:color w:val="000000" w:themeColor="text1"/>
          <w:sz w:val="22"/>
          <w:szCs w:val="22"/>
        </w:rPr>
        <w:t xml:space="preserve">. In our ongoing research on natural compounds and bioactive substances of stingless bee propolis, we report herein our first investigation on chemical constituents from </w:t>
      </w:r>
      <w:r w:rsidRPr="005E6B7C">
        <w:rPr>
          <w:rFonts w:asciiTheme="majorHAnsi" w:eastAsia="Times New Roman" w:hAnsiTheme="majorHAnsi" w:cstheme="majorHAnsi"/>
          <w:i/>
          <w:color w:val="000000" w:themeColor="text1"/>
          <w:sz w:val="22"/>
          <w:szCs w:val="22"/>
        </w:rPr>
        <w:t xml:space="preserve">L. terminata </w:t>
      </w:r>
      <w:r w:rsidRPr="005E6B7C">
        <w:rPr>
          <w:rFonts w:asciiTheme="majorHAnsi" w:eastAsia="Times New Roman" w:hAnsiTheme="majorHAnsi" w:cstheme="majorHAnsi"/>
          <w:color w:val="000000" w:themeColor="text1"/>
          <w:sz w:val="22"/>
          <w:szCs w:val="22"/>
        </w:rPr>
        <w:t xml:space="preserve">propolis collected in Van Duc, Gia Lai province. </w:t>
      </w:r>
    </w:p>
    <w:p w14:paraId="5BC919B6"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4CEC3555" w14:textId="77777777" w:rsidR="00E049CB" w:rsidRPr="005E6B7C" w:rsidRDefault="00E049CB" w:rsidP="008C0D47">
      <w:pPr>
        <w:tabs>
          <w:tab w:val="left" w:pos="270"/>
          <w:tab w:val="left" w:pos="540"/>
          <w:tab w:val="left" w:pos="9270"/>
        </w:tabs>
        <w:snapToGrid w:val="0"/>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2.1. Materials</w:t>
      </w:r>
    </w:p>
    <w:p w14:paraId="1CC6CC08" w14:textId="31D24A2A" w:rsidR="00E049CB" w:rsidRPr="005E6B7C" w:rsidRDefault="00E049CB" w:rsidP="008C0D47">
      <w:pPr>
        <w:tabs>
          <w:tab w:val="left" w:pos="270"/>
          <w:tab w:val="left" w:pos="540"/>
          <w:tab w:val="left" w:pos="9270"/>
        </w:tabs>
        <w:snapToGrid w:val="0"/>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propolis sample was collected from a stingless bees hive in beekeeping house at Van Duc town, Gia Lai province, Vietnam, in 2024. The stingless bee species was identified as </w:t>
      </w:r>
      <w:r w:rsidRPr="005E6B7C">
        <w:rPr>
          <w:rFonts w:asciiTheme="majorHAnsi" w:eastAsia="Yu Mincho" w:hAnsiTheme="majorHAnsi" w:cstheme="majorHAnsi"/>
          <w:i/>
          <w:color w:val="000000" w:themeColor="text1"/>
          <w:sz w:val="22"/>
          <w:szCs w:val="22"/>
          <w:lang w:eastAsia="ja-JP"/>
        </w:rPr>
        <w:t>Lepidotrigona terminata</w:t>
      </w:r>
      <w:r w:rsidRPr="005E6B7C">
        <w:rPr>
          <w:rFonts w:asciiTheme="majorHAnsi" w:eastAsia="Yu Mincho" w:hAnsiTheme="majorHAnsi" w:cstheme="majorHAnsi"/>
          <w:color w:val="000000" w:themeColor="text1"/>
          <w:sz w:val="22"/>
          <w:szCs w:val="22"/>
          <w:lang w:eastAsia="ja-JP"/>
        </w:rPr>
        <w:t xml:space="preserve"> (Smith, 1878) by Prof. Nguyen Thi Phuong Lien and Dr. Tran Thi Ngat, Institute of Biology, Vietnam Academy of Science and Technology. Voucher specimens were deposited at the Department of Insect Ecology, Institute of Biology, Vietnam Academy of Science and Technology.</w:t>
      </w:r>
    </w:p>
    <w:p w14:paraId="118E13B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General experimental procedures</w:t>
      </w:r>
    </w:p>
    <w:p w14:paraId="12963D67" w14:textId="6B740333"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ESI-MS spectra were recorded on an Agilent 1260 series single quadrupole LC/MS system </w:t>
      </w:r>
      <w:r w:rsidRPr="005E6B7C">
        <w:rPr>
          <w:rFonts w:asciiTheme="majorHAnsi" w:eastAsia="Yu Mincho" w:hAnsiTheme="majorHAnsi" w:cstheme="majorHAnsi"/>
          <w:color w:val="000000" w:themeColor="text1"/>
          <w:sz w:val="22"/>
          <w:szCs w:val="22"/>
          <w:lang w:eastAsia="ja-JP"/>
        </w:rPr>
        <w:lastRenderedPageBreak/>
        <w:t>(Agilent, CA, USA). NMR spectra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HSQC, HMBC, </w:t>
      </w:r>
      <w:r w:rsidR="0044085B" w:rsidRPr="005E6B7C">
        <w:rPr>
          <w:rFonts w:asciiTheme="majorHAnsi" w:eastAsia="Yu Mincho" w:hAnsiTheme="majorHAnsi" w:cstheme="majorHAnsi"/>
          <w:color w:val="000000" w:themeColor="text1"/>
          <w:sz w:val="22"/>
          <w:szCs w:val="22"/>
          <w:lang w:eastAsia="ja-JP"/>
        </w:rPr>
        <w:t xml:space="preserve">and </w:t>
      </w:r>
      <w:r w:rsidRPr="005E6B7C">
        <w:rPr>
          <w:rFonts w:asciiTheme="majorHAnsi" w:eastAsia="Yu Mincho" w:hAnsiTheme="majorHAnsi" w:cstheme="majorHAnsi"/>
          <w:color w:val="000000" w:themeColor="text1"/>
          <w:sz w:val="22"/>
          <w:szCs w:val="22"/>
          <w:lang w:eastAsia="ja-JP"/>
        </w:rPr>
        <w:t xml:space="preserve">NOESY) were obtained on Bruker AVANCE III HD 500 MHz or Bruker AVANCE NEO 600 MHz spectrometers (Bruker, Billerica, MA, USA) with tetramethylsilane as the internal standard. Column chromatography (CC) was performed on normal 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(230-400 mesh, Merck) and </w:t>
      </w:r>
      <w:r w:rsidR="005A1BB2" w:rsidRPr="005E6B7C">
        <w:rPr>
          <w:rFonts w:asciiTheme="majorHAnsi" w:eastAsia="Yu Mincho" w:hAnsiTheme="majorHAnsi" w:cstheme="majorHAnsi"/>
          <w:color w:val="000000" w:themeColor="text1"/>
          <w:sz w:val="22"/>
          <w:szCs w:val="22"/>
          <w:lang w:eastAsia="ja-JP"/>
        </w:rPr>
        <w:t xml:space="preserve">Sephadex LH20. Thin layer chromatography </w:t>
      </w:r>
      <w:r w:rsidR="00EA6E3E" w:rsidRPr="005E6B7C">
        <w:rPr>
          <w:rFonts w:asciiTheme="majorHAnsi" w:eastAsia="Yu Mincho" w:hAnsiTheme="majorHAnsi" w:cstheme="majorHAnsi"/>
          <w:color w:val="000000" w:themeColor="text1"/>
          <w:sz w:val="22"/>
          <w:szCs w:val="22"/>
          <w:lang w:eastAsia="ja-JP"/>
        </w:rPr>
        <w:t>was</w:t>
      </w:r>
      <w:r w:rsidR="00EA6E3E" w:rsidRPr="005E6B7C">
        <w:rPr>
          <w:rFonts w:asciiTheme="majorHAnsi" w:eastAsia="Yu Mincho" w:hAnsiTheme="majorHAnsi" w:cstheme="majorHAnsi"/>
          <w:color w:val="000000" w:themeColor="text1"/>
          <w:sz w:val="22"/>
          <w:szCs w:val="22"/>
          <w:lang w:val="vi-VN" w:eastAsia="ja-JP"/>
        </w:rPr>
        <w:t xml:space="preserve"> </w:t>
      </w:r>
      <w:r w:rsidR="005A1BB2" w:rsidRPr="005E6B7C">
        <w:rPr>
          <w:rFonts w:asciiTheme="majorHAnsi" w:eastAsia="Yu Mincho" w:hAnsiTheme="majorHAnsi" w:cstheme="majorHAnsi"/>
          <w:color w:val="000000" w:themeColor="text1"/>
          <w:sz w:val="22"/>
          <w:szCs w:val="22"/>
          <w:lang w:eastAsia="ja-JP"/>
        </w:rPr>
        <w:t xml:space="preserve">performed on </w:t>
      </w:r>
      <w:r w:rsidR="005A1BB2" w:rsidRPr="005E6B7C">
        <w:rPr>
          <w:rFonts w:asciiTheme="majorHAnsi" w:eastAsia="Yu Mincho" w:hAnsiTheme="majorHAnsi" w:cstheme="majorHAnsi"/>
          <w:i/>
          <w:iCs/>
          <w:color w:val="000000" w:themeColor="text1"/>
          <w:sz w:val="22"/>
          <w:szCs w:val="22"/>
          <w:lang w:eastAsia="ja-JP"/>
        </w:rPr>
        <w:t>silica gel</w:t>
      </w:r>
      <w:r w:rsidR="005A1BB2" w:rsidRPr="005E6B7C">
        <w:rPr>
          <w:rFonts w:asciiTheme="majorHAnsi" w:eastAsia="Yu Mincho" w:hAnsiTheme="majorHAnsi" w:cstheme="majorHAnsi"/>
          <w:color w:val="000000" w:themeColor="text1"/>
          <w:sz w:val="22"/>
          <w:szCs w:val="22"/>
          <w:lang w:eastAsia="ja-JP"/>
        </w:rPr>
        <w:t xml:space="preserve"> 60 F</w:t>
      </w:r>
      <w:r w:rsidR="005A1BB2" w:rsidRPr="005E6B7C">
        <w:rPr>
          <w:rFonts w:asciiTheme="majorHAnsi" w:eastAsia="Yu Mincho" w:hAnsiTheme="majorHAnsi" w:cstheme="majorHAnsi"/>
          <w:color w:val="000000" w:themeColor="text1"/>
          <w:sz w:val="22"/>
          <w:szCs w:val="22"/>
          <w:vertAlign w:val="subscript"/>
          <w:lang w:eastAsia="ja-JP"/>
        </w:rPr>
        <w:t>254</w:t>
      </w:r>
      <w:r w:rsidR="005A1BB2" w:rsidRPr="005E6B7C">
        <w:rPr>
          <w:rFonts w:asciiTheme="majorHAnsi" w:eastAsia="Yu Mincho" w:hAnsiTheme="majorHAnsi" w:cstheme="majorHAnsi"/>
          <w:color w:val="000000" w:themeColor="text1"/>
          <w:sz w:val="22"/>
          <w:szCs w:val="22"/>
          <w:lang w:eastAsia="ja-JP"/>
        </w:rPr>
        <w:t xml:space="preserve"> and RP-18 F</w:t>
      </w:r>
      <w:r w:rsidR="005A1BB2" w:rsidRPr="005E6B7C">
        <w:rPr>
          <w:rFonts w:asciiTheme="majorHAnsi" w:eastAsia="Yu Mincho" w:hAnsiTheme="majorHAnsi" w:cstheme="majorHAnsi"/>
          <w:color w:val="000000" w:themeColor="text1"/>
          <w:sz w:val="22"/>
          <w:szCs w:val="22"/>
          <w:vertAlign w:val="subscript"/>
          <w:lang w:eastAsia="ja-JP"/>
        </w:rPr>
        <w:t>254</w:t>
      </w:r>
      <w:r w:rsidR="007A051F" w:rsidRPr="005E6B7C">
        <w:rPr>
          <w:rFonts w:asciiTheme="majorHAnsi" w:eastAsia="Yu Mincho" w:hAnsiTheme="majorHAnsi" w:cstheme="majorHAnsi"/>
          <w:color w:val="000000" w:themeColor="text1"/>
          <w:sz w:val="22"/>
          <w:szCs w:val="22"/>
          <w:lang w:eastAsia="ja-JP"/>
        </w:rPr>
        <w:t>S</w:t>
      </w:r>
      <w:r w:rsidR="005A1BB2"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Compounds were visualized by spraying with 10% sulfuric acid in EtOH and heating. </w:t>
      </w:r>
    </w:p>
    <w:p w14:paraId="2B0C5EB8" w14:textId="77777777" w:rsidR="005A1BB2" w:rsidRPr="005E6B7C" w:rsidRDefault="005A1BB2" w:rsidP="005A1BB2">
      <w:pPr>
        <w:tabs>
          <w:tab w:val="left" w:pos="270"/>
          <w:tab w:val="left" w:pos="426"/>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2.3. Extraction and isolation</w:t>
      </w:r>
    </w:p>
    <w:p w14:paraId="149A70F8" w14:textId="4303FC86" w:rsidR="005A1BB2" w:rsidRPr="005E6B7C" w:rsidRDefault="005A1BB2" w:rsidP="005A1BB2">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The propolis sample (500 g) was macerated and extracted with 90% EtOH </w:t>
      </w:r>
      <w:r w:rsidRPr="005E6B7C">
        <w:rPr>
          <w:rFonts w:asciiTheme="majorHAnsi" w:eastAsia="Yu Mincho" w:hAnsiTheme="majorHAnsi" w:cstheme="majorHAnsi"/>
          <w:color w:val="000000" w:themeColor="text1"/>
          <w:sz w:val="22"/>
          <w:szCs w:val="22"/>
          <w:lang w:eastAsia="ja-JP"/>
        </w:rPr>
        <w:t xml:space="preserve">(4 times × 5 L for 48 h) </w:t>
      </w:r>
      <w:r w:rsidRPr="005E6B7C">
        <w:rPr>
          <w:rFonts w:asciiTheme="majorHAnsi" w:eastAsia="Times New Roman" w:hAnsiTheme="majorHAnsi" w:cstheme="majorHAnsi"/>
          <w:color w:val="000000" w:themeColor="text1"/>
          <w:sz w:val="22"/>
          <w:szCs w:val="22"/>
        </w:rPr>
        <w:t xml:space="preserve">at room temperature. The combined extracts were concentrated under reduced pressure to yield 254 g of a dark brown EtOH extract. The EtOH extract (250 g) was suspended in 800 mL of distilled water and then partitioned with EtOAc (4 × 500 mL). The combined EtOAc extracts were evaporated under reduced pressure to afford the EtOAc extract (165.7 g).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Cs/>
          <w:color w:val="000000" w:themeColor="text1"/>
          <w:sz w:val="22"/>
          <w:szCs w:val="22"/>
          <w:lang w:eastAsia="ja-JP"/>
        </w:rPr>
        <w:t>EtOAc</w:t>
      </w:r>
      <w:r w:rsidRPr="005E6B7C">
        <w:rPr>
          <w:rFonts w:asciiTheme="majorHAnsi" w:eastAsia="Yu Mincho" w:hAnsiTheme="majorHAnsi" w:cstheme="majorHAnsi"/>
          <w:color w:val="000000" w:themeColor="text1"/>
          <w:sz w:val="22"/>
          <w:szCs w:val="22"/>
          <w:lang w:eastAsia="ja-JP"/>
        </w:rPr>
        <w:t xml:space="preserve"> residue (160 g) was applied to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eluted with a solvent gradient of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EtOAc</w:t>
      </w:r>
      <w:r w:rsidRPr="005E6B7C">
        <w:rPr>
          <w:rFonts w:asciiTheme="majorHAnsi" w:eastAsia="Yu Mincho" w:hAnsiTheme="majorHAnsi" w:cstheme="majorHAnsi"/>
          <w:color w:val="000000" w:themeColor="text1"/>
          <w:sz w:val="22"/>
          <w:szCs w:val="22"/>
          <w:lang w:eastAsia="ja-JP"/>
        </w:rPr>
        <w:t xml:space="preserve"> (100:1 to 0:100) to yield 12 fractions (E1-E12). Fraction E3 (63.0 g) was chromatographed by normal phase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EtOAc, 19</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to give 11 fractions </w:t>
      </w:r>
      <w:r w:rsidR="003F5D23"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E3.1-E3.11</w:t>
      </w:r>
      <w:r w:rsidR="003F5D23"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Fraction E3.6 (1.8 g) was separated by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6</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to yield ten fractions E3.6.1-E3.6.10. Fraction E3.6.1 (85.3 mg) was </w:t>
      </w:r>
      <w:r w:rsidRPr="005E6B7C">
        <w:rPr>
          <w:rFonts w:asciiTheme="majorHAnsi" w:eastAsia="Yu Mincho" w:hAnsiTheme="majorHAnsi" w:cstheme="majorHAnsi"/>
          <w:color w:val="000000" w:themeColor="text1"/>
          <w:sz w:val="22"/>
          <w:szCs w:val="22"/>
          <w:shd w:val="clear" w:color="auto" w:fill="FFFFFF"/>
          <w:lang w:eastAsia="ja-JP"/>
        </w:rPr>
        <w:t xml:space="preserve">then purified </w:t>
      </w:r>
      <w:r w:rsidRPr="005E6B7C">
        <w:rPr>
          <w:rFonts w:asciiTheme="majorHAnsi" w:eastAsia="Yu Mincho" w:hAnsiTheme="majorHAnsi" w:cstheme="majorHAnsi"/>
          <w:color w:val="000000" w:themeColor="text1"/>
          <w:sz w:val="22"/>
          <w:szCs w:val="22"/>
          <w:lang w:eastAsia="ja-JP"/>
        </w:rPr>
        <w:t xml:space="preserve">by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EtOAc</w:t>
      </w:r>
      <w:r w:rsidRPr="005E6B7C">
        <w:rPr>
          <w:rFonts w:asciiTheme="majorHAnsi" w:eastAsia="Yu Mincho" w:hAnsiTheme="majorHAnsi" w:cstheme="majorHAnsi"/>
          <w:iCs/>
          <w:color w:val="000000" w:themeColor="text1"/>
          <w:sz w:val="22"/>
          <w:szCs w:val="22"/>
          <w:lang w:eastAsia="ja-JP"/>
        </w:rPr>
        <w:t>, 8</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to </w:t>
      </w:r>
      <w:r w:rsidRPr="005E6B7C">
        <w:rPr>
          <w:rFonts w:asciiTheme="majorHAnsi" w:eastAsia="Yu Mincho" w:hAnsiTheme="majorHAnsi" w:cstheme="majorHAnsi"/>
          <w:color w:val="000000" w:themeColor="text1"/>
          <w:sz w:val="22"/>
          <w:szCs w:val="22"/>
          <w:shd w:val="clear" w:color="auto" w:fill="FFFFFF"/>
          <w:lang w:eastAsia="ja-JP"/>
        </w:rPr>
        <w:t>afford </w:t>
      </w:r>
      <w:r w:rsidRPr="005E6B7C">
        <w:rPr>
          <w:rFonts w:asciiTheme="majorHAnsi" w:eastAsia="Yu Mincho" w:hAnsiTheme="majorHAnsi" w:cstheme="majorHAnsi"/>
          <w:b/>
          <w:bCs/>
          <w:color w:val="000000" w:themeColor="text1"/>
          <w:sz w:val="22"/>
          <w:szCs w:val="22"/>
          <w:shd w:val="clear" w:color="auto" w:fill="FFFFFF"/>
          <w:lang w:eastAsia="ja-JP"/>
        </w:rPr>
        <w:t>3</w:t>
      </w:r>
      <w:r w:rsidRPr="005E6B7C">
        <w:rPr>
          <w:rFonts w:asciiTheme="majorHAnsi" w:eastAsia="Yu Mincho" w:hAnsiTheme="majorHAnsi" w:cstheme="majorHAnsi"/>
          <w:color w:val="000000" w:themeColor="text1"/>
          <w:sz w:val="22"/>
          <w:szCs w:val="22"/>
          <w:shd w:val="clear" w:color="auto" w:fill="FFFFFF"/>
          <w:lang w:eastAsia="ja-JP"/>
        </w:rPr>
        <w:t xml:space="preserve"> (7.0 mg). </w:t>
      </w:r>
      <w:r w:rsidRPr="005E6B7C">
        <w:rPr>
          <w:rFonts w:asciiTheme="majorHAnsi" w:eastAsia="Times New Roman" w:hAnsiTheme="majorHAnsi" w:cstheme="majorHAnsi"/>
          <w:color w:val="000000" w:themeColor="text1"/>
          <w:sz w:val="22"/>
          <w:szCs w:val="22"/>
        </w:rPr>
        <w:t xml:space="preserve">Fraction </w:t>
      </w:r>
      <w:r w:rsidR="00EA6E3E" w:rsidRPr="005E6B7C">
        <w:rPr>
          <w:rFonts w:asciiTheme="majorHAnsi" w:eastAsia="Times New Roman" w:hAnsiTheme="majorHAnsi" w:cstheme="majorHAnsi"/>
          <w:color w:val="000000" w:themeColor="text1"/>
          <w:sz w:val="22"/>
          <w:szCs w:val="22"/>
        </w:rPr>
        <w:t>E</w:t>
      </w:r>
      <w:r w:rsidRPr="005E6B7C">
        <w:rPr>
          <w:rFonts w:asciiTheme="majorHAnsi" w:eastAsia="Times New Roman" w:hAnsiTheme="majorHAnsi" w:cstheme="majorHAnsi"/>
          <w:color w:val="000000" w:themeColor="text1"/>
          <w:sz w:val="22"/>
          <w:szCs w:val="22"/>
        </w:rPr>
        <w:t xml:space="preserve">3.9 (450 mg) was subjected to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003F5D23"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19</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y</w:t>
      </w:r>
      <w:r w:rsidRPr="005E6B7C">
        <w:rPr>
          <w:rFonts w:asciiTheme="majorHAnsi" w:eastAsia="Times New Roman" w:hAnsiTheme="majorHAnsi" w:cstheme="majorHAnsi"/>
          <w:color w:val="000000" w:themeColor="text1"/>
          <w:sz w:val="22"/>
          <w:szCs w:val="22"/>
        </w:rPr>
        <w:t xml:space="preserve">ielding 11 sub-fractions E3.9.1-E3.9.11. Fraction </w:t>
      </w:r>
      <w:r w:rsidR="00EA6E3E" w:rsidRPr="005E6B7C">
        <w:rPr>
          <w:rFonts w:asciiTheme="majorHAnsi" w:eastAsia="Times New Roman" w:hAnsiTheme="majorHAnsi" w:cstheme="majorHAnsi"/>
          <w:color w:val="000000" w:themeColor="text1"/>
          <w:sz w:val="22"/>
          <w:szCs w:val="22"/>
        </w:rPr>
        <w:t>E</w:t>
      </w:r>
      <w:r w:rsidRPr="005E6B7C">
        <w:rPr>
          <w:rFonts w:asciiTheme="majorHAnsi" w:eastAsia="Times New Roman" w:hAnsiTheme="majorHAnsi" w:cstheme="majorHAnsi"/>
          <w:color w:val="000000" w:themeColor="text1"/>
          <w:sz w:val="22"/>
          <w:szCs w:val="22"/>
        </w:rPr>
        <w:t xml:space="preserve">3.9.6 (50 mg) was further purified by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xml:space="preserve"> 19</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rPr>
        <w:t>to give </w:t>
      </w:r>
      <w:r w:rsidRPr="005E6B7C">
        <w:rPr>
          <w:rFonts w:asciiTheme="majorHAnsi" w:eastAsia="Times New Roman" w:hAnsiTheme="majorHAnsi" w:cstheme="majorHAnsi"/>
          <w:b/>
          <w:bCs/>
          <w:color w:val="000000" w:themeColor="text1"/>
          <w:sz w:val="22"/>
          <w:szCs w:val="22"/>
        </w:rPr>
        <w:t>1</w:t>
      </w:r>
      <w:r w:rsidRPr="005E6B7C">
        <w:rPr>
          <w:rFonts w:asciiTheme="majorHAnsi" w:eastAsia="Times New Roman" w:hAnsiTheme="majorHAnsi" w:cstheme="majorHAnsi"/>
          <w:color w:val="000000" w:themeColor="text1"/>
          <w:sz w:val="22"/>
          <w:szCs w:val="22"/>
        </w:rPr>
        <w:t xml:space="preserve"> (3.6 mg). Fraction 3.10 (100 mg) was separated by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19</w:t>
      </w:r>
      <w:r w:rsidRPr="005E6B7C">
        <w:rPr>
          <w:rFonts w:asciiTheme="majorHAnsi" w:eastAsia="Yu Mincho" w:hAnsiTheme="majorHAnsi" w:cstheme="majorHAnsi"/>
          <w:color w:val="000000" w:themeColor="text1"/>
          <w:sz w:val="22"/>
          <w:szCs w:val="22"/>
          <w:lang w:eastAsia="ja-JP"/>
        </w:rPr>
        <w:t xml:space="preserve">:1,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rPr>
        <w:t>to afford </w:t>
      </w:r>
      <w:r w:rsidRPr="005E6B7C">
        <w:rPr>
          <w:rFonts w:asciiTheme="majorHAnsi" w:eastAsia="Times New Roman" w:hAnsiTheme="majorHAnsi" w:cstheme="majorHAnsi"/>
          <w:b/>
          <w:bCs/>
          <w:color w:val="000000" w:themeColor="text1"/>
          <w:sz w:val="22"/>
          <w:szCs w:val="22"/>
        </w:rPr>
        <w:t>2</w:t>
      </w:r>
      <w:r w:rsidRPr="005E6B7C">
        <w:rPr>
          <w:rFonts w:asciiTheme="majorHAnsi" w:eastAsia="Times New Roman" w:hAnsiTheme="majorHAnsi" w:cstheme="majorHAnsi"/>
          <w:color w:val="000000" w:themeColor="text1"/>
          <w:sz w:val="22"/>
          <w:szCs w:val="22"/>
        </w:rPr>
        <w:t xml:space="preserve"> (15.6 mg). </w:t>
      </w:r>
      <w:r w:rsidRPr="005E6B7C">
        <w:rPr>
          <w:rFonts w:asciiTheme="majorHAnsi" w:eastAsia="Yu Mincho" w:hAnsiTheme="majorHAnsi" w:cstheme="majorHAnsi"/>
          <w:color w:val="000000" w:themeColor="text1"/>
          <w:sz w:val="22"/>
          <w:szCs w:val="22"/>
          <w:shd w:val="clear" w:color="auto" w:fill="FFFFFF"/>
          <w:lang w:eastAsia="ja-JP"/>
        </w:rPr>
        <w:t>Fraction </w:t>
      </w:r>
      <w:r w:rsidRPr="005E6B7C">
        <w:rPr>
          <w:rFonts w:asciiTheme="majorHAnsi" w:eastAsia="Yu Mincho" w:hAnsiTheme="majorHAnsi" w:cstheme="majorHAnsi"/>
          <w:bCs/>
          <w:color w:val="000000" w:themeColor="text1"/>
          <w:sz w:val="22"/>
          <w:szCs w:val="22"/>
          <w:shd w:val="clear" w:color="auto" w:fill="FFFFFF"/>
          <w:lang w:eastAsia="ja-JP"/>
        </w:rPr>
        <w:t>E8</w:t>
      </w:r>
      <w:r w:rsidRPr="005E6B7C">
        <w:rPr>
          <w:rFonts w:asciiTheme="majorHAnsi" w:eastAsia="Yu Mincho" w:hAnsiTheme="majorHAnsi" w:cstheme="majorHAnsi"/>
          <w:color w:val="000000" w:themeColor="text1"/>
          <w:sz w:val="22"/>
          <w:szCs w:val="22"/>
          <w:shd w:val="clear" w:color="auto" w:fill="FFFFFF"/>
          <w:lang w:eastAsia="ja-JP"/>
        </w:rPr>
        <w:t xml:space="preserve"> (8.96 g) was separated on a normal-phase </w:t>
      </w:r>
      <w:r w:rsidRPr="005E6B7C">
        <w:rPr>
          <w:rFonts w:asciiTheme="majorHAnsi" w:eastAsia="Yu Mincho" w:hAnsiTheme="majorHAnsi" w:cstheme="majorHAnsi"/>
          <w:i/>
          <w:iCs/>
          <w:color w:val="000000" w:themeColor="text1"/>
          <w:sz w:val="22"/>
          <w:szCs w:val="22"/>
          <w:shd w:val="clear" w:color="auto" w:fill="FFFFFF"/>
          <w:lang w:eastAsia="ja-JP"/>
        </w:rPr>
        <w:t>silica gel</w:t>
      </w:r>
      <w:r w:rsidRPr="005E6B7C">
        <w:rPr>
          <w:rFonts w:asciiTheme="majorHAnsi" w:eastAsia="Yu Mincho" w:hAnsiTheme="majorHAnsi" w:cstheme="majorHAnsi"/>
          <w:color w:val="000000" w:themeColor="text1"/>
          <w:sz w:val="22"/>
          <w:szCs w:val="22"/>
          <w:shd w:val="clear" w:color="auto" w:fill="FFFFFF"/>
          <w:lang w:eastAsia="ja-JP"/>
        </w:rPr>
        <w:t xml:space="preserve"> column, eluted with a gradient solvent system of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EtOAc</w:t>
      </w:r>
      <w:r w:rsidRPr="005E6B7C">
        <w:rPr>
          <w:rFonts w:asciiTheme="majorHAnsi" w:eastAsia="Yu Mincho" w:hAnsiTheme="majorHAnsi" w:cstheme="majorHAnsi"/>
          <w:color w:val="000000" w:themeColor="text1"/>
          <w:sz w:val="22"/>
          <w:szCs w:val="22"/>
          <w:shd w:val="clear" w:color="auto" w:fill="FFFFFF"/>
          <w:lang w:eastAsia="ja-JP"/>
        </w:rPr>
        <w:t xml:space="preserve"> (7:1 to 3:1), yielding 12 sub-fractions </w:t>
      </w:r>
      <w:r w:rsidR="00C911A1" w:rsidRPr="005E6B7C">
        <w:rPr>
          <w:rFonts w:asciiTheme="majorHAnsi" w:eastAsia="Yu Mincho" w:hAnsiTheme="majorHAnsi" w:cstheme="majorHAnsi"/>
          <w:color w:val="000000" w:themeColor="text1"/>
          <w:sz w:val="22"/>
          <w:szCs w:val="22"/>
          <w:shd w:val="clear" w:color="auto" w:fill="FFFFFF"/>
          <w:lang w:eastAsia="ja-JP"/>
        </w:rPr>
        <w:t>(</w:t>
      </w:r>
      <w:r w:rsidRPr="005E6B7C">
        <w:rPr>
          <w:rFonts w:asciiTheme="majorHAnsi" w:eastAsia="Yu Mincho" w:hAnsiTheme="majorHAnsi" w:cstheme="majorHAnsi"/>
          <w:bCs/>
          <w:color w:val="000000" w:themeColor="text1"/>
          <w:sz w:val="22"/>
          <w:szCs w:val="22"/>
          <w:shd w:val="clear" w:color="auto" w:fill="FFFFFF"/>
          <w:lang w:eastAsia="ja-JP"/>
        </w:rPr>
        <w:t>E8.1</w:t>
      </w:r>
      <w:r w:rsidRPr="005E6B7C">
        <w:rPr>
          <w:rFonts w:asciiTheme="majorHAnsi" w:eastAsia="Yu Mincho" w:hAnsiTheme="majorHAnsi" w:cstheme="majorHAnsi"/>
          <w:color w:val="000000" w:themeColor="text1"/>
          <w:sz w:val="22"/>
          <w:szCs w:val="22"/>
          <w:shd w:val="clear" w:color="auto" w:fill="FFFFFF"/>
          <w:lang w:eastAsia="ja-JP"/>
        </w:rPr>
        <w:t> to </w:t>
      </w:r>
      <w:r w:rsidRPr="005E6B7C">
        <w:rPr>
          <w:rFonts w:asciiTheme="majorHAnsi" w:eastAsia="Yu Mincho" w:hAnsiTheme="majorHAnsi" w:cstheme="majorHAnsi"/>
          <w:bCs/>
          <w:color w:val="000000" w:themeColor="text1"/>
          <w:sz w:val="22"/>
          <w:szCs w:val="22"/>
          <w:shd w:val="clear" w:color="auto" w:fill="FFFFFF"/>
          <w:lang w:eastAsia="ja-JP"/>
        </w:rPr>
        <w:t>E8.12</w:t>
      </w:r>
      <w:r w:rsidR="00C911A1" w:rsidRPr="005E6B7C">
        <w:rPr>
          <w:rFonts w:asciiTheme="majorHAnsi" w:eastAsia="Yu Mincho" w:hAnsiTheme="majorHAnsi" w:cstheme="majorHAnsi"/>
          <w:bCs/>
          <w:color w:val="000000" w:themeColor="text1"/>
          <w:sz w:val="22"/>
          <w:szCs w:val="22"/>
          <w:shd w:val="clear" w:color="auto" w:fill="FFFFFF"/>
          <w:lang w:eastAsia="ja-JP"/>
        </w:rPr>
        <w:t>)</w:t>
      </w:r>
      <w:r w:rsidRPr="005E6B7C">
        <w:rPr>
          <w:rFonts w:asciiTheme="majorHAnsi" w:eastAsia="Yu Mincho" w:hAnsiTheme="majorHAnsi" w:cstheme="majorHAnsi"/>
          <w:color w:val="000000" w:themeColor="text1"/>
          <w:sz w:val="22"/>
          <w:szCs w:val="22"/>
          <w:shd w:val="clear" w:color="auto" w:fill="FFFFFF"/>
          <w:lang w:eastAsia="ja-JP"/>
        </w:rPr>
        <w:t>. Fraction </w:t>
      </w:r>
      <w:r w:rsidRPr="005E6B7C">
        <w:rPr>
          <w:rFonts w:asciiTheme="majorHAnsi" w:eastAsia="Yu Mincho" w:hAnsiTheme="majorHAnsi" w:cstheme="majorHAnsi"/>
          <w:bCs/>
          <w:color w:val="000000" w:themeColor="text1"/>
          <w:sz w:val="22"/>
          <w:szCs w:val="22"/>
          <w:shd w:val="clear" w:color="auto" w:fill="FFFFFF"/>
          <w:lang w:eastAsia="ja-JP"/>
        </w:rPr>
        <w:t>E8.7</w:t>
      </w:r>
      <w:r w:rsidRPr="005E6B7C">
        <w:rPr>
          <w:rFonts w:asciiTheme="majorHAnsi" w:eastAsia="Yu Mincho" w:hAnsiTheme="majorHAnsi" w:cstheme="majorHAnsi"/>
          <w:color w:val="000000" w:themeColor="text1"/>
          <w:sz w:val="22"/>
          <w:szCs w:val="22"/>
          <w:shd w:val="clear" w:color="auto" w:fill="FFFFFF"/>
          <w:lang w:eastAsia="ja-JP"/>
        </w:rPr>
        <w:t xml:space="preserve"> (2.98 g) was </w:t>
      </w:r>
      <w:r w:rsidRPr="005E6B7C">
        <w:rPr>
          <w:rFonts w:asciiTheme="majorHAnsi" w:eastAsia="Yu Mincho" w:hAnsiTheme="majorHAnsi" w:cstheme="majorHAnsi"/>
          <w:color w:val="000000" w:themeColor="text1"/>
          <w:sz w:val="22"/>
          <w:szCs w:val="22"/>
          <w:lang w:eastAsia="ja-JP"/>
        </w:rPr>
        <w:t>chromatographed</w:t>
      </w:r>
      <w:r w:rsidRPr="005E6B7C">
        <w:rPr>
          <w:rFonts w:asciiTheme="majorHAnsi" w:eastAsia="Yu Mincho" w:hAnsiTheme="majorHAnsi" w:cstheme="majorHAnsi"/>
          <w:color w:val="000000" w:themeColor="text1"/>
          <w:sz w:val="22"/>
          <w:szCs w:val="22"/>
          <w:shd w:val="clear" w:color="auto" w:fill="FFFFFF"/>
          <w:lang w:eastAsia="ja-JP"/>
        </w:rPr>
        <w:t xml:space="preserve"> on normal-phase </w:t>
      </w:r>
      <w:r w:rsidRPr="005E6B7C">
        <w:rPr>
          <w:rFonts w:asciiTheme="majorHAnsi" w:eastAsia="Yu Mincho" w:hAnsiTheme="majorHAnsi" w:cstheme="majorHAnsi"/>
          <w:i/>
          <w:iCs/>
          <w:color w:val="000000" w:themeColor="text1"/>
          <w:sz w:val="22"/>
          <w:szCs w:val="22"/>
          <w:shd w:val="clear" w:color="auto" w:fill="FFFFFF"/>
          <w:lang w:eastAsia="ja-JP"/>
        </w:rPr>
        <w:t>silica gel</w:t>
      </w:r>
      <w:r w:rsidRPr="005E6B7C">
        <w:rPr>
          <w:rFonts w:asciiTheme="majorHAnsi" w:eastAsia="Yu Mincho" w:hAnsiTheme="majorHAnsi" w:cstheme="majorHAnsi"/>
          <w:color w:val="000000" w:themeColor="text1"/>
          <w:sz w:val="22"/>
          <w:szCs w:val="22"/>
          <w:shd w:val="clear" w:color="auto" w:fill="FFFFFF"/>
          <w:lang w:eastAsia="ja-JP"/>
        </w:rPr>
        <w:t xml:space="preserve"> CC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iCs/>
          <w:color w:val="000000" w:themeColor="text1"/>
          <w:sz w:val="22"/>
          <w:szCs w:val="22"/>
          <w:lang w:eastAsia="ja-JP"/>
        </w:rPr>
        <w:t>, 9</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color w:val="000000" w:themeColor="text1"/>
          <w:sz w:val="22"/>
          <w:szCs w:val="22"/>
          <w:shd w:val="clear" w:color="auto" w:fill="FFFFFF"/>
          <w:lang w:eastAsia="ja-JP"/>
        </w:rPr>
        <w:t xml:space="preserve">, to afford </w:t>
      </w:r>
      <w:r w:rsidRPr="005E6B7C">
        <w:rPr>
          <w:rFonts w:asciiTheme="majorHAnsi" w:eastAsia="Yu Mincho" w:hAnsiTheme="majorHAnsi" w:cstheme="majorHAnsi"/>
          <w:b/>
          <w:color w:val="000000" w:themeColor="text1"/>
          <w:sz w:val="22"/>
          <w:szCs w:val="22"/>
          <w:shd w:val="clear" w:color="auto" w:fill="FFFFFF"/>
          <w:lang w:eastAsia="ja-JP"/>
        </w:rPr>
        <w:t>4</w:t>
      </w:r>
      <w:r w:rsidRPr="005E6B7C">
        <w:rPr>
          <w:rFonts w:asciiTheme="majorHAnsi" w:eastAsia="Yu Mincho" w:hAnsiTheme="majorHAnsi" w:cstheme="majorHAnsi"/>
          <w:color w:val="000000" w:themeColor="text1"/>
          <w:sz w:val="22"/>
          <w:szCs w:val="22"/>
          <w:shd w:val="clear" w:color="auto" w:fill="FFFFFF"/>
          <w:lang w:eastAsia="ja-JP"/>
        </w:rPr>
        <w:t> (3.6 mg). Fraction </w:t>
      </w:r>
      <w:r w:rsidRPr="005E6B7C">
        <w:rPr>
          <w:rFonts w:asciiTheme="majorHAnsi" w:eastAsia="Yu Mincho" w:hAnsiTheme="majorHAnsi" w:cstheme="majorHAnsi"/>
          <w:bCs/>
          <w:color w:val="000000" w:themeColor="text1"/>
          <w:sz w:val="22"/>
          <w:szCs w:val="22"/>
          <w:shd w:val="clear" w:color="auto" w:fill="FFFFFF"/>
          <w:lang w:eastAsia="ja-JP"/>
        </w:rPr>
        <w:t>E8.10</w:t>
      </w:r>
      <w:r w:rsidRPr="005E6B7C">
        <w:rPr>
          <w:rFonts w:asciiTheme="majorHAnsi" w:eastAsia="Yu Mincho" w:hAnsiTheme="majorHAnsi" w:cstheme="majorHAnsi"/>
          <w:color w:val="000000" w:themeColor="text1"/>
          <w:sz w:val="22"/>
          <w:szCs w:val="22"/>
          <w:shd w:val="clear" w:color="auto" w:fill="FFFFFF"/>
          <w:lang w:eastAsia="ja-JP"/>
        </w:rPr>
        <w:t xml:space="preserve"> (2.98 g) was purified on normal-phase </w:t>
      </w:r>
      <w:r w:rsidRPr="005E6B7C">
        <w:rPr>
          <w:rFonts w:asciiTheme="majorHAnsi" w:eastAsia="Yu Mincho" w:hAnsiTheme="majorHAnsi" w:cstheme="majorHAnsi"/>
          <w:i/>
          <w:iCs/>
          <w:color w:val="000000" w:themeColor="text1"/>
          <w:sz w:val="22"/>
          <w:szCs w:val="22"/>
          <w:shd w:val="clear" w:color="auto" w:fill="FFFFFF"/>
          <w:lang w:eastAsia="ja-JP"/>
        </w:rPr>
        <w:t>silica gel</w:t>
      </w:r>
      <w:r w:rsidRPr="005E6B7C">
        <w:rPr>
          <w:rFonts w:asciiTheme="majorHAnsi" w:eastAsia="Yu Mincho" w:hAnsiTheme="majorHAnsi" w:cstheme="majorHAnsi"/>
          <w:color w:val="000000" w:themeColor="text1"/>
          <w:sz w:val="22"/>
          <w:szCs w:val="22"/>
          <w:shd w:val="clear" w:color="auto" w:fill="FFFFFF"/>
          <w:lang w:eastAsia="ja-JP"/>
        </w:rPr>
        <w:t xml:space="preserve"> CC (CH</w:t>
      </w:r>
      <w:r w:rsidRPr="005E6B7C">
        <w:rPr>
          <w:rFonts w:asciiTheme="majorHAnsi" w:eastAsia="Yu Mincho" w:hAnsiTheme="majorHAnsi" w:cstheme="majorHAnsi"/>
          <w:color w:val="000000" w:themeColor="text1"/>
          <w:sz w:val="22"/>
          <w:szCs w:val="22"/>
          <w:shd w:val="clear" w:color="auto" w:fill="FFFFFF"/>
          <w:vertAlign w:val="subscript"/>
          <w:lang w:eastAsia="ja-JP"/>
        </w:rPr>
        <w:t>2</w:t>
      </w:r>
      <w:r w:rsidRPr="005E6B7C">
        <w:rPr>
          <w:rFonts w:asciiTheme="majorHAnsi" w:eastAsia="Yu Mincho" w:hAnsiTheme="majorHAnsi" w:cstheme="majorHAnsi"/>
          <w:color w:val="000000" w:themeColor="text1"/>
          <w:sz w:val="22"/>
          <w:szCs w:val="22"/>
          <w:shd w:val="clear" w:color="auto" w:fill="FFFFFF"/>
          <w:lang w:eastAsia="ja-JP"/>
        </w:rPr>
        <w:t>Cl</w:t>
      </w:r>
      <w:r w:rsidRPr="005E6B7C">
        <w:rPr>
          <w:rFonts w:asciiTheme="majorHAnsi" w:eastAsia="Yu Mincho" w:hAnsiTheme="majorHAnsi" w:cstheme="majorHAnsi"/>
          <w:color w:val="000000" w:themeColor="text1"/>
          <w:sz w:val="22"/>
          <w:szCs w:val="22"/>
          <w:shd w:val="clear" w:color="auto" w:fill="FFFFFF"/>
          <w:vertAlign w:val="subscript"/>
          <w:lang w:eastAsia="ja-JP"/>
        </w:rPr>
        <w:t>2</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shd w:val="clear" w:color="auto" w:fill="FFFFFF"/>
          <w:lang w:eastAsia="ja-JP"/>
        </w:rPr>
        <w:t>EtOAc, 9:1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shd w:val="clear" w:color="auto" w:fill="FFFFFF"/>
          <w:lang w:eastAsia="ja-JP"/>
        </w:rPr>
        <w:t xml:space="preserve">), and then subsequently on Sephadex LH20 CC (MeOH) to give </w:t>
      </w:r>
      <w:r w:rsidRPr="005E6B7C">
        <w:rPr>
          <w:rFonts w:asciiTheme="majorHAnsi" w:eastAsia="Yu Mincho" w:hAnsiTheme="majorHAnsi" w:cstheme="majorHAnsi"/>
          <w:b/>
          <w:color w:val="000000" w:themeColor="text1"/>
          <w:sz w:val="22"/>
          <w:szCs w:val="22"/>
          <w:shd w:val="clear" w:color="auto" w:fill="FFFFFF"/>
          <w:lang w:eastAsia="ja-JP"/>
        </w:rPr>
        <w:t>6</w:t>
      </w:r>
      <w:r w:rsidRPr="005E6B7C">
        <w:rPr>
          <w:rFonts w:asciiTheme="majorHAnsi" w:eastAsia="Yu Mincho" w:hAnsiTheme="majorHAnsi" w:cstheme="majorHAnsi"/>
          <w:color w:val="000000" w:themeColor="text1"/>
          <w:sz w:val="22"/>
          <w:szCs w:val="22"/>
          <w:shd w:val="clear" w:color="auto" w:fill="FFFFFF"/>
          <w:lang w:eastAsia="ja-JP"/>
        </w:rPr>
        <w:t> (5.4 mg). Fraction </w:t>
      </w:r>
      <w:r w:rsidRPr="005E6B7C">
        <w:rPr>
          <w:rFonts w:asciiTheme="majorHAnsi" w:eastAsia="Yu Mincho" w:hAnsiTheme="majorHAnsi" w:cstheme="majorHAnsi"/>
          <w:bCs/>
          <w:color w:val="000000" w:themeColor="text1"/>
          <w:sz w:val="22"/>
          <w:szCs w:val="22"/>
          <w:shd w:val="clear" w:color="auto" w:fill="FFFFFF"/>
          <w:lang w:eastAsia="ja-JP"/>
        </w:rPr>
        <w:t>E8.11</w:t>
      </w:r>
      <w:r w:rsidRPr="005E6B7C">
        <w:rPr>
          <w:rFonts w:asciiTheme="majorHAnsi" w:eastAsia="Yu Mincho" w:hAnsiTheme="majorHAnsi" w:cstheme="majorHAnsi"/>
          <w:color w:val="000000" w:themeColor="text1"/>
          <w:sz w:val="22"/>
          <w:szCs w:val="22"/>
          <w:shd w:val="clear" w:color="auto" w:fill="FFFFFF"/>
          <w:lang w:eastAsia="ja-JP"/>
        </w:rPr>
        <w:t xml:space="preserve"> (197 mg) was purified on Sephadex LH20 CC (MeOH) to yield </w:t>
      </w:r>
      <w:r w:rsidRPr="005E6B7C">
        <w:rPr>
          <w:rFonts w:asciiTheme="majorHAnsi" w:eastAsia="Yu Mincho" w:hAnsiTheme="majorHAnsi" w:cstheme="majorHAnsi"/>
          <w:b/>
          <w:color w:val="000000" w:themeColor="text1"/>
          <w:sz w:val="22"/>
          <w:szCs w:val="22"/>
          <w:shd w:val="clear" w:color="auto" w:fill="FFFFFF"/>
          <w:lang w:eastAsia="ja-JP"/>
        </w:rPr>
        <w:t>5</w:t>
      </w:r>
      <w:r w:rsidRPr="005E6B7C">
        <w:rPr>
          <w:rFonts w:asciiTheme="majorHAnsi" w:eastAsia="Yu Mincho" w:hAnsiTheme="majorHAnsi" w:cstheme="majorHAnsi"/>
          <w:color w:val="000000" w:themeColor="text1"/>
          <w:sz w:val="22"/>
          <w:szCs w:val="22"/>
          <w:shd w:val="clear" w:color="auto" w:fill="FFFFFF"/>
          <w:lang w:eastAsia="ja-JP"/>
        </w:rPr>
        <w:t> (10.3 mg).</w:t>
      </w:r>
    </w:p>
    <w:p w14:paraId="03EC8F72" w14:textId="1DF92AC1"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Graci</w:t>
      </w:r>
      <w:r w:rsidR="00EA6E3E" w:rsidRPr="005E6B7C">
        <w:rPr>
          <w:rFonts w:asciiTheme="majorHAnsi" w:eastAsia="Yu Mincho" w:hAnsiTheme="majorHAnsi" w:cstheme="majorHAnsi"/>
          <w:b/>
          <w:i/>
          <w:color w:val="000000" w:themeColor="text1"/>
          <w:sz w:val="22"/>
          <w:szCs w:val="22"/>
          <w:lang w:eastAsia="ja-JP"/>
        </w:rPr>
        <w:t>l</w:t>
      </w:r>
      <w:r w:rsidRPr="005E6B7C">
        <w:rPr>
          <w:rFonts w:asciiTheme="majorHAnsi" w:eastAsia="Yu Mincho" w:hAnsiTheme="majorHAnsi" w:cstheme="majorHAnsi"/>
          <w:b/>
          <w:i/>
          <w:color w:val="000000" w:themeColor="text1"/>
          <w:sz w:val="22"/>
          <w:szCs w:val="22"/>
          <w:lang w:eastAsia="ja-JP"/>
        </w:rPr>
        <w:t>ol A (1):</w:t>
      </w:r>
      <w:r w:rsidRPr="005E6B7C">
        <w:rPr>
          <w:rFonts w:asciiTheme="majorHAnsi" w:eastAsia="Yu Mincho" w:hAnsiTheme="majorHAnsi" w:cstheme="majorHAnsi"/>
          <w:color w:val="000000" w:themeColor="text1"/>
          <w:sz w:val="22"/>
          <w:szCs w:val="22"/>
          <w:lang w:eastAsia="ja-JP"/>
        </w:rPr>
        <w:t xml:space="preserve"> white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433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00C911A1"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ee Table 1.</w:t>
      </w:r>
    </w:p>
    <w:p w14:paraId="2547C87B" w14:textId="69FC0EC5"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Dipterocarpol (2):</w:t>
      </w:r>
      <w:r w:rsidRPr="005E6B7C">
        <w:rPr>
          <w:rFonts w:asciiTheme="majorHAnsi" w:eastAsia="Yu Mincho" w:hAnsiTheme="majorHAnsi" w:cstheme="majorHAnsi"/>
          <w:color w:val="000000" w:themeColor="text1"/>
          <w:sz w:val="22"/>
          <w:szCs w:val="22"/>
          <w:lang w:eastAsia="ja-JP"/>
        </w:rPr>
        <w:t xml:space="preserve"> white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433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(500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00C911A1"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 xml:space="preserve">ee Table 1. </w:t>
      </w:r>
    </w:p>
    <w:p w14:paraId="4DE2D5C6" w14:textId="1E2C70EC"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8-Hydroxylabdan-15-oic acid</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b/>
          <w:color w:val="000000" w:themeColor="text1"/>
          <w:sz w:val="22"/>
          <w:szCs w:val="22"/>
        </w:rPr>
        <w:t>3</w:t>
      </w:r>
      <w:r w:rsidRPr="005E6B7C">
        <w:rPr>
          <w:rFonts w:asciiTheme="majorHAnsi" w:eastAsia="Times New Roman" w:hAnsiTheme="majorHAnsi" w:cstheme="majorHAnsi"/>
          <w:color w:val="000000" w:themeColor="text1"/>
          <w:sz w:val="22"/>
          <w:szCs w:val="22"/>
          <w:lang w:val="vi-VN"/>
        </w:rPr>
        <w:t>)</w:t>
      </w:r>
      <w:r w:rsidRPr="005E6B7C">
        <w:rPr>
          <w:rFonts w:asciiTheme="majorHAnsi" w:eastAsia="Times New Roman" w:hAnsiTheme="majorHAnsi" w:cstheme="majorHAnsi"/>
          <w:color w:val="000000" w:themeColor="text1"/>
          <w:sz w:val="22"/>
          <w:szCs w:val="22"/>
        </w:rPr>
        <w:t>:</w:t>
      </w:r>
      <w:r w:rsidRPr="005E6B7C">
        <w:rPr>
          <w:rFonts w:asciiTheme="majorHAnsi" w:eastAsia="Yu Mincho" w:hAnsiTheme="majorHAnsi" w:cstheme="majorHAnsi"/>
          <w:color w:val="000000" w:themeColor="text1"/>
          <w:sz w:val="22"/>
          <w:szCs w:val="22"/>
          <w:lang w:eastAsia="ja-JP"/>
        </w:rPr>
        <w:t xml:space="preserve"> yellow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323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00C911A1"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ee Table 2.</w:t>
      </w:r>
    </w:p>
    <w:p w14:paraId="122FE486" w14:textId="3B3A1C7B"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i/>
          <w:color w:val="000000" w:themeColor="text1"/>
          <w:sz w:val="22"/>
          <w:szCs w:val="22"/>
        </w:rPr>
        <w:t>(</w:t>
      </w:r>
      <w:r w:rsidRPr="005E6B7C">
        <w:rPr>
          <w:rFonts w:asciiTheme="majorHAnsi" w:eastAsia="Yu Mincho" w:hAnsiTheme="majorHAnsi" w:cstheme="majorHAnsi"/>
          <w:b/>
          <w:i/>
          <w:color w:val="000000" w:themeColor="text1"/>
          <w:sz w:val="22"/>
          <w:szCs w:val="22"/>
          <w:lang w:eastAsia="ja-JP"/>
        </w:rPr>
        <w:t>E)-1-(2'-Methoxy-4',5'-dihydroxyphenyl)-3-phenylprop-2-ene (4):</w:t>
      </w:r>
      <w:r w:rsidRPr="005E6B7C">
        <w:rPr>
          <w:rFonts w:asciiTheme="majorHAnsi" w:eastAsia="Yu Mincho" w:hAnsiTheme="majorHAnsi" w:cstheme="majorHAnsi"/>
          <w:color w:val="000000" w:themeColor="text1"/>
          <w:sz w:val="22"/>
          <w:szCs w:val="22"/>
          <w:lang w:eastAsia="ja-JP"/>
        </w:rPr>
        <w:t xml:space="preserve"> red oil;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00C911A1"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 xml:space="preserve">ee Table 2. </w:t>
      </w:r>
    </w:p>
    <w:p w14:paraId="525EA91E" w14:textId="7253DF2C"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(+)-Eudesmin (5):</w:t>
      </w:r>
      <w:r w:rsidRPr="005E6B7C">
        <w:rPr>
          <w:rFonts w:asciiTheme="majorHAnsi" w:eastAsia="Yu Mincho" w:hAnsiTheme="majorHAnsi" w:cstheme="majorHAnsi"/>
          <w:color w:val="000000" w:themeColor="text1"/>
          <w:sz w:val="22"/>
          <w:szCs w:val="22"/>
          <w:lang w:val="pt-BR" w:eastAsia="ja-JP"/>
        </w:rPr>
        <w:t xml:space="preserve"> yellow solid; [</w:t>
      </w:r>
      <w:r w:rsidRPr="005E6B7C">
        <w:rPr>
          <w:rFonts w:asciiTheme="majorHAnsi" w:eastAsia="Yu Mincho" w:hAnsiTheme="majorHAnsi" w:cstheme="majorHAnsi"/>
          <w:color w:val="000000" w:themeColor="text1"/>
          <w:sz w:val="22"/>
          <w:szCs w:val="22"/>
          <w:lang w:eastAsia="ja-JP"/>
        </w:rPr>
        <w:t>α</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vertAlign w:val="subscript"/>
          <w:lang w:val="pt-BR" w:eastAsia="ja-JP"/>
        </w:rPr>
        <w:t>D</w:t>
      </w:r>
      <w:r w:rsidRPr="005E6B7C">
        <w:rPr>
          <w:rFonts w:asciiTheme="majorHAnsi" w:eastAsia="Yu Mincho" w:hAnsiTheme="majorHAnsi" w:cstheme="majorHAnsi"/>
          <w:color w:val="000000" w:themeColor="text1"/>
          <w:sz w:val="22"/>
          <w:szCs w:val="22"/>
          <w:vertAlign w:val="superscript"/>
          <w:lang w:val="pt-BR" w:eastAsia="ja-JP"/>
        </w:rPr>
        <w:t>25</w:t>
      </w:r>
      <w:r w:rsidRPr="005E6B7C">
        <w:rPr>
          <w:rFonts w:asciiTheme="majorHAnsi" w:eastAsia="Yu Mincho" w:hAnsiTheme="majorHAnsi" w:cstheme="majorHAnsi"/>
          <w:color w:val="000000" w:themeColor="text1"/>
          <w:sz w:val="22"/>
          <w:szCs w:val="22"/>
          <w:lang w:val="pt-BR" w:eastAsia="ja-JP"/>
        </w:rPr>
        <w:t xml:space="preserve"> + 48</w:t>
      </w:r>
      <w:r w:rsidRPr="005E6B7C">
        <w:rPr>
          <w:rFonts w:asciiTheme="majorHAnsi" w:eastAsia="Yu Mincho" w:hAnsiTheme="majorHAnsi" w:cstheme="majorHAnsi"/>
          <w:color w:val="000000" w:themeColor="text1"/>
          <w:sz w:val="22"/>
          <w:szCs w:val="22"/>
          <w:vertAlign w:val="superscript"/>
          <w:lang w:val="pt-BR" w:eastAsia="ja-JP"/>
        </w:rPr>
        <w:t>o</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c</w:t>
      </w:r>
      <w:r w:rsidRPr="005E6B7C">
        <w:rPr>
          <w:rFonts w:asciiTheme="majorHAnsi" w:eastAsia="Yu Mincho" w:hAnsiTheme="majorHAnsi" w:cstheme="majorHAnsi"/>
          <w:color w:val="000000" w:themeColor="text1"/>
          <w:sz w:val="22"/>
          <w:szCs w:val="22"/>
          <w:lang w:val="pt-BR" w:eastAsia="ja-JP"/>
        </w:rPr>
        <w:t xml:space="preserve"> 0.5, MeOH);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xml:space="preserve"> 387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(500 MHz, CD</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H </w:t>
      </w:r>
      <w:r w:rsidRPr="005E6B7C">
        <w:rPr>
          <w:rFonts w:asciiTheme="majorHAnsi" w:eastAsia="Yu Mincho" w:hAnsiTheme="majorHAnsi" w:cstheme="majorHAnsi"/>
          <w:color w:val="000000" w:themeColor="text1"/>
          <w:sz w:val="22"/>
          <w:szCs w:val="22"/>
          <w:lang w:val="pt-BR" w:eastAsia="ja-JP"/>
        </w:rPr>
        <w:t>7.00 (2H, s, H-2, H-2'), 6.94 (4H, m, H-5, H-5</w:t>
      </w:r>
      <w:r w:rsidR="00851455"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H-6, H-6</w:t>
      </w:r>
      <w:r w:rsidR="00851455"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4.76 (2H, d,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4.5 Hz, H-7, H-7'), 4.26 (2H, m, H-9a, H-9'a), 3.88 (2H, dd,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3.5, 9.0 Hz, H-9b, H-9'b), 3.85 (6H, s, 2 </w:t>
      </w:r>
      <w:r w:rsidR="00C911A1" w:rsidRPr="005E6B7C">
        <w:rPr>
          <w:rFonts w:asciiTheme="majorHAnsi" w:eastAsia="Yu Mincho" w:hAnsiTheme="majorHAnsi" w:cstheme="majorHAnsi"/>
          <w:color w:val="000000" w:themeColor="text1"/>
          <w:sz w:val="22"/>
          <w:szCs w:val="22"/>
          <w:lang w:eastAsia="ja-JP"/>
        </w:rPr>
        <w:sym w:font="Symbol" w:char="F0B4"/>
      </w:r>
      <w:r w:rsidRPr="005E6B7C">
        <w:rPr>
          <w:rFonts w:asciiTheme="majorHAnsi" w:eastAsia="Yu Mincho" w:hAnsiTheme="majorHAnsi" w:cstheme="majorHAnsi"/>
          <w:color w:val="000000" w:themeColor="text1"/>
          <w:sz w:val="22"/>
          <w:szCs w:val="22"/>
          <w:lang w:val="pt-BR" w:eastAsia="ja-JP"/>
        </w:rPr>
        <w:t xml:space="preserve"> OMe), 3.83 (6H, s, 2 </w:t>
      </w:r>
      <w:r w:rsidRPr="005E6B7C">
        <w:rPr>
          <w:rFonts w:asciiTheme="majorHAnsi" w:eastAsia="Yu Mincho" w:hAnsiTheme="majorHAnsi" w:cstheme="majorHAnsi"/>
          <w:color w:val="000000" w:themeColor="text1"/>
          <w:sz w:val="22"/>
          <w:szCs w:val="22"/>
          <w:lang w:eastAsia="ja-JP"/>
        </w:rPr>
        <w:sym w:font="Symbol" w:char="F0B4"/>
      </w:r>
      <w:r w:rsidRPr="005E6B7C">
        <w:rPr>
          <w:rFonts w:asciiTheme="majorHAnsi" w:eastAsia="Yu Mincho" w:hAnsiTheme="majorHAnsi" w:cstheme="majorHAnsi"/>
          <w:color w:val="000000" w:themeColor="text1"/>
          <w:sz w:val="22"/>
          <w:szCs w:val="22"/>
          <w:lang w:val="pt-BR" w:eastAsia="ja-JP"/>
        </w:rPr>
        <w:t xml:space="preserve"> OMe), 3.16 (2H, m, H-8, H-8');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(125 MHz, CD</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C </w:t>
      </w:r>
      <w:r w:rsidRPr="005E6B7C">
        <w:rPr>
          <w:rFonts w:asciiTheme="majorHAnsi" w:eastAsia="Yu Mincho" w:hAnsiTheme="majorHAnsi" w:cstheme="majorHAnsi"/>
          <w:color w:val="000000" w:themeColor="text1"/>
          <w:sz w:val="22"/>
          <w:szCs w:val="22"/>
          <w:lang w:val="pt-BR" w:eastAsia="ja-JP"/>
        </w:rPr>
        <w:t>150.7 (C-3, C-3'), 150.2 (C-4, C-4'), 135.3 (C-1, C-1</w:t>
      </w:r>
      <w:r w:rsidR="00851455"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119.8 (C-6, C-6'), 113.0 (C-5, C-5'), 111.3 (C-2, C-2'), 87.3 (C-7, C-7'), 72.7 (C-9, C-9</w:t>
      </w:r>
      <w:r w:rsidR="00EA6E3E"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56.6 (2 </w:t>
      </w:r>
      <w:r w:rsidR="00C911A1" w:rsidRPr="005E6B7C">
        <w:rPr>
          <w:rFonts w:asciiTheme="majorHAnsi" w:eastAsia="Yu Mincho" w:hAnsiTheme="majorHAnsi" w:cstheme="majorHAnsi"/>
          <w:color w:val="000000" w:themeColor="text1"/>
          <w:sz w:val="22"/>
          <w:szCs w:val="22"/>
          <w:lang w:eastAsia="ja-JP"/>
        </w:rPr>
        <w:sym w:font="Symbol" w:char="F0B4"/>
      </w:r>
      <w:r w:rsidR="00C911A1"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pt-BR" w:eastAsia="ja-JP"/>
        </w:rPr>
        <w:t xml:space="preserve">OMe), 56.5 (2 </w:t>
      </w:r>
      <w:r w:rsidR="00C911A1" w:rsidRPr="005E6B7C">
        <w:rPr>
          <w:rFonts w:asciiTheme="majorHAnsi" w:eastAsia="Yu Mincho" w:hAnsiTheme="majorHAnsi" w:cstheme="majorHAnsi"/>
          <w:color w:val="000000" w:themeColor="text1"/>
          <w:sz w:val="22"/>
          <w:szCs w:val="22"/>
          <w:lang w:eastAsia="ja-JP"/>
        </w:rPr>
        <w:sym w:font="Symbol" w:char="F0B4"/>
      </w:r>
      <w:r w:rsidR="00C911A1"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pt-BR" w:eastAsia="ja-JP"/>
        </w:rPr>
        <w:t>OMe), 55.4 (C-8, C-8').</w:t>
      </w:r>
    </w:p>
    <w:p w14:paraId="148AC5D5" w14:textId="2F3099D4"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(-)-epi-Eudesmin (6):</w:t>
      </w:r>
      <w:r w:rsidRPr="005E6B7C">
        <w:rPr>
          <w:rFonts w:asciiTheme="majorHAnsi" w:eastAsia="Yu Mincho" w:hAnsiTheme="majorHAnsi" w:cstheme="majorHAnsi"/>
          <w:color w:val="000000" w:themeColor="text1"/>
          <w:sz w:val="22"/>
          <w:szCs w:val="22"/>
          <w:lang w:val="pt-BR" w:eastAsia="ja-JP"/>
        </w:rPr>
        <w:t xml:space="preserve"> pale yellow solid; [</w:t>
      </w:r>
      <w:r w:rsidRPr="005E6B7C">
        <w:rPr>
          <w:rFonts w:asciiTheme="majorHAnsi" w:eastAsia="Yu Mincho" w:hAnsiTheme="majorHAnsi" w:cstheme="majorHAnsi"/>
          <w:color w:val="000000" w:themeColor="text1"/>
          <w:sz w:val="22"/>
          <w:szCs w:val="22"/>
          <w:lang w:eastAsia="ja-JP"/>
        </w:rPr>
        <w:t>α</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vertAlign w:val="subscript"/>
          <w:lang w:val="pt-BR" w:eastAsia="ja-JP"/>
        </w:rPr>
        <w:t>D</w:t>
      </w:r>
      <w:r w:rsidRPr="005E6B7C">
        <w:rPr>
          <w:rFonts w:asciiTheme="majorHAnsi" w:eastAsia="Yu Mincho" w:hAnsiTheme="majorHAnsi" w:cstheme="majorHAnsi"/>
          <w:color w:val="000000" w:themeColor="text1"/>
          <w:sz w:val="22"/>
          <w:szCs w:val="22"/>
          <w:vertAlign w:val="superscript"/>
          <w:lang w:val="pt-BR" w:eastAsia="ja-JP"/>
        </w:rPr>
        <w:t>25</w:t>
      </w:r>
      <w:r w:rsidRPr="005E6B7C">
        <w:rPr>
          <w:rFonts w:asciiTheme="majorHAnsi" w:eastAsia="Yu Mincho" w:hAnsiTheme="majorHAnsi" w:cstheme="majorHAnsi"/>
          <w:color w:val="000000" w:themeColor="text1"/>
          <w:sz w:val="22"/>
          <w:szCs w:val="22"/>
          <w:lang w:val="pt-BR" w:eastAsia="ja-JP"/>
        </w:rPr>
        <w:t xml:space="preserve"> -85</w:t>
      </w:r>
      <w:r w:rsidRPr="005E6B7C">
        <w:rPr>
          <w:rFonts w:asciiTheme="majorHAnsi" w:eastAsia="Yu Mincho" w:hAnsiTheme="majorHAnsi" w:cstheme="majorHAnsi"/>
          <w:color w:val="000000" w:themeColor="text1"/>
          <w:sz w:val="22"/>
          <w:szCs w:val="22"/>
          <w:vertAlign w:val="superscript"/>
          <w:lang w:val="pt-BR" w:eastAsia="ja-JP"/>
        </w:rPr>
        <w:t>o</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c</w:t>
      </w:r>
      <w:r w:rsidRPr="005E6B7C">
        <w:rPr>
          <w:rFonts w:asciiTheme="majorHAnsi" w:eastAsia="Yu Mincho" w:hAnsiTheme="majorHAnsi" w:cstheme="majorHAnsi"/>
          <w:color w:val="000000" w:themeColor="text1"/>
          <w:sz w:val="22"/>
          <w:szCs w:val="22"/>
          <w:lang w:val="pt-BR" w:eastAsia="ja-JP"/>
        </w:rPr>
        <w:t xml:space="preserve"> 0.5, CHCl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xml:space="preserve"> 387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H </w:t>
      </w:r>
      <w:r w:rsidRPr="005E6B7C">
        <w:rPr>
          <w:rFonts w:asciiTheme="majorHAnsi" w:eastAsia="Yu Mincho" w:hAnsiTheme="majorHAnsi" w:cstheme="majorHAnsi"/>
          <w:color w:val="000000" w:themeColor="text1"/>
          <w:sz w:val="22"/>
          <w:szCs w:val="22"/>
          <w:lang w:val="pt-BR" w:eastAsia="ja-JP"/>
        </w:rPr>
        <w:t xml:space="preserve">6.94 (1H, </w:t>
      </w:r>
      <w:r w:rsidRPr="005E6B7C">
        <w:rPr>
          <w:rFonts w:asciiTheme="majorHAnsi" w:eastAsia="Yu Mincho" w:hAnsiTheme="majorHAnsi" w:cstheme="majorHAnsi"/>
          <w:iCs/>
          <w:color w:val="000000" w:themeColor="text1"/>
          <w:sz w:val="22"/>
          <w:szCs w:val="22"/>
          <w:lang w:val="pt-BR" w:eastAsia="ja-JP"/>
        </w:rPr>
        <w:t>br s</w:t>
      </w:r>
      <w:r w:rsidRPr="005E6B7C">
        <w:rPr>
          <w:rFonts w:asciiTheme="majorHAnsi" w:eastAsia="Yu Mincho" w:hAnsiTheme="majorHAnsi" w:cstheme="majorHAnsi"/>
          <w:color w:val="000000" w:themeColor="text1"/>
          <w:sz w:val="22"/>
          <w:szCs w:val="22"/>
          <w:lang w:val="pt-BR" w:eastAsia="ja-JP"/>
        </w:rPr>
        <w:t xml:space="preserve">, H-2), 6.92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1.8 Hz, H-2</w:t>
      </w:r>
      <w:r w:rsidR="007D77F4" w:rsidRPr="005E6B7C">
        <w:rPr>
          <w:rFonts w:asciiTheme="majorHAnsi" w:eastAsia="Yu Mincho" w:hAnsiTheme="majorHAnsi" w:cstheme="majorHAnsi"/>
          <w:color w:val="000000" w:themeColor="text1"/>
          <w:sz w:val="22"/>
          <w:szCs w:val="22"/>
          <w:lang w:val="pt-BR" w:eastAsia="ja-JP"/>
        </w:rPr>
        <w:t>'</w:t>
      </w:r>
      <w:r w:rsidR="00851455"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6.90 (1H, </w:t>
      </w:r>
      <w:r w:rsidRPr="005E6B7C">
        <w:rPr>
          <w:rFonts w:asciiTheme="majorHAnsi" w:eastAsia="Yu Mincho" w:hAnsiTheme="majorHAnsi" w:cstheme="majorHAnsi"/>
          <w:iCs/>
          <w:color w:val="000000" w:themeColor="text1"/>
          <w:sz w:val="22"/>
          <w:szCs w:val="22"/>
          <w:lang w:val="pt-BR" w:eastAsia="ja-JP"/>
        </w:rPr>
        <w:t>dd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00851455" w:rsidRPr="005E6B7C">
        <w:rPr>
          <w:rFonts w:asciiTheme="majorHAnsi" w:eastAsia="Yu Mincho" w:hAnsiTheme="majorHAnsi" w:cstheme="majorHAnsi"/>
          <w:color w:val="000000" w:themeColor="text1"/>
          <w:sz w:val="22"/>
          <w:szCs w:val="22"/>
          <w:lang w:val="pt-BR" w:eastAsia="ja-JP"/>
        </w:rPr>
        <w:t xml:space="preserve"> = 1.8,</w:t>
      </w:r>
      <w:r w:rsidRPr="005E6B7C">
        <w:rPr>
          <w:rFonts w:asciiTheme="majorHAnsi" w:eastAsia="Yu Mincho" w:hAnsiTheme="majorHAnsi" w:cstheme="majorHAnsi"/>
          <w:color w:val="000000" w:themeColor="text1"/>
          <w:sz w:val="22"/>
          <w:szCs w:val="22"/>
          <w:lang w:val="pt-BR" w:eastAsia="ja-JP"/>
        </w:rPr>
        <w:t xml:space="preserve"> 8.4 Hz, H-6), 6.86 (1H, </w:t>
      </w:r>
      <w:r w:rsidRPr="005E6B7C">
        <w:rPr>
          <w:rFonts w:asciiTheme="majorHAnsi" w:eastAsia="Yu Mincho" w:hAnsiTheme="majorHAnsi" w:cstheme="majorHAnsi"/>
          <w:iCs/>
          <w:color w:val="000000" w:themeColor="text1"/>
          <w:sz w:val="22"/>
          <w:szCs w:val="22"/>
          <w:lang w:val="pt-BR" w:eastAsia="ja-JP"/>
        </w:rPr>
        <w:t>dd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1.8</w:t>
      </w:r>
      <w:r w:rsidR="00851455"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8.4 Hz, H-6</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xml:space="preserve">), 6.85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8.4 Hz, H-5</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xml:space="preserve">), 6.84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8.4 Hz, H-5), 4.88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5.4 Hz, H-7</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xml:space="preserve">), 4.45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7.2 Hz, H-7), 4.14 (1H,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10.2 Hz, H-9a), 3.91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OMe), 3.90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OMe), 3.89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OMe), 3.88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OMe), 3.86 (2H, </w:t>
      </w:r>
      <w:r w:rsidRPr="005E6B7C">
        <w:rPr>
          <w:rFonts w:asciiTheme="majorHAnsi" w:eastAsia="Yu Mincho" w:hAnsiTheme="majorHAnsi" w:cstheme="majorHAns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 H-9</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xml:space="preserve">a, H-9b), 3.33 (2H, </w:t>
      </w:r>
      <w:r w:rsidRPr="005E6B7C">
        <w:rPr>
          <w:rFonts w:asciiTheme="majorHAnsi" w:eastAsia="Yu Mincho" w:hAnsiTheme="majorHAnsi" w:cstheme="majorHAns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 H- H-9</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b, H-8</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xml:space="preserve">), 2.92 (1H, </w:t>
      </w:r>
      <w:r w:rsidRPr="005E6B7C">
        <w:rPr>
          <w:rFonts w:asciiTheme="majorHAnsi" w:eastAsia="Yu Mincho" w:hAnsiTheme="majorHAnsi" w:cstheme="majorHAns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 xml:space="preserve">, H-8);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(125 MHz, CD</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C </w:t>
      </w:r>
      <w:r w:rsidRPr="005E6B7C">
        <w:rPr>
          <w:rFonts w:asciiTheme="majorHAnsi" w:eastAsia="Yu Mincho" w:hAnsiTheme="majorHAnsi" w:cstheme="majorHAnsi"/>
          <w:color w:val="000000" w:themeColor="text1"/>
          <w:sz w:val="22"/>
          <w:szCs w:val="22"/>
          <w:lang w:val="pt-BR" w:eastAsia="ja-JP"/>
        </w:rPr>
        <w:t>149.3 (C-3), 148.9 (C-3</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148.8 (C-4), 148.1 (C-4</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133.7 (C-1), 131.0 (C-1</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118.5 (C-6), 117.8 (C-6</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111.1 (C-5,C-5</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109.3 (C-2), 109.1 (C-2</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87.7 (C-7), 82.1 (C-7</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 71.1 (C-9), 69.8 (C-9</w:t>
      </w:r>
      <w:r w:rsidRPr="005E6B7C">
        <w:rPr>
          <w:rFonts w:asciiTheme="majorHAnsi" w:eastAsia="Yu Mincho" w:hAnsiTheme="majorHAnsi" w:cstheme="majorHAnsi"/>
          <w:color w:val="000000" w:themeColor="text1"/>
          <w:sz w:val="22"/>
          <w:szCs w:val="22"/>
          <w:lang w:eastAsia="ja-JP"/>
        </w:rPr>
        <w:sym w:font="Symbol" w:char="F0A2"/>
      </w:r>
      <w:r w:rsidR="007D77F4" w:rsidRPr="005E6B7C">
        <w:rPr>
          <w:rFonts w:asciiTheme="majorHAnsi" w:eastAsia="Yu Mincho" w:hAnsiTheme="majorHAnsi" w:cstheme="majorHAnsi"/>
          <w:color w:val="000000" w:themeColor="text1"/>
          <w:sz w:val="22"/>
          <w:szCs w:val="22"/>
          <w:lang w:val="pt-BR" w:eastAsia="ja-JP"/>
        </w:rPr>
        <w:t xml:space="preserve">), 56.0 (2 </w:t>
      </w:r>
      <w:r w:rsidR="007D77F4" w:rsidRPr="005E6B7C">
        <w:rPr>
          <w:rFonts w:asciiTheme="majorHAnsi" w:eastAsia="Yu Mincho" w:hAnsiTheme="majorHAnsi" w:cstheme="majorHAnsi"/>
          <w:color w:val="000000" w:themeColor="text1"/>
          <w:sz w:val="22"/>
          <w:szCs w:val="22"/>
          <w:lang w:eastAsia="ja-JP"/>
        </w:rPr>
        <w:sym w:font="Symbol" w:char="F0B4"/>
      </w:r>
      <w:r w:rsidRPr="005E6B7C">
        <w:rPr>
          <w:rFonts w:asciiTheme="majorHAnsi" w:eastAsia="Yu Mincho" w:hAnsiTheme="majorHAnsi" w:cstheme="majorHAnsi"/>
          <w:color w:val="000000" w:themeColor="text1"/>
          <w:sz w:val="22"/>
          <w:szCs w:val="22"/>
          <w:lang w:val="pt-BR" w:eastAsia="ja-JP"/>
        </w:rPr>
        <w:t xml:space="preserve"> OMe), 55.98 (OMe), 55.95 (OMe), 54.5 (C-8), 50.2 (C-8</w:t>
      </w:r>
      <w:r w:rsidRPr="005E6B7C">
        <w:rPr>
          <w:rFonts w:asciiTheme="majorHAnsi" w:eastAsia="Yu Mincho" w:hAnsiTheme="majorHAnsi" w:cstheme="majorHAnsi"/>
          <w:color w:val="000000" w:themeColor="text1"/>
          <w:sz w:val="22"/>
          <w:szCs w:val="22"/>
          <w:lang w:eastAsia="ja-JP"/>
        </w:rPr>
        <w:sym w:font="Symbol" w:char="F0A2"/>
      </w:r>
      <w:r w:rsidRPr="005E6B7C">
        <w:rPr>
          <w:rFonts w:asciiTheme="majorHAnsi" w:eastAsia="Yu Mincho" w:hAnsiTheme="majorHAnsi" w:cstheme="majorHAnsi"/>
          <w:color w:val="000000" w:themeColor="text1"/>
          <w:sz w:val="22"/>
          <w:szCs w:val="22"/>
          <w:lang w:val="pt-BR" w:eastAsia="ja-JP"/>
        </w:rPr>
        <w:t>).</w:t>
      </w:r>
    </w:p>
    <w:p w14:paraId="2AD43F5E" w14:textId="77777777"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val="pt-BR" w:eastAsia="ja-JP"/>
        </w:rPr>
      </w:pPr>
      <w:r w:rsidRPr="005E6B7C">
        <w:rPr>
          <w:rFonts w:asciiTheme="majorHAnsi" w:eastAsia="Yu Mincho" w:hAnsiTheme="majorHAnsi" w:cstheme="majorHAnsi"/>
          <w:b/>
          <w:bCs/>
          <w:color w:val="000000" w:themeColor="text1"/>
          <w:sz w:val="22"/>
          <w:szCs w:val="22"/>
          <w:lang w:val="pt-BR" w:eastAsia="ja-JP"/>
        </w:rPr>
        <w:t xml:space="preserve">3. Results and discussion </w:t>
      </w:r>
    </w:p>
    <w:p w14:paraId="2B8FBB76" w14:textId="227916C9" w:rsidR="005A1BB2" w:rsidRPr="005E6B7C" w:rsidRDefault="005A1BB2" w:rsidP="005A1BB2">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6"/>
          <w:sz w:val="22"/>
          <w:szCs w:val="22"/>
          <w:lang w:val="pt-BR" w:eastAsia="ja-JP"/>
        </w:rPr>
      </w:pPr>
      <w:r w:rsidRPr="005E6B7C">
        <w:rPr>
          <w:rFonts w:asciiTheme="majorHAnsi" w:eastAsia="Yu Mincho" w:hAnsiTheme="majorHAnsi" w:cstheme="majorHAnsi"/>
          <w:color w:val="000000" w:themeColor="text1"/>
          <w:spacing w:val="6"/>
          <w:sz w:val="22"/>
          <w:szCs w:val="22"/>
          <w:lang w:val="pt-BR" w:eastAsia="ja-JP"/>
        </w:rPr>
        <w:t xml:space="preserve">The ethyl acetate extract of </w:t>
      </w:r>
      <w:r w:rsidR="00EA6E3E" w:rsidRPr="005E6B7C">
        <w:rPr>
          <w:rFonts w:asciiTheme="majorHAnsi" w:eastAsia="Yu Mincho" w:hAnsiTheme="majorHAnsi" w:cstheme="majorHAnsi"/>
          <w:color w:val="000000" w:themeColor="text1"/>
          <w:spacing w:val="6"/>
          <w:sz w:val="22"/>
          <w:szCs w:val="22"/>
          <w:lang w:val="pt-BR" w:eastAsia="ja-JP"/>
        </w:rPr>
        <w:t>the</w:t>
      </w:r>
      <w:r w:rsidR="00EA6E3E" w:rsidRPr="005E6B7C">
        <w:rPr>
          <w:rFonts w:asciiTheme="majorHAnsi" w:eastAsia="Yu Mincho" w:hAnsiTheme="majorHAnsi" w:cstheme="majorHAnsi"/>
          <w:color w:val="000000" w:themeColor="text1"/>
          <w:spacing w:val="6"/>
          <w:sz w:val="22"/>
          <w:szCs w:val="22"/>
          <w:lang w:val="vi-VN" w:eastAsia="ja-JP"/>
        </w:rPr>
        <w:t xml:space="preserve"> </w:t>
      </w:r>
      <w:r w:rsidRPr="005E6B7C">
        <w:rPr>
          <w:rFonts w:asciiTheme="majorHAnsi" w:eastAsia="Yu Mincho" w:hAnsiTheme="majorHAnsi" w:cstheme="majorHAnsi"/>
          <w:color w:val="000000" w:themeColor="text1"/>
          <w:spacing w:val="6"/>
          <w:sz w:val="22"/>
          <w:szCs w:val="22"/>
          <w:lang w:val="pt-BR" w:eastAsia="ja-JP"/>
        </w:rPr>
        <w:t>propolis</w:t>
      </w:r>
      <w:r w:rsidRPr="005E6B7C">
        <w:rPr>
          <w:rFonts w:asciiTheme="majorHAnsi" w:eastAsia="Yu Mincho" w:hAnsiTheme="majorHAnsi" w:cstheme="majorHAnsi"/>
          <w:i/>
          <w:color w:val="000000" w:themeColor="text1"/>
          <w:spacing w:val="6"/>
          <w:sz w:val="22"/>
          <w:szCs w:val="22"/>
          <w:lang w:val="pt-BR" w:eastAsia="ja-JP"/>
        </w:rPr>
        <w:t xml:space="preserve"> </w:t>
      </w:r>
      <w:r w:rsidRPr="005E6B7C">
        <w:rPr>
          <w:rFonts w:asciiTheme="majorHAnsi" w:eastAsia="Yu Mincho" w:hAnsiTheme="majorHAnsi" w:cstheme="majorHAnsi"/>
          <w:color w:val="000000" w:themeColor="text1"/>
          <w:spacing w:val="6"/>
          <w:sz w:val="22"/>
          <w:szCs w:val="22"/>
          <w:lang w:val="pt-BR" w:eastAsia="ja-JP"/>
        </w:rPr>
        <w:t xml:space="preserve">of </w:t>
      </w:r>
      <w:r w:rsidR="00EA6E3E" w:rsidRPr="005E6B7C">
        <w:rPr>
          <w:rFonts w:asciiTheme="majorHAnsi" w:eastAsia="Yu Mincho" w:hAnsiTheme="majorHAnsi" w:cstheme="majorHAnsi"/>
          <w:color w:val="000000" w:themeColor="text1"/>
          <w:spacing w:val="6"/>
          <w:sz w:val="22"/>
          <w:szCs w:val="22"/>
          <w:lang w:val="pt-BR" w:eastAsia="ja-JP"/>
        </w:rPr>
        <w:t>the</w:t>
      </w:r>
      <w:r w:rsidR="00EA6E3E" w:rsidRPr="005E6B7C">
        <w:rPr>
          <w:rFonts w:asciiTheme="majorHAnsi" w:eastAsia="Yu Mincho" w:hAnsiTheme="majorHAnsi" w:cstheme="majorHAnsi"/>
          <w:color w:val="000000" w:themeColor="text1"/>
          <w:spacing w:val="6"/>
          <w:sz w:val="22"/>
          <w:szCs w:val="22"/>
          <w:lang w:val="vi-VN" w:eastAsia="ja-JP"/>
        </w:rPr>
        <w:t xml:space="preserve"> </w:t>
      </w:r>
      <w:r w:rsidRPr="005E6B7C">
        <w:rPr>
          <w:rFonts w:asciiTheme="majorHAnsi" w:eastAsia="Yu Mincho" w:hAnsiTheme="majorHAnsi" w:cstheme="majorHAnsi"/>
          <w:color w:val="000000" w:themeColor="text1"/>
          <w:spacing w:val="6"/>
          <w:sz w:val="22"/>
          <w:szCs w:val="22"/>
          <w:lang w:val="pt-BR" w:eastAsia="ja-JP"/>
        </w:rPr>
        <w:t xml:space="preserve">stingless bee  </w:t>
      </w:r>
      <w:r w:rsidRPr="005E6B7C">
        <w:rPr>
          <w:rFonts w:asciiTheme="majorHAnsi" w:eastAsia="Yu Mincho" w:hAnsiTheme="majorHAnsi" w:cstheme="majorHAnsi"/>
          <w:i/>
          <w:iCs/>
          <w:color w:val="000000" w:themeColor="text1"/>
          <w:spacing w:val="6"/>
          <w:sz w:val="22"/>
          <w:szCs w:val="22"/>
          <w:lang w:val="pt-BR" w:eastAsia="ja-JP"/>
        </w:rPr>
        <w:t xml:space="preserve">L. terminata </w:t>
      </w:r>
      <w:r w:rsidRPr="005E6B7C">
        <w:rPr>
          <w:rFonts w:asciiTheme="majorHAnsi" w:eastAsia="Yu Mincho" w:hAnsiTheme="majorHAnsi" w:cstheme="majorHAnsi"/>
          <w:color w:val="000000" w:themeColor="text1"/>
          <w:spacing w:val="6"/>
          <w:sz w:val="22"/>
          <w:szCs w:val="22"/>
          <w:lang w:val="pt-BR" w:eastAsia="ja-JP"/>
        </w:rPr>
        <w:t>was separated using combined chromatographic methods to afford six compounds</w:t>
      </w:r>
      <w:r w:rsidR="007D77F4" w:rsidRPr="005E6B7C">
        <w:rPr>
          <w:rFonts w:asciiTheme="majorHAnsi" w:eastAsia="Yu Mincho" w:hAnsiTheme="majorHAnsi" w:cstheme="majorHAnsi"/>
          <w:color w:val="000000" w:themeColor="text1"/>
          <w:spacing w:val="6"/>
          <w:sz w:val="22"/>
          <w:szCs w:val="22"/>
          <w:lang w:val="pt-BR" w:eastAsia="ja-JP"/>
        </w:rPr>
        <w:t>,</w:t>
      </w:r>
      <w:r w:rsidRPr="005E6B7C">
        <w:rPr>
          <w:rFonts w:asciiTheme="majorHAnsi" w:eastAsia="Yu Mincho" w:hAnsiTheme="majorHAnsi" w:cstheme="majorHAnsi"/>
          <w:color w:val="000000" w:themeColor="text1"/>
          <w:spacing w:val="6"/>
          <w:sz w:val="22"/>
          <w:szCs w:val="22"/>
          <w:lang w:val="pt-BR" w:eastAsia="ja-JP"/>
        </w:rPr>
        <w:t xml:space="preserve"> including gracilol A (</w:t>
      </w:r>
      <w:r w:rsidRPr="005E6B7C">
        <w:rPr>
          <w:rFonts w:asciiTheme="majorHAnsi" w:eastAsia="Yu Mincho" w:hAnsiTheme="majorHAnsi" w:cstheme="majorHAnsi"/>
          <w:b/>
          <w:color w:val="000000" w:themeColor="text1"/>
          <w:spacing w:val="6"/>
          <w:sz w:val="22"/>
          <w:szCs w:val="22"/>
          <w:lang w:val="pt-BR" w:eastAsia="ja-JP"/>
        </w:rPr>
        <w:t>1</w:t>
      </w:r>
      <w:r w:rsidRPr="005E6B7C">
        <w:rPr>
          <w:rFonts w:asciiTheme="majorHAnsi" w:eastAsia="Yu Mincho" w:hAnsiTheme="majorHAnsi" w:cstheme="majorHAnsi"/>
          <w:color w:val="000000" w:themeColor="text1"/>
          <w:spacing w:val="6"/>
          <w:sz w:val="22"/>
          <w:szCs w:val="22"/>
          <w:lang w:val="pt-BR" w:eastAsia="ja-JP"/>
        </w:rPr>
        <w:t>), dipterocarpol (</w:t>
      </w:r>
      <w:r w:rsidRPr="005E6B7C">
        <w:rPr>
          <w:rFonts w:asciiTheme="majorHAnsi" w:eastAsia="Yu Mincho" w:hAnsiTheme="majorHAnsi" w:cstheme="majorHAnsi"/>
          <w:b/>
          <w:color w:val="000000" w:themeColor="text1"/>
          <w:spacing w:val="6"/>
          <w:sz w:val="22"/>
          <w:szCs w:val="22"/>
          <w:lang w:val="pt-BR" w:eastAsia="ja-JP"/>
        </w:rPr>
        <w:t>2</w:t>
      </w:r>
      <w:r w:rsidRPr="005E6B7C">
        <w:rPr>
          <w:rFonts w:asciiTheme="majorHAnsi" w:eastAsia="Yu Mincho" w:hAnsiTheme="majorHAnsi" w:cstheme="majorHAnsi"/>
          <w:color w:val="000000" w:themeColor="text1"/>
          <w:spacing w:val="6"/>
          <w:sz w:val="22"/>
          <w:szCs w:val="22"/>
          <w:lang w:val="pt-BR" w:eastAsia="ja-JP"/>
        </w:rPr>
        <w:t>), 8-hydroxylabdan-15-oic acid</w:t>
      </w:r>
      <w:r w:rsidRPr="005E6B7C">
        <w:rPr>
          <w:rFonts w:asciiTheme="majorHAnsi" w:eastAsia="Times New Roman" w:hAnsiTheme="majorHAnsi" w:cstheme="majorHAnsi"/>
          <w:color w:val="000000" w:themeColor="text1"/>
          <w:spacing w:val="6"/>
          <w:sz w:val="22"/>
          <w:szCs w:val="22"/>
          <w:lang w:val="vi-VN"/>
        </w:rPr>
        <w:t xml:space="preserve"> (</w:t>
      </w:r>
      <w:r w:rsidRPr="005E6B7C">
        <w:rPr>
          <w:rFonts w:asciiTheme="majorHAnsi" w:eastAsia="Times New Roman" w:hAnsiTheme="majorHAnsi" w:cstheme="majorHAnsi"/>
          <w:b/>
          <w:color w:val="000000" w:themeColor="text1"/>
          <w:spacing w:val="6"/>
          <w:sz w:val="22"/>
          <w:szCs w:val="22"/>
          <w:lang w:val="pt-BR"/>
        </w:rPr>
        <w:t>3</w:t>
      </w:r>
      <w:r w:rsidRPr="005E6B7C">
        <w:rPr>
          <w:rFonts w:asciiTheme="majorHAnsi" w:eastAsia="Times New Roman" w:hAnsiTheme="majorHAnsi" w:cstheme="majorHAnsi"/>
          <w:color w:val="000000" w:themeColor="text1"/>
          <w:spacing w:val="6"/>
          <w:sz w:val="22"/>
          <w:szCs w:val="22"/>
          <w:lang w:val="vi-VN"/>
        </w:rPr>
        <w:t>)</w:t>
      </w:r>
      <w:r w:rsidRPr="005E6B7C">
        <w:rPr>
          <w:rFonts w:asciiTheme="majorHAnsi" w:eastAsia="Times New Roman" w:hAnsiTheme="majorHAnsi" w:cstheme="majorHAnsi"/>
          <w:color w:val="000000" w:themeColor="text1"/>
          <w:spacing w:val="6"/>
          <w:sz w:val="22"/>
          <w:szCs w:val="22"/>
          <w:lang w:val="pt-BR"/>
        </w:rPr>
        <w:t>, (</w:t>
      </w:r>
      <w:r w:rsidRPr="005E6B7C">
        <w:rPr>
          <w:rFonts w:asciiTheme="majorHAnsi" w:eastAsia="Yu Mincho" w:hAnsiTheme="majorHAnsi" w:cstheme="majorHAnsi"/>
          <w:i/>
          <w:color w:val="000000" w:themeColor="text1"/>
          <w:spacing w:val="6"/>
          <w:sz w:val="22"/>
          <w:szCs w:val="22"/>
          <w:lang w:val="pt-BR" w:eastAsia="ja-JP"/>
        </w:rPr>
        <w:t>E</w:t>
      </w:r>
      <w:r w:rsidRPr="005E6B7C">
        <w:rPr>
          <w:rFonts w:asciiTheme="majorHAnsi" w:eastAsia="Yu Mincho" w:hAnsiTheme="majorHAnsi" w:cstheme="majorHAnsi" w:hint="eastAsia"/>
          <w:color w:val="000000" w:themeColor="text1"/>
          <w:spacing w:val="6"/>
          <w:sz w:val="22"/>
          <w:szCs w:val="22"/>
          <w:lang w:val="pt-BR" w:eastAsia="ja-JP"/>
        </w:rPr>
        <w:t>)-1-(</w:t>
      </w:r>
      <w:r w:rsidRPr="005E6B7C">
        <w:rPr>
          <w:rFonts w:asciiTheme="majorHAnsi" w:eastAsia="Yu Mincho" w:hAnsiTheme="majorHAnsi" w:cstheme="majorHAnsi"/>
          <w:color w:val="000000" w:themeColor="text1"/>
          <w:spacing w:val="6"/>
          <w:sz w:val="22"/>
          <w:szCs w:val="22"/>
          <w:lang w:val="pt-BR" w:eastAsia="ja-JP"/>
        </w:rPr>
        <w:t>2′-methoxy-4′,5′-dihydroxyphenyl)</w:t>
      </w:r>
      <w:r w:rsidR="007D77F4" w:rsidRPr="005E6B7C">
        <w:rPr>
          <w:rFonts w:asciiTheme="majorHAnsi" w:eastAsia="Yu Mincho" w:hAnsiTheme="majorHAnsi" w:cstheme="majorHAnsi"/>
          <w:color w:val="000000" w:themeColor="text1"/>
          <w:spacing w:val="6"/>
          <w:sz w:val="22"/>
          <w:szCs w:val="22"/>
          <w:lang w:val="pt-BR" w:eastAsia="ja-JP"/>
        </w:rPr>
        <w:t xml:space="preserve"> </w:t>
      </w:r>
      <w:r w:rsidRPr="005E6B7C">
        <w:rPr>
          <w:rFonts w:asciiTheme="majorHAnsi" w:eastAsia="Yu Mincho" w:hAnsiTheme="majorHAnsi" w:cstheme="majorHAnsi"/>
          <w:color w:val="000000" w:themeColor="text1"/>
          <w:spacing w:val="6"/>
          <w:sz w:val="22"/>
          <w:szCs w:val="22"/>
          <w:lang w:val="pt-BR" w:eastAsia="ja-JP"/>
        </w:rPr>
        <w:t>-3-phenylprop-2-ene</w:t>
      </w:r>
      <w:r w:rsidRPr="005E6B7C">
        <w:rPr>
          <w:rFonts w:asciiTheme="majorHAnsi" w:eastAsia="Yu Mincho" w:hAnsiTheme="majorHAnsi" w:cstheme="majorHAnsi" w:hint="eastAsia"/>
          <w:color w:val="000000" w:themeColor="text1"/>
          <w:spacing w:val="6"/>
          <w:sz w:val="22"/>
          <w:szCs w:val="22"/>
          <w:lang w:val="pt-BR" w:eastAsia="ja-JP"/>
        </w:rPr>
        <w:t xml:space="preserve"> (</w:t>
      </w:r>
      <w:r w:rsidRPr="005E6B7C">
        <w:rPr>
          <w:rFonts w:asciiTheme="majorHAnsi" w:eastAsia="Yu Mincho" w:hAnsiTheme="majorHAnsi" w:cstheme="majorHAnsi"/>
          <w:b/>
          <w:color w:val="000000" w:themeColor="text1"/>
          <w:spacing w:val="6"/>
          <w:sz w:val="22"/>
          <w:szCs w:val="22"/>
          <w:lang w:val="pt-BR" w:eastAsia="ja-JP"/>
        </w:rPr>
        <w:t>4</w:t>
      </w:r>
      <w:r w:rsidRPr="005E6B7C">
        <w:rPr>
          <w:rFonts w:asciiTheme="majorHAnsi" w:eastAsia="Yu Mincho" w:hAnsiTheme="majorHAnsi" w:cstheme="majorHAnsi"/>
          <w:color w:val="000000" w:themeColor="text1"/>
          <w:spacing w:val="6"/>
          <w:sz w:val="22"/>
          <w:szCs w:val="22"/>
          <w:lang w:val="pt-BR" w:eastAsia="ja-JP"/>
        </w:rPr>
        <w:t>), (+)-eudesmin (</w:t>
      </w:r>
      <w:r w:rsidRPr="005E6B7C">
        <w:rPr>
          <w:rFonts w:asciiTheme="majorHAnsi" w:eastAsia="Yu Mincho" w:hAnsiTheme="majorHAnsi" w:cstheme="majorHAnsi"/>
          <w:b/>
          <w:color w:val="000000" w:themeColor="text1"/>
          <w:spacing w:val="6"/>
          <w:sz w:val="22"/>
          <w:szCs w:val="22"/>
          <w:lang w:val="pt-BR" w:eastAsia="ja-JP"/>
        </w:rPr>
        <w:t>5</w:t>
      </w:r>
      <w:r w:rsidRPr="005E6B7C">
        <w:rPr>
          <w:rFonts w:asciiTheme="majorHAnsi" w:eastAsia="Yu Mincho" w:hAnsiTheme="majorHAnsi" w:cstheme="majorHAnsi"/>
          <w:color w:val="000000" w:themeColor="text1"/>
          <w:spacing w:val="6"/>
          <w:sz w:val="22"/>
          <w:szCs w:val="22"/>
          <w:lang w:val="pt-BR" w:eastAsia="ja-JP"/>
        </w:rPr>
        <w:t>)</w:t>
      </w:r>
      <w:r w:rsidR="007D77F4" w:rsidRPr="005E6B7C">
        <w:rPr>
          <w:rFonts w:asciiTheme="majorHAnsi" w:eastAsia="Yu Mincho" w:hAnsiTheme="majorHAnsi" w:cstheme="majorHAnsi"/>
          <w:color w:val="000000" w:themeColor="text1"/>
          <w:spacing w:val="6"/>
          <w:sz w:val="22"/>
          <w:szCs w:val="22"/>
          <w:lang w:val="pt-BR" w:eastAsia="ja-JP"/>
        </w:rPr>
        <w:t>,</w:t>
      </w:r>
      <w:r w:rsidRPr="005E6B7C">
        <w:rPr>
          <w:rFonts w:asciiTheme="majorHAnsi" w:eastAsia="Yu Mincho" w:hAnsiTheme="majorHAnsi" w:cstheme="majorHAnsi"/>
          <w:color w:val="000000" w:themeColor="text1"/>
          <w:spacing w:val="6"/>
          <w:sz w:val="22"/>
          <w:szCs w:val="22"/>
          <w:lang w:val="pt-BR" w:eastAsia="ja-JP"/>
        </w:rPr>
        <w:t xml:space="preserve"> and (-)-</w:t>
      </w:r>
      <w:r w:rsidRPr="005E6B7C">
        <w:rPr>
          <w:rFonts w:asciiTheme="majorHAnsi" w:eastAsia="Yu Mincho" w:hAnsiTheme="majorHAnsi" w:cstheme="majorHAnsi"/>
          <w:i/>
          <w:color w:val="000000" w:themeColor="text1"/>
          <w:spacing w:val="6"/>
          <w:sz w:val="22"/>
          <w:szCs w:val="22"/>
          <w:lang w:val="pt-BR" w:eastAsia="ja-JP"/>
        </w:rPr>
        <w:t>epi</w:t>
      </w:r>
      <w:r w:rsidRPr="005E6B7C">
        <w:rPr>
          <w:rFonts w:asciiTheme="majorHAnsi" w:eastAsia="Yu Mincho" w:hAnsiTheme="majorHAnsi" w:cstheme="majorHAnsi"/>
          <w:color w:val="000000" w:themeColor="text1"/>
          <w:spacing w:val="6"/>
          <w:sz w:val="22"/>
          <w:szCs w:val="22"/>
          <w:lang w:val="pt-BR" w:eastAsia="ja-JP"/>
        </w:rPr>
        <w:t>-eudesmin (</w:t>
      </w:r>
      <w:r w:rsidRPr="005E6B7C">
        <w:rPr>
          <w:rFonts w:asciiTheme="majorHAnsi" w:eastAsia="Yu Mincho" w:hAnsiTheme="majorHAnsi" w:cstheme="majorHAnsi"/>
          <w:b/>
          <w:color w:val="000000" w:themeColor="text1"/>
          <w:spacing w:val="6"/>
          <w:sz w:val="22"/>
          <w:szCs w:val="22"/>
          <w:lang w:val="pt-BR" w:eastAsia="ja-JP"/>
        </w:rPr>
        <w:t>6</w:t>
      </w:r>
      <w:r w:rsidRPr="005E6B7C">
        <w:rPr>
          <w:rFonts w:asciiTheme="majorHAnsi" w:eastAsia="Yu Mincho" w:hAnsiTheme="majorHAnsi" w:cstheme="majorHAnsi"/>
          <w:color w:val="000000" w:themeColor="text1"/>
          <w:spacing w:val="6"/>
          <w:sz w:val="22"/>
          <w:szCs w:val="22"/>
          <w:lang w:val="pt-BR" w:eastAsia="ja-JP"/>
        </w:rPr>
        <w:t>) (Fig. 1).</w:t>
      </w:r>
    </w:p>
    <w:p w14:paraId="06D32634" w14:textId="77777777" w:rsidR="00C50B66" w:rsidRPr="005E6B7C" w:rsidRDefault="00C50B66"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6"/>
          <w:sz w:val="22"/>
          <w:szCs w:val="22"/>
          <w:lang w:val="pt-BR" w:eastAsia="ja-JP"/>
        </w:rPr>
        <w:sectPr w:rsidR="00C50B66" w:rsidRPr="005E6B7C" w:rsidSect="00C50B66">
          <w:type w:val="continuous"/>
          <w:pgSz w:w="10773" w:h="15309" w:code="9"/>
          <w:pgMar w:top="907" w:right="851" w:bottom="1418" w:left="851" w:header="397" w:footer="851" w:gutter="0"/>
          <w:cols w:num="2" w:space="284"/>
          <w:docGrid w:linePitch="360"/>
        </w:sectPr>
      </w:pPr>
    </w:p>
    <w:p w14:paraId="6D6D4FE3" w14:textId="77777777" w:rsidR="00E049CB" w:rsidRPr="005E6B7C" w:rsidRDefault="00C50B66" w:rsidP="008C0D47">
      <w:pPr>
        <w:tabs>
          <w:tab w:val="left" w:pos="270"/>
          <w:tab w:val="left" w:pos="540"/>
          <w:tab w:val="left" w:pos="9270"/>
        </w:tabs>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object w:dxaOrig="9691" w:dyaOrig="5940" w14:anchorId="15061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05pt;height:221.85pt" o:ole="">
            <v:imagedata r:id="rId13" o:title=""/>
          </v:shape>
          <o:OLEObject Type="Embed" ProgID="ChemDraw.Document.6.0" ShapeID="_x0000_i1025" DrawAspect="Content" ObjectID="_1836572947" r:id="rId14"/>
        </w:object>
      </w:r>
    </w:p>
    <w:p w14:paraId="159E9DBF" w14:textId="77777777" w:rsidR="00E049CB" w:rsidRPr="005E6B7C" w:rsidRDefault="00517F81" w:rsidP="008C0D47">
      <w:pPr>
        <w:widowControl/>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 xml:space="preserve"> Chemical structures of compounds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w:t>
      </w:r>
      <w:r w:rsidR="00E049CB" w:rsidRPr="005E6B7C">
        <w:rPr>
          <w:rFonts w:asciiTheme="majorHAnsi" w:eastAsia="Yu Mincho" w:hAnsiTheme="majorHAnsi" w:cstheme="majorHAnsi"/>
          <w:b/>
          <w:color w:val="000000" w:themeColor="text1"/>
          <w:sz w:val="18"/>
          <w:szCs w:val="18"/>
          <w:lang w:eastAsia="ja-JP"/>
        </w:rPr>
        <w:t>6</w:t>
      </w:r>
      <w:r w:rsidR="00E049CB" w:rsidRPr="005E6B7C">
        <w:rPr>
          <w:rFonts w:asciiTheme="majorHAnsi" w:eastAsia="Yu Mincho" w:hAnsiTheme="majorHAnsi" w:cstheme="majorHAnsi"/>
          <w:color w:val="000000" w:themeColor="text1"/>
          <w:sz w:val="18"/>
          <w:szCs w:val="18"/>
          <w:lang w:eastAsia="ja-JP"/>
        </w:rPr>
        <w:t xml:space="preserve"> from </w:t>
      </w:r>
      <w:r w:rsidR="00E049CB" w:rsidRPr="005E6B7C">
        <w:rPr>
          <w:rFonts w:asciiTheme="majorHAnsi" w:eastAsia="Yu Mincho" w:hAnsiTheme="majorHAnsi" w:cstheme="majorHAnsi"/>
          <w:i/>
          <w:iCs/>
          <w:color w:val="000000" w:themeColor="text1"/>
          <w:sz w:val="18"/>
          <w:szCs w:val="18"/>
          <w:lang w:eastAsia="ja-JP"/>
        </w:rPr>
        <w:t>L. terminata</w:t>
      </w:r>
      <w:r w:rsidR="00E049CB" w:rsidRPr="005E6B7C" w:rsidDel="00B47B3C">
        <w:rPr>
          <w:rFonts w:asciiTheme="majorHAnsi" w:eastAsia="Yu Mincho" w:hAnsiTheme="majorHAnsi" w:cstheme="majorHAnsi"/>
          <w:i/>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propolis</w:t>
      </w:r>
    </w:p>
    <w:p w14:paraId="0116599E" w14:textId="77777777" w:rsidR="008B0A14" w:rsidRPr="005E6B7C" w:rsidRDefault="008B0A14" w:rsidP="008C0D47">
      <w:pPr>
        <w:widowControl/>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5178C2D6" w14:textId="77777777" w:rsidR="00C50B66" w:rsidRPr="005E6B7C" w:rsidRDefault="00C50B66"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50B66" w:rsidRPr="005E6B7C" w:rsidSect="002206BB">
          <w:type w:val="continuous"/>
          <w:pgSz w:w="10773" w:h="15309" w:code="9"/>
          <w:pgMar w:top="907" w:right="851" w:bottom="1418" w:left="851" w:header="397" w:footer="851" w:gutter="0"/>
          <w:cols w:space="284"/>
          <w:docGrid w:linePitch="360"/>
        </w:sectPr>
      </w:pPr>
    </w:p>
    <w:p w14:paraId="3E4BE090" w14:textId="77777777" w:rsidR="005A1BB2" w:rsidRPr="005E6B7C" w:rsidRDefault="005A1BB2" w:rsidP="005A1BB2">
      <w:pPr>
        <w:tabs>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isolated as a white solid.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H-NMR spectrum of </w:t>
      </w:r>
      <w:r w:rsidRPr="005E6B7C">
        <w:rPr>
          <w:rFonts w:asciiTheme="majorHAnsi" w:eastAsia="Yu Mincho" w:hAnsiTheme="majorHAnsi" w:cstheme="majorHAnsi"/>
          <w:b/>
          <w:color w:val="000000" w:themeColor="text1"/>
          <w:sz w:val="22"/>
          <w:szCs w:val="22"/>
          <w:lang w:eastAsia="ja-JP"/>
        </w:rPr>
        <w:t xml:space="preserve">1 </w:t>
      </w:r>
      <w:r w:rsidRPr="005E6B7C">
        <w:rPr>
          <w:rFonts w:asciiTheme="majorHAnsi" w:eastAsia="Yu Mincho" w:hAnsiTheme="majorHAnsi" w:cstheme="majorHAnsi"/>
          <w:color w:val="000000" w:themeColor="text1"/>
          <w:sz w:val="22"/>
          <w:szCs w:val="22"/>
          <w:lang w:eastAsia="ja-JP"/>
        </w:rPr>
        <w:t xml:space="preserve">exhibited characteristic signals of a triterpene with 8 methyl singlets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1.00 (3H, s, H-18), 0.94 (3H, s, H-19), 1.56 (3H, s, H-21), 1.23 (6H, s, H-26, H-27), 1.08 (3H, s, H-28), 1.04 (3H, s, H-29), and 0.86 (3H, s, H-30). In addition, an olefinic proton was observed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5.15 (1H, t, </w:t>
      </w:r>
      <w:r w:rsidRPr="005E6B7C">
        <w:rPr>
          <w:rFonts w:asciiTheme="majorHAnsi" w:eastAsia="Yu Mincho" w:hAnsiTheme="majorHAnsi" w:cstheme="majorHAnsi"/>
          <w:i/>
          <w:iCs/>
          <w:color w:val="000000" w:themeColor="text1"/>
          <w:sz w:val="22"/>
          <w:szCs w:val="22"/>
          <w:lang w:eastAsia="ja-JP"/>
        </w:rPr>
        <w:t xml:space="preserve">J </w:t>
      </w:r>
      <w:r w:rsidRPr="005E6B7C">
        <w:rPr>
          <w:rFonts w:asciiTheme="majorHAnsi" w:eastAsia="Yu Mincho" w:hAnsiTheme="majorHAnsi" w:cstheme="majorHAnsi"/>
          <w:color w:val="000000" w:themeColor="text1"/>
          <w:sz w:val="22"/>
          <w:szCs w:val="22"/>
          <w:lang w:eastAsia="ja-JP"/>
        </w:rPr>
        <w:t xml:space="preserve">= 7.2 Hz, H-22).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and HSQC spectra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showed 30 carbons including a carbonyl carbon at the downfield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218.9 (C-3); 2 olefinic carbons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137.3 (C-20) and 124.5 (C-22), an oxygenated carbon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71.2 (C-25); eight methyl groups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15.3 (C-18), 16.1 (C-19), 13.0 (C-21), 29.2 and 29.3 (C-26 and C-27), 26.8 (C-28), 21.0 (C-29), and 15.8 (C-30). The ESI-MS spectrum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showed a protonated molecular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433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which gave evidence of its molecular formula as C</w:t>
      </w:r>
      <w:r w:rsidRPr="005E6B7C">
        <w:rPr>
          <w:rFonts w:asciiTheme="majorHAnsi" w:eastAsia="Yu Mincho" w:hAnsiTheme="majorHAnsi" w:cstheme="majorHAnsi"/>
          <w:color w:val="000000" w:themeColor="text1"/>
          <w:sz w:val="22"/>
          <w:szCs w:val="22"/>
          <w:vertAlign w:val="subscript"/>
          <w:lang w:eastAsia="ja-JP"/>
        </w:rPr>
        <w:t>30</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(M = 432), corresponding to six DBE. The NMR and MS spectra suggested that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a tetracyclic triterpene. The ketone group at C-3 was confirmed by the HMBC correlations of H-28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1.08) and H-29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1.04) to C-3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218.9). The tertiary alcohol substituted group at C-25 was determined by the HMBC correlations of H-26 and H-27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1.23) to C-25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71.2). The HMBC cross-peaks of H-22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5.15) to C-21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13.0) and C-17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50.3), of H-21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1.56) to C-20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137.3) and C-22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124.5) suggested the location of the double bond at C-20 and C-22 (Fig. 2). The </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 xml:space="preserve"> configuration of the double bond was assigned based on NOESY cross-peaks of H-22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 xml:space="preserve">5.15) </w:t>
      </w:r>
      <w:r w:rsidRPr="005E6B7C">
        <w:rPr>
          <w:rFonts w:asciiTheme="majorHAnsi" w:eastAsia="Yu Mincho" w:hAnsiTheme="majorHAnsi" w:cstheme="majorHAnsi"/>
          <w:color w:val="000000" w:themeColor="text1"/>
          <w:sz w:val="22"/>
          <w:szCs w:val="22"/>
          <w:lang w:eastAsia="ja-JP"/>
        </w:rPr>
        <w:t xml:space="preserve">with H-17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2.17)</w:t>
      </w:r>
      <w:r w:rsidRPr="005E6B7C">
        <w:rPr>
          <w:rFonts w:asciiTheme="majorHAnsi" w:eastAsia="Yu Mincho" w:hAnsiTheme="majorHAnsi" w:cstheme="majorHAnsi"/>
          <w:color w:val="000000" w:themeColor="text1"/>
          <w:sz w:val="22"/>
          <w:szCs w:val="22"/>
          <w:lang w:eastAsia="ja-JP"/>
        </w:rPr>
        <w:t xml:space="preserve">, and of H-21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 xml:space="preserve">1.56) </w:t>
      </w:r>
      <w:r w:rsidRPr="005E6B7C">
        <w:rPr>
          <w:rFonts w:asciiTheme="majorHAnsi" w:eastAsia="Yu Mincho" w:hAnsiTheme="majorHAnsi" w:cstheme="majorHAnsi"/>
          <w:color w:val="000000" w:themeColor="text1"/>
          <w:sz w:val="22"/>
          <w:szCs w:val="22"/>
          <w:lang w:eastAsia="ja-JP"/>
        </w:rPr>
        <w:t>with H-</w:t>
      </w:r>
      <w:r w:rsidRPr="005E6B7C">
        <w:rPr>
          <w:rFonts w:asciiTheme="majorHAnsi" w:eastAsia="Yu Mincho" w:hAnsiTheme="majorHAnsi" w:cstheme="majorHAnsi"/>
          <w:color w:val="000000" w:themeColor="text1"/>
          <w:sz w:val="22"/>
          <w:szCs w:val="22"/>
          <w:lang w:eastAsia="ja-JP"/>
        </w:rPr>
        <w:t xml:space="preserve">23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2.08)</w:t>
      </w:r>
      <w:r w:rsidRPr="005E6B7C">
        <w:rPr>
          <w:rFonts w:asciiTheme="majorHAnsi" w:eastAsia="Yu Mincho" w:hAnsiTheme="majorHAnsi" w:cstheme="majorHAnsi"/>
          <w:color w:val="000000" w:themeColor="text1"/>
          <w:sz w:val="22"/>
          <w:szCs w:val="22"/>
          <w:lang w:eastAsia="ja-JP"/>
        </w:rPr>
        <w:t>. The NOESY spectrum also confirmed the dammarane structure. NOESY cross-peaks of</w:t>
      </w:r>
      <w:r w:rsidRPr="005E6B7C">
        <w:rPr>
          <w:rFonts w:asciiTheme="majorHAnsi" w:eastAsia="Yu Mincho" w:hAnsiTheme="majorHAnsi" w:cstheme="majorHAnsi"/>
          <w:bCs/>
          <w:color w:val="000000" w:themeColor="text1"/>
          <w:sz w:val="22"/>
          <w:szCs w:val="22"/>
          <w:lang w:eastAsia="ja-JP"/>
        </w:rPr>
        <w:t xml:space="preserve"> H-30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0.86) with H-17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2.17) and H-9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 xml:space="preserve">1.41) suggested that the H-30 methyl group and protons H-9 and H-17 were on the same side.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was identified as gracinol A. This compound was reported from </w:t>
      </w:r>
      <w:r w:rsidRPr="005E6B7C">
        <w:rPr>
          <w:rFonts w:asciiTheme="majorHAnsi" w:eastAsia="Yu Mincho" w:hAnsiTheme="majorHAnsi" w:cstheme="majorHAnsi"/>
          <w:i/>
          <w:color w:val="000000" w:themeColor="text1"/>
          <w:sz w:val="22"/>
          <w:szCs w:val="22"/>
          <w:lang w:eastAsia="ja-JP"/>
        </w:rPr>
        <w:t>Dipterocarpus gracilis</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but the data could not be accessed [10]. The NMR data of this compound were documented for the first time.</w:t>
      </w:r>
    </w:p>
    <w:p w14:paraId="7FF2C921" w14:textId="44AB5F45" w:rsidR="005A1BB2" w:rsidRPr="005E6B7C" w:rsidRDefault="005A1BB2" w:rsidP="005A1BB2">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isolated as a white solid. The molecular formula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also assigned as C</w:t>
      </w:r>
      <w:r w:rsidRPr="005E6B7C">
        <w:rPr>
          <w:rFonts w:asciiTheme="majorHAnsi" w:eastAsia="Yu Mincho" w:hAnsiTheme="majorHAnsi" w:cstheme="majorHAnsi"/>
          <w:color w:val="000000" w:themeColor="text1"/>
          <w:sz w:val="22"/>
          <w:szCs w:val="22"/>
          <w:vertAlign w:val="subscript"/>
          <w:lang w:eastAsia="ja-JP"/>
        </w:rPr>
        <w:t>30</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based on a protonated molecular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433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in the ESI-MS spectrum and NMR data.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00A5489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w:t>
      </w:r>
      <w:r w:rsidR="00A5489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NMR spectra of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revealed similar signals to those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pt-BR" w:eastAsia="ja-JP"/>
        </w:rPr>
        <w:t xml:space="preserve">In the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 xml:space="preserve">H-NMR spectrum, eight methyl singlets </w:t>
      </w:r>
      <w:r w:rsidR="00D95F4E"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1.00 (3H, s, H-18), 0.93 (3H, s, H-19), 1.15 (3H, s, H-21), 1.69 (3H, s, H-26), 1.62 (3H, s, H-27), 1.08 (3H, s, H-28), 1.04 (3H, s, H-29), and 0.89 (3H, s, H-30)</w:t>
      </w:r>
      <w:r w:rsidR="00D95F4E"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w:t>
      </w:r>
      <w:r w:rsidR="007B291D" w:rsidRPr="005E6B7C">
        <w:rPr>
          <w:rFonts w:asciiTheme="majorHAnsi" w:eastAsia="Yu Mincho" w:hAnsiTheme="majorHAnsi" w:cstheme="majorHAnsi"/>
          <w:color w:val="FF0000"/>
          <w:sz w:val="22"/>
          <w:szCs w:val="22"/>
          <w:lang w:val="pt-BR" w:eastAsia="ja-JP"/>
        </w:rPr>
        <w:t>and</w:t>
      </w:r>
      <w:r w:rsidR="007B291D"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an olefinic proton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5.12 (1H, t, </w:t>
      </w:r>
      <w:r w:rsidRPr="005E6B7C">
        <w:rPr>
          <w:rFonts w:asciiTheme="majorHAnsi" w:eastAsia="Yu Mincho" w:hAnsiTheme="majorHAnsi" w:cstheme="majorHAnsi"/>
          <w:i/>
          <w:iCs/>
          <w:color w:val="000000" w:themeColor="text1"/>
          <w:sz w:val="22"/>
          <w:szCs w:val="22"/>
          <w:lang w:val="pt-BR" w:eastAsia="ja-JP"/>
        </w:rPr>
        <w:t xml:space="preserve">J </w:t>
      </w:r>
      <w:r w:rsidRPr="005E6B7C">
        <w:rPr>
          <w:rFonts w:asciiTheme="majorHAnsi" w:eastAsia="Yu Mincho" w:hAnsiTheme="majorHAnsi" w:cstheme="majorHAnsi"/>
          <w:color w:val="000000" w:themeColor="text1"/>
          <w:sz w:val="22"/>
          <w:szCs w:val="22"/>
          <w:lang w:val="pt-BR" w:eastAsia="ja-JP"/>
        </w:rPr>
        <w:t xml:space="preserve">= 6.0 Hz, H-24)] were detected.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and DEPT also exhibited 30 carbon signals including a ketone group</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218.0 (C-3)], 2 olefinic carbon signals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124.7 (C-24) and 131.6 (C-25)], an oxygenated carbon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75.3 (C-20)] and 8 methyl groups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15.2 (C-18), 16.0 (C-19), 25.5 (C-21), 25.7 (C-26), 17.7 (C-27), 26.7 (C-28), 21.0 (C-29), and 16.3 (C-30)]. The NMR data suggested that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are structural isomers.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assigned as dipterocarpol by comparison with previously reported data [11].</w:t>
      </w:r>
    </w:p>
    <w:p w14:paraId="5F89C844" w14:textId="77777777" w:rsidR="00C50B66" w:rsidRPr="005E6B7C" w:rsidRDefault="00C50B66"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50B66" w:rsidRPr="005E6B7C" w:rsidSect="00C50B66">
          <w:type w:val="continuous"/>
          <w:pgSz w:w="10773" w:h="15309" w:code="9"/>
          <w:pgMar w:top="907" w:right="851" w:bottom="1418" w:left="851" w:header="397" w:footer="851" w:gutter="0"/>
          <w:cols w:num="2" w:space="284"/>
          <w:docGrid w:linePitch="360"/>
        </w:sectPr>
      </w:pPr>
    </w:p>
    <w:p w14:paraId="43D4BEAE" w14:textId="77777777" w:rsidR="00C50B66" w:rsidRPr="005E6B7C" w:rsidRDefault="00C50B66" w:rsidP="008C0D47">
      <w:pPr>
        <w:widowControl/>
        <w:tabs>
          <w:tab w:val="left" w:pos="270"/>
          <w:tab w:val="left" w:pos="540"/>
          <w:tab w:val="left" w:pos="9270"/>
        </w:tabs>
        <w:ind w:right="-20"/>
        <w:jc w:val="center"/>
        <w:rPr>
          <w:rFonts w:asciiTheme="majorHAnsi" w:eastAsia="Yu Mincho" w:hAnsiTheme="majorHAnsi" w:cstheme="majorHAnsi"/>
          <w:bCs/>
          <w:color w:val="000000" w:themeColor="text1"/>
          <w:sz w:val="22"/>
          <w:szCs w:val="22"/>
          <w:lang w:val="pt-BR" w:eastAsia="ja-JP"/>
        </w:rPr>
      </w:pPr>
      <w:r w:rsidRPr="005E6B7C">
        <w:rPr>
          <w:rFonts w:asciiTheme="majorHAnsi" w:eastAsia="Yu Mincho" w:hAnsiTheme="majorHAnsi" w:cstheme="majorHAnsi"/>
          <w:bCs/>
          <w:noProof/>
          <w:color w:val="000000" w:themeColor="text1"/>
          <w:sz w:val="22"/>
          <w:szCs w:val="22"/>
        </w:rPr>
        <w:lastRenderedPageBreak/>
        <w:drawing>
          <wp:inline distT="0" distB="0" distL="0" distR="0" wp14:anchorId="2627E92D" wp14:editId="6429243C">
            <wp:extent cx="3486150" cy="23287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85449" cy="2328314"/>
                    </a:xfrm>
                    <a:prstGeom prst="rect">
                      <a:avLst/>
                    </a:prstGeom>
                  </pic:spPr>
                </pic:pic>
              </a:graphicData>
            </a:graphic>
          </wp:inline>
        </w:drawing>
      </w:r>
    </w:p>
    <w:p w14:paraId="53A3FB37" w14:textId="77777777" w:rsidR="00C50B66" w:rsidRPr="005E6B7C" w:rsidRDefault="00C50B66" w:rsidP="008C0D47">
      <w:pPr>
        <w:widowControl/>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p>
    <w:p w14:paraId="09A2C449" w14:textId="77777777" w:rsidR="005A1BB2" w:rsidRPr="005E6B7C" w:rsidRDefault="005A1BB2" w:rsidP="005A1BB2">
      <w:pPr>
        <w:widowControl/>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2.</w:t>
      </w:r>
      <w:r w:rsidRPr="005E6B7C">
        <w:rPr>
          <w:rFonts w:asciiTheme="majorHAnsi" w:eastAsia="Yu Mincho" w:hAnsiTheme="majorHAnsi" w:cstheme="majorHAnsi"/>
          <w:color w:val="000000" w:themeColor="text1"/>
          <w:sz w:val="18"/>
          <w:szCs w:val="18"/>
          <w:lang w:eastAsia="ja-JP"/>
        </w:rPr>
        <w:t xml:space="preserve"> Key HMBC </w:t>
      </w:r>
      <w:r w:rsidRPr="005E6B7C">
        <w:rPr>
          <w:rFonts w:asciiTheme="majorHAnsi" w:eastAsia="Yu Mincho" w:hAnsiTheme="majorHAnsi" w:cstheme="majorHAnsi"/>
          <w:noProof/>
          <w:color w:val="000000" w:themeColor="text1"/>
          <w:sz w:val="22"/>
          <w:szCs w:val="22"/>
        </w:rPr>
        <w:drawing>
          <wp:inline distT="0" distB="0" distL="0" distR="0" wp14:anchorId="4450C770" wp14:editId="5287228A">
            <wp:extent cx="175229" cy="146050"/>
            <wp:effectExtent l="0" t="0" r="0" b="6350"/>
            <wp:docPr id="205109459" name="Picture 20510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b.jpg"/>
                    <pic:cNvPicPr/>
                  </pic:nvPicPr>
                  <pic:blipFill rotWithShape="1">
                    <a:blip r:embed="rId16" cstate="print">
                      <a:extLst>
                        <a:ext uri="{28A0092B-C50C-407E-A947-70E740481C1C}">
                          <a14:useLocalDpi xmlns:a14="http://schemas.microsoft.com/office/drawing/2010/main" val="0"/>
                        </a:ext>
                      </a:extLst>
                    </a:blip>
                    <a:srcRect l="22406" t="16667" r="67207" b="19444"/>
                    <a:stretch/>
                  </pic:blipFill>
                  <pic:spPr bwMode="auto">
                    <a:xfrm>
                      <a:off x="0" y="0"/>
                      <a:ext cx="182121" cy="151794"/>
                    </a:xfrm>
                    <a:prstGeom prst="rect">
                      <a:avLst/>
                    </a:prstGeom>
                    <a:ln>
                      <a:noFill/>
                    </a:ln>
                    <a:extLst>
                      <a:ext uri="{53640926-AAD7-44D8-BBD7-CCE9431645EC}">
                        <a14:shadowObscured xmlns:a14="http://schemas.microsoft.com/office/drawing/2010/main"/>
                      </a:ext>
                    </a:extLst>
                  </pic:spPr>
                </pic:pic>
              </a:graphicData>
            </a:graphic>
          </wp:inline>
        </w:drawing>
      </w:r>
      <w:r w:rsidRPr="005E6B7C">
        <w:rPr>
          <w:rFonts w:asciiTheme="majorHAnsi" w:eastAsia="Yu Mincho" w:hAnsiTheme="majorHAnsi" w:cstheme="majorHAnsi"/>
          <w:color w:val="000000" w:themeColor="text1"/>
          <w:sz w:val="18"/>
          <w:szCs w:val="18"/>
          <w:lang w:eastAsia="ja-JP"/>
        </w:rPr>
        <w:t xml:space="preserve">  and NOESY </w:t>
      </w:r>
      <w:r w:rsidRPr="005E6B7C">
        <w:rPr>
          <w:rFonts w:asciiTheme="majorHAnsi" w:eastAsia="Yu Mincho" w:hAnsiTheme="majorHAnsi" w:cstheme="majorHAnsi"/>
          <w:noProof/>
          <w:color w:val="000000" w:themeColor="text1"/>
          <w:sz w:val="22"/>
          <w:szCs w:val="22"/>
        </w:rPr>
        <w:drawing>
          <wp:inline distT="0" distB="0" distL="0" distR="0" wp14:anchorId="183CFD41" wp14:editId="5778DB6F">
            <wp:extent cx="221923" cy="152199"/>
            <wp:effectExtent l="0" t="0" r="6985" b="635"/>
            <wp:docPr id="1087012838" name="Picture 108701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b.jpg"/>
                    <pic:cNvPicPr/>
                  </pic:nvPicPr>
                  <pic:blipFill rotWithShape="1">
                    <a:blip r:embed="rId17" cstate="print">
                      <a:extLst>
                        <a:ext uri="{28A0092B-C50C-407E-A947-70E740481C1C}">
                          <a14:useLocalDpi xmlns:a14="http://schemas.microsoft.com/office/drawing/2010/main" val="0"/>
                        </a:ext>
                      </a:extLst>
                    </a:blip>
                    <a:srcRect l="47780" t="16667" r="41388" b="16667"/>
                    <a:stretch/>
                  </pic:blipFill>
                  <pic:spPr bwMode="auto">
                    <a:xfrm>
                      <a:off x="0" y="0"/>
                      <a:ext cx="229862" cy="157644"/>
                    </a:xfrm>
                    <a:prstGeom prst="rect">
                      <a:avLst/>
                    </a:prstGeom>
                    <a:ln>
                      <a:noFill/>
                    </a:ln>
                    <a:extLst>
                      <a:ext uri="{53640926-AAD7-44D8-BBD7-CCE9431645EC}">
                        <a14:shadowObscured xmlns:a14="http://schemas.microsoft.com/office/drawing/2010/main"/>
                      </a:ext>
                    </a:extLst>
                  </pic:spPr>
                </pic:pic>
              </a:graphicData>
            </a:graphic>
          </wp:inline>
        </w:drawing>
      </w:r>
      <w:r w:rsidRPr="005E6B7C">
        <w:rPr>
          <w:rFonts w:asciiTheme="majorHAnsi" w:eastAsia="Yu Mincho" w:hAnsiTheme="majorHAnsi" w:cstheme="majorHAnsi"/>
          <w:color w:val="000000" w:themeColor="text1"/>
          <w:sz w:val="18"/>
          <w:szCs w:val="18"/>
          <w:lang w:eastAsia="ja-JP"/>
        </w:rPr>
        <w:t xml:space="preserve"> correlations of compounds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3</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and</w:t>
      </w:r>
      <w:r w:rsidRPr="005E6B7C">
        <w:rPr>
          <w:rFonts w:asciiTheme="majorHAnsi" w:eastAsia="Yu Mincho" w:hAnsiTheme="majorHAnsi" w:cstheme="majorHAnsi"/>
          <w:b/>
          <w:bCs/>
          <w:color w:val="000000" w:themeColor="text1"/>
          <w:sz w:val="18"/>
          <w:szCs w:val="18"/>
          <w:lang w:eastAsia="ja-JP"/>
        </w:rPr>
        <w:t xml:space="preserve"> 4</w:t>
      </w:r>
    </w:p>
    <w:p w14:paraId="17AD112A" w14:textId="77777777" w:rsidR="00C50B66" w:rsidRPr="005E6B7C" w:rsidRDefault="00C50B66" w:rsidP="008C0D47">
      <w:pPr>
        <w:widowControl/>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57848F4" w14:textId="77777777" w:rsidR="00C50B66" w:rsidRPr="005E6B7C" w:rsidRDefault="00C50B66" w:rsidP="008C0D47">
      <w:pPr>
        <w:tabs>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50B66" w:rsidRPr="005E6B7C" w:rsidSect="002206BB">
          <w:type w:val="continuous"/>
          <w:pgSz w:w="10773" w:h="15309" w:code="9"/>
          <w:pgMar w:top="907" w:right="851" w:bottom="1418" w:left="851" w:header="397" w:footer="851" w:gutter="0"/>
          <w:cols w:space="284"/>
          <w:docGrid w:linePitch="360"/>
        </w:sectPr>
      </w:pPr>
    </w:p>
    <w:p w14:paraId="15E7255B" w14:textId="58BD34D5" w:rsidR="00E049CB" w:rsidRPr="005E6B7C" w:rsidRDefault="00E049CB" w:rsidP="007B291D">
      <w:pPr>
        <w:tabs>
          <w:tab w:val="left" w:pos="540"/>
          <w:tab w:val="left" w:pos="9270"/>
        </w:tabs>
        <w:spacing w:line="240" w:lineRule="exact"/>
        <w:ind w:firstLine="284"/>
        <w:jc w:val="both"/>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 and</w:t>
      </w:r>
      <w:r w:rsidRPr="005E6B7C">
        <w:rPr>
          <w:rFonts w:asciiTheme="majorHAnsi" w:eastAsia="Yu Mincho" w:hAnsiTheme="majorHAnsi" w:cstheme="majorHAnsi"/>
          <w:color w:val="000000" w:themeColor="text1"/>
          <w:sz w:val="18"/>
          <w:szCs w:val="18"/>
          <w:vertAlign w:val="superscript"/>
          <w:lang w:eastAsia="ja-JP"/>
        </w:rPr>
        <w:t xml:space="preserve"> 13</w:t>
      </w:r>
      <w:r w:rsidRPr="005E6B7C">
        <w:rPr>
          <w:rFonts w:asciiTheme="majorHAnsi" w:eastAsia="Yu Mincho" w:hAnsiTheme="majorHAnsi" w:cstheme="majorHAnsi"/>
          <w:color w:val="000000" w:themeColor="text1"/>
          <w:sz w:val="18"/>
          <w:szCs w:val="18"/>
          <w:lang w:eastAsia="ja-JP"/>
        </w:rPr>
        <w:t xml:space="preserve">C-NMR spectroscopic data of compounds </w:t>
      </w:r>
      <w:r w:rsidRPr="005E6B7C">
        <w:rPr>
          <w:rFonts w:asciiTheme="majorHAnsi" w:eastAsia="Yu Mincho" w:hAnsiTheme="majorHAnsi" w:cstheme="majorHAnsi"/>
          <w:b/>
          <w:bCs/>
          <w:color w:val="000000" w:themeColor="text1"/>
          <w:sz w:val="18"/>
          <w:szCs w:val="18"/>
          <w:lang w:eastAsia="ja-JP"/>
        </w:rPr>
        <w:t>1</w:t>
      </w:r>
      <w:r w:rsidR="008C4A4D"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bCs/>
          <w:color w:val="000000" w:themeColor="text1"/>
          <w:sz w:val="18"/>
          <w:szCs w:val="18"/>
          <w:lang w:eastAsia="ja-JP"/>
        </w:rPr>
        <w:t>2</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0"/>
        <w:gridCol w:w="2121"/>
        <w:gridCol w:w="1058"/>
        <w:gridCol w:w="1663"/>
        <w:gridCol w:w="908"/>
        <w:gridCol w:w="1814"/>
        <w:gridCol w:w="908"/>
      </w:tblGrid>
      <w:tr w:rsidR="00AA07C9" w:rsidRPr="005E6B7C" w14:paraId="3966FAD0" w14:textId="77777777" w:rsidTr="008C4A4D">
        <w:trPr>
          <w:tblHeader/>
          <w:jc w:val="center"/>
        </w:trPr>
        <w:tc>
          <w:tcPr>
            <w:tcW w:w="600" w:type="dxa"/>
            <w:vMerge w:val="restart"/>
            <w:vAlign w:val="center"/>
            <w:hideMark/>
          </w:tcPr>
          <w:p w14:paraId="5F90C117" w14:textId="77777777" w:rsidR="00E049CB" w:rsidRPr="005E6B7C" w:rsidRDefault="0044085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bookmarkStart w:id="2" w:name="_Hlk181730115"/>
            <w:r w:rsidRPr="005E6B7C">
              <w:rPr>
                <w:rFonts w:asciiTheme="majorHAnsi" w:eastAsia="Times New Roman" w:hAnsiTheme="majorHAnsi" w:cstheme="majorHAnsi"/>
                <w:noProof/>
                <w:color w:val="000000" w:themeColor="text1"/>
                <w:sz w:val="18"/>
                <w:szCs w:val="18"/>
                <w:lang w:eastAsia="vi-VN"/>
              </w:rPr>
              <w:t>Pos.</w:t>
            </w:r>
          </w:p>
        </w:tc>
        <w:tc>
          <w:tcPr>
            <w:tcW w:w="3179" w:type="dxa"/>
            <w:gridSpan w:val="2"/>
            <w:vAlign w:val="center"/>
            <w:hideMark/>
          </w:tcPr>
          <w:p w14:paraId="4F4C6F90"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b/>
                <w:noProof/>
                <w:color w:val="000000" w:themeColor="text1"/>
                <w:sz w:val="18"/>
                <w:szCs w:val="18"/>
                <w:lang w:val="vi-VN" w:eastAsia="vi-VN"/>
              </w:rPr>
            </w:pPr>
            <w:r w:rsidRPr="005E6B7C">
              <w:rPr>
                <w:rFonts w:asciiTheme="majorHAnsi" w:eastAsia="Times New Roman" w:hAnsiTheme="majorHAnsi" w:cstheme="majorHAnsi"/>
                <w:b/>
                <w:iCs/>
                <w:color w:val="000000" w:themeColor="text1"/>
                <w:sz w:val="18"/>
                <w:szCs w:val="18"/>
                <w:lang w:eastAsia="ja-JP"/>
              </w:rPr>
              <w:t>1</w:t>
            </w:r>
          </w:p>
        </w:tc>
        <w:tc>
          <w:tcPr>
            <w:tcW w:w="2571" w:type="dxa"/>
            <w:gridSpan w:val="2"/>
            <w:vAlign w:val="center"/>
          </w:tcPr>
          <w:p w14:paraId="4260C9D8"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b/>
                <w:iCs/>
                <w:color w:val="000000" w:themeColor="text1"/>
                <w:sz w:val="18"/>
                <w:szCs w:val="18"/>
                <w:lang w:eastAsia="ja-JP"/>
              </w:rPr>
            </w:pPr>
            <w:r w:rsidRPr="005E6B7C">
              <w:rPr>
                <w:rFonts w:asciiTheme="majorHAnsi" w:eastAsia="Times New Roman" w:hAnsiTheme="majorHAnsi" w:cstheme="majorHAnsi"/>
                <w:b/>
                <w:iCs/>
                <w:color w:val="000000" w:themeColor="text1"/>
                <w:sz w:val="18"/>
                <w:szCs w:val="18"/>
                <w:lang w:eastAsia="ja-JP"/>
              </w:rPr>
              <w:t>2</w:t>
            </w:r>
          </w:p>
        </w:tc>
        <w:tc>
          <w:tcPr>
            <w:tcW w:w="2722" w:type="dxa"/>
            <w:gridSpan w:val="2"/>
            <w:vAlign w:val="center"/>
          </w:tcPr>
          <w:p w14:paraId="162C37D7"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b/>
                <w:iCs/>
                <w:color w:val="000000" w:themeColor="text1"/>
                <w:sz w:val="18"/>
                <w:szCs w:val="18"/>
                <w:lang w:eastAsia="ja-JP"/>
              </w:rPr>
            </w:pPr>
            <w:r w:rsidRPr="005E6B7C">
              <w:rPr>
                <w:rFonts w:asciiTheme="majorHAnsi" w:eastAsia="Times New Roman" w:hAnsiTheme="majorHAnsi" w:cstheme="majorHAnsi"/>
                <w:b/>
                <w:iCs/>
                <w:color w:val="000000" w:themeColor="text1"/>
                <w:sz w:val="18"/>
                <w:szCs w:val="18"/>
                <w:lang w:eastAsia="ja-JP"/>
              </w:rPr>
              <w:t>Ref [11]</w:t>
            </w:r>
          </w:p>
        </w:tc>
      </w:tr>
      <w:tr w:rsidR="00AA07C9" w:rsidRPr="005E6B7C" w14:paraId="4119BD6A" w14:textId="77777777" w:rsidTr="008C4A4D">
        <w:trPr>
          <w:tblHeader/>
          <w:jc w:val="center"/>
        </w:trPr>
        <w:tc>
          <w:tcPr>
            <w:tcW w:w="600" w:type="dxa"/>
            <w:vMerge/>
            <w:vAlign w:val="center"/>
            <w:hideMark/>
          </w:tcPr>
          <w:p w14:paraId="3EB0D0E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p>
        </w:tc>
        <w:tc>
          <w:tcPr>
            <w:tcW w:w="2121" w:type="dxa"/>
            <w:vAlign w:val="center"/>
            <w:hideMark/>
          </w:tcPr>
          <w:p w14:paraId="204A4758" w14:textId="63A15269" w:rsidR="00E049CB" w:rsidRPr="005E6B7C" w:rsidRDefault="00E049CB" w:rsidP="00D95F4E">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H</w:t>
            </w:r>
            <w:r w:rsidRPr="005E6B7C">
              <w:rPr>
                <w:rFonts w:asciiTheme="majorHAnsi" w:eastAsia="Times New Roman" w:hAnsiTheme="majorHAnsi" w:cstheme="majorHAnsi"/>
                <w:noProof/>
                <w:color w:val="000000" w:themeColor="text1"/>
                <w:sz w:val="18"/>
                <w:szCs w:val="18"/>
                <w:vertAlign w:val="superscript"/>
                <w:lang w:eastAsia="vi-VN"/>
              </w:rPr>
              <w:t>a</w:t>
            </w:r>
            <w:r w:rsidR="00D95F4E" w:rsidRPr="005E6B7C">
              <w:rPr>
                <w:rFonts w:asciiTheme="majorHAnsi" w:eastAsia="Times New Roman" w:hAnsiTheme="majorHAnsi" w:cstheme="majorHAnsi"/>
                <w:noProof/>
                <w:color w:val="000000" w:themeColor="text1"/>
                <w:sz w:val="18"/>
                <w:szCs w:val="18"/>
                <w:lang w:eastAsia="vi-VN"/>
              </w:rPr>
              <w:t xml:space="preserve"> (</w:t>
            </w:r>
            <w:r w:rsidR="00D95F4E" w:rsidRPr="005E6B7C">
              <w:rPr>
                <w:rFonts w:asciiTheme="majorHAnsi" w:eastAsia="Batang" w:hAnsiTheme="majorHAnsi" w:cstheme="majorHAnsi"/>
                <w:color w:val="000000" w:themeColor="text1"/>
                <w:kern w:val="2"/>
                <w:sz w:val="18"/>
                <w:szCs w:val="18"/>
                <w:lang w:eastAsia="ja-JP"/>
              </w:rPr>
              <w:t xml:space="preserve">mult., </w:t>
            </w:r>
            <w:r w:rsidR="00D95F4E" w:rsidRPr="005E6B7C">
              <w:rPr>
                <w:rFonts w:asciiTheme="majorHAnsi" w:eastAsia="Batang" w:hAnsiTheme="majorHAnsi" w:cstheme="majorHAnsi"/>
                <w:i/>
                <w:color w:val="000000" w:themeColor="text1"/>
                <w:kern w:val="2"/>
                <w:sz w:val="18"/>
                <w:szCs w:val="18"/>
                <w:lang w:eastAsia="ja-JP"/>
              </w:rPr>
              <w:t>J</w:t>
            </w:r>
            <w:r w:rsidR="00D95F4E" w:rsidRPr="005E6B7C">
              <w:rPr>
                <w:rFonts w:asciiTheme="majorHAnsi" w:eastAsia="Batang" w:hAnsiTheme="majorHAnsi" w:cstheme="majorHAnsi"/>
                <w:color w:val="000000" w:themeColor="text1"/>
                <w:kern w:val="2"/>
                <w:sz w:val="18"/>
                <w:szCs w:val="18"/>
                <w:lang w:eastAsia="ja-JP"/>
              </w:rPr>
              <w:t xml:space="preserve"> in Hz)</w:t>
            </w:r>
          </w:p>
        </w:tc>
        <w:tc>
          <w:tcPr>
            <w:tcW w:w="1058" w:type="dxa"/>
            <w:vAlign w:val="center"/>
            <w:hideMark/>
          </w:tcPr>
          <w:p w14:paraId="5C9FBB41"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C</w:t>
            </w:r>
            <w:r w:rsidRPr="005E6B7C">
              <w:rPr>
                <w:rFonts w:asciiTheme="majorHAnsi" w:eastAsia="Times New Roman" w:hAnsiTheme="majorHAnsi" w:cstheme="majorHAnsi"/>
                <w:noProof/>
                <w:color w:val="000000" w:themeColor="text1"/>
                <w:sz w:val="18"/>
                <w:szCs w:val="18"/>
                <w:vertAlign w:val="superscript"/>
                <w:lang w:eastAsia="vi-VN"/>
              </w:rPr>
              <w:t>b</w:t>
            </w:r>
          </w:p>
        </w:tc>
        <w:tc>
          <w:tcPr>
            <w:tcW w:w="1663" w:type="dxa"/>
            <w:vAlign w:val="center"/>
          </w:tcPr>
          <w:p w14:paraId="76DFA6F8" w14:textId="1A26E21E"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H</w:t>
            </w:r>
            <w:r w:rsidRPr="005E6B7C">
              <w:rPr>
                <w:rFonts w:asciiTheme="majorHAnsi" w:eastAsia="Times New Roman" w:hAnsiTheme="majorHAnsi" w:cstheme="majorHAnsi"/>
                <w:noProof/>
                <w:color w:val="000000" w:themeColor="text1"/>
                <w:sz w:val="18"/>
                <w:szCs w:val="18"/>
                <w:vertAlign w:val="superscript"/>
                <w:lang w:eastAsia="vi-VN"/>
              </w:rPr>
              <w:t>c</w:t>
            </w:r>
            <w:r w:rsidR="00D95F4E" w:rsidRPr="005E6B7C">
              <w:rPr>
                <w:rFonts w:asciiTheme="majorHAnsi" w:eastAsia="Times New Roman" w:hAnsiTheme="majorHAnsi" w:cstheme="majorHAnsi"/>
                <w:noProof/>
                <w:color w:val="000000" w:themeColor="text1"/>
                <w:sz w:val="18"/>
                <w:szCs w:val="18"/>
                <w:lang w:eastAsia="vi-VN"/>
              </w:rPr>
              <w:t xml:space="preserve"> (</w:t>
            </w:r>
            <w:r w:rsidR="00D95F4E" w:rsidRPr="005E6B7C">
              <w:rPr>
                <w:rFonts w:asciiTheme="majorHAnsi" w:eastAsia="Batang" w:hAnsiTheme="majorHAnsi" w:cstheme="majorHAnsi"/>
                <w:color w:val="000000" w:themeColor="text1"/>
                <w:kern w:val="2"/>
                <w:sz w:val="18"/>
                <w:szCs w:val="18"/>
                <w:lang w:eastAsia="ja-JP"/>
              </w:rPr>
              <w:t xml:space="preserve">mult., </w:t>
            </w:r>
            <w:r w:rsidR="00D95F4E" w:rsidRPr="005E6B7C">
              <w:rPr>
                <w:rFonts w:asciiTheme="majorHAnsi" w:eastAsia="Batang" w:hAnsiTheme="majorHAnsi" w:cstheme="majorHAnsi"/>
                <w:i/>
                <w:color w:val="000000" w:themeColor="text1"/>
                <w:kern w:val="2"/>
                <w:sz w:val="18"/>
                <w:szCs w:val="18"/>
                <w:lang w:eastAsia="ja-JP"/>
              </w:rPr>
              <w:t>J</w:t>
            </w:r>
            <w:r w:rsidR="00D95F4E" w:rsidRPr="005E6B7C">
              <w:rPr>
                <w:rFonts w:asciiTheme="majorHAnsi" w:eastAsia="Batang" w:hAnsiTheme="majorHAnsi" w:cstheme="majorHAnsi"/>
                <w:color w:val="000000" w:themeColor="text1"/>
                <w:kern w:val="2"/>
                <w:sz w:val="18"/>
                <w:szCs w:val="18"/>
                <w:lang w:eastAsia="ja-JP"/>
              </w:rPr>
              <w:t xml:space="preserve"> in Hz)</w:t>
            </w:r>
          </w:p>
        </w:tc>
        <w:tc>
          <w:tcPr>
            <w:tcW w:w="908" w:type="dxa"/>
            <w:vAlign w:val="center"/>
          </w:tcPr>
          <w:p w14:paraId="7D1569AE"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C</w:t>
            </w:r>
            <w:r w:rsidRPr="005E6B7C">
              <w:rPr>
                <w:rFonts w:asciiTheme="majorHAnsi" w:eastAsia="Times New Roman" w:hAnsiTheme="majorHAnsi" w:cstheme="majorHAnsi"/>
                <w:noProof/>
                <w:color w:val="000000" w:themeColor="text1"/>
                <w:sz w:val="18"/>
                <w:szCs w:val="18"/>
                <w:vertAlign w:val="superscript"/>
                <w:lang w:eastAsia="vi-VN"/>
              </w:rPr>
              <w:t>b</w:t>
            </w:r>
          </w:p>
        </w:tc>
        <w:tc>
          <w:tcPr>
            <w:tcW w:w="1814" w:type="dxa"/>
            <w:vAlign w:val="center"/>
          </w:tcPr>
          <w:p w14:paraId="39844680" w14:textId="7407B67A"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H</w:t>
            </w:r>
            <w:r w:rsidRPr="005E6B7C">
              <w:rPr>
                <w:rFonts w:asciiTheme="majorHAnsi" w:eastAsia="Times New Roman" w:hAnsiTheme="majorHAnsi" w:cstheme="majorHAnsi"/>
                <w:noProof/>
                <w:color w:val="000000" w:themeColor="text1"/>
                <w:sz w:val="18"/>
                <w:szCs w:val="18"/>
                <w:vertAlign w:val="superscript"/>
                <w:lang w:eastAsia="vi-VN"/>
              </w:rPr>
              <w:t>c</w:t>
            </w:r>
            <w:r w:rsidR="008C4A4D" w:rsidRPr="005E6B7C">
              <w:rPr>
                <w:rFonts w:asciiTheme="majorHAnsi" w:eastAsia="Times New Roman" w:hAnsiTheme="majorHAnsi" w:cstheme="majorHAnsi"/>
                <w:noProof/>
                <w:color w:val="000000" w:themeColor="text1"/>
                <w:sz w:val="18"/>
                <w:szCs w:val="18"/>
                <w:lang w:eastAsia="vi-VN"/>
              </w:rPr>
              <w:t xml:space="preserve"> (</w:t>
            </w:r>
            <w:r w:rsidR="008C4A4D" w:rsidRPr="005E6B7C">
              <w:rPr>
                <w:rFonts w:asciiTheme="majorHAnsi" w:eastAsia="Batang" w:hAnsiTheme="majorHAnsi" w:cstheme="majorHAnsi"/>
                <w:color w:val="000000" w:themeColor="text1"/>
                <w:kern w:val="2"/>
                <w:sz w:val="18"/>
                <w:szCs w:val="18"/>
                <w:lang w:eastAsia="ja-JP"/>
              </w:rPr>
              <w:t xml:space="preserve">mult., </w:t>
            </w:r>
            <w:r w:rsidR="008C4A4D" w:rsidRPr="005E6B7C">
              <w:rPr>
                <w:rFonts w:asciiTheme="majorHAnsi" w:eastAsia="Batang" w:hAnsiTheme="majorHAnsi" w:cstheme="majorHAnsi"/>
                <w:i/>
                <w:color w:val="000000" w:themeColor="text1"/>
                <w:kern w:val="2"/>
                <w:sz w:val="18"/>
                <w:szCs w:val="18"/>
                <w:lang w:eastAsia="ja-JP"/>
              </w:rPr>
              <w:t>J</w:t>
            </w:r>
            <w:r w:rsidR="008C4A4D" w:rsidRPr="005E6B7C">
              <w:rPr>
                <w:rFonts w:asciiTheme="majorHAnsi" w:eastAsia="Batang" w:hAnsiTheme="majorHAnsi" w:cstheme="majorHAnsi"/>
                <w:color w:val="000000" w:themeColor="text1"/>
                <w:kern w:val="2"/>
                <w:sz w:val="18"/>
                <w:szCs w:val="18"/>
                <w:lang w:eastAsia="ja-JP"/>
              </w:rPr>
              <w:t xml:space="preserve"> in Hz)</w:t>
            </w:r>
          </w:p>
        </w:tc>
        <w:tc>
          <w:tcPr>
            <w:tcW w:w="908" w:type="dxa"/>
            <w:vAlign w:val="center"/>
          </w:tcPr>
          <w:p w14:paraId="229173F2" w14:textId="77777777" w:rsidR="00E049CB" w:rsidRPr="005E6B7C" w:rsidRDefault="00E049CB" w:rsidP="008C0D47">
            <w:pPr>
              <w:widowControl/>
              <w:tabs>
                <w:tab w:val="left" w:pos="270"/>
                <w:tab w:val="left" w:pos="540"/>
                <w:tab w:val="left" w:pos="9270"/>
              </w:tabs>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Yu Mincho" w:hAnsiTheme="majorHAnsi" w:cstheme="majorHAnsi"/>
                <w:i/>
                <w:color w:val="000000" w:themeColor="text1"/>
                <w:sz w:val="18"/>
                <w:szCs w:val="18"/>
                <w:lang w:val="vi-VN" w:eastAsia="ja-JP"/>
              </w:rPr>
              <w:t>δ</w:t>
            </w:r>
            <w:r w:rsidRPr="005E6B7C">
              <w:rPr>
                <w:rFonts w:asciiTheme="majorHAnsi" w:eastAsia="Times New Roman" w:hAnsiTheme="majorHAnsi" w:cstheme="majorHAnsi"/>
                <w:noProof/>
                <w:color w:val="000000" w:themeColor="text1"/>
                <w:sz w:val="18"/>
                <w:szCs w:val="18"/>
                <w:vertAlign w:val="subscript"/>
                <w:lang w:eastAsia="vi-VN"/>
              </w:rPr>
              <w:t>C</w:t>
            </w:r>
            <w:r w:rsidRPr="005E6B7C">
              <w:rPr>
                <w:rFonts w:asciiTheme="majorHAnsi" w:eastAsia="Times New Roman" w:hAnsiTheme="majorHAnsi" w:cstheme="majorHAnsi"/>
                <w:noProof/>
                <w:color w:val="000000" w:themeColor="text1"/>
                <w:sz w:val="18"/>
                <w:szCs w:val="18"/>
                <w:vertAlign w:val="superscript"/>
                <w:lang w:eastAsia="vi-VN"/>
              </w:rPr>
              <w:t>b</w:t>
            </w:r>
          </w:p>
        </w:tc>
      </w:tr>
      <w:tr w:rsidR="005A1BB2" w:rsidRPr="005E6B7C" w14:paraId="27EC35F2" w14:textId="77777777" w:rsidTr="008C4A4D">
        <w:trPr>
          <w:jc w:val="center"/>
        </w:trPr>
        <w:tc>
          <w:tcPr>
            <w:tcW w:w="600" w:type="dxa"/>
            <w:hideMark/>
          </w:tcPr>
          <w:p w14:paraId="138475AF" w14:textId="3C5F14E8" w:rsidR="005A1BB2" w:rsidRPr="005E6B7C" w:rsidRDefault="005A1BB2" w:rsidP="005A1BB2">
            <w:pPr>
              <w:widowControl/>
              <w:tabs>
                <w:tab w:val="left" w:pos="270"/>
                <w:tab w:val="left" w:pos="540"/>
                <w:tab w:val="left" w:pos="9270"/>
              </w:tabs>
              <w:spacing w:line="180" w:lineRule="exact"/>
              <w:ind w:right="-20"/>
              <w:jc w:val="center"/>
              <w:rPr>
                <w:rFonts w:asciiTheme="majorHAnsi" w:eastAsia="Arial"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w:t>
            </w:r>
          </w:p>
        </w:tc>
        <w:tc>
          <w:tcPr>
            <w:tcW w:w="2121" w:type="dxa"/>
          </w:tcPr>
          <w:p w14:paraId="5BA37CCF" w14:textId="0FBE5924"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1.93 (m)/1.46 (m)</w:t>
            </w:r>
          </w:p>
        </w:tc>
        <w:tc>
          <w:tcPr>
            <w:tcW w:w="1058" w:type="dxa"/>
            <w:hideMark/>
          </w:tcPr>
          <w:p w14:paraId="29F800EB" w14:textId="6BA72FAB"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color w:val="000000" w:themeColor="text1"/>
                <w:sz w:val="18"/>
                <w:szCs w:val="18"/>
                <w:lang w:eastAsia="ja-JP"/>
              </w:rPr>
              <w:t>40.0</w:t>
            </w:r>
          </w:p>
        </w:tc>
        <w:tc>
          <w:tcPr>
            <w:tcW w:w="1663" w:type="dxa"/>
          </w:tcPr>
          <w:p w14:paraId="2A480A8B"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28C941CD" w14:textId="37EC938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39.9</w:t>
            </w:r>
          </w:p>
        </w:tc>
        <w:tc>
          <w:tcPr>
            <w:tcW w:w="1814" w:type="dxa"/>
          </w:tcPr>
          <w:p w14:paraId="4BEE1E01"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0901DF9D" w14:textId="7AD34D7B"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39.9</w:t>
            </w:r>
          </w:p>
        </w:tc>
      </w:tr>
      <w:tr w:rsidR="005A1BB2" w:rsidRPr="005E6B7C" w14:paraId="0068523C" w14:textId="77777777" w:rsidTr="008C4A4D">
        <w:trPr>
          <w:jc w:val="center"/>
        </w:trPr>
        <w:tc>
          <w:tcPr>
            <w:tcW w:w="600" w:type="dxa"/>
            <w:hideMark/>
          </w:tcPr>
          <w:p w14:paraId="2BDE4953" w14:textId="03A8560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w:t>
            </w:r>
          </w:p>
        </w:tc>
        <w:tc>
          <w:tcPr>
            <w:tcW w:w="2121" w:type="dxa"/>
          </w:tcPr>
          <w:p w14:paraId="09AFC8C7" w14:textId="5B7DB074"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val="pt-BR" w:eastAsia="ja-JP"/>
              </w:rPr>
              <w:t>2.49-2.43 (m)</w:t>
            </w:r>
          </w:p>
        </w:tc>
        <w:tc>
          <w:tcPr>
            <w:tcW w:w="1058" w:type="dxa"/>
            <w:hideMark/>
          </w:tcPr>
          <w:p w14:paraId="37B622AE" w14:textId="666621A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noProof/>
                <w:color w:val="000000" w:themeColor="text1"/>
                <w:sz w:val="18"/>
                <w:szCs w:val="18"/>
                <w:lang w:eastAsia="vi-VN"/>
              </w:rPr>
              <w:t>34.1</w:t>
            </w:r>
          </w:p>
        </w:tc>
        <w:tc>
          <w:tcPr>
            <w:tcW w:w="1663" w:type="dxa"/>
          </w:tcPr>
          <w:p w14:paraId="615D4360" w14:textId="5BE154D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val="pt-BR" w:eastAsia="ja-JP"/>
              </w:rPr>
              <w:t>2.42-2.49 (m)</w:t>
            </w:r>
          </w:p>
        </w:tc>
        <w:tc>
          <w:tcPr>
            <w:tcW w:w="908" w:type="dxa"/>
          </w:tcPr>
          <w:p w14:paraId="51EEB5BB" w14:textId="62E9221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34.1</w:t>
            </w:r>
          </w:p>
        </w:tc>
        <w:tc>
          <w:tcPr>
            <w:tcW w:w="1814" w:type="dxa"/>
          </w:tcPr>
          <w:p w14:paraId="4DBEAA70" w14:textId="2C88A1D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val="pt-BR" w:eastAsia="ja-JP"/>
              </w:rPr>
              <w:t>2.37-2.42 (m)</w:t>
            </w:r>
          </w:p>
        </w:tc>
        <w:tc>
          <w:tcPr>
            <w:tcW w:w="908" w:type="dxa"/>
          </w:tcPr>
          <w:p w14:paraId="269D6CEC" w14:textId="262D270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34.1</w:t>
            </w:r>
          </w:p>
        </w:tc>
      </w:tr>
      <w:tr w:rsidR="005A1BB2" w:rsidRPr="005E6B7C" w14:paraId="2DD79FC5" w14:textId="77777777" w:rsidTr="008C4A4D">
        <w:trPr>
          <w:jc w:val="center"/>
        </w:trPr>
        <w:tc>
          <w:tcPr>
            <w:tcW w:w="600" w:type="dxa"/>
            <w:hideMark/>
          </w:tcPr>
          <w:p w14:paraId="3D2779A0" w14:textId="7EDA21C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w:t>
            </w:r>
          </w:p>
        </w:tc>
        <w:tc>
          <w:tcPr>
            <w:tcW w:w="2121" w:type="dxa"/>
          </w:tcPr>
          <w:p w14:paraId="2E71C0F3"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p>
        </w:tc>
        <w:tc>
          <w:tcPr>
            <w:tcW w:w="1058" w:type="dxa"/>
            <w:hideMark/>
          </w:tcPr>
          <w:p w14:paraId="5D03F9A0" w14:textId="289D878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color w:val="000000" w:themeColor="text1"/>
                <w:sz w:val="18"/>
                <w:szCs w:val="18"/>
                <w:lang w:eastAsia="ja-JP"/>
              </w:rPr>
              <w:t>218.9</w:t>
            </w:r>
          </w:p>
        </w:tc>
        <w:tc>
          <w:tcPr>
            <w:tcW w:w="1663" w:type="dxa"/>
          </w:tcPr>
          <w:p w14:paraId="7C8C56AC"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2EE605BD" w14:textId="4FAC006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218.0</w:t>
            </w:r>
          </w:p>
        </w:tc>
        <w:tc>
          <w:tcPr>
            <w:tcW w:w="1814" w:type="dxa"/>
          </w:tcPr>
          <w:p w14:paraId="4976E3E0"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7110D566" w14:textId="2338FC2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218.0</w:t>
            </w:r>
          </w:p>
        </w:tc>
      </w:tr>
      <w:tr w:rsidR="005A1BB2" w:rsidRPr="005E6B7C" w14:paraId="61888928" w14:textId="77777777" w:rsidTr="008C4A4D">
        <w:trPr>
          <w:jc w:val="center"/>
        </w:trPr>
        <w:tc>
          <w:tcPr>
            <w:tcW w:w="600" w:type="dxa"/>
            <w:hideMark/>
          </w:tcPr>
          <w:p w14:paraId="441909D4" w14:textId="1874ECA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w:t>
            </w:r>
          </w:p>
        </w:tc>
        <w:tc>
          <w:tcPr>
            <w:tcW w:w="2121" w:type="dxa"/>
          </w:tcPr>
          <w:p w14:paraId="0F9AEBE0"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p>
        </w:tc>
        <w:tc>
          <w:tcPr>
            <w:tcW w:w="1058" w:type="dxa"/>
            <w:hideMark/>
          </w:tcPr>
          <w:p w14:paraId="4557AC64" w14:textId="1613D0F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color w:val="000000" w:themeColor="text1"/>
                <w:sz w:val="18"/>
                <w:szCs w:val="18"/>
                <w:lang w:eastAsia="ja-JP"/>
              </w:rPr>
              <w:t>47.4</w:t>
            </w:r>
          </w:p>
        </w:tc>
        <w:tc>
          <w:tcPr>
            <w:tcW w:w="1663" w:type="dxa"/>
          </w:tcPr>
          <w:p w14:paraId="4F7D6520"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189D4C94" w14:textId="048EE0D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47.4</w:t>
            </w:r>
          </w:p>
        </w:tc>
        <w:tc>
          <w:tcPr>
            <w:tcW w:w="1814" w:type="dxa"/>
          </w:tcPr>
          <w:p w14:paraId="658F75F9"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4BADB1BD" w14:textId="7DEEAC1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47.4</w:t>
            </w:r>
          </w:p>
        </w:tc>
      </w:tr>
      <w:tr w:rsidR="005A1BB2" w:rsidRPr="005E6B7C" w14:paraId="102D41F8" w14:textId="77777777" w:rsidTr="008C4A4D">
        <w:trPr>
          <w:jc w:val="center"/>
        </w:trPr>
        <w:tc>
          <w:tcPr>
            <w:tcW w:w="600" w:type="dxa"/>
            <w:hideMark/>
          </w:tcPr>
          <w:p w14:paraId="4E02BA24" w14:textId="693E129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5</w:t>
            </w:r>
          </w:p>
        </w:tc>
        <w:tc>
          <w:tcPr>
            <w:tcW w:w="2121" w:type="dxa"/>
          </w:tcPr>
          <w:p w14:paraId="59ABE585" w14:textId="7CC55314"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1.39 (m)</w:t>
            </w:r>
          </w:p>
        </w:tc>
        <w:tc>
          <w:tcPr>
            <w:tcW w:w="1058" w:type="dxa"/>
            <w:hideMark/>
          </w:tcPr>
          <w:p w14:paraId="3291157B" w14:textId="5F8257F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Times New Roman" w:hAnsiTheme="majorHAnsi" w:cstheme="majorHAnsi"/>
                <w:color w:val="000000" w:themeColor="text1"/>
                <w:sz w:val="18"/>
                <w:szCs w:val="18"/>
                <w:lang w:val="pt-BR" w:eastAsia="ja-JP"/>
              </w:rPr>
              <w:t>55.4</w:t>
            </w:r>
          </w:p>
        </w:tc>
        <w:tc>
          <w:tcPr>
            <w:tcW w:w="1663" w:type="dxa"/>
          </w:tcPr>
          <w:p w14:paraId="02F1D452"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val="pt-BR" w:eastAsia="ja-JP"/>
              </w:rPr>
            </w:pPr>
          </w:p>
        </w:tc>
        <w:tc>
          <w:tcPr>
            <w:tcW w:w="908" w:type="dxa"/>
          </w:tcPr>
          <w:p w14:paraId="126B0FF4" w14:textId="322452EA" w:rsidR="005A1BB2" w:rsidRPr="005E6B7C" w:rsidRDefault="005A1BB2" w:rsidP="005A1BB2">
            <w:pPr>
              <w:widowControl/>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val="pt-BR" w:eastAsia="ja-JP"/>
              </w:rPr>
            </w:pPr>
            <w:r w:rsidRPr="005E6B7C">
              <w:rPr>
                <w:rFonts w:asciiTheme="majorHAnsi" w:eastAsia="Times New Roman" w:hAnsiTheme="majorHAnsi" w:cstheme="majorHAnsi"/>
                <w:color w:val="000000" w:themeColor="text1"/>
                <w:sz w:val="18"/>
                <w:szCs w:val="18"/>
                <w:lang w:val="pt-BR" w:eastAsia="ja-JP"/>
              </w:rPr>
              <w:t>55.3</w:t>
            </w:r>
          </w:p>
        </w:tc>
        <w:tc>
          <w:tcPr>
            <w:tcW w:w="1814" w:type="dxa"/>
          </w:tcPr>
          <w:p w14:paraId="304FC60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val="pt-BR" w:eastAsia="ja-JP"/>
              </w:rPr>
            </w:pPr>
          </w:p>
        </w:tc>
        <w:tc>
          <w:tcPr>
            <w:tcW w:w="908" w:type="dxa"/>
          </w:tcPr>
          <w:p w14:paraId="7F6CE8D5" w14:textId="75069E83" w:rsidR="005A1BB2" w:rsidRPr="005E6B7C" w:rsidRDefault="005A1BB2" w:rsidP="005A1BB2">
            <w:pPr>
              <w:widowControl/>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val="pt-BR" w:eastAsia="ja-JP"/>
              </w:rPr>
            </w:pPr>
            <w:r w:rsidRPr="005E6B7C">
              <w:rPr>
                <w:rFonts w:asciiTheme="majorHAnsi" w:eastAsia="Times New Roman" w:hAnsiTheme="majorHAnsi" w:cstheme="majorHAnsi"/>
                <w:color w:val="000000" w:themeColor="text1"/>
                <w:sz w:val="18"/>
                <w:szCs w:val="18"/>
                <w:lang w:val="pt-BR" w:eastAsia="ja-JP"/>
              </w:rPr>
              <w:t>55.4</w:t>
            </w:r>
          </w:p>
        </w:tc>
      </w:tr>
      <w:tr w:rsidR="005A1BB2" w:rsidRPr="005E6B7C" w14:paraId="3D0B217D" w14:textId="77777777" w:rsidTr="008C4A4D">
        <w:trPr>
          <w:jc w:val="center"/>
        </w:trPr>
        <w:tc>
          <w:tcPr>
            <w:tcW w:w="600" w:type="dxa"/>
            <w:hideMark/>
          </w:tcPr>
          <w:p w14:paraId="3348940C" w14:textId="70D895B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6</w:t>
            </w:r>
          </w:p>
        </w:tc>
        <w:tc>
          <w:tcPr>
            <w:tcW w:w="2121" w:type="dxa"/>
          </w:tcPr>
          <w:p w14:paraId="026458BF" w14:textId="0C0477BC"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1.55-1.46 (m)</w:t>
            </w:r>
          </w:p>
        </w:tc>
        <w:tc>
          <w:tcPr>
            <w:tcW w:w="1058" w:type="dxa"/>
            <w:hideMark/>
          </w:tcPr>
          <w:p w14:paraId="5EAD3655" w14:textId="0EC78C1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noProof/>
                <w:color w:val="000000" w:themeColor="text1"/>
                <w:sz w:val="18"/>
                <w:szCs w:val="18"/>
                <w:lang w:eastAsia="vi-VN"/>
              </w:rPr>
              <w:t>19.7</w:t>
            </w:r>
          </w:p>
        </w:tc>
        <w:tc>
          <w:tcPr>
            <w:tcW w:w="1663" w:type="dxa"/>
          </w:tcPr>
          <w:p w14:paraId="360A3565"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0AF3E5B" w14:textId="5990E6F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19.6</w:t>
            </w:r>
          </w:p>
        </w:tc>
        <w:tc>
          <w:tcPr>
            <w:tcW w:w="1814" w:type="dxa"/>
          </w:tcPr>
          <w:p w14:paraId="1DF7FAA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D57D174" w14:textId="280534C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19.7</w:t>
            </w:r>
          </w:p>
        </w:tc>
      </w:tr>
      <w:tr w:rsidR="005A1BB2" w:rsidRPr="005E6B7C" w14:paraId="40CA4769" w14:textId="77777777" w:rsidTr="008C4A4D">
        <w:trPr>
          <w:jc w:val="center"/>
        </w:trPr>
        <w:tc>
          <w:tcPr>
            <w:tcW w:w="600" w:type="dxa"/>
            <w:hideMark/>
          </w:tcPr>
          <w:p w14:paraId="6F1083C9" w14:textId="6736B69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7</w:t>
            </w:r>
          </w:p>
        </w:tc>
        <w:tc>
          <w:tcPr>
            <w:tcW w:w="2121" w:type="dxa"/>
          </w:tcPr>
          <w:p w14:paraId="679CABE1" w14:textId="59B266F2"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1.61 (m)/1.33 (m)</w:t>
            </w:r>
          </w:p>
        </w:tc>
        <w:tc>
          <w:tcPr>
            <w:tcW w:w="1058" w:type="dxa"/>
            <w:hideMark/>
          </w:tcPr>
          <w:p w14:paraId="007ACC4E" w14:textId="209FA7B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34.8</w:t>
            </w:r>
          </w:p>
        </w:tc>
        <w:tc>
          <w:tcPr>
            <w:tcW w:w="1663" w:type="dxa"/>
          </w:tcPr>
          <w:p w14:paraId="01FC7F97"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EB7809F" w14:textId="283132F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34.5</w:t>
            </w:r>
          </w:p>
        </w:tc>
        <w:tc>
          <w:tcPr>
            <w:tcW w:w="1814" w:type="dxa"/>
          </w:tcPr>
          <w:p w14:paraId="70CE4503"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343A6F3D" w14:textId="15EDCBCB"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34.6</w:t>
            </w:r>
          </w:p>
        </w:tc>
      </w:tr>
      <w:tr w:rsidR="005A1BB2" w:rsidRPr="005E6B7C" w14:paraId="5C2CCF4D" w14:textId="77777777" w:rsidTr="008C4A4D">
        <w:trPr>
          <w:jc w:val="center"/>
        </w:trPr>
        <w:tc>
          <w:tcPr>
            <w:tcW w:w="600" w:type="dxa"/>
            <w:hideMark/>
          </w:tcPr>
          <w:p w14:paraId="2B224F3A" w14:textId="1EEF76B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8</w:t>
            </w:r>
          </w:p>
        </w:tc>
        <w:tc>
          <w:tcPr>
            <w:tcW w:w="2121" w:type="dxa"/>
          </w:tcPr>
          <w:p w14:paraId="5E4633DE"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p>
        </w:tc>
        <w:tc>
          <w:tcPr>
            <w:tcW w:w="1058" w:type="dxa"/>
            <w:hideMark/>
          </w:tcPr>
          <w:p w14:paraId="4640B6A5" w14:textId="1C890D7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val="vi-VN" w:eastAsia="vi-VN"/>
              </w:rPr>
            </w:pPr>
            <w:r w:rsidRPr="005E6B7C">
              <w:rPr>
                <w:rFonts w:asciiTheme="majorHAnsi" w:eastAsia="Yu Mincho" w:hAnsiTheme="majorHAnsi" w:cstheme="majorHAnsi"/>
                <w:noProof/>
                <w:color w:val="000000" w:themeColor="text1"/>
                <w:sz w:val="18"/>
                <w:szCs w:val="18"/>
                <w:lang w:eastAsia="vi-VN"/>
              </w:rPr>
              <w:t>40.4</w:t>
            </w:r>
          </w:p>
        </w:tc>
        <w:tc>
          <w:tcPr>
            <w:tcW w:w="1663" w:type="dxa"/>
          </w:tcPr>
          <w:p w14:paraId="3BABC07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7037DFB" w14:textId="6F0CDCFB"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40.3</w:t>
            </w:r>
          </w:p>
        </w:tc>
        <w:tc>
          <w:tcPr>
            <w:tcW w:w="1814" w:type="dxa"/>
          </w:tcPr>
          <w:p w14:paraId="6C04DD79"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11B15C40" w14:textId="4FBC75E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40.3</w:t>
            </w:r>
          </w:p>
        </w:tc>
      </w:tr>
      <w:tr w:rsidR="005A1BB2" w:rsidRPr="005E6B7C" w14:paraId="65BED94D" w14:textId="77777777" w:rsidTr="008C4A4D">
        <w:trPr>
          <w:jc w:val="center"/>
        </w:trPr>
        <w:tc>
          <w:tcPr>
            <w:tcW w:w="600" w:type="dxa"/>
            <w:hideMark/>
          </w:tcPr>
          <w:p w14:paraId="3E19A4D3" w14:textId="7FA451D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9</w:t>
            </w:r>
          </w:p>
        </w:tc>
        <w:tc>
          <w:tcPr>
            <w:tcW w:w="2121" w:type="dxa"/>
          </w:tcPr>
          <w:p w14:paraId="78D5030C" w14:textId="32AA7A81"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1.41 (m)</w:t>
            </w:r>
          </w:p>
        </w:tc>
        <w:tc>
          <w:tcPr>
            <w:tcW w:w="1058" w:type="dxa"/>
            <w:hideMark/>
          </w:tcPr>
          <w:p w14:paraId="1EE2DFBE" w14:textId="6456850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eastAsia="ja-JP"/>
              </w:rPr>
              <w:t>50.4*</w:t>
            </w:r>
          </w:p>
        </w:tc>
        <w:tc>
          <w:tcPr>
            <w:tcW w:w="1663" w:type="dxa"/>
          </w:tcPr>
          <w:p w14:paraId="00AE4396"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38637083" w14:textId="0DFF665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50.0</w:t>
            </w:r>
          </w:p>
        </w:tc>
        <w:tc>
          <w:tcPr>
            <w:tcW w:w="1814" w:type="dxa"/>
          </w:tcPr>
          <w:p w14:paraId="59E03312"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09142AE9" w14:textId="0E46C37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50.0</w:t>
            </w:r>
          </w:p>
        </w:tc>
      </w:tr>
      <w:tr w:rsidR="005A1BB2" w:rsidRPr="005E6B7C" w14:paraId="7AF13051" w14:textId="77777777" w:rsidTr="008C4A4D">
        <w:trPr>
          <w:jc w:val="center"/>
        </w:trPr>
        <w:tc>
          <w:tcPr>
            <w:tcW w:w="600" w:type="dxa"/>
            <w:hideMark/>
          </w:tcPr>
          <w:p w14:paraId="65A342B3" w14:textId="5ED582A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10</w:t>
            </w:r>
          </w:p>
        </w:tc>
        <w:tc>
          <w:tcPr>
            <w:tcW w:w="2121" w:type="dxa"/>
          </w:tcPr>
          <w:p w14:paraId="4342C42A"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p>
        </w:tc>
        <w:tc>
          <w:tcPr>
            <w:tcW w:w="1058" w:type="dxa"/>
            <w:hideMark/>
          </w:tcPr>
          <w:p w14:paraId="736C51C0" w14:textId="0772810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eastAsia="ja-JP"/>
              </w:rPr>
              <w:t>37.0</w:t>
            </w:r>
          </w:p>
        </w:tc>
        <w:tc>
          <w:tcPr>
            <w:tcW w:w="1663" w:type="dxa"/>
          </w:tcPr>
          <w:p w14:paraId="1D89326E"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33606D38" w14:textId="0552709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36.8</w:t>
            </w:r>
          </w:p>
        </w:tc>
        <w:tc>
          <w:tcPr>
            <w:tcW w:w="1814" w:type="dxa"/>
          </w:tcPr>
          <w:p w14:paraId="154ACD3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71AFA8F2" w14:textId="5DAF02D5"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36.8</w:t>
            </w:r>
          </w:p>
        </w:tc>
      </w:tr>
      <w:tr w:rsidR="005A1BB2" w:rsidRPr="005E6B7C" w14:paraId="1CE6AC74" w14:textId="77777777" w:rsidTr="008C4A4D">
        <w:trPr>
          <w:jc w:val="center"/>
        </w:trPr>
        <w:tc>
          <w:tcPr>
            <w:tcW w:w="600" w:type="dxa"/>
            <w:hideMark/>
          </w:tcPr>
          <w:p w14:paraId="11D77C8E" w14:textId="6253A3A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11</w:t>
            </w:r>
          </w:p>
        </w:tc>
        <w:tc>
          <w:tcPr>
            <w:tcW w:w="2121" w:type="dxa"/>
          </w:tcPr>
          <w:p w14:paraId="12D20112" w14:textId="4B272926"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1.52 (m)/1.26 (m)</w:t>
            </w:r>
          </w:p>
        </w:tc>
        <w:tc>
          <w:tcPr>
            <w:tcW w:w="1058" w:type="dxa"/>
            <w:hideMark/>
          </w:tcPr>
          <w:p w14:paraId="1D7FCCD5" w14:textId="3653FB6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22.0</w:t>
            </w:r>
          </w:p>
        </w:tc>
        <w:tc>
          <w:tcPr>
            <w:tcW w:w="1663" w:type="dxa"/>
          </w:tcPr>
          <w:p w14:paraId="4AE1D12F"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5422CEB1" w14:textId="2153595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22.0</w:t>
            </w:r>
          </w:p>
        </w:tc>
        <w:tc>
          <w:tcPr>
            <w:tcW w:w="1814" w:type="dxa"/>
          </w:tcPr>
          <w:p w14:paraId="5660353D"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3E7564D" w14:textId="3BD47D7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22.0</w:t>
            </w:r>
          </w:p>
        </w:tc>
      </w:tr>
      <w:tr w:rsidR="005A1BB2" w:rsidRPr="005E6B7C" w14:paraId="28785F7A" w14:textId="77777777" w:rsidTr="008C4A4D">
        <w:trPr>
          <w:jc w:val="center"/>
        </w:trPr>
        <w:tc>
          <w:tcPr>
            <w:tcW w:w="600" w:type="dxa"/>
            <w:hideMark/>
          </w:tcPr>
          <w:p w14:paraId="5872A7DE" w14:textId="1C8587C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12</w:t>
            </w:r>
          </w:p>
        </w:tc>
        <w:tc>
          <w:tcPr>
            <w:tcW w:w="2121" w:type="dxa"/>
          </w:tcPr>
          <w:p w14:paraId="419EE5A9" w14:textId="19B22F9F"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1.80 (m)/1.42 (m)</w:t>
            </w:r>
          </w:p>
        </w:tc>
        <w:tc>
          <w:tcPr>
            <w:tcW w:w="1058" w:type="dxa"/>
            <w:hideMark/>
          </w:tcPr>
          <w:p w14:paraId="07DD6176" w14:textId="3143623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27.3</w:t>
            </w:r>
          </w:p>
        </w:tc>
        <w:tc>
          <w:tcPr>
            <w:tcW w:w="1663" w:type="dxa"/>
          </w:tcPr>
          <w:p w14:paraId="52F08FE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71CD9F47" w14:textId="05F311C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27.5</w:t>
            </w:r>
          </w:p>
        </w:tc>
        <w:tc>
          <w:tcPr>
            <w:tcW w:w="1814" w:type="dxa"/>
          </w:tcPr>
          <w:p w14:paraId="78646B7D"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3F7C8EA0" w14:textId="39C8A4C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27.5</w:t>
            </w:r>
          </w:p>
        </w:tc>
      </w:tr>
      <w:tr w:rsidR="005A1BB2" w:rsidRPr="005E6B7C" w14:paraId="683F2511" w14:textId="77777777" w:rsidTr="008C4A4D">
        <w:trPr>
          <w:jc w:val="center"/>
        </w:trPr>
        <w:tc>
          <w:tcPr>
            <w:tcW w:w="600" w:type="dxa"/>
            <w:hideMark/>
          </w:tcPr>
          <w:p w14:paraId="2CF38C82" w14:textId="0009359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13</w:t>
            </w:r>
          </w:p>
        </w:tc>
        <w:tc>
          <w:tcPr>
            <w:tcW w:w="2121" w:type="dxa"/>
          </w:tcPr>
          <w:p w14:paraId="1662321E" w14:textId="1B3A398E"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1.62 (m)</w:t>
            </w:r>
          </w:p>
        </w:tc>
        <w:tc>
          <w:tcPr>
            <w:tcW w:w="1058" w:type="dxa"/>
            <w:hideMark/>
          </w:tcPr>
          <w:p w14:paraId="50296909" w14:textId="64F0ED6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44.5</w:t>
            </w:r>
          </w:p>
        </w:tc>
        <w:tc>
          <w:tcPr>
            <w:tcW w:w="1663" w:type="dxa"/>
          </w:tcPr>
          <w:p w14:paraId="5FAF6AB0"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679CDBC5" w14:textId="47ECC29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42.4</w:t>
            </w:r>
          </w:p>
        </w:tc>
        <w:tc>
          <w:tcPr>
            <w:tcW w:w="1814" w:type="dxa"/>
          </w:tcPr>
          <w:p w14:paraId="07A7FBBF"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5271866F" w14:textId="36B0AE1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42.4</w:t>
            </w:r>
          </w:p>
        </w:tc>
      </w:tr>
      <w:tr w:rsidR="005A1BB2" w:rsidRPr="005E6B7C" w14:paraId="0F44AE97" w14:textId="77777777" w:rsidTr="008C4A4D">
        <w:trPr>
          <w:jc w:val="center"/>
        </w:trPr>
        <w:tc>
          <w:tcPr>
            <w:tcW w:w="600" w:type="dxa"/>
            <w:hideMark/>
          </w:tcPr>
          <w:p w14:paraId="597DE7B9" w14:textId="3C187C4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14</w:t>
            </w:r>
          </w:p>
        </w:tc>
        <w:tc>
          <w:tcPr>
            <w:tcW w:w="2121" w:type="dxa"/>
          </w:tcPr>
          <w:p w14:paraId="4E2F8949"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p>
        </w:tc>
        <w:tc>
          <w:tcPr>
            <w:tcW w:w="1058" w:type="dxa"/>
            <w:hideMark/>
          </w:tcPr>
          <w:p w14:paraId="10B290A3" w14:textId="15F50E9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49.2</w:t>
            </w:r>
          </w:p>
        </w:tc>
        <w:tc>
          <w:tcPr>
            <w:tcW w:w="1663" w:type="dxa"/>
          </w:tcPr>
          <w:p w14:paraId="2D636BE6"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5A2F1040" w14:textId="016A591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50.2</w:t>
            </w:r>
          </w:p>
        </w:tc>
        <w:tc>
          <w:tcPr>
            <w:tcW w:w="1814" w:type="dxa"/>
          </w:tcPr>
          <w:p w14:paraId="5A8F3BD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p>
        </w:tc>
        <w:tc>
          <w:tcPr>
            <w:tcW w:w="908" w:type="dxa"/>
          </w:tcPr>
          <w:p w14:paraId="43F7AA15" w14:textId="439630B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50.3</w:t>
            </w:r>
          </w:p>
        </w:tc>
      </w:tr>
      <w:tr w:rsidR="005A1BB2" w:rsidRPr="005E6B7C" w14:paraId="5ACB7BD7" w14:textId="77777777" w:rsidTr="008C4A4D">
        <w:trPr>
          <w:jc w:val="center"/>
        </w:trPr>
        <w:tc>
          <w:tcPr>
            <w:tcW w:w="600" w:type="dxa"/>
            <w:hideMark/>
          </w:tcPr>
          <w:p w14:paraId="58EA8ADB" w14:textId="5D370FC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15</w:t>
            </w:r>
          </w:p>
        </w:tc>
        <w:tc>
          <w:tcPr>
            <w:tcW w:w="2121" w:type="dxa"/>
          </w:tcPr>
          <w:p w14:paraId="38DDCFA5" w14:textId="556578A9"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1.52 (m)/1.11 (m)</w:t>
            </w:r>
          </w:p>
        </w:tc>
        <w:tc>
          <w:tcPr>
            <w:tcW w:w="1058" w:type="dxa"/>
            <w:hideMark/>
          </w:tcPr>
          <w:p w14:paraId="3073CFD9" w14:textId="24AB350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color w:val="000000" w:themeColor="text1"/>
                <w:sz w:val="18"/>
                <w:szCs w:val="18"/>
                <w:lang w:eastAsia="ja-JP"/>
              </w:rPr>
              <w:t>31.6</w:t>
            </w:r>
          </w:p>
        </w:tc>
        <w:tc>
          <w:tcPr>
            <w:tcW w:w="1663" w:type="dxa"/>
          </w:tcPr>
          <w:p w14:paraId="65F988AD"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30FD54AD" w14:textId="28FF39E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31.1</w:t>
            </w:r>
          </w:p>
        </w:tc>
        <w:tc>
          <w:tcPr>
            <w:tcW w:w="1814" w:type="dxa"/>
          </w:tcPr>
          <w:p w14:paraId="01A6460C"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62D9DBA0" w14:textId="2A546E1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31.2</w:t>
            </w:r>
          </w:p>
        </w:tc>
      </w:tr>
      <w:tr w:rsidR="005A1BB2" w:rsidRPr="005E6B7C" w14:paraId="6FCC9F3F" w14:textId="77777777" w:rsidTr="008C4A4D">
        <w:trPr>
          <w:jc w:val="center"/>
        </w:trPr>
        <w:tc>
          <w:tcPr>
            <w:tcW w:w="600" w:type="dxa"/>
          </w:tcPr>
          <w:p w14:paraId="4B5ACFEE" w14:textId="24AAD57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16</w:t>
            </w:r>
          </w:p>
        </w:tc>
        <w:tc>
          <w:tcPr>
            <w:tcW w:w="2121" w:type="dxa"/>
          </w:tcPr>
          <w:p w14:paraId="75E7BBB8" w14:textId="24CD926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1.60 (</w:t>
            </w:r>
            <w:r w:rsidRPr="005E6B7C">
              <w:rPr>
                <w:rFonts w:asciiTheme="majorHAnsi" w:eastAsia="Yu Mincho" w:hAnsiTheme="majorHAnsi" w:cstheme="majorHAnsi"/>
                <w:noProof/>
                <w:color w:val="000000" w:themeColor="text1"/>
                <w:sz w:val="18"/>
                <w:szCs w:val="18"/>
                <w:lang w:eastAsia="vi-VN"/>
              </w:rPr>
              <w:t>m)/</w:t>
            </w:r>
            <w:r w:rsidRPr="005E6B7C">
              <w:rPr>
                <w:rFonts w:asciiTheme="majorHAnsi" w:eastAsia="Yu Mincho" w:hAnsiTheme="majorHAnsi" w:cstheme="majorHAnsi"/>
                <w:color w:val="000000" w:themeColor="text1"/>
                <w:sz w:val="18"/>
                <w:szCs w:val="18"/>
                <w:lang w:eastAsia="ja-JP"/>
              </w:rPr>
              <w:t>1</w:t>
            </w:r>
            <w:r w:rsidR="007A051F"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47 (m)</w:t>
            </w:r>
          </w:p>
        </w:tc>
        <w:tc>
          <w:tcPr>
            <w:tcW w:w="1058" w:type="dxa"/>
          </w:tcPr>
          <w:p w14:paraId="56196F03" w14:textId="74C7C3B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24.9</w:t>
            </w:r>
          </w:p>
        </w:tc>
        <w:tc>
          <w:tcPr>
            <w:tcW w:w="1663" w:type="dxa"/>
          </w:tcPr>
          <w:p w14:paraId="28C4B8F5"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1DF853F1" w14:textId="059285F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24.8</w:t>
            </w:r>
          </w:p>
        </w:tc>
        <w:tc>
          <w:tcPr>
            <w:tcW w:w="1814" w:type="dxa"/>
          </w:tcPr>
          <w:p w14:paraId="5AB8FC39"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05B0EEFA" w14:textId="12841A7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24.8</w:t>
            </w:r>
          </w:p>
        </w:tc>
      </w:tr>
      <w:tr w:rsidR="005A1BB2" w:rsidRPr="005E6B7C" w14:paraId="7E5602FE" w14:textId="77777777" w:rsidTr="008C4A4D">
        <w:trPr>
          <w:jc w:val="center"/>
        </w:trPr>
        <w:tc>
          <w:tcPr>
            <w:tcW w:w="600" w:type="dxa"/>
          </w:tcPr>
          <w:p w14:paraId="18061718" w14:textId="24A4F73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17</w:t>
            </w:r>
          </w:p>
        </w:tc>
        <w:tc>
          <w:tcPr>
            <w:tcW w:w="2121" w:type="dxa"/>
          </w:tcPr>
          <w:p w14:paraId="3CB0BA14" w14:textId="13FEEED1" w:rsidR="005A1BB2" w:rsidRPr="005E6B7C" w:rsidRDefault="008C4A4D"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vi-VN"/>
              </w:rPr>
              <w:t>2.17</w:t>
            </w:r>
            <w:r w:rsidR="005A1BB2" w:rsidRPr="005E6B7C">
              <w:rPr>
                <w:rFonts w:asciiTheme="majorHAnsi" w:eastAsia="Yu Mincho" w:hAnsiTheme="majorHAnsi" w:cstheme="majorHAnsi"/>
                <w:color w:val="000000" w:themeColor="text1"/>
                <w:sz w:val="18"/>
                <w:szCs w:val="18"/>
                <w:lang w:eastAsia="ja-JP"/>
              </w:rPr>
              <w:t xml:space="preserve"> (m)</w:t>
            </w:r>
          </w:p>
        </w:tc>
        <w:tc>
          <w:tcPr>
            <w:tcW w:w="1058" w:type="dxa"/>
          </w:tcPr>
          <w:p w14:paraId="62DF5A3E" w14:textId="4C705F6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50.3*</w:t>
            </w:r>
          </w:p>
        </w:tc>
        <w:tc>
          <w:tcPr>
            <w:tcW w:w="1663" w:type="dxa"/>
          </w:tcPr>
          <w:p w14:paraId="2D95F995"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6D9482AC" w14:textId="5AE81A6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49.8</w:t>
            </w:r>
          </w:p>
        </w:tc>
        <w:tc>
          <w:tcPr>
            <w:tcW w:w="1814" w:type="dxa"/>
          </w:tcPr>
          <w:p w14:paraId="7565ED81"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625552CA" w14:textId="6D703CB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49.8</w:t>
            </w:r>
          </w:p>
        </w:tc>
      </w:tr>
      <w:tr w:rsidR="005A1BB2" w:rsidRPr="005E6B7C" w14:paraId="0DA9D40A" w14:textId="77777777" w:rsidTr="008C4A4D">
        <w:trPr>
          <w:jc w:val="center"/>
        </w:trPr>
        <w:tc>
          <w:tcPr>
            <w:tcW w:w="600" w:type="dxa"/>
          </w:tcPr>
          <w:p w14:paraId="44BDD4E4" w14:textId="057A6CA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18</w:t>
            </w:r>
          </w:p>
        </w:tc>
        <w:tc>
          <w:tcPr>
            <w:tcW w:w="2121" w:type="dxa"/>
          </w:tcPr>
          <w:p w14:paraId="419D0A2A" w14:textId="21780D61" w:rsidR="005A1BB2" w:rsidRPr="005E6B7C" w:rsidRDefault="008C4A4D"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1.00</w:t>
            </w:r>
            <w:r w:rsidR="005A1BB2" w:rsidRPr="005E6B7C">
              <w:rPr>
                <w:rFonts w:asciiTheme="majorHAnsi" w:eastAsia="Yu Mincho" w:hAnsiTheme="majorHAnsi" w:cstheme="majorHAnsi"/>
                <w:color w:val="000000" w:themeColor="text1"/>
                <w:sz w:val="18"/>
                <w:szCs w:val="18"/>
                <w:lang w:val="pt-BR" w:eastAsia="ja-JP"/>
              </w:rPr>
              <w:t xml:space="preserve"> (s)</w:t>
            </w:r>
          </w:p>
        </w:tc>
        <w:tc>
          <w:tcPr>
            <w:tcW w:w="1058" w:type="dxa"/>
          </w:tcPr>
          <w:p w14:paraId="409BD735" w14:textId="361EF91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15.3</w:t>
            </w:r>
          </w:p>
        </w:tc>
        <w:tc>
          <w:tcPr>
            <w:tcW w:w="1663" w:type="dxa"/>
          </w:tcPr>
          <w:p w14:paraId="359BDFF3" w14:textId="2D2CF27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1.00 (s)</w:t>
            </w:r>
          </w:p>
        </w:tc>
        <w:tc>
          <w:tcPr>
            <w:tcW w:w="908" w:type="dxa"/>
          </w:tcPr>
          <w:p w14:paraId="37EB42FF" w14:textId="25B04DB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w:t>
            </w:r>
          </w:p>
        </w:tc>
        <w:tc>
          <w:tcPr>
            <w:tcW w:w="1814" w:type="dxa"/>
          </w:tcPr>
          <w:p w14:paraId="577602AF" w14:textId="06AB8BC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0.93 (s)</w:t>
            </w:r>
          </w:p>
        </w:tc>
        <w:tc>
          <w:tcPr>
            <w:tcW w:w="908" w:type="dxa"/>
          </w:tcPr>
          <w:p w14:paraId="6551C971" w14:textId="11485B4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w:t>
            </w:r>
          </w:p>
        </w:tc>
      </w:tr>
      <w:tr w:rsidR="005A1BB2" w:rsidRPr="005E6B7C" w14:paraId="49933C3D" w14:textId="77777777" w:rsidTr="008C4A4D">
        <w:trPr>
          <w:jc w:val="center"/>
        </w:trPr>
        <w:tc>
          <w:tcPr>
            <w:tcW w:w="600" w:type="dxa"/>
          </w:tcPr>
          <w:p w14:paraId="47382AE5" w14:textId="33A0C96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19</w:t>
            </w:r>
          </w:p>
        </w:tc>
        <w:tc>
          <w:tcPr>
            <w:tcW w:w="2121" w:type="dxa"/>
          </w:tcPr>
          <w:p w14:paraId="50D273EC" w14:textId="7F34B445"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0.94 (s)</w:t>
            </w:r>
          </w:p>
        </w:tc>
        <w:tc>
          <w:tcPr>
            <w:tcW w:w="1058" w:type="dxa"/>
          </w:tcPr>
          <w:p w14:paraId="34B611AE" w14:textId="7C8231A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16.1</w:t>
            </w:r>
          </w:p>
        </w:tc>
        <w:tc>
          <w:tcPr>
            <w:tcW w:w="1663" w:type="dxa"/>
          </w:tcPr>
          <w:p w14:paraId="47D11E19" w14:textId="2CC98D7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0.93 (s)</w:t>
            </w:r>
          </w:p>
        </w:tc>
        <w:tc>
          <w:tcPr>
            <w:tcW w:w="908" w:type="dxa"/>
          </w:tcPr>
          <w:p w14:paraId="3C7C6F69" w14:textId="01A365C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16.0</w:t>
            </w:r>
          </w:p>
        </w:tc>
        <w:tc>
          <w:tcPr>
            <w:tcW w:w="1814" w:type="dxa"/>
          </w:tcPr>
          <w:p w14:paraId="0CCAF02E" w14:textId="66652B5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0.88 (s)</w:t>
            </w:r>
          </w:p>
        </w:tc>
        <w:tc>
          <w:tcPr>
            <w:tcW w:w="908" w:type="dxa"/>
          </w:tcPr>
          <w:p w14:paraId="606CD0CD" w14:textId="7511F05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16.0</w:t>
            </w:r>
          </w:p>
        </w:tc>
      </w:tr>
      <w:tr w:rsidR="005A1BB2" w:rsidRPr="005E6B7C" w14:paraId="71271D85" w14:textId="77777777" w:rsidTr="008C4A4D">
        <w:trPr>
          <w:jc w:val="center"/>
        </w:trPr>
        <w:tc>
          <w:tcPr>
            <w:tcW w:w="600" w:type="dxa"/>
          </w:tcPr>
          <w:p w14:paraId="307ABBFD" w14:textId="0E0DDFFB"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20</w:t>
            </w:r>
          </w:p>
        </w:tc>
        <w:tc>
          <w:tcPr>
            <w:tcW w:w="2121" w:type="dxa"/>
          </w:tcPr>
          <w:p w14:paraId="6F8AABDA"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p>
        </w:tc>
        <w:tc>
          <w:tcPr>
            <w:tcW w:w="1058" w:type="dxa"/>
          </w:tcPr>
          <w:p w14:paraId="35EFCD52" w14:textId="19CC037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137.3</w:t>
            </w:r>
          </w:p>
        </w:tc>
        <w:tc>
          <w:tcPr>
            <w:tcW w:w="1663" w:type="dxa"/>
          </w:tcPr>
          <w:p w14:paraId="4BA497D5"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0461A671" w14:textId="2D8F313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75.3</w:t>
            </w:r>
          </w:p>
        </w:tc>
        <w:tc>
          <w:tcPr>
            <w:tcW w:w="1814" w:type="dxa"/>
          </w:tcPr>
          <w:p w14:paraId="313AEB48"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3C6105C5" w14:textId="0948366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75.4</w:t>
            </w:r>
          </w:p>
        </w:tc>
      </w:tr>
      <w:tr w:rsidR="005A1BB2" w:rsidRPr="005E6B7C" w14:paraId="0F6A2109" w14:textId="77777777" w:rsidTr="008C4A4D">
        <w:trPr>
          <w:jc w:val="center"/>
        </w:trPr>
        <w:tc>
          <w:tcPr>
            <w:tcW w:w="600" w:type="dxa"/>
          </w:tcPr>
          <w:p w14:paraId="04A4780C" w14:textId="0140EE3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21</w:t>
            </w:r>
          </w:p>
        </w:tc>
        <w:tc>
          <w:tcPr>
            <w:tcW w:w="2121" w:type="dxa"/>
          </w:tcPr>
          <w:p w14:paraId="349E1A3C" w14:textId="688CF425"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1.56 (s)</w:t>
            </w:r>
          </w:p>
        </w:tc>
        <w:tc>
          <w:tcPr>
            <w:tcW w:w="1058" w:type="dxa"/>
          </w:tcPr>
          <w:p w14:paraId="30613A47" w14:textId="6283637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w:t>
            </w:r>
          </w:p>
        </w:tc>
        <w:tc>
          <w:tcPr>
            <w:tcW w:w="1663" w:type="dxa"/>
          </w:tcPr>
          <w:p w14:paraId="1D057E67" w14:textId="35195B2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1.15 (s)</w:t>
            </w:r>
          </w:p>
        </w:tc>
        <w:tc>
          <w:tcPr>
            <w:tcW w:w="908" w:type="dxa"/>
          </w:tcPr>
          <w:p w14:paraId="76CEE944" w14:textId="69DB981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25.5</w:t>
            </w:r>
          </w:p>
        </w:tc>
        <w:tc>
          <w:tcPr>
            <w:tcW w:w="1814" w:type="dxa"/>
          </w:tcPr>
          <w:p w14:paraId="7AD7CA37" w14:textId="2887501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1.08 (s)</w:t>
            </w:r>
          </w:p>
        </w:tc>
        <w:tc>
          <w:tcPr>
            <w:tcW w:w="908" w:type="dxa"/>
          </w:tcPr>
          <w:p w14:paraId="43758B34" w14:textId="1DE40DF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25.5</w:t>
            </w:r>
          </w:p>
        </w:tc>
      </w:tr>
      <w:tr w:rsidR="005A1BB2" w:rsidRPr="005E6B7C" w14:paraId="1A49F738" w14:textId="77777777" w:rsidTr="008C4A4D">
        <w:trPr>
          <w:jc w:val="center"/>
        </w:trPr>
        <w:tc>
          <w:tcPr>
            <w:tcW w:w="600" w:type="dxa"/>
          </w:tcPr>
          <w:p w14:paraId="75821342" w14:textId="062C5FE5"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22</w:t>
            </w:r>
          </w:p>
        </w:tc>
        <w:tc>
          <w:tcPr>
            <w:tcW w:w="2121" w:type="dxa"/>
          </w:tcPr>
          <w:p w14:paraId="1A29C5A3" w14:textId="709EAA5F"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5.15 (t, 7.2 Hz)</w:t>
            </w:r>
          </w:p>
        </w:tc>
        <w:tc>
          <w:tcPr>
            <w:tcW w:w="1058" w:type="dxa"/>
          </w:tcPr>
          <w:p w14:paraId="4F8FBF07" w14:textId="60D7749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124.5</w:t>
            </w:r>
          </w:p>
        </w:tc>
        <w:tc>
          <w:tcPr>
            <w:tcW w:w="1663" w:type="dxa"/>
          </w:tcPr>
          <w:p w14:paraId="58A04DF4"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18DB5E63" w14:textId="68B16B3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40.5</w:t>
            </w:r>
          </w:p>
        </w:tc>
        <w:tc>
          <w:tcPr>
            <w:tcW w:w="1814" w:type="dxa"/>
          </w:tcPr>
          <w:p w14:paraId="32C0C027"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279856E3" w14:textId="2E6540C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40.5</w:t>
            </w:r>
          </w:p>
        </w:tc>
      </w:tr>
      <w:tr w:rsidR="005A1BB2" w:rsidRPr="005E6B7C" w14:paraId="2C060B8E" w14:textId="77777777" w:rsidTr="008C4A4D">
        <w:trPr>
          <w:jc w:val="center"/>
        </w:trPr>
        <w:tc>
          <w:tcPr>
            <w:tcW w:w="600" w:type="dxa"/>
          </w:tcPr>
          <w:p w14:paraId="229DCE07" w14:textId="44D28A3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23</w:t>
            </w:r>
          </w:p>
        </w:tc>
        <w:tc>
          <w:tcPr>
            <w:tcW w:w="2121" w:type="dxa"/>
          </w:tcPr>
          <w:p w14:paraId="1AF59C3E" w14:textId="6F92D83A"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2.08 (m)</w:t>
            </w:r>
          </w:p>
        </w:tc>
        <w:tc>
          <w:tcPr>
            <w:tcW w:w="1058" w:type="dxa"/>
          </w:tcPr>
          <w:p w14:paraId="5B77A4C1" w14:textId="52E3182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23.0</w:t>
            </w:r>
          </w:p>
        </w:tc>
        <w:tc>
          <w:tcPr>
            <w:tcW w:w="1663" w:type="dxa"/>
          </w:tcPr>
          <w:p w14:paraId="17F85CBA" w14:textId="39FEEB5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2.05 (m)</w:t>
            </w:r>
          </w:p>
        </w:tc>
        <w:tc>
          <w:tcPr>
            <w:tcW w:w="908" w:type="dxa"/>
          </w:tcPr>
          <w:p w14:paraId="2E0A1287" w14:textId="79EC126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22.6</w:t>
            </w:r>
          </w:p>
        </w:tc>
        <w:tc>
          <w:tcPr>
            <w:tcW w:w="1814" w:type="dxa"/>
          </w:tcPr>
          <w:p w14:paraId="53759F68" w14:textId="077B64A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1.99 (m)</w:t>
            </w:r>
          </w:p>
        </w:tc>
        <w:tc>
          <w:tcPr>
            <w:tcW w:w="908" w:type="dxa"/>
          </w:tcPr>
          <w:p w14:paraId="627134DE" w14:textId="38C1DC2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22.6</w:t>
            </w:r>
          </w:p>
        </w:tc>
      </w:tr>
      <w:tr w:rsidR="005A1BB2" w:rsidRPr="005E6B7C" w14:paraId="4515F076" w14:textId="77777777" w:rsidTr="008C4A4D">
        <w:trPr>
          <w:jc w:val="center"/>
        </w:trPr>
        <w:tc>
          <w:tcPr>
            <w:tcW w:w="600" w:type="dxa"/>
          </w:tcPr>
          <w:p w14:paraId="7EF6176E" w14:textId="2A3F1B5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24</w:t>
            </w:r>
          </w:p>
        </w:tc>
        <w:tc>
          <w:tcPr>
            <w:tcW w:w="2121" w:type="dxa"/>
          </w:tcPr>
          <w:p w14:paraId="41EDD6CA" w14:textId="1655A62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1.53 (m)</w:t>
            </w:r>
          </w:p>
        </w:tc>
        <w:tc>
          <w:tcPr>
            <w:tcW w:w="1058" w:type="dxa"/>
          </w:tcPr>
          <w:p w14:paraId="5C55D8BA" w14:textId="5187D2A5"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43.7</w:t>
            </w:r>
          </w:p>
        </w:tc>
        <w:tc>
          <w:tcPr>
            <w:tcW w:w="1663" w:type="dxa"/>
          </w:tcPr>
          <w:p w14:paraId="64682D23" w14:textId="058FF97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5.12 (t, 6.0)</w:t>
            </w:r>
          </w:p>
        </w:tc>
        <w:tc>
          <w:tcPr>
            <w:tcW w:w="908" w:type="dxa"/>
          </w:tcPr>
          <w:p w14:paraId="0B988231" w14:textId="7034790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124.7</w:t>
            </w:r>
          </w:p>
        </w:tc>
        <w:tc>
          <w:tcPr>
            <w:tcW w:w="1814" w:type="dxa"/>
          </w:tcPr>
          <w:p w14:paraId="74C7498B" w14:textId="4C646C8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5.05 (t, 5.0)</w:t>
            </w:r>
          </w:p>
        </w:tc>
        <w:tc>
          <w:tcPr>
            <w:tcW w:w="908" w:type="dxa"/>
          </w:tcPr>
          <w:p w14:paraId="1C5D5F19" w14:textId="0CC0995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124.7</w:t>
            </w:r>
          </w:p>
        </w:tc>
      </w:tr>
      <w:tr w:rsidR="005A1BB2" w:rsidRPr="005E6B7C" w14:paraId="5B75C15D" w14:textId="77777777" w:rsidTr="008C4A4D">
        <w:trPr>
          <w:jc w:val="center"/>
        </w:trPr>
        <w:tc>
          <w:tcPr>
            <w:tcW w:w="600" w:type="dxa"/>
          </w:tcPr>
          <w:p w14:paraId="75B6C96A" w14:textId="0E31F5C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25</w:t>
            </w:r>
          </w:p>
        </w:tc>
        <w:tc>
          <w:tcPr>
            <w:tcW w:w="2121" w:type="dxa"/>
          </w:tcPr>
          <w:p w14:paraId="0059CC97" w14:textId="77777777"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p>
        </w:tc>
        <w:tc>
          <w:tcPr>
            <w:tcW w:w="1058" w:type="dxa"/>
          </w:tcPr>
          <w:p w14:paraId="100A71AF" w14:textId="29BA80D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71.2</w:t>
            </w:r>
          </w:p>
        </w:tc>
        <w:tc>
          <w:tcPr>
            <w:tcW w:w="1663" w:type="dxa"/>
          </w:tcPr>
          <w:p w14:paraId="7BB7FC39"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5C540103" w14:textId="4420F72A"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131.6</w:t>
            </w:r>
          </w:p>
        </w:tc>
        <w:tc>
          <w:tcPr>
            <w:tcW w:w="1814" w:type="dxa"/>
          </w:tcPr>
          <w:p w14:paraId="1DB7A822" w14:textId="7777777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p>
        </w:tc>
        <w:tc>
          <w:tcPr>
            <w:tcW w:w="908" w:type="dxa"/>
          </w:tcPr>
          <w:p w14:paraId="29B9E43D" w14:textId="65867357"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131.6</w:t>
            </w:r>
          </w:p>
        </w:tc>
      </w:tr>
      <w:tr w:rsidR="005A1BB2" w:rsidRPr="005E6B7C" w14:paraId="3DC4A64F" w14:textId="77777777" w:rsidTr="008C4A4D">
        <w:trPr>
          <w:jc w:val="center"/>
        </w:trPr>
        <w:tc>
          <w:tcPr>
            <w:tcW w:w="600" w:type="dxa"/>
          </w:tcPr>
          <w:p w14:paraId="4F87F862" w14:textId="1277E00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26</w:t>
            </w:r>
          </w:p>
        </w:tc>
        <w:tc>
          <w:tcPr>
            <w:tcW w:w="2121" w:type="dxa"/>
          </w:tcPr>
          <w:p w14:paraId="2E509B26" w14:textId="283C8E06"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1.23 (s)</w:t>
            </w:r>
          </w:p>
        </w:tc>
        <w:tc>
          <w:tcPr>
            <w:tcW w:w="1058" w:type="dxa"/>
          </w:tcPr>
          <w:p w14:paraId="655CC896" w14:textId="335EC3F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29.2**</w:t>
            </w:r>
          </w:p>
        </w:tc>
        <w:tc>
          <w:tcPr>
            <w:tcW w:w="1663" w:type="dxa"/>
          </w:tcPr>
          <w:p w14:paraId="3387FCC8" w14:textId="571F9F6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1.69 (s)</w:t>
            </w:r>
          </w:p>
        </w:tc>
        <w:tc>
          <w:tcPr>
            <w:tcW w:w="908" w:type="dxa"/>
          </w:tcPr>
          <w:p w14:paraId="02F959C7" w14:textId="5F9C279E"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25.7</w:t>
            </w:r>
          </w:p>
        </w:tc>
        <w:tc>
          <w:tcPr>
            <w:tcW w:w="1814" w:type="dxa"/>
          </w:tcPr>
          <w:p w14:paraId="32F5E7F5" w14:textId="58DB880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1.62 (s)</w:t>
            </w:r>
          </w:p>
        </w:tc>
        <w:tc>
          <w:tcPr>
            <w:tcW w:w="908" w:type="dxa"/>
          </w:tcPr>
          <w:p w14:paraId="1ED0727B" w14:textId="5BD90419"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25.7</w:t>
            </w:r>
          </w:p>
        </w:tc>
      </w:tr>
      <w:tr w:rsidR="005A1BB2" w:rsidRPr="005E6B7C" w14:paraId="04CFC9A8" w14:textId="77777777" w:rsidTr="008C4A4D">
        <w:trPr>
          <w:jc w:val="center"/>
        </w:trPr>
        <w:tc>
          <w:tcPr>
            <w:tcW w:w="600" w:type="dxa"/>
          </w:tcPr>
          <w:p w14:paraId="3C2D056F" w14:textId="3C63DA4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27</w:t>
            </w:r>
          </w:p>
        </w:tc>
        <w:tc>
          <w:tcPr>
            <w:tcW w:w="2121" w:type="dxa"/>
          </w:tcPr>
          <w:p w14:paraId="263639E9" w14:textId="218BE943"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1.23 (s)</w:t>
            </w:r>
          </w:p>
        </w:tc>
        <w:tc>
          <w:tcPr>
            <w:tcW w:w="1058" w:type="dxa"/>
          </w:tcPr>
          <w:p w14:paraId="0958572C" w14:textId="4FAB8BF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29.3**</w:t>
            </w:r>
          </w:p>
        </w:tc>
        <w:tc>
          <w:tcPr>
            <w:tcW w:w="1663" w:type="dxa"/>
          </w:tcPr>
          <w:p w14:paraId="1D14D6F4" w14:textId="219DBF8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1.62 (s)</w:t>
            </w:r>
          </w:p>
        </w:tc>
        <w:tc>
          <w:tcPr>
            <w:tcW w:w="908" w:type="dxa"/>
          </w:tcPr>
          <w:p w14:paraId="4387094F" w14:textId="543B5F9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w:t>
            </w:r>
          </w:p>
        </w:tc>
        <w:tc>
          <w:tcPr>
            <w:tcW w:w="1814" w:type="dxa"/>
          </w:tcPr>
          <w:p w14:paraId="2E7CFE28" w14:textId="756B267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1.56 (s)</w:t>
            </w:r>
          </w:p>
        </w:tc>
        <w:tc>
          <w:tcPr>
            <w:tcW w:w="908" w:type="dxa"/>
          </w:tcPr>
          <w:p w14:paraId="0C2F11F0" w14:textId="1BCAA9B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w:t>
            </w:r>
          </w:p>
        </w:tc>
      </w:tr>
      <w:tr w:rsidR="005A1BB2" w:rsidRPr="005E6B7C" w14:paraId="16F6FA26" w14:textId="77777777" w:rsidTr="008C4A4D">
        <w:trPr>
          <w:jc w:val="center"/>
        </w:trPr>
        <w:tc>
          <w:tcPr>
            <w:tcW w:w="600" w:type="dxa"/>
          </w:tcPr>
          <w:p w14:paraId="3277DE9D" w14:textId="7C4CCB96"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28</w:t>
            </w:r>
          </w:p>
        </w:tc>
        <w:tc>
          <w:tcPr>
            <w:tcW w:w="2121" w:type="dxa"/>
          </w:tcPr>
          <w:p w14:paraId="3BA409CC" w14:textId="7837AB84"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1.08 (s)</w:t>
            </w:r>
          </w:p>
        </w:tc>
        <w:tc>
          <w:tcPr>
            <w:tcW w:w="1058" w:type="dxa"/>
          </w:tcPr>
          <w:p w14:paraId="1F18AC01" w14:textId="660FD64F"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26.8</w:t>
            </w:r>
          </w:p>
        </w:tc>
        <w:tc>
          <w:tcPr>
            <w:tcW w:w="1663" w:type="dxa"/>
          </w:tcPr>
          <w:p w14:paraId="108B747D" w14:textId="1B950B1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1.08 (s)</w:t>
            </w:r>
          </w:p>
        </w:tc>
        <w:tc>
          <w:tcPr>
            <w:tcW w:w="908" w:type="dxa"/>
          </w:tcPr>
          <w:p w14:paraId="510095E2" w14:textId="2518352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26.7</w:t>
            </w:r>
          </w:p>
        </w:tc>
        <w:tc>
          <w:tcPr>
            <w:tcW w:w="1814" w:type="dxa"/>
          </w:tcPr>
          <w:p w14:paraId="1E82DAF7" w14:textId="193C5400"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1.01 (s)</w:t>
            </w:r>
          </w:p>
        </w:tc>
        <w:tc>
          <w:tcPr>
            <w:tcW w:w="908" w:type="dxa"/>
          </w:tcPr>
          <w:p w14:paraId="1D1703BC" w14:textId="590BE55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26.7</w:t>
            </w:r>
          </w:p>
        </w:tc>
      </w:tr>
      <w:tr w:rsidR="005A1BB2" w:rsidRPr="005E6B7C" w14:paraId="4CBD6BD9" w14:textId="77777777" w:rsidTr="008C4A4D">
        <w:trPr>
          <w:jc w:val="center"/>
        </w:trPr>
        <w:tc>
          <w:tcPr>
            <w:tcW w:w="600" w:type="dxa"/>
          </w:tcPr>
          <w:p w14:paraId="1BE735C9" w14:textId="5E50898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29</w:t>
            </w:r>
          </w:p>
        </w:tc>
        <w:tc>
          <w:tcPr>
            <w:tcW w:w="2121" w:type="dxa"/>
          </w:tcPr>
          <w:p w14:paraId="1007196B" w14:textId="0A5188A2"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1.04 (s)</w:t>
            </w:r>
          </w:p>
        </w:tc>
        <w:tc>
          <w:tcPr>
            <w:tcW w:w="1058" w:type="dxa"/>
          </w:tcPr>
          <w:p w14:paraId="7B66D697" w14:textId="38971C1C"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w:t>
            </w:r>
          </w:p>
        </w:tc>
        <w:tc>
          <w:tcPr>
            <w:tcW w:w="1663" w:type="dxa"/>
          </w:tcPr>
          <w:p w14:paraId="33434BF4" w14:textId="5A0160A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1.04 (s)</w:t>
            </w:r>
          </w:p>
        </w:tc>
        <w:tc>
          <w:tcPr>
            <w:tcW w:w="908" w:type="dxa"/>
          </w:tcPr>
          <w:p w14:paraId="37C5951A" w14:textId="560E459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w:t>
            </w:r>
          </w:p>
        </w:tc>
        <w:tc>
          <w:tcPr>
            <w:tcW w:w="1814" w:type="dxa"/>
          </w:tcPr>
          <w:p w14:paraId="31F5C889" w14:textId="3B864398"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0.97 (s)</w:t>
            </w:r>
          </w:p>
        </w:tc>
        <w:tc>
          <w:tcPr>
            <w:tcW w:w="908" w:type="dxa"/>
          </w:tcPr>
          <w:p w14:paraId="3D1AEB30" w14:textId="16D14B4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w:t>
            </w:r>
          </w:p>
        </w:tc>
      </w:tr>
      <w:tr w:rsidR="005A1BB2" w:rsidRPr="005E6B7C" w14:paraId="4C955944" w14:textId="77777777" w:rsidTr="008C4A4D">
        <w:trPr>
          <w:jc w:val="center"/>
        </w:trPr>
        <w:tc>
          <w:tcPr>
            <w:tcW w:w="600" w:type="dxa"/>
          </w:tcPr>
          <w:p w14:paraId="19DF54C0" w14:textId="3DEF165D"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noProof/>
                <w:color w:val="000000" w:themeColor="text1"/>
                <w:sz w:val="18"/>
                <w:szCs w:val="18"/>
                <w:lang w:eastAsia="vi-VN"/>
              </w:rPr>
            </w:pPr>
            <w:r w:rsidRPr="005E6B7C">
              <w:rPr>
                <w:rFonts w:asciiTheme="majorHAnsi" w:eastAsia="Yu Mincho" w:hAnsiTheme="majorHAnsi" w:cstheme="majorHAnsi"/>
                <w:noProof/>
                <w:color w:val="000000" w:themeColor="text1"/>
                <w:sz w:val="18"/>
                <w:szCs w:val="18"/>
                <w:lang w:eastAsia="vi-VN"/>
              </w:rPr>
              <w:t>30</w:t>
            </w:r>
          </w:p>
        </w:tc>
        <w:tc>
          <w:tcPr>
            <w:tcW w:w="2121" w:type="dxa"/>
          </w:tcPr>
          <w:p w14:paraId="27C31953" w14:textId="7AE89F96" w:rsidR="005A1BB2" w:rsidRPr="005E6B7C" w:rsidRDefault="005A1BB2" w:rsidP="005A1BB2">
            <w:pPr>
              <w:widowControl/>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0.86 (s)</w:t>
            </w:r>
          </w:p>
        </w:tc>
        <w:tc>
          <w:tcPr>
            <w:tcW w:w="1058" w:type="dxa"/>
          </w:tcPr>
          <w:p w14:paraId="02AF5B40" w14:textId="1BDDD40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15.8</w:t>
            </w:r>
          </w:p>
        </w:tc>
        <w:tc>
          <w:tcPr>
            <w:tcW w:w="1663" w:type="dxa"/>
          </w:tcPr>
          <w:p w14:paraId="1C4C4E6A" w14:textId="0392CC93"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0.89 (s)</w:t>
            </w:r>
          </w:p>
        </w:tc>
        <w:tc>
          <w:tcPr>
            <w:tcW w:w="908" w:type="dxa"/>
          </w:tcPr>
          <w:p w14:paraId="3668F9C6" w14:textId="316E3DA1"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w:t>
            </w:r>
          </w:p>
        </w:tc>
        <w:tc>
          <w:tcPr>
            <w:tcW w:w="1814" w:type="dxa"/>
          </w:tcPr>
          <w:p w14:paraId="7442F36C" w14:textId="27EDE534"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t-BR" w:eastAsia="ja-JP"/>
              </w:rPr>
              <w:t>0.82 (s)</w:t>
            </w:r>
          </w:p>
        </w:tc>
        <w:tc>
          <w:tcPr>
            <w:tcW w:w="908" w:type="dxa"/>
          </w:tcPr>
          <w:p w14:paraId="478175E9" w14:textId="555F20B2" w:rsidR="005A1BB2" w:rsidRPr="005E6B7C" w:rsidRDefault="005A1BB2" w:rsidP="005A1BB2">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16.4</w:t>
            </w:r>
          </w:p>
        </w:tc>
      </w:tr>
    </w:tbl>
    <w:bookmarkEnd w:id="2"/>
    <w:p w14:paraId="188E5594" w14:textId="77777777" w:rsidR="00E049CB" w:rsidRPr="005E6B7C" w:rsidRDefault="00E049CB" w:rsidP="008C0D47">
      <w:pPr>
        <w:widowControl/>
        <w:tabs>
          <w:tab w:val="left" w:pos="270"/>
          <w:tab w:val="left" w:pos="540"/>
          <w:tab w:val="left" w:pos="9270"/>
        </w:tabs>
        <w:spacing w:before="120"/>
        <w:ind w:right="-20" w:firstLine="284"/>
        <w:jc w:val="both"/>
        <w:rPr>
          <w:rFonts w:asciiTheme="majorHAnsi" w:eastAsia="Yu Mincho" w:hAnsiTheme="majorHAnsi" w:cstheme="majorHAnsi"/>
          <w:i/>
          <w:color w:val="000000" w:themeColor="text1"/>
          <w:sz w:val="18"/>
          <w:szCs w:val="18"/>
          <w:lang w:eastAsia="ja-JP"/>
        </w:rPr>
      </w:pPr>
      <w:r w:rsidRPr="005E6B7C">
        <w:rPr>
          <w:rFonts w:asciiTheme="majorHAnsi" w:eastAsia="Calibri" w:hAnsiTheme="majorHAnsi" w:cstheme="majorHAnsi"/>
          <w:bCs/>
          <w:i/>
          <w:color w:val="000000" w:themeColor="text1"/>
          <w:sz w:val="18"/>
          <w:szCs w:val="18"/>
          <w:vertAlign w:val="superscript"/>
          <w:lang w:eastAsia="fr-FR"/>
        </w:rPr>
        <w:t xml:space="preserve">a: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xml:space="preserve">, 600 MHz, </w:t>
      </w:r>
      <w:r w:rsidRPr="005E6B7C">
        <w:rPr>
          <w:rFonts w:asciiTheme="majorHAnsi" w:eastAsia="Calibri" w:hAnsiTheme="majorHAnsi" w:cstheme="majorHAnsi"/>
          <w:bCs/>
          <w:i/>
          <w:color w:val="000000" w:themeColor="text1"/>
          <w:sz w:val="18"/>
          <w:szCs w:val="18"/>
          <w:vertAlign w:val="superscript"/>
          <w:lang w:eastAsia="fr-FR"/>
        </w:rPr>
        <w:t xml:space="preserve">b: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xml:space="preserve">, 125 Mz  </w:t>
      </w:r>
      <w:r w:rsidRPr="005E6B7C">
        <w:rPr>
          <w:rFonts w:asciiTheme="majorHAnsi" w:eastAsia="Calibri" w:hAnsiTheme="majorHAnsi" w:cstheme="majorHAnsi"/>
          <w:bCs/>
          <w:i/>
          <w:color w:val="000000" w:themeColor="text1"/>
          <w:sz w:val="18"/>
          <w:szCs w:val="18"/>
          <w:vertAlign w:val="superscript"/>
          <w:lang w:eastAsia="fr-FR"/>
        </w:rPr>
        <w:t xml:space="preserve">c: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500 MHz, *, **: the signals can be exchanged</w:t>
      </w:r>
      <w:r w:rsidR="00AA07C9" w:rsidRPr="005E6B7C">
        <w:rPr>
          <w:rFonts w:asciiTheme="majorHAnsi" w:eastAsia="Calibri" w:hAnsiTheme="majorHAnsi" w:cstheme="majorHAnsi"/>
          <w:bCs/>
          <w:i/>
          <w:color w:val="000000" w:themeColor="text1"/>
          <w:sz w:val="18"/>
          <w:szCs w:val="18"/>
          <w:lang w:eastAsia="fr-FR"/>
        </w:rPr>
        <w:t>.</w:t>
      </w:r>
    </w:p>
    <w:p w14:paraId="2775DA5F" w14:textId="77777777" w:rsidR="009C728D" w:rsidRPr="005E6B7C" w:rsidRDefault="009C728D" w:rsidP="008C0D47">
      <w:pPr>
        <w:widowControl/>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F472C8D" w14:textId="77777777" w:rsidR="00C50B66" w:rsidRPr="005E6B7C" w:rsidRDefault="00C50B66"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sectPr w:rsidR="00C50B66" w:rsidRPr="005E6B7C" w:rsidSect="002206BB">
          <w:type w:val="continuous"/>
          <w:pgSz w:w="10773" w:h="15309" w:code="9"/>
          <w:pgMar w:top="907" w:right="851" w:bottom="1418" w:left="851" w:header="397" w:footer="851" w:gutter="0"/>
          <w:cols w:space="284"/>
          <w:docGrid w:linePitch="360"/>
        </w:sectPr>
      </w:pPr>
    </w:p>
    <w:p w14:paraId="4251582D" w14:textId="70B248E3" w:rsidR="00C50B66" w:rsidRPr="005E6B7C" w:rsidRDefault="005A1BB2" w:rsidP="007B291D">
      <w:pPr>
        <w:tabs>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50B66" w:rsidRPr="005E6B7C" w:rsidSect="00C50B66">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isolated as a white solid. The ESI-MS spectrum showed the peak </w:t>
      </w:r>
      <w:r w:rsidRPr="005E6B7C">
        <w:rPr>
          <w:rFonts w:asciiTheme="majorHAnsi" w:eastAsia="Yu Mincho" w:hAnsiTheme="majorHAnsi" w:cstheme="majorHAnsi"/>
          <w:i/>
          <w:iCs/>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323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suggesting the molecular formula C</w:t>
      </w:r>
      <w:r w:rsidRPr="005E6B7C">
        <w:rPr>
          <w:rFonts w:asciiTheme="majorHAnsi" w:eastAsia="Yu Mincho" w:hAnsiTheme="majorHAnsi" w:cstheme="majorHAnsi"/>
          <w:color w:val="000000" w:themeColor="text1"/>
          <w:sz w:val="22"/>
          <w:szCs w:val="22"/>
          <w:vertAlign w:val="subscript"/>
          <w:lang w:eastAsia="ja-JP"/>
        </w:rPr>
        <w:t>20</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36</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 xml:space="preserve">3 </w:t>
      </w:r>
      <w:r w:rsidRPr="005E6B7C">
        <w:rPr>
          <w:rFonts w:asciiTheme="majorHAnsi" w:eastAsia="Yu Mincho" w:hAnsiTheme="majorHAnsi" w:cstheme="majorHAnsi"/>
          <w:color w:val="000000" w:themeColor="text1"/>
          <w:sz w:val="22"/>
          <w:szCs w:val="22"/>
          <w:lang w:eastAsia="ja-JP"/>
        </w:rPr>
        <w:t xml:space="preserve">(DBE = 3).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00A5489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NMR spectrum of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displayed signals for 5 methyl groups including 4 singlets </w:t>
      </w:r>
      <w:r w:rsidR="008C4A4D" w:rsidRPr="005E6B7C">
        <w:rPr>
          <w:rFonts w:asciiTheme="majorHAnsi" w:eastAsia="Yu Mincho" w:hAnsiTheme="majorHAnsi" w:cstheme="majorHAnsi"/>
          <w:color w:val="000000" w:themeColor="text1"/>
          <w:sz w:val="22"/>
          <w:szCs w:val="22"/>
          <w:lang w:eastAsia="ja-JP"/>
        </w:rPr>
        <w:t>[</w:t>
      </w:r>
      <w:r w:rsidR="008C4A4D" w:rsidRPr="005E6B7C">
        <w:rPr>
          <w:rFonts w:asciiTheme="majorHAnsi" w:eastAsia="Yu Mincho" w:hAnsiTheme="majorHAnsi" w:cstheme="majorHAnsi"/>
          <w:i/>
          <w:color w:val="000000" w:themeColor="text1"/>
          <w:sz w:val="22"/>
          <w:szCs w:val="22"/>
          <w:lang w:eastAsia="ja-JP"/>
        </w:rPr>
        <w:t>δ</w:t>
      </w:r>
      <w:r w:rsidR="008C4A4D" w:rsidRPr="005E6B7C">
        <w:rPr>
          <w:rFonts w:asciiTheme="majorHAnsi" w:eastAsia="Yu Mincho" w:hAnsiTheme="majorHAnsi" w:cstheme="majorHAnsi"/>
          <w:color w:val="000000" w:themeColor="text1"/>
          <w:sz w:val="22"/>
          <w:szCs w:val="22"/>
          <w:vertAlign w:val="subscript"/>
          <w:lang w:eastAsia="ja-JP"/>
        </w:rPr>
        <w:t>H</w:t>
      </w:r>
      <w:r w:rsidR="008C4A4D" w:rsidRPr="005E6B7C">
        <w:rPr>
          <w:rFonts w:asciiTheme="majorHAnsi" w:eastAsia="Yu Mincho" w:hAnsiTheme="majorHAnsi" w:cstheme="majorHAnsi"/>
          <w:color w:val="000000" w:themeColor="text1"/>
          <w:sz w:val="22"/>
          <w:szCs w:val="22"/>
          <w:lang w:eastAsia="ja-JP"/>
        </w:rPr>
        <w:t xml:space="preserve"> 1.15 (3H, s, H-17), 0.83 (3H, s, H-18), 0.86 </w:t>
      </w:r>
      <w:r w:rsidR="008C4A4D" w:rsidRPr="005E6B7C">
        <w:rPr>
          <w:rFonts w:asciiTheme="majorHAnsi" w:eastAsia="Yu Mincho" w:hAnsiTheme="majorHAnsi" w:cstheme="majorHAnsi"/>
          <w:color w:val="000000" w:themeColor="text1"/>
          <w:sz w:val="22"/>
          <w:szCs w:val="22"/>
          <w:lang w:eastAsia="ja-JP"/>
        </w:rPr>
        <w:t xml:space="preserve">(3H, s, H-19), and 0.75 (3H, s, H-20)] </w:t>
      </w:r>
      <w:r w:rsidRPr="005E6B7C">
        <w:rPr>
          <w:rFonts w:asciiTheme="majorHAnsi" w:eastAsia="Yu Mincho" w:hAnsiTheme="majorHAnsi" w:cstheme="majorHAnsi"/>
          <w:color w:val="000000" w:themeColor="text1"/>
          <w:sz w:val="22"/>
          <w:szCs w:val="22"/>
          <w:lang w:eastAsia="ja-JP"/>
        </w:rPr>
        <w:t xml:space="preserve">and 1 doublet </w:t>
      </w:r>
      <w:r w:rsidR="008C4A4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0.98 (3H,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6.6 Hz, H-16</w:t>
      </w:r>
      <w:r w:rsidR="008C4A4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w:t>
      </w:r>
      <w:r w:rsidR="00A5489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NMR and HSQC spectra showed signals for 20 carbons, including 5 methyl groups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19.7 (C-16), 30.6 (C-17), 33.4 (C-18), 21.7 (C-19), and 15.1 (C-20); 8 methylene groups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38.9</w:t>
      </w:r>
      <w:r w:rsidR="007B291D" w:rsidRPr="005E6B7C">
        <w:rPr>
          <w:rFonts w:asciiTheme="majorHAnsi" w:eastAsia="Yu Mincho" w:hAnsiTheme="majorHAnsi" w:cstheme="majorHAnsi"/>
          <w:color w:val="000000" w:themeColor="text1"/>
          <w:spacing w:val="-4"/>
          <w:sz w:val="22"/>
          <w:szCs w:val="22"/>
          <w:lang w:eastAsia="ja-JP"/>
        </w:rPr>
        <w:t xml:space="preserve"> (C-1),</w:t>
      </w:r>
    </w:p>
    <w:p w14:paraId="19554794" w14:textId="77777777" w:rsidR="005A1BB2" w:rsidRPr="005E6B7C" w:rsidRDefault="005A1BB2" w:rsidP="005A1BB2">
      <w:pPr>
        <w:widowControl/>
        <w:tabs>
          <w:tab w:val="left" w:pos="270"/>
          <w:tab w:val="left" w:pos="540"/>
          <w:tab w:val="left" w:pos="9270"/>
        </w:tabs>
        <w:spacing w:before="120" w:after="120"/>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lastRenderedPageBreak/>
        <w:t>Table 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C-NMR spectroscopic data of compounds</w:t>
      </w:r>
      <w:r w:rsidRPr="005E6B7C">
        <w:rPr>
          <w:rFonts w:asciiTheme="majorHAnsi" w:eastAsia="Yu Mincho" w:hAnsiTheme="majorHAnsi" w:cstheme="majorHAnsi"/>
          <w:b/>
          <w:bCs/>
          <w:color w:val="000000" w:themeColor="text1"/>
          <w:sz w:val="18"/>
          <w:szCs w:val="18"/>
          <w:lang w:eastAsia="ja-JP"/>
        </w:rPr>
        <w:t xml:space="preserve"> 3</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bCs/>
          <w:color w:val="000000" w:themeColor="text1"/>
          <w:sz w:val="18"/>
          <w:szCs w:val="18"/>
          <w:lang w:eastAsia="ja-JP"/>
        </w:rPr>
        <w:t>4</w:t>
      </w:r>
    </w:p>
    <w:tbl>
      <w:tblPr>
        <w:tblW w:w="909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425"/>
        <w:gridCol w:w="707"/>
        <w:gridCol w:w="1502"/>
        <w:gridCol w:w="900"/>
        <w:gridCol w:w="1890"/>
        <w:gridCol w:w="720"/>
        <w:gridCol w:w="516"/>
        <w:gridCol w:w="711"/>
        <w:gridCol w:w="1725"/>
      </w:tblGrid>
      <w:tr w:rsidR="005A1BB2" w:rsidRPr="005E6B7C" w14:paraId="6D4DA7FA" w14:textId="77777777" w:rsidTr="004E2C03">
        <w:trPr>
          <w:jc w:val="center"/>
        </w:trPr>
        <w:tc>
          <w:tcPr>
            <w:tcW w:w="425" w:type="dxa"/>
            <w:vMerge w:val="restart"/>
            <w:vAlign w:val="center"/>
          </w:tcPr>
          <w:p w14:paraId="77A7AAE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b/>
                <w:color w:val="000000" w:themeColor="text1"/>
                <w:sz w:val="18"/>
                <w:szCs w:val="18"/>
                <w:lang w:val="vi"/>
              </w:rPr>
            </w:pPr>
            <w:r w:rsidRPr="005E6B7C">
              <w:rPr>
                <w:rFonts w:asciiTheme="majorHAnsi" w:eastAsia="Times New Roman" w:hAnsiTheme="majorHAnsi" w:cstheme="majorHAnsi"/>
                <w:b/>
                <w:color w:val="000000" w:themeColor="text1"/>
                <w:spacing w:val="-10"/>
                <w:sz w:val="18"/>
                <w:szCs w:val="18"/>
                <w:lang w:val="vi"/>
              </w:rPr>
              <w:t>C</w:t>
            </w:r>
          </w:p>
        </w:tc>
        <w:tc>
          <w:tcPr>
            <w:tcW w:w="2209" w:type="dxa"/>
            <w:gridSpan w:val="2"/>
          </w:tcPr>
          <w:p w14:paraId="7653DA85"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3</w:t>
            </w:r>
          </w:p>
        </w:tc>
        <w:tc>
          <w:tcPr>
            <w:tcW w:w="2790" w:type="dxa"/>
            <w:gridSpan w:val="2"/>
          </w:tcPr>
          <w:p w14:paraId="09F31D86"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Ref [12]</w:t>
            </w:r>
          </w:p>
        </w:tc>
        <w:tc>
          <w:tcPr>
            <w:tcW w:w="720" w:type="dxa"/>
            <w:vMerge w:val="restart"/>
            <w:vAlign w:val="center"/>
          </w:tcPr>
          <w:p w14:paraId="4EC0653C"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color w:val="000000" w:themeColor="text1"/>
                <w:spacing w:val="-10"/>
                <w:sz w:val="18"/>
                <w:szCs w:val="18"/>
                <w:lang w:eastAsia="ja-JP"/>
              </w:rPr>
              <w:t>C</w:t>
            </w:r>
          </w:p>
        </w:tc>
        <w:tc>
          <w:tcPr>
            <w:tcW w:w="2952" w:type="dxa"/>
            <w:gridSpan w:val="3"/>
          </w:tcPr>
          <w:p w14:paraId="45F89A8B"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4</w:t>
            </w:r>
          </w:p>
        </w:tc>
      </w:tr>
      <w:tr w:rsidR="005A1BB2" w:rsidRPr="005E6B7C" w14:paraId="766F2397" w14:textId="77777777" w:rsidTr="004E2C03">
        <w:trPr>
          <w:jc w:val="center"/>
        </w:trPr>
        <w:tc>
          <w:tcPr>
            <w:tcW w:w="425" w:type="dxa"/>
            <w:vMerge/>
          </w:tcPr>
          <w:p w14:paraId="573207B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b/>
                <w:color w:val="000000" w:themeColor="text1"/>
                <w:spacing w:val="-10"/>
                <w:sz w:val="18"/>
                <w:szCs w:val="18"/>
                <w:lang w:val="vi"/>
              </w:rPr>
            </w:pPr>
          </w:p>
        </w:tc>
        <w:tc>
          <w:tcPr>
            <w:tcW w:w="707" w:type="dxa"/>
          </w:tcPr>
          <w:p w14:paraId="355F1F3F"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a</w:t>
            </w:r>
          </w:p>
        </w:tc>
        <w:tc>
          <w:tcPr>
            <w:tcW w:w="1502" w:type="dxa"/>
          </w:tcPr>
          <w:p w14:paraId="1D3E81F7"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val="nl-NL"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val="nl-NL" w:eastAsia="ja-JP"/>
              </w:rPr>
              <w:t>H</w:t>
            </w:r>
            <w:r w:rsidRPr="005E6B7C">
              <w:rPr>
                <w:rFonts w:asciiTheme="majorHAnsi" w:eastAsia="Yu Mincho" w:hAnsiTheme="majorHAnsi" w:cstheme="majorHAnsi"/>
                <w:color w:val="000000" w:themeColor="text1"/>
                <w:sz w:val="18"/>
                <w:szCs w:val="18"/>
                <w:vertAlign w:val="superscript"/>
                <w:lang w:val="nl-NL" w:eastAsia="ja-JP"/>
              </w:rPr>
              <w:t xml:space="preserve">b </w:t>
            </w:r>
            <w:r w:rsidRPr="005E6B7C">
              <w:rPr>
                <w:rFonts w:asciiTheme="majorHAnsi" w:eastAsia="Times New Roman" w:hAnsiTheme="majorHAnsi" w:cstheme="majorHAnsi"/>
                <w:noProof/>
                <w:color w:val="000000" w:themeColor="text1"/>
                <w:sz w:val="18"/>
                <w:szCs w:val="18"/>
                <w:lang w:val="nl-NL" w:eastAsia="vi-VN"/>
              </w:rPr>
              <w:t>(mult.</w:t>
            </w:r>
            <w:r w:rsidRPr="005E6B7C">
              <w:rPr>
                <w:rFonts w:asciiTheme="majorHAnsi" w:eastAsia="Times New Roman" w:hAnsiTheme="majorHAnsi" w:cstheme="majorHAnsi"/>
                <w:i/>
                <w:noProof/>
                <w:color w:val="000000" w:themeColor="text1"/>
                <w:sz w:val="18"/>
                <w:szCs w:val="18"/>
                <w:lang w:val="nl-NL" w:eastAsia="vi-VN"/>
              </w:rPr>
              <w:t xml:space="preserve"> J</w:t>
            </w:r>
            <w:r w:rsidRPr="005E6B7C">
              <w:rPr>
                <w:rFonts w:asciiTheme="majorHAnsi" w:eastAsia="Times New Roman" w:hAnsiTheme="majorHAnsi" w:cstheme="majorHAnsi"/>
                <w:noProof/>
                <w:color w:val="000000" w:themeColor="text1"/>
                <w:sz w:val="18"/>
                <w:szCs w:val="18"/>
                <w:lang w:val="nl-NL" w:eastAsia="vi-VN"/>
              </w:rPr>
              <w:t xml:space="preserve"> in Hz)</w:t>
            </w:r>
          </w:p>
        </w:tc>
        <w:tc>
          <w:tcPr>
            <w:tcW w:w="900" w:type="dxa"/>
          </w:tcPr>
          <w:p w14:paraId="020C9E8D"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c</w:t>
            </w:r>
          </w:p>
        </w:tc>
        <w:tc>
          <w:tcPr>
            <w:tcW w:w="1890" w:type="dxa"/>
          </w:tcPr>
          <w:p w14:paraId="392B3514"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 xml:space="preserve">d </w:t>
            </w:r>
            <w:r w:rsidRPr="005E6B7C">
              <w:rPr>
                <w:rFonts w:asciiTheme="majorHAnsi" w:eastAsia="Times New Roman" w:hAnsiTheme="majorHAnsi" w:cstheme="majorHAnsi"/>
                <w:noProof/>
                <w:color w:val="000000" w:themeColor="text1"/>
                <w:sz w:val="18"/>
                <w:szCs w:val="18"/>
                <w:lang w:eastAsia="vi-VN"/>
              </w:rPr>
              <w:t>(mult.</w:t>
            </w:r>
            <w:r w:rsidRPr="005E6B7C">
              <w:rPr>
                <w:rFonts w:asciiTheme="majorHAnsi" w:eastAsia="Times New Roman" w:hAnsiTheme="majorHAnsi" w:cstheme="majorHAnsi"/>
                <w:i/>
                <w:noProof/>
                <w:color w:val="000000" w:themeColor="text1"/>
                <w:sz w:val="18"/>
                <w:szCs w:val="18"/>
                <w:lang w:eastAsia="vi-VN"/>
              </w:rPr>
              <w:t xml:space="preserve"> J</w:t>
            </w:r>
            <w:r w:rsidRPr="005E6B7C">
              <w:rPr>
                <w:rFonts w:asciiTheme="majorHAnsi" w:eastAsia="Times New Roman" w:hAnsiTheme="majorHAnsi" w:cstheme="majorHAnsi"/>
                <w:noProof/>
                <w:color w:val="000000" w:themeColor="text1"/>
                <w:sz w:val="18"/>
                <w:szCs w:val="18"/>
                <w:lang w:eastAsia="vi-VN"/>
              </w:rPr>
              <w:t xml:space="preserve"> in Hz)</w:t>
            </w:r>
          </w:p>
        </w:tc>
        <w:tc>
          <w:tcPr>
            <w:tcW w:w="720" w:type="dxa"/>
            <w:vMerge/>
          </w:tcPr>
          <w:p w14:paraId="49A02067"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b/>
                <w:color w:val="000000" w:themeColor="text1"/>
                <w:spacing w:val="-10"/>
                <w:sz w:val="18"/>
                <w:szCs w:val="18"/>
                <w:lang w:eastAsia="ja-JP"/>
              </w:rPr>
            </w:pPr>
          </w:p>
        </w:tc>
        <w:tc>
          <w:tcPr>
            <w:tcW w:w="1227" w:type="dxa"/>
            <w:gridSpan w:val="2"/>
          </w:tcPr>
          <w:p w14:paraId="1F07DB9F"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a</w:t>
            </w:r>
          </w:p>
        </w:tc>
        <w:tc>
          <w:tcPr>
            <w:tcW w:w="1725" w:type="dxa"/>
          </w:tcPr>
          <w:p w14:paraId="0B813230" w14:textId="77777777" w:rsidR="005A1BB2" w:rsidRPr="005E6B7C" w:rsidRDefault="005A1BB2" w:rsidP="004E2C03">
            <w:pPr>
              <w:widowControl/>
              <w:tabs>
                <w:tab w:val="left" w:pos="270"/>
                <w:tab w:val="left" w:pos="540"/>
                <w:tab w:val="left" w:pos="9270"/>
              </w:tabs>
              <w:spacing w:line="18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b</w:t>
            </w:r>
          </w:p>
        </w:tc>
      </w:tr>
      <w:tr w:rsidR="005A1BB2" w:rsidRPr="005E6B7C" w14:paraId="1FDF19BD" w14:textId="77777777" w:rsidTr="004E2C03">
        <w:trPr>
          <w:jc w:val="center"/>
        </w:trPr>
        <w:tc>
          <w:tcPr>
            <w:tcW w:w="425" w:type="dxa"/>
          </w:tcPr>
          <w:p w14:paraId="20B554F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1</w:t>
            </w:r>
          </w:p>
        </w:tc>
        <w:tc>
          <w:tcPr>
            <w:tcW w:w="707" w:type="dxa"/>
          </w:tcPr>
          <w:p w14:paraId="678A2E9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38.9</w:t>
            </w:r>
          </w:p>
        </w:tc>
        <w:tc>
          <w:tcPr>
            <w:tcW w:w="1502" w:type="dxa"/>
          </w:tcPr>
          <w:p w14:paraId="3B298DE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4434A75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39.8</w:t>
            </w:r>
          </w:p>
        </w:tc>
        <w:tc>
          <w:tcPr>
            <w:tcW w:w="1890" w:type="dxa"/>
          </w:tcPr>
          <w:p w14:paraId="33055E3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6FFC7676"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VN"/>
              </w:rPr>
              <w:t>1</w:t>
            </w:r>
          </w:p>
        </w:tc>
        <w:tc>
          <w:tcPr>
            <w:tcW w:w="1227" w:type="dxa"/>
            <w:gridSpan w:val="2"/>
          </w:tcPr>
          <w:p w14:paraId="4359913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32.6</w:t>
            </w:r>
          </w:p>
        </w:tc>
        <w:tc>
          <w:tcPr>
            <w:tcW w:w="1725" w:type="dxa"/>
          </w:tcPr>
          <w:p w14:paraId="5E23D63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3.50 (d, 6.6)</w:t>
            </w:r>
          </w:p>
        </w:tc>
      </w:tr>
      <w:tr w:rsidR="005A1BB2" w:rsidRPr="005E6B7C" w14:paraId="14FE9A53" w14:textId="77777777" w:rsidTr="004E2C03">
        <w:trPr>
          <w:jc w:val="center"/>
        </w:trPr>
        <w:tc>
          <w:tcPr>
            <w:tcW w:w="425" w:type="dxa"/>
          </w:tcPr>
          <w:p w14:paraId="4CEB1BE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2</w:t>
            </w:r>
          </w:p>
        </w:tc>
        <w:tc>
          <w:tcPr>
            <w:tcW w:w="707" w:type="dxa"/>
          </w:tcPr>
          <w:p w14:paraId="72999E1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18.</w:t>
            </w:r>
            <w:r w:rsidRPr="005E6B7C">
              <w:rPr>
                <w:rFonts w:asciiTheme="majorHAnsi" w:eastAsia="Times New Roman" w:hAnsiTheme="majorHAnsi" w:cstheme="majorHAnsi"/>
                <w:color w:val="000000" w:themeColor="text1"/>
                <w:sz w:val="18"/>
                <w:szCs w:val="18"/>
              </w:rPr>
              <w:t>2</w:t>
            </w:r>
          </w:p>
        </w:tc>
        <w:tc>
          <w:tcPr>
            <w:tcW w:w="1502" w:type="dxa"/>
          </w:tcPr>
          <w:p w14:paraId="0A52D54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26CC3D6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18.6</w:t>
            </w:r>
          </w:p>
        </w:tc>
        <w:tc>
          <w:tcPr>
            <w:tcW w:w="1890" w:type="dxa"/>
          </w:tcPr>
          <w:p w14:paraId="045BD4D6"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5200CF5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pacing w:val="-10"/>
                <w:sz w:val="18"/>
                <w:szCs w:val="18"/>
                <w:lang w:val="vi-VN"/>
              </w:rPr>
              <w:t>2</w:t>
            </w:r>
          </w:p>
        </w:tc>
        <w:tc>
          <w:tcPr>
            <w:tcW w:w="1227" w:type="dxa"/>
            <w:gridSpan w:val="2"/>
          </w:tcPr>
          <w:p w14:paraId="041FF06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129.0</w:t>
            </w:r>
          </w:p>
        </w:tc>
        <w:tc>
          <w:tcPr>
            <w:tcW w:w="1725" w:type="dxa"/>
          </w:tcPr>
          <w:p w14:paraId="5856CCE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6.32 (dd, 15.6, 6.6)</w:t>
            </w:r>
          </w:p>
        </w:tc>
      </w:tr>
      <w:tr w:rsidR="005A1BB2" w:rsidRPr="005E6B7C" w14:paraId="4188FFF7" w14:textId="77777777" w:rsidTr="004E2C03">
        <w:trPr>
          <w:jc w:val="center"/>
        </w:trPr>
        <w:tc>
          <w:tcPr>
            <w:tcW w:w="425" w:type="dxa"/>
          </w:tcPr>
          <w:p w14:paraId="067319A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3</w:t>
            </w:r>
          </w:p>
        </w:tc>
        <w:tc>
          <w:tcPr>
            <w:tcW w:w="707" w:type="dxa"/>
          </w:tcPr>
          <w:p w14:paraId="08ACCC2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41.8</w:t>
            </w:r>
          </w:p>
        </w:tc>
        <w:tc>
          <w:tcPr>
            <w:tcW w:w="1502" w:type="dxa"/>
          </w:tcPr>
          <w:p w14:paraId="6821BB6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711E5AB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2"/>
                <w:sz w:val="18"/>
                <w:szCs w:val="18"/>
                <w:lang w:val="vi-VN"/>
              </w:rPr>
              <w:t>41.5</w:t>
            </w:r>
          </w:p>
        </w:tc>
        <w:tc>
          <w:tcPr>
            <w:tcW w:w="1890" w:type="dxa"/>
          </w:tcPr>
          <w:p w14:paraId="348A2C1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33C9541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3</w:t>
            </w:r>
          </w:p>
        </w:tc>
        <w:tc>
          <w:tcPr>
            <w:tcW w:w="1227" w:type="dxa"/>
            <w:gridSpan w:val="2"/>
          </w:tcPr>
          <w:p w14:paraId="4DAB5D2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130.9</w:t>
            </w:r>
          </w:p>
        </w:tc>
        <w:tc>
          <w:tcPr>
            <w:tcW w:w="1725" w:type="dxa"/>
          </w:tcPr>
          <w:p w14:paraId="4222865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6.43 (d, 15.6)</w:t>
            </w:r>
          </w:p>
        </w:tc>
      </w:tr>
      <w:tr w:rsidR="005A1BB2" w:rsidRPr="005E6B7C" w14:paraId="16FA2A93" w14:textId="77777777" w:rsidTr="004E2C03">
        <w:trPr>
          <w:jc w:val="center"/>
        </w:trPr>
        <w:tc>
          <w:tcPr>
            <w:tcW w:w="425" w:type="dxa"/>
          </w:tcPr>
          <w:p w14:paraId="3FD0755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4</w:t>
            </w:r>
          </w:p>
        </w:tc>
        <w:tc>
          <w:tcPr>
            <w:tcW w:w="707" w:type="dxa"/>
          </w:tcPr>
          <w:p w14:paraId="3B32061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33.2</w:t>
            </w:r>
          </w:p>
        </w:tc>
        <w:tc>
          <w:tcPr>
            <w:tcW w:w="1502" w:type="dxa"/>
          </w:tcPr>
          <w:p w14:paraId="09213DE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5B50D00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33.4</w:t>
            </w:r>
          </w:p>
        </w:tc>
        <w:tc>
          <w:tcPr>
            <w:tcW w:w="1890" w:type="dxa"/>
          </w:tcPr>
          <w:p w14:paraId="4649D28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191F003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4</w:t>
            </w:r>
          </w:p>
        </w:tc>
        <w:tc>
          <w:tcPr>
            <w:tcW w:w="1227" w:type="dxa"/>
            <w:gridSpan w:val="2"/>
          </w:tcPr>
          <w:p w14:paraId="55579F5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137.5</w:t>
            </w:r>
          </w:p>
        </w:tc>
        <w:tc>
          <w:tcPr>
            <w:tcW w:w="1725" w:type="dxa"/>
          </w:tcPr>
          <w:p w14:paraId="1D8874E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w:t>
            </w:r>
          </w:p>
        </w:tc>
      </w:tr>
      <w:tr w:rsidR="005A1BB2" w:rsidRPr="005E6B7C" w14:paraId="49C8F489" w14:textId="77777777" w:rsidTr="004E2C03">
        <w:trPr>
          <w:jc w:val="center"/>
        </w:trPr>
        <w:tc>
          <w:tcPr>
            <w:tcW w:w="425" w:type="dxa"/>
          </w:tcPr>
          <w:p w14:paraId="163FFCA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5</w:t>
            </w:r>
          </w:p>
        </w:tc>
        <w:tc>
          <w:tcPr>
            <w:tcW w:w="707" w:type="dxa"/>
          </w:tcPr>
          <w:p w14:paraId="2FCC75C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5</w:t>
            </w:r>
            <w:r w:rsidRPr="005E6B7C">
              <w:rPr>
                <w:rFonts w:asciiTheme="majorHAnsi" w:eastAsia="Times New Roman" w:hAnsiTheme="majorHAnsi" w:cstheme="majorHAnsi"/>
                <w:color w:val="000000" w:themeColor="text1"/>
                <w:sz w:val="18"/>
                <w:szCs w:val="18"/>
              </w:rPr>
              <w:t>6</w:t>
            </w:r>
            <w:r w:rsidRPr="005E6B7C">
              <w:rPr>
                <w:rFonts w:asciiTheme="majorHAnsi" w:eastAsia="Times New Roman" w:hAnsiTheme="majorHAnsi" w:cstheme="majorHAnsi"/>
                <w:color w:val="000000" w:themeColor="text1"/>
                <w:sz w:val="18"/>
                <w:szCs w:val="18"/>
                <w:lang w:val="vi-VN"/>
              </w:rPr>
              <w:t>.</w:t>
            </w:r>
            <w:r w:rsidRPr="005E6B7C">
              <w:rPr>
                <w:rFonts w:asciiTheme="majorHAnsi" w:eastAsia="Times New Roman" w:hAnsiTheme="majorHAnsi" w:cstheme="majorHAnsi"/>
                <w:color w:val="000000" w:themeColor="text1"/>
                <w:sz w:val="18"/>
                <w:szCs w:val="18"/>
              </w:rPr>
              <w:t>0</w:t>
            </w:r>
          </w:p>
        </w:tc>
        <w:tc>
          <w:tcPr>
            <w:tcW w:w="1502" w:type="dxa"/>
          </w:tcPr>
          <w:p w14:paraId="51CFF8D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328B036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56.3</w:t>
            </w:r>
          </w:p>
        </w:tc>
        <w:tc>
          <w:tcPr>
            <w:tcW w:w="1890" w:type="dxa"/>
          </w:tcPr>
          <w:p w14:paraId="1A0DC34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1D09849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VN"/>
              </w:rPr>
              <w:t>5</w:t>
            </w:r>
          </w:p>
        </w:tc>
        <w:tc>
          <w:tcPr>
            <w:tcW w:w="1227" w:type="dxa"/>
            <w:gridSpan w:val="2"/>
          </w:tcPr>
          <w:p w14:paraId="113049C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126.1</w:t>
            </w:r>
          </w:p>
        </w:tc>
        <w:tc>
          <w:tcPr>
            <w:tcW w:w="1725" w:type="dxa"/>
          </w:tcPr>
          <w:p w14:paraId="048A541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7.33 (d, 7.8)</w:t>
            </w:r>
          </w:p>
        </w:tc>
      </w:tr>
      <w:tr w:rsidR="005A1BB2" w:rsidRPr="005E6B7C" w14:paraId="1D4C87F7" w14:textId="77777777" w:rsidTr="004E2C03">
        <w:trPr>
          <w:jc w:val="center"/>
        </w:trPr>
        <w:tc>
          <w:tcPr>
            <w:tcW w:w="425" w:type="dxa"/>
          </w:tcPr>
          <w:p w14:paraId="3D5A011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6</w:t>
            </w:r>
          </w:p>
        </w:tc>
        <w:tc>
          <w:tcPr>
            <w:tcW w:w="707" w:type="dxa"/>
          </w:tcPr>
          <w:p w14:paraId="40E98B1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18.3</w:t>
            </w:r>
          </w:p>
        </w:tc>
        <w:tc>
          <w:tcPr>
            <w:tcW w:w="1502" w:type="dxa"/>
          </w:tcPr>
          <w:p w14:paraId="5A8A4EE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07026B7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20.6</w:t>
            </w:r>
          </w:p>
        </w:tc>
        <w:tc>
          <w:tcPr>
            <w:tcW w:w="1890" w:type="dxa"/>
          </w:tcPr>
          <w:p w14:paraId="02E22CE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39E2080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6</w:t>
            </w:r>
          </w:p>
        </w:tc>
        <w:tc>
          <w:tcPr>
            <w:tcW w:w="1227" w:type="dxa"/>
            <w:gridSpan w:val="2"/>
          </w:tcPr>
          <w:p w14:paraId="2F5B4B3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128.5</w:t>
            </w:r>
          </w:p>
        </w:tc>
        <w:tc>
          <w:tcPr>
            <w:tcW w:w="1725" w:type="dxa"/>
          </w:tcPr>
          <w:p w14:paraId="5C6156D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7.28 (t, 7.8)</w:t>
            </w:r>
          </w:p>
        </w:tc>
      </w:tr>
      <w:tr w:rsidR="005A1BB2" w:rsidRPr="005E6B7C" w14:paraId="50A953F9" w14:textId="77777777" w:rsidTr="004E2C03">
        <w:trPr>
          <w:jc w:val="center"/>
        </w:trPr>
        <w:tc>
          <w:tcPr>
            <w:tcW w:w="425" w:type="dxa"/>
          </w:tcPr>
          <w:p w14:paraId="1C08C1C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7</w:t>
            </w:r>
          </w:p>
        </w:tc>
        <w:tc>
          <w:tcPr>
            <w:tcW w:w="707" w:type="dxa"/>
          </w:tcPr>
          <w:p w14:paraId="16FDFDB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40.</w:t>
            </w:r>
            <w:r w:rsidRPr="005E6B7C">
              <w:rPr>
                <w:rFonts w:asciiTheme="majorHAnsi" w:eastAsia="Times New Roman" w:hAnsiTheme="majorHAnsi" w:cstheme="majorHAnsi"/>
                <w:color w:val="000000" w:themeColor="text1"/>
                <w:sz w:val="18"/>
                <w:szCs w:val="18"/>
              </w:rPr>
              <w:t>7</w:t>
            </w:r>
          </w:p>
        </w:tc>
        <w:tc>
          <w:tcPr>
            <w:tcW w:w="1502" w:type="dxa"/>
          </w:tcPr>
          <w:p w14:paraId="28FAAE2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33F78D6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40.7</w:t>
            </w:r>
          </w:p>
        </w:tc>
        <w:tc>
          <w:tcPr>
            <w:tcW w:w="1890" w:type="dxa"/>
          </w:tcPr>
          <w:p w14:paraId="3AF922C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02B71AA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7</w:t>
            </w:r>
          </w:p>
        </w:tc>
        <w:tc>
          <w:tcPr>
            <w:tcW w:w="1227" w:type="dxa"/>
            <w:gridSpan w:val="2"/>
          </w:tcPr>
          <w:p w14:paraId="45858E7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127.1</w:t>
            </w:r>
          </w:p>
        </w:tc>
        <w:tc>
          <w:tcPr>
            <w:tcW w:w="1725" w:type="dxa"/>
          </w:tcPr>
          <w:p w14:paraId="2FB8693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Times New Roman" w:hAnsiTheme="majorHAnsi" w:cstheme="majorHAnsi"/>
                <w:noProof/>
                <w:color w:val="000000" w:themeColor="text1"/>
                <w:sz w:val="18"/>
                <w:szCs w:val="18"/>
                <w:lang w:eastAsia="vi-VN"/>
              </w:rPr>
              <w:t>7.19 (t, 7.8)</w:t>
            </w:r>
          </w:p>
        </w:tc>
      </w:tr>
      <w:tr w:rsidR="005A1BB2" w:rsidRPr="005E6B7C" w14:paraId="51B1861E" w14:textId="77777777" w:rsidTr="004E2C03">
        <w:trPr>
          <w:jc w:val="center"/>
        </w:trPr>
        <w:tc>
          <w:tcPr>
            <w:tcW w:w="425" w:type="dxa"/>
          </w:tcPr>
          <w:p w14:paraId="0B074E0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8</w:t>
            </w:r>
          </w:p>
        </w:tc>
        <w:tc>
          <w:tcPr>
            <w:tcW w:w="707" w:type="dxa"/>
          </w:tcPr>
          <w:p w14:paraId="324827F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73.2</w:t>
            </w:r>
          </w:p>
        </w:tc>
        <w:tc>
          <w:tcPr>
            <w:tcW w:w="1502" w:type="dxa"/>
          </w:tcPr>
          <w:p w14:paraId="15324A5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455B692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75.1</w:t>
            </w:r>
          </w:p>
        </w:tc>
        <w:tc>
          <w:tcPr>
            <w:tcW w:w="1890" w:type="dxa"/>
          </w:tcPr>
          <w:p w14:paraId="5EDE3D8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0EEA887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8</w:t>
            </w:r>
          </w:p>
        </w:tc>
        <w:tc>
          <w:tcPr>
            <w:tcW w:w="1227" w:type="dxa"/>
            <w:gridSpan w:val="2"/>
          </w:tcPr>
          <w:p w14:paraId="5682B1D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128.5</w:t>
            </w:r>
          </w:p>
        </w:tc>
        <w:tc>
          <w:tcPr>
            <w:tcW w:w="1725" w:type="dxa"/>
          </w:tcPr>
          <w:p w14:paraId="6EEE940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Times New Roman" w:hAnsiTheme="majorHAnsi" w:cstheme="majorHAnsi"/>
                <w:noProof/>
                <w:color w:val="000000" w:themeColor="text1"/>
                <w:sz w:val="18"/>
                <w:szCs w:val="18"/>
                <w:lang w:eastAsia="vi-VN"/>
              </w:rPr>
              <w:t>7.28 (t, 7.8)</w:t>
            </w:r>
          </w:p>
        </w:tc>
      </w:tr>
      <w:tr w:rsidR="005A1BB2" w:rsidRPr="005E6B7C" w14:paraId="4CD9566E" w14:textId="77777777" w:rsidTr="004E2C03">
        <w:trPr>
          <w:jc w:val="center"/>
        </w:trPr>
        <w:tc>
          <w:tcPr>
            <w:tcW w:w="425" w:type="dxa"/>
          </w:tcPr>
          <w:p w14:paraId="227301F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10"/>
                <w:sz w:val="18"/>
                <w:szCs w:val="18"/>
                <w:lang w:val="vi-VN"/>
              </w:rPr>
              <w:t>9</w:t>
            </w:r>
          </w:p>
        </w:tc>
        <w:tc>
          <w:tcPr>
            <w:tcW w:w="707" w:type="dxa"/>
          </w:tcPr>
          <w:p w14:paraId="311E5A9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59.3</w:t>
            </w:r>
          </w:p>
        </w:tc>
        <w:tc>
          <w:tcPr>
            <w:tcW w:w="1502" w:type="dxa"/>
            <w:vAlign w:val="center"/>
          </w:tcPr>
          <w:p w14:paraId="7486E74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1.1</w:t>
            </w:r>
            <w:r w:rsidRPr="005E6B7C">
              <w:rPr>
                <w:rFonts w:asciiTheme="majorHAnsi" w:eastAsia="Times New Roman" w:hAnsiTheme="majorHAnsi" w:cstheme="majorHAnsi"/>
                <w:color w:val="000000" w:themeColor="text1"/>
                <w:sz w:val="18"/>
                <w:szCs w:val="18"/>
                <w:lang w:val="vi-VN"/>
              </w:rPr>
              <w:t>2</w:t>
            </w:r>
            <w:r w:rsidRPr="005E6B7C">
              <w:rPr>
                <w:rFonts w:asciiTheme="majorHAnsi" w:eastAsia="Times New Roman" w:hAnsiTheme="majorHAnsi" w:cstheme="majorHAnsi"/>
                <w:color w:val="000000" w:themeColor="text1"/>
                <w:sz w:val="18"/>
                <w:szCs w:val="18"/>
                <w:lang w:val="vi"/>
              </w:rPr>
              <w:t xml:space="preserve"> (</w:t>
            </w:r>
            <w:r w:rsidRPr="005E6B7C">
              <w:rPr>
                <w:rFonts w:asciiTheme="majorHAnsi" w:eastAsia="Times New Roman" w:hAnsiTheme="majorHAnsi" w:cstheme="majorHAnsi"/>
                <w:color w:val="000000" w:themeColor="text1"/>
                <w:sz w:val="18"/>
                <w:szCs w:val="18"/>
                <w:lang w:val="vi-VN"/>
              </w:rPr>
              <w:t>s)</w:t>
            </w:r>
          </w:p>
        </w:tc>
        <w:tc>
          <w:tcPr>
            <w:tcW w:w="900" w:type="dxa"/>
          </w:tcPr>
          <w:p w14:paraId="7662F85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62.3</w:t>
            </w:r>
          </w:p>
        </w:tc>
        <w:tc>
          <w:tcPr>
            <w:tcW w:w="1890" w:type="dxa"/>
          </w:tcPr>
          <w:p w14:paraId="4DDD026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32B1440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10"/>
                <w:sz w:val="18"/>
                <w:szCs w:val="18"/>
                <w:lang w:val="vi-VN"/>
              </w:rPr>
              <w:t>9</w:t>
            </w:r>
          </w:p>
        </w:tc>
        <w:tc>
          <w:tcPr>
            <w:tcW w:w="1227" w:type="dxa"/>
            <w:gridSpan w:val="2"/>
          </w:tcPr>
          <w:p w14:paraId="558C16B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126.1</w:t>
            </w:r>
          </w:p>
        </w:tc>
        <w:tc>
          <w:tcPr>
            <w:tcW w:w="1725" w:type="dxa"/>
          </w:tcPr>
          <w:p w14:paraId="7A4F3CB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Times New Roman" w:hAnsiTheme="majorHAnsi" w:cstheme="majorHAnsi"/>
                <w:noProof/>
                <w:color w:val="000000" w:themeColor="text1"/>
                <w:sz w:val="18"/>
                <w:szCs w:val="18"/>
                <w:lang w:eastAsia="vi-VN"/>
              </w:rPr>
              <w:t>7.33 (d, 7.8)</w:t>
            </w:r>
          </w:p>
        </w:tc>
      </w:tr>
      <w:tr w:rsidR="005A1BB2" w:rsidRPr="005E6B7C" w14:paraId="337AE2CF" w14:textId="77777777" w:rsidTr="004E2C03">
        <w:trPr>
          <w:jc w:val="center"/>
        </w:trPr>
        <w:tc>
          <w:tcPr>
            <w:tcW w:w="425" w:type="dxa"/>
          </w:tcPr>
          <w:p w14:paraId="48D58FE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10</w:t>
            </w:r>
          </w:p>
        </w:tc>
        <w:tc>
          <w:tcPr>
            <w:tcW w:w="707" w:type="dxa"/>
          </w:tcPr>
          <w:p w14:paraId="43FE77D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39.</w:t>
            </w:r>
            <w:r w:rsidRPr="005E6B7C">
              <w:rPr>
                <w:rFonts w:asciiTheme="majorHAnsi" w:eastAsia="Times New Roman" w:hAnsiTheme="majorHAnsi" w:cstheme="majorHAnsi"/>
                <w:color w:val="000000" w:themeColor="text1"/>
                <w:sz w:val="18"/>
                <w:szCs w:val="18"/>
              </w:rPr>
              <w:t>2</w:t>
            </w:r>
          </w:p>
        </w:tc>
        <w:tc>
          <w:tcPr>
            <w:tcW w:w="1502" w:type="dxa"/>
          </w:tcPr>
          <w:p w14:paraId="14496F8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6047FC0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39.3</w:t>
            </w:r>
          </w:p>
        </w:tc>
        <w:tc>
          <w:tcPr>
            <w:tcW w:w="1890" w:type="dxa"/>
          </w:tcPr>
          <w:p w14:paraId="449DB4E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7130BEA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1'</w:t>
            </w:r>
          </w:p>
        </w:tc>
        <w:tc>
          <w:tcPr>
            <w:tcW w:w="1227" w:type="dxa"/>
            <w:gridSpan w:val="2"/>
          </w:tcPr>
          <w:p w14:paraId="760EFF3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124.6</w:t>
            </w:r>
          </w:p>
        </w:tc>
        <w:tc>
          <w:tcPr>
            <w:tcW w:w="1725" w:type="dxa"/>
          </w:tcPr>
          <w:p w14:paraId="3862704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w:t>
            </w:r>
          </w:p>
        </w:tc>
      </w:tr>
      <w:tr w:rsidR="005A1BB2" w:rsidRPr="005E6B7C" w14:paraId="4F662252" w14:textId="77777777" w:rsidTr="004E2C03">
        <w:trPr>
          <w:jc w:val="center"/>
        </w:trPr>
        <w:tc>
          <w:tcPr>
            <w:tcW w:w="425" w:type="dxa"/>
          </w:tcPr>
          <w:p w14:paraId="0C5BF8D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11</w:t>
            </w:r>
          </w:p>
        </w:tc>
        <w:tc>
          <w:tcPr>
            <w:tcW w:w="707" w:type="dxa"/>
          </w:tcPr>
          <w:p w14:paraId="3F6526B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22. 6</w:t>
            </w:r>
          </w:p>
        </w:tc>
        <w:tc>
          <w:tcPr>
            <w:tcW w:w="1502" w:type="dxa"/>
          </w:tcPr>
          <w:p w14:paraId="268A3A0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1FE1F83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23.2</w:t>
            </w:r>
          </w:p>
        </w:tc>
        <w:tc>
          <w:tcPr>
            <w:tcW w:w="1890" w:type="dxa"/>
          </w:tcPr>
          <w:p w14:paraId="3AFB1FC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4EFE128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2</w:t>
            </w:r>
            <w:r w:rsidRPr="005E6B7C">
              <w:rPr>
                <w:rFonts w:asciiTheme="majorHAnsi" w:eastAsia="Times New Roman" w:hAnsiTheme="majorHAnsi" w:cstheme="majorHAnsi"/>
                <w:color w:val="000000" w:themeColor="text1"/>
                <w:sz w:val="18"/>
                <w:szCs w:val="18"/>
                <w:lang w:val="vi"/>
              </w:rPr>
              <w:t>'</w:t>
            </w:r>
          </w:p>
        </w:tc>
        <w:tc>
          <w:tcPr>
            <w:tcW w:w="1227" w:type="dxa"/>
            <w:gridSpan w:val="2"/>
          </w:tcPr>
          <w:p w14:paraId="041A39C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148.5</w:t>
            </w:r>
          </w:p>
        </w:tc>
        <w:tc>
          <w:tcPr>
            <w:tcW w:w="1725" w:type="dxa"/>
          </w:tcPr>
          <w:p w14:paraId="7D26AA7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w:t>
            </w:r>
          </w:p>
        </w:tc>
      </w:tr>
      <w:tr w:rsidR="005A1BB2" w:rsidRPr="005E6B7C" w14:paraId="3A2EA2AE" w14:textId="77777777" w:rsidTr="004E2C03">
        <w:trPr>
          <w:jc w:val="center"/>
        </w:trPr>
        <w:tc>
          <w:tcPr>
            <w:tcW w:w="425" w:type="dxa"/>
          </w:tcPr>
          <w:p w14:paraId="1C3F792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5"/>
                <w:sz w:val="18"/>
                <w:szCs w:val="18"/>
                <w:lang w:val="vi-VN"/>
              </w:rPr>
            </w:pPr>
            <w:r w:rsidRPr="005E6B7C">
              <w:rPr>
                <w:rFonts w:asciiTheme="majorHAnsi" w:eastAsia="Times New Roman" w:hAnsiTheme="majorHAnsi" w:cstheme="majorHAnsi"/>
                <w:color w:val="000000" w:themeColor="text1"/>
                <w:spacing w:val="-5"/>
                <w:sz w:val="18"/>
                <w:szCs w:val="18"/>
                <w:lang w:val="vi-VN"/>
              </w:rPr>
              <w:t>12</w:t>
            </w:r>
          </w:p>
        </w:tc>
        <w:tc>
          <w:tcPr>
            <w:tcW w:w="707" w:type="dxa"/>
          </w:tcPr>
          <w:p w14:paraId="4A16E2E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2"/>
                <w:sz w:val="18"/>
                <w:szCs w:val="18"/>
                <w:lang w:val="vi-VN"/>
              </w:rPr>
            </w:pPr>
            <w:r w:rsidRPr="005E6B7C">
              <w:rPr>
                <w:rFonts w:asciiTheme="majorHAnsi" w:eastAsia="Times New Roman" w:hAnsiTheme="majorHAnsi" w:cstheme="majorHAnsi"/>
                <w:color w:val="000000" w:themeColor="text1"/>
                <w:spacing w:val="-2"/>
                <w:sz w:val="18"/>
                <w:szCs w:val="18"/>
                <w:lang w:val="vi-VN"/>
              </w:rPr>
              <w:t>42.2</w:t>
            </w:r>
          </w:p>
        </w:tc>
        <w:tc>
          <w:tcPr>
            <w:tcW w:w="1502" w:type="dxa"/>
          </w:tcPr>
          <w:p w14:paraId="6B0C3BD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4F60AB9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44.1</w:t>
            </w:r>
          </w:p>
        </w:tc>
        <w:tc>
          <w:tcPr>
            <w:tcW w:w="1890" w:type="dxa"/>
          </w:tcPr>
          <w:p w14:paraId="4AA32C0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70DBD0A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3</w:t>
            </w:r>
            <w:r w:rsidRPr="005E6B7C">
              <w:rPr>
                <w:rFonts w:asciiTheme="majorHAnsi" w:eastAsia="Times New Roman" w:hAnsiTheme="majorHAnsi" w:cstheme="majorHAnsi"/>
                <w:color w:val="000000" w:themeColor="text1"/>
                <w:sz w:val="18"/>
                <w:szCs w:val="18"/>
                <w:lang w:val="vi"/>
              </w:rPr>
              <w:t>'</w:t>
            </w:r>
          </w:p>
        </w:tc>
        <w:tc>
          <w:tcPr>
            <w:tcW w:w="1227" w:type="dxa"/>
            <w:gridSpan w:val="2"/>
          </w:tcPr>
          <w:p w14:paraId="3BE113B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111.3</w:t>
            </w:r>
          </w:p>
        </w:tc>
        <w:tc>
          <w:tcPr>
            <w:tcW w:w="1725" w:type="dxa"/>
          </w:tcPr>
          <w:p w14:paraId="44BDA34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Times New Roman" w:hAnsiTheme="majorHAnsi" w:cstheme="majorHAnsi"/>
                <w:noProof/>
                <w:color w:val="000000" w:themeColor="text1"/>
                <w:sz w:val="18"/>
                <w:szCs w:val="18"/>
                <w:lang w:eastAsia="vi-VN"/>
              </w:rPr>
              <w:t>6.67 (s)</w:t>
            </w:r>
          </w:p>
        </w:tc>
      </w:tr>
      <w:tr w:rsidR="005A1BB2" w:rsidRPr="005E6B7C" w14:paraId="0AE24A2A" w14:textId="77777777" w:rsidTr="004E2C03">
        <w:trPr>
          <w:jc w:val="center"/>
        </w:trPr>
        <w:tc>
          <w:tcPr>
            <w:tcW w:w="425" w:type="dxa"/>
          </w:tcPr>
          <w:p w14:paraId="2A23C1A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5"/>
                <w:sz w:val="18"/>
                <w:szCs w:val="18"/>
                <w:lang w:val="vi-VN"/>
              </w:rPr>
            </w:pPr>
            <w:r w:rsidRPr="005E6B7C">
              <w:rPr>
                <w:rFonts w:asciiTheme="majorHAnsi" w:eastAsia="Times New Roman" w:hAnsiTheme="majorHAnsi" w:cstheme="majorHAnsi"/>
                <w:color w:val="000000" w:themeColor="text1"/>
                <w:spacing w:val="-5"/>
                <w:sz w:val="18"/>
                <w:szCs w:val="18"/>
                <w:lang w:val="vi-VN"/>
              </w:rPr>
              <w:t>13</w:t>
            </w:r>
          </w:p>
        </w:tc>
        <w:tc>
          <w:tcPr>
            <w:tcW w:w="707" w:type="dxa"/>
          </w:tcPr>
          <w:p w14:paraId="38C918B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2"/>
                <w:sz w:val="18"/>
                <w:szCs w:val="18"/>
                <w:lang w:val="vi-VN"/>
              </w:rPr>
            </w:pPr>
            <w:r w:rsidRPr="005E6B7C">
              <w:rPr>
                <w:rFonts w:asciiTheme="majorHAnsi" w:eastAsia="Times New Roman" w:hAnsiTheme="majorHAnsi" w:cstheme="majorHAnsi"/>
                <w:color w:val="000000" w:themeColor="text1"/>
                <w:spacing w:val="-2"/>
                <w:sz w:val="18"/>
                <w:szCs w:val="18"/>
                <w:lang w:val="vi-VN"/>
              </w:rPr>
              <w:t>31.2</w:t>
            </w:r>
          </w:p>
        </w:tc>
        <w:tc>
          <w:tcPr>
            <w:tcW w:w="1502" w:type="dxa"/>
          </w:tcPr>
          <w:p w14:paraId="15C5A6F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5AA2B84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2"/>
                <w:sz w:val="18"/>
                <w:szCs w:val="18"/>
                <w:lang w:val="vi-VN"/>
              </w:rPr>
              <w:t>31.4</w:t>
            </w:r>
          </w:p>
        </w:tc>
        <w:tc>
          <w:tcPr>
            <w:tcW w:w="1890" w:type="dxa"/>
          </w:tcPr>
          <w:p w14:paraId="2F8378B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61BBF6C6"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4</w:t>
            </w:r>
            <w:r w:rsidRPr="005E6B7C">
              <w:rPr>
                <w:rFonts w:asciiTheme="majorHAnsi" w:eastAsia="Times New Roman" w:hAnsiTheme="majorHAnsi" w:cstheme="majorHAnsi"/>
                <w:color w:val="000000" w:themeColor="text1"/>
                <w:sz w:val="18"/>
                <w:szCs w:val="18"/>
                <w:lang w:val="vi"/>
              </w:rPr>
              <w:t>'</w:t>
            </w:r>
          </w:p>
        </w:tc>
        <w:tc>
          <w:tcPr>
            <w:tcW w:w="1227" w:type="dxa"/>
            <w:gridSpan w:val="2"/>
          </w:tcPr>
          <w:p w14:paraId="02F6FD66"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noProof/>
                <w:color w:val="000000" w:themeColor="text1"/>
                <w:sz w:val="18"/>
                <w:szCs w:val="18"/>
                <w:lang w:eastAsia="vi-VN"/>
              </w:rPr>
              <w:t>136.1</w:t>
            </w:r>
          </w:p>
        </w:tc>
        <w:tc>
          <w:tcPr>
            <w:tcW w:w="1725" w:type="dxa"/>
          </w:tcPr>
          <w:p w14:paraId="5863E20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w:t>
            </w:r>
          </w:p>
        </w:tc>
      </w:tr>
      <w:tr w:rsidR="005A1BB2" w:rsidRPr="005E6B7C" w14:paraId="7636C442" w14:textId="77777777" w:rsidTr="004E2C03">
        <w:trPr>
          <w:jc w:val="center"/>
        </w:trPr>
        <w:tc>
          <w:tcPr>
            <w:tcW w:w="425" w:type="dxa"/>
          </w:tcPr>
          <w:p w14:paraId="2643D2C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14</w:t>
            </w:r>
          </w:p>
        </w:tc>
        <w:tc>
          <w:tcPr>
            <w:tcW w:w="707" w:type="dxa"/>
          </w:tcPr>
          <w:p w14:paraId="12FAB60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42.</w:t>
            </w:r>
            <w:r w:rsidRPr="005E6B7C">
              <w:rPr>
                <w:rFonts w:asciiTheme="majorHAnsi" w:eastAsia="Times New Roman" w:hAnsiTheme="majorHAnsi" w:cstheme="majorHAnsi"/>
                <w:color w:val="000000" w:themeColor="text1"/>
                <w:sz w:val="18"/>
                <w:szCs w:val="18"/>
              </w:rPr>
              <w:t>1</w:t>
            </w:r>
          </w:p>
        </w:tc>
        <w:tc>
          <w:tcPr>
            <w:tcW w:w="1502" w:type="dxa"/>
            <w:vAlign w:val="center"/>
          </w:tcPr>
          <w:p w14:paraId="3725DCD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2.12</w:t>
            </w:r>
            <w:r w:rsidRPr="005E6B7C">
              <w:rPr>
                <w:rFonts w:asciiTheme="majorHAnsi" w:eastAsia="Times New Roman" w:hAnsiTheme="majorHAnsi" w:cstheme="majorHAnsi"/>
                <w:color w:val="000000" w:themeColor="text1"/>
                <w:sz w:val="18"/>
                <w:szCs w:val="18"/>
              </w:rPr>
              <w:t xml:space="preserve"> (m)/</w:t>
            </w:r>
            <w:r w:rsidRPr="005E6B7C">
              <w:rPr>
                <w:rFonts w:asciiTheme="majorHAnsi" w:eastAsia="Times New Roman" w:hAnsiTheme="majorHAnsi" w:cstheme="majorHAnsi"/>
                <w:color w:val="000000" w:themeColor="text1"/>
                <w:sz w:val="18"/>
                <w:szCs w:val="18"/>
                <w:lang w:val="vi-VN"/>
              </w:rPr>
              <w:t>2.31</w:t>
            </w:r>
            <w:r w:rsidRPr="005E6B7C">
              <w:rPr>
                <w:rFonts w:asciiTheme="majorHAnsi" w:eastAsia="Times New Roman" w:hAnsiTheme="majorHAnsi" w:cstheme="majorHAnsi"/>
                <w:color w:val="000000" w:themeColor="text1"/>
                <w:sz w:val="18"/>
                <w:szCs w:val="18"/>
              </w:rPr>
              <w:t xml:space="preserve"> (m)</w:t>
            </w:r>
          </w:p>
        </w:tc>
        <w:tc>
          <w:tcPr>
            <w:tcW w:w="900" w:type="dxa"/>
          </w:tcPr>
          <w:p w14:paraId="4295398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4"/>
                <w:sz w:val="18"/>
                <w:szCs w:val="18"/>
                <w:lang w:val="vi-VN"/>
              </w:rPr>
              <w:t>42.2</w:t>
            </w:r>
          </w:p>
        </w:tc>
        <w:tc>
          <w:tcPr>
            <w:tcW w:w="1890" w:type="dxa"/>
            <w:vAlign w:val="center"/>
          </w:tcPr>
          <w:p w14:paraId="71CDF18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p>
        </w:tc>
        <w:tc>
          <w:tcPr>
            <w:tcW w:w="720" w:type="dxa"/>
          </w:tcPr>
          <w:p w14:paraId="04B8767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rPr>
              <w:t>5</w:t>
            </w:r>
            <w:r w:rsidRPr="005E6B7C">
              <w:rPr>
                <w:rFonts w:asciiTheme="majorHAnsi" w:eastAsia="Times New Roman" w:hAnsiTheme="majorHAnsi" w:cstheme="majorHAnsi"/>
                <w:color w:val="000000" w:themeColor="text1"/>
                <w:sz w:val="18"/>
                <w:szCs w:val="18"/>
                <w:lang w:val="vi"/>
              </w:rPr>
              <w:t>'</w:t>
            </w:r>
          </w:p>
        </w:tc>
        <w:tc>
          <w:tcPr>
            <w:tcW w:w="1227" w:type="dxa"/>
            <w:gridSpan w:val="2"/>
          </w:tcPr>
          <w:p w14:paraId="33A51DE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noProof/>
                <w:color w:val="000000" w:themeColor="text1"/>
                <w:sz w:val="18"/>
                <w:szCs w:val="18"/>
                <w:lang w:eastAsia="vi-VN"/>
              </w:rPr>
              <w:t>143.1</w:t>
            </w:r>
          </w:p>
        </w:tc>
        <w:tc>
          <w:tcPr>
            <w:tcW w:w="1725" w:type="dxa"/>
          </w:tcPr>
          <w:p w14:paraId="6077FD2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w:t>
            </w:r>
          </w:p>
        </w:tc>
      </w:tr>
      <w:tr w:rsidR="005A1BB2" w:rsidRPr="005E6B7C" w14:paraId="43737404" w14:textId="77777777" w:rsidTr="004E2C03">
        <w:trPr>
          <w:jc w:val="center"/>
        </w:trPr>
        <w:tc>
          <w:tcPr>
            <w:tcW w:w="425" w:type="dxa"/>
          </w:tcPr>
          <w:p w14:paraId="2E14200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15</w:t>
            </w:r>
          </w:p>
        </w:tc>
        <w:tc>
          <w:tcPr>
            <w:tcW w:w="707" w:type="dxa"/>
          </w:tcPr>
          <w:p w14:paraId="551E40C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173.2</w:t>
            </w:r>
          </w:p>
        </w:tc>
        <w:tc>
          <w:tcPr>
            <w:tcW w:w="1502" w:type="dxa"/>
            <w:vAlign w:val="center"/>
          </w:tcPr>
          <w:p w14:paraId="04A8ED8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900" w:type="dxa"/>
          </w:tcPr>
          <w:p w14:paraId="5FAC89C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178.0</w:t>
            </w:r>
          </w:p>
        </w:tc>
        <w:tc>
          <w:tcPr>
            <w:tcW w:w="1890" w:type="dxa"/>
            <w:vAlign w:val="center"/>
          </w:tcPr>
          <w:p w14:paraId="792EE3F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p>
        </w:tc>
        <w:tc>
          <w:tcPr>
            <w:tcW w:w="720" w:type="dxa"/>
          </w:tcPr>
          <w:p w14:paraId="16ED90C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6</w:t>
            </w:r>
            <w:r w:rsidRPr="005E6B7C">
              <w:rPr>
                <w:rFonts w:asciiTheme="majorHAnsi" w:eastAsia="Times New Roman" w:hAnsiTheme="majorHAnsi" w:cstheme="majorHAnsi"/>
                <w:color w:val="000000" w:themeColor="text1"/>
                <w:sz w:val="18"/>
                <w:szCs w:val="18"/>
                <w:lang w:val="vi"/>
              </w:rPr>
              <w:t>'</w:t>
            </w:r>
          </w:p>
        </w:tc>
        <w:tc>
          <w:tcPr>
            <w:tcW w:w="1227" w:type="dxa"/>
            <w:gridSpan w:val="2"/>
          </w:tcPr>
          <w:p w14:paraId="32D7950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121.1</w:t>
            </w:r>
          </w:p>
        </w:tc>
        <w:tc>
          <w:tcPr>
            <w:tcW w:w="1725" w:type="dxa"/>
          </w:tcPr>
          <w:p w14:paraId="137D27F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noProof/>
                <w:color w:val="000000" w:themeColor="text1"/>
                <w:sz w:val="18"/>
                <w:szCs w:val="18"/>
                <w:lang w:eastAsia="vi-VN"/>
              </w:rPr>
            </w:pPr>
            <w:r w:rsidRPr="005E6B7C">
              <w:rPr>
                <w:rFonts w:asciiTheme="majorHAnsi" w:eastAsia="Times New Roman" w:hAnsiTheme="majorHAnsi" w:cstheme="majorHAnsi"/>
                <w:noProof/>
                <w:color w:val="000000" w:themeColor="text1"/>
                <w:sz w:val="18"/>
                <w:szCs w:val="18"/>
                <w:lang w:eastAsia="vi-VN"/>
              </w:rPr>
              <w:t>6.67 (s)</w:t>
            </w:r>
          </w:p>
        </w:tc>
      </w:tr>
      <w:tr w:rsidR="005A1BB2" w:rsidRPr="005E6B7C" w14:paraId="15635573" w14:textId="77777777" w:rsidTr="004E2C03">
        <w:trPr>
          <w:jc w:val="center"/>
        </w:trPr>
        <w:tc>
          <w:tcPr>
            <w:tcW w:w="425" w:type="dxa"/>
          </w:tcPr>
          <w:p w14:paraId="3F36A14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16</w:t>
            </w:r>
          </w:p>
        </w:tc>
        <w:tc>
          <w:tcPr>
            <w:tcW w:w="707" w:type="dxa"/>
          </w:tcPr>
          <w:p w14:paraId="2DD538B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19.7</w:t>
            </w:r>
          </w:p>
        </w:tc>
        <w:tc>
          <w:tcPr>
            <w:tcW w:w="1502" w:type="dxa"/>
            <w:vAlign w:val="center"/>
          </w:tcPr>
          <w:p w14:paraId="67EDB93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0.9</w:t>
            </w:r>
            <w:r w:rsidRPr="005E6B7C">
              <w:rPr>
                <w:rFonts w:asciiTheme="majorHAnsi" w:eastAsia="Times New Roman" w:hAnsiTheme="majorHAnsi" w:cstheme="majorHAnsi"/>
                <w:color w:val="000000" w:themeColor="text1"/>
                <w:sz w:val="18"/>
                <w:szCs w:val="18"/>
                <w:lang w:val="vi-VN"/>
              </w:rPr>
              <w:t>8</w:t>
            </w:r>
            <w:r w:rsidRPr="005E6B7C">
              <w:rPr>
                <w:rFonts w:asciiTheme="majorHAnsi" w:eastAsia="Times New Roman" w:hAnsiTheme="majorHAnsi" w:cstheme="majorHAnsi"/>
                <w:color w:val="000000" w:themeColor="text1"/>
                <w:sz w:val="18"/>
                <w:szCs w:val="18"/>
              </w:rPr>
              <w:t xml:space="preserve"> </w:t>
            </w:r>
            <w:r w:rsidRPr="005E6B7C">
              <w:rPr>
                <w:rFonts w:asciiTheme="majorHAnsi" w:eastAsia="Times New Roman" w:hAnsiTheme="majorHAnsi" w:cstheme="majorHAnsi"/>
                <w:color w:val="000000" w:themeColor="text1"/>
                <w:sz w:val="18"/>
                <w:szCs w:val="18"/>
                <w:lang w:val="vi"/>
              </w:rPr>
              <w:t>(</w:t>
            </w:r>
            <w:r w:rsidRPr="005E6B7C">
              <w:rPr>
                <w:rFonts w:asciiTheme="majorHAnsi" w:eastAsia="Times New Roman" w:hAnsiTheme="majorHAnsi" w:cstheme="majorHAnsi"/>
                <w:color w:val="000000" w:themeColor="text1"/>
                <w:sz w:val="18"/>
                <w:szCs w:val="18"/>
                <w:lang w:val="vi-VN"/>
              </w:rPr>
              <w:t>d, 6.6 Hz)</w:t>
            </w:r>
          </w:p>
        </w:tc>
        <w:tc>
          <w:tcPr>
            <w:tcW w:w="900" w:type="dxa"/>
          </w:tcPr>
          <w:p w14:paraId="25E7730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pacing w:val="-4"/>
                <w:sz w:val="18"/>
                <w:szCs w:val="18"/>
                <w:lang w:val="vi-VN"/>
              </w:rPr>
              <w:t>20.2</w:t>
            </w:r>
          </w:p>
        </w:tc>
        <w:tc>
          <w:tcPr>
            <w:tcW w:w="1890" w:type="dxa"/>
          </w:tcPr>
          <w:p w14:paraId="3B34E401"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0.9</w:t>
            </w:r>
            <w:r w:rsidRPr="005E6B7C">
              <w:rPr>
                <w:rFonts w:asciiTheme="majorHAnsi" w:eastAsia="Times New Roman" w:hAnsiTheme="majorHAnsi" w:cstheme="majorHAnsi"/>
                <w:color w:val="000000" w:themeColor="text1"/>
                <w:sz w:val="18"/>
                <w:szCs w:val="18"/>
                <w:lang w:val="vi-VN"/>
              </w:rPr>
              <w:t>8</w:t>
            </w:r>
            <w:r w:rsidRPr="005E6B7C">
              <w:rPr>
                <w:rFonts w:asciiTheme="majorHAnsi" w:eastAsia="Times New Roman" w:hAnsiTheme="majorHAnsi" w:cstheme="majorHAnsi"/>
                <w:color w:val="000000" w:themeColor="text1"/>
                <w:sz w:val="18"/>
                <w:szCs w:val="18"/>
                <w:lang w:val="vi"/>
              </w:rPr>
              <w:t xml:space="preserve"> </w:t>
            </w:r>
            <w:r w:rsidRPr="005E6B7C">
              <w:rPr>
                <w:rFonts w:asciiTheme="majorHAnsi" w:eastAsia="Times New Roman" w:hAnsiTheme="majorHAnsi" w:cstheme="majorHAnsi"/>
                <w:color w:val="000000" w:themeColor="text1"/>
                <w:sz w:val="18"/>
                <w:szCs w:val="18"/>
              </w:rPr>
              <w:t xml:space="preserve"> </w:t>
            </w:r>
            <w:r w:rsidRPr="005E6B7C">
              <w:rPr>
                <w:rFonts w:asciiTheme="majorHAnsi" w:eastAsia="Times New Roman" w:hAnsiTheme="majorHAnsi" w:cstheme="majorHAnsi"/>
                <w:color w:val="000000" w:themeColor="text1"/>
                <w:sz w:val="18"/>
                <w:szCs w:val="18"/>
                <w:lang w:val="vi"/>
              </w:rPr>
              <w:t>(</w:t>
            </w:r>
            <w:r w:rsidRPr="005E6B7C">
              <w:rPr>
                <w:rFonts w:asciiTheme="majorHAnsi" w:eastAsia="Times New Roman" w:hAnsiTheme="majorHAnsi" w:cstheme="majorHAnsi"/>
                <w:color w:val="000000" w:themeColor="text1"/>
                <w:sz w:val="18"/>
                <w:szCs w:val="18"/>
                <w:lang w:val="vi-VN"/>
              </w:rPr>
              <w:t>d, 6.6 Hz)</w:t>
            </w:r>
          </w:p>
        </w:tc>
        <w:tc>
          <w:tcPr>
            <w:tcW w:w="720" w:type="dxa"/>
          </w:tcPr>
          <w:p w14:paraId="771BDBF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OMe</w:t>
            </w:r>
          </w:p>
        </w:tc>
        <w:tc>
          <w:tcPr>
            <w:tcW w:w="1227" w:type="dxa"/>
            <w:gridSpan w:val="2"/>
          </w:tcPr>
          <w:p w14:paraId="02D3931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rPr>
              <w:t>61.4</w:t>
            </w:r>
          </w:p>
        </w:tc>
        <w:tc>
          <w:tcPr>
            <w:tcW w:w="1725" w:type="dxa"/>
          </w:tcPr>
          <w:p w14:paraId="09BF927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3.82 (s)</w:t>
            </w:r>
          </w:p>
        </w:tc>
      </w:tr>
      <w:tr w:rsidR="005A1BB2" w:rsidRPr="005E6B7C" w14:paraId="4FB2A7D4" w14:textId="77777777" w:rsidTr="004E2C03">
        <w:trPr>
          <w:jc w:val="center"/>
        </w:trPr>
        <w:tc>
          <w:tcPr>
            <w:tcW w:w="425" w:type="dxa"/>
          </w:tcPr>
          <w:p w14:paraId="1ED1E24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5"/>
                <w:sz w:val="18"/>
                <w:szCs w:val="18"/>
                <w:lang w:val="vi-VN"/>
              </w:rPr>
              <w:t>17</w:t>
            </w:r>
          </w:p>
        </w:tc>
        <w:tc>
          <w:tcPr>
            <w:tcW w:w="707" w:type="dxa"/>
          </w:tcPr>
          <w:p w14:paraId="74E3842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30.</w:t>
            </w:r>
            <w:r w:rsidRPr="005E6B7C">
              <w:rPr>
                <w:rFonts w:asciiTheme="majorHAnsi" w:eastAsia="Times New Roman" w:hAnsiTheme="majorHAnsi" w:cstheme="majorHAnsi"/>
                <w:color w:val="000000" w:themeColor="text1"/>
                <w:sz w:val="18"/>
                <w:szCs w:val="18"/>
              </w:rPr>
              <w:t>6</w:t>
            </w:r>
          </w:p>
        </w:tc>
        <w:tc>
          <w:tcPr>
            <w:tcW w:w="1502" w:type="dxa"/>
            <w:vAlign w:val="center"/>
          </w:tcPr>
          <w:p w14:paraId="57514B4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1.1</w:t>
            </w:r>
            <w:r w:rsidRPr="005E6B7C">
              <w:rPr>
                <w:rFonts w:asciiTheme="majorHAnsi" w:eastAsia="Times New Roman" w:hAnsiTheme="majorHAnsi" w:cstheme="majorHAnsi"/>
                <w:color w:val="000000" w:themeColor="text1"/>
                <w:sz w:val="18"/>
                <w:szCs w:val="18"/>
                <w:lang w:val="vi-VN"/>
              </w:rPr>
              <w:t>5</w:t>
            </w:r>
            <w:r w:rsidRPr="005E6B7C">
              <w:rPr>
                <w:rFonts w:asciiTheme="majorHAnsi" w:eastAsia="Times New Roman" w:hAnsiTheme="majorHAnsi" w:cstheme="majorHAnsi"/>
                <w:color w:val="000000" w:themeColor="text1"/>
                <w:sz w:val="18"/>
                <w:szCs w:val="18"/>
                <w:lang w:val="vi"/>
              </w:rPr>
              <w:t xml:space="preserve"> (</w:t>
            </w:r>
            <w:r w:rsidRPr="005E6B7C">
              <w:rPr>
                <w:rFonts w:asciiTheme="majorHAnsi" w:eastAsia="Times New Roman" w:hAnsiTheme="majorHAnsi" w:cstheme="majorHAnsi"/>
                <w:color w:val="000000" w:themeColor="text1"/>
                <w:sz w:val="18"/>
                <w:szCs w:val="18"/>
                <w:lang w:val="vi-VN"/>
              </w:rPr>
              <w:t>s)</w:t>
            </w:r>
          </w:p>
        </w:tc>
        <w:tc>
          <w:tcPr>
            <w:tcW w:w="900" w:type="dxa"/>
          </w:tcPr>
          <w:p w14:paraId="64C2D90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r w:rsidRPr="005E6B7C">
              <w:rPr>
                <w:rFonts w:asciiTheme="majorHAnsi" w:eastAsia="Times New Roman" w:hAnsiTheme="majorHAnsi" w:cstheme="majorHAnsi"/>
                <w:color w:val="000000" w:themeColor="text1"/>
                <w:spacing w:val="-4"/>
                <w:sz w:val="18"/>
                <w:szCs w:val="18"/>
                <w:lang w:val="vi-VN"/>
              </w:rPr>
              <w:t>24.1</w:t>
            </w:r>
          </w:p>
        </w:tc>
        <w:tc>
          <w:tcPr>
            <w:tcW w:w="1890" w:type="dxa"/>
            <w:vAlign w:val="center"/>
          </w:tcPr>
          <w:p w14:paraId="220DF99B"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pt-BR"/>
              </w:rPr>
              <w:t>1.14 (s</w:t>
            </w:r>
            <w:r w:rsidRPr="005E6B7C">
              <w:rPr>
                <w:rFonts w:asciiTheme="majorHAnsi" w:eastAsia="Times New Roman" w:hAnsiTheme="majorHAnsi" w:cstheme="majorHAnsi"/>
                <w:color w:val="000000" w:themeColor="text1"/>
                <w:sz w:val="18"/>
                <w:szCs w:val="18"/>
                <w:lang w:val="vi-VN"/>
              </w:rPr>
              <w:t>)</w:t>
            </w:r>
          </w:p>
        </w:tc>
        <w:tc>
          <w:tcPr>
            <w:tcW w:w="720" w:type="dxa"/>
          </w:tcPr>
          <w:p w14:paraId="0D2D6B0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1227" w:type="dxa"/>
            <w:gridSpan w:val="2"/>
          </w:tcPr>
          <w:p w14:paraId="226FBC78"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1725" w:type="dxa"/>
          </w:tcPr>
          <w:p w14:paraId="339E01A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r>
      <w:tr w:rsidR="005A1BB2" w:rsidRPr="005E6B7C" w14:paraId="6817F3C2" w14:textId="77777777" w:rsidTr="004E2C03">
        <w:trPr>
          <w:jc w:val="center"/>
        </w:trPr>
        <w:tc>
          <w:tcPr>
            <w:tcW w:w="425" w:type="dxa"/>
          </w:tcPr>
          <w:p w14:paraId="13DD5E63"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5"/>
                <w:sz w:val="18"/>
                <w:szCs w:val="18"/>
                <w:lang w:val="vi-VN"/>
              </w:rPr>
            </w:pPr>
            <w:r w:rsidRPr="005E6B7C">
              <w:rPr>
                <w:rFonts w:asciiTheme="majorHAnsi" w:eastAsia="Times New Roman" w:hAnsiTheme="majorHAnsi" w:cstheme="majorHAnsi"/>
                <w:color w:val="000000" w:themeColor="text1"/>
                <w:spacing w:val="-5"/>
                <w:sz w:val="18"/>
                <w:szCs w:val="18"/>
                <w:lang w:val="vi-VN"/>
              </w:rPr>
              <w:t>18</w:t>
            </w:r>
          </w:p>
        </w:tc>
        <w:tc>
          <w:tcPr>
            <w:tcW w:w="707" w:type="dxa"/>
          </w:tcPr>
          <w:p w14:paraId="2E7AC4C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4"/>
                <w:sz w:val="18"/>
                <w:szCs w:val="18"/>
                <w:lang w:val="vi-VN"/>
              </w:rPr>
            </w:pPr>
            <w:r w:rsidRPr="005E6B7C">
              <w:rPr>
                <w:rFonts w:asciiTheme="majorHAnsi" w:eastAsia="Times New Roman" w:hAnsiTheme="majorHAnsi" w:cstheme="majorHAnsi"/>
                <w:color w:val="000000" w:themeColor="text1"/>
                <w:spacing w:val="-4"/>
                <w:sz w:val="18"/>
                <w:szCs w:val="18"/>
                <w:lang w:val="vi-VN"/>
              </w:rPr>
              <w:t>33.4</w:t>
            </w:r>
          </w:p>
        </w:tc>
        <w:tc>
          <w:tcPr>
            <w:tcW w:w="1502" w:type="dxa"/>
            <w:vAlign w:val="center"/>
          </w:tcPr>
          <w:p w14:paraId="36DC8ED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0</w:t>
            </w:r>
            <w:r w:rsidRPr="005E6B7C">
              <w:rPr>
                <w:rFonts w:asciiTheme="majorHAnsi" w:eastAsia="Times New Roman" w:hAnsiTheme="majorHAnsi" w:cstheme="majorHAnsi"/>
                <w:color w:val="000000" w:themeColor="text1"/>
                <w:sz w:val="18"/>
                <w:szCs w:val="18"/>
              </w:rPr>
              <w:t>.</w:t>
            </w:r>
            <w:r w:rsidRPr="005E6B7C">
              <w:rPr>
                <w:rFonts w:asciiTheme="majorHAnsi" w:eastAsia="Times New Roman" w:hAnsiTheme="majorHAnsi" w:cstheme="majorHAnsi"/>
                <w:color w:val="000000" w:themeColor="text1"/>
                <w:sz w:val="18"/>
                <w:szCs w:val="18"/>
                <w:lang w:val="vi-VN"/>
              </w:rPr>
              <w:t>83 (s)</w:t>
            </w:r>
          </w:p>
        </w:tc>
        <w:tc>
          <w:tcPr>
            <w:tcW w:w="900" w:type="dxa"/>
          </w:tcPr>
          <w:p w14:paraId="46619C6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pacing w:val="-4"/>
                <w:sz w:val="18"/>
                <w:szCs w:val="18"/>
                <w:lang w:val="vi-VN"/>
              </w:rPr>
              <w:t>33.4</w:t>
            </w:r>
          </w:p>
        </w:tc>
        <w:tc>
          <w:tcPr>
            <w:tcW w:w="1890" w:type="dxa"/>
            <w:vAlign w:val="center"/>
          </w:tcPr>
          <w:p w14:paraId="29BB3A9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lang w:val="vi-VN"/>
              </w:rPr>
              <w:t>0</w:t>
            </w:r>
            <w:r w:rsidRPr="005E6B7C">
              <w:rPr>
                <w:rFonts w:asciiTheme="majorHAnsi" w:eastAsia="Times New Roman" w:hAnsiTheme="majorHAnsi" w:cstheme="majorHAnsi"/>
                <w:color w:val="000000" w:themeColor="text1"/>
                <w:sz w:val="18"/>
                <w:szCs w:val="18"/>
              </w:rPr>
              <w:t>.</w:t>
            </w:r>
            <w:r w:rsidRPr="005E6B7C">
              <w:rPr>
                <w:rFonts w:asciiTheme="majorHAnsi" w:eastAsia="Times New Roman" w:hAnsiTheme="majorHAnsi" w:cstheme="majorHAnsi"/>
                <w:color w:val="000000" w:themeColor="text1"/>
                <w:sz w:val="18"/>
                <w:szCs w:val="18"/>
                <w:lang w:val="vi-VN"/>
              </w:rPr>
              <w:t>83 (s)</w:t>
            </w:r>
          </w:p>
        </w:tc>
        <w:tc>
          <w:tcPr>
            <w:tcW w:w="1236" w:type="dxa"/>
            <w:gridSpan w:val="2"/>
          </w:tcPr>
          <w:p w14:paraId="0EC3C51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p>
        </w:tc>
        <w:tc>
          <w:tcPr>
            <w:tcW w:w="711" w:type="dxa"/>
          </w:tcPr>
          <w:p w14:paraId="076DD8F5"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p>
        </w:tc>
        <w:tc>
          <w:tcPr>
            <w:tcW w:w="1725" w:type="dxa"/>
          </w:tcPr>
          <w:p w14:paraId="1C28E64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p>
        </w:tc>
      </w:tr>
      <w:tr w:rsidR="005A1BB2" w:rsidRPr="005E6B7C" w14:paraId="37C18608" w14:textId="77777777" w:rsidTr="004E2C03">
        <w:trPr>
          <w:jc w:val="center"/>
        </w:trPr>
        <w:tc>
          <w:tcPr>
            <w:tcW w:w="425" w:type="dxa"/>
          </w:tcPr>
          <w:p w14:paraId="79EF46D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5"/>
                <w:sz w:val="18"/>
                <w:szCs w:val="18"/>
                <w:lang w:val="vi-VN"/>
              </w:rPr>
            </w:pPr>
            <w:r w:rsidRPr="005E6B7C">
              <w:rPr>
                <w:rFonts w:asciiTheme="majorHAnsi" w:eastAsia="Times New Roman" w:hAnsiTheme="majorHAnsi" w:cstheme="majorHAnsi"/>
                <w:color w:val="000000" w:themeColor="text1"/>
                <w:spacing w:val="-5"/>
                <w:sz w:val="18"/>
                <w:szCs w:val="18"/>
                <w:lang w:val="vi-VN"/>
              </w:rPr>
              <w:t>19</w:t>
            </w:r>
          </w:p>
        </w:tc>
        <w:tc>
          <w:tcPr>
            <w:tcW w:w="707" w:type="dxa"/>
          </w:tcPr>
          <w:p w14:paraId="6B7EBA57"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4"/>
                <w:sz w:val="18"/>
                <w:szCs w:val="18"/>
              </w:rPr>
            </w:pPr>
            <w:r w:rsidRPr="005E6B7C">
              <w:rPr>
                <w:rFonts w:asciiTheme="majorHAnsi" w:eastAsia="Times New Roman" w:hAnsiTheme="majorHAnsi" w:cstheme="majorHAnsi"/>
                <w:color w:val="000000" w:themeColor="text1"/>
                <w:sz w:val="18"/>
                <w:szCs w:val="18"/>
                <w:lang w:val="vi-VN"/>
              </w:rPr>
              <w:t>21.</w:t>
            </w:r>
            <w:r w:rsidRPr="005E6B7C">
              <w:rPr>
                <w:rFonts w:asciiTheme="majorHAnsi" w:eastAsia="Times New Roman" w:hAnsiTheme="majorHAnsi" w:cstheme="majorHAnsi"/>
                <w:color w:val="000000" w:themeColor="text1"/>
                <w:sz w:val="18"/>
                <w:szCs w:val="18"/>
              </w:rPr>
              <w:t>7</w:t>
            </w:r>
          </w:p>
        </w:tc>
        <w:tc>
          <w:tcPr>
            <w:tcW w:w="1502" w:type="dxa"/>
            <w:vAlign w:val="center"/>
          </w:tcPr>
          <w:p w14:paraId="77BF9A0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
              </w:rPr>
            </w:pPr>
            <w:r w:rsidRPr="005E6B7C">
              <w:rPr>
                <w:rFonts w:asciiTheme="majorHAnsi" w:eastAsia="Times New Roman" w:hAnsiTheme="majorHAnsi" w:cstheme="majorHAnsi"/>
                <w:color w:val="000000" w:themeColor="text1"/>
                <w:sz w:val="18"/>
                <w:szCs w:val="18"/>
                <w:lang w:val="vi"/>
              </w:rPr>
              <w:t>0.</w:t>
            </w:r>
            <w:r w:rsidRPr="005E6B7C">
              <w:rPr>
                <w:rFonts w:asciiTheme="majorHAnsi" w:eastAsia="Times New Roman" w:hAnsiTheme="majorHAnsi" w:cstheme="majorHAnsi"/>
                <w:color w:val="000000" w:themeColor="text1"/>
                <w:sz w:val="18"/>
                <w:szCs w:val="18"/>
                <w:lang w:val="vi-VN"/>
              </w:rPr>
              <w:t>86</w:t>
            </w:r>
            <w:r w:rsidRPr="005E6B7C">
              <w:rPr>
                <w:rFonts w:asciiTheme="majorHAnsi" w:eastAsia="Times New Roman" w:hAnsiTheme="majorHAnsi" w:cstheme="majorHAnsi"/>
                <w:color w:val="000000" w:themeColor="text1"/>
                <w:sz w:val="18"/>
                <w:szCs w:val="18"/>
                <w:lang w:val="vi"/>
              </w:rPr>
              <w:t xml:space="preserve"> (</w:t>
            </w:r>
            <w:r w:rsidRPr="005E6B7C">
              <w:rPr>
                <w:rFonts w:asciiTheme="majorHAnsi" w:eastAsia="Times New Roman" w:hAnsiTheme="majorHAnsi" w:cstheme="majorHAnsi"/>
                <w:color w:val="000000" w:themeColor="text1"/>
                <w:sz w:val="18"/>
                <w:szCs w:val="18"/>
                <w:lang w:val="vi-VN"/>
              </w:rPr>
              <w:t>s)</w:t>
            </w:r>
          </w:p>
        </w:tc>
        <w:tc>
          <w:tcPr>
            <w:tcW w:w="900" w:type="dxa"/>
          </w:tcPr>
          <w:p w14:paraId="0C84290E"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r w:rsidRPr="005E6B7C">
              <w:rPr>
                <w:rFonts w:asciiTheme="majorHAnsi" w:eastAsia="Times New Roman" w:hAnsiTheme="majorHAnsi" w:cstheme="majorHAnsi"/>
                <w:color w:val="000000" w:themeColor="text1"/>
                <w:spacing w:val="-4"/>
                <w:sz w:val="18"/>
                <w:szCs w:val="18"/>
                <w:lang w:val="vi-VN"/>
              </w:rPr>
              <w:t>21.7</w:t>
            </w:r>
          </w:p>
        </w:tc>
        <w:tc>
          <w:tcPr>
            <w:tcW w:w="1890" w:type="dxa"/>
            <w:vAlign w:val="center"/>
          </w:tcPr>
          <w:p w14:paraId="4527A7F9"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pt-BR"/>
              </w:rPr>
              <w:t>0.85 (s</w:t>
            </w:r>
            <w:r w:rsidRPr="005E6B7C">
              <w:rPr>
                <w:rFonts w:asciiTheme="majorHAnsi" w:eastAsia="Times New Roman" w:hAnsiTheme="majorHAnsi" w:cstheme="majorHAnsi"/>
                <w:color w:val="000000" w:themeColor="text1"/>
                <w:sz w:val="18"/>
                <w:szCs w:val="18"/>
                <w:lang w:val="vi-VN"/>
              </w:rPr>
              <w:t>)</w:t>
            </w:r>
          </w:p>
        </w:tc>
        <w:tc>
          <w:tcPr>
            <w:tcW w:w="1236" w:type="dxa"/>
            <w:gridSpan w:val="2"/>
          </w:tcPr>
          <w:p w14:paraId="1D63C38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711" w:type="dxa"/>
          </w:tcPr>
          <w:p w14:paraId="175154EF"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1725" w:type="dxa"/>
          </w:tcPr>
          <w:p w14:paraId="26341976"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r>
      <w:tr w:rsidR="005A1BB2" w:rsidRPr="005E6B7C" w14:paraId="63C8D1B7" w14:textId="77777777" w:rsidTr="004E2C03">
        <w:trPr>
          <w:jc w:val="center"/>
        </w:trPr>
        <w:tc>
          <w:tcPr>
            <w:tcW w:w="425" w:type="dxa"/>
          </w:tcPr>
          <w:p w14:paraId="163FA34C"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5"/>
                <w:sz w:val="18"/>
                <w:szCs w:val="18"/>
                <w:lang w:val="vi-VN"/>
              </w:rPr>
            </w:pPr>
            <w:r w:rsidRPr="005E6B7C">
              <w:rPr>
                <w:rFonts w:asciiTheme="majorHAnsi" w:eastAsia="Times New Roman" w:hAnsiTheme="majorHAnsi" w:cstheme="majorHAnsi"/>
                <w:color w:val="000000" w:themeColor="text1"/>
                <w:spacing w:val="-5"/>
                <w:sz w:val="18"/>
                <w:szCs w:val="18"/>
                <w:lang w:val="vi-VN"/>
              </w:rPr>
              <w:t>20</w:t>
            </w:r>
          </w:p>
        </w:tc>
        <w:tc>
          <w:tcPr>
            <w:tcW w:w="707" w:type="dxa"/>
          </w:tcPr>
          <w:p w14:paraId="22684B8A"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pacing w:val="-4"/>
                <w:sz w:val="18"/>
                <w:szCs w:val="18"/>
                <w:lang w:val="vi-VN"/>
              </w:rPr>
            </w:pPr>
            <w:r w:rsidRPr="005E6B7C">
              <w:rPr>
                <w:rFonts w:asciiTheme="majorHAnsi" w:eastAsia="Times New Roman" w:hAnsiTheme="majorHAnsi" w:cstheme="majorHAnsi"/>
                <w:color w:val="000000" w:themeColor="text1"/>
                <w:spacing w:val="-4"/>
                <w:sz w:val="18"/>
                <w:szCs w:val="18"/>
                <w:lang w:val="vi-VN"/>
              </w:rPr>
              <w:t>15.1</w:t>
            </w:r>
          </w:p>
        </w:tc>
        <w:tc>
          <w:tcPr>
            <w:tcW w:w="1502" w:type="dxa"/>
          </w:tcPr>
          <w:p w14:paraId="1626B81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vi-VN"/>
              </w:rPr>
              <w:t>0</w:t>
            </w:r>
            <w:r w:rsidRPr="005E6B7C">
              <w:rPr>
                <w:rFonts w:asciiTheme="majorHAnsi" w:eastAsia="Times New Roman" w:hAnsiTheme="majorHAnsi" w:cstheme="majorHAnsi"/>
                <w:color w:val="000000" w:themeColor="text1"/>
                <w:sz w:val="18"/>
                <w:szCs w:val="18"/>
              </w:rPr>
              <w:t>.</w:t>
            </w:r>
            <w:r w:rsidRPr="005E6B7C">
              <w:rPr>
                <w:rFonts w:asciiTheme="majorHAnsi" w:eastAsia="Times New Roman" w:hAnsiTheme="majorHAnsi" w:cstheme="majorHAnsi"/>
                <w:color w:val="000000" w:themeColor="text1"/>
                <w:sz w:val="18"/>
                <w:szCs w:val="18"/>
                <w:lang w:val="vi-VN"/>
              </w:rPr>
              <w:t>75 (s)</w:t>
            </w:r>
          </w:p>
        </w:tc>
        <w:tc>
          <w:tcPr>
            <w:tcW w:w="900" w:type="dxa"/>
          </w:tcPr>
          <w:p w14:paraId="667009D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r w:rsidRPr="005E6B7C">
              <w:rPr>
                <w:rFonts w:asciiTheme="majorHAnsi" w:eastAsia="Times New Roman" w:hAnsiTheme="majorHAnsi" w:cstheme="majorHAnsi"/>
                <w:color w:val="000000" w:themeColor="text1"/>
                <w:spacing w:val="-4"/>
                <w:sz w:val="18"/>
                <w:szCs w:val="18"/>
                <w:lang w:val="vi-VN"/>
              </w:rPr>
              <w:t>15.7</w:t>
            </w:r>
          </w:p>
        </w:tc>
        <w:tc>
          <w:tcPr>
            <w:tcW w:w="1890" w:type="dxa"/>
          </w:tcPr>
          <w:p w14:paraId="73374B22"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vi-VN"/>
              </w:rPr>
            </w:pPr>
            <w:r w:rsidRPr="005E6B7C">
              <w:rPr>
                <w:rFonts w:asciiTheme="majorHAnsi" w:eastAsia="Times New Roman" w:hAnsiTheme="majorHAnsi" w:cstheme="majorHAnsi"/>
                <w:color w:val="000000" w:themeColor="text1"/>
                <w:sz w:val="18"/>
                <w:szCs w:val="18"/>
                <w:lang w:val="pt-BR"/>
              </w:rPr>
              <w:t>0.77 (</w:t>
            </w:r>
            <w:r w:rsidRPr="005E6B7C">
              <w:rPr>
                <w:rFonts w:asciiTheme="majorHAnsi" w:eastAsia="Times New Roman" w:hAnsiTheme="majorHAnsi" w:cstheme="majorHAnsi"/>
                <w:color w:val="000000" w:themeColor="text1"/>
                <w:sz w:val="18"/>
                <w:szCs w:val="18"/>
                <w:lang w:val="vi-VN"/>
              </w:rPr>
              <w:t>s</w:t>
            </w:r>
            <w:r w:rsidRPr="005E6B7C">
              <w:rPr>
                <w:rFonts w:asciiTheme="majorHAnsi" w:eastAsia="Times New Roman" w:hAnsiTheme="majorHAnsi" w:cstheme="majorHAnsi"/>
                <w:iCs/>
                <w:color w:val="000000" w:themeColor="text1"/>
                <w:sz w:val="18"/>
                <w:szCs w:val="18"/>
                <w:lang w:val="vi-VN"/>
              </w:rPr>
              <w:t>)</w:t>
            </w:r>
          </w:p>
        </w:tc>
        <w:tc>
          <w:tcPr>
            <w:tcW w:w="1236" w:type="dxa"/>
            <w:gridSpan w:val="2"/>
          </w:tcPr>
          <w:p w14:paraId="2B4A4E1D"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711" w:type="dxa"/>
          </w:tcPr>
          <w:p w14:paraId="5CA384A0"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c>
          <w:tcPr>
            <w:tcW w:w="1725" w:type="dxa"/>
          </w:tcPr>
          <w:p w14:paraId="0823E304" w14:textId="77777777" w:rsidR="005A1BB2" w:rsidRPr="005E6B7C" w:rsidRDefault="005A1BB2" w:rsidP="004E2C03">
            <w:pPr>
              <w:tabs>
                <w:tab w:val="left" w:pos="270"/>
                <w:tab w:val="left" w:pos="540"/>
                <w:tab w:val="left" w:pos="9270"/>
              </w:tabs>
              <w:autoSpaceDE w:val="0"/>
              <w:autoSpaceDN w:val="0"/>
              <w:spacing w:line="180" w:lineRule="exact"/>
              <w:ind w:right="-20"/>
              <w:jc w:val="center"/>
              <w:rPr>
                <w:rFonts w:asciiTheme="majorHAnsi" w:eastAsia="Times New Roman" w:hAnsiTheme="majorHAnsi" w:cstheme="majorHAnsi"/>
                <w:color w:val="000000" w:themeColor="text1"/>
                <w:sz w:val="18"/>
                <w:szCs w:val="18"/>
                <w:lang w:val="pt-BR"/>
              </w:rPr>
            </w:pPr>
          </w:p>
        </w:tc>
      </w:tr>
    </w:tbl>
    <w:p w14:paraId="2A223B57" w14:textId="77777777" w:rsidR="005A1BB2" w:rsidRPr="005E6B7C" w:rsidRDefault="005A1BB2" w:rsidP="005A1BB2">
      <w:pPr>
        <w:widowControl/>
        <w:tabs>
          <w:tab w:val="left" w:pos="270"/>
          <w:tab w:val="left" w:pos="540"/>
          <w:tab w:val="left" w:pos="9270"/>
        </w:tabs>
        <w:spacing w:before="120" w:after="240"/>
        <w:ind w:right="-20" w:firstLine="284"/>
        <w:jc w:val="both"/>
        <w:rPr>
          <w:rFonts w:asciiTheme="majorHAnsi" w:eastAsia="Yu Mincho" w:hAnsiTheme="majorHAnsi" w:cstheme="majorHAnsi"/>
          <w:i/>
          <w:color w:val="000000" w:themeColor="text1"/>
          <w:sz w:val="18"/>
          <w:szCs w:val="18"/>
          <w:lang w:eastAsia="ja-JP"/>
        </w:rPr>
      </w:pPr>
      <w:r w:rsidRPr="005E6B7C">
        <w:rPr>
          <w:rFonts w:asciiTheme="majorHAnsi" w:eastAsia="Calibri" w:hAnsiTheme="majorHAnsi" w:cstheme="majorHAnsi"/>
          <w:bCs/>
          <w:i/>
          <w:color w:val="000000" w:themeColor="text1"/>
          <w:sz w:val="18"/>
          <w:szCs w:val="18"/>
          <w:vertAlign w:val="superscript"/>
          <w:lang w:eastAsia="fr-FR"/>
        </w:rPr>
        <w:t xml:space="preserve">a: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xml:space="preserve">, 600 MHz, </w:t>
      </w:r>
      <w:r w:rsidRPr="005E6B7C">
        <w:rPr>
          <w:rFonts w:asciiTheme="majorHAnsi" w:eastAsia="Calibri" w:hAnsiTheme="majorHAnsi" w:cstheme="majorHAnsi"/>
          <w:bCs/>
          <w:i/>
          <w:color w:val="000000" w:themeColor="text1"/>
          <w:sz w:val="18"/>
          <w:szCs w:val="18"/>
          <w:vertAlign w:val="superscript"/>
          <w:lang w:eastAsia="fr-FR"/>
        </w:rPr>
        <w:t xml:space="preserve">b: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xml:space="preserve">, 125 MHz, </w:t>
      </w:r>
      <w:r w:rsidRPr="005E6B7C">
        <w:rPr>
          <w:rFonts w:asciiTheme="majorHAnsi" w:eastAsia="Calibri" w:hAnsiTheme="majorHAnsi" w:cstheme="majorHAnsi"/>
          <w:bCs/>
          <w:i/>
          <w:color w:val="000000" w:themeColor="text1"/>
          <w:sz w:val="18"/>
          <w:szCs w:val="18"/>
          <w:vertAlign w:val="superscript"/>
          <w:lang w:eastAsia="fr-FR"/>
        </w:rPr>
        <w:t xml:space="preserve">c: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xml:space="preserve">, 300 MHz, </w:t>
      </w:r>
      <w:r w:rsidRPr="005E6B7C">
        <w:rPr>
          <w:rFonts w:asciiTheme="majorHAnsi" w:eastAsia="Calibri" w:hAnsiTheme="majorHAnsi" w:cstheme="majorHAnsi"/>
          <w:bCs/>
          <w:i/>
          <w:color w:val="000000" w:themeColor="text1"/>
          <w:sz w:val="18"/>
          <w:szCs w:val="18"/>
          <w:vertAlign w:val="superscript"/>
          <w:lang w:eastAsia="fr-FR"/>
        </w:rPr>
        <w:t xml:space="preserve">d: </w:t>
      </w:r>
      <w:r w:rsidRPr="005E6B7C">
        <w:rPr>
          <w:rFonts w:asciiTheme="majorHAnsi" w:eastAsia="Calibri" w:hAnsiTheme="majorHAnsi" w:cstheme="majorHAnsi"/>
          <w:bCs/>
          <w:i/>
          <w:color w:val="000000" w:themeColor="text1"/>
          <w:sz w:val="18"/>
          <w:szCs w:val="18"/>
          <w:lang w:eastAsia="fr-FR"/>
        </w:rPr>
        <w:t>CDCl</w:t>
      </w:r>
      <w:r w:rsidRPr="005E6B7C">
        <w:rPr>
          <w:rFonts w:asciiTheme="majorHAnsi" w:eastAsia="Calibri" w:hAnsiTheme="majorHAnsi" w:cstheme="majorHAnsi"/>
          <w:bCs/>
          <w:i/>
          <w:color w:val="000000" w:themeColor="text1"/>
          <w:sz w:val="18"/>
          <w:szCs w:val="18"/>
          <w:vertAlign w:val="subscript"/>
          <w:lang w:eastAsia="fr-FR"/>
        </w:rPr>
        <w:t>3</w:t>
      </w:r>
      <w:r w:rsidRPr="005E6B7C">
        <w:rPr>
          <w:rFonts w:asciiTheme="majorHAnsi" w:eastAsia="Calibri" w:hAnsiTheme="majorHAnsi" w:cstheme="majorHAnsi"/>
          <w:bCs/>
          <w:i/>
          <w:color w:val="000000" w:themeColor="text1"/>
          <w:sz w:val="18"/>
          <w:szCs w:val="18"/>
          <w:lang w:eastAsia="fr-FR"/>
        </w:rPr>
        <w:t>, 750 MHz.</w:t>
      </w:r>
    </w:p>
    <w:p w14:paraId="46B3E496" w14:textId="77777777" w:rsidR="007B291D" w:rsidRPr="005E6B7C" w:rsidRDefault="007B291D" w:rsidP="005A1BB2">
      <w:pPr>
        <w:tabs>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sectPr w:rsidR="007B291D" w:rsidRPr="005E6B7C" w:rsidSect="007B291D">
          <w:type w:val="continuous"/>
          <w:pgSz w:w="10773" w:h="15309" w:code="9"/>
          <w:pgMar w:top="907" w:right="851" w:bottom="1418" w:left="851" w:header="397" w:footer="851" w:gutter="0"/>
          <w:cols w:space="284"/>
          <w:docGrid w:linePitch="360"/>
        </w:sectPr>
      </w:pPr>
    </w:p>
    <w:p w14:paraId="1EC43927" w14:textId="5466FB18" w:rsidR="005A1BB2" w:rsidRPr="005E6B7C" w:rsidRDefault="005A1BB2" w:rsidP="007B291D">
      <w:pPr>
        <w:tabs>
          <w:tab w:val="left" w:pos="540"/>
          <w:tab w:val="left" w:pos="9270"/>
        </w:tabs>
        <w:spacing w:line="240" w:lineRule="exact"/>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18.2 (C-2), 41.8 (C-3), 18.3 (C-6), 40.7 (C-7), 22.6 (C-11), 42.2 (C-12), and 42.1 (C-14); 3 methine groups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56.0 (C-5), 59.3 (C-9), and 31.2 (C-13); 2 quaternary carbons not bearing hydrogen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33.2 (C-4), and 39.2 (C-10); 1 oxygenated carbon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73.2 (C-8); and 1 carboxylic acid group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173.2 (C-15). The HMBC spectrum allowed the assignment of proton and carbon signals. HMBC correlations of H-18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0.83) and H-19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0.86) to C-4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33.2) and C-5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56.0); of H-17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1.15) and H-9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1.12) correlated to C-8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73.2); and the HMBC signal of H-14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2.12 and 2.31) correlated to C-15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173.2) suggested the labdane skeleton. Comparing the NMR data with reference [12], compound </w:t>
      </w:r>
      <w:r w:rsidRPr="005E6B7C">
        <w:rPr>
          <w:rFonts w:asciiTheme="majorHAnsi" w:eastAsia="Yu Mincho" w:hAnsiTheme="majorHAnsi" w:cstheme="majorHAnsi"/>
          <w:b/>
          <w:color w:val="000000" w:themeColor="text1"/>
          <w:spacing w:val="-4"/>
          <w:sz w:val="22"/>
          <w:szCs w:val="22"/>
          <w:lang w:eastAsia="ja-JP"/>
        </w:rPr>
        <w:t>3</w:t>
      </w:r>
      <w:r w:rsidRPr="005E6B7C">
        <w:rPr>
          <w:rFonts w:asciiTheme="majorHAnsi" w:eastAsia="Yu Mincho" w:hAnsiTheme="majorHAnsi" w:cstheme="majorHAnsi"/>
          <w:color w:val="000000" w:themeColor="text1"/>
          <w:spacing w:val="-4"/>
          <w:sz w:val="22"/>
          <w:szCs w:val="22"/>
          <w:lang w:eastAsia="ja-JP"/>
        </w:rPr>
        <w:t xml:space="preserve"> was determined as 8-hydroxylabdan-15-oic acid.</w:t>
      </w:r>
    </w:p>
    <w:p w14:paraId="68D14C08" w14:textId="09BAB3D9" w:rsidR="005A1BB2" w:rsidRPr="005E6B7C" w:rsidRDefault="005A1BB2" w:rsidP="005A1BB2">
      <w:pPr>
        <w:tabs>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Compound </w:t>
      </w:r>
      <w:r w:rsidRPr="005E6B7C">
        <w:rPr>
          <w:rFonts w:asciiTheme="majorHAnsi" w:eastAsia="Times New Roman" w:hAnsiTheme="majorHAnsi" w:cstheme="majorHAnsi"/>
          <w:b/>
          <w:bCs/>
          <w:color w:val="000000" w:themeColor="text1"/>
          <w:sz w:val="22"/>
          <w:szCs w:val="22"/>
        </w:rPr>
        <w:t>4</w:t>
      </w:r>
      <w:r w:rsidRPr="005E6B7C">
        <w:rPr>
          <w:rFonts w:asciiTheme="majorHAnsi" w:eastAsia="Times New Roman" w:hAnsiTheme="majorHAnsi" w:cstheme="majorHAnsi"/>
          <w:color w:val="000000" w:themeColor="text1"/>
          <w:sz w:val="22"/>
          <w:szCs w:val="22"/>
        </w:rPr>
        <w:t xml:space="preserve">  was isolated as a red oil. The </w:t>
      </w:r>
      <w:r w:rsidRPr="005E6B7C">
        <w:rPr>
          <w:rFonts w:asciiTheme="majorHAnsi" w:eastAsia="Times New Roman" w:hAnsiTheme="majorHAnsi" w:cstheme="majorHAnsi"/>
          <w:color w:val="000000" w:themeColor="text1"/>
          <w:sz w:val="22"/>
          <w:szCs w:val="22"/>
          <w:vertAlign w:val="superscript"/>
        </w:rPr>
        <w:t>1</w:t>
      </w:r>
      <w:r w:rsidRPr="005E6B7C">
        <w:rPr>
          <w:rFonts w:asciiTheme="majorHAnsi" w:eastAsia="Times New Roman" w:hAnsiTheme="majorHAnsi" w:cstheme="majorHAnsi"/>
          <w:color w:val="000000" w:themeColor="text1"/>
          <w:sz w:val="22"/>
          <w:szCs w:val="22"/>
        </w:rPr>
        <w:t>H</w:t>
      </w:r>
      <w:r w:rsidR="00A5489D" w:rsidRPr="005E6B7C">
        <w:rPr>
          <w:rFonts w:asciiTheme="majorHAnsi" w:eastAsia="Times New Roman" w:hAnsiTheme="majorHAnsi" w:cstheme="majorHAnsi"/>
          <w:color w:val="000000" w:themeColor="text1"/>
          <w:sz w:val="22"/>
          <w:szCs w:val="22"/>
        </w:rPr>
        <w:t>-</w:t>
      </w:r>
      <w:r w:rsidRPr="005E6B7C">
        <w:rPr>
          <w:rFonts w:asciiTheme="majorHAnsi" w:eastAsia="Times New Roman" w:hAnsiTheme="majorHAnsi" w:cstheme="majorHAnsi"/>
          <w:color w:val="000000" w:themeColor="text1"/>
          <w:sz w:val="22"/>
          <w:szCs w:val="22"/>
        </w:rPr>
        <w:t xml:space="preserve"> NMR spectrum of </w:t>
      </w:r>
      <w:r w:rsidRPr="005E6B7C">
        <w:rPr>
          <w:rFonts w:asciiTheme="majorHAnsi" w:eastAsia="Times New Roman" w:hAnsiTheme="majorHAnsi" w:cstheme="majorHAnsi"/>
          <w:b/>
          <w:bCs/>
          <w:color w:val="000000" w:themeColor="text1"/>
          <w:sz w:val="22"/>
          <w:szCs w:val="22"/>
        </w:rPr>
        <w:t>4</w:t>
      </w:r>
      <w:r w:rsidRPr="005E6B7C">
        <w:rPr>
          <w:rFonts w:asciiTheme="majorHAnsi" w:eastAsia="Times New Roman" w:hAnsiTheme="majorHAnsi" w:cstheme="majorHAnsi"/>
          <w:color w:val="000000" w:themeColor="text1"/>
          <w:sz w:val="22"/>
          <w:szCs w:val="22"/>
        </w:rPr>
        <w:t xml:space="preserve"> showed signals for 9 protons in the aromatic/double bond region, including 5 protons of a phenyl group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7.33 (2H, d, </w:t>
      </w:r>
      <w:r w:rsidRPr="005E6B7C">
        <w:rPr>
          <w:rFonts w:asciiTheme="majorHAnsi" w:eastAsia="Times New Roman" w:hAnsiTheme="majorHAnsi" w:cstheme="majorHAnsi"/>
          <w:i/>
          <w:iCs/>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7.8 Hz, H-5 and H-9), 7.28 (2H, t, </w:t>
      </w:r>
      <w:r w:rsidRPr="005E6B7C">
        <w:rPr>
          <w:rFonts w:asciiTheme="majorHAnsi" w:eastAsia="Times New Roman" w:hAnsiTheme="majorHAnsi" w:cstheme="majorHAnsi"/>
          <w:i/>
          <w:iCs/>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7.8 Hz, H-6 and H-8), and 7.19 (1H, t, </w:t>
      </w:r>
      <w:r w:rsidRPr="005E6B7C">
        <w:rPr>
          <w:rFonts w:asciiTheme="majorHAnsi" w:eastAsia="Times New Roman" w:hAnsiTheme="majorHAnsi" w:cstheme="majorHAnsi"/>
          <w:i/>
          <w:iCs/>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7.8 Hz, H-7); two aromatic proton singlets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6.67 (2H, s, H-3' and H-6'); and two </w:t>
      </w:r>
      <w:r w:rsidRPr="005E6B7C">
        <w:rPr>
          <w:rFonts w:asciiTheme="majorHAnsi" w:eastAsia="Times New Roman" w:hAnsiTheme="majorHAnsi" w:cstheme="majorHAnsi"/>
          <w:i/>
          <w:iCs/>
          <w:color w:val="000000" w:themeColor="text1"/>
          <w:sz w:val="22"/>
          <w:szCs w:val="22"/>
        </w:rPr>
        <w:t>trans</w:t>
      </w:r>
      <w:r w:rsidRPr="005E6B7C">
        <w:rPr>
          <w:rFonts w:asciiTheme="majorHAnsi" w:eastAsia="Times New Roman" w:hAnsiTheme="majorHAnsi" w:cstheme="majorHAnsi"/>
          <w:color w:val="000000" w:themeColor="text1"/>
          <w:sz w:val="22"/>
          <w:szCs w:val="22"/>
        </w:rPr>
        <w:t xml:space="preserve">-protons of a double bond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6.43 (1H, d, </w:t>
      </w:r>
      <w:r w:rsidRPr="005E6B7C">
        <w:rPr>
          <w:rFonts w:asciiTheme="majorHAnsi" w:eastAsia="Times New Roman" w:hAnsiTheme="majorHAnsi" w:cstheme="majorHAnsi"/>
          <w:i/>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15.6 Hz, H-3) and 6.32 (1H, dd, </w:t>
      </w:r>
      <w:r w:rsidRPr="005E6B7C">
        <w:rPr>
          <w:rFonts w:asciiTheme="majorHAnsi" w:eastAsia="Times New Roman" w:hAnsiTheme="majorHAnsi" w:cstheme="majorHAnsi"/>
          <w:i/>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15.6, 6.6 Hz, H-2). Additionally, there is a methoxy group signal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3.82 (3H, s, OMe) and a methylene group signal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3.50 (2H, d, </w:t>
      </w:r>
      <w:r w:rsidRPr="005E6B7C">
        <w:rPr>
          <w:rFonts w:asciiTheme="majorHAnsi" w:eastAsia="Times New Roman" w:hAnsiTheme="majorHAnsi" w:cstheme="majorHAnsi"/>
          <w:i/>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6.6 Hz, H-1). The </w:t>
      </w:r>
      <w:r w:rsidRPr="005E6B7C">
        <w:rPr>
          <w:rFonts w:asciiTheme="majorHAnsi" w:eastAsia="Times New Roman" w:hAnsiTheme="majorHAnsi" w:cstheme="majorHAnsi"/>
          <w:color w:val="000000" w:themeColor="text1"/>
          <w:sz w:val="22"/>
          <w:szCs w:val="22"/>
          <w:vertAlign w:val="superscript"/>
        </w:rPr>
        <w:t>13</w:t>
      </w:r>
      <w:r w:rsidRPr="005E6B7C">
        <w:rPr>
          <w:rFonts w:asciiTheme="majorHAnsi" w:eastAsia="Times New Roman" w:hAnsiTheme="majorHAnsi" w:cstheme="majorHAnsi"/>
          <w:color w:val="000000" w:themeColor="text1"/>
          <w:sz w:val="22"/>
          <w:szCs w:val="22"/>
        </w:rPr>
        <w:t>C</w:t>
      </w:r>
      <w:r w:rsidR="003930EC" w:rsidRPr="005E6B7C">
        <w:rPr>
          <w:rFonts w:asciiTheme="majorHAnsi" w:eastAsia="Times New Roman" w:hAnsiTheme="majorHAnsi" w:cstheme="majorHAnsi"/>
          <w:color w:val="000000" w:themeColor="text1"/>
          <w:sz w:val="22"/>
          <w:szCs w:val="22"/>
        </w:rPr>
        <w:t>-</w:t>
      </w:r>
      <w:r w:rsidRPr="005E6B7C">
        <w:rPr>
          <w:rFonts w:asciiTheme="majorHAnsi" w:eastAsia="Times New Roman" w:hAnsiTheme="majorHAnsi" w:cstheme="majorHAnsi"/>
          <w:color w:val="000000" w:themeColor="text1"/>
          <w:sz w:val="22"/>
          <w:szCs w:val="22"/>
        </w:rPr>
        <w:t xml:space="preserve">NMR and HSQC spectra showed signals for 16 carbons, with 14 signals in the region for double-bond or aromatic carbons. The first phenyl ring included signals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137.5 </w:t>
      </w:r>
      <w:r w:rsidRPr="005E6B7C">
        <w:rPr>
          <w:rFonts w:asciiTheme="majorHAnsi" w:eastAsia="Times New Roman" w:hAnsiTheme="majorHAnsi" w:cstheme="majorHAnsi"/>
          <w:color w:val="000000" w:themeColor="text1"/>
          <w:sz w:val="22"/>
          <w:szCs w:val="22"/>
        </w:rPr>
        <w:t xml:space="preserve">(C-4), 126.1 (C-5, C-9), 128.5 (C-6, C-8), and 127.1 (C-7). The second phenyl ring showed carbon signals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124.6 (C-1'), 148.5 (C-2'), 111.3 (C-3'), 136.1 (C-4'), 143.1 (C-5'), and 121.1 (C-6'). The signals for carbons in the propene side chain are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130.9 (C-3), 129.0 (C-2), and 32.6 (C-1). In addition, the methoxy group was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61.4 (OMe). In the HMBC spectrum, correlations of H-5 and H-9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7.33) to C-3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130.9), of H-2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6.32) to C-4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137.5) indicate the linkage C-3/C-4. HMBC correlations of H-1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3.50) to C-1'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124.6), C-6'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121.1), and C-2'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148.5) suggested the 1,2,4,5-substitutions at the second phenyl ring. The HMBC correlations of H-3' and H-6'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6.67) to C-4'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136.1) and C-5'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143.1) </w:t>
      </w:r>
      <w:r w:rsidR="00EA6E3E" w:rsidRPr="005E6B7C">
        <w:rPr>
          <w:rFonts w:asciiTheme="majorHAnsi" w:eastAsia="Times New Roman" w:hAnsiTheme="majorHAnsi" w:cstheme="majorHAnsi"/>
          <w:color w:val="000000" w:themeColor="text1"/>
          <w:sz w:val="22"/>
          <w:szCs w:val="22"/>
        </w:rPr>
        <w:t>confirmed the substitution pattern</w:t>
      </w:r>
      <w:r w:rsidRPr="005E6B7C">
        <w:rPr>
          <w:rFonts w:asciiTheme="majorHAnsi" w:eastAsia="Times New Roman" w:hAnsiTheme="majorHAnsi" w:cstheme="majorHAnsi"/>
          <w:color w:val="000000" w:themeColor="text1"/>
          <w:sz w:val="22"/>
          <w:szCs w:val="22"/>
        </w:rPr>
        <w:t>. The correlation of methoxy protons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3.82) to C-2'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148.5) confirmed the methoxy group at C</w:t>
      </w:r>
      <w:r w:rsidRPr="005E6B7C">
        <w:rPr>
          <w:rFonts w:asciiTheme="majorHAnsi" w:eastAsia="Times New Roman" w:hAnsiTheme="majorHAnsi" w:cstheme="majorHAnsi"/>
          <w:color w:val="000000" w:themeColor="text1"/>
          <w:spacing w:val="-4"/>
          <w:sz w:val="22"/>
          <w:szCs w:val="22"/>
        </w:rPr>
        <w:t xml:space="preserve">-2'. Based on the spectral analysis, </w:t>
      </w:r>
      <w:r w:rsidRPr="005E6B7C">
        <w:rPr>
          <w:rFonts w:asciiTheme="majorHAnsi" w:eastAsia="Times New Roman" w:hAnsiTheme="majorHAnsi" w:cstheme="majorHAnsi"/>
          <w:b/>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is determined to be (</w:t>
      </w:r>
      <w:r w:rsidRPr="005E6B7C">
        <w:rPr>
          <w:rFonts w:asciiTheme="majorHAnsi" w:eastAsia="Times New Roman" w:hAnsiTheme="majorHAnsi" w:cstheme="majorHAnsi"/>
          <w:i/>
          <w:color w:val="000000" w:themeColor="text1"/>
          <w:spacing w:val="-4"/>
          <w:sz w:val="22"/>
          <w:szCs w:val="22"/>
        </w:rPr>
        <w:t>E</w:t>
      </w:r>
      <w:r w:rsidRPr="005E6B7C">
        <w:rPr>
          <w:rFonts w:asciiTheme="majorHAnsi" w:eastAsia="Times New Roman" w:hAnsiTheme="majorHAnsi" w:cstheme="majorHAnsi"/>
          <w:color w:val="000000" w:themeColor="text1"/>
          <w:spacing w:val="-4"/>
          <w:sz w:val="22"/>
          <w:szCs w:val="22"/>
        </w:rPr>
        <w:t xml:space="preserve">)-1-(2'-methoxy-4',5'-dihydroxyphenyl)-3-phenylprop-2-ene. Compound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was found in </w:t>
      </w:r>
      <w:r w:rsidRPr="005E6B7C">
        <w:rPr>
          <w:rFonts w:asciiTheme="majorHAnsi" w:eastAsia="Times New Roman" w:hAnsiTheme="majorHAnsi" w:cstheme="majorHAnsi"/>
          <w:i/>
          <w:iCs/>
          <w:color w:val="000000" w:themeColor="text1"/>
          <w:spacing w:val="-4"/>
          <w:sz w:val="22"/>
          <w:szCs w:val="22"/>
        </w:rPr>
        <w:t>Dalbergia retusa</w:t>
      </w:r>
      <w:r w:rsidRPr="005E6B7C">
        <w:rPr>
          <w:rFonts w:asciiTheme="majorHAnsi" w:eastAsia="Times New Roman" w:hAnsiTheme="majorHAnsi" w:cstheme="majorHAnsi"/>
          <w:color w:val="000000" w:themeColor="text1"/>
          <w:spacing w:val="-4"/>
          <w:sz w:val="22"/>
          <w:szCs w:val="22"/>
        </w:rPr>
        <w:t xml:space="preserve"> (Fabaceae family), but the authors only reported the NMR data of a diacetylated product [13],[14]. Therefore, this is the first time that we report the NMR spectral data of this compound, as well as its first discovery in stingless bee propolis. Compound </w:t>
      </w:r>
      <w:r w:rsidRPr="005E6B7C">
        <w:rPr>
          <w:rFonts w:asciiTheme="majorHAnsi" w:eastAsia="Times New Roman" w:hAnsiTheme="majorHAnsi" w:cstheme="majorHAnsi"/>
          <w:b/>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has a structure similar to compound (</w:t>
      </w:r>
      <w:r w:rsidRPr="005E6B7C">
        <w:rPr>
          <w:rFonts w:asciiTheme="majorHAnsi" w:eastAsia="Times New Roman" w:hAnsiTheme="majorHAnsi" w:cstheme="majorHAnsi"/>
          <w:i/>
          <w:color w:val="000000" w:themeColor="text1"/>
          <w:spacing w:val="-4"/>
          <w:sz w:val="22"/>
          <w:szCs w:val="22"/>
        </w:rPr>
        <w:t>Z</w:t>
      </w:r>
      <w:r w:rsidRPr="005E6B7C">
        <w:rPr>
          <w:rFonts w:asciiTheme="majorHAnsi" w:eastAsia="Times New Roman" w:hAnsiTheme="majorHAnsi" w:cstheme="majorHAnsi"/>
          <w:color w:val="000000" w:themeColor="text1"/>
          <w:spacing w:val="-4"/>
          <w:sz w:val="22"/>
          <w:szCs w:val="22"/>
        </w:rPr>
        <w:t>)-1-(2'-methoxy-4',5'-dihydroxyphenyl)-3-phenylprop-2-ene, found in red Mexican propolis [15].</w:t>
      </w:r>
    </w:p>
    <w:p w14:paraId="405EB7F5" w14:textId="47F2FBF7" w:rsidR="005A1BB2" w:rsidRPr="005E6B7C" w:rsidRDefault="005A1BB2" w:rsidP="005A1BB2">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Compounds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were determined as (+)-eudesmin </w:t>
      </w:r>
      <w:r w:rsidR="005336CE" w:rsidRPr="005E6B7C">
        <w:rPr>
          <w:rFonts w:asciiTheme="majorHAnsi" w:eastAsia="Yu Mincho" w:hAnsiTheme="majorHAnsi" w:cstheme="majorHAnsi"/>
          <w:color w:val="000000" w:themeColor="text1"/>
          <w:sz w:val="22"/>
          <w:szCs w:val="22"/>
          <w:lang w:val="vi-VN" w:eastAsia="ja-JP"/>
        </w:rPr>
        <w:t>(</w:t>
      </w:r>
      <w:r w:rsidR="005336CE" w:rsidRPr="005E6B7C">
        <w:rPr>
          <w:rFonts w:asciiTheme="majorHAnsi" w:eastAsia="Yu Mincho" w:hAnsiTheme="majorHAnsi" w:cstheme="majorHAnsi"/>
          <w:b/>
          <w:bCs/>
          <w:color w:val="000000" w:themeColor="text1"/>
          <w:sz w:val="22"/>
          <w:szCs w:val="22"/>
          <w:lang w:val="vi-VN" w:eastAsia="ja-JP"/>
        </w:rPr>
        <w:t>5</w:t>
      </w:r>
      <w:r w:rsidR="005336CE"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and (-)-</w:t>
      </w:r>
      <w:r w:rsidRPr="005E6B7C">
        <w:rPr>
          <w:rFonts w:asciiTheme="majorHAnsi" w:eastAsia="Yu Mincho" w:hAnsiTheme="majorHAnsi" w:cstheme="majorHAnsi"/>
          <w:i/>
          <w:iCs/>
          <w:color w:val="000000" w:themeColor="text1"/>
          <w:sz w:val="22"/>
          <w:szCs w:val="22"/>
          <w:lang w:eastAsia="ja-JP"/>
        </w:rPr>
        <w:t>epi</w:t>
      </w:r>
      <w:r w:rsidRPr="005E6B7C">
        <w:rPr>
          <w:rFonts w:asciiTheme="majorHAnsi" w:eastAsia="Yu Mincho" w:hAnsiTheme="majorHAnsi" w:cstheme="majorHAnsi"/>
          <w:color w:val="000000" w:themeColor="text1"/>
          <w:sz w:val="22"/>
          <w:szCs w:val="22"/>
          <w:lang w:eastAsia="ja-JP"/>
        </w:rPr>
        <w:t>-eudesmin</w:t>
      </w:r>
      <w:r w:rsidR="005336CE" w:rsidRPr="005E6B7C">
        <w:rPr>
          <w:rFonts w:asciiTheme="majorHAnsi" w:eastAsia="Yu Mincho" w:hAnsiTheme="majorHAnsi" w:cstheme="majorHAnsi"/>
          <w:color w:val="000000" w:themeColor="text1"/>
          <w:sz w:val="22"/>
          <w:szCs w:val="22"/>
          <w:lang w:val="vi-VN" w:eastAsia="ja-JP"/>
        </w:rPr>
        <w:t xml:space="preserve"> (</w:t>
      </w:r>
      <w:r w:rsidR="005336CE" w:rsidRPr="005E6B7C">
        <w:rPr>
          <w:rFonts w:asciiTheme="majorHAnsi" w:eastAsia="Yu Mincho" w:hAnsiTheme="majorHAnsi" w:cstheme="majorHAnsi"/>
          <w:b/>
          <w:bCs/>
          <w:color w:val="000000" w:themeColor="text1"/>
          <w:sz w:val="22"/>
          <w:szCs w:val="22"/>
          <w:lang w:val="vi-VN" w:eastAsia="ja-JP"/>
        </w:rPr>
        <w:t>6</w:t>
      </w:r>
      <w:r w:rsidR="005336CE"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lastRenderedPageBreak/>
        <w:t xml:space="preserve">respectively, based on the comparison of NMR data with those in the previous reports [16],[17]. </w:t>
      </w:r>
    </w:p>
    <w:p w14:paraId="0CC3FECF" w14:textId="4A7BF9C4" w:rsidR="005A1BB2" w:rsidRPr="005E6B7C" w:rsidRDefault="005A1BB2" w:rsidP="005A1BB2">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This is the first chemical study of stingless bee </w:t>
      </w:r>
      <w:r w:rsidRPr="005E6B7C">
        <w:rPr>
          <w:rFonts w:asciiTheme="majorHAnsi" w:eastAsia="Yu Mincho" w:hAnsiTheme="majorHAnsi" w:cstheme="majorHAnsi"/>
          <w:i/>
          <w:color w:val="000000" w:themeColor="text1"/>
          <w:sz w:val="22"/>
          <w:szCs w:val="22"/>
          <w:lang w:eastAsia="ja-JP"/>
        </w:rPr>
        <w:t>L. terminata</w:t>
      </w:r>
      <w:r w:rsidRPr="005E6B7C">
        <w:rPr>
          <w:rFonts w:asciiTheme="majorHAnsi" w:eastAsia="Yu Mincho" w:hAnsiTheme="majorHAnsi" w:cstheme="majorHAnsi"/>
          <w:color w:val="000000" w:themeColor="text1"/>
          <w:sz w:val="22"/>
          <w:szCs w:val="22"/>
          <w:lang w:eastAsia="ja-JP"/>
        </w:rPr>
        <w:t xml:space="preserve"> (Smith, 1878)</w:t>
      </w:r>
      <w:r w:rsidRPr="005E6B7C">
        <w:rPr>
          <w:rFonts w:asciiTheme="majorHAnsi" w:eastAsia="Yu Mincho" w:hAnsiTheme="majorHAnsi" w:cstheme="majorHAnsi"/>
          <w:bCs/>
          <w: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propolis in Vietnam. Compound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was identified from propolis of </w:t>
      </w:r>
      <w:r w:rsidRPr="005E6B7C">
        <w:rPr>
          <w:rFonts w:asciiTheme="majorHAnsi" w:eastAsia="Yu Mincho" w:hAnsiTheme="majorHAnsi" w:cstheme="majorHAnsi"/>
          <w:bCs/>
          <w:i/>
          <w:color w:val="000000" w:themeColor="text1"/>
          <w:sz w:val="22"/>
          <w:szCs w:val="22"/>
          <w:lang w:eastAsia="ja-JP"/>
        </w:rPr>
        <w:t>Lisotrigona furva</w:t>
      </w:r>
      <w:r w:rsidRPr="005E6B7C">
        <w:rPr>
          <w:rFonts w:asciiTheme="majorHAnsi" w:eastAsia="Yu Mincho" w:hAnsiTheme="majorHAnsi" w:cstheme="majorHAnsi"/>
          <w:bCs/>
          <w:color w:val="000000" w:themeColor="text1"/>
          <w:sz w:val="22"/>
          <w:szCs w:val="22"/>
          <w:lang w:eastAsia="ja-JP"/>
        </w:rPr>
        <w:t xml:space="preserve"> [3] and </w:t>
      </w:r>
      <w:r w:rsidRPr="005E6B7C">
        <w:rPr>
          <w:rFonts w:asciiTheme="majorHAnsi" w:eastAsia="Yu Mincho" w:hAnsiTheme="majorHAnsi" w:cstheme="majorHAnsi"/>
          <w:i/>
          <w:color w:val="000000" w:themeColor="text1"/>
          <w:sz w:val="22"/>
          <w:szCs w:val="22"/>
          <w:lang w:eastAsia="ja-JP"/>
        </w:rPr>
        <w:t>Lepidotrigona</w:t>
      </w:r>
      <w:r w:rsidRPr="005E6B7C">
        <w:rPr>
          <w:rFonts w:asciiTheme="majorHAnsi" w:eastAsia="Times New Roman" w:hAnsiTheme="majorHAnsi" w:cstheme="majorHAnsi"/>
          <w:i/>
          <w:iCs/>
          <w:color w:val="000000" w:themeColor="text1"/>
          <w:sz w:val="22"/>
          <w:szCs w:val="22"/>
        </w:rPr>
        <w:t xml:space="preserve"> terminata</w:t>
      </w:r>
      <w:r w:rsidRPr="005E6B7C">
        <w:rPr>
          <w:rFonts w:asciiTheme="majorHAnsi" w:eastAsia="Times New Roman" w:hAnsiTheme="majorHAnsi" w:cstheme="majorHAnsi"/>
          <w:iCs/>
          <w:color w:val="000000" w:themeColor="text1"/>
          <w:sz w:val="22"/>
          <w:szCs w:val="22"/>
        </w:rPr>
        <w:t xml:space="preserve"> [9]</w:t>
      </w:r>
      <w:r w:rsidRPr="005E6B7C">
        <w:rPr>
          <w:rFonts w:asciiTheme="majorHAnsi" w:eastAsia="Yu Mincho" w:hAnsiTheme="majorHAnsi" w:cstheme="majorHAnsi"/>
          <w:bCs/>
          <w:color w:val="000000" w:themeColor="text1"/>
          <w:sz w:val="22"/>
          <w:szCs w:val="22"/>
          <w:lang w:eastAsia="ja-JP"/>
        </w:rPr>
        <w:t xml:space="preserve">. Compound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was isolated from </w:t>
      </w:r>
      <w:r w:rsidR="007A051F" w:rsidRPr="005E6B7C">
        <w:rPr>
          <w:rFonts w:asciiTheme="majorHAnsi" w:eastAsia="Yu Mincho" w:hAnsiTheme="majorHAnsi" w:cstheme="majorHAnsi"/>
          <w:bCs/>
          <w:color w:val="000000" w:themeColor="text1"/>
          <w:sz w:val="22"/>
          <w:szCs w:val="22"/>
          <w:lang w:eastAsia="ja-JP"/>
        </w:rPr>
        <w:t xml:space="preserve">the </w:t>
      </w:r>
      <w:r w:rsidRPr="005E6B7C">
        <w:rPr>
          <w:rFonts w:asciiTheme="majorHAnsi" w:eastAsia="Yu Mincho" w:hAnsiTheme="majorHAnsi" w:cstheme="majorHAnsi"/>
          <w:bCs/>
          <w:color w:val="000000" w:themeColor="text1"/>
          <w:sz w:val="22"/>
          <w:szCs w:val="22"/>
          <w:lang w:eastAsia="ja-JP"/>
        </w:rPr>
        <w:t xml:space="preserve">propolis of </w:t>
      </w:r>
      <w:r w:rsidRPr="005E6B7C">
        <w:rPr>
          <w:rFonts w:asciiTheme="majorHAnsi" w:eastAsia="Yu Mincho" w:hAnsiTheme="majorHAnsi" w:cstheme="majorHAnsi"/>
          <w:bCs/>
          <w:i/>
          <w:color w:val="000000" w:themeColor="text1"/>
          <w:sz w:val="22"/>
          <w:szCs w:val="22"/>
          <w:lang w:eastAsia="ja-JP"/>
        </w:rPr>
        <w:t>Lepidotrigona ventralis</w:t>
      </w:r>
      <w:r w:rsidRPr="005E6B7C">
        <w:rPr>
          <w:rFonts w:asciiTheme="majorHAnsi" w:eastAsia="Yu Mincho" w:hAnsiTheme="majorHAnsi" w:cstheme="majorHAnsi"/>
          <w:bCs/>
          <w:color w:val="000000" w:themeColor="text1"/>
          <w:sz w:val="22"/>
          <w:szCs w:val="22"/>
          <w:lang w:eastAsia="ja-JP"/>
        </w:rPr>
        <w:t xml:space="preserve"> collected in Tuyen Quang province [18]. To the best of our knowledge, compounds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 xml:space="preserve"> 4</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bCs/>
          <w:color w:val="000000" w:themeColor="text1"/>
          <w:sz w:val="22"/>
          <w:szCs w:val="22"/>
          <w:lang w:eastAsia="ja-JP"/>
        </w:rPr>
        <w:t xml:space="preserve"> were first reported from stingless bee propolis. Notably, gracinol A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and dipterocarpol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have been found in the plants </w:t>
      </w:r>
      <w:r w:rsidRPr="005E6B7C">
        <w:rPr>
          <w:rFonts w:asciiTheme="majorHAnsi" w:eastAsia="Yu Mincho" w:hAnsiTheme="majorHAnsi" w:cstheme="majorHAnsi"/>
          <w:bCs/>
          <w:i/>
          <w:color w:val="000000" w:themeColor="text1"/>
          <w:sz w:val="22"/>
          <w:szCs w:val="22"/>
          <w:lang w:eastAsia="ja-JP"/>
        </w:rPr>
        <w:t xml:space="preserve">Dipterocarpus </w:t>
      </w:r>
      <w:r w:rsidRPr="005E6B7C">
        <w:rPr>
          <w:rFonts w:asciiTheme="majorHAnsi" w:eastAsia="Yu Mincho" w:hAnsiTheme="majorHAnsi" w:cstheme="majorHAnsi"/>
          <w:bCs/>
          <w:color w:val="000000" w:themeColor="text1"/>
          <w:sz w:val="22"/>
          <w:szCs w:val="22"/>
          <w:lang w:eastAsia="ja-JP"/>
        </w:rPr>
        <w:t xml:space="preserve">spp. [10], while compound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xml:space="preserve"> was only isolated from </w:t>
      </w:r>
      <w:r w:rsidRPr="005E6B7C">
        <w:rPr>
          <w:rFonts w:asciiTheme="majorHAnsi" w:eastAsia="Times New Roman" w:hAnsiTheme="majorHAnsi" w:cstheme="majorHAnsi"/>
          <w:i/>
          <w:iCs/>
          <w:color w:val="000000" w:themeColor="text1"/>
          <w:sz w:val="22"/>
          <w:szCs w:val="22"/>
        </w:rPr>
        <w:t>Dalbergia retusa</w:t>
      </w:r>
      <w:r w:rsidRPr="005E6B7C">
        <w:rPr>
          <w:rFonts w:asciiTheme="majorHAnsi" w:eastAsia="Yu Mincho" w:hAnsiTheme="majorHAnsi" w:cstheme="majorHAnsi"/>
          <w:bCs/>
          <w: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[13],[14].  Based on our chemical results, </w:t>
      </w:r>
      <w:r w:rsidRPr="005E6B7C">
        <w:rPr>
          <w:rFonts w:asciiTheme="majorHAnsi" w:eastAsia="Times New Roman" w:hAnsiTheme="majorHAnsi" w:cstheme="majorHAnsi"/>
          <w:color w:val="000000" w:themeColor="text1"/>
          <w:sz w:val="22"/>
          <w:szCs w:val="22"/>
        </w:rPr>
        <w:t xml:space="preserve">resin sources for </w:t>
      </w:r>
      <w:r w:rsidRPr="005E6B7C">
        <w:rPr>
          <w:rFonts w:asciiTheme="majorHAnsi" w:eastAsia="Times New Roman" w:hAnsiTheme="majorHAnsi" w:cstheme="majorHAnsi"/>
          <w:i/>
          <w:iCs/>
          <w:color w:val="000000" w:themeColor="text1"/>
          <w:sz w:val="22"/>
          <w:szCs w:val="22"/>
        </w:rPr>
        <w:t>L. terminata</w:t>
      </w:r>
      <w:r w:rsidRPr="005E6B7C">
        <w:rPr>
          <w:rFonts w:asciiTheme="majorHAnsi" w:eastAsia="Times New Roman" w:hAnsiTheme="majorHAnsi" w:cstheme="majorHAnsi"/>
          <w:color w:val="000000" w:themeColor="text1"/>
          <w:sz w:val="22"/>
          <w:szCs w:val="22"/>
        </w:rPr>
        <w:t xml:space="preserve"> propolis could be </w:t>
      </w:r>
      <w:r w:rsidRPr="005E6B7C">
        <w:rPr>
          <w:rFonts w:asciiTheme="majorHAnsi" w:eastAsia="Yu Mincho" w:hAnsiTheme="majorHAnsi" w:cstheme="majorHAnsi"/>
          <w:bCs/>
          <w:i/>
          <w:color w:val="000000" w:themeColor="text1"/>
          <w:sz w:val="22"/>
          <w:szCs w:val="22"/>
          <w:lang w:eastAsia="ja-JP"/>
        </w:rPr>
        <w:t xml:space="preserve">Dipterocarpus </w:t>
      </w:r>
      <w:r w:rsidRPr="005E6B7C">
        <w:rPr>
          <w:rFonts w:asciiTheme="majorHAnsi" w:eastAsia="Yu Mincho" w:hAnsiTheme="majorHAnsi" w:cstheme="majorHAnsi"/>
          <w:bCs/>
          <w:color w:val="000000" w:themeColor="text1"/>
          <w:sz w:val="22"/>
          <w:szCs w:val="22"/>
          <w:lang w:eastAsia="ja-JP"/>
        </w:rPr>
        <w:t>spp</w:t>
      </w:r>
      <w:r w:rsidR="003930EC" w:rsidRPr="005E6B7C">
        <w:rPr>
          <w:rFonts w:asciiTheme="majorHAnsi" w:eastAsia="Yu Mincho" w:hAnsiTheme="majorHAnsi" w:cstheme="majorHAnsi"/>
          <w:bCs/>
          <w:color w:val="000000" w:themeColor="text1"/>
          <w:sz w:val="22"/>
          <w:szCs w:val="22"/>
          <w:lang w:eastAsia="ja-JP"/>
        </w:rPr>
        <w:t>.</w:t>
      </w:r>
      <w:r w:rsidRPr="005E6B7C">
        <w:rPr>
          <w:rFonts w:asciiTheme="majorHAnsi" w:eastAsia="Times New Roman" w:hAnsiTheme="majorHAnsi" w:cstheme="majorHAnsi"/>
          <w:iCs/>
          <w:color w:val="000000" w:themeColor="text1"/>
          <w:sz w:val="22"/>
          <w:szCs w:val="22"/>
        </w:rPr>
        <w:t xml:space="preserve"> and</w:t>
      </w:r>
      <w:r w:rsidRPr="005E6B7C">
        <w:rPr>
          <w:rFonts w:asciiTheme="majorHAnsi" w:eastAsia="Times New Roman" w:hAnsiTheme="majorHAnsi" w:cstheme="majorHAnsi"/>
          <w:i/>
          <w:iCs/>
          <w:color w:val="000000" w:themeColor="text1"/>
          <w:sz w:val="22"/>
          <w:szCs w:val="22"/>
        </w:rPr>
        <w:t xml:space="preserve"> Dalbergia retusa</w:t>
      </w:r>
      <w:r w:rsidRPr="005E6B7C">
        <w:rPr>
          <w:rFonts w:asciiTheme="majorHAnsi" w:eastAsia="Times New Roman" w:hAnsiTheme="majorHAnsi" w:cstheme="majorHAnsi"/>
          <w:color w:val="000000" w:themeColor="text1"/>
          <w:sz w:val="22"/>
          <w:szCs w:val="22"/>
        </w:rPr>
        <w:t xml:space="preserve"> plants. Our findings are in agreement with those of Popova et al., that </w:t>
      </w:r>
      <w:r w:rsidRPr="005E6B7C">
        <w:rPr>
          <w:rFonts w:asciiTheme="majorHAnsi" w:eastAsia="Yu Mincho" w:hAnsiTheme="majorHAnsi" w:cstheme="majorHAnsi"/>
          <w:i/>
          <w:iCs/>
          <w:color w:val="000000" w:themeColor="text1"/>
          <w:sz w:val="22"/>
          <w:szCs w:val="22"/>
          <w:lang w:eastAsia="ja-JP"/>
        </w:rPr>
        <w:t>Lepidotrigona</w:t>
      </w:r>
      <w:r w:rsidRPr="005E6B7C">
        <w:rPr>
          <w:rFonts w:asciiTheme="majorHAnsi" w:eastAsia="Yu Mincho" w:hAnsiTheme="majorHAnsi" w:cstheme="majorHAnsi"/>
          <w:color w:val="000000" w:themeColor="text1"/>
          <w:sz w:val="22"/>
          <w:szCs w:val="22"/>
          <w:lang w:eastAsia="ja-JP"/>
        </w:rPr>
        <w:t xml:space="preserve"> sp. propolis displayed complicated </w:t>
      </w:r>
      <w:r w:rsidRPr="005E6B7C">
        <w:rPr>
          <w:rFonts w:asciiTheme="majorHAnsi" w:eastAsia="Yu Mincho" w:hAnsiTheme="majorHAnsi" w:cstheme="majorHAnsi"/>
          <w:color w:val="000000" w:themeColor="text1"/>
          <w:sz w:val="22"/>
          <w:szCs w:val="22"/>
          <w:lang w:eastAsia="ja-JP"/>
        </w:rPr>
        <w:t>and diverse chemical composition due to multiple resin sources [9].</w:t>
      </w:r>
      <w:r w:rsidRPr="005E6B7C">
        <w:rPr>
          <w:rFonts w:asciiTheme="majorHAnsi" w:eastAsia="Times New Roman" w:hAnsiTheme="majorHAnsi" w:cstheme="majorHAnsi"/>
          <w:color w:val="000000" w:themeColor="text1"/>
          <w:sz w:val="22"/>
          <w:szCs w:val="22"/>
        </w:rPr>
        <w:t xml:space="preserve"> </w:t>
      </w:r>
    </w:p>
    <w:p w14:paraId="561305A4" w14:textId="77777777" w:rsidR="005A1BB2" w:rsidRPr="005E6B7C" w:rsidRDefault="005A1BB2" w:rsidP="005A1BB2">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4. Conclusion </w:t>
      </w:r>
    </w:p>
    <w:p w14:paraId="5232D671" w14:textId="4857FF0E" w:rsidR="00E049CB" w:rsidRPr="005E6B7C" w:rsidRDefault="005A1BB2" w:rsidP="005A1BB2">
      <w:pPr>
        <w:tabs>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Phytochemical study of </w:t>
      </w:r>
      <w:r w:rsidRPr="005E6B7C">
        <w:rPr>
          <w:rFonts w:asciiTheme="majorHAnsi" w:eastAsia="Yu Mincho" w:hAnsiTheme="majorHAnsi" w:cstheme="majorHAnsi"/>
          <w:iCs/>
          <w:color w:val="000000" w:themeColor="text1"/>
          <w:sz w:val="22"/>
          <w:szCs w:val="22"/>
          <w:lang w:eastAsia="ja-JP"/>
        </w:rPr>
        <w:t xml:space="preserve">stingless bee </w:t>
      </w:r>
      <w:r w:rsidRPr="005E6B7C">
        <w:rPr>
          <w:rFonts w:asciiTheme="majorHAnsi" w:eastAsia="Yu Mincho" w:hAnsiTheme="majorHAnsi" w:cstheme="majorHAnsi"/>
          <w:i/>
          <w:color w:val="000000" w:themeColor="text1"/>
          <w:sz w:val="22"/>
          <w:szCs w:val="22"/>
          <w:lang w:eastAsia="ja-JP"/>
        </w:rPr>
        <w:t>Lepidotrigona terminata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propolis</w:t>
      </w:r>
      <w:r w:rsidRPr="005E6B7C">
        <w:rPr>
          <w:rFonts w:asciiTheme="majorHAnsi" w:eastAsia="Yu Mincho" w:hAnsiTheme="majorHAnsi" w:cstheme="majorHAnsi"/>
          <w:color w:val="000000" w:themeColor="text1"/>
          <w:sz w:val="22"/>
          <w:szCs w:val="22"/>
          <w:lang w:eastAsia="ja-JP"/>
        </w:rPr>
        <w:t xml:space="preserve"> resulted in six constituents, including gracilol A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dipterocarpol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8-hydroxylabdan-15-oic acid</w:t>
      </w:r>
      <w:r w:rsidRPr="005E6B7C" w:rsidDel="00701E88">
        <w:rPr>
          <w:rFonts w:asciiTheme="majorHAnsi" w:eastAsia="Times New Roman" w:hAnsiTheme="majorHAnsi" w:cstheme="majorHAnsi"/>
          <w:color w:val="000000" w:themeColor="text1"/>
          <w:sz w:val="22"/>
          <w:szCs w:val="22"/>
        </w:rPr>
        <w:t xml:space="preserve"> </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b/>
          <w:color w:val="000000" w:themeColor="text1"/>
          <w:sz w:val="22"/>
          <w:szCs w:val="22"/>
        </w:rPr>
        <w:t>3</w:t>
      </w:r>
      <w:r w:rsidRPr="005E6B7C">
        <w:rPr>
          <w:rFonts w:asciiTheme="majorHAnsi" w:eastAsia="Times New Roman" w:hAnsiTheme="majorHAnsi" w:cstheme="majorHAnsi"/>
          <w:color w:val="000000" w:themeColor="text1"/>
          <w:sz w:val="22"/>
          <w:szCs w:val="22"/>
          <w:lang w:val="vi-VN"/>
        </w:rPr>
        <w:t>)</w:t>
      </w:r>
      <w:r w:rsidRPr="005E6B7C">
        <w:rPr>
          <w:rFonts w:asciiTheme="majorHAnsi" w:eastAsia="Times New Roman" w:hAnsiTheme="majorHAnsi" w:cstheme="majorHAnsi"/>
          <w:color w:val="000000" w:themeColor="text1"/>
          <w:sz w:val="22"/>
          <w:szCs w:val="22"/>
        </w:rPr>
        <w:t xml:space="preserve">, </w:t>
      </w:r>
      <w:r w:rsidR="00E049CB" w:rsidRPr="005E6B7C">
        <w:rPr>
          <w:rFonts w:asciiTheme="majorHAnsi" w:eastAsia="Times New Roman" w:hAnsiTheme="majorHAnsi" w:cstheme="majorHAnsi"/>
          <w:color w:val="000000" w:themeColor="text1"/>
          <w:sz w:val="22"/>
          <w:szCs w:val="22"/>
        </w:rPr>
        <w:t>(</w:t>
      </w:r>
      <w:r w:rsidR="00E049CB" w:rsidRPr="005E6B7C">
        <w:rPr>
          <w:rFonts w:asciiTheme="majorHAnsi" w:eastAsia="Yu Mincho" w:hAnsiTheme="majorHAnsi" w:cstheme="majorHAnsi"/>
          <w:i/>
          <w:color w:val="000000" w:themeColor="text1"/>
          <w:sz w:val="22"/>
          <w:szCs w:val="22"/>
          <w:lang w:eastAsia="ja-JP"/>
        </w:rPr>
        <w:t>E</w:t>
      </w:r>
      <w:r w:rsidR="00E049CB" w:rsidRPr="005E6B7C">
        <w:rPr>
          <w:rFonts w:asciiTheme="majorHAnsi" w:eastAsia="Yu Mincho" w:hAnsiTheme="majorHAnsi" w:cstheme="majorHAnsi" w:hint="eastAsia"/>
          <w:color w:val="000000" w:themeColor="text1"/>
          <w:sz w:val="22"/>
          <w:szCs w:val="22"/>
          <w:lang w:eastAsia="ja-JP"/>
        </w:rPr>
        <w:t>)-1-(2</w:t>
      </w:r>
      <w:r w:rsidR="0044085B" w:rsidRPr="005E6B7C">
        <w:rPr>
          <w:rFonts w:eastAsia="Yu Mincho"/>
          <w:color w:val="000000" w:themeColor="text1"/>
          <w:sz w:val="22"/>
          <w:szCs w:val="22"/>
          <w:lang w:eastAsia="ja-JP"/>
        </w:rPr>
        <w:t>ʹ</w:t>
      </w:r>
      <w:r w:rsidR="00E049CB" w:rsidRPr="005E6B7C">
        <w:rPr>
          <w:rFonts w:asciiTheme="majorHAnsi" w:eastAsia="Yu Mincho" w:hAnsiTheme="majorHAnsi" w:cstheme="majorHAnsi" w:hint="eastAsia"/>
          <w:color w:val="000000" w:themeColor="text1"/>
          <w:sz w:val="22"/>
          <w:szCs w:val="22"/>
          <w:lang w:eastAsia="ja-JP"/>
        </w:rPr>
        <w:t>-methoxy-4</w:t>
      </w:r>
      <w:r w:rsidR="0044085B" w:rsidRPr="005E6B7C">
        <w:rPr>
          <w:rFonts w:eastAsia="Yu Mincho"/>
          <w:color w:val="000000" w:themeColor="text1"/>
          <w:sz w:val="22"/>
          <w:szCs w:val="22"/>
          <w:lang w:eastAsia="ja-JP"/>
        </w:rPr>
        <w:t>ʹ</w:t>
      </w:r>
      <w:r w:rsidR="00E049CB" w:rsidRPr="005E6B7C">
        <w:rPr>
          <w:rFonts w:asciiTheme="majorHAnsi" w:eastAsia="Yu Mincho" w:hAnsiTheme="majorHAnsi" w:cstheme="majorHAnsi" w:hint="eastAsia"/>
          <w:color w:val="000000" w:themeColor="text1"/>
          <w:sz w:val="22"/>
          <w:szCs w:val="22"/>
          <w:lang w:eastAsia="ja-JP"/>
        </w:rPr>
        <w:t>,5</w:t>
      </w:r>
      <w:r w:rsidR="0044085B" w:rsidRPr="005E6B7C">
        <w:rPr>
          <w:rFonts w:eastAsia="Yu Mincho"/>
          <w:color w:val="000000" w:themeColor="text1"/>
          <w:sz w:val="22"/>
          <w:szCs w:val="22"/>
          <w:lang w:eastAsia="ja-JP"/>
        </w:rPr>
        <w:t>ʹ</w:t>
      </w:r>
      <w:r w:rsidR="00E049CB" w:rsidRPr="005E6B7C">
        <w:rPr>
          <w:rFonts w:asciiTheme="majorHAnsi" w:eastAsia="Yu Mincho" w:hAnsiTheme="majorHAnsi" w:cstheme="majorHAnsi" w:hint="eastAsia"/>
          <w:color w:val="000000" w:themeColor="text1"/>
          <w:sz w:val="22"/>
          <w:szCs w:val="22"/>
          <w:lang w:eastAsia="ja-JP"/>
        </w:rPr>
        <w:t>-dihydroxyphenyl)-3-phenylprop-2-ene (</w:t>
      </w:r>
      <w:r w:rsidR="00E049CB" w:rsidRPr="005E6B7C">
        <w:rPr>
          <w:rFonts w:asciiTheme="majorHAnsi" w:eastAsia="Yu Mincho" w:hAnsiTheme="majorHAnsi" w:cstheme="majorHAnsi"/>
          <w:b/>
          <w:color w:val="000000" w:themeColor="text1"/>
          <w:sz w:val="22"/>
          <w:szCs w:val="22"/>
          <w:lang w:eastAsia="ja-JP"/>
        </w:rPr>
        <w:t>4</w:t>
      </w:r>
      <w:r w:rsidR="00E049CB" w:rsidRPr="005E6B7C">
        <w:rPr>
          <w:rFonts w:asciiTheme="majorHAnsi" w:eastAsia="Yu Mincho" w:hAnsiTheme="majorHAnsi" w:cstheme="majorHAnsi"/>
          <w:color w:val="000000" w:themeColor="text1"/>
          <w:sz w:val="22"/>
          <w:szCs w:val="22"/>
          <w:lang w:eastAsia="ja-JP"/>
        </w:rPr>
        <w:t>), (+)-eudesmin (</w:t>
      </w:r>
      <w:r w:rsidR="00E049CB" w:rsidRPr="005E6B7C">
        <w:rPr>
          <w:rFonts w:asciiTheme="majorHAnsi" w:eastAsia="Yu Mincho" w:hAnsiTheme="majorHAnsi" w:cstheme="majorHAnsi"/>
          <w:b/>
          <w:color w:val="000000" w:themeColor="text1"/>
          <w:sz w:val="22"/>
          <w:szCs w:val="22"/>
          <w:lang w:eastAsia="ja-JP"/>
        </w:rPr>
        <w:t>5</w:t>
      </w:r>
      <w:r w:rsidR="00E049CB" w:rsidRPr="005E6B7C">
        <w:rPr>
          <w:rFonts w:asciiTheme="majorHAnsi" w:eastAsia="Yu Mincho" w:hAnsiTheme="majorHAnsi" w:cstheme="majorHAnsi"/>
          <w:color w:val="000000" w:themeColor="text1"/>
          <w:sz w:val="22"/>
          <w:szCs w:val="22"/>
          <w:lang w:eastAsia="ja-JP"/>
        </w:rPr>
        <w:t>)</w:t>
      </w:r>
      <w:r w:rsidR="003930EC" w:rsidRPr="005E6B7C">
        <w:rPr>
          <w:rFonts w:asciiTheme="majorHAnsi" w:eastAsia="Yu Mincho" w:hAnsiTheme="majorHAnsi" w:cstheme="majorHAnsi"/>
          <w:color w:val="000000" w:themeColor="text1"/>
          <w:sz w:val="22"/>
          <w:szCs w:val="22"/>
          <w:lang w:eastAsia="ja-JP"/>
        </w:rPr>
        <w:t>,</w:t>
      </w:r>
      <w:r w:rsidR="00E049CB" w:rsidRPr="005E6B7C">
        <w:rPr>
          <w:rFonts w:asciiTheme="majorHAnsi" w:eastAsia="Yu Mincho" w:hAnsiTheme="majorHAnsi" w:cstheme="majorHAnsi"/>
          <w:color w:val="000000" w:themeColor="text1"/>
          <w:sz w:val="22"/>
          <w:szCs w:val="22"/>
          <w:lang w:eastAsia="ja-JP"/>
        </w:rPr>
        <w:t xml:space="preserve"> and </w:t>
      </w:r>
      <w:r w:rsidR="00E049CB" w:rsidRPr="005E6B7C">
        <w:rPr>
          <w:rFonts w:asciiTheme="majorHAnsi" w:eastAsia="Yu Mincho" w:hAnsiTheme="majorHAnsi" w:cstheme="majorHAnsi"/>
          <w:i/>
          <w:color w:val="000000" w:themeColor="text1"/>
          <w:sz w:val="22"/>
          <w:szCs w:val="22"/>
          <w:lang w:eastAsia="ja-JP"/>
        </w:rPr>
        <w:t>epi</w:t>
      </w:r>
      <w:r w:rsidR="00E049CB" w:rsidRPr="005E6B7C">
        <w:rPr>
          <w:rFonts w:asciiTheme="majorHAnsi" w:eastAsia="Yu Mincho" w:hAnsiTheme="majorHAnsi" w:cstheme="majorHAnsi"/>
          <w:color w:val="000000" w:themeColor="text1"/>
          <w:sz w:val="22"/>
          <w:szCs w:val="22"/>
          <w:lang w:eastAsia="ja-JP"/>
        </w:rPr>
        <w:t>-eudesmin (</w:t>
      </w:r>
      <w:r w:rsidR="00E049CB" w:rsidRPr="005E6B7C">
        <w:rPr>
          <w:rFonts w:asciiTheme="majorHAnsi" w:eastAsia="Yu Mincho" w:hAnsiTheme="majorHAnsi" w:cstheme="majorHAnsi"/>
          <w:b/>
          <w:color w:val="000000" w:themeColor="text1"/>
          <w:sz w:val="22"/>
          <w:szCs w:val="22"/>
          <w:lang w:eastAsia="ja-JP"/>
        </w:rPr>
        <w:t>6</w:t>
      </w:r>
      <w:r w:rsidR="00E049CB" w:rsidRPr="005E6B7C">
        <w:rPr>
          <w:rFonts w:asciiTheme="majorHAnsi" w:eastAsia="Yu Mincho" w:hAnsiTheme="majorHAnsi" w:cstheme="majorHAnsi"/>
          <w:color w:val="000000" w:themeColor="text1"/>
          <w:sz w:val="22"/>
          <w:szCs w:val="22"/>
          <w:lang w:eastAsia="ja-JP"/>
        </w:rPr>
        <w:t xml:space="preserve">). Compounds </w:t>
      </w:r>
      <w:r w:rsidR="00E049CB" w:rsidRPr="005E6B7C">
        <w:rPr>
          <w:rFonts w:asciiTheme="majorHAnsi" w:eastAsia="Yu Mincho" w:hAnsiTheme="majorHAnsi" w:cstheme="majorHAnsi"/>
          <w:b/>
          <w:bCs/>
          <w:color w:val="000000" w:themeColor="text1"/>
          <w:sz w:val="22"/>
          <w:szCs w:val="22"/>
          <w:lang w:eastAsia="ja-JP"/>
        </w:rPr>
        <w:t>1</w:t>
      </w:r>
      <w:r w:rsidR="00E049CB" w:rsidRPr="005E6B7C">
        <w:rPr>
          <w:rFonts w:asciiTheme="majorHAnsi" w:eastAsia="Yu Mincho" w:hAnsiTheme="majorHAnsi" w:cstheme="majorHAnsi"/>
          <w:bCs/>
          <w:color w:val="000000" w:themeColor="text1"/>
          <w:sz w:val="22"/>
          <w:szCs w:val="22"/>
          <w:lang w:eastAsia="ja-JP"/>
        </w:rPr>
        <w:t xml:space="preserve">, </w:t>
      </w:r>
      <w:r w:rsidR="00E049CB" w:rsidRPr="005E6B7C">
        <w:rPr>
          <w:rFonts w:asciiTheme="majorHAnsi" w:eastAsia="Yu Mincho" w:hAnsiTheme="majorHAnsi" w:cstheme="majorHAnsi"/>
          <w:b/>
          <w:bCs/>
          <w:color w:val="000000" w:themeColor="text1"/>
          <w:sz w:val="22"/>
          <w:szCs w:val="22"/>
          <w:lang w:eastAsia="ja-JP"/>
        </w:rPr>
        <w:t>3</w:t>
      </w:r>
      <w:r w:rsidR="00E049CB" w:rsidRPr="005E6B7C">
        <w:rPr>
          <w:rFonts w:asciiTheme="majorHAnsi" w:eastAsia="Yu Mincho" w:hAnsiTheme="majorHAnsi" w:cstheme="majorHAnsi"/>
          <w:bCs/>
          <w:color w:val="000000" w:themeColor="text1"/>
          <w:sz w:val="22"/>
          <w:szCs w:val="22"/>
          <w:lang w:eastAsia="ja-JP"/>
        </w:rPr>
        <w:t>,</w:t>
      </w:r>
      <w:r w:rsidR="00E049CB" w:rsidRPr="005E6B7C">
        <w:rPr>
          <w:rFonts w:asciiTheme="majorHAnsi" w:eastAsia="Yu Mincho" w:hAnsiTheme="majorHAnsi" w:cstheme="majorHAnsi"/>
          <w:b/>
          <w:bCs/>
          <w:color w:val="000000" w:themeColor="text1"/>
          <w:sz w:val="22"/>
          <w:szCs w:val="22"/>
          <w:lang w:eastAsia="ja-JP"/>
        </w:rPr>
        <w:t xml:space="preserve"> 4</w:t>
      </w:r>
      <w:r w:rsidR="00E049CB" w:rsidRPr="005E6B7C">
        <w:rPr>
          <w:rFonts w:asciiTheme="majorHAnsi" w:eastAsia="Yu Mincho" w:hAnsiTheme="majorHAnsi" w:cstheme="majorHAnsi"/>
          <w:bCs/>
          <w:color w:val="000000" w:themeColor="text1"/>
          <w:sz w:val="22"/>
          <w:szCs w:val="22"/>
          <w:lang w:eastAsia="ja-JP"/>
        </w:rPr>
        <w:t>,</w:t>
      </w:r>
      <w:r w:rsidR="00E049CB" w:rsidRPr="005E6B7C">
        <w:rPr>
          <w:rFonts w:asciiTheme="majorHAnsi" w:eastAsia="Yu Mincho" w:hAnsiTheme="majorHAnsi" w:cstheme="majorHAnsi"/>
          <w:b/>
          <w:bCs/>
          <w:color w:val="000000" w:themeColor="text1"/>
          <w:sz w:val="22"/>
          <w:szCs w:val="22"/>
          <w:lang w:eastAsia="ja-JP"/>
        </w:rPr>
        <w:t xml:space="preserve"> </w:t>
      </w:r>
      <w:r w:rsidR="00E049CB" w:rsidRPr="005E6B7C">
        <w:rPr>
          <w:rFonts w:asciiTheme="majorHAnsi" w:eastAsia="Yu Mincho" w:hAnsiTheme="majorHAnsi" w:cstheme="majorHAnsi"/>
          <w:bCs/>
          <w:color w:val="000000" w:themeColor="text1"/>
          <w:sz w:val="22"/>
          <w:szCs w:val="22"/>
          <w:lang w:eastAsia="ja-JP"/>
        </w:rPr>
        <w:t>and</w:t>
      </w:r>
      <w:r w:rsidR="00E049CB" w:rsidRPr="005E6B7C">
        <w:rPr>
          <w:rFonts w:asciiTheme="majorHAnsi" w:eastAsia="Yu Mincho" w:hAnsiTheme="majorHAnsi" w:cstheme="majorHAnsi"/>
          <w:b/>
          <w:bCs/>
          <w:color w:val="000000" w:themeColor="text1"/>
          <w:sz w:val="22"/>
          <w:szCs w:val="22"/>
          <w:lang w:eastAsia="ja-JP"/>
        </w:rPr>
        <w:t xml:space="preserve"> 6</w:t>
      </w:r>
      <w:r w:rsidR="00E049CB" w:rsidRPr="005E6B7C">
        <w:rPr>
          <w:rFonts w:asciiTheme="majorHAnsi" w:eastAsia="Yu Mincho" w:hAnsiTheme="majorHAnsi" w:cstheme="majorHAnsi"/>
          <w:color w:val="000000" w:themeColor="text1"/>
          <w:sz w:val="22"/>
          <w:szCs w:val="22"/>
          <w:lang w:eastAsia="ja-JP"/>
        </w:rPr>
        <w:t xml:space="preserve"> were identified for the first time from </w:t>
      </w:r>
      <w:r w:rsidR="00E049CB" w:rsidRPr="005E6B7C">
        <w:rPr>
          <w:rFonts w:asciiTheme="majorHAnsi" w:eastAsia="Yu Mincho" w:hAnsiTheme="majorHAnsi" w:cstheme="majorHAnsi"/>
          <w:iCs/>
          <w:color w:val="000000" w:themeColor="text1"/>
          <w:sz w:val="22"/>
          <w:szCs w:val="22"/>
          <w:lang w:eastAsia="ja-JP"/>
        </w:rPr>
        <w:t xml:space="preserve">stingless bee propolis. </w:t>
      </w:r>
      <w:r w:rsidR="00E049CB" w:rsidRPr="005E6B7C">
        <w:rPr>
          <w:rFonts w:asciiTheme="majorHAnsi" w:eastAsia="Yu Mincho" w:hAnsiTheme="majorHAnsi" w:cstheme="majorHAnsi"/>
          <w:color w:val="000000" w:themeColor="text1"/>
          <w:sz w:val="22"/>
          <w:szCs w:val="22"/>
          <w:lang w:eastAsia="ja-JP"/>
        </w:rPr>
        <w:t xml:space="preserve">NMR spectral data of compounds </w:t>
      </w:r>
      <w:r w:rsidR="00E049CB" w:rsidRPr="005E6B7C">
        <w:rPr>
          <w:rFonts w:asciiTheme="majorHAnsi" w:eastAsia="Yu Mincho" w:hAnsiTheme="majorHAnsi" w:cstheme="majorHAnsi"/>
          <w:b/>
          <w:color w:val="000000" w:themeColor="text1"/>
          <w:sz w:val="22"/>
          <w:szCs w:val="22"/>
          <w:lang w:eastAsia="ja-JP"/>
        </w:rPr>
        <w:t>1</w:t>
      </w:r>
      <w:r w:rsidR="00E049CB" w:rsidRPr="005E6B7C">
        <w:rPr>
          <w:rFonts w:asciiTheme="majorHAnsi" w:eastAsia="Yu Mincho" w:hAnsiTheme="majorHAnsi" w:cstheme="majorHAnsi"/>
          <w:color w:val="000000" w:themeColor="text1"/>
          <w:sz w:val="22"/>
          <w:szCs w:val="22"/>
          <w:lang w:eastAsia="ja-JP"/>
        </w:rPr>
        <w:t xml:space="preserve"> and </w:t>
      </w:r>
      <w:r w:rsidR="00E049CB" w:rsidRPr="005E6B7C">
        <w:rPr>
          <w:rFonts w:asciiTheme="majorHAnsi" w:eastAsia="Yu Mincho" w:hAnsiTheme="majorHAnsi" w:cstheme="majorHAnsi"/>
          <w:b/>
          <w:color w:val="000000" w:themeColor="text1"/>
          <w:sz w:val="22"/>
          <w:szCs w:val="22"/>
          <w:lang w:eastAsia="ja-JP"/>
        </w:rPr>
        <w:t>4</w:t>
      </w:r>
      <w:r w:rsidR="00E049CB" w:rsidRPr="005E6B7C">
        <w:rPr>
          <w:rFonts w:asciiTheme="majorHAnsi" w:eastAsia="Yu Mincho" w:hAnsiTheme="majorHAnsi" w:cstheme="majorHAnsi"/>
          <w:color w:val="000000" w:themeColor="text1"/>
          <w:sz w:val="22"/>
          <w:szCs w:val="22"/>
          <w:lang w:eastAsia="ja-JP"/>
        </w:rPr>
        <w:t xml:space="preserve"> were first documented. The plants </w:t>
      </w:r>
      <w:r w:rsidR="00E049CB" w:rsidRPr="005E6B7C">
        <w:rPr>
          <w:rFonts w:asciiTheme="majorHAnsi" w:eastAsia="Yu Mincho" w:hAnsiTheme="majorHAnsi" w:cstheme="majorHAnsi"/>
          <w:bCs/>
          <w:i/>
          <w:color w:val="000000" w:themeColor="text1"/>
          <w:sz w:val="22"/>
          <w:szCs w:val="22"/>
          <w:lang w:eastAsia="ja-JP"/>
        </w:rPr>
        <w:t xml:space="preserve">Dipterocarpus </w:t>
      </w:r>
      <w:r w:rsidR="00E049CB" w:rsidRPr="005E6B7C">
        <w:rPr>
          <w:rFonts w:asciiTheme="majorHAnsi" w:eastAsia="Yu Mincho" w:hAnsiTheme="majorHAnsi" w:cstheme="majorHAnsi"/>
          <w:bCs/>
          <w:color w:val="000000" w:themeColor="text1"/>
          <w:sz w:val="22"/>
          <w:szCs w:val="22"/>
          <w:lang w:eastAsia="ja-JP"/>
        </w:rPr>
        <w:t>sp.</w:t>
      </w:r>
      <w:r w:rsidR="00E049CB" w:rsidRPr="005E6B7C">
        <w:rPr>
          <w:rFonts w:asciiTheme="majorHAnsi" w:eastAsia="Times New Roman" w:hAnsiTheme="majorHAnsi" w:cstheme="majorHAnsi"/>
          <w:i/>
          <w:iCs/>
          <w:color w:val="000000" w:themeColor="text1"/>
          <w:sz w:val="22"/>
          <w:szCs w:val="22"/>
        </w:rPr>
        <w:t xml:space="preserve"> </w:t>
      </w:r>
      <w:r w:rsidR="00E049CB" w:rsidRPr="005E6B7C">
        <w:rPr>
          <w:rFonts w:asciiTheme="majorHAnsi" w:eastAsia="Times New Roman" w:hAnsiTheme="majorHAnsi" w:cstheme="majorHAnsi"/>
          <w:iCs/>
          <w:color w:val="000000" w:themeColor="text1"/>
          <w:sz w:val="22"/>
          <w:szCs w:val="22"/>
        </w:rPr>
        <w:t>and</w:t>
      </w:r>
      <w:r w:rsidR="00E049CB" w:rsidRPr="005E6B7C">
        <w:rPr>
          <w:rFonts w:asciiTheme="majorHAnsi" w:eastAsia="Times New Roman" w:hAnsiTheme="majorHAnsi" w:cstheme="majorHAnsi"/>
          <w:i/>
          <w:iCs/>
          <w:color w:val="000000" w:themeColor="text1"/>
          <w:sz w:val="22"/>
          <w:szCs w:val="22"/>
        </w:rPr>
        <w:t xml:space="preserve"> Dalbergia retusa</w:t>
      </w:r>
      <w:r w:rsidR="00E049CB" w:rsidRPr="005E6B7C">
        <w:rPr>
          <w:rFonts w:asciiTheme="majorHAnsi" w:eastAsia="Yu Mincho" w:hAnsiTheme="majorHAnsi" w:cstheme="majorHAnsi"/>
          <w:color w:val="000000" w:themeColor="text1"/>
          <w:sz w:val="22"/>
          <w:szCs w:val="22"/>
          <w:lang w:eastAsia="ja-JP"/>
        </w:rPr>
        <w:t xml:space="preserve"> are proposed as the resin sources for </w:t>
      </w:r>
      <w:r w:rsidR="00E049CB" w:rsidRPr="005E6B7C">
        <w:rPr>
          <w:rFonts w:asciiTheme="majorHAnsi" w:eastAsia="Times New Roman" w:hAnsiTheme="majorHAnsi" w:cstheme="majorHAnsi"/>
          <w:i/>
          <w:iCs/>
          <w:color w:val="000000" w:themeColor="text1"/>
          <w:sz w:val="22"/>
          <w:szCs w:val="22"/>
        </w:rPr>
        <w:t>L. terminata</w:t>
      </w:r>
      <w:r w:rsidR="00E049CB" w:rsidRPr="005E6B7C">
        <w:rPr>
          <w:rFonts w:asciiTheme="majorHAnsi" w:eastAsia="Times New Roman" w:hAnsiTheme="majorHAnsi" w:cstheme="majorHAnsi"/>
          <w:color w:val="000000" w:themeColor="text1"/>
          <w:sz w:val="22"/>
          <w:szCs w:val="22"/>
        </w:rPr>
        <w:t xml:space="preserve"> </w:t>
      </w:r>
      <w:r w:rsidR="00E049CB" w:rsidRPr="005E6B7C">
        <w:rPr>
          <w:rFonts w:asciiTheme="majorHAnsi" w:eastAsia="Yu Mincho" w:hAnsiTheme="majorHAnsi" w:cstheme="majorHAnsi"/>
          <w:iCs/>
          <w:color w:val="000000" w:themeColor="text1"/>
          <w:sz w:val="22"/>
          <w:szCs w:val="22"/>
          <w:lang w:eastAsia="ja-JP"/>
        </w:rPr>
        <w:t>propolis in Gia Lai province</w:t>
      </w:r>
      <w:r w:rsidR="00E049CB" w:rsidRPr="005E6B7C">
        <w:rPr>
          <w:rFonts w:asciiTheme="majorHAnsi" w:eastAsia="Yu Mincho" w:hAnsiTheme="majorHAnsi" w:cstheme="majorHAnsi"/>
          <w:color w:val="000000" w:themeColor="text1"/>
          <w:sz w:val="22"/>
          <w:szCs w:val="22"/>
          <w:lang w:eastAsia="ja-JP"/>
        </w:rPr>
        <w:t xml:space="preserve">. </w:t>
      </w:r>
    </w:p>
    <w:p w14:paraId="239D1AB1" w14:textId="317BE812" w:rsidR="007B291D" w:rsidRPr="005E6B7C" w:rsidRDefault="00E049CB" w:rsidP="008C0D47">
      <w:pPr>
        <w:tabs>
          <w:tab w:val="left" w:pos="9270"/>
        </w:tabs>
        <w:spacing w:line="240" w:lineRule="exact"/>
        <w:ind w:firstLine="284"/>
        <w:jc w:val="both"/>
        <w:rPr>
          <w:rFonts w:asciiTheme="majorHAnsi" w:eastAsia="Yu Mincho" w:hAnsiTheme="majorHAnsi" w:cstheme="majorHAnsi"/>
          <w:bCs/>
          <w:i/>
          <w:iCs/>
          <w:color w:val="000000" w:themeColor="text1"/>
          <w:sz w:val="20"/>
          <w:szCs w:val="20"/>
          <w:lang w:eastAsia="ja-JP"/>
        </w:rPr>
        <w:sectPr w:rsidR="007B291D" w:rsidRPr="005E6B7C" w:rsidSect="007B291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bCs/>
          <w:color w:val="000000" w:themeColor="text1"/>
          <w:sz w:val="20"/>
          <w:szCs w:val="20"/>
          <w:lang w:eastAsia="ja-JP"/>
        </w:rPr>
        <w:t>Acknowledgements</w:t>
      </w:r>
      <w:r w:rsidR="00517F81" w:rsidRPr="005E6B7C">
        <w:rPr>
          <w:rFonts w:asciiTheme="majorHAnsi" w:eastAsia="Yu Mincho" w:hAnsiTheme="majorHAnsi" w:cstheme="majorHAnsi"/>
          <w:b/>
          <w:bCs/>
          <w:color w:val="000000" w:themeColor="text1"/>
          <w:sz w:val="20"/>
          <w:szCs w:val="20"/>
          <w:lang w:eastAsia="ja-JP"/>
        </w:rPr>
        <w:t>:</w:t>
      </w:r>
      <w:r w:rsidRPr="005E6B7C">
        <w:rPr>
          <w:rFonts w:asciiTheme="majorHAnsi" w:eastAsia="Yu Mincho" w:hAnsiTheme="majorHAnsi" w:cstheme="majorHAnsi"/>
          <w:b/>
          <w:bCs/>
          <w:color w:val="000000" w:themeColor="text1"/>
          <w:sz w:val="20"/>
          <w:szCs w:val="20"/>
          <w:lang w:eastAsia="ja-JP"/>
        </w:rPr>
        <w:t xml:space="preserve"> </w:t>
      </w:r>
      <w:r w:rsidRPr="005E6B7C">
        <w:rPr>
          <w:rFonts w:asciiTheme="majorHAnsi" w:eastAsia="Yu Mincho" w:hAnsiTheme="majorHAnsi" w:cstheme="majorHAnsi"/>
          <w:bCs/>
          <w:i/>
          <w:iCs/>
          <w:color w:val="000000" w:themeColor="text1"/>
          <w:sz w:val="20"/>
          <w:szCs w:val="20"/>
          <w:lang w:eastAsia="ja-JP"/>
        </w:rPr>
        <w:t>The study was funded by the Gia Lai Department of Science and Technology</w:t>
      </w:r>
      <w:r w:rsidR="00EE0949" w:rsidRPr="005E6B7C">
        <w:rPr>
          <w:rFonts w:asciiTheme="majorHAnsi" w:eastAsia="Yu Mincho" w:hAnsiTheme="majorHAnsi" w:cstheme="majorHAnsi"/>
          <w:bCs/>
          <w:i/>
          <w:iCs/>
          <w:color w:val="000000" w:themeColor="text1"/>
          <w:sz w:val="20"/>
          <w:szCs w:val="20"/>
          <w:lang w:eastAsia="ja-JP"/>
        </w:rPr>
        <w:t>.</w:t>
      </w:r>
    </w:p>
    <w:p w14:paraId="035982B3" w14:textId="7E5525EE" w:rsidR="00C50B66"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i/>
          <w:iCs/>
          <w:color w:val="000000" w:themeColor="text1"/>
          <w:sz w:val="20"/>
          <w:szCs w:val="20"/>
          <w:lang w:eastAsia="ja-JP"/>
        </w:rPr>
        <w:t>.</w:t>
      </w:r>
    </w:p>
    <w:p w14:paraId="1BF7B1BF" w14:textId="77777777" w:rsidR="00C50B66" w:rsidRPr="005E6B7C" w:rsidRDefault="00C50B66"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C50B66" w:rsidRPr="005E6B7C" w:rsidSect="007B291D">
          <w:type w:val="continuous"/>
          <w:pgSz w:w="10773" w:h="15309" w:code="9"/>
          <w:pgMar w:top="907" w:right="851" w:bottom="1418" w:left="851" w:header="397" w:footer="851" w:gutter="0"/>
          <w:cols w:space="284"/>
          <w:docGrid w:linePitch="360"/>
        </w:sectPr>
      </w:pPr>
    </w:p>
    <w:p w14:paraId="086AA004" w14:textId="77777777" w:rsidR="00E049CB" w:rsidRPr="005E6B7C" w:rsidRDefault="00E049CB" w:rsidP="008C0D47">
      <w:pPr>
        <w:widowControl/>
        <w:tabs>
          <w:tab w:val="left" w:pos="270"/>
          <w:tab w:val="left" w:pos="540"/>
          <w:tab w:val="left" w:pos="9270"/>
        </w:tabs>
        <w:spacing w:before="120" w:after="1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7D8972B2"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noProof/>
          <w:color w:val="000000" w:themeColor="text1"/>
          <w:sz w:val="18"/>
          <w:szCs w:val="18"/>
          <w:lang w:eastAsia="ja-JP"/>
        </w:rPr>
        <w:t>1.</w:t>
      </w:r>
      <w:r w:rsidRPr="005E6B7C">
        <w:rPr>
          <w:rFonts w:asciiTheme="majorHAnsi" w:eastAsia="Yu Mincho" w:hAnsiTheme="majorHAnsi" w:cstheme="majorHAnsi"/>
          <w:b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Kasote D., Bankova V., Viljoen A. M. (2022). Propolis: Chemical diversity and challenges in quality control. </w:t>
      </w:r>
      <w:r w:rsidRPr="005E6B7C">
        <w:rPr>
          <w:rFonts w:asciiTheme="majorHAnsi" w:eastAsia="Yu Mincho" w:hAnsiTheme="majorHAnsi" w:cstheme="majorHAnsi"/>
          <w:i/>
          <w:iCs/>
          <w:noProof/>
          <w:color w:val="000000" w:themeColor="text1"/>
          <w:sz w:val="18"/>
          <w:szCs w:val="18"/>
          <w:lang w:eastAsia="ja-JP"/>
        </w:rPr>
        <w:t>Phytochemistry Reviews</w:t>
      </w:r>
      <w:r w:rsidRPr="005E6B7C">
        <w:rPr>
          <w:rFonts w:asciiTheme="majorHAnsi" w:eastAsia="Yu Mincho" w:hAnsiTheme="majorHAnsi" w:cstheme="majorHAnsi"/>
          <w:noProof/>
          <w:color w:val="000000" w:themeColor="text1"/>
          <w:sz w:val="18"/>
          <w:szCs w:val="18"/>
          <w:lang w:eastAsia="ja-JP"/>
        </w:rPr>
        <w:t xml:space="preserve">, 21(6), 1887-1911. </w:t>
      </w:r>
    </w:p>
    <w:p w14:paraId="1D020E2D"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 xml:space="preserve">2. </w:t>
      </w:r>
      <w:r w:rsidRPr="005E6B7C">
        <w:rPr>
          <w:rFonts w:asciiTheme="majorHAnsi" w:eastAsia="Yu Mincho" w:hAnsiTheme="majorHAnsi" w:cstheme="majorHAnsi"/>
          <w:noProof/>
          <w:color w:val="000000" w:themeColor="text1"/>
          <w:sz w:val="18"/>
          <w:szCs w:val="18"/>
          <w:lang w:eastAsia="ja-JP"/>
        </w:rPr>
        <w:t xml:space="preserve">Popova M., Trusheva B., Bankova V. (2021). Propolis of stingless bees: a phytochemist's guide through the jungle of tropical biodiversity. </w:t>
      </w:r>
      <w:r w:rsidRPr="005E6B7C">
        <w:rPr>
          <w:rFonts w:asciiTheme="majorHAnsi" w:eastAsia="Yu Mincho" w:hAnsiTheme="majorHAnsi" w:cstheme="majorHAnsi"/>
          <w:i/>
          <w:iCs/>
          <w:noProof/>
          <w:color w:val="000000" w:themeColor="text1"/>
          <w:sz w:val="18"/>
          <w:szCs w:val="18"/>
          <w:lang w:eastAsia="ja-JP"/>
        </w:rPr>
        <w:t>Phytomedicine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86</w:t>
      </w:r>
      <w:r w:rsidRPr="005E6B7C">
        <w:rPr>
          <w:rFonts w:asciiTheme="majorHAnsi" w:eastAsia="Yu Mincho" w:hAnsiTheme="majorHAnsi" w:cstheme="majorHAnsi"/>
          <w:noProof/>
          <w:color w:val="000000" w:themeColor="text1"/>
          <w:sz w:val="18"/>
          <w:szCs w:val="18"/>
          <w:lang w:eastAsia="ja-JP"/>
        </w:rPr>
        <w:t xml:space="preserve">, 153098. </w:t>
      </w:r>
    </w:p>
    <w:p w14:paraId="72E6A365"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xml:space="preserve"> Vu T. K. O., Ha T. T., Nguyen T. M. H., Diep T. L. P, Nguyen T. P. L, Popova, M., Le N. T. (2021). New dihydrochromene and xanthone derivatives from </w:t>
      </w:r>
      <w:r w:rsidRPr="005E6B7C">
        <w:rPr>
          <w:rFonts w:asciiTheme="majorHAnsi" w:eastAsia="Yu Mincho" w:hAnsiTheme="majorHAnsi" w:cstheme="majorHAnsi"/>
          <w:i/>
          <w:iCs/>
          <w:noProof/>
          <w:color w:val="000000" w:themeColor="text1"/>
          <w:sz w:val="18"/>
          <w:szCs w:val="18"/>
          <w:lang w:eastAsia="ja-JP"/>
        </w:rPr>
        <w:t>Lisotrigona furva</w:t>
      </w:r>
      <w:r w:rsidRPr="005E6B7C">
        <w:rPr>
          <w:rFonts w:asciiTheme="majorHAnsi" w:eastAsia="Yu Mincho" w:hAnsiTheme="majorHAnsi" w:cstheme="majorHAnsi"/>
          <w:noProof/>
          <w:color w:val="000000" w:themeColor="text1"/>
          <w:sz w:val="18"/>
          <w:szCs w:val="18"/>
          <w:lang w:eastAsia="ja-JP"/>
        </w:rPr>
        <w:t xml:space="preserve"> propolis. </w:t>
      </w:r>
      <w:r w:rsidRPr="005E6B7C">
        <w:rPr>
          <w:rFonts w:asciiTheme="majorHAnsi" w:eastAsia="Yu Mincho" w:hAnsiTheme="majorHAnsi" w:cstheme="majorHAnsi"/>
          <w:i/>
          <w:iCs/>
          <w:noProof/>
          <w:color w:val="000000" w:themeColor="text1"/>
          <w:sz w:val="18"/>
          <w:szCs w:val="18"/>
          <w:lang w:eastAsia="ja-JP"/>
        </w:rPr>
        <w:t>Fitoterapia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149</w:t>
      </w:r>
      <w:r w:rsidRPr="005E6B7C">
        <w:rPr>
          <w:rFonts w:asciiTheme="majorHAnsi" w:eastAsia="Yu Mincho" w:hAnsiTheme="majorHAnsi" w:cstheme="majorHAnsi"/>
          <w:noProof/>
          <w:color w:val="000000" w:themeColor="text1"/>
          <w:sz w:val="18"/>
          <w:szCs w:val="18"/>
          <w:lang w:eastAsia="ja-JP"/>
        </w:rPr>
        <w:t>, 104821.</w:t>
      </w:r>
    </w:p>
    <w:p w14:paraId="15174BBC"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pacing w:val="-6"/>
          <w:sz w:val="18"/>
          <w:szCs w:val="18"/>
          <w:lang w:eastAsia="ja-JP"/>
        </w:rPr>
      </w:pPr>
      <w:r w:rsidRPr="005E6B7C">
        <w:rPr>
          <w:rFonts w:asciiTheme="majorHAnsi" w:eastAsia="Yu Mincho" w:hAnsiTheme="majorHAnsi" w:cstheme="majorHAnsi"/>
          <w:b/>
          <w:noProof/>
          <w:color w:val="000000" w:themeColor="text1"/>
          <w:spacing w:val="-6"/>
          <w:sz w:val="18"/>
          <w:szCs w:val="18"/>
          <w:lang w:eastAsia="ja-JP"/>
        </w:rPr>
        <w:t>4.</w:t>
      </w:r>
      <w:r w:rsidRPr="005E6B7C">
        <w:rPr>
          <w:rFonts w:asciiTheme="majorHAnsi" w:eastAsia="Yu Mincho" w:hAnsiTheme="majorHAnsi" w:cstheme="majorHAnsi"/>
          <w:noProof/>
          <w:color w:val="000000" w:themeColor="text1"/>
          <w:spacing w:val="-6"/>
          <w:sz w:val="18"/>
          <w:szCs w:val="18"/>
          <w:lang w:eastAsia="ja-JP"/>
        </w:rPr>
        <w:t xml:space="preserve"> </w:t>
      </w:r>
      <w:r w:rsidRPr="005E6B7C">
        <w:rPr>
          <w:rFonts w:asciiTheme="majorHAnsi" w:eastAsia="Yu Mincho" w:hAnsiTheme="majorHAnsi" w:cstheme="majorHAnsi"/>
          <w:noProof/>
          <w:color w:val="000000" w:themeColor="text1"/>
          <w:spacing w:val="-6"/>
          <w:sz w:val="18"/>
          <w:szCs w:val="18"/>
          <w:shd w:val="clear" w:color="auto" w:fill="FFFFFF"/>
          <w:lang w:eastAsia="ja-JP"/>
        </w:rPr>
        <w:t xml:space="preserve">Diep T. L. P., Nguyen V. P., Nguyen L. T., Nguyen T. C., Nguyen T. H., Le N. T., Vu T. H.,  Nguyen Q. V., Nguyen T. T. H., </w:t>
      </w:r>
      <w:r w:rsidRPr="005E6B7C">
        <w:rPr>
          <w:rFonts w:asciiTheme="majorHAnsi" w:eastAsia="Yu Mincho" w:hAnsiTheme="majorHAnsi" w:cstheme="majorHAnsi"/>
          <w:noProof/>
          <w:color w:val="000000" w:themeColor="text1"/>
          <w:spacing w:val="-6"/>
          <w:sz w:val="18"/>
          <w:szCs w:val="18"/>
          <w:lang w:eastAsia="ja-JP"/>
        </w:rPr>
        <w:t>Popova</w:t>
      </w:r>
      <w:r w:rsidRPr="005E6B7C">
        <w:rPr>
          <w:rFonts w:asciiTheme="majorHAnsi" w:eastAsia="Yu Mincho" w:hAnsiTheme="majorHAnsi" w:cstheme="majorHAnsi"/>
          <w:noProof/>
          <w:color w:val="000000" w:themeColor="text1"/>
          <w:spacing w:val="-6"/>
          <w:sz w:val="18"/>
          <w:szCs w:val="18"/>
          <w:shd w:val="clear" w:color="auto" w:fill="FFFFFF"/>
          <w:lang w:eastAsia="ja-JP"/>
        </w:rPr>
        <w:t xml:space="preserve"> M., T</w:t>
      </w:r>
      <w:r w:rsidRPr="005E6B7C">
        <w:rPr>
          <w:rFonts w:asciiTheme="majorHAnsi" w:eastAsia="Yu Mincho" w:hAnsiTheme="majorHAnsi" w:cstheme="majorHAnsi"/>
          <w:noProof/>
          <w:color w:val="000000" w:themeColor="text1"/>
          <w:spacing w:val="-6"/>
          <w:sz w:val="18"/>
          <w:szCs w:val="18"/>
          <w:lang w:eastAsia="ja-JP"/>
        </w:rPr>
        <w:t xml:space="preserve">rusheva B., </w:t>
      </w:r>
      <w:r w:rsidRPr="005E6B7C">
        <w:rPr>
          <w:rFonts w:asciiTheme="majorHAnsi" w:eastAsia="Yu Mincho" w:hAnsiTheme="majorHAnsi" w:cstheme="majorHAnsi"/>
          <w:noProof/>
          <w:color w:val="000000" w:themeColor="text1"/>
          <w:spacing w:val="-6"/>
          <w:sz w:val="18"/>
          <w:szCs w:val="18"/>
          <w:shd w:val="clear" w:color="auto" w:fill="FFFFFF"/>
          <w:lang w:eastAsia="ja-JP"/>
        </w:rPr>
        <w:t xml:space="preserve">Bankova V. </w:t>
      </w:r>
      <w:r w:rsidRPr="005E6B7C">
        <w:rPr>
          <w:rFonts w:asciiTheme="majorHAnsi" w:eastAsia="Yu Mincho" w:hAnsiTheme="majorHAnsi" w:cstheme="majorHAnsi"/>
          <w:noProof/>
          <w:color w:val="000000" w:themeColor="text1"/>
          <w:spacing w:val="-6"/>
          <w:sz w:val="18"/>
          <w:szCs w:val="18"/>
          <w:lang w:eastAsia="ja-JP"/>
        </w:rPr>
        <w:t xml:space="preserve">(2023) Antimicrobial, cytotoxic, and α-glucosidase inhibitory activities of ethanol extract and chemical constituents isolated from </w:t>
      </w:r>
      <w:r w:rsidRPr="005E6B7C">
        <w:rPr>
          <w:rFonts w:asciiTheme="majorHAnsi" w:eastAsia="Yu Mincho" w:hAnsiTheme="majorHAnsi" w:cstheme="majorHAnsi"/>
          <w:i/>
          <w:iCs/>
          <w:noProof/>
          <w:color w:val="000000" w:themeColor="text1"/>
          <w:spacing w:val="-6"/>
          <w:sz w:val="18"/>
          <w:szCs w:val="18"/>
          <w:lang w:eastAsia="ja-JP"/>
        </w:rPr>
        <w:t>Homotrigona apicalis</w:t>
      </w:r>
      <w:r w:rsidRPr="005E6B7C">
        <w:rPr>
          <w:rFonts w:asciiTheme="majorHAnsi" w:eastAsia="Yu Mincho" w:hAnsiTheme="majorHAnsi" w:cstheme="majorHAnsi"/>
          <w:noProof/>
          <w:color w:val="000000" w:themeColor="text1"/>
          <w:spacing w:val="-6"/>
          <w:sz w:val="18"/>
          <w:szCs w:val="18"/>
          <w:lang w:eastAsia="ja-JP"/>
        </w:rPr>
        <w:t xml:space="preserve"> propolis—</w:t>
      </w:r>
      <w:r w:rsidR="00894500" w:rsidRPr="005E6B7C">
        <w:rPr>
          <w:rFonts w:asciiTheme="majorHAnsi" w:eastAsia="Yu Mincho" w:hAnsiTheme="majorHAnsi" w:cstheme="majorHAnsi"/>
          <w:i/>
          <w:iCs/>
          <w:noProof/>
          <w:color w:val="000000" w:themeColor="text1"/>
          <w:spacing w:val="-6"/>
          <w:sz w:val="18"/>
          <w:szCs w:val="18"/>
          <w:lang w:eastAsia="ja-JP"/>
        </w:rPr>
        <w:t>in vitro</w:t>
      </w:r>
      <w:r w:rsidRPr="005E6B7C">
        <w:rPr>
          <w:rFonts w:asciiTheme="majorHAnsi" w:eastAsia="Yu Mincho" w:hAnsiTheme="majorHAnsi" w:cstheme="majorHAnsi"/>
          <w:noProof/>
          <w:color w:val="000000" w:themeColor="text1"/>
          <w:spacing w:val="-6"/>
          <w:sz w:val="18"/>
          <w:szCs w:val="18"/>
          <w:lang w:eastAsia="ja-JP"/>
        </w:rPr>
        <w:t xml:space="preserve"> and molecular docking studies, </w:t>
      </w:r>
      <w:r w:rsidRPr="005E6B7C">
        <w:rPr>
          <w:rFonts w:asciiTheme="majorHAnsi" w:eastAsia="Yu Mincho" w:hAnsiTheme="majorHAnsi" w:cstheme="majorHAnsi"/>
          <w:i/>
          <w:iCs/>
          <w:noProof/>
          <w:color w:val="000000" w:themeColor="text1"/>
          <w:spacing w:val="-6"/>
          <w:sz w:val="18"/>
          <w:szCs w:val="18"/>
          <w:lang w:eastAsia="ja-JP"/>
        </w:rPr>
        <w:t>Life</w:t>
      </w:r>
      <w:r w:rsidRPr="005E6B7C">
        <w:rPr>
          <w:rFonts w:asciiTheme="majorHAnsi" w:eastAsia="Yu Mincho" w:hAnsiTheme="majorHAnsi" w:cstheme="majorHAnsi"/>
          <w:noProof/>
          <w:color w:val="000000" w:themeColor="text1"/>
          <w:spacing w:val="-6"/>
          <w:sz w:val="18"/>
          <w:szCs w:val="18"/>
          <w:lang w:eastAsia="ja-JP"/>
        </w:rPr>
        <w:t>, 13(8), 1682.</w:t>
      </w:r>
    </w:p>
    <w:p w14:paraId="39C13075"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noProof/>
          <w:color w:val="000000" w:themeColor="text1"/>
          <w:sz w:val="18"/>
          <w:szCs w:val="18"/>
          <w:lang w:eastAsia="ja-JP"/>
        </w:rPr>
        <w:t xml:space="preserve">5. </w:t>
      </w:r>
      <w:r w:rsidRPr="005E6B7C">
        <w:rPr>
          <w:rFonts w:asciiTheme="majorHAnsi" w:eastAsia="Yu Mincho" w:hAnsiTheme="majorHAnsi" w:cstheme="majorHAnsi"/>
          <w:noProof/>
          <w:color w:val="000000" w:themeColor="text1"/>
          <w:sz w:val="18"/>
          <w:szCs w:val="18"/>
          <w:shd w:val="clear" w:color="auto" w:fill="FFFFFF"/>
          <w:lang w:eastAsia="ja-JP"/>
        </w:rPr>
        <w:t>Diep T. L. P., Nguyen T. C., Nguyen V. P., Nguyen T. H., Nguyen Q. V., Nguyen T. P. L., Ho. V. D. Nguyen L. T., Nguyen T. N., Vo T. T. T., Nguyen T. H., Le N. T. (2023).</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 xml:space="preserve">Chemical constituents, cytotoxicity, and molecular docking studies of </w:t>
      </w:r>
      <w:r w:rsidRPr="005E6B7C">
        <w:rPr>
          <w:rFonts w:asciiTheme="majorHAnsi" w:eastAsia="Yu Mincho" w:hAnsiTheme="majorHAnsi" w:cstheme="majorHAnsi"/>
          <w:i/>
          <w:iCs/>
          <w:noProof/>
          <w:color w:val="000000" w:themeColor="text1"/>
          <w:sz w:val="18"/>
          <w:szCs w:val="18"/>
          <w:shd w:val="clear" w:color="auto" w:fill="FFFFFF"/>
          <w:lang w:eastAsia="ja-JP"/>
        </w:rPr>
        <w:t>Tetragonula iridipennis</w:t>
      </w:r>
      <w:r w:rsidRPr="005E6B7C">
        <w:rPr>
          <w:rFonts w:asciiTheme="majorHAnsi" w:eastAsia="Yu Mincho" w:hAnsiTheme="majorHAnsi" w:cstheme="majorHAnsi"/>
          <w:noProof/>
          <w:color w:val="000000" w:themeColor="text1"/>
          <w:sz w:val="18"/>
          <w:szCs w:val="18"/>
          <w:shd w:val="clear" w:color="auto" w:fill="FFFFFF"/>
          <w:lang w:eastAsia="ja-JP"/>
        </w:rPr>
        <w:t xml:space="preserve"> propolis, </w:t>
      </w:r>
      <w:r w:rsidRPr="005E6B7C">
        <w:rPr>
          <w:rFonts w:asciiTheme="majorHAnsi" w:eastAsia="Yu Mincho" w:hAnsiTheme="majorHAnsi" w:cstheme="majorHAnsi"/>
          <w:i/>
          <w:iCs/>
          <w:noProof/>
          <w:color w:val="000000" w:themeColor="text1"/>
          <w:sz w:val="18"/>
          <w:szCs w:val="18"/>
          <w:shd w:val="clear" w:color="auto" w:fill="FFFFFF"/>
          <w:lang w:eastAsia="ja-JP"/>
        </w:rPr>
        <w:t>Natural Product Communications</w:t>
      </w:r>
      <w:r w:rsidRPr="005E6B7C">
        <w:rPr>
          <w:rFonts w:asciiTheme="majorHAnsi" w:eastAsia="Yu Mincho" w:hAnsiTheme="majorHAnsi" w:cstheme="majorHAnsi"/>
          <w:noProof/>
          <w:color w:val="000000" w:themeColor="text1"/>
          <w:sz w:val="18"/>
          <w:szCs w:val="18"/>
          <w:shd w:val="clear" w:color="auto" w:fill="FFFFFF"/>
          <w:lang w:eastAsia="ja-JP"/>
        </w:rPr>
        <w:t>, 18(12), 1-9.</w:t>
      </w:r>
    </w:p>
    <w:p w14:paraId="436CC515" w14:textId="77777777" w:rsidR="00E049CB" w:rsidRPr="005E6B7C" w:rsidRDefault="00E049CB" w:rsidP="008C0D47">
      <w:pPr>
        <w:tabs>
          <w:tab w:val="left" w:pos="270"/>
          <w:tab w:val="left" w:pos="540"/>
          <w:tab w:val="left" w:pos="9270"/>
        </w:tabs>
        <w:spacing w:line="188" w:lineRule="exact"/>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6. </w:t>
      </w:r>
      <w:r w:rsidRPr="005E6B7C">
        <w:rPr>
          <w:rFonts w:asciiTheme="majorHAnsi" w:eastAsia="Times New Roman" w:hAnsiTheme="majorHAnsi" w:cstheme="majorHAnsi"/>
          <w:noProof/>
          <w:color w:val="000000" w:themeColor="text1"/>
          <w:sz w:val="18"/>
          <w:szCs w:val="18"/>
          <w:lang w:eastAsia="ja-JP"/>
        </w:rPr>
        <w:t>Rasmussen C. (2008), Catalog of the Indo-Malayan/Australasian stingless bees (hymenoptera: Apidae: Meliponini). Zootaxa;</w:t>
      </w:r>
      <w:r w:rsidRPr="005E6B7C">
        <w:rPr>
          <w:rFonts w:asciiTheme="majorHAnsi" w:eastAsia="Times New Roman" w:hAnsiTheme="majorHAnsi" w:cstheme="majorHAnsi"/>
          <w:iCs/>
          <w:noProof/>
          <w:color w:val="000000" w:themeColor="text1"/>
          <w:sz w:val="18"/>
          <w:szCs w:val="18"/>
          <w:lang w:eastAsia="ja-JP"/>
        </w:rPr>
        <w:t>1935</w:t>
      </w:r>
      <w:r w:rsidRPr="005E6B7C">
        <w:rPr>
          <w:rFonts w:asciiTheme="majorHAnsi" w:eastAsia="Times New Roman" w:hAnsiTheme="majorHAnsi" w:cstheme="majorHAnsi"/>
          <w:noProof/>
          <w:color w:val="000000" w:themeColor="text1"/>
          <w:sz w:val="18"/>
          <w:szCs w:val="18"/>
          <w:lang w:eastAsia="ja-JP"/>
        </w:rPr>
        <w:t>,1-80.</w:t>
      </w:r>
    </w:p>
    <w:p w14:paraId="3ED18288"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7. </w:t>
      </w:r>
      <w:r w:rsidRPr="005E6B7C">
        <w:rPr>
          <w:rFonts w:asciiTheme="majorHAnsi" w:eastAsia="Yu Mincho" w:hAnsiTheme="majorHAnsi" w:cstheme="majorHAnsi"/>
          <w:noProof/>
          <w:color w:val="000000" w:themeColor="text1"/>
          <w:sz w:val="18"/>
          <w:szCs w:val="18"/>
          <w:shd w:val="clear" w:color="auto" w:fill="FFFFFF"/>
          <w:lang w:eastAsia="ja-JP"/>
        </w:rPr>
        <w:t xml:space="preserve">Vongsak B., Chonanant C., Machana S. (2017). </w:t>
      </w:r>
      <w:r w:rsidR="00894500" w:rsidRPr="005E6B7C">
        <w:rPr>
          <w:rFonts w:asciiTheme="majorHAnsi" w:eastAsia="Yu Mincho" w:hAnsiTheme="majorHAnsi" w:cstheme="majorHAnsi"/>
          <w:i/>
          <w:iCs/>
          <w:noProof/>
          <w:color w:val="000000" w:themeColor="text1"/>
          <w:sz w:val="18"/>
          <w:szCs w:val="18"/>
          <w:shd w:val="clear" w:color="auto" w:fill="FFFFFF"/>
          <w:lang w:eastAsia="ja-JP"/>
        </w:rPr>
        <w:t>In vitro</w:t>
      </w:r>
      <w:r w:rsidRPr="005E6B7C">
        <w:rPr>
          <w:rFonts w:asciiTheme="majorHAnsi" w:eastAsia="Yu Mincho" w:hAnsiTheme="majorHAnsi" w:cstheme="majorHAnsi"/>
          <w:noProof/>
          <w:color w:val="000000" w:themeColor="text1"/>
          <w:sz w:val="18"/>
          <w:szCs w:val="18"/>
          <w:shd w:val="clear" w:color="auto" w:fill="FFFFFF"/>
          <w:lang w:eastAsia="ja-JP"/>
        </w:rPr>
        <w:t xml:space="preserve"> cytotoxicity of Thai stingless bee propolis from Chanthaburi orchard. </w:t>
      </w:r>
      <w:r w:rsidRPr="005E6B7C">
        <w:rPr>
          <w:rFonts w:asciiTheme="majorHAnsi" w:eastAsia="Yu Mincho" w:hAnsiTheme="majorHAnsi" w:cstheme="majorHAnsi"/>
          <w:i/>
          <w:iCs/>
          <w:noProof/>
          <w:color w:val="000000" w:themeColor="text1"/>
          <w:sz w:val="18"/>
          <w:szCs w:val="18"/>
          <w:shd w:val="clear" w:color="auto" w:fill="FFFFFF"/>
          <w:lang w:eastAsia="ja-JP"/>
        </w:rPr>
        <w:t>Walailak Journal of Science and Technology (WJST)</w:t>
      </w:r>
      <w:r w:rsidRPr="005E6B7C">
        <w:rPr>
          <w:rFonts w:asciiTheme="majorHAnsi" w:eastAsia="Yu Mincho" w:hAnsiTheme="majorHAnsi" w:cstheme="majorHAnsi"/>
          <w:noProof/>
          <w:color w:val="000000" w:themeColor="text1"/>
          <w:sz w:val="18"/>
          <w:szCs w:val="18"/>
          <w:shd w:val="clear" w:color="auto" w:fill="FFFFFF"/>
          <w:lang w:eastAsia="ja-JP"/>
        </w:rPr>
        <w:t>, 14(9), 741-747.</w:t>
      </w:r>
    </w:p>
    <w:p w14:paraId="06897553"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8. </w:t>
      </w:r>
      <w:r w:rsidRPr="005E6B7C">
        <w:rPr>
          <w:rFonts w:asciiTheme="majorHAnsi" w:eastAsia="Yu Mincho" w:hAnsiTheme="majorHAnsi" w:cstheme="majorHAnsi"/>
          <w:noProof/>
          <w:color w:val="000000" w:themeColor="text1"/>
          <w:sz w:val="18"/>
          <w:szCs w:val="18"/>
          <w:shd w:val="clear" w:color="auto" w:fill="FFFFFF"/>
          <w:lang w:eastAsia="ja-JP"/>
        </w:rPr>
        <w:t xml:space="preserve">Vongsak B., Kongkiatpaiboon S., Jaisamut S., Machana S., Pattarapanich C. (2015). </w:t>
      </w:r>
      <w:r w:rsidR="00894500" w:rsidRPr="005E6B7C">
        <w:rPr>
          <w:rFonts w:asciiTheme="majorHAnsi" w:eastAsia="Yu Mincho" w:hAnsiTheme="majorHAnsi" w:cstheme="majorHAnsi"/>
          <w:i/>
          <w:iCs/>
          <w:noProof/>
          <w:color w:val="000000" w:themeColor="text1"/>
          <w:sz w:val="18"/>
          <w:szCs w:val="18"/>
          <w:shd w:val="clear" w:color="auto" w:fill="FFFFFF"/>
          <w:lang w:eastAsia="ja-JP"/>
        </w:rPr>
        <w:t>In vitro</w:t>
      </w:r>
      <w:r w:rsidRPr="005E6B7C">
        <w:rPr>
          <w:rFonts w:asciiTheme="majorHAnsi" w:eastAsia="Yu Mincho" w:hAnsiTheme="majorHAnsi" w:cstheme="majorHAnsi"/>
          <w:noProof/>
          <w:color w:val="000000" w:themeColor="text1"/>
          <w:sz w:val="18"/>
          <w:szCs w:val="18"/>
          <w:shd w:val="clear" w:color="auto" w:fill="FFFFFF"/>
          <w:lang w:eastAsia="ja-JP"/>
        </w:rPr>
        <w:t xml:space="preserve"> alpha glucosidase inhibition and free-radical scavenging activity of propolis from Thai stingless bees in mangosteen orchard. </w:t>
      </w:r>
      <w:r w:rsidRPr="005E6B7C">
        <w:rPr>
          <w:rFonts w:asciiTheme="majorHAnsi" w:eastAsia="Yu Mincho" w:hAnsiTheme="majorHAnsi" w:cstheme="majorHAnsi"/>
          <w:i/>
          <w:iCs/>
          <w:noProof/>
          <w:color w:val="000000" w:themeColor="text1"/>
          <w:sz w:val="18"/>
          <w:szCs w:val="18"/>
          <w:shd w:val="clear" w:color="auto" w:fill="FFFFFF"/>
          <w:lang w:eastAsia="ja-JP"/>
        </w:rPr>
        <w:t>Revista Brasileira de Farmacognosia</w:t>
      </w:r>
      <w:r w:rsidRPr="005E6B7C">
        <w:rPr>
          <w:rFonts w:asciiTheme="majorHAnsi" w:eastAsia="Yu Mincho" w:hAnsiTheme="majorHAnsi" w:cstheme="majorHAnsi"/>
          <w:noProof/>
          <w:color w:val="000000" w:themeColor="text1"/>
          <w:sz w:val="18"/>
          <w:szCs w:val="18"/>
          <w:shd w:val="clear" w:color="auto" w:fill="FFFFFF"/>
          <w:lang w:eastAsia="ja-JP"/>
        </w:rPr>
        <w:t>, 25(5), 445-450.</w:t>
      </w:r>
    </w:p>
    <w:p w14:paraId="6266A36D"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9.</w:t>
      </w:r>
      <w:r w:rsidRPr="005E6B7C">
        <w:rPr>
          <w:rFonts w:asciiTheme="majorHAnsi" w:eastAsia="Yu Mincho" w:hAnsiTheme="majorHAnsi" w:cstheme="majorHAnsi"/>
          <w:noProof/>
          <w:color w:val="000000" w:themeColor="text1"/>
          <w:sz w:val="18"/>
          <w:szCs w:val="18"/>
          <w:lang w:eastAsia="ja-JP"/>
        </w:rPr>
        <w:t xml:space="preserve"> Popova M., Trusheva B., Chimshirova R., Antonova D., Gechovska K., Le N. T., Nguyen T. P. L., Diep T. L. P., Bankova, V. (2022). Chemical profile and antioxidant capacity of propolis from </w:t>
      </w:r>
      <w:r w:rsidRPr="005E6B7C">
        <w:rPr>
          <w:rFonts w:asciiTheme="majorHAnsi" w:eastAsia="Yu Mincho" w:hAnsiTheme="majorHAnsi" w:cstheme="majorHAnsi"/>
          <w:i/>
          <w:noProof/>
          <w:color w:val="000000" w:themeColor="text1"/>
          <w:sz w:val="18"/>
          <w:szCs w:val="18"/>
          <w:lang w:eastAsia="ja-JP"/>
        </w:rPr>
        <w:t>Tetragonula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Lepidotrigona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Lisotrigona</w:t>
      </w:r>
      <w:r w:rsidRPr="005E6B7C">
        <w:rPr>
          <w:rFonts w:asciiTheme="majorHAnsi" w:eastAsia="Yu Mincho" w:hAnsiTheme="majorHAnsi" w:cstheme="majorHAnsi"/>
          <w:noProof/>
          <w:color w:val="000000" w:themeColor="text1"/>
          <w:sz w:val="18"/>
          <w:szCs w:val="18"/>
          <w:lang w:eastAsia="ja-JP"/>
        </w:rPr>
        <w:t xml:space="preserve"> and </w:t>
      </w:r>
      <w:r w:rsidRPr="005E6B7C">
        <w:rPr>
          <w:rFonts w:asciiTheme="majorHAnsi" w:eastAsia="Yu Mincho" w:hAnsiTheme="majorHAnsi" w:cstheme="majorHAnsi"/>
          <w:i/>
          <w:noProof/>
          <w:color w:val="000000" w:themeColor="text1"/>
          <w:sz w:val="18"/>
          <w:szCs w:val="18"/>
          <w:lang w:eastAsia="ja-JP"/>
        </w:rPr>
        <w:t>Homotrigona</w:t>
      </w:r>
      <w:r w:rsidRPr="005E6B7C">
        <w:rPr>
          <w:rFonts w:asciiTheme="majorHAnsi" w:eastAsia="Yu Mincho" w:hAnsiTheme="majorHAnsi" w:cstheme="majorHAnsi"/>
          <w:noProof/>
          <w:color w:val="000000" w:themeColor="text1"/>
          <w:sz w:val="18"/>
          <w:szCs w:val="18"/>
          <w:lang w:eastAsia="ja-JP"/>
        </w:rPr>
        <w:t xml:space="preserve"> stingless bee species in Vietnam. </w:t>
      </w:r>
      <w:r w:rsidRPr="005E6B7C">
        <w:rPr>
          <w:rFonts w:asciiTheme="majorHAnsi" w:eastAsia="Yu Mincho" w:hAnsiTheme="majorHAnsi" w:cstheme="majorHAnsi"/>
          <w:i/>
          <w:iCs/>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27(22), 7834.</w:t>
      </w:r>
    </w:p>
    <w:p w14:paraId="1698883B" w14:textId="190B2645"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10. </w:t>
      </w:r>
      <w:r w:rsidRPr="005E6B7C">
        <w:rPr>
          <w:rFonts w:asciiTheme="majorHAnsi" w:eastAsia="Yu Mincho" w:hAnsiTheme="majorHAnsi" w:cstheme="majorHAnsi"/>
          <w:noProof/>
          <w:color w:val="000000" w:themeColor="text1"/>
          <w:sz w:val="18"/>
          <w:szCs w:val="18"/>
          <w:lang w:eastAsia="ja-JP"/>
        </w:rPr>
        <w:t>Ikeda T., Kitao K. (1974)</w:t>
      </w:r>
      <w:r w:rsidR="0044085B"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Terpenoid</w:t>
      </w:r>
      <w:r w:rsidR="005336CE" w:rsidRPr="005E6B7C">
        <w:rPr>
          <w:rFonts w:asciiTheme="majorHAnsi" w:eastAsia="Yu Mincho" w:hAnsiTheme="majorHAnsi" w:cstheme="majorHAnsi"/>
          <w:noProof/>
          <w:color w:val="000000" w:themeColor="text1"/>
          <w:sz w:val="18"/>
          <w:szCs w:val="18"/>
          <w:lang w:eastAsia="ja-JP"/>
        </w:rPr>
        <w:t>s</w:t>
      </w:r>
      <w:r w:rsidRPr="005E6B7C">
        <w:rPr>
          <w:rFonts w:asciiTheme="majorHAnsi" w:eastAsia="Yu Mincho" w:hAnsiTheme="majorHAnsi" w:cstheme="majorHAnsi"/>
          <w:noProof/>
          <w:color w:val="000000" w:themeColor="text1"/>
          <w:sz w:val="18"/>
          <w:szCs w:val="18"/>
          <w:lang w:eastAsia="ja-JP"/>
        </w:rPr>
        <w:t xml:space="preserve"> from </w:t>
      </w:r>
      <w:r w:rsidRPr="005E6B7C">
        <w:rPr>
          <w:rFonts w:asciiTheme="majorHAnsi" w:eastAsia="Yu Mincho" w:hAnsiTheme="majorHAnsi" w:cstheme="majorHAnsi"/>
          <w:i/>
          <w:noProof/>
          <w:color w:val="000000" w:themeColor="text1"/>
          <w:sz w:val="18"/>
          <w:szCs w:val="18"/>
          <w:lang w:eastAsia="ja-JP"/>
        </w:rPr>
        <w:t>Dipterocarpus gracilis</w:t>
      </w:r>
      <w:r w:rsidRPr="005E6B7C">
        <w:rPr>
          <w:rFonts w:asciiTheme="majorHAnsi" w:eastAsia="Yu Mincho" w:hAnsiTheme="majorHAnsi" w:cstheme="majorHAnsi"/>
          <w:noProof/>
          <w:color w:val="000000" w:themeColor="text1"/>
          <w:sz w:val="18"/>
          <w:szCs w:val="18"/>
          <w:lang w:eastAsia="ja-JP"/>
        </w:rPr>
        <w:t xml:space="preserve">. II. The structure of Gracilol-A, -B and -C. </w:t>
      </w:r>
      <w:r w:rsidRPr="005E6B7C">
        <w:rPr>
          <w:rFonts w:asciiTheme="majorHAnsi" w:eastAsia="Yu Mincho" w:hAnsiTheme="majorHAnsi" w:cstheme="majorHAnsi"/>
          <w:i/>
          <w:iCs/>
          <w:noProof/>
          <w:color w:val="000000" w:themeColor="text1"/>
          <w:sz w:val="18"/>
          <w:szCs w:val="18"/>
          <w:lang w:eastAsia="ja-JP"/>
        </w:rPr>
        <w:t>Mokuzai Gakkaishi</w:t>
      </w:r>
      <w:r w:rsidRPr="005E6B7C">
        <w:rPr>
          <w:rFonts w:asciiTheme="majorHAnsi" w:eastAsia="Yu Mincho" w:hAnsiTheme="majorHAnsi" w:cstheme="majorHAnsi"/>
          <w:noProof/>
          <w:color w:val="000000" w:themeColor="text1"/>
          <w:sz w:val="18"/>
          <w:szCs w:val="18"/>
          <w:lang w:eastAsia="ja-JP"/>
        </w:rPr>
        <w:t>  (</w:t>
      </w:r>
      <w:r w:rsidRPr="005E6B7C">
        <w:rPr>
          <w:rFonts w:asciiTheme="majorHAnsi" w:eastAsia="Yu Mincho" w:hAnsiTheme="majorHAnsi" w:cstheme="majorHAnsi"/>
          <w:i/>
          <w:noProof/>
          <w:color w:val="000000" w:themeColor="text1"/>
          <w:sz w:val="18"/>
          <w:szCs w:val="18"/>
          <w:lang w:eastAsia="ja-JP"/>
        </w:rPr>
        <w:t>Journal of the Japan Wood Research Society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iCs/>
          <w:noProof/>
          <w:color w:val="000000" w:themeColor="text1"/>
          <w:sz w:val="18"/>
          <w:szCs w:val="18"/>
          <w:lang w:eastAsia="ja-JP"/>
        </w:rPr>
        <w:t>20</w:t>
      </w:r>
      <w:r w:rsidRPr="005E6B7C">
        <w:rPr>
          <w:rFonts w:asciiTheme="majorHAnsi" w:eastAsia="Yu Mincho" w:hAnsiTheme="majorHAnsi" w:cstheme="majorHAnsi"/>
          <w:noProof/>
          <w:color w:val="000000" w:themeColor="text1"/>
          <w:sz w:val="18"/>
          <w:szCs w:val="18"/>
          <w:lang w:eastAsia="ja-JP"/>
        </w:rPr>
        <w:t>(9), 460-466.</w:t>
      </w:r>
    </w:p>
    <w:p w14:paraId="74AF0E08" w14:textId="77777777" w:rsidR="00E049CB" w:rsidRPr="005E6B7C" w:rsidRDefault="00E049CB" w:rsidP="008C0D47">
      <w:pPr>
        <w:tabs>
          <w:tab w:val="left" w:pos="270"/>
          <w:tab w:val="left" w:pos="540"/>
          <w:tab w:val="left" w:pos="9270"/>
        </w:tabs>
        <w:spacing w:line="188" w:lineRule="exact"/>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11. </w:t>
      </w:r>
      <w:r w:rsidRPr="005E6B7C">
        <w:rPr>
          <w:rFonts w:asciiTheme="majorHAnsi" w:eastAsia="Yu Mincho" w:hAnsiTheme="majorHAnsi" w:cstheme="majorHAnsi"/>
          <w:noProof/>
          <w:color w:val="000000" w:themeColor="text1"/>
          <w:sz w:val="18"/>
          <w:szCs w:val="18"/>
          <w:shd w:val="clear" w:color="auto" w:fill="FFFFFF"/>
          <w:lang w:eastAsia="ja-JP"/>
        </w:rPr>
        <w:t>Purnama F</w:t>
      </w:r>
      <w:r w:rsidR="0044085B" w:rsidRPr="005E6B7C">
        <w:rPr>
          <w:rFonts w:asciiTheme="majorHAnsi" w:eastAsia="Yu Mincho" w:hAnsiTheme="majorHAnsi" w:cstheme="majorHAnsi"/>
          <w:noProof/>
          <w:color w:val="000000" w:themeColor="text1"/>
          <w:sz w:val="18"/>
          <w:szCs w:val="18"/>
          <w:shd w:val="clear" w:color="auto" w:fill="FFFFFF"/>
          <w:lang w:eastAsia="ja-JP"/>
        </w:rPr>
        <w:t>.</w:t>
      </w:r>
      <w:r w:rsidRPr="005E6B7C">
        <w:rPr>
          <w:rFonts w:asciiTheme="majorHAnsi" w:eastAsia="Yu Mincho" w:hAnsiTheme="majorHAnsi" w:cstheme="majorHAnsi"/>
          <w:noProof/>
          <w:color w:val="000000" w:themeColor="text1"/>
          <w:sz w:val="18"/>
          <w:szCs w:val="18"/>
          <w:shd w:val="clear" w:color="auto" w:fill="FFFFFF"/>
          <w:lang w:eastAsia="ja-JP"/>
        </w:rPr>
        <w:t xml:space="preserve"> K., Runadi D., Kuncoro H., Harneti D., Nurlelasari, </w:t>
      </w:r>
      <w:r w:rsidRPr="005E6B7C">
        <w:rPr>
          <w:rFonts w:asciiTheme="majorHAnsi" w:eastAsia="Yu Mincho" w:hAnsiTheme="majorHAnsi" w:cstheme="majorHAnsi"/>
          <w:noProof/>
          <w:color w:val="000000" w:themeColor="text1"/>
          <w:sz w:val="18"/>
          <w:szCs w:val="18"/>
          <w:lang w:eastAsia="ja-JP"/>
        </w:rPr>
        <w:t xml:space="preserve">Mayanti T., Azmi M. N., Fajriah S., </w:t>
      </w:r>
      <w:r w:rsidRPr="005E6B7C">
        <w:rPr>
          <w:rFonts w:asciiTheme="majorHAnsi" w:eastAsia="Yu Mincho" w:hAnsiTheme="majorHAnsi" w:cstheme="majorHAnsi"/>
          <w:noProof/>
          <w:color w:val="000000" w:themeColor="text1"/>
          <w:sz w:val="18"/>
          <w:szCs w:val="18"/>
          <w:shd w:val="clear" w:color="auto" w:fill="FFFFFF"/>
          <w:lang w:eastAsia="ja-JP"/>
        </w:rPr>
        <w:t xml:space="preserve">Supratman U. (2023). The cytotoxic activity of dammarane-type triterpenoids isolated from the stem bark of </w:t>
      </w:r>
      <w:r w:rsidRPr="005E6B7C">
        <w:rPr>
          <w:rFonts w:asciiTheme="majorHAnsi" w:eastAsia="Yu Mincho" w:hAnsiTheme="majorHAnsi" w:cstheme="majorHAnsi"/>
          <w:i/>
          <w:noProof/>
          <w:color w:val="000000" w:themeColor="text1"/>
          <w:sz w:val="18"/>
          <w:szCs w:val="18"/>
          <w:shd w:val="clear" w:color="auto" w:fill="FFFFFF"/>
          <w:lang w:eastAsia="ja-JP"/>
        </w:rPr>
        <w:t>Aglaia cucullata</w:t>
      </w:r>
      <w:r w:rsidRPr="005E6B7C">
        <w:rPr>
          <w:rFonts w:asciiTheme="majorHAnsi" w:eastAsia="Yu Mincho" w:hAnsiTheme="majorHAnsi" w:cstheme="majorHAnsi"/>
          <w:noProof/>
          <w:color w:val="000000" w:themeColor="text1"/>
          <w:sz w:val="18"/>
          <w:szCs w:val="18"/>
          <w:shd w:val="clear" w:color="auto" w:fill="FFFFFF"/>
          <w:lang w:eastAsia="ja-JP"/>
        </w:rPr>
        <w:t xml:space="preserve"> (Meliaceae). </w:t>
      </w:r>
      <w:r w:rsidRPr="005E6B7C">
        <w:rPr>
          <w:rFonts w:asciiTheme="majorHAnsi" w:eastAsia="Yu Mincho" w:hAnsiTheme="majorHAnsi" w:cstheme="majorHAnsi"/>
          <w:i/>
          <w:iCs/>
          <w:noProof/>
          <w:color w:val="000000" w:themeColor="text1"/>
          <w:sz w:val="18"/>
          <w:szCs w:val="18"/>
          <w:shd w:val="clear" w:color="auto" w:fill="FFFFFF"/>
          <w:lang w:eastAsia="ja-JP"/>
        </w:rPr>
        <w:t>Molecules</w:t>
      </w:r>
      <w:r w:rsidRPr="005E6B7C">
        <w:rPr>
          <w:rFonts w:asciiTheme="majorHAnsi" w:eastAsia="Yu Mincho" w:hAnsiTheme="majorHAnsi" w:cstheme="majorHAnsi"/>
          <w:noProof/>
          <w:color w:val="000000" w:themeColor="text1"/>
          <w:sz w:val="18"/>
          <w:szCs w:val="18"/>
          <w:shd w:val="clear" w:color="auto" w:fill="FFFFFF"/>
          <w:lang w:eastAsia="ja-JP"/>
        </w:rPr>
        <w:t xml:space="preserve">, 28(13), 4946. </w:t>
      </w:r>
    </w:p>
    <w:p w14:paraId="7ABA377F"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12.</w:t>
      </w:r>
      <w:r w:rsidRPr="005E6B7C">
        <w:rPr>
          <w:rFonts w:asciiTheme="majorHAnsi" w:eastAsia="Times New Roman"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 xml:space="preserve">Venditti A., Bianco A., Tomassini L., Nicoletti M. (2014). A </w:t>
      </w:r>
      <w:r w:rsidRPr="005E6B7C">
        <w:rPr>
          <w:rFonts w:asciiTheme="majorHAnsi" w:eastAsia="Yu Mincho" w:hAnsiTheme="majorHAnsi" w:cstheme="majorHAnsi"/>
          <w:i/>
          <w:noProof/>
          <w:color w:val="000000" w:themeColor="text1"/>
          <w:sz w:val="18"/>
          <w:szCs w:val="18"/>
          <w:shd w:val="clear" w:color="auto" w:fill="FFFFFF"/>
          <w:lang w:eastAsia="ja-JP"/>
        </w:rPr>
        <w:t>C</w:t>
      </w:r>
      <w:r w:rsidRPr="005E6B7C">
        <w:rPr>
          <w:rFonts w:asciiTheme="majorHAnsi" w:eastAsia="Yu Mincho" w:hAnsiTheme="majorHAnsi" w:cstheme="majorHAnsi"/>
          <w:noProof/>
          <w:color w:val="000000" w:themeColor="text1"/>
          <w:sz w:val="18"/>
          <w:szCs w:val="18"/>
          <w:shd w:val="clear" w:color="auto" w:fill="FFFFFF"/>
          <w:lang w:eastAsia="ja-JP"/>
        </w:rPr>
        <w:t xml:space="preserve">-methylated resacetophenone from </w:t>
      </w:r>
      <w:r w:rsidRPr="005E6B7C">
        <w:rPr>
          <w:rFonts w:asciiTheme="majorHAnsi" w:eastAsia="Yu Mincho" w:hAnsiTheme="majorHAnsi" w:cstheme="majorHAnsi"/>
          <w:i/>
          <w:noProof/>
          <w:color w:val="000000" w:themeColor="text1"/>
          <w:sz w:val="18"/>
          <w:szCs w:val="18"/>
          <w:shd w:val="clear" w:color="auto" w:fill="FFFFFF"/>
          <w:lang w:eastAsia="ja-JP"/>
        </w:rPr>
        <w:t>Cistus monspeliensis</w:t>
      </w:r>
      <w:r w:rsidRPr="005E6B7C">
        <w:rPr>
          <w:rFonts w:asciiTheme="majorHAnsi" w:eastAsia="Yu Mincho" w:hAnsiTheme="majorHAnsi" w:cstheme="majorHAnsi"/>
          <w:noProof/>
          <w:color w:val="000000" w:themeColor="text1"/>
          <w:sz w:val="18"/>
          <w:szCs w:val="18"/>
          <w:shd w:val="clear" w:color="auto" w:fill="FFFFFF"/>
          <w:lang w:eastAsia="ja-JP"/>
        </w:rPr>
        <w:t xml:space="preserve"> L. </w:t>
      </w:r>
      <w:r w:rsidRPr="005E6B7C">
        <w:rPr>
          <w:rFonts w:asciiTheme="majorHAnsi" w:eastAsia="Yu Mincho" w:hAnsiTheme="majorHAnsi" w:cstheme="majorHAnsi"/>
          <w:i/>
          <w:iCs/>
          <w:noProof/>
          <w:color w:val="000000" w:themeColor="text1"/>
          <w:sz w:val="18"/>
          <w:szCs w:val="18"/>
          <w:shd w:val="clear" w:color="auto" w:fill="FFFFFF"/>
          <w:lang w:eastAsia="ja-JP"/>
        </w:rPr>
        <w:t>Fitoterapia</w:t>
      </w:r>
      <w:r w:rsidRPr="005E6B7C">
        <w:rPr>
          <w:rFonts w:asciiTheme="majorHAnsi" w:eastAsia="Yu Mincho" w:hAnsiTheme="majorHAnsi" w:cstheme="majorHAnsi"/>
          <w:noProof/>
          <w:color w:val="000000" w:themeColor="text1"/>
          <w:sz w:val="18"/>
          <w:szCs w:val="18"/>
          <w:shd w:val="clear" w:color="auto" w:fill="FFFFFF"/>
          <w:lang w:eastAsia="ja-JP"/>
        </w:rPr>
        <w:t>, 95, 182-185.</w:t>
      </w:r>
      <w:r w:rsidRPr="005E6B7C">
        <w:rPr>
          <w:rFonts w:asciiTheme="majorHAnsi" w:eastAsia="Yu Mincho" w:hAnsiTheme="majorHAnsi" w:cstheme="majorHAnsi"/>
          <w:noProof/>
          <w:color w:val="000000" w:themeColor="text1"/>
          <w:sz w:val="18"/>
          <w:szCs w:val="18"/>
          <w:lang w:val="vi-VN" w:eastAsia="ja-JP"/>
        </w:rPr>
        <w:t xml:space="preserve"> </w:t>
      </w:r>
    </w:p>
    <w:p w14:paraId="54F0073C" w14:textId="77777777" w:rsidR="00E049CB" w:rsidRPr="005E6B7C" w:rsidRDefault="00E049CB" w:rsidP="008C0D47">
      <w:pPr>
        <w:tabs>
          <w:tab w:val="left" w:pos="270"/>
          <w:tab w:val="left" w:pos="540"/>
          <w:tab w:val="left" w:pos="9270"/>
        </w:tabs>
        <w:spacing w:line="188" w:lineRule="exact"/>
        <w:jc w:val="both"/>
        <w:rPr>
          <w:rFonts w:asciiTheme="majorHAnsi" w:eastAsia="Times New Roman" w:hAnsiTheme="majorHAnsi" w:cstheme="majorHAnsi"/>
          <w:noProof/>
          <w:color w:val="000000" w:themeColor="text1"/>
          <w:spacing w:val="-6"/>
          <w:sz w:val="18"/>
          <w:szCs w:val="18"/>
          <w:lang w:eastAsia="ja-JP"/>
        </w:rPr>
      </w:pPr>
      <w:r w:rsidRPr="005E6B7C">
        <w:rPr>
          <w:rFonts w:asciiTheme="majorHAnsi" w:eastAsia="Yu Mincho" w:hAnsiTheme="majorHAnsi" w:cstheme="majorHAnsi"/>
          <w:b/>
          <w:bCs/>
          <w:noProof/>
          <w:color w:val="000000" w:themeColor="text1"/>
          <w:spacing w:val="-6"/>
          <w:sz w:val="18"/>
          <w:szCs w:val="18"/>
          <w:lang w:val="nl-NL" w:eastAsia="ja-JP"/>
        </w:rPr>
        <w:t xml:space="preserve">13. </w:t>
      </w:r>
      <w:r w:rsidRPr="005E6B7C">
        <w:rPr>
          <w:rFonts w:asciiTheme="majorHAnsi" w:eastAsia="Yu Mincho" w:hAnsiTheme="majorHAnsi" w:cstheme="majorHAnsi"/>
          <w:noProof/>
          <w:color w:val="000000" w:themeColor="text1"/>
          <w:spacing w:val="-6"/>
          <w:sz w:val="18"/>
          <w:szCs w:val="18"/>
          <w:shd w:val="clear" w:color="auto" w:fill="FFFFFF"/>
          <w:lang w:val="nl-NL" w:eastAsia="ja-JP"/>
        </w:rPr>
        <w:t xml:space="preserve">Manners G. D., Jurd L., Stevens K. L. (1974). </w:t>
      </w:r>
      <w:r w:rsidRPr="005E6B7C">
        <w:rPr>
          <w:rFonts w:asciiTheme="majorHAnsi" w:eastAsia="Yu Mincho" w:hAnsiTheme="majorHAnsi" w:cstheme="majorHAnsi"/>
          <w:noProof/>
          <w:color w:val="000000" w:themeColor="text1"/>
          <w:spacing w:val="-6"/>
          <w:sz w:val="18"/>
          <w:szCs w:val="18"/>
          <w:shd w:val="clear" w:color="auto" w:fill="FFFFFF"/>
          <w:lang w:eastAsia="ja-JP"/>
        </w:rPr>
        <w:t xml:space="preserve">Minor phenolic constituents of </w:t>
      </w:r>
      <w:r w:rsidRPr="005E6B7C">
        <w:rPr>
          <w:rFonts w:asciiTheme="majorHAnsi" w:eastAsia="Yu Mincho" w:hAnsiTheme="majorHAnsi" w:cstheme="majorHAnsi"/>
          <w:i/>
          <w:noProof/>
          <w:color w:val="000000" w:themeColor="text1"/>
          <w:spacing w:val="-6"/>
          <w:sz w:val="18"/>
          <w:szCs w:val="18"/>
          <w:shd w:val="clear" w:color="auto" w:fill="FFFFFF"/>
          <w:lang w:eastAsia="ja-JP"/>
        </w:rPr>
        <w:t>Dalbergia retusa</w:t>
      </w:r>
      <w:r w:rsidRPr="005E6B7C">
        <w:rPr>
          <w:rFonts w:asciiTheme="majorHAnsi" w:eastAsia="Yu Mincho" w:hAnsiTheme="majorHAnsi" w:cstheme="majorHAnsi"/>
          <w:noProof/>
          <w:color w:val="000000" w:themeColor="text1"/>
          <w:spacing w:val="-6"/>
          <w:sz w:val="18"/>
          <w:szCs w:val="18"/>
          <w:shd w:val="clear" w:color="auto" w:fill="FFFFFF"/>
          <w:lang w:eastAsia="ja-JP"/>
        </w:rPr>
        <w:t>. </w:t>
      </w:r>
      <w:r w:rsidRPr="005E6B7C">
        <w:rPr>
          <w:rFonts w:asciiTheme="majorHAnsi" w:eastAsia="Yu Mincho" w:hAnsiTheme="majorHAnsi" w:cstheme="majorHAnsi"/>
          <w:i/>
          <w:iCs/>
          <w:noProof/>
          <w:color w:val="000000" w:themeColor="text1"/>
          <w:spacing w:val="-6"/>
          <w:sz w:val="18"/>
          <w:szCs w:val="18"/>
          <w:shd w:val="clear" w:color="auto" w:fill="FFFFFF"/>
          <w:lang w:eastAsia="ja-JP"/>
        </w:rPr>
        <w:t>Phytochemistry</w:t>
      </w:r>
      <w:r w:rsidRPr="005E6B7C">
        <w:rPr>
          <w:rFonts w:asciiTheme="majorHAnsi" w:eastAsia="Yu Mincho" w:hAnsiTheme="majorHAnsi" w:cstheme="majorHAnsi"/>
          <w:noProof/>
          <w:color w:val="000000" w:themeColor="text1"/>
          <w:spacing w:val="-6"/>
          <w:sz w:val="18"/>
          <w:szCs w:val="18"/>
          <w:shd w:val="clear" w:color="auto" w:fill="FFFFFF"/>
          <w:lang w:eastAsia="ja-JP"/>
        </w:rPr>
        <w:t>, 13(1), 292-293.</w:t>
      </w:r>
    </w:p>
    <w:p w14:paraId="17526BA1" w14:textId="77777777" w:rsidR="00E049CB" w:rsidRPr="005E6B7C" w:rsidRDefault="00E049CB" w:rsidP="008C0D47">
      <w:pPr>
        <w:tabs>
          <w:tab w:val="left" w:pos="270"/>
          <w:tab w:val="left" w:pos="540"/>
          <w:tab w:val="left" w:pos="9270"/>
        </w:tabs>
        <w:spacing w:line="188" w:lineRule="exact"/>
        <w:jc w:val="both"/>
        <w:rPr>
          <w:rFonts w:asciiTheme="majorHAnsi" w:eastAsia="Times New Roman"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14.</w:t>
      </w:r>
      <w:r w:rsidRPr="005E6B7C">
        <w:rPr>
          <w:rFonts w:asciiTheme="majorHAnsi" w:eastAsia="Times New Roman"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 xml:space="preserve">Gregson M., Ollis W. D., Redman B. T., Sutherland I. O., Dietrichs H. H., Gottlieb O. R. (1978). Obtusastyrene and obtustyrene, cinnamylphenols from </w:t>
      </w:r>
      <w:r w:rsidRPr="005E6B7C">
        <w:rPr>
          <w:rFonts w:asciiTheme="majorHAnsi" w:eastAsia="Yu Mincho" w:hAnsiTheme="majorHAnsi" w:cstheme="majorHAnsi"/>
          <w:i/>
          <w:noProof/>
          <w:color w:val="000000" w:themeColor="text1"/>
          <w:sz w:val="18"/>
          <w:szCs w:val="18"/>
          <w:shd w:val="clear" w:color="auto" w:fill="FFFFFF"/>
          <w:lang w:eastAsia="ja-JP"/>
        </w:rPr>
        <w:t>Dalbergia retusa</w:t>
      </w:r>
      <w:r w:rsidRPr="005E6B7C">
        <w:rPr>
          <w:rFonts w:asciiTheme="majorHAnsi" w:eastAsia="Yu Mincho" w:hAnsiTheme="majorHAnsi" w:cstheme="majorHAnsi"/>
          <w:noProof/>
          <w:color w:val="000000" w:themeColor="text1"/>
          <w:sz w:val="18"/>
          <w:szCs w:val="18"/>
          <w:shd w:val="clear" w:color="auto" w:fill="FFFFFF"/>
          <w:lang w:eastAsia="ja-JP"/>
        </w:rPr>
        <w:t>. </w:t>
      </w:r>
      <w:r w:rsidRPr="005E6B7C">
        <w:rPr>
          <w:rFonts w:asciiTheme="majorHAnsi" w:eastAsia="Yu Mincho" w:hAnsiTheme="majorHAnsi" w:cstheme="majorHAnsi"/>
          <w:i/>
          <w:iCs/>
          <w:noProof/>
          <w:color w:val="000000" w:themeColor="text1"/>
          <w:sz w:val="18"/>
          <w:szCs w:val="18"/>
          <w:shd w:val="clear" w:color="auto" w:fill="FFFFFF"/>
          <w:lang w:eastAsia="ja-JP"/>
        </w:rPr>
        <w:t>Phytochemistry</w:t>
      </w:r>
      <w:r w:rsidRPr="005E6B7C">
        <w:rPr>
          <w:rFonts w:asciiTheme="majorHAnsi" w:eastAsia="Yu Mincho" w:hAnsiTheme="majorHAnsi" w:cstheme="majorHAnsi"/>
          <w:noProof/>
          <w:color w:val="000000" w:themeColor="text1"/>
          <w:sz w:val="18"/>
          <w:szCs w:val="18"/>
          <w:shd w:val="clear" w:color="auto" w:fill="FFFFFF"/>
          <w:lang w:eastAsia="ja-JP"/>
        </w:rPr>
        <w:t>, 17(8), 1395-1400.</w:t>
      </w:r>
    </w:p>
    <w:p w14:paraId="4FF7C95E" w14:textId="77777777" w:rsidR="00E049CB" w:rsidRPr="005E6B7C" w:rsidRDefault="00E049CB" w:rsidP="008C0D47">
      <w:pPr>
        <w:tabs>
          <w:tab w:val="left" w:pos="270"/>
          <w:tab w:val="left" w:pos="540"/>
          <w:tab w:val="left" w:pos="9270"/>
        </w:tabs>
        <w:spacing w:line="188" w:lineRule="exact"/>
        <w:jc w:val="both"/>
        <w:rPr>
          <w:rFonts w:asciiTheme="majorHAnsi" w:eastAsia="Times New Roman"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 xml:space="preserve">15. </w:t>
      </w:r>
      <w:r w:rsidRPr="005E6B7C">
        <w:rPr>
          <w:rFonts w:asciiTheme="majorHAnsi" w:eastAsia="Yu Mincho" w:hAnsiTheme="majorHAnsi" w:cstheme="majorHAnsi"/>
          <w:noProof/>
          <w:color w:val="000000" w:themeColor="text1"/>
          <w:sz w:val="18"/>
          <w:szCs w:val="18"/>
          <w:shd w:val="clear" w:color="auto" w:fill="FFFFFF"/>
          <w:lang w:eastAsia="ja-JP"/>
        </w:rPr>
        <w:t xml:space="preserve">Lotti C., Campo Fernandez M., Piccinelli A. L., Cuesta-Rubio O., Marquez Hernandez I., Rastrelli L. (2010). Chemical constituents of red Mexican propolis.  </w:t>
      </w:r>
      <w:r w:rsidRPr="005E6B7C">
        <w:rPr>
          <w:rFonts w:asciiTheme="majorHAnsi" w:eastAsia="Yu Mincho" w:hAnsiTheme="majorHAnsi" w:cstheme="majorHAnsi"/>
          <w:i/>
          <w:iCs/>
          <w:noProof/>
          <w:color w:val="000000" w:themeColor="text1"/>
          <w:sz w:val="18"/>
          <w:szCs w:val="18"/>
          <w:shd w:val="clear" w:color="auto" w:fill="FFFFFF"/>
          <w:lang w:eastAsia="ja-JP"/>
        </w:rPr>
        <w:t>Journal of Agricultural and Food Chemistry</w:t>
      </w:r>
      <w:r w:rsidRPr="005E6B7C">
        <w:rPr>
          <w:rFonts w:asciiTheme="majorHAnsi" w:eastAsia="Yu Mincho" w:hAnsiTheme="majorHAnsi" w:cstheme="majorHAnsi"/>
          <w:noProof/>
          <w:color w:val="000000" w:themeColor="text1"/>
          <w:sz w:val="18"/>
          <w:szCs w:val="18"/>
          <w:shd w:val="clear" w:color="auto" w:fill="FFFFFF"/>
          <w:lang w:eastAsia="ja-JP"/>
        </w:rPr>
        <w:t>, 58(4), 2209-2213.</w:t>
      </w:r>
    </w:p>
    <w:p w14:paraId="6FF4F8BB"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Times New Roman" w:hAnsiTheme="majorHAnsi" w:cstheme="majorHAnsi"/>
          <w:b/>
          <w:bCs/>
          <w:noProof/>
          <w:color w:val="000000" w:themeColor="text1"/>
          <w:sz w:val="18"/>
          <w:szCs w:val="18"/>
          <w:lang w:eastAsia="ja-JP"/>
        </w:rPr>
        <w:t>16.</w:t>
      </w:r>
      <w:r w:rsidRPr="005E6B7C">
        <w:rPr>
          <w:rFonts w:asciiTheme="majorHAnsi" w:eastAsia="Yu Mincho" w:hAnsiTheme="majorHAnsi" w:cstheme="majorHAnsi"/>
          <w:b/>
          <w:bCs/>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 xml:space="preserve">Yang Y. J., Park J. I., Lee H. J., Seo S. M., Lee O. K., Choi D. H., Lee M. K. (2006). Effects of (+)-eudesmin from the stem bark of </w:t>
      </w:r>
      <w:r w:rsidR="0044085B" w:rsidRPr="005E6B7C">
        <w:rPr>
          <w:rFonts w:asciiTheme="majorHAnsi" w:eastAsia="Yu Mincho" w:hAnsiTheme="majorHAnsi" w:cstheme="majorHAnsi"/>
          <w:i/>
          <w:noProof/>
          <w:color w:val="000000" w:themeColor="text1"/>
          <w:sz w:val="18"/>
          <w:szCs w:val="18"/>
          <w:shd w:val="clear" w:color="auto" w:fill="FFFFFF"/>
          <w:lang w:eastAsia="ja-JP"/>
        </w:rPr>
        <w:t>M</w:t>
      </w:r>
      <w:r w:rsidRPr="005E6B7C">
        <w:rPr>
          <w:rFonts w:asciiTheme="majorHAnsi" w:eastAsia="Yu Mincho" w:hAnsiTheme="majorHAnsi" w:cstheme="majorHAnsi"/>
          <w:i/>
          <w:noProof/>
          <w:color w:val="000000" w:themeColor="text1"/>
          <w:sz w:val="18"/>
          <w:szCs w:val="18"/>
          <w:shd w:val="clear" w:color="auto" w:fill="FFFFFF"/>
          <w:lang w:eastAsia="ja-JP"/>
        </w:rPr>
        <w:t>agnolia kobus</w:t>
      </w:r>
      <w:r w:rsidRPr="005E6B7C">
        <w:rPr>
          <w:rFonts w:asciiTheme="majorHAnsi" w:eastAsia="Yu Mincho" w:hAnsiTheme="majorHAnsi" w:cstheme="majorHAnsi"/>
          <w:noProof/>
          <w:color w:val="000000" w:themeColor="text1"/>
          <w:sz w:val="18"/>
          <w:szCs w:val="18"/>
          <w:shd w:val="clear" w:color="auto" w:fill="FFFFFF"/>
          <w:lang w:eastAsia="ja-JP"/>
        </w:rPr>
        <w:t xml:space="preserve"> DC. var. </w:t>
      </w:r>
      <w:r w:rsidRPr="005E6B7C">
        <w:rPr>
          <w:rFonts w:asciiTheme="majorHAnsi" w:eastAsia="Yu Mincho" w:hAnsiTheme="majorHAnsi" w:cstheme="majorHAnsi"/>
          <w:i/>
          <w:noProof/>
          <w:color w:val="000000" w:themeColor="text1"/>
          <w:sz w:val="18"/>
          <w:szCs w:val="18"/>
          <w:shd w:val="clear" w:color="auto" w:fill="FFFFFF"/>
          <w:lang w:eastAsia="ja-JP"/>
        </w:rPr>
        <w:t xml:space="preserve">borealis </w:t>
      </w:r>
      <w:r w:rsidRPr="005E6B7C">
        <w:rPr>
          <w:rFonts w:asciiTheme="majorHAnsi" w:eastAsia="Yu Mincho" w:hAnsiTheme="majorHAnsi" w:cstheme="majorHAnsi"/>
          <w:noProof/>
          <w:color w:val="000000" w:themeColor="text1"/>
          <w:sz w:val="18"/>
          <w:szCs w:val="18"/>
          <w:shd w:val="clear" w:color="auto" w:fill="FFFFFF"/>
          <w:lang w:eastAsia="ja-JP"/>
        </w:rPr>
        <w:t>Sarg. on neurite outgrowth in PC12 cells. </w:t>
      </w:r>
      <w:r w:rsidRPr="005E6B7C">
        <w:rPr>
          <w:rFonts w:asciiTheme="majorHAnsi" w:eastAsia="Yu Mincho" w:hAnsiTheme="majorHAnsi" w:cstheme="majorHAnsi"/>
          <w:i/>
          <w:iCs/>
          <w:noProof/>
          <w:color w:val="000000" w:themeColor="text1"/>
          <w:sz w:val="18"/>
          <w:szCs w:val="18"/>
          <w:shd w:val="clear" w:color="auto" w:fill="FFFFFF"/>
          <w:lang w:eastAsia="ja-JP"/>
        </w:rPr>
        <w:t>Archives of Pharmacal Research</w:t>
      </w:r>
      <w:r w:rsidRPr="005E6B7C">
        <w:rPr>
          <w:rFonts w:asciiTheme="majorHAnsi" w:eastAsia="Yu Mincho" w:hAnsiTheme="majorHAnsi" w:cstheme="majorHAnsi"/>
          <w:noProof/>
          <w:color w:val="000000" w:themeColor="text1"/>
          <w:sz w:val="18"/>
          <w:szCs w:val="18"/>
          <w:shd w:val="clear" w:color="auto" w:fill="FFFFFF"/>
          <w:lang w:eastAsia="ja-JP"/>
        </w:rPr>
        <w:t>, 29(12), 1114-1118.</w:t>
      </w:r>
      <w:r w:rsidRPr="005E6B7C">
        <w:rPr>
          <w:rFonts w:asciiTheme="majorHAnsi" w:eastAsia="Yu Mincho" w:hAnsiTheme="majorHAnsi" w:cstheme="majorHAnsi"/>
          <w:noProof/>
          <w:color w:val="000000" w:themeColor="text1"/>
          <w:sz w:val="18"/>
          <w:szCs w:val="18"/>
          <w:lang w:val="vi-VN" w:eastAsia="ja-JP"/>
        </w:rPr>
        <w:t xml:space="preserve"> </w:t>
      </w:r>
    </w:p>
    <w:p w14:paraId="23F7191E"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z w:val="18"/>
          <w:szCs w:val="18"/>
          <w:lang w:val="fr-FR" w:eastAsia="ja-JP"/>
        </w:rPr>
      </w:pPr>
      <w:r w:rsidRPr="005E6B7C">
        <w:rPr>
          <w:rFonts w:asciiTheme="majorHAnsi" w:eastAsia="Yu Mincho" w:hAnsiTheme="majorHAnsi" w:cstheme="majorHAnsi"/>
          <w:b/>
          <w:b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Mangmool S., Limpichai C., Han K. K., Reutrakul V., Anantachoke N.</w:t>
      </w:r>
      <w:r w:rsidR="0044085B" w:rsidRPr="005E6B7C">
        <w:rPr>
          <w:rFonts w:asciiTheme="majorHAnsi" w:eastAsia="Yu Mincho" w:hAnsiTheme="majorHAnsi" w:cstheme="majorHAnsi"/>
          <w:noProof/>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(2022). Anti-inflammatory effects of </w:t>
      </w:r>
      <w:r w:rsidRPr="005E6B7C">
        <w:rPr>
          <w:rFonts w:asciiTheme="majorHAnsi" w:eastAsia="Yu Mincho" w:hAnsiTheme="majorHAnsi" w:cstheme="majorHAnsi"/>
          <w:i/>
          <w:iCs/>
          <w:noProof/>
          <w:color w:val="000000" w:themeColor="text1"/>
          <w:sz w:val="18"/>
          <w:szCs w:val="18"/>
          <w:shd w:val="clear" w:color="auto" w:fill="FFFFFF"/>
          <w:lang w:eastAsia="ja-JP"/>
        </w:rPr>
        <w:t>Mitrephora sirikitiae</w:t>
      </w:r>
      <w:r w:rsidRPr="005E6B7C">
        <w:rPr>
          <w:rFonts w:asciiTheme="majorHAnsi" w:eastAsia="Yu Mincho" w:hAnsiTheme="majorHAnsi" w:cstheme="majorHAnsi"/>
          <w:noProof/>
          <w:color w:val="000000" w:themeColor="text1"/>
          <w:sz w:val="18"/>
          <w:szCs w:val="18"/>
          <w:shd w:val="clear" w:color="auto" w:fill="FFFFFF"/>
          <w:lang w:eastAsia="ja-JP"/>
        </w:rPr>
        <w:t xml:space="preserve"> leaf extract and isolated lignans in RAW 264.7 cells. </w:t>
      </w:r>
      <w:r w:rsidRPr="005E6B7C">
        <w:rPr>
          <w:rFonts w:asciiTheme="majorHAnsi" w:eastAsia="Yu Mincho" w:hAnsiTheme="majorHAnsi" w:cstheme="majorHAnsi"/>
          <w:i/>
          <w:noProof/>
          <w:color w:val="000000" w:themeColor="text1"/>
          <w:sz w:val="18"/>
          <w:szCs w:val="18"/>
          <w:shd w:val="clear" w:color="auto" w:fill="FFFFFF"/>
          <w:lang w:val="fr-FR" w:eastAsia="ja-JP"/>
        </w:rPr>
        <w:t>Molecules</w:t>
      </w:r>
      <w:r w:rsidR="0044085B" w:rsidRPr="005E6B7C">
        <w:rPr>
          <w:rFonts w:asciiTheme="majorHAnsi" w:eastAsia="Yu Mincho" w:hAnsiTheme="majorHAnsi" w:cstheme="majorHAnsi"/>
          <w:noProof/>
          <w:color w:val="000000" w:themeColor="text1"/>
          <w:sz w:val="18"/>
          <w:szCs w:val="18"/>
          <w:shd w:val="clear" w:color="auto" w:fill="FFFFFF"/>
          <w:lang w:val="fr-FR" w:eastAsia="ja-JP"/>
        </w:rPr>
        <w:t>,</w:t>
      </w:r>
      <w:r w:rsidRPr="005E6B7C">
        <w:rPr>
          <w:rFonts w:asciiTheme="majorHAnsi" w:eastAsia="Yu Mincho" w:hAnsiTheme="majorHAnsi" w:cstheme="majorHAnsi"/>
          <w:noProof/>
          <w:color w:val="000000" w:themeColor="text1"/>
          <w:sz w:val="18"/>
          <w:szCs w:val="18"/>
          <w:shd w:val="clear" w:color="auto" w:fill="FFFFFF"/>
          <w:lang w:val="fr-FR" w:eastAsia="ja-JP"/>
        </w:rPr>
        <w:t xml:space="preserve"> 27(10), 3313.</w:t>
      </w:r>
      <w:r w:rsidRPr="005E6B7C">
        <w:rPr>
          <w:rFonts w:asciiTheme="majorHAnsi" w:eastAsia="Times New Roman" w:hAnsiTheme="majorHAnsi" w:cstheme="majorHAnsi"/>
          <w:noProof/>
          <w:color w:val="000000" w:themeColor="text1"/>
          <w:sz w:val="18"/>
          <w:szCs w:val="18"/>
          <w:lang w:val="fr-FR" w:eastAsia="ja-JP"/>
        </w:rPr>
        <w:t xml:space="preserve">   </w:t>
      </w:r>
    </w:p>
    <w:p w14:paraId="598B5F0D" w14:textId="77777777" w:rsidR="00E049CB" w:rsidRPr="005E6B7C" w:rsidRDefault="00E049CB" w:rsidP="008C0D47">
      <w:pPr>
        <w:tabs>
          <w:tab w:val="left" w:pos="270"/>
          <w:tab w:val="left" w:pos="540"/>
          <w:tab w:val="left" w:pos="9270"/>
        </w:tabs>
        <w:spacing w:line="188" w:lineRule="exact"/>
        <w:jc w:val="both"/>
        <w:rPr>
          <w:rFonts w:asciiTheme="majorHAnsi" w:eastAsia="Yu Mincho" w:hAnsiTheme="majorHAnsi" w:cstheme="majorHAnsi"/>
          <w:noProof/>
          <w:color w:val="000000" w:themeColor="text1"/>
          <w:spacing w:val="-6"/>
          <w:sz w:val="18"/>
          <w:szCs w:val="18"/>
          <w:lang w:eastAsia="ja-JP"/>
        </w:rPr>
      </w:pPr>
      <w:r w:rsidRPr="005E6B7C">
        <w:rPr>
          <w:rFonts w:asciiTheme="majorHAnsi" w:eastAsia="Yu Mincho" w:hAnsiTheme="majorHAnsi" w:cstheme="majorHAnsi"/>
          <w:b/>
          <w:bCs/>
          <w:noProof/>
          <w:color w:val="000000" w:themeColor="text1"/>
          <w:spacing w:val="-6"/>
          <w:sz w:val="18"/>
          <w:szCs w:val="18"/>
          <w:lang w:val="fr-FR" w:eastAsia="ja-JP"/>
        </w:rPr>
        <w:t xml:space="preserve">18. </w:t>
      </w:r>
      <w:r w:rsidRPr="005E6B7C">
        <w:rPr>
          <w:rFonts w:asciiTheme="majorHAnsi" w:eastAsia="Yu Mincho" w:hAnsiTheme="majorHAnsi" w:cstheme="majorHAnsi"/>
          <w:noProof/>
          <w:color w:val="000000" w:themeColor="text1"/>
          <w:spacing w:val="-6"/>
          <w:sz w:val="18"/>
          <w:szCs w:val="18"/>
          <w:lang w:val="fr-FR" w:eastAsia="ja-JP"/>
        </w:rPr>
        <w:t xml:space="preserve">Le N. T., Nguyen A. T., Vu T. K. O., Vu T. H., Tu M., Nguyen P. N. M., Truong X. V, Diep T. L. P, Nguyen T. P. L. (2023). </w:t>
      </w:r>
      <w:r w:rsidRPr="005E6B7C">
        <w:rPr>
          <w:rFonts w:asciiTheme="majorHAnsi" w:eastAsia="Yu Mincho" w:hAnsiTheme="majorHAnsi" w:cstheme="majorHAnsi"/>
          <w:noProof/>
          <w:color w:val="000000" w:themeColor="text1"/>
          <w:spacing w:val="-6"/>
          <w:sz w:val="18"/>
          <w:szCs w:val="18"/>
          <w:lang w:eastAsia="ja-JP"/>
        </w:rPr>
        <w:t xml:space="preserve">Chemical constituents and cytotoxicity of </w:t>
      </w:r>
      <w:r w:rsidRPr="005E6B7C">
        <w:rPr>
          <w:rFonts w:asciiTheme="majorHAnsi" w:eastAsia="Yu Mincho" w:hAnsiTheme="majorHAnsi" w:cstheme="majorHAnsi"/>
          <w:i/>
          <w:noProof/>
          <w:color w:val="000000" w:themeColor="text1"/>
          <w:spacing w:val="-6"/>
          <w:sz w:val="18"/>
          <w:szCs w:val="18"/>
          <w:lang w:eastAsia="ja-JP"/>
        </w:rPr>
        <w:t>Lepidotrigona ventralis</w:t>
      </w:r>
      <w:r w:rsidRPr="005E6B7C">
        <w:rPr>
          <w:rFonts w:asciiTheme="majorHAnsi" w:eastAsia="Yu Mincho" w:hAnsiTheme="majorHAnsi" w:cstheme="majorHAnsi"/>
          <w:noProof/>
          <w:color w:val="000000" w:themeColor="text1"/>
          <w:spacing w:val="-6"/>
          <w:sz w:val="18"/>
          <w:szCs w:val="18"/>
          <w:lang w:eastAsia="ja-JP"/>
        </w:rPr>
        <w:t xml:space="preserve"> propolis. </w:t>
      </w:r>
      <w:r w:rsidRPr="005E6B7C">
        <w:rPr>
          <w:rFonts w:asciiTheme="majorHAnsi" w:eastAsia="Yu Mincho" w:hAnsiTheme="majorHAnsi" w:cstheme="majorHAnsi"/>
          <w:i/>
          <w:iCs/>
          <w:noProof/>
          <w:color w:val="000000" w:themeColor="text1"/>
          <w:spacing w:val="-6"/>
          <w:sz w:val="18"/>
          <w:szCs w:val="18"/>
          <w:lang w:eastAsia="ja-JP"/>
        </w:rPr>
        <w:t>Vietnam Journal of Chemistry</w:t>
      </w:r>
      <w:r w:rsidRPr="005E6B7C">
        <w:rPr>
          <w:rFonts w:asciiTheme="majorHAnsi" w:eastAsia="Yu Mincho" w:hAnsiTheme="majorHAnsi" w:cstheme="majorHAnsi"/>
          <w:noProof/>
          <w:color w:val="000000" w:themeColor="text1"/>
          <w:spacing w:val="-6"/>
          <w:sz w:val="18"/>
          <w:szCs w:val="18"/>
          <w:lang w:eastAsia="ja-JP"/>
        </w:rPr>
        <w:t xml:space="preserve">, 61(1),74-79. </w:t>
      </w:r>
    </w:p>
    <w:p w14:paraId="52CA56AE" w14:textId="77777777" w:rsidR="000B7F16" w:rsidRPr="005E6B7C" w:rsidRDefault="00E049CB" w:rsidP="008C0D47">
      <w:pPr>
        <w:tabs>
          <w:tab w:val="left" w:pos="0"/>
          <w:tab w:val="left" w:pos="270"/>
          <w:tab w:val="left" w:pos="540"/>
          <w:tab w:val="left" w:pos="9270"/>
        </w:tabs>
        <w:jc w:val="both"/>
        <w:rPr>
          <w:rFonts w:asciiTheme="majorHAnsi" w:eastAsia="Yu Mincho" w:hAnsiTheme="majorHAnsi" w:cstheme="majorHAnsi"/>
          <w:b/>
          <w:bCs/>
          <w:i/>
          <w:color w:val="000000" w:themeColor="text1"/>
          <w:sz w:val="2"/>
          <w:szCs w:val="2"/>
          <w:lang w:eastAsia="ja-JP"/>
        </w:rPr>
      </w:pPr>
      <w:r w:rsidRPr="005E6B7C">
        <w:rPr>
          <w:rFonts w:asciiTheme="majorHAnsi" w:eastAsia="Yu Mincho" w:hAnsiTheme="majorHAnsi" w:cstheme="majorHAnsi"/>
          <w:noProof/>
          <w:color w:val="000000" w:themeColor="text1"/>
          <w:sz w:val="18"/>
          <w:szCs w:val="18"/>
          <w:lang w:eastAsia="ja-JP"/>
        </w:rPr>
        <w:fldChar w:fldCharType="end"/>
      </w:r>
      <w:r w:rsidRPr="005E6B7C">
        <w:rPr>
          <w:rFonts w:asciiTheme="majorHAnsi" w:eastAsia="Yu Mincho" w:hAnsiTheme="majorHAnsi" w:cstheme="majorHAnsi"/>
          <w:noProof/>
          <w:color w:val="000000" w:themeColor="text1"/>
          <w:sz w:val="22"/>
          <w:szCs w:val="22"/>
          <w:lang w:eastAsia="ja-JP"/>
        </w:rPr>
        <w:t xml:space="preserve"> </w:t>
      </w:r>
    </w:p>
    <w:p w14:paraId="376C2CB3" w14:textId="3B1A7702"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D15F3A" w:rsidRPr="005E6B7C">
        <w:rPr>
          <w:rFonts w:asciiTheme="majorHAnsi" w:eastAsia="Yu Mincho" w:hAnsiTheme="majorHAnsi" w:cstheme="majorHAnsi"/>
          <w:b/>
          <w:bCs/>
          <w:i/>
          <w:color w:val="000000" w:themeColor="text1"/>
          <w:sz w:val="26"/>
          <w:szCs w:val="26"/>
          <w:lang w:eastAsia="ja-JP"/>
        </w:rPr>
        <w:t xml:space="preserve"> 23 </w:t>
      </w:r>
      <w:r w:rsidR="005A2B3C" w:rsidRPr="005E6B7C">
        <w:rPr>
          <w:rFonts w:asciiTheme="majorHAnsi" w:eastAsia="Yu Mincho" w:hAnsiTheme="majorHAnsi" w:cstheme="majorHAnsi"/>
          <w:b/>
          <w:bCs/>
          <w:i/>
          <w:color w:val="000000" w:themeColor="text1"/>
          <w:sz w:val="26"/>
          <w:szCs w:val="26"/>
          <w:lang w:eastAsia="ja-JP"/>
        </w:rPr>
        <w:t>-</w:t>
      </w:r>
      <w:r w:rsidR="00C8462C" w:rsidRPr="005E6B7C">
        <w:rPr>
          <w:rFonts w:asciiTheme="majorHAnsi" w:eastAsia="Yu Mincho" w:hAnsiTheme="majorHAnsi" w:cstheme="majorHAnsi"/>
          <w:b/>
          <w:bCs/>
          <w:i/>
          <w:color w:val="000000" w:themeColor="text1"/>
          <w:sz w:val="26"/>
          <w:szCs w:val="26"/>
          <w:lang w:eastAsia="ja-JP"/>
        </w:rPr>
        <w:t xml:space="preserve"> 28</w:t>
      </w:r>
      <w:r w:rsidRPr="005E6B7C">
        <w:rPr>
          <w:rFonts w:asciiTheme="majorHAnsi" w:eastAsia="Yu Mincho" w:hAnsiTheme="majorHAnsi" w:cstheme="majorHAnsi"/>
          <w:b/>
          <w:bCs/>
          <w:i/>
          <w:color w:val="000000" w:themeColor="text1"/>
          <w:sz w:val="26"/>
          <w:szCs w:val="26"/>
          <w:lang w:eastAsia="ja-JP"/>
        </w:rPr>
        <w:t>)</w:t>
      </w:r>
    </w:p>
    <w:p w14:paraId="4BFBA08D" w14:textId="77777777" w:rsidR="00367819" w:rsidRPr="005E6B7C" w:rsidRDefault="00367819" w:rsidP="008C0D47">
      <w:pPr>
        <w:tabs>
          <w:tab w:val="left" w:pos="270"/>
          <w:tab w:val="left" w:pos="540"/>
          <w:tab w:val="left" w:pos="9270"/>
        </w:tabs>
        <w:ind w:right="-20"/>
        <w:jc w:val="center"/>
        <w:rPr>
          <w:rFonts w:asciiTheme="majorHAnsi" w:eastAsia="Yu Mincho" w:hAnsiTheme="majorHAnsi" w:cstheme="majorHAnsi"/>
          <w:b/>
          <w:color w:val="000000" w:themeColor="text1"/>
          <w:sz w:val="26"/>
          <w:szCs w:val="26"/>
          <w:lang w:eastAsia="ja-JP"/>
        </w:rPr>
      </w:pPr>
    </w:p>
    <w:p w14:paraId="0F4B0CAE" w14:textId="77777777" w:rsidR="00E049CB"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GLYCOSIDE CONSTITUENTS FROM </w:t>
      </w:r>
      <w:r w:rsidR="00AA07C9" w:rsidRPr="005E6B7C">
        <w:rPr>
          <w:rFonts w:asciiTheme="majorHAnsi" w:eastAsia="Yu Mincho" w:hAnsiTheme="majorHAnsi" w:cstheme="majorHAnsi"/>
          <w:b/>
          <w:bCs/>
          <w:i/>
          <w:iCs/>
          <w:color w:val="000000" w:themeColor="text1"/>
          <w:sz w:val="26"/>
          <w:szCs w:val="26"/>
          <w:lang w:eastAsia="ja-JP"/>
        </w:rPr>
        <w:t xml:space="preserve">ABROMA AUGUSTUM </w:t>
      </w:r>
      <w:r w:rsidRPr="005E6B7C">
        <w:rPr>
          <w:rFonts w:asciiTheme="majorHAnsi" w:eastAsia="Yu Mincho" w:hAnsiTheme="majorHAnsi" w:cstheme="majorHAnsi"/>
          <w:b/>
          <w:color w:val="000000" w:themeColor="text1"/>
          <w:sz w:val="26"/>
          <w:szCs w:val="26"/>
          <w:lang w:eastAsia="ja-JP"/>
        </w:rPr>
        <w:t xml:space="preserve">AND THEIR </w:t>
      </w:r>
      <w:r w:rsidR="00894500" w:rsidRPr="005E6B7C">
        <w:rPr>
          <w:rFonts w:asciiTheme="majorHAnsi" w:eastAsia="Yu Mincho" w:hAnsiTheme="majorHAnsi" w:cstheme="majorHAnsi"/>
          <w:b/>
          <w:i/>
          <w:iCs/>
          <w:color w:val="000000" w:themeColor="text1"/>
          <w:sz w:val="26"/>
          <w:szCs w:val="26"/>
          <w:lang w:eastAsia="ja-JP"/>
        </w:rPr>
        <w:t>IN VITRO</w:t>
      </w:r>
      <w:r w:rsidRPr="005E6B7C">
        <w:rPr>
          <w:rFonts w:asciiTheme="majorHAnsi" w:eastAsia="Yu Mincho" w:hAnsiTheme="majorHAnsi" w:cstheme="majorHAnsi"/>
          <w:b/>
          <w:color w:val="000000" w:themeColor="text1"/>
          <w:sz w:val="26"/>
          <w:szCs w:val="26"/>
          <w:lang w:eastAsia="ja-JP"/>
        </w:rPr>
        <w:t xml:space="preserve"> ANTIPROLIFERATIVE ACTIVITY</w:t>
      </w:r>
    </w:p>
    <w:p w14:paraId="4D321F50" w14:textId="2AE4CBF1" w:rsidR="00E049CB" w:rsidRPr="005E6B7C" w:rsidRDefault="003115FB" w:rsidP="008C0D47">
      <w:pPr>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Ninh Thi Ngoc</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xml:space="preserve">, </w:t>
      </w:r>
      <w:r w:rsidR="00E049CB" w:rsidRPr="005E6B7C">
        <w:rPr>
          <w:rFonts w:asciiTheme="majorHAnsi" w:eastAsia="Yu Mincho" w:hAnsiTheme="majorHAnsi" w:cstheme="majorHAnsi"/>
          <w:b/>
          <w:i/>
          <w:color w:val="000000" w:themeColor="text1"/>
          <w:sz w:val="22"/>
          <w:szCs w:val="22"/>
          <w:lang w:eastAsia="ja-JP"/>
        </w:rPr>
        <w:t>Pham Thi Cham</w:t>
      </w:r>
      <w:r w:rsidR="00E049CB" w:rsidRPr="005E6B7C">
        <w:rPr>
          <w:rFonts w:asciiTheme="majorHAnsi" w:eastAsia="Yu Mincho" w:hAnsiTheme="majorHAnsi" w:cstheme="majorHAnsi"/>
          <w:b/>
          <w:i/>
          <w:color w:val="000000" w:themeColor="text1"/>
          <w:sz w:val="22"/>
          <w:szCs w:val="22"/>
          <w:vertAlign w:val="superscript"/>
          <w:lang w:eastAsia="ja-JP"/>
        </w:rPr>
        <w:t>1</w:t>
      </w:r>
      <w:r w:rsidR="00E049CB" w:rsidRPr="005E6B7C">
        <w:rPr>
          <w:rFonts w:asciiTheme="majorHAnsi" w:eastAsia="Yu Mincho" w:hAnsiTheme="majorHAnsi" w:cstheme="majorHAnsi"/>
          <w:b/>
          <w:i/>
          <w:color w:val="000000" w:themeColor="text1"/>
          <w:sz w:val="22"/>
          <w:szCs w:val="22"/>
          <w:lang w:eastAsia="ja-JP"/>
        </w:rPr>
        <w:t>, Le Thi Vien</w:t>
      </w:r>
      <w:r w:rsidR="00E049CB" w:rsidRPr="005E6B7C">
        <w:rPr>
          <w:rFonts w:asciiTheme="majorHAnsi" w:eastAsia="Yu Mincho" w:hAnsiTheme="majorHAnsi" w:cstheme="majorHAnsi"/>
          <w:b/>
          <w:i/>
          <w:color w:val="000000" w:themeColor="text1"/>
          <w:sz w:val="22"/>
          <w:szCs w:val="22"/>
          <w:vertAlign w:val="superscript"/>
          <w:lang w:eastAsia="ja-JP"/>
        </w:rPr>
        <w:t>1</w:t>
      </w:r>
      <w:r w:rsidR="00E049CB" w:rsidRPr="005E6B7C">
        <w:rPr>
          <w:rFonts w:asciiTheme="majorHAnsi" w:eastAsia="Yu Mincho" w:hAnsiTheme="majorHAnsi" w:cstheme="majorHAnsi"/>
          <w:b/>
          <w:i/>
          <w:color w:val="000000" w:themeColor="text1"/>
          <w:sz w:val="22"/>
          <w:szCs w:val="22"/>
          <w:lang w:eastAsia="ja-JP"/>
        </w:rPr>
        <w:t>, Tran Thi Hong Hanh</w:t>
      </w:r>
      <w:r w:rsidR="00E049CB" w:rsidRPr="005E6B7C">
        <w:rPr>
          <w:rFonts w:asciiTheme="majorHAnsi" w:eastAsia="Yu Mincho" w:hAnsiTheme="majorHAnsi" w:cstheme="majorHAnsi"/>
          <w:b/>
          <w:i/>
          <w:color w:val="000000" w:themeColor="text1"/>
          <w:sz w:val="22"/>
          <w:szCs w:val="22"/>
          <w:vertAlign w:val="superscript"/>
          <w:lang w:eastAsia="ja-JP"/>
        </w:rPr>
        <w:t>1</w:t>
      </w:r>
      <w:r w:rsidR="00E049CB" w:rsidRPr="005E6B7C">
        <w:rPr>
          <w:rFonts w:asciiTheme="majorHAnsi" w:eastAsia="Yu Mincho" w:hAnsiTheme="majorHAnsi" w:cstheme="majorHAnsi"/>
          <w:b/>
          <w:i/>
          <w:color w:val="000000" w:themeColor="text1"/>
          <w:sz w:val="22"/>
          <w:szCs w:val="22"/>
          <w:lang w:eastAsia="ja-JP"/>
        </w:rPr>
        <w:t>,</w:t>
      </w:r>
    </w:p>
    <w:p w14:paraId="16E8316F" w14:textId="77777777" w:rsidR="00E049CB" w:rsidRPr="005E6B7C" w:rsidRDefault="00E049CB" w:rsidP="008C0D47">
      <w:pPr>
        <w:ind w:right="-20"/>
        <w:jc w:val="center"/>
        <w:rPr>
          <w:rFonts w:asciiTheme="majorHAnsi" w:eastAsia="Yu Mincho" w:hAnsiTheme="majorHAnsi" w:cstheme="majorHAnsi"/>
          <w:b/>
          <w:i/>
          <w:color w:val="000000" w:themeColor="text1"/>
          <w:sz w:val="22"/>
          <w:szCs w:val="22"/>
          <w:vertAlign w:val="superscript"/>
          <w:lang w:eastAsia="ja-JP"/>
        </w:rPr>
      </w:pPr>
      <w:r w:rsidRPr="005E6B7C">
        <w:rPr>
          <w:rFonts w:asciiTheme="majorHAnsi" w:eastAsia="Yu Mincho" w:hAnsiTheme="majorHAnsi" w:cstheme="majorHAnsi"/>
          <w:b/>
          <w:i/>
          <w:color w:val="000000" w:themeColor="text1"/>
          <w:sz w:val="22"/>
          <w:szCs w:val="22"/>
          <w:lang w:eastAsia="ja-JP"/>
        </w:rPr>
        <w:t>Do Thi Thao</w:t>
      </w:r>
      <w:r w:rsidRPr="005E6B7C">
        <w:rPr>
          <w:rFonts w:asciiTheme="majorHAnsi" w:eastAsia="Yu Mincho" w:hAnsiTheme="majorHAnsi" w:cstheme="majorHAnsi"/>
          <w:b/>
          <w:i/>
          <w:color w:val="000000" w:themeColor="text1"/>
          <w:sz w:val="22"/>
          <w:szCs w:val="22"/>
          <w:vertAlign w:val="superscript"/>
          <w:lang w:eastAsia="ja-JP"/>
        </w:rPr>
        <w:t>2</w:t>
      </w:r>
      <w:r w:rsidRPr="005E6B7C">
        <w:rPr>
          <w:rFonts w:asciiTheme="majorHAnsi" w:eastAsia="Yu Mincho" w:hAnsiTheme="majorHAnsi" w:cstheme="majorHAnsi"/>
          <w:b/>
          <w:i/>
          <w:color w:val="000000" w:themeColor="text1"/>
          <w:sz w:val="22"/>
          <w:szCs w:val="22"/>
          <w:lang w:eastAsia="ja-JP"/>
        </w:rPr>
        <w:t>, Nguyen Xuan Cuong</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Nguyen Hoai Nam</w:t>
      </w:r>
      <w:r w:rsidRPr="005E6B7C">
        <w:rPr>
          <w:rFonts w:asciiTheme="majorHAnsi" w:eastAsia="Yu Mincho" w:hAnsiTheme="majorHAnsi" w:cstheme="majorHAnsi"/>
          <w:b/>
          <w:i/>
          <w:color w:val="000000" w:themeColor="text1"/>
          <w:sz w:val="22"/>
          <w:szCs w:val="22"/>
          <w:vertAlign w:val="superscript"/>
          <w:lang w:eastAsia="ja-JP"/>
        </w:rPr>
        <w:t>1</w:t>
      </w:r>
    </w:p>
    <w:p w14:paraId="64BD1BFB" w14:textId="77777777" w:rsidR="00E049CB" w:rsidRPr="005E6B7C" w:rsidRDefault="00E049CB" w:rsidP="008C0D47">
      <w:pPr>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1</w:t>
      </w:r>
      <w:r w:rsidRPr="005E6B7C">
        <w:rPr>
          <w:rFonts w:asciiTheme="majorHAnsi" w:eastAsia="Yu Mincho" w:hAnsiTheme="majorHAnsi" w:cstheme="majorHAnsi"/>
          <w:i/>
          <w:color w:val="000000" w:themeColor="text1"/>
          <w:sz w:val="22"/>
          <w:szCs w:val="22"/>
          <w:lang w:eastAsia="ja-JP"/>
        </w:rPr>
        <w:t>Institute of Chemistry, Vietnam Academy of Science and Technology (VAST)</w:t>
      </w:r>
      <w:r w:rsidR="00AA07C9" w:rsidRPr="005E6B7C">
        <w:rPr>
          <w:rFonts w:asciiTheme="majorHAnsi" w:eastAsia="Yu Mincho" w:hAnsiTheme="majorHAnsi" w:cstheme="majorHAnsi"/>
          <w:i/>
          <w:color w:val="000000" w:themeColor="text1"/>
          <w:sz w:val="22"/>
          <w:szCs w:val="22"/>
          <w:lang w:eastAsia="ja-JP"/>
        </w:rPr>
        <w:t>, Hanoi, Vietnam</w:t>
      </w:r>
      <w:r w:rsidR="00C247FE" w:rsidRPr="005E6B7C">
        <w:rPr>
          <w:rFonts w:asciiTheme="majorHAnsi" w:eastAsia="Yu Mincho" w:hAnsiTheme="majorHAnsi" w:cstheme="majorHAnsi"/>
          <w:i/>
          <w:color w:val="000000" w:themeColor="text1"/>
          <w:sz w:val="22"/>
          <w:szCs w:val="22"/>
          <w:lang w:eastAsia="ja-JP"/>
        </w:rPr>
        <w:t>;</w:t>
      </w:r>
    </w:p>
    <w:p w14:paraId="45E74FEA" w14:textId="77777777" w:rsidR="00E049CB" w:rsidRPr="005E6B7C" w:rsidRDefault="00E049CB" w:rsidP="008C0D47">
      <w:pPr>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Institute of Biology, VAST</w:t>
      </w:r>
      <w:r w:rsidR="00AA07C9" w:rsidRPr="005E6B7C">
        <w:rPr>
          <w:rFonts w:asciiTheme="majorHAnsi" w:eastAsia="Yu Mincho" w:hAnsiTheme="majorHAnsi" w:cstheme="majorHAnsi"/>
          <w:i/>
          <w:color w:val="000000" w:themeColor="text1"/>
          <w:sz w:val="22"/>
          <w:szCs w:val="22"/>
          <w:lang w:eastAsia="ja-JP"/>
        </w:rPr>
        <w:t>, Hanoi, Vie</w:t>
      </w:r>
      <w:r w:rsidR="0044085B" w:rsidRPr="005E6B7C">
        <w:rPr>
          <w:rFonts w:asciiTheme="majorHAnsi" w:eastAsia="Yu Mincho" w:hAnsiTheme="majorHAnsi" w:cstheme="majorHAnsi"/>
          <w:i/>
          <w:color w:val="000000" w:themeColor="text1"/>
          <w:sz w:val="22"/>
          <w:szCs w:val="22"/>
          <w:lang w:eastAsia="ja-JP"/>
        </w:rPr>
        <w:t>tn</w:t>
      </w:r>
      <w:r w:rsidR="00AA07C9" w:rsidRPr="005E6B7C">
        <w:rPr>
          <w:rFonts w:asciiTheme="majorHAnsi" w:eastAsia="Yu Mincho" w:hAnsiTheme="majorHAnsi" w:cstheme="majorHAnsi"/>
          <w:i/>
          <w:color w:val="000000" w:themeColor="text1"/>
          <w:sz w:val="22"/>
          <w:szCs w:val="22"/>
          <w:lang w:eastAsia="ja-JP"/>
        </w:rPr>
        <w:t>am</w:t>
      </w:r>
    </w:p>
    <w:p w14:paraId="55F194C8" w14:textId="77777777" w:rsidR="00E049CB" w:rsidRPr="005E6B7C" w:rsidRDefault="00C247FE" w:rsidP="008C0D47">
      <w:pPr>
        <w:ind w:right="-20"/>
        <w:jc w:val="center"/>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*Corresponding author: </w:t>
      </w:r>
      <w:r w:rsidR="00E049CB" w:rsidRPr="005E6B7C">
        <w:rPr>
          <w:rFonts w:asciiTheme="majorHAnsi" w:eastAsia="Yu Mincho" w:hAnsiTheme="majorHAnsi" w:cstheme="majorHAnsi"/>
          <w:bCs/>
          <w:color w:val="000000" w:themeColor="text1"/>
          <w:sz w:val="22"/>
          <w:szCs w:val="22"/>
          <w:lang w:eastAsia="ja-JP"/>
        </w:rPr>
        <w:t>cuongnx@ich.vast.vn</w:t>
      </w:r>
    </w:p>
    <w:p w14:paraId="2FE58F27" w14:textId="59D7922F" w:rsidR="00221F08" w:rsidRPr="005E6B7C" w:rsidRDefault="00221F08" w:rsidP="008C0D47">
      <w:pPr>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Received January 13</w:t>
      </w:r>
      <w:r w:rsidRPr="005E6B7C">
        <w:rPr>
          <w:rFonts w:asciiTheme="majorHAnsi" w:eastAsia="Yu Mincho" w:hAnsiTheme="majorHAnsi" w:cstheme="majorHAnsi"/>
          <w:color w:val="000000" w:themeColor="text1"/>
          <w:sz w:val="22"/>
          <w:szCs w:val="22"/>
          <w:vertAlign w:val="superscript"/>
          <w:lang w:eastAsia="ja-JP"/>
        </w:rPr>
        <w:t>th</w:t>
      </w:r>
      <w:r w:rsidRPr="005E6B7C">
        <w:rPr>
          <w:rFonts w:asciiTheme="majorHAnsi" w:eastAsia="Yu Mincho" w:hAnsiTheme="majorHAnsi" w:cstheme="majorHAnsi"/>
          <w:color w:val="000000" w:themeColor="text1"/>
          <w:sz w:val="22"/>
          <w:szCs w:val="22"/>
          <w:lang w:eastAsia="ja-JP"/>
        </w:rPr>
        <w:t>, 202</w:t>
      </w:r>
      <w:r w:rsidR="003115FB" w:rsidRPr="005E6B7C">
        <w:rPr>
          <w:rFonts w:asciiTheme="majorHAnsi" w:eastAsia="Yu Mincho" w:hAnsiTheme="majorHAnsi" w:cstheme="majorHAnsi"/>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Accepted March 4</w:t>
      </w:r>
      <w:r w:rsidRPr="005E6B7C">
        <w:rPr>
          <w:rFonts w:asciiTheme="majorHAnsi" w:eastAsia="Yu Mincho" w:hAnsiTheme="majorHAnsi" w:cstheme="majorHAnsi"/>
          <w:color w:val="000000" w:themeColor="text1"/>
          <w:sz w:val="22"/>
          <w:szCs w:val="22"/>
          <w:vertAlign w:val="superscript"/>
          <w:lang w:eastAsia="ja-JP"/>
        </w:rPr>
        <w:t>th</w:t>
      </w:r>
      <w:r w:rsidRPr="005E6B7C">
        <w:rPr>
          <w:rFonts w:asciiTheme="majorHAnsi" w:eastAsia="Yu Mincho" w:hAnsiTheme="majorHAnsi" w:cstheme="majorHAnsi"/>
          <w:color w:val="000000" w:themeColor="text1"/>
          <w:sz w:val="22"/>
          <w:szCs w:val="22"/>
          <w:lang w:eastAsia="ja-JP"/>
        </w:rPr>
        <w:t>, 2026</w:t>
      </w:r>
    </w:p>
    <w:p w14:paraId="14B1A47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7DFFF04D" w14:textId="1E89E9D3" w:rsidR="00E049CB" w:rsidRPr="005E6B7C" w:rsidRDefault="00E049CB" w:rsidP="008C0D47">
      <w:pPr>
        <w:tabs>
          <w:tab w:val="left" w:pos="9270"/>
        </w:tabs>
        <w:ind w:right="-20" w:firstLine="284"/>
        <w:jc w:val="both"/>
        <w:rPr>
          <w:rFonts w:asciiTheme="majorHAnsi" w:eastAsia="Yu Mincho" w:hAnsiTheme="majorHAnsi" w:cstheme="majorHAnsi"/>
          <w:bCs/>
          <w:iCs/>
          <w:color w:val="000000" w:themeColor="text1"/>
          <w:sz w:val="18"/>
          <w:szCs w:val="18"/>
          <w:lang w:eastAsia="ja-JP"/>
        </w:rPr>
      </w:pPr>
      <w:r w:rsidRPr="005E6B7C">
        <w:rPr>
          <w:rFonts w:asciiTheme="majorHAnsi" w:eastAsia="Yu Mincho" w:hAnsiTheme="majorHAnsi" w:cstheme="majorHAnsi"/>
          <w:bCs/>
          <w:iCs/>
          <w:color w:val="000000" w:themeColor="text1"/>
          <w:sz w:val="18"/>
          <w:szCs w:val="18"/>
          <w:lang w:eastAsia="ja-JP"/>
        </w:rPr>
        <w:t xml:space="preserve">Using combined chromatographic experiments, </w:t>
      </w:r>
      <w:r w:rsidRPr="005E6B7C">
        <w:rPr>
          <w:rFonts w:asciiTheme="majorHAnsi" w:eastAsia="Yu Mincho" w:hAnsiTheme="majorHAnsi" w:cstheme="majorHAnsi"/>
          <w:color w:val="000000" w:themeColor="text1"/>
          <w:sz w:val="18"/>
          <w:szCs w:val="18"/>
          <w:lang w:eastAsia="ja-JP"/>
        </w:rPr>
        <w:t xml:space="preserve">five glycoside derivatives, </w:t>
      </w:r>
      <w:r w:rsidRPr="005E6B7C">
        <w:rPr>
          <w:rFonts w:asciiTheme="majorHAnsi" w:eastAsia="Yu Mincho" w:hAnsiTheme="majorHAnsi" w:cstheme="majorHAnsi"/>
          <w:bCs/>
          <w:color w:val="000000" w:themeColor="text1"/>
          <w:sz w:val="18"/>
          <w:szCs w:val="18"/>
          <w:lang w:eastAsia="ja-JP"/>
        </w:rPr>
        <w:t>1-allyl-3-methoxy-4-[apiofuranosyl(1</w:t>
      </w:r>
      <w:r w:rsidRPr="005E6B7C">
        <w:rPr>
          <w:rFonts w:asciiTheme="majorHAnsi" w:eastAsia="Yu Mincho" w:hAnsiTheme="majorHAnsi" w:cstheme="majorHAnsi"/>
          <w:bCs/>
          <w:color w:val="000000" w:themeColor="text1"/>
          <w:sz w:val="18"/>
          <w:szCs w:val="18"/>
          <w:lang w:eastAsia="ja-JP"/>
        </w:rPr>
        <w:sym w:font="Symbol" w:char="F0AE"/>
      </w:r>
      <w:r w:rsidRPr="005E6B7C">
        <w:rPr>
          <w:rFonts w:asciiTheme="majorHAnsi" w:eastAsia="Yu Mincho" w:hAnsiTheme="majorHAnsi" w:cstheme="majorHAnsi"/>
          <w:bCs/>
          <w:color w:val="000000" w:themeColor="text1"/>
          <w:sz w:val="18"/>
          <w:szCs w:val="18"/>
          <w:lang w:eastAsia="ja-JP"/>
        </w:rPr>
        <w:t>2)-glucopyranosyloxybenzene]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phenylethyl</w:t>
      </w:r>
      <w:r w:rsidR="007B291D"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rutinoside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kaempferol 3-</w:t>
      </w:r>
      <w:r w:rsidRPr="005E6B7C">
        <w:rPr>
          <w:rFonts w:asciiTheme="majorHAnsi" w:eastAsia="Yu Mincho" w:hAnsiTheme="majorHAnsi" w:cstheme="majorHAnsi"/>
          <w:bCs/>
          <w:i/>
          <w:iCs/>
          <w:color w:val="000000" w:themeColor="text1"/>
          <w:sz w:val="18"/>
          <w:szCs w:val="18"/>
          <w:lang w:eastAsia="ja-JP"/>
        </w:rPr>
        <w:t>O</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color w:val="000000" w:themeColor="text1"/>
          <w:sz w:val="18"/>
          <w:szCs w:val="18"/>
          <w:lang w:eastAsia="ja-JP"/>
        </w:rPr>
        <w:t>-D-glucopyranosyl-(2</w:t>
      </w:r>
      <w:r w:rsidRPr="005E6B7C">
        <w:rPr>
          <w:rFonts w:asciiTheme="majorHAnsi" w:eastAsia="Yu Mincho" w:hAnsiTheme="majorHAnsi" w:cstheme="majorHAnsi"/>
          <w:bCs/>
          <w:color w:val="000000" w:themeColor="text1"/>
          <w:sz w:val="18"/>
          <w:szCs w:val="18"/>
          <w:lang w:eastAsia="ja-JP"/>
        </w:rPr>
        <w:sym w:font="Symbol" w:char="F0AE"/>
      </w:r>
      <w:r w:rsidRPr="005E6B7C">
        <w:rPr>
          <w:rFonts w:asciiTheme="majorHAnsi" w:eastAsia="Yu Mincho" w:hAnsiTheme="majorHAnsi" w:cstheme="majorHAnsi"/>
          <w:bCs/>
          <w:color w:val="000000" w:themeColor="text1"/>
          <w:sz w:val="18"/>
          <w:szCs w:val="18"/>
          <w:lang w:eastAsia="ja-JP"/>
        </w:rPr>
        <w:t>1)-</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color w:val="000000" w:themeColor="text1"/>
          <w:sz w:val="18"/>
          <w:szCs w:val="18"/>
          <w:lang w:eastAsia="ja-JP"/>
        </w:rPr>
        <w:t>-D-xylopyranoside (</w:t>
      </w:r>
      <w:r w:rsidRPr="005E6B7C">
        <w:rPr>
          <w:rFonts w:asciiTheme="majorHAnsi" w:eastAsia="Yu Mincho" w:hAnsiTheme="majorHAnsi" w:cstheme="majorHAnsi"/>
          <w:b/>
          <w:color w:val="000000" w:themeColor="text1"/>
          <w:sz w:val="18"/>
          <w:szCs w:val="18"/>
          <w:lang w:eastAsia="ja-JP"/>
        </w:rPr>
        <w:t>3</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pinoresinol 4-</w:t>
      </w:r>
      <w:r w:rsidRPr="005E6B7C">
        <w:rPr>
          <w:rFonts w:asciiTheme="majorHAnsi" w:eastAsia="Yu Mincho" w:hAnsiTheme="majorHAnsi" w:cstheme="majorHAnsi"/>
          <w:bCs/>
          <w:i/>
          <w:iCs/>
          <w:color w:val="000000" w:themeColor="text1"/>
          <w:sz w:val="18"/>
          <w:szCs w:val="18"/>
          <w:lang w:eastAsia="ja-JP"/>
        </w:rPr>
        <w:t>O</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i/>
          <w:iCs/>
          <w:color w:val="000000" w:themeColor="text1"/>
          <w:sz w:val="18"/>
          <w:szCs w:val="18"/>
          <w:lang w:eastAsia="ja-JP"/>
        </w:rPr>
        <w:sym w:font="Symbol" w:char="F061"/>
      </w:r>
      <w:r w:rsidRPr="005E6B7C">
        <w:rPr>
          <w:rFonts w:asciiTheme="majorHAnsi" w:eastAsia="Yu Mincho" w:hAnsiTheme="majorHAnsi" w:cstheme="majorHAnsi"/>
          <w:bCs/>
          <w:color w:val="000000" w:themeColor="text1"/>
          <w:sz w:val="18"/>
          <w:szCs w:val="18"/>
          <w:lang w:eastAsia="ja-JP"/>
        </w:rPr>
        <w:t>-L-rhamnopyranosyl (1</w:t>
      </w:r>
      <w:r w:rsidRPr="005E6B7C">
        <w:rPr>
          <w:rFonts w:asciiTheme="majorHAnsi" w:eastAsia="Yu Mincho" w:hAnsiTheme="majorHAnsi" w:cstheme="majorHAnsi"/>
          <w:bCs/>
          <w:color w:val="000000" w:themeColor="text1"/>
          <w:sz w:val="18"/>
          <w:szCs w:val="18"/>
          <w:lang w:eastAsia="ja-JP"/>
        </w:rPr>
        <w:sym w:font="Symbol" w:char="F0AE"/>
      </w:r>
      <w:r w:rsidRPr="005E6B7C">
        <w:rPr>
          <w:rFonts w:asciiTheme="majorHAnsi" w:eastAsia="Yu Mincho" w:hAnsiTheme="majorHAnsi" w:cstheme="majorHAnsi"/>
          <w:bCs/>
          <w:color w:val="000000" w:themeColor="text1"/>
          <w:sz w:val="18"/>
          <w:szCs w:val="18"/>
          <w:lang w:eastAsia="ja-JP"/>
        </w:rPr>
        <w:t>2)-</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color w:val="000000" w:themeColor="text1"/>
          <w:sz w:val="18"/>
          <w:szCs w:val="18"/>
          <w:lang w:eastAsia="ja-JP"/>
        </w:rPr>
        <w:t>-D-glucopyranoside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bCs/>
          <w:color w:val="000000" w:themeColor="text1"/>
          <w:sz w:val="18"/>
          <w:szCs w:val="18"/>
          <w:lang w:eastAsia="ja-JP"/>
        </w:rPr>
        <w:t>), and (7</w:t>
      </w:r>
      <w:r w:rsidRPr="005E6B7C">
        <w:rPr>
          <w:rFonts w:asciiTheme="majorHAnsi" w:eastAsia="Yu Mincho" w:hAnsiTheme="majorHAnsi" w:cstheme="majorHAnsi"/>
          <w:bCs/>
          <w:i/>
          <w:iCs/>
          <w:color w:val="000000" w:themeColor="text1"/>
          <w:sz w:val="18"/>
          <w:szCs w:val="18"/>
          <w:lang w:eastAsia="ja-JP"/>
        </w:rPr>
        <w:t>S*</w:t>
      </w:r>
      <w:r w:rsidRPr="005E6B7C">
        <w:rPr>
          <w:rFonts w:asciiTheme="majorHAnsi" w:eastAsia="Yu Mincho" w:hAnsiTheme="majorHAnsi" w:cstheme="majorHAnsi"/>
          <w:bCs/>
          <w:color w:val="000000" w:themeColor="text1"/>
          <w:sz w:val="18"/>
          <w:szCs w:val="18"/>
          <w:lang w:eastAsia="ja-JP"/>
        </w:rPr>
        <w:t>,8</w:t>
      </w:r>
      <w:r w:rsidRPr="005E6B7C">
        <w:rPr>
          <w:rFonts w:asciiTheme="majorHAnsi" w:eastAsia="Yu Mincho" w:hAnsiTheme="majorHAnsi" w:cstheme="majorHAnsi"/>
          <w:bCs/>
          <w:i/>
          <w:iCs/>
          <w:color w:val="000000" w:themeColor="text1"/>
          <w:sz w:val="18"/>
          <w:szCs w:val="18"/>
          <w:lang w:eastAsia="ja-JP"/>
        </w:rPr>
        <w:t>R*</w:t>
      </w:r>
      <w:r w:rsidRPr="005E6B7C">
        <w:rPr>
          <w:rFonts w:asciiTheme="majorHAnsi" w:eastAsia="Yu Mincho" w:hAnsiTheme="majorHAnsi" w:cstheme="majorHAnsi"/>
          <w:bCs/>
          <w:color w:val="000000" w:themeColor="text1"/>
          <w:sz w:val="18"/>
          <w:szCs w:val="18"/>
          <w:lang w:eastAsia="ja-JP"/>
        </w:rPr>
        <w:t>)-urolignoside</w:t>
      </w:r>
      <w:r w:rsidRPr="005E6B7C">
        <w:rPr>
          <w:rFonts w:asciiTheme="majorHAnsi" w:eastAsia="Yu Mincho" w:hAnsiTheme="majorHAnsi" w:cstheme="majorHAnsi"/>
          <w:bCs/>
          <w:iCs/>
          <w:color w:val="000000" w:themeColor="text1"/>
          <w:sz w:val="18"/>
          <w:szCs w:val="18"/>
          <w:lang w:eastAsia="ja-JP"/>
        </w:rPr>
        <w:t xml:space="preserve"> (</w:t>
      </w:r>
      <w:r w:rsidRPr="005E6B7C">
        <w:rPr>
          <w:rFonts w:asciiTheme="majorHAnsi" w:eastAsia="Yu Mincho" w:hAnsiTheme="majorHAnsi" w:cstheme="majorHAnsi"/>
          <w:b/>
          <w:iCs/>
          <w:color w:val="000000" w:themeColor="text1"/>
          <w:sz w:val="18"/>
          <w:szCs w:val="18"/>
          <w:lang w:eastAsia="ja-JP"/>
        </w:rPr>
        <w:t>5</w:t>
      </w:r>
      <w:r w:rsidRPr="005E6B7C">
        <w:rPr>
          <w:rFonts w:asciiTheme="majorHAnsi" w:eastAsia="Yu Mincho" w:hAnsiTheme="majorHAnsi" w:cstheme="majorHAnsi"/>
          <w:bCs/>
          <w:iCs/>
          <w:color w:val="000000" w:themeColor="text1"/>
          <w:sz w:val="18"/>
          <w:szCs w:val="18"/>
          <w:lang w:eastAsia="ja-JP"/>
        </w:rPr>
        <w:t xml:space="preserve">), were isolated from the methanolic extract of </w:t>
      </w:r>
      <w:r w:rsidRPr="005E6B7C">
        <w:rPr>
          <w:rFonts w:asciiTheme="majorHAnsi" w:eastAsia="Yu Mincho" w:hAnsiTheme="majorHAnsi" w:cstheme="majorHAnsi"/>
          <w:i/>
          <w:iCs/>
          <w:color w:val="000000" w:themeColor="text1"/>
          <w:sz w:val="18"/>
          <w:szCs w:val="18"/>
          <w:lang w:eastAsia="ja-JP"/>
        </w:rPr>
        <w:t>Abroma augustum</w:t>
      </w:r>
      <w:r w:rsidRPr="005E6B7C">
        <w:rPr>
          <w:rFonts w:asciiTheme="majorHAnsi" w:eastAsia="Yu Mincho" w:hAnsiTheme="majorHAnsi" w:cstheme="majorHAnsi"/>
          <w:color w:val="000000" w:themeColor="text1"/>
          <w:sz w:val="18"/>
          <w:szCs w:val="18"/>
          <w:lang w:eastAsia="ja-JP"/>
        </w:rPr>
        <w:t xml:space="preserve"> (L.) L. f. (</w:t>
      </w:r>
      <w:r w:rsidRPr="005E6B7C">
        <w:rPr>
          <w:rFonts w:asciiTheme="majorHAnsi" w:eastAsia="Yu Mincho" w:hAnsiTheme="majorHAnsi" w:cstheme="majorHAnsi"/>
          <w:iCs/>
          <w:color w:val="000000" w:themeColor="text1"/>
          <w:sz w:val="18"/>
          <w:szCs w:val="18"/>
          <w:lang w:eastAsia="ja-JP"/>
        </w:rPr>
        <w:t>Malvaceae</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Cs/>
          <w:iCs/>
          <w:color w:val="000000" w:themeColor="text1"/>
          <w:sz w:val="18"/>
          <w:szCs w:val="18"/>
          <w:lang w:eastAsia="ja-JP"/>
        </w:rPr>
        <w:t>. Their chemical structures were elucidated on the basis of the 1D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 xml:space="preserve">H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C NMR</w:t>
      </w:r>
      <w:r w:rsidRPr="005E6B7C">
        <w:rPr>
          <w:rFonts w:asciiTheme="majorHAnsi" w:eastAsia="Yu Mincho" w:hAnsiTheme="majorHAnsi" w:cstheme="majorHAnsi"/>
          <w:bCs/>
          <w:iCs/>
          <w:color w:val="000000" w:themeColor="text1"/>
          <w:sz w:val="18"/>
          <w:szCs w:val="18"/>
          <w:lang w:eastAsia="ja-JP"/>
        </w:rPr>
        <w:t>) and 2D (</w:t>
      </w:r>
      <w:r w:rsidRPr="005E6B7C">
        <w:rPr>
          <w:rFonts w:asciiTheme="majorHAnsi" w:eastAsia="Yu Mincho" w:hAnsiTheme="majorHAnsi" w:cstheme="majorHAnsi"/>
          <w:color w:val="000000" w:themeColor="text1"/>
          <w:sz w:val="18"/>
          <w:szCs w:val="18"/>
          <w:lang w:eastAsia="ja-JP"/>
        </w:rPr>
        <w:t>HSQC and HMBC</w:t>
      </w:r>
      <w:r w:rsidRPr="005E6B7C">
        <w:rPr>
          <w:rFonts w:asciiTheme="majorHAnsi" w:eastAsia="Yu Mincho" w:hAnsiTheme="majorHAnsi" w:cstheme="majorHAnsi"/>
          <w:bCs/>
          <w:iCs/>
          <w:color w:val="000000" w:themeColor="text1"/>
          <w:sz w:val="18"/>
          <w:szCs w:val="18"/>
          <w:lang w:eastAsia="ja-JP"/>
        </w:rPr>
        <w:t xml:space="preserve">) NMR spectroscopic data in comparison with those published. This is the first report of compounds </w:t>
      </w:r>
      <w:r w:rsidRPr="005E6B7C">
        <w:rPr>
          <w:rFonts w:asciiTheme="majorHAnsi" w:eastAsia="Yu Mincho" w:hAnsiTheme="majorHAnsi" w:cstheme="majorHAnsi"/>
          <w:b/>
          <w:iCs/>
          <w:color w:val="000000" w:themeColor="text1"/>
          <w:sz w:val="18"/>
          <w:szCs w:val="18"/>
          <w:lang w:eastAsia="ja-JP"/>
        </w:rPr>
        <w:t>1</w:t>
      </w:r>
      <w:r w:rsidRPr="005E6B7C">
        <w:rPr>
          <w:rFonts w:asciiTheme="majorHAnsi" w:eastAsia="Yu Mincho" w:hAnsiTheme="majorHAnsi" w:cstheme="majorHAnsi"/>
          <w:bCs/>
          <w:iCs/>
          <w:color w:val="000000" w:themeColor="text1"/>
          <w:sz w:val="18"/>
          <w:szCs w:val="18"/>
          <w:lang w:eastAsia="ja-JP"/>
        </w:rPr>
        <w:sym w:font="Symbol" w:char="F02D"/>
      </w:r>
      <w:r w:rsidRPr="005E6B7C">
        <w:rPr>
          <w:rFonts w:asciiTheme="majorHAnsi" w:eastAsia="Yu Mincho" w:hAnsiTheme="majorHAnsi" w:cstheme="majorHAnsi"/>
          <w:b/>
          <w:iCs/>
          <w:color w:val="000000" w:themeColor="text1"/>
          <w:sz w:val="18"/>
          <w:szCs w:val="18"/>
          <w:lang w:eastAsia="ja-JP"/>
        </w:rPr>
        <w:t>5</w:t>
      </w:r>
      <w:r w:rsidRPr="005E6B7C">
        <w:rPr>
          <w:rFonts w:asciiTheme="majorHAnsi" w:eastAsia="Yu Mincho" w:hAnsiTheme="majorHAnsi" w:cstheme="majorHAnsi"/>
          <w:bCs/>
          <w:iCs/>
          <w:color w:val="000000" w:themeColor="text1"/>
          <w:sz w:val="18"/>
          <w:szCs w:val="18"/>
          <w:lang w:eastAsia="ja-JP"/>
        </w:rPr>
        <w:t xml:space="preserve"> from this species. In addition, compounds </w:t>
      </w:r>
      <w:r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bCs/>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Cs/>
          <w:iCs/>
          <w:color w:val="000000" w:themeColor="text1"/>
          <w:sz w:val="18"/>
          <w:szCs w:val="18"/>
          <w:lang w:eastAsia="ja-JP"/>
        </w:rPr>
        <w:t xml:space="preserve">exhibited moderate to weak </w:t>
      </w:r>
      <w:r w:rsidRPr="005E6B7C">
        <w:rPr>
          <w:rFonts w:asciiTheme="majorHAnsi" w:eastAsia="Yu Mincho" w:hAnsiTheme="majorHAnsi" w:cstheme="majorHAnsi"/>
          <w:color w:val="000000" w:themeColor="text1"/>
          <w:sz w:val="18"/>
          <w:szCs w:val="18"/>
          <w:lang w:eastAsia="ja-JP"/>
        </w:rPr>
        <w:t>antiproliferative</w:t>
      </w:r>
      <w:r w:rsidRPr="005E6B7C">
        <w:rPr>
          <w:rFonts w:asciiTheme="majorHAnsi" w:eastAsia="Yu Mincho" w:hAnsiTheme="majorHAnsi" w:cstheme="majorHAnsi"/>
          <w:bCs/>
          <w:iCs/>
          <w:color w:val="000000" w:themeColor="text1"/>
          <w:sz w:val="18"/>
          <w:szCs w:val="18"/>
          <w:lang w:eastAsia="ja-JP"/>
        </w:rPr>
        <w:t xml:space="preserve"> activity against three human cancer cell lines (</w:t>
      </w:r>
      <w:r w:rsidRPr="005E6B7C">
        <w:rPr>
          <w:rFonts w:asciiTheme="majorHAnsi" w:eastAsia="Yu Mincho" w:hAnsiTheme="majorHAnsi" w:cstheme="majorHAnsi"/>
          <w:bCs/>
          <w:color w:val="000000" w:themeColor="text1"/>
          <w:sz w:val="18"/>
          <w:szCs w:val="18"/>
          <w:lang w:eastAsia="ja-JP"/>
        </w:rPr>
        <w:t>MCF</w:t>
      </w:r>
      <w:r w:rsidR="00FB7B36" w:rsidRPr="005E6B7C">
        <w:rPr>
          <w:rFonts w:asciiTheme="majorHAnsi" w:eastAsia="Yu Mincho" w:hAnsiTheme="majorHAnsi" w:cstheme="majorHAnsi"/>
          <w:bCs/>
          <w:color w:val="000000" w:themeColor="text1"/>
          <w:sz w:val="18"/>
          <w:szCs w:val="18"/>
          <w:lang w:val="vi-VN" w:eastAsia="ja-JP"/>
        </w:rPr>
        <w:t>-</w:t>
      </w:r>
      <w:r w:rsidRPr="005E6B7C">
        <w:rPr>
          <w:rFonts w:asciiTheme="majorHAnsi" w:eastAsia="Yu Mincho" w:hAnsiTheme="majorHAnsi" w:cstheme="majorHAnsi"/>
          <w:bCs/>
          <w:color w:val="000000" w:themeColor="text1"/>
          <w:sz w:val="18"/>
          <w:szCs w:val="18"/>
          <w:lang w:eastAsia="ja-JP"/>
        </w:rPr>
        <w:t>7, HepG2, and SK-LU-1)</w:t>
      </w:r>
      <w:r w:rsidRPr="005E6B7C">
        <w:rPr>
          <w:rFonts w:asciiTheme="majorHAnsi" w:eastAsia="Yu Mincho" w:hAnsiTheme="majorHAnsi" w:cstheme="majorHAnsi"/>
          <w:color w:val="000000" w:themeColor="text1"/>
          <w:sz w:val="18"/>
          <w:szCs w:val="18"/>
          <w:lang w:eastAsia="ja-JP"/>
        </w:rPr>
        <w:t xml:space="preserve"> with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ranging from </w:t>
      </w:r>
      <w:r w:rsidRPr="005E6B7C">
        <w:rPr>
          <w:rFonts w:asciiTheme="majorHAnsi" w:eastAsia="Yu Mincho" w:hAnsiTheme="majorHAnsi" w:cstheme="majorHAnsi"/>
          <w:bCs/>
          <w:color w:val="000000" w:themeColor="text1"/>
          <w:sz w:val="18"/>
          <w:szCs w:val="18"/>
          <w:lang w:eastAsia="ja-JP"/>
        </w:rPr>
        <w:t>49.38</w:t>
      </w:r>
      <w:r w:rsidR="0072591F"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w:t>
      </w:r>
      <w:r w:rsidR="0072591F"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 xml:space="preserve">3.64 to </w:t>
      </w:r>
      <w:r w:rsidRPr="005E6B7C">
        <w:rPr>
          <w:rFonts w:asciiTheme="majorHAnsi" w:eastAsia="Yu Mincho" w:hAnsiTheme="majorHAnsi" w:cstheme="majorHAnsi"/>
          <w:color w:val="000000" w:themeColor="text1"/>
          <w:sz w:val="18"/>
          <w:szCs w:val="18"/>
          <w:lang w:eastAsia="ja-JP"/>
        </w:rPr>
        <w:t>84.55</w:t>
      </w:r>
      <w:r w:rsidR="0072591F"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w:t>
      </w:r>
      <w:r w:rsidR="0072591F"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6.60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M.</w:t>
      </w:r>
    </w:p>
    <w:p w14:paraId="5EB2B035" w14:textId="77777777" w:rsidR="00E049CB" w:rsidRPr="005E6B7C" w:rsidRDefault="00E049CB" w:rsidP="008C0D47">
      <w:pPr>
        <w:tabs>
          <w:tab w:val="left" w:pos="9270"/>
        </w:tabs>
        <w:ind w:right="-20" w:firstLine="284"/>
        <w:jc w:val="both"/>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eastAsia="ja-JP"/>
        </w:rPr>
        <w:t>Keywords</w:t>
      </w:r>
      <w:r w:rsidRPr="005E6B7C">
        <w:rPr>
          <w:rFonts w:asciiTheme="majorHAnsi" w:eastAsia="Yu Mincho" w:hAnsiTheme="majorHAnsi" w:cstheme="majorHAnsi"/>
          <w:i/>
          <w:color w:val="000000" w:themeColor="text1"/>
          <w:sz w:val="18"/>
          <w:szCs w:val="18"/>
          <w:lang w:eastAsia="ja-JP"/>
        </w:rPr>
        <w:t>: Abroma augustum</w:t>
      </w:r>
      <w:r w:rsidR="00AC78CB"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iCs/>
          <w:color w:val="000000" w:themeColor="text1"/>
          <w:sz w:val="18"/>
          <w:szCs w:val="18"/>
          <w:lang w:eastAsia="ja-JP"/>
        </w:rPr>
        <w:t xml:space="preserve"> Malvaceae</w:t>
      </w:r>
      <w:r w:rsidR="00AC78C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00AC78CB" w:rsidRPr="005E6B7C">
        <w:rPr>
          <w:rFonts w:asciiTheme="majorHAnsi" w:eastAsia="Yu Mincho" w:hAnsiTheme="majorHAnsi" w:cstheme="majorHAnsi"/>
          <w:i/>
          <w:iCs/>
          <w:color w:val="000000" w:themeColor="text1"/>
          <w:sz w:val="18"/>
          <w:szCs w:val="18"/>
          <w:lang w:eastAsia="ja-JP"/>
        </w:rPr>
        <w:t>A</w:t>
      </w:r>
      <w:r w:rsidRPr="005E6B7C">
        <w:rPr>
          <w:rFonts w:asciiTheme="majorHAnsi" w:eastAsia="Yu Mincho" w:hAnsiTheme="majorHAnsi" w:cstheme="majorHAnsi"/>
          <w:i/>
          <w:iCs/>
          <w:color w:val="000000" w:themeColor="text1"/>
          <w:sz w:val="18"/>
          <w:szCs w:val="18"/>
          <w:lang w:eastAsia="ja-JP"/>
        </w:rPr>
        <w:t>ntiproliferative activity.</w:t>
      </w:r>
    </w:p>
    <w:p w14:paraId="081ED360" w14:textId="77777777" w:rsidR="00685C8E" w:rsidRPr="005E6B7C" w:rsidRDefault="00685C8E" w:rsidP="008C0D47">
      <w:pPr>
        <w:tabs>
          <w:tab w:val="left" w:pos="270"/>
          <w:tab w:val="left" w:pos="540"/>
          <w:tab w:val="left" w:pos="9270"/>
        </w:tabs>
        <w:ind w:right="-20"/>
        <w:jc w:val="both"/>
        <w:rPr>
          <w:rFonts w:asciiTheme="majorHAnsi" w:eastAsia="Yu Mincho" w:hAnsiTheme="majorHAnsi" w:cstheme="majorHAnsi"/>
          <w:i/>
          <w:iCs/>
          <w:color w:val="000000" w:themeColor="text1"/>
          <w:sz w:val="18"/>
          <w:szCs w:val="18"/>
          <w:lang w:eastAsia="ja-JP"/>
        </w:rPr>
      </w:pPr>
    </w:p>
    <w:p w14:paraId="219FAF7E" w14:textId="77777777" w:rsidR="00D15F3A" w:rsidRPr="005E6B7C" w:rsidRDefault="00D15F3A"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sectPr w:rsidR="00D15F3A" w:rsidRPr="005E6B7C" w:rsidSect="002206BB">
          <w:type w:val="continuous"/>
          <w:pgSz w:w="10773" w:h="15309" w:code="9"/>
          <w:pgMar w:top="907" w:right="851" w:bottom="1418" w:left="851" w:header="397" w:footer="851" w:gutter="0"/>
          <w:cols w:space="284"/>
          <w:docGrid w:linePitch="360"/>
        </w:sectPr>
      </w:pPr>
    </w:p>
    <w:p w14:paraId="061C2F4C"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024F24C5" w14:textId="1D54BBFD"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i/>
          <w:iCs/>
          <w:color w:val="000000" w:themeColor="text1"/>
          <w:sz w:val="22"/>
          <w:szCs w:val="22"/>
          <w:lang w:eastAsia="ja-JP"/>
        </w:rPr>
        <w:t>Abroma augustum</w:t>
      </w:r>
      <w:r w:rsidRPr="005E6B7C">
        <w:rPr>
          <w:rFonts w:asciiTheme="majorHAnsi" w:eastAsia="Yu Mincho" w:hAnsiTheme="majorHAnsi" w:cstheme="majorHAnsi"/>
          <w:color w:val="000000" w:themeColor="text1"/>
          <w:sz w:val="22"/>
          <w:szCs w:val="22"/>
          <w:lang w:eastAsia="ja-JP"/>
        </w:rPr>
        <w:t xml:space="preserve"> (L.) L. f. is a medium-sized shrub or small tree, 1–3 m tall. Leaves are variable in shape, blade ovate, cordate, sometimes narrowly ovate, usually toothed, slightly velvety hairy, more densely so on the lower surface, 10–20 cm long, 5–24 cm wide. The plant grows scattered in open forests, shrubby hills, along roadsides, and near stream banks. Flowering occurs from May through June, with fruiting from July to November. The root bark is used as a folk medicine to treat paralysis, gonorrhea, and to regulate menstruation. In China, the roots and leaves are used medicinally to treat injuries from falls and broken bones, irregular menstruation, and red, swollen boils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PEVuZE5vdGU+PENpdGU+PEF1dGhvcj5Ww7UgVsSDbiBDaGk8L0F1dGhvcj48WWVhcj4yMDEyPC9Z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PEVuZE5vdGU+PENpdGU+PEF1dGhvcj5Ww7UgVsSDbiBDaGk8L0F1dGhvcj48WWVhcj4yMDEyPC9Z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 w:tooltip="Võ Văn Chi, 2012 #132" w:history="1">
        <w:r w:rsidRPr="005E6B7C">
          <w:rPr>
            <w:rFonts w:asciiTheme="majorHAnsi" w:eastAsia="Yu Mincho" w:hAnsiTheme="majorHAnsi" w:cstheme="majorHAnsi"/>
            <w:noProof/>
            <w:color w:val="000000" w:themeColor="text1"/>
            <w:sz w:val="22"/>
            <w:szCs w:val="22"/>
            <w:lang w:eastAsia="ja-JP"/>
          </w:rPr>
          <w:t>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1993, maslinic acid and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-amyrin were isolated from this plant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&lt;EndNote&gt;&lt;Cite&gt;&lt;Author&gt;Aman&lt;/Author&gt;&lt;Year&gt;1993&lt;/Year&gt;&lt;RecNum&gt;39&lt;/RecNum&gt;&lt;DisplayText&gt;[2]&lt;/DisplayText&gt;&lt;record&gt;&lt;rec-number&gt;39&lt;/rec-number&gt;&lt;foreign-keys&gt;&lt;key app="EN" db-id="tft9dfze3vf9poe9vtjx0wtlrts555p959rp" timestamp="1684463781"&gt;39&lt;/key&gt;&lt;/foreign-keys&gt;&lt;ref-type name="Journal Article"&gt;17&lt;/ref-type&gt;&lt;contributors&gt;&lt;authors&gt;&lt;author&gt;Aman, Ahmed M.&lt;/author&gt;&lt;author&gt;Nahar, Nilufar&lt;/author&gt;&lt;author&gt;Mosihuzzamann, M.&lt;/author&gt;&lt;/authors&gt;&lt;/contributors&gt;&lt;titles&gt;&lt;title&gt;&lt;style face="normal" font="default" size="100%"&gt;Isolation and characterization of some terpenoids and phenolic acids of &lt;/style&gt;&lt;style face="italic" font="default" size="100%"&gt;Abroma augusta&lt;/style&gt;&lt;style face="normal" font="default" size="100%"&gt; root bark&lt;/style&gt;&lt;/title&gt;&lt;secondary-title&gt;Dhaka University Studies, Part B: Science&lt;/secondary-title&gt;&lt;/titles&gt;&lt;periodical&gt;&lt;full-title&gt;Dhaka University Studies, Part B: Science&lt;/full-title&gt;&lt;/periodical&gt;&lt;pages&gt;119-126&lt;/pages&gt;&lt;volume&gt;41&lt;/volume&gt;&lt;number&gt;2&lt;/number&gt;&lt;dates&gt;&lt;year&gt;1993&lt;/year&gt;&lt;/dates&gt;&lt;urls&gt;&lt;/urls&gt;&lt;/record&gt;&lt;/Cite&gt;&lt;/EndNote&gt;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 w:tooltip="Aman, 1993 #39" w:history="1">
        <w:r w:rsidRPr="005E6B7C">
          <w:rPr>
            <w:rFonts w:asciiTheme="majorHAnsi" w:eastAsia="Yu Mincho" w:hAnsiTheme="majorHAnsi" w:cstheme="majorHAnsi"/>
            <w:noProof/>
            <w:color w:val="000000" w:themeColor="text1"/>
            <w:sz w:val="22"/>
            <w:szCs w:val="22"/>
            <w:lang w:eastAsia="ja-JP"/>
          </w:rPr>
          <w:t>2</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addition, taraxerol isolated from this species was reported to attenuate diabetic nephropathy in type 2 diabetic rats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&lt;EndNote&gt;&lt;Cite&gt;&lt;Author&gt;Khanra&lt;/Author&gt;&lt;Year&gt;2017&lt;/Year&gt;&lt;RecNum&gt;37&lt;/RecNum&gt;&lt;DisplayText&gt;[3]&lt;/DisplayText&gt;&lt;record&gt;&lt;rec-number&gt;37&lt;/rec-number&gt;&lt;foreign-keys&gt;&lt;key app="EN" db-id="tft9dfze3vf9poe9vtjx0wtlrts555p959rp" timestamp="1684463195"&gt;37&lt;/key&gt;&lt;/foreign-keys&gt;&lt;ref-type name="Journal Article"&gt;17&lt;/ref-type&gt;&lt;contributors&gt;&lt;authors&gt;&lt;author&gt;Khanra, Ritu&lt;/author&gt;&lt;author&gt;Bhattacharjee, Niloy&lt;/author&gt;&lt;author&gt;Dua, Tarun K.&lt;/author&gt;&lt;author&gt;Nandy, Ashis&lt;/author&gt;&lt;author&gt;Saha, Achintya&lt;/author&gt;&lt;author&gt;Kalita, Jatin&lt;/author&gt;&lt;author&gt;Manna, Prasenjit&lt;/author&gt;&lt;author&gt;Dewanjee, Saikat&lt;/author&gt;&lt;/authors&gt;&lt;/contributors&gt;&lt;titles&gt;&lt;title&gt;&lt;style face="normal" font="default" size="100%"&gt;Taraxerol, a pentacyclic triterpenoid, from &lt;/style&gt;&lt;style face="italic" font="default" size="100%"&gt;Abroma augusta&lt;/style&gt;&lt;style face="normal" font="default" size="100%"&gt; leaf attenuates diabetic nephropathy in type 2 diabetic rats&lt;/style&gt;&lt;/title&gt;&lt;secondary-title&gt;Biomedicine &amp;amp; Pharmacotherapy&lt;/secondary-title&gt;&lt;/titles&gt;&lt;periodical&gt;&lt;full-title&gt;Biomedicine &amp;amp; Pharmacotherapy&lt;/full-title&gt;&lt;/periodical&gt;&lt;pages&gt;726-741&lt;/pages&gt;&lt;volume&gt;94&lt;/volume&gt;&lt;dates&gt;&lt;year&gt;2017&lt;/year&gt;&lt;/dates&gt;&lt;urls&gt;&lt;/urls&gt;&lt;/record&gt;&lt;/Cite&gt;&lt;/EndNote&gt;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3" w:tooltip="Khanra, 2017 #37" w:history="1">
        <w:r w:rsidRPr="005E6B7C">
          <w:rPr>
            <w:rFonts w:asciiTheme="majorHAnsi" w:eastAsia="Yu Mincho" w:hAnsiTheme="majorHAnsi" w:cstheme="majorHAnsi"/>
            <w:noProof/>
            <w:color w:val="000000" w:themeColor="text1"/>
            <w:sz w:val="22"/>
            <w:szCs w:val="22"/>
            <w:lang w:eastAsia="ja-JP"/>
          </w:rPr>
          <w:t>3</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and acute inflammation via inhibition of NF-</w:t>
      </w:r>
      <w:r w:rsidRPr="005E6B7C">
        <w:rPr>
          <w:rFonts w:asciiTheme="majorHAnsi" w:eastAsia="Yu Mincho" w:hAnsiTheme="majorHAnsi" w:cstheme="majorHAnsi"/>
          <w:i/>
          <w:color w:val="000000" w:themeColor="text1"/>
          <w:sz w:val="22"/>
          <w:szCs w:val="22"/>
          <w:lang w:eastAsia="ja-JP"/>
        </w:rPr>
        <w:t>κ</w:t>
      </w:r>
      <w:r w:rsidRPr="005E6B7C">
        <w:rPr>
          <w:rFonts w:asciiTheme="majorHAnsi" w:eastAsia="Yu Mincho" w:hAnsiTheme="majorHAnsi" w:cstheme="majorHAnsi"/>
          <w:color w:val="000000" w:themeColor="text1"/>
          <w:sz w:val="22"/>
          <w:szCs w:val="22"/>
          <w:lang w:eastAsia="ja-JP"/>
        </w:rPr>
        <w:t xml:space="preserve">B signaling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PEVuZE5vdGU+PENpdGU+PEF1dGhvcj5LaGFucmE8L0F1dGhvcj48WWVhcj4yMDE3PC9ZZWFyPjxS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==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PEVuZE5vdGU+PENpdGU+PEF1dGhvcj5LaGFucmE8L0F1dGhvcj48WWVhcj4yMDE3PC9ZZWFyPjxS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==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4" w:tooltip="Khanra, 2017 #38" w:history="1">
        <w:r w:rsidRPr="005E6B7C">
          <w:rPr>
            <w:rFonts w:asciiTheme="majorHAnsi" w:eastAsia="Yu Mincho" w:hAnsiTheme="majorHAnsi" w:cstheme="majorHAnsi"/>
            <w:noProof/>
            <w:color w:val="000000" w:themeColor="text1"/>
            <w:sz w:val="22"/>
            <w:szCs w:val="22"/>
            <w:lang w:eastAsia="ja-JP"/>
          </w:rPr>
          <w:t>4</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This species also exhibits many noteworthy biological activities, including antidiabetic, anti-inflammatory, antibacterial, antioxidant, cytotoxic (against cancer cells), and </w:t>
      </w:r>
      <w:r w:rsidRPr="005E6B7C">
        <w:rPr>
          <w:rFonts w:asciiTheme="majorHAnsi" w:eastAsia="Yu Mincho" w:hAnsiTheme="majorHAnsi" w:cstheme="majorHAnsi"/>
          <w:color w:val="000000" w:themeColor="text1"/>
          <w:spacing w:val="4"/>
          <w:sz w:val="22"/>
          <w:szCs w:val="22"/>
          <w:lang w:eastAsia="ja-JP"/>
        </w:rPr>
        <w:t xml:space="preserve">wound healing effects…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&lt;EndNote&gt;&lt;Cite&gt;&lt;Author&gt;Dixit&lt;/Author&gt;&lt;Year&gt;2022&lt;/Year&gt;&lt;RecNum&gt;133&lt;/RecNum&gt;&lt;DisplayText&gt;[5]&lt;/DisplayText&gt;&lt;record&gt;&lt;rec-number&gt;133&lt;/rec-number&gt;&lt;foreign-keys&gt;&lt;key app="EN" db-id="tft9dfze3vf9poe9vtjx0wtlrts555p959rp" timestamp="1765162381"&gt;133&lt;/key&gt;&lt;/foreign-keys&gt;&lt;ref-type name="Journal Article"&gt;17&lt;/ref-type&gt;&lt;contributors&gt;&lt;authors&gt;&lt;author&gt;Dixit, Aparna&lt;/author&gt;&lt;author&gt;Singh, Anil Kumar&lt;/author&gt;&lt;/authors&gt;&lt;/contributors&gt;&lt;titles&gt;&lt;title&gt;&lt;style face="normal" font="default" size="100%"&gt;Substantiation of medicinal properties of Ulatakambal (&lt;/style&gt;&lt;style face="italic" font="default" size="100%"&gt;Abroma augusta&lt;/style&gt;&lt;style face="normal" font="default" size="100%"&gt; Linn.) through ethnomedicine, phytochemical, experimental and clinical studies&lt;/style&gt;&lt;/title&gt;&lt;secondary-title&gt;International Journal of Ayurveda and Pharmaceutical Chemistry&lt;/secondary-title&gt;&lt;/titles&gt;&lt;periodical&gt;&lt;full-title&gt;International Journal of Ayurveda and Pharmaceutical Chemistry&lt;/full-title&gt;&lt;/periodical&gt;&lt;pages&gt;1-13&lt;/pages&gt;&lt;volume&gt;17&lt;/volume&gt;&lt;number&gt;2&lt;/number&gt;&lt;dates&gt;&lt;year&gt;2022&lt;/year&gt;&lt;/dates&gt;&lt;urls&gt;&lt;/urls&gt;&lt;/record&gt;&lt;/Cite&gt;&lt;/EndNote&gt;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w:t>
      </w:r>
      <w:hyperlink w:anchor="_ENREF_5" w:tooltip="Dixit, 2022 #133" w:history="1">
        <w:r w:rsidRPr="005E6B7C">
          <w:rPr>
            <w:rFonts w:asciiTheme="majorHAnsi" w:eastAsia="Yu Mincho" w:hAnsiTheme="majorHAnsi" w:cstheme="majorHAnsi"/>
            <w:noProof/>
            <w:color w:val="000000" w:themeColor="text1"/>
            <w:spacing w:val="4"/>
            <w:sz w:val="22"/>
            <w:szCs w:val="22"/>
            <w:lang w:eastAsia="ja-JP"/>
          </w:rPr>
          <w:t>5</w:t>
        </w:r>
      </w:hyperlink>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Within the frame of our research project on cytotoxic compounds from some plants growing in Phia Oac-Phia Den National Park, the MeOH extract of this plant was found to exhibit cytotoxic activity against the HepG2 human cancer cell line with IC</w:t>
      </w:r>
      <w:r w:rsidRPr="005E6B7C">
        <w:rPr>
          <w:rFonts w:asciiTheme="majorHAnsi" w:eastAsia="Yu Mincho" w:hAnsiTheme="majorHAnsi" w:cstheme="majorHAnsi"/>
          <w:color w:val="000000" w:themeColor="text1"/>
          <w:spacing w:val="4"/>
          <w:sz w:val="22"/>
          <w:szCs w:val="22"/>
          <w:vertAlign w:val="subscript"/>
          <w:lang w:eastAsia="ja-JP"/>
        </w:rPr>
        <w:t>50</w:t>
      </w:r>
      <w:r w:rsidRPr="005E6B7C">
        <w:rPr>
          <w:rFonts w:asciiTheme="majorHAnsi" w:eastAsia="Yu Mincho" w:hAnsiTheme="majorHAnsi" w:cstheme="majorHAnsi"/>
          <w:color w:val="000000" w:themeColor="text1"/>
          <w:spacing w:val="4"/>
          <w:sz w:val="22"/>
          <w:szCs w:val="22"/>
          <w:lang w:eastAsia="ja-JP"/>
        </w:rPr>
        <w:t xml:space="preserve"> = 90</w:t>
      </w:r>
      <w:r w:rsidR="005336CE"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color w:val="000000" w:themeColor="text1"/>
          <w:spacing w:val="4"/>
          <w:sz w:val="22"/>
          <w:szCs w:val="22"/>
          <w:lang w:eastAsia="ja-JP"/>
        </w:rPr>
        <w:t>22 ± 7</w:t>
      </w:r>
      <w:r w:rsidR="005336CE"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color w:val="000000" w:themeColor="text1"/>
          <w:spacing w:val="4"/>
          <w:sz w:val="22"/>
          <w:szCs w:val="22"/>
          <w:lang w:eastAsia="ja-JP"/>
        </w:rPr>
        <w:t xml:space="preserve">54 </w:t>
      </w:r>
      <w:r w:rsidRPr="005E6B7C">
        <w:rPr>
          <w:rFonts w:asciiTheme="majorHAnsi" w:eastAsia="Yu Mincho" w:hAnsiTheme="majorHAnsi" w:cstheme="majorHAnsi"/>
          <w:i/>
          <w:color w:val="000000" w:themeColor="text1"/>
          <w:spacing w:val="4"/>
          <w:sz w:val="22"/>
          <w:szCs w:val="22"/>
          <w:lang w:eastAsia="ja-JP"/>
        </w:rPr>
        <w:sym w:font="Symbol" w:char="F06D"/>
      </w:r>
      <w:r w:rsidRPr="005E6B7C">
        <w:rPr>
          <w:rFonts w:asciiTheme="majorHAnsi" w:eastAsia="Yu Mincho" w:hAnsiTheme="majorHAnsi" w:cstheme="majorHAnsi"/>
          <w:color w:val="000000" w:themeColor="text1"/>
          <w:spacing w:val="4"/>
          <w:sz w:val="22"/>
          <w:szCs w:val="22"/>
          <w:lang w:eastAsia="ja-JP"/>
        </w:rPr>
        <w:t>g/m</w:t>
      </w:r>
      <w:r w:rsidR="0044085B" w:rsidRPr="005E6B7C">
        <w:rPr>
          <w:rFonts w:asciiTheme="majorHAnsi" w:eastAsia="Yu Mincho" w:hAnsiTheme="majorHAnsi" w:cstheme="majorHAnsi"/>
          <w:color w:val="000000" w:themeColor="text1"/>
          <w:spacing w:val="4"/>
          <w:sz w:val="22"/>
          <w:szCs w:val="22"/>
          <w:lang w:eastAsia="ja-JP"/>
        </w:rPr>
        <w:t>L.</w:t>
      </w:r>
      <w:r w:rsidRPr="005E6B7C">
        <w:rPr>
          <w:rFonts w:asciiTheme="majorHAnsi" w:eastAsia="Yu Mincho" w:hAnsiTheme="majorHAnsi" w:cstheme="majorHAnsi"/>
          <w:color w:val="000000" w:themeColor="text1"/>
          <w:spacing w:val="4"/>
          <w:sz w:val="22"/>
          <w:szCs w:val="22"/>
          <w:lang w:eastAsia="ja-JP"/>
        </w:rPr>
        <w:t xml:space="preserve"> In this paper, we report the isolation and structure elucidation of five glycoside </w:t>
      </w:r>
      <w:r w:rsidRPr="005E6B7C">
        <w:rPr>
          <w:rFonts w:asciiTheme="majorHAnsi" w:eastAsia="Yu Mincho" w:hAnsiTheme="majorHAnsi" w:cstheme="majorHAnsi"/>
          <w:color w:val="000000" w:themeColor="text1"/>
          <w:spacing w:val="4"/>
          <w:sz w:val="22"/>
          <w:szCs w:val="22"/>
          <w:lang w:eastAsia="ja-JP"/>
        </w:rPr>
        <w:t>derivatives (</w:t>
      </w:r>
      <w:r w:rsidR="00517F81" w:rsidRPr="005E6B7C">
        <w:rPr>
          <w:rFonts w:asciiTheme="majorHAnsi" w:eastAsia="Yu Mincho" w:hAnsiTheme="majorHAnsi" w:cstheme="majorHAnsi"/>
          <w:color w:val="000000" w:themeColor="text1"/>
          <w:spacing w:val="4"/>
          <w:sz w:val="22"/>
          <w:szCs w:val="22"/>
          <w:lang w:eastAsia="ja-JP"/>
        </w:rPr>
        <w:t xml:space="preserve">Fig. </w:t>
      </w:r>
      <w:r w:rsidRPr="005E6B7C">
        <w:rPr>
          <w:rFonts w:asciiTheme="majorHAnsi" w:eastAsia="Yu Mincho" w:hAnsiTheme="majorHAnsi" w:cstheme="majorHAnsi"/>
          <w:color w:val="000000" w:themeColor="text1"/>
          <w:spacing w:val="4"/>
          <w:sz w:val="22"/>
          <w:szCs w:val="22"/>
          <w:lang w:eastAsia="ja-JP"/>
        </w:rPr>
        <w:t xml:space="preserve">1) from this species and evaluate their </w:t>
      </w:r>
      <w:r w:rsidR="00894500" w:rsidRPr="005E6B7C">
        <w:rPr>
          <w:rFonts w:asciiTheme="majorHAnsi" w:eastAsia="Yu Mincho" w:hAnsiTheme="majorHAnsi" w:cstheme="majorHAnsi"/>
          <w:i/>
          <w:iCs/>
          <w:color w:val="000000" w:themeColor="text1"/>
          <w:spacing w:val="4"/>
          <w:sz w:val="22"/>
          <w:szCs w:val="22"/>
          <w:lang w:eastAsia="ja-JP"/>
        </w:rPr>
        <w:t>in vitro</w:t>
      </w:r>
      <w:r w:rsidRPr="005E6B7C">
        <w:rPr>
          <w:rFonts w:asciiTheme="majorHAnsi" w:eastAsia="Yu Mincho" w:hAnsiTheme="majorHAnsi" w:cstheme="majorHAnsi"/>
          <w:color w:val="000000" w:themeColor="text1"/>
          <w:spacing w:val="4"/>
          <w:sz w:val="22"/>
          <w:szCs w:val="22"/>
          <w:lang w:eastAsia="ja-JP"/>
        </w:rPr>
        <w:t xml:space="preserve"> antiproliferative</w:t>
      </w:r>
      <w:r w:rsidRPr="005E6B7C">
        <w:rPr>
          <w:rFonts w:asciiTheme="majorHAnsi" w:eastAsia="Yu Mincho" w:hAnsiTheme="majorHAnsi" w:cstheme="majorHAnsi"/>
          <w:bCs/>
          <w:iCs/>
          <w:color w:val="000000" w:themeColor="text1"/>
          <w:spacing w:val="4"/>
          <w:sz w:val="22"/>
          <w:szCs w:val="22"/>
          <w:lang w:eastAsia="ja-JP"/>
        </w:rPr>
        <w:t xml:space="preserve"> activity against three human cancer cell lines </w:t>
      </w:r>
      <w:r w:rsidR="005336CE" w:rsidRPr="005E6B7C">
        <w:rPr>
          <w:rFonts w:asciiTheme="majorHAnsi" w:eastAsia="Yu Mincho" w:hAnsiTheme="majorHAnsi" w:cstheme="majorHAnsi"/>
          <w:bCs/>
          <w:iCs/>
          <w:color w:val="000000" w:themeColor="text1"/>
          <w:spacing w:val="4"/>
          <w:sz w:val="22"/>
          <w:szCs w:val="22"/>
          <w:lang w:eastAsia="ja-JP"/>
        </w:rPr>
        <w:t>such</w:t>
      </w:r>
      <w:r w:rsidR="005336CE" w:rsidRPr="005E6B7C">
        <w:rPr>
          <w:rFonts w:asciiTheme="majorHAnsi" w:eastAsia="Yu Mincho" w:hAnsiTheme="majorHAnsi" w:cstheme="majorHAnsi"/>
          <w:bCs/>
          <w:iCs/>
          <w:color w:val="000000" w:themeColor="text1"/>
          <w:spacing w:val="4"/>
          <w:sz w:val="22"/>
          <w:szCs w:val="22"/>
          <w:lang w:val="vi-VN" w:eastAsia="ja-JP"/>
        </w:rPr>
        <w:t xml:space="preserve"> </w:t>
      </w:r>
      <w:r w:rsidRPr="005E6B7C">
        <w:rPr>
          <w:rFonts w:asciiTheme="majorHAnsi" w:eastAsia="Yu Mincho" w:hAnsiTheme="majorHAnsi" w:cstheme="majorHAnsi"/>
          <w:bCs/>
          <w:iCs/>
          <w:color w:val="000000" w:themeColor="text1"/>
          <w:spacing w:val="4"/>
          <w:sz w:val="22"/>
          <w:szCs w:val="22"/>
          <w:lang w:eastAsia="ja-JP"/>
        </w:rPr>
        <w:t xml:space="preserve">as </w:t>
      </w:r>
      <w:r w:rsidRPr="005E6B7C">
        <w:rPr>
          <w:rFonts w:asciiTheme="majorHAnsi" w:eastAsia="Yu Mincho" w:hAnsiTheme="majorHAnsi" w:cstheme="majorHAnsi"/>
          <w:bCs/>
          <w:color w:val="000000" w:themeColor="text1"/>
          <w:spacing w:val="4"/>
          <w:sz w:val="22"/>
          <w:szCs w:val="22"/>
          <w:lang w:eastAsia="ja-JP"/>
        </w:rPr>
        <w:t>MCF</w:t>
      </w:r>
      <w:r w:rsidR="00FB7B36" w:rsidRPr="005E6B7C">
        <w:rPr>
          <w:rFonts w:asciiTheme="majorHAnsi" w:eastAsia="Yu Mincho" w:hAnsiTheme="majorHAnsi" w:cstheme="majorHAnsi"/>
          <w:bCs/>
          <w:color w:val="000000" w:themeColor="text1"/>
          <w:spacing w:val="4"/>
          <w:sz w:val="22"/>
          <w:szCs w:val="22"/>
          <w:lang w:val="vi-VN" w:eastAsia="ja-JP"/>
        </w:rPr>
        <w:t>-</w:t>
      </w:r>
      <w:r w:rsidRPr="005E6B7C">
        <w:rPr>
          <w:rFonts w:asciiTheme="majorHAnsi" w:eastAsia="Yu Mincho" w:hAnsiTheme="majorHAnsi" w:cstheme="majorHAnsi"/>
          <w:bCs/>
          <w:color w:val="000000" w:themeColor="text1"/>
          <w:spacing w:val="4"/>
          <w:sz w:val="22"/>
          <w:szCs w:val="22"/>
          <w:lang w:eastAsia="ja-JP"/>
        </w:rPr>
        <w:t>7 (breast), HepG2 (liver), and SK-LU-1 (lung).</w:t>
      </w:r>
    </w:p>
    <w:p w14:paraId="314248D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56F177E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2.1. Plant materials</w:t>
      </w:r>
    </w:p>
    <w:p w14:paraId="089216A4" w14:textId="2597DFA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Branches and leaves of </w:t>
      </w:r>
      <w:r w:rsidRPr="005E6B7C">
        <w:rPr>
          <w:rFonts w:asciiTheme="majorHAnsi" w:eastAsia="Yu Mincho" w:hAnsiTheme="majorHAnsi" w:cstheme="majorHAnsi"/>
          <w:i/>
          <w:iCs/>
          <w:color w:val="000000" w:themeColor="text1"/>
          <w:sz w:val="22"/>
          <w:szCs w:val="22"/>
          <w:lang w:eastAsia="ja-JP"/>
        </w:rPr>
        <w:t xml:space="preserve">Abroma augustum </w:t>
      </w:r>
      <w:r w:rsidRPr="005E6B7C">
        <w:rPr>
          <w:rFonts w:asciiTheme="majorHAnsi" w:eastAsia="Yu Mincho" w:hAnsiTheme="majorHAnsi" w:cstheme="majorHAnsi"/>
          <w:color w:val="000000" w:themeColor="text1"/>
          <w:sz w:val="22"/>
          <w:szCs w:val="22"/>
          <w:lang w:eastAsia="ja-JP"/>
        </w:rPr>
        <w:t>(L.) L.</w:t>
      </w:r>
      <w:r w:rsidR="005336CE"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f. were collected at Phia Oac - Phia Den National Park, Thanh Cong commune, Nguyen Binh District, Cao Bang province, in July 2024. The species was identified by Dr. Nguyen The Cuong, Institute of Ecology and Biological Resources (now: Institute of Biology), Vietnam Academy of Science and Technology. The voucher specimen (No. </w:t>
      </w:r>
      <w:bookmarkStart w:id="3" w:name="_Hlk216089875"/>
      <w:r w:rsidRPr="005E6B7C">
        <w:rPr>
          <w:rFonts w:asciiTheme="majorHAnsi" w:eastAsia="Yu Mincho" w:hAnsiTheme="majorHAnsi" w:cstheme="majorHAnsi"/>
          <w:color w:val="000000" w:themeColor="text1"/>
          <w:sz w:val="22"/>
          <w:szCs w:val="22"/>
          <w:lang w:eastAsia="ja-JP"/>
        </w:rPr>
        <w:t>KHCBHH.01/24-25</w:t>
      </w:r>
      <w:bookmarkEnd w:id="3"/>
      <w:r w:rsidRPr="005E6B7C">
        <w:rPr>
          <w:rFonts w:asciiTheme="majorHAnsi" w:eastAsia="Yu Mincho" w:hAnsiTheme="majorHAnsi" w:cstheme="majorHAnsi"/>
          <w:color w:val="000000" w:themeColor="text1"/>
          <w:sz w:val="22"/>
          <w:szCs w:val="22"/>
          <w:lang w:eastAsia="ja-JP"/>
        </w:rPr>
        <w:t>-08) was deposited at the Institute of Chemistry.</w:t>
      </w:r>
    </w:p>
    <w:p w14:paraId="677B41C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2.2. General experimental procedures</w:t>
      </w:r>
    </w:p>
    <w:p w14:paraId="7E968172" w14:textId="34AF501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Nuclear Magnetic Resonance spectra (NMR) were recorded on Bruker AVANCE NEO 600 and AVANCE 500 FT-NMR spectrometers with TMS as an internal standard. Medium</w:t>
      </w:r>
      <w:r w:rsidR="005336CE"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pressure liquid chromatography (MPLC) was carried out on a </w:t>
      </w:r>
      <w:bookmarkStart w:id="4" w:name="_Hlk219473532"/>
      <w:r w:rsidRPr="005E6B7C">
        <w:rPr>
          <w:rFonts w:asciiTheme="majorHAnsi" w:eastAsia="Yu Mincho" w:hAnsiTheme="majorHAnsi" w:cstheme="majorHAnsi"/>
          <w:color w:val="000000" w:themeColor="text1"/>
          <w:sz w:val="22"/>
          <w:szCs w:val="22"/>
          <w:lang w:eastAsia="ja-JP"/>
        </w:rPr>
        <w:t>Biotage Isolera One</w:t>
      </w:r>
      <w:bookmarkEnd w:id="4"/>
      <w:r w:rsidRPr="005E6B7C">
        <w:rPr>
          <w:rFonts w:asciiTheme="majorHAnsi" w:eastAsia="Yu Mincho" w:hAnsiTheme="majorHAnsi" w:cstheme="majorHAnsi"/>
          <w:color w:val="000000" w:themeColor="text1"/>
          <w:sz w:val="22"/>
          <w:szCs w:val="22"/>
          <w:lang w:eastAsia="ja-JP"/>
        </w:rPr>
        <w:t xml:space="preserve"> system. Column chromatography (CC) was carried out on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(Kieselgel 60, 70–230 mesh and 230–400 mesh, Merck), reversed-phase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(ODS-A, 12 nm S-150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YMC Co., Ltd.), </w:t>
      </w:r>
      <w:r w:rsidRPr="005E6B7C">
        <w:rPr>
          <w:rFonts w:asciiTheme="majorHAnsi" w:eastAsia="Yu Mincho" w:hAnsiTheme="majorHAnsi" w:cstheme="majorHAnsi"/>
          <w:color w:val="000000" w:themeColor="text1"/>
          <w:sz w:val="22"/>
          <w:szCs w:val="22"/>
          <w:lang w:val="ru-RU" w:eastAsia="ja-JP"/>
        </w:rPr>
        <w:t>Sephadex LH-20 (Sigma)</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lang w:val="ru-RU" w:eastAsia="ja-JP"/>
        </w:rPr>
        <w:t>Diaion HP-20 (Supelco)</w:t>
      </w:r>
      <w:r w:rsidRPr="005E6B7C">
        <w:rPr>
          <w:rFonts w:asciiTheme="majorHAnsi" w:eastAsia="Yu Mincho" w:hAnsiTheme="majorHAnsi" w:cstheme="majorHAnsi"/>
          <w:color w:val="000000" w:themeColor="text1"/>
          <w:sz w:val="22"/>
          <w:szCs w:val="22"/>
          <w:lang w:eastAsia="ja-JP"/>
        </w:rPr>
        <w:t xml:space="preserve">. Pre-coated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 (1.05554.0001, Merck, Darmstadt, Germany) and RP-18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S plates (1.15685.0001, Merck) were used for TLC, and spots were visualized by </w:t>
      </w:r>
      <w:r w:rsidRPr="005E6B7C">
        <w:rPr>
          <w:rFonts w:asciiTheme="majorHAnsi" w:eastAsia="Yu Mincho" w:hAnsiTheme="majorHAnsi" w:cstheme="majorHAnsi"/>
          <w:color w:val="000000" w:themeColor="text1"/>
          <w:sz w:val="22"/>
          <w:szCs w:val="22"/>
          <w:lang w:eastAsia="ja-JP"/>
        </w:rPr>
        <w:lastRenderedPageBreak/>
        <w:t>spraying with aqueous 10%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SO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followed by heating for 3–5 min at 120ºC.</w:t>
      </w:r>
    </w:p>
    <w:p w14:paraId="6EF0E7A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2.3. Extraction and isolation</w:t>
      </w:r>
    </w:p>
    <w:p w14:paraId="248384DE" w14:textId="79EB8E99" w:rsidR="006E722D" w:rsidRPr="005E6B7C" w:rsidRDefault="00E049CB" w:rsidP="006E722D">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Branches and leaves of </w:t>
      </w:r>
      <w:r w:rsidRPr="005E6B7C">
        <w:rPr>
          <w:rFonts w:asciiTheme="majorHAnsi" w:eastAsia="Yu Mincho" w:hAnsiTheme="majorHAnsi" w:cstheme="majorHAnsi"/>
          <w:i/>
          <w:iCs/>
          <w:color w:val="000000" w:themeColor="text1"/>
          <w:spacing w:val="-2"/>
          <w:sz w:val="22"/>
          <w:szCs w:val="22"/>
          <w:lang w:eastAsia="ja-JP"/>
        </w:rPr>
        <w:t xml:space="preserve">A. augustum </w:t>
      </w:r>
      <w:r w:rsidRPr="005E6B7C">
        <w:rPr>
          <w:rFonts w:asciiTheme="majorHAnsi" w:eastAsia="Yu Mincho" w:hAnsiTheme="majorHAnsi" w:cstheme="majorHAnsi"/>
          <w:color w:val="000000" w:themeColor="text1"/>
          <w:spacing w:val="-2"/>
          <w:sz w:val="22"/>
          <w:szCs w:val="22"/>
          <w:lang w:eastAsia="ja-JP"/>
        </w:rPr>
        <w:t>were cleaned, dried at 50</w:t>
      </w:r>
      <w:r w:rsidRPr="005E6B7C">
        <w:rPr>
          <w:rFonts w:asciiTheme="majorHAnsi" w:eastAsia="Yu Mincho" w:hAnsiTheme="majorHAnsi" w:cstheme="majorHAnsi"/>
          <w:color w:val="000000" w:themeColor="text1"/>
          <w:spacing w:val="-2"/>
          <w:sz w:val="22"/>
          <w:szCs w:val="22"/>
          <w:vertAlign w:val="superscript"/>
          <w:lang w:eastAsia="ja-JP"/>
        </w:rPr>
        <w:t>o</w:t>
      </w:r>
      <w:r w:rsidRPr="005E6B7C">
        <w:rPr>
          <w:rFonts w:asciiTheme="majorHAnsi" w:eastAsia="Yu Mincho" w:hAnsiTheme="majorHAnsi" w:cstheme="majorHAnsi"/>
          <w:color w:val="000000" w:themeColor="text1"/>
          <w:spacing w:val="-2"/>
          <w:sz w:val="22"/>
          <w:szCs w:val="22"/>
          <w:lang w:eastAsia="ja-JP"/>
        </w:rPr>
        <w:t xml:space="preserve">C, and ground into fine powder. This powder (10 kg) </w:t>
      </w:r>
      <w:r w:rsidR="005336CE" w:rsidRPr="005E6B7C">
        <w:rPr>
          <w:rFonts w:asciiTheme="majorHAnsi" w:eastAsia="Yu Mincho" w:hAnsiTheme="majorHAnsi" w:cstheme="majorHAnsi"/>
          <w:color w:val="000000" w:themeColor="text1"/>
          <w:spacing w:val="-2"/>
          <w:sz w:val="22"/>
          <w:szCs w:val="22"/>
          <w:lang w:eastAsia="ja-JP"/>
        </w:rPr>
        <w:t>extracted three times with methanol under ultrasonic conditions</w:t>
      </w:r>
      <w:r w:rsidRPr="005E6B7C">
        <w:rPr>
          <w:rFonts w:asciiTheme="majorHAnsi" w:eastAsia="Yu Mincho" w:hAnsiTheme="majorHAnsi" w:cstheme="majorHAnsi"/>
          <w:color w:val="000000" w:themeColor="text1"/>
          <w:spacing w:val="-2"/>
          <w:sz w:val="22"/>
          <w:szCs w:val="22"/>
          <w:lang w:eastAsia="ja-JP"/>
        </w:rPr>
        <w:t xml:space="preserve">. The resulting solutions were combined and concentrated using a rotary evaporator under vacuum to afford the methanol residue (M, 440 g). </w:t>
      </w:r>
      <w:r w:rsidR="004C20BA" w:rsidRPr="005E6B7C">
        <w:rPr>
          <w:rFonts w:asciiTheme="majorHAnsi" w:eastAsia="Yu Mincho" w:hAnsiTheme="majorHAnsi" w:cstheme="majorHAnsi"/>
          <w:color w:val="000000" w:themeColor="text1"/>
          <w:spacing w:val="-2"/>
          <w:sz w:val="22"/>
          <w:szCs w:val="22"/>
          <w:lang w:eastAsia="ja-JP"/>
        </w:rPr>
        <w:t>The</w:t>
      </w:r>
      <w:r w:rsidR="004C20BA" w:rsidRPr="005E6B7C">
        <w:rPr>
          <w:rFonts w:asciiTheme="majorHAnsi" w:eastAsia="Yu Mincho" w:hAnsiTheme="majorHAnsi" w:cstheme="majorHAnsi"/>
          <w:color w:val="000000" w:themeColor="text1"/>
          <w:spacing w:val="-2"/>
          <w:sz w:val="22"/>
          <w:szCs w:val="22"/>
          <w:lang w:val="vi-VN" w:eastAsia="ja-JP"/>
        </w:rPr>
        <w:t xml:space="preserve"> </w:t>
      </w:r>
      <w:r w:rsidR="004C20BA" w:rsidRPr="005E6B7C">
        <w:rPr>
          <w:rFonts w:asciiTheme="majorHAnsi" w:eastAsia="Yu Mincho" w:hAnsiTheme="majorHAnsi" w:cstheme="majorHAnsi"/>
          <w:color w:val="000000" w:themeColor="text1"/>
          <w:spacing w:val="-2"/>
          <w:sz w:val="22"/>
          <w:szCs w:val="22"/>
          <w:lang w:eastAsia="ja-JP"/>
        </w:rPr>
        <w:t>r</w:t>
      </w:r>
      <w:r w:rsidRPr="005E6B7C">
        <w:rPr>
          <w:rFonts w:asciiTheme="majorHAnsi" w:eastAsia="Yu Mincho" w:hAnsiTheme="majorHAnsi" w:cstheme="majorHAnsi"/>
          <w:color w:val="000000" w:themeColor="text1"/>
          <w:spacing w:val="-2"/>
          <w:sz w:val="22"/>
          <w:szCs w:val="22"/>
          <w:lang w:eastAsia="ja-JP"/>
        </w:rPr>
        <w:t>esidue M was suspended in water and extracted in turn with dichloromethane and ethyl acetate to give dichloromethane (D, 35 g), ethyl acetate (E, 22 g) extracts, water layer</w:t>
      </w:r>
      <w:r w:rsidR="007A051F"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and a portion of undissolved residue. </w:t>
      </w:r>
      <w:r w:rsidR="006E722D" w:rsidRPr="005E6B7C">
        <w:rPr>
          <w:rFonts w:asciiTheme="majorHAnsi" w:eastAsia="Yu Mincho" w:hAnsiTheme="majorHAnsi" w:cstheme="majorHAnsi"/>
          <w:color w:val="000000" w:themeColor="text1"/>
          <w:spacing w:val="-2"/>
          <w:sz w:val="22"/>
          <w:szCs w:val="22"/>
          <w:lang w:eastAsia="ja-JP"/>
        </w:rPr>
        <w:t>The water layer was filtered and passed through a Diaion HP-20 CC using stepwise</w:t>
      </w:r>
      <w:r w:rsidR="004C20BA" w:rsidRPr="005E6B7C">
        <w:rPr>
          <w:rFonts w:asciiTheme="majorHAnsi" w:eastAsia="Yu Mincho" w:hAnsiTheme="majorHAnsi" w:cstheme="majorHAnsi"/>
          <w:color w:val="000000" w:themeColor="text1"/>
          <w:spacing w:val="-2"/>
          <w:sz w:val="22"/>
          <w:szCs w:val="22"/>
          <w:lang w:val="vi-VN" w:eastAsia="ja-JP"/>
        </w:rPr>
        <w:t xml:space="preserve"> elution </w:t>
      </w:r>
      <w:r w:rsidR="004C20BA" w:rsidRPr="005E6B7C">
        <w:rPr>
          <w:rFonts w:asciiTheme="majorHAnsi" w:eastAsia="Yu Mincho" w:hAnsiTheme="majorHAnsi" w:cstheme="majorHAnsi"/>
          <w:color w:val="000000" w:themeColor="text1"/>
          <w:spacing w:val="-2"/>
          <w:sz w:val="22"/>
          <w:szCs w:val="22"/>
          <w:lang w:eastAsia="ja-JP"/>
        </w:rPr>
        <w:t>with</w:t>
      </w:r>
      <w:r w:rsidR="004C20BA" w:rsidRPr="005E6B7C">
        <w:rPr>
          <w:rFonts w:asciiTheme="majorHAnsi" w:eastAsia="Yu Mincho" w:hAnsiTheme="majorHAnsi" w:cstheme="majorHAnsi"/>
          <w:color w:val="000000" w:themeColor="text1"/>
          <w:spacing w:val="-2"/>
          <w:sz w:val="22"/>
          <w:szCs w:val="22"/>
          <w:lang w:val="vi-VN" w:eastAsia="ja-JP"/>
        </w:rPr>
        <w:t xml:space="preserve"> 100%</w:t>
      </w:r>
      <w:r w:rsidR="006E722D" w:rsidRPr="005E6B7C">
        <w:rPr>
          <w:rFonts w:asciiTheme="majorHAnsi" w:eastAsia="Yu Mincho" w:hAnsiTheme="majorHAnsi" w:cstheme="majorHAnsi"/>
          <w:color w:val="000000" w:themeColor="text1"/>
          <w:spacing w:val="-2"/>
          <w:sz w:val="22"/>
          <w:szCs w:val="22"/>
          <w:lang w:eastAsia="ja-JP"/>
        </w:rPr>
        <w:t xml:space="preserve"> water, methanol-H</w:t>
      </w:r>
      <w:r w:rsidR="006E722D" w:rsidRPr="005E6B7C">
        <w:rPr>
          <w:rFonts w:asciiTheme="majorHAnsi" w:eastAsia="Yu Mincho" w:hAnsiTheme="majorHAnsi" w:cstheme="majorHAnsi"/>
          <w:color w:val="000000" w:themeColor="text1"/>
          <w:spacing w:val="-2"/>
          <w:sz w:val="22"/>
          <w:szCs w:val="22"/>
          <w:vertAlign w:val="subscript"/>
          <w:lang w:eastAsia="ja-JP"/>
        </w:rPr>
        <w:t>2</w:t>
      </w:r>
      <w:r w:rsidR="006E722D" w:rsidRPr="005E6B7C">
        <w:rPr>
          <w:rFonts w:asciiTheme="majorHAnsi" w:eastAsia="Yu Mincho" w:hAnsiTheme="majorHAnsi" w:cstheme="majorHAnsi"/>
          <w:color w:val="000000" w:themeColor="text1"/>
          <w:spacing w:val="-2"/>
          <w:sz w:val="22"/>
          <w:szCs w:val="22"/>
          <w:lang w:eastAsia="ja-JP"/>
        </w:rPr>
        <w:t>O (30:70), methanol-H</w:t>
      </w:r>
      <w:r w:rsidR="006E722D" w:rsidRPr="005E6B7C">
        <w:rPr>
          <w:rFonts w:asciiTheme="majorHAnsi" w:eastAsia="Yu Mincho" w:hAnsiTheme="majorHAnsi" w:cstheme="majorHAnsi"/>
          <w:color w:val="000000" w:themeColor="text1"/>
          <w:spacing w:val="-2"/>
          <w:sz w:val="22"/>
          <w:szCs w:val="22"/>
          <w:vertAlign w:val="subscript"/>
          <w:lang w:eastAsia="ja-JP"/>
        </w:rPr>
        <w:t>2</w:t>
      </w:r>
      <w:r w:rsidR="006E722D" w:rsidRPr="005E6B7C">
        <w:rPr>
          <w:rFonts w:asciiTheme="majorHAnsi" w:eastAsia="Yu Mincho" w:hAnsiTheme="majorHAnsi" w:cstheme="majorHAnsi"/>
          <w:color w:val="000000" w:themeColor="text1"/>
          <w:spacing w:val="-2"/>
          <w:sz w:val="22"/>
          <w:szCs w:val="22"/>
          <w:lang w:eastAsia="ja-JP"/>
        </w:rPr>
        <w:t>O (70:30) and methanol 100% to obtain four fractions W1-W4.</w:t>
      </w:r>
    </w:p>
    <w:p w14:paraId="42F0E94D" w14:textId="41A71EC9" w:rsidR="006E722D" w:rsidRPr="005E6B7C" w:rsidRDefault="006E722D" w:rsidP="006E722D">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Fraction W4 (14 g) was divided into seven subfractions W4A-W4G using RP-18 MPLC with gradient eluent of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(1:3-1:0, v/v). Subfraction W4F (2.0 g) was then separated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O (5:1:0</w:t>
      </w:r>
      <w:r w:rsidR="005336CE"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1, v/v/v) to give three smaller fractions W4F1-W4F3. Fraction W4F2 (100 mg) was purified on reversed phase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acetone -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(1:2, v/v) to furnish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(4.0 mg). Subfraction W4E (2.5 g) was also separated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(5:1:0.1, v/v/v), giving six smaller fractions W4E1-W4E6. Fraction W4E4 (200 mg) was further separated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-acetone-H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O (1:2:0.05, v/v), followed by Sephadex LH-20 CC with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(1:1, v/v) to get compound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(18 mg). Similarly, fraction W4E3 (250 mg) was also separated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009908A6"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-acetone</w:t>
      </w:r>
      <w:r w:rsidR="009908A6"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(1:2:0.05, v/v) to get two fractions W4E3A (100 mg) and W4E3B (130 mg). Fraction W4E3B was further separated into two fractions, W4E3B1 (80 mg) and W4E3B2 (40 mg), using reversed phase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acetone-H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(1:4, v/v). Purification of fraction W4E3B2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(7:1:0.1, v/v) to obtain compound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(13 mg). Fraction W4E3B1 was purified on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(5:1:0.1, v/v) to give compounds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(3 mg) and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(6.5 mg).</w:t>
      </w:r>
    </w:p>
    <w:p w14:paraId="2F32F8A1" w14:textId="77777777" w:rsidR="006E722D" w:rsidRPr="005E6B7C" w:rsidRDefault="006E722D" w:rsidP="006E722D">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1-Allyl-3-methoxy-4-[apiofuranosyl(1</w:t>
      </w:r>
      <w:r w:rsidRPr="005E6B7C">
        <w:rPr>
          <w:rFonts w:asciiTheme="majorHAnsi" w:eastAsia="Yu Mincho" w:hAnsiTheme="majorHAnsi" w:cstheme="majorHAnsi"/>
          <w:b/>
          <w:bCs/>
          <w:i/>
          <w:iCs/>
          <w:color w:val="000000" w:themeColor="text1"/>
          <w:sz w:val="22"/>
          <w:szCs w:val="22"/>
          <w:lang w:eastAsia="ja-JP"/>
        </w:rPr>
        <w:sym w:font="Symbol" w:char="F0AE"/>
      </w:r>
      <w:r w:rsidRPr="005E6B7C">
        <w:rPr>
          <w:rFonts w:asciiTheme="majorHAnsi" w:eastAsia="Yu Mincho" w:hAnsiTheme="majorHAnsi" w:cstheme="majorHAnsi"/>
          <w:b/>
          <w:bCs/>
          <w:i/>
          <w:iCs/>
          <w:color w:val="000000" w:themeColor="text1"/>
          <w:sz w:val="22"/>
          <w:szCs w:val="22"/>
          <w:lang w:eastAsia="ja-JP"/>
        </w:rPr>
        <w:t>2)-glucopyranosyloxybenzene]</w:t>
      </w:r>
      <w:r w:rsidRPr="005E6B7C">
        <w:rPr>
          <w:rFonts w:asciiTheme="majorHAnsi" w:eastAsia="Yu Mincho" w:hAnsiTheme="majorHAnsi" w:cstheme="majorHAnsi"/>
          <w:b/>
          <w:i/>
          <w:iCs/>
          <w:color w:val="000000" w:themeColor="text1"/>
          <w:sz w:val="22"/>
          <w:szCs w:val="22"/>
          <w:lang w:eastAsia="ja-JP"/>
        </w:rPr>
        <w:t xml:space="preserve"> (1)</w:t>
      </w:r>
      <w:r w:rsidRPr="005E6B7C">
        <w:rPr>
          <w:rFonts w:asciiTheme="majorHAnsi" w:eastAsia="Yu Mincho" w:hAnsiTheme="majorHAnsi" w:cstheme="majorHAnsi"/>
          <w:b/>
          <w: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Pale yellow solid;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1.</w:t>
      </w:r>
    </w:p>
    <w:p w14:paraId="5179012B" w14:textId="65839EB2" w:rsidR="006E722D" w:rsidRPr="005E6B7C" w:rsidRDefault="006E722D" w:rsidP="006E722D">
      <w:pPr>
        <w:tabs>
          <w:tab w:val="left" w:pos="270"/>
          <w:tab w:val="left" w:pos="540"/>
          <w:tab w:val="right" w:leader="hyphen" w:pos="9072"/>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ab/>
      </w:r>
      <w:r w:rsidR="001922EB" w:rsidRPr="005E6B7C">
        <w:rPr>
          <w:rFonts w:asciiTheme="majorHAnsi" w:eastAsia="Yu Mincho" w:hAnsiTheme="majorHAnsi" w:cstheme="majorHAnsi"/>
          <w:b/>
          <w:bCs/>
          <w:i/>
          <w:iCs/>
          <w:color w:val="000000" w:themeColor="text1"/>
          <w:sz w:val="22"/>
          <w:szCs w:val="22"/>
          <w:lang w:eastAsia="ja-JP"/>
        </w:rPr>
        <w:t xml:space="preserve">Phenylethyl rutinoside </w:t>
      </w:r>
      <w:r w:rsidRPr="005E6B7C">
        <w:rPr>
          <w:rFonts w:asciiTheme="majorHAnsi" w:eastAsia="Yu Mincho" w:hAnsiTheme="majorHAnsi" w:cstheme="majorHAnsi"/>
          <w:b/>
          <w:bCs/>
          <w:i/>
          <w:iCs/>
          <w:color w:val="000000" w:themeColor="text1"/>
          <w:sz w:val="22"/>
          <w:szCs w:val="22"/>
          <w:lang w:eastAsia="ja-JP"/>
        </w:rPr>
        <w:t xml:space="preserve">(2): </w:t>
      </w:r>
      <w:r w:rsidRPr="005E6B7C">
        <w:rPr>
          <w:rFonts w:asciiTheme="majorHAnsi" w:eastAsia="Yu Mincho" w:hAnsiTheme="majorHAnsi" w:cstheme="majorHAnsi"/>
          <w:color w:val="000000" w:themeColor="text1"/>
          <w:sz w:val="22"/>
          <w:szCs w:val="22"/>
          <w:lang w:eastAsia="ja-JP"/>
        </w:rPr>
        <w:t xml:space="preserve">Pale yellow solid;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w:t>
      </w:r>
      <w:r w:rsidRPr="005E6B7C">
        <w:rPr>
          <w:rFonts w:asciiTheme="majorHAnsi" w:eastAsia="Yu Mincho" w:hAnsiTheme="majorHAnsi" w:cstheme="majorHAnsi"/>
          <w:color w:val="000000" w:themeColor="text1"/>
          <w:sz w:val="22"/>
          <w:szCs w:val="22"/>
          <w:lang w:eastAsia="ja-JP"/>
        </w:rPr>
        <w:t>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1.</w:t>
      </w:r>
    </w:p>
    <w:p w14:paraId="2A2EAFCE" w14:textId="77777777" w:rsidR="006E722D" w:rsidRPr="005E6B7C" w:rsidRDefault="006E722D" w:rsidP="006E722D">
      <w:pPr>
        <w:tabs>
          <w:tab w:val="left" w:pos="270"/>
          <w:tab w:val="left" w:pos="540"/>
          <w:tab w:val="right" w:leader="hyphen" w:pos="9072"/>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Kaempferol 3-O-</w:t>
      </w:r>
      <w:r w:rsidRPr="005E6B7C">
        <w:rPr>
          <w:rFonts w:asciiTheme="majorHAnsi" w:eastAsia="Yu Mincho" w:hAnsiTheme="majorHAnsi" w:cstheme="majorHAnsi"/>
          <w:b/>
          <w:bCs/>
          <w:i/>
          <w:iCs/>
          <w:color w:val="000000" w:themeColor="text1"/>
          <w:sz w:val="22"/>
          <w:szCs w:val="22"/>
          <w:lang w:eastAsia="ja-JP"/>
        </w:rPr>
        <w:sym w:font="Symbol" w:char="F062"/>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18"/>
          <w:szCs w:val="22"/>
          <w:lang w:eastAsia="ja-JP"/>
        </w:rPr>
        <w:t>D</w:t>
      </w:r>
      <w:r w:rsidRPr="005E6B7C">
        <w:rPr>
          <w:rFonts w:asciiTheme="majorHAnsi" w:eastAsia="Yu Mincho" w:hAnsiTheme="majorHAnsi" w:cstheme="majorHAnsi"/>
          <w:b/>
          <w:bCs/>
          <w:i/>
          <w:iCs/>
          <w:color w:val="000000" w:themeColor="text1"/>
          <w:sz w:val="22"/>
          <w:szCs w:val="22"/>
          <w:lang w:eastAsia="ja-JP"/>
        </w:rPr>
        <w:t>-glucopyranosyl-(2</w:t>
      </w:r>
      <w:r w:rsidRPr="005E6B7C">
        <w:rPr>
          <w:rFonts w:asciiTheme="majorHAnsi" w:eastAsia="Yu Mincho" w:hAnsiTheme="majorHAnsi" w:cstheme="majorHAnsi"/>
          <w:b/>
          <w:bCs/>
          <w:i/>
          <w:iCs/>
          <w:color w:val="000000" w:themeColor="text1"/>
          <w:sz w:val="22"/>
          <w:szCs w:val="22"/>
          <w:lang w:eastAsia="ja-JP"/>
        </w:rPr>
        <w:sym w:font="Symbol" w:char="F0AE"/>
      </w:r>
      <w:r w:rsidRPr="005E6B7C">
        <w:rPr>
          <w:rFonts w:asciiTheme="majorHAnsi" w:eastAsia="Yu Mincho" w:hAnsiTheme="majorHAnsi" w:cstheme="majorHAnsi"/>
          <w:b/>
          <w:bCs/>
          <w:i/>
          <w:iCs/>
          <w:color w:val="000000" w:themeColor="text1"/>
          <w:sz w:val="22"/>
          <w:szCs w:val="22"/>
          <w:lang w:eastAsia="ja-JP"/>
        </w:rPr>
        <w:t>1)-</w:t>
      </w:r>
      <w:r w:rsidRPr="005E6B7C">
        <w:rPr>
          <w:rFonts w:asciiTheme="majorHAnsi" w:eastAsia="Yu Mincho" w:hAnsiTheme="majorHAnsi" w:cstheme="majorHAnsi"/>
          <w:b/>
          <w:bCs/>
          <w:i/>
          <w:iCs/>
          <w:color w:val="000000" w:themeColor="text1"/>
          <w:sz w:val="22"/>
          <w:szCs w:val="22"/>
          <w:lang w:eastAsia="ja-JP"/>
        </w:rPr>
        <w:sym w:font="Symbol" w:char="F062"/>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18"/>
          <w:szCs w:val="22"/>
          <w:lang w:eastAsia="ja-JP"/>
        </w:rPr>
        <w:t>D</w:t>
      </w:r>
      <w:r w:rsidRPr="005E6B7C">
        <w:rPr>
          <w:rFonts w:asciiTheme="majorHAnsi" w:eastAsia="Yu Mincho" w:hAnsiTheme="majorHAnsi" w:cstheme="majorHAnsi"/>
          <w:b/>
          <w:bCs/>
          <w:i/>
          <w:iCs/>
          <w:color w:val="000000" w:themeColor="text1"/>
          <w:sz w:val="22"/>
          <w:szCs w:val="22"/>
          <w:lang w:eastAsia="ja-JP"/>
        </w:rPr>
        <w:t xml:space="preserve">-xylopyranoside </w:t>
      </w:r>
      <w:r w:rsidRPr="005E6B7C">
        <w:rPr>
          <w:rFonts w:asciiTheme="majorHAnsi" w:eastAsia="Yu Mincho" w:hAnsiTheme="majorHAnsi" w:cstheme="majorHAnsi"/>
          <w:b/>
          <w:i/>
          <w:iCs/>
          <w:color w:val="000000" w:themeColor="text1"/>
          <w:sz w:val="22"/>
          <w:szCs w:val="22"/>
          <w:lang w:eastAsia="ja-JP"/>
        </w:rPr>
        <w:t>(3)</w:t>
      </w:r>
      <w:r w:rsidRPr="005E6B7C">
        <w:rPr>
          <w:rFonts w:asciiTheme="majorHAnsi" w:eastAsia="Yu Mincho" w:hAnsiTheme="majorHAnsi" w:cstheme="majorHAnsi"/>
          <w:b/>
          <w: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Pale yellow powder;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2.</w:t>
      </w:r>
    </w:p>
    <w:p w14:paraId="5C1B3BDD" w14:textId="77777777" w:rsidR="006E722D" w:rsidRPr="005E6B7C" w:rsidRDefault="006E722D" w:rsidP="006E722D">
      <w:pPr>
        <w:tabs>
          <w:tab w:val="left" w:pos="270"/>
          <w:tab w:val="left" w:pos="540"/>
          <w:tab w:val="right" w:leader="hyphen" w:pos="9072"/>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ab/>
      </w:r>
      <w:r w:rsidRPr="005E6B7C">
        <w:rPr>
          <w:rFonts w:asciiTheme="majorHAnsi" w:eastAsia="Yu Mincho" w:hAnsiTheme="majorHAnsi" w:cstheme="majorHAnsi"/>
          <w:b/>
          <w:bCs/>
          <w:i/>
          <w:iCs/>
          <w:color w:val="000000" w:themeColor="text1"/>
          <w:sz w:val="22"/>
          <w:szCs w:val="22"/>
          <w:lang w:eastAsia="ja-JP"/>
        </w:rPr>
        <w:t>Pinoresinol 4-O-</w:t>
      </w:r>
      <w:r w:rsidRPr="005E6B7C">
        <w:rPr>
          <w:rFonts w:asciiTheme="majorHAnsi" w:eastAsia="Yu Mincho" w:hAnsiTheme="majorHAnsi" w:cstheme="majorHAnsi"/>
          <w:b/>
          <w:bCs/>
          <w:i/>
          <w:iCs/>
          <w:color w:val="000000" w:themeColor="text1"/>
          <w:sz w:val="22"/>
          <w:szCs w:val="22"/>
          <w:lang w:eastAsia="ja-JP"/>
        </w:rPr>
        <w:sym w:font="Symbol" w:char="F061"/>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18"/>
          <w:szCs w:val="22"/>
          <w:lang w:eastAsia="ja-JP"/>
        </w:rPr>
        <w:t>L</w:t>
      </w:r>
      <w:r w:rsidRPr="005E6B7C">
        <w:rPr>
          <w:rFonts w:asciiTheme="majorHAnsi" w:eastAsia="Yu Mincho" w:hAnsiTheme="majorHAnsi" w:cstheme="majorHAnsi"/>
          <w:b/>
          <w:bCs/>
          <w:i/>
          <w:iCs/>
          <w:color w:val="000000" w:themeColor="text1"/>
          <w:sz w:val="22"/>
          <w:szCs w:val="22"/>
          <w:lang w:eastAsia="ja-JP"/>
        </w:rPr>
        <w:t>-rhamnopyranosyl (1</w:t>
      </w:r>
      <w:r w:rsidRPr="005E6B7C">
        <w:rPr>
          <w:rFonts w:asciiTheme="majorHAnsi" w:eastAsia="Yu Mincho" w:hAnsiTheme="majorHAnsi" w:cstheme="majorHAnsi"/>
          <w:b/>
          <w:bCs/>
          <w:i/>
          <w:iCs/>
          <w:color w:val="000000" w:themeColor="text1"/>
          <w:sz w:val="22"/>
          <w:szCs w:val="22"/>
          <w:lang w:eastAsia="ja-JP"/>
        </w:rPr>
        <w:sym w:font="Symbol" w:char="F0AE"/>
      </w:r>
      <w:r w:rsidRPr="005E6B7C">
        <w:rPr>
          <w:rFonts w:asciiTheme="majorHAnsi" w:eastAsia="Yu Mincho" w:hAnsiTheme="majorHAnsi" w:cstheme="majorHAnsi"/>
          <w:b/>
          <w:bCs/>
          <w:i/>
          <w:iCs/>
          <w:color w:val="000000" w:themeColor="text1"/>
          <w:sz w:val="22"/>
          <w:szCs w:val="22"/>
          <w:lang w:eastAsia="ja-JP"/>
        </w:rPr>
        <w:t>2)-</w:t>
      </w:r>
      <w:r w:rsidRPr="005E6B7C">
        <w:rPr>
          <w:rFonts w:asciiTheme="majorHAnsi" w:eastAsia="Yu Mincho" w:hAnsiTheme="majorHAnsi" w:cstheme="majorHAnsi"/>
          <w:b/>
          <w:bCs/>
          <w:i/>
          <w:iCs/>
          <w:color w:val="000000" w:themeColor="text1"/>
          <w:sz w:val="22"/>
          <w:szCs w:val="22"/>
          <w:lang w:eastAsia="ja-JP"/>
        </w:rPr>
        <w:sym w:font="Symbol" w:char="F062"/>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18"/>
          <w:szCs w:val="22"/>
          <w:lang w:eastAsia="ja-JP"/>
        </w:rPr>
        <w:t>D</w:t>
      </w:r>
      <w:r w:rsidRPr="005E6B7C">
        <w:rPr>
          <w:rFonts w:asciiTheme="majorHAnsi" w:eastAsia="Yu Mincho" w:hAnsiTheme="majorHAnsi" w:cstheme="majorHAnsi"/>
          <w:b/>
          <w:bCs/>
          <w:i/>
          <w:iCs/>
          <w:color w:val="000000" w:themeColor="text1"/>
          <w:sz w:val="22"/>
          <w:szCs w:val="22"/>
          <w:lang w:eastAsia="ja-JP"/>
        </w:rPr>
        <w:t xml:space="preserve">-glucopyranoside </w:t>
      </w:r>
      <w:r w:rsidRPr="005E6B7C">
        <w:rPr>
          <w:rFonts w:asciiTheme="majorHAnsi" w:eastAsia="Yu Mincho" w:hAnsiTheme="majorHAnsi" w:cstheme="majorHAnsi"/>
          <w:b/>
          <w:i/>
          <w:iCs/>
          <w:color w:val="000000" w:themeColor="text1"/>
          <w:sz w:val="22"/>
          <w:szCs w:val="22"/>
          <w:lang w:eastAsia="ja-JP"/>
        </w:rPr>
        <w:t>(4)</w:t>
      </w:r>
      <w:r w:rsidRPr="005E6B7C">
        <w:rPr>
          <w:rFonts w:asciiTheme="majorHAnsi" w:eastAsia="Yu Mincho" w:hAnsiTheme="majorHAnsi" w:cstheme="majorHAnsi"/>
          <w:b/>
          <w: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White powder; [</w:t>
      </w:r>
      <w:r w:rsidRPr="005E6B7C">
        <w:rPr>
          <w:rFonts w:asciiTheme="majorHAnsi" w:eastAsia="Yu Mincho" w:hAnsiTheme="majorHAnsi" w:cstheme="majorHAnsi"/>
          <w:color w:val="000000" w:themeColor="text1"/>
          <w:sz w:val="22"/>
          <w:szCs w:val="22"/>
          <w:lang w:val="pt-BR" w:eastAsia="ja-JP"/>
        </w:rPr>
        <w:sym w:font="Symbol" w:char="F061"/>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bscript"/>
          <w:lang w:eastAsia="ja-JP"/>
        </w:rPr>
        <w:t>D</w:t>
      </w:r>
      <w:r w:rsidRPr="005E6B7C">
        <w:rPr>
          <w:rFonts w:asciiTheme="majorHAnsi" w:eastAsia="Yu Mincho" w:hAnsiTheme="majorHAnsi" w:cstheme="majorHAnsi"/>
          <w:color w:val="000000" w:themeColor="text1"/>
          <w:sz w:val="22"/>
          <w:szCs w:val="22"/>
          <w:vertAlign w:val="superscript"/>
          <w:lang w:eastAsia="ja-JP"/>
        </w:rPr>
        <w:t>22</w:t>
      </w:r>
      <w:r w:rsidRPr="005E6B7C">
        <w:rPr>
          <w:rFonts w:asciiTheme="majorHAnsi" w:eastAsia="Yu Mincho" w:hAnsiTheme="majorHAnsi" w:cstheme="majorHAnsi"/>
          <w:color w:val="000000" w:themeColor="text1"/>
          <w:sz w:val="22"/>
          <w:szCs w:val="22"/>
          <w:lang w:eastAsia="ja-JP"/>
        </w:rPr>
        <w:t xml:space="preserve"> +15 (</w:t>
      </w:r>
      <w:r w:rsidRPr="005E6B7C">
        <w:rPr>
          <w:rFonts w:asciiTheme="majorHAnsi" w:eastAsia="Yu Mincho" w:hAnsiTheme="majorHAnsi" w:cstheme="majorHAnsi"/>
          <w:i/>
          <w:iCs/>
          <w:color w:val="000000" w:themeColor="text1"/>
          <w:sz w:val="22"/>
          <w:szCs w:val="22"/>
          <w:lang w:eastAsia="ja-JP"/>
        </w:rPr>
        <w:t>c</w:t>
      </w:r>
      <w:r w:rsidRPr="005E6B7C">
        <w:rPr>
          <w:rFonts w:asciiTheme="majorHAnsi" w:eastAsia="Yu Mincho" w:hAnsiTheme="majorHAnsi" w:cstheme="majorHAnsi"/>
          <w:color w:val="000000" w:themeColor="text1"/>
          <w:sz w:val="22"/>
          <w:szCs w:val="22"/>
          <w:lang w:eastAsia="ja-JP"/>
        </w:rPr>
        <w:t xml:space="preserve"> 0.05, MeOH);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2.</w:t>
      </w:r>
    </w:p>
    <w:p w14:paraId="1BD478CF" w14:textId="77777777" w:rsidR="006E722D" w:rsidRPr="005E6B7C" w:rsidRDefault="006E722D" w:rsidP="006E722D">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8"/>
          <w:sz w:val="22"/>
          <w:szCs w:val="22"/>
          <w:lang w:eastAsia="ja-JP"/>
        </w:rPr>
      </w:pPr>
      <w:r w:rsidRPr="005E6B7C">
        <w:rPr>
          <w:rFonts w:asciiTheme="majorHAnsi" w:eastAsia="Yu Mincho" w:hAnsiTheme="majorHAnsi" w:cstheme="majorHAnsi"/>
          <w:b/>
          <w:bCs/>
          <w:i/>
          <w:iCs/>
          <w:color w:val="000000" w:themeColor="text1"/>
          <w:spacing w:val="-8"/>
          <w:sz w:val="22"/>
          <w:szCs w:val="22"/>
          <w:lang w:eastAsia="ja-JP"/>
        </w:rPr>
        <w:t>(7S*,8R*)-Urolignoside</w:t>
      </w:r>
      <w:r w:rsidRPr="005E6B7C">
        <w:rPr>
          <w:rFonts w:asciiTheme="majorHAnsi" w:eastAsia="Yu Mincho" w:hAnsiTheme="majorHAnsi" w:cstheme="majorHAnsi"/>
          <w:b/>
          <w:i/>
          <w:iCs/>
          <w:color w:val="000000" w:themeColor="text1"/>
          <w:spacing w:val="-8"/>
          <w:sz w:val="22"/>
          <w:szCs w:val="22"/>
          <w:lang w:eastAsia="ja-JP"/>
        </w:rPr>
        <w:t xml:space="preserve"> (5)</w:t>
      </w:r>
      <w:r w:rsidRPr="005E6B7C">
        <w:rPr>
          <w:rFonts w:asciiTheme="majorHAnsi" w:eastAsia="Yu Mincho" w:hAnsiTheme="majorHAnsi" w:cstheme="majorHAnsi"/>
          <w:b/>
          <w:i/>
          <w:color w:val="000000" w:themeColor="text1"/>
          <w:spacing w:val="-8"/>
          <w:sz w:val="22"/>
          <w:szCs w:val="22"/>
          <w:lang w:eastAsia="ja-JP"/>
        </w:rPr>
        <w:t>:</w:t>
      </w:r>
      <w:r w:rsidRPr="005E6B7C">
        <w:rPr>
          <w:rFonts w:asciiTheme="majorHAnsi" w:eastAsia="Yu Mincho" w:hAnsiTheme="majorHAnsi" w:cstheme="majorHAnsi"/>
          <w:color w:val="000000" w:themeColor="text1"/>
          <w:spacing w:val="-8"/>
          <w:sz w:val="22"/>
          <w:szCs w:val="22"/>
          <w:lang w:eastAsia="ja-JP"/>
        </w:rPr>
        <w:t xml:space="preserve"> White powder; [</w:t>
      </w:r>
      <w:r w:rsidRPr="005E6B7C">
        <w:rPr>
          <w:rFonts w:asciiTheme="majorHAnsi" w:eastAsia="Yu Mincho" w:hAnsiTheme="majorHAnsi" w:cstheme="majorHAnsi"/>
          <w:color w:val="000000" w:themeColor="text1"/>
          <w:spacing w:val="-8"/>
          <w:sz w:val="22"/>
          <w:szCs w:val="22"/>
          <w:lang w:val="pt-BR" w:eastAsia="ja-JP"/>
        </w:rPr>
        <w:sym w:font="Symbol" w:char="F061"/>
      </w:r>
      <w:r w:rsidRPr="005E6B7C">
        <w:rPr>
          <w:rFonts w:asciiTheme="majorHAnsi" w:eastAsia="Yu Mincho" w:hAnsiTheme="majorHAnsi" w:cstheme="majorHAnsi"/>
          <w:color w:val="000000" w:themeColor="text1"/>
          <w:spacing w:val="-8"/>
          <w:sz w:val="22"/>
          <w:szCs w:val="22"/>
          <w:lang w:eastAsia="ja-JP"/>
        </w:rPr>
        <w:t>]</w:t>
      </w:r>
      <w:r w:rsidRPr="005E6B7C">
        <w:rPr>
          <w:rFonts w:asciiTheme="majorHAnsi" w:eastAsia="Yu Mincho" w:hAnsiTheme="majorHAnsi" w:cstheme="majorHAnsi"/>
          <w:color w:val="000000" w:themeColor="text1"/>
          <w:spacing w:val="-8"/>
          <w:sz w:val="22"/>
          <w:szCs w:val="22"/>
          <w:vertAlign w:val="subscript"/>
          <w:lang w:eastAsia="ja-JP"/>
        </w:rPr>
        <w:t>D</w:t>
      </w:r>
      <w:r w:rsidRPr="005E6B7C">
        <w:rPr>
          <w:rFonts w:asciiTheme="majorHAnsi" w:eastAsia="Yu Mincho" w:hAnsiTheme="majorHAnsi" w:cstheme="majorHAnsi"/>
          <w:color w:val="000000" w:themeColor="text1"/>
          <w:spacing w:val="-8"/>
          <w:sz w:val="22"/>
          <w:szCs w:val="22"/>
          <w:vertAlign w:val="superscript"/>
          <w:lang w:eastAsia="ja-JP"/>
        </w:rPr>
        <w:t>22</w:t>
      </w:r>
      <w:r w:rsidRPr="005E6B7C">
        <w:rPr>
          <w:rFonts w:asciiTheme="majorHAnsi" w:eastAsia="Yu Mincho" w:hAnsiTheme="majorHAnsi" w:cstheme="majorHAnsi"/>
          <w:color w:val="000000" w:themeColor="text1"/>
          <w:spacing w:val="-8"/>
          <w:sz w:val="22"/>
          <w:szCs w:val="22"/>
          <w:lang w:eastAsia="ja-JP"/>
        </w:rPr>
        <w:t xml:space="preserve"> </w:t>
      </w:r>
      <w:r w:rsidRPr="005E6B7C">
        <w:rPr>
          <w:rFonts w:asciiTheme="majorHAnsi" w:eastAsia="Yu Mincho" w:hAnsiTheme="majorHAnsi" w:cstheme="majorHAnsi"/>
          <w:color w:val="000000" w:themeColor="text1"/>
          <w:spacing w:val="-8"/>
          <w:sz w:val="22"/>
          <w:szCs w:val="22"/>
          <w:lang w:val="pt-BR" w:eastAsia="ja-JP"/>
        </w:rPr>
        <w:sym w:font="Symbol" w:char="F02D"/>
      </w:r>
      <w:r w:rsidRPr="005E6B7C">
        <w:rPr>
          <w:rFonts w:asciiTheme="majorHAnsi" w:eastAsia="Yu Mincho" w:hAnsiTheme="majorHAnsi" w:cstheme="majorHAnsi"/>
          <w:color w:val="000000" w:themeColor="text1"/>
          <w:spacing w:val="-8"/>
          <w:sz w:val="22"/>
          <w:szCs w:val="22"/>
          <w:lang w:eastAsia="ja-JP"/>
        </w:rPr>
        <w:t>25 (</w:t>
      </w:r>
      <w:r w:rsidRPr="005E6B7C">
        <w:rPr>
          <w:rFonts w:asciiTheme="majorHAnsi" w:eastAsia="Yu Mincho" w:hAnsiTheme="majorHAnsi" w:cstheme="majorHAnsi"/>
          <w:i/>
          <w:iCs/>
          <w:color w:val="000000" w:themeColor="text1"/>
          <w:spacing w:val="-8"/>
          <w:sz w:val="22"/>
          <w:szCs w:val="22"/>
          <w:lang w:eastAsia="ja-JP"/>
        </w:rPr>
        <w:t>c</w:t>
      </w:r>
      <w:r w:rsidRPr="005E6B7C">
        <w:rPr>
          <w:rFonts w:asciiTheme="majorHAnsi" w:eastAsia="Yu Mincho" w:hAnsiTheme="majorHAnsi" w:cstheme="majorHAnsi"/>
          <w:color w:val="000000" w:themeColor="text1"/>
          <w:spacing w:val="-8"/>
          <w:sz w:val="22"/>
          <w:szCs w:val="22"/>
          <w:lang w:eastAsia="ja-JP"/>
        </w:rPr>
        <w:t xml:space="preserve"> 0.05, MeOH); </w:t>
      </w:r>
      <w:r w:rsidRPr="005E6B7C">
        <w:rPr>
          <w:rFonts w:asciiTheme="majorHAnsi" w:eastAsia="Yu Mincho" w:hAnsiTheme="majorHAnsi" w:cstheme="majorHAnsi"/>
          <w:color w:val="000000" w:themeColor="text1"/>
          <w:spacing w:val="-8"/>
          <w:sz w:val="22"/>
          <w:szCs w:val="22"/>
          <w:vertAlign w:val="superscript"/>
          <w:lang w:eastAsia="ja-JP"/>
        </w:rPr>
        <w:t>1</w:t>
      </w:r>
      <w:r w:rsidRPr="005E6B7C">
        <w:rPr>
          <w:rFonts w:asciiTheme="majorHAnsi" w:eastAsia="Yu Mincho" w:hAnsiTheme="majorHAnsi" w:cstheme="majorHAnsi"/>
          <w:color w:val="000000" w:themeColor="text1"/>
          <w:spacing w:val="-8"/>
          <w:sz w:val="22"/>
          <w:szCs w:val="22"/>
          <w:lang w:eastAsia="ja-JP"/>
        </w:rPr>
        <w:t>H-NMR (500 MHz, CD</w:t>
      </w:r>
      <w:r w:rsidRPr="005E6B7C">
        <w:rPr>
          <w:rFonts w:asciiTheme="majorHAnsi" w:eastAsia="Yu Mincho" w:hAnsiTheme="majorHAnsi" w:cstheme="majorHAnsi"/>
          <w:color w:val="000000" w:themeColor="text1"/>
          <w:spacing w:val="-8"/>
          <w:sz w:val="22"/>
          <w:szCs w:val="22"/>
          <w:vertAlign w:val="subscript"/>
          <w:lang w:eastAsia="ja-JP"/>
        </w:rPr>
        <w:t>3</w:t>
      </w:r>
      <w:r w:rsidRPr="005E6B7C">
        <w:rPr>
          <w:rFonts w:asciiTheme="majorHAnsi" w:eastAsia="Yu Mincho" w:hAnsiTheme="majorHAnsi" w:cstheme="majorHAnsi"/>
          <w:color w:val="000000" w:themeColor="text1"/>
          <w:spacing w:val="-8"/>
          <w:sz w:val="22"/>
          <w:szCs w:val="22"/>
          <w:lang w:eastAsia="ja-JP"/>
        </w:rPr>
        <w:t xml:space="preserve">OD) and </w:t>
      </w:r>
      <w:r w:rsidRPr="005E6B7C">
        <w:rPr>
          <w:rFonts w:asciiTheme="majorHAnsi" w:eastAsia="Yu Mincho" w:hAnsiTheme="majorHAnsi" w:cstheme="majorHAnsi"/>
          <w:color w:val="000000" w:themeColor="text1"/>
          <w:spacing w:val="-8"/>
          <w:sz w:val="22"/>
          <w:szCs w:val="22"/>
          <w:vertAlign w:val="superscript"/>
          <w:lang w:eastAsia="ja-JP"/>
        </w:rPr>
        <w:t>13</w:t>
      </w:r>
      <w:r w:rsidRPr="005E6B7C">
        <w:rPr>
          <w:rFonts w:asciiTheme="majorHAnsi" w:eastAsia="Yu Mincho" w:hAnsiTheme="majorHAnsi" w:cstheme="majorHAnsi"/>
          <w:color w:val="000000" w:themeColor="text1"/>
          <w:spacing w:val="-8"/>
          <w:sz w:val="22"/>
          <w:szCs w:val="22"/>
          <w:lang w:eastAsia="ja-JP"/>
        </w:rPr>
        <w:t>C-NMR (125 MHz, CD</w:t>
      </w:r>
      <w:r w:rsidRPr="005E6B7C">
        <w:rPr>
          <w:rFonts w:asciiTheme="majorHAnsi" w:eastAsia="Yu Mincho" w:hAnsiTheme="majorHAnsi" w:cstheme="majorHAnsi"/>
          <w:color w:val="000000" w:themeColor="text1"/>
          <w:spacing w:val="-8"/>
          <w:sz w:val="22"/>
          <w:szCs w:val="22"/>
          <w:vertAlign w:val="subscript"/>
          <w:lang w:eastAsia="ja-JP"/>
        </w:rPr>
        <w:t>3</w:t>
      </w:r>
      <w:r w:rsidRPr="005E6B7C">
        <w:rPr>
          <w:rFonts w:asciiTheme="majorHAnsi" w:eastAsia="Yu Mincho" w:hAnsiTheme="majorHAnsi" w:cstheme="majorHAnsi"/>
          <w:color w:val="000000" w:themeColor="text1"/>
          <w:spacing w:val="-8"/>
          <w:sz w:val="22"/>
          <w:szCs w:val="22"/>
          <w:lang w:eastAsia="ja-JP"/>
        </w:rPr>
        <w:t>OD) see Table 2.</w:t>
      </w:r>
    </w:p>
    <w:p w14:paraId="5C600862" w14:textId="77777777" w:rsidR="00E049CB" w:rsidRPr="005E6B7C" w:rsidRDefault="00E049CB" w:rsidP="008C0D47">
      <w:pPr>
        <w:tabs>
          <w:tab w:val="left" w:pos="270"/>
          <w:tab w:val="left" w:pos="360"/>
          <w:tab w:val="left" w:pos="540"/>
          <w:tab w:val="right" w:leader="hyphen" w:pos="9072"/>
          <w:tab w:val="left" w:pos="9270"/>
        </w:tabs>
        <w:spacing w:line="240" w:lineRule="exact"/>
        <w:ind w:firstLine="284"/>
        <w:jc w:val="both"/>
        <w:rPr>
          <w:rFonts w:asciiTheme="majorHAnsi" w:eastAsia="Yu Mincho" w:hAnsiTheme="majorHAnsi" w:cstheme="majorHAnsi"/>
          <w:bCs/>
          <w:i/>
          <w:iCs/>
          <w:color w:val="000000" w:themeColor="text1"/>
          <w:spacing w:val="-2"/>
          <w:sz w:val="22"/>
          <w:szCs w:val="22"/>
          <w:lang w:eastAsia="ja-JP"/>
        </w:rPr>
      </w:pPr>
      <w:r w:rsidRPr="005E6B7C">
        <w:rPr>
          <w:rFonts w:asciiTheme="majorHAnsi" w:eastAsia="Yu Mincho" w:hAnsiTheme="majorHAnsi" w:cstheme="majorHAnsi"/>
          <w:bCs/>
          <w:i/>
          <w:iCs/>
          <w:color w:val="000000" w:themeColor="text1"/>
          <w:spacing w:val="-2"/>
          <w:sz w:val="22"/>
          <w:szCs w:val="22"/>
          <w:lang w:eastAsia="ja-JP"/>
        </w:rPr>
        <w:t>2.4. Antiproliferative assay</w:t>
      </w:r>
    </w:p>
    <w:p w14:paraId="6B2E9122" w14:textId="20F7122C"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w:t>
      </w:r>
      <w:bookmarkStart w:id="5" w:name="_Hlk219152757"/>
      <w:r w:rsidRPr="005E6B7C">
        <w:rPr>
          <w:rFonts w:asciiTheme="majorHAnsi" w:eastAsia="Yu Mincho" w:hAnsiTheme="majorHAnsi" w:cstheme="majorHAnsi"/>
          <w:color w:val="000000" w:themeColor="text1"/>
          <w:sz w:val="22"/>
          <w:szCs w:val="22"/>
          <w:lang w:eastAsia="ja-JP"/>
        </w:rPr>
        <w:t xml:space="preserve">antiproliferative activity of compounds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val="pt-BR" w:eastAsia="ja-JP"/>
        </w:rPr>
        <w:sym w:font="Symbol" w:char="F02D"/>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t>
      </w:r>
      <w:bookmarkEnd w:id="5"/>
      <w:r w:rsidRPr="005E6B7C">
        <w:rPr>
          <w:rFonts w:asciiTheme="majorHAnsi" w:eastAsia="Yu Mincho" w:hAnsiTheme="majorHAnsi" w:cstheme="majorHAnsi"/>
          <w:color w:val="000000" w:themeColor="text1"/>
          <w:sz w:val="22"/>
          <w:szCs w:val="22"/>
          <w:lang w:eastAsia="ja-JP"/>
        </w:rPr>
        <w:t xml:space="preserve">on three human cancer cell lines as </w:t>
      </w:r>
      <w:r w:rsidRPr="005E6B7C">
        <w:rPr>
          <w:rFonts w:asciiTheme="majorHAnsi" w:eastAsia="Yu Mincho" w:hAnsiTheme="majorHAnsi" w:cstheme="majorHAnsi"/>
          <w:bCs/>
          <w:color w:val="000000" w:themeColor="text1"/>
          <w:sz w:val="22"/>
          <w:szCs w:val="22"/>
          <w:lang w:eastAsia="ja-JP"/>
        </w:rPr>
        <w:t>MCF</w:t>
      </w:r>
      <w:r w:rsidR="00FB7B36" w:rsidRPr="005E6B7C">
        <w:rPr>
          <w:rFonts w:asciiTheme="majorHAnsi" w:eastAsia="Yu Mincho" w:hAnsiTheme="majorHAnsi" w:cstheme="majorHAnsi"/>
          <w:bCs/>
          <w:color w:val="000000" w:themeColor="text1"/>
          <w:sz w:val="22"/>
          <w:szCs w:val="22"/>
          <w:lang w:val="vi-VN" w:eastAsia="ja-JP"/>
        </w:rPr>
        <w:t>-</w:t>
      </w:r>
      <w:r w:rsidRPr="005E6B7C">
        <w:rPr>
          <w:rFonts w:asciiTheme="majorHAnsi" w:eastAsia="Yu Mincho" w:hAnsiTheme="majorHAnsi" w:cstheme="majorHAnsi"/>
          <w:bCs/>
          <w:color w:val="000000" w:themeColor="text1"/>
          <w:sz w:val="22"/>
          <w:szCs w:val="22"/>
          <w:lang w:eastAsia="ja-JP"/>
        </w:rPr>
        <w:t>7 (breast), HepG2 (liver), and SK-LU-1 (lung)</w:t>
      </w:r>
      <w:r w:rsidRPr="005E6B7C">
        <w:rPr>
          <w:rFonts w:asciiTheme="majorHAnsi" w:eastAsia="Yu Mincho" w:hAnsiTheme="majorHAnsi" w:cstheme="majorHAnsi"/>
          <w:color w:val="000000" w:themeColor="text1"/>
          <w:sz w:val="22"/>
          <w:szCs w:val="22"/>
          <w:lang w:eastAsia="ja-JP"/>
        </w:rPr>
        <w:t xml:space="preserve"> was evaluated using MTT (3-(4,5-dimethylthiazol-2-yl)-2,5-diphenyl-tetrazolium bromide) method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PEVuZE5vdGU+PENpdGU+PEF1dGhvcj5TY3VkaWVybzwvQXV0aG9yPjxZZWFyPjE5ODg8L1llYXI+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PjxwYWdlcz40ODI3LTMzPC9wYWdlcz48dm9sdW1lPjQ4PC92b2x1bWU+PG51bWJlcj4xNzwvbnVt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PEVuZE5vdGU+PENpdGU+PEF1dGhvcj5TY3VkaWVybzwvQXV0aG9yPjxZZWFyPjE5ODg8L1llYXI+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PjxwYWdlcz40ODI3LTMzPC9wYWdlcz48dm9sdW1lPjQ4PC92b2x1bWU+PG51bWJlcj4xNzwvbnVt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6" w:tooltip="Scudiero, 1988 #62" w:history="1">
        <w:r w:rsidRPr="005E6B7C">
          <w:rPr>
            <w:rFonts w:asciiTheme="majorHAnsi" w:eastAsia="Yu Mincho" w:hAnsiTheme="majorHAnsi" w:cstheme="majorHAnsi"/>
            <w:noProof/>
            <w:color w:val="000000" w:themeColor="text1"/>
            <w:sz w:val="22"/>
            <w:szCs w:val="22"/>
            <w:lang w:eastAsia="ja-JP"/>
          </w:rPr>
          <w:t>6</w:t>
        </w:r>
      </w:hyperlink>
      <w:r w:rsidRPr="005E6B7C">
        <w:rPr>
          <w:rFonts w:asciiTheme="majorHAnsi" w:eastAsia="Yu Mincho" w:hAnsiTheme="majorHAnsi" w:cstheme="majorHAnsi"/>
          <w:noProof/>
          <w:color w:val="000000" w:themeColor="text1"/>
          <w:sz w:val="22"/>
          <w:szCs w:val="22"/>
          <w:lang w:eastAsia="ja-JP"/>
        </w:rPr>
        <w:t>],[</w:t>
      </w:r>
      <w:hyperlink w:anchor="_ENREF_7" w:tooltip="Nguyen, 2023 #63" w:history="1">
        <w:r w:rsidRPr="005E6B7C">
          <w:rPr>
            <w:rFonts w:asciiTheme="majorHAnsi" w:eastAsia="Yu Mincho" w:hAnsiTheme="majorHAnsi" w:cstheme="majorHAnsi"/>
            <w:noProof/>
            <w:color w:val="000000" w:themeColor="text1"/>
            <w:sz w:val="22"/>
            <w:szCs w:val="22"/>
            <w:lang w:eastAsia="ja-JP"/>
          </w:rPr>
          <w:t>7</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val="pt-BR" w:eastAsia="ja-JP"/>
        </w:rPr>
        <w:fldChar w:fldCharType="end"/>
      </w:r>
      <w:r w:rsidRPr="005E6B7C">
        <w:rPr>
          <w:rFonts w:asciiTheme="majorHAnsi" w:eastAsia="Yu Mincho" w:hAnsiTheme="majorHAnsi" w:cstheme="majorHAnsi"/>
          <w:color w:val="000000" w:themeColor="text1"/>
          <w:sz w:val="22"/>
          <w:szCs w:val="22"/>
          <w:lang w:eastAsia="ja-JP"/>
        </w:rPr>
        <w:t xml:space="preserve">. The cell lines are </w:t>
      </w:r>
      <w:r w:rsidR="004C20BA" w:rsidRPr="005E6B7C">
        <w:rPr>
          <w:rFonts w:asciiTheme="majorHAnsi" w:eastAsia="Yu Mincho" w:hAnsiTheme="majorHAnsi" w:cstheme="majorHAnsi"/>
          <w:color w:val="000000" w:themeColor="text1"/>
          <w:sz w:val="22"/>
          <w:szCs w:val="22"/>
          <w:lang w:val="vi-VN" w:eastAsia="ja-JP"/>
        </w:rPr>
        <w:t xml:space="preserve">a </w:t>
      </w:r>
      <w:r w:rsidRPr="005E6B7C">
        <w:rPr>
          <w:rFonts w:asciiTheme="majorHAnsi" w:eastAsia="Yu Mincho" w:hAnsiTheme="majorHAnsi" w:cstheme="majorHAnsi"/>
          <w:color w:val="000000" w:themeColor="text1"/>
          <w:sz w:val="22"/>
          <w:szCs w:val="22"/>
          <w:lang w:eastAsia="ja-JP"/>
        </w:rPr>
        <w:t xml:space="preserve">kind gift from Prof. Chi-Ying F. Huang, National Yang Ming Chiao Tung University, Taipei, Taiwan. Detail: </w:t>
      </w:r>
    </w:p>
    <w:p w14:paraId="7482B704" w14:textId="0390A54A"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Compounds were dissolved in DMSO 100% to get the stock solution at 20 mM. </w:t>
      </w:r>
      <w:r w:rsidR="004C20BA" w:rsidRPr="005E6B7C">
        <w:rPr>
          <w:rFonts w:asciiTheme="majorHAnsi" w:eastAsia="Yu Mincho" w:hAnsiTheme="majorHAnsi" w:cstheme="majorHAnsi"/>
          <w:bCs/>
          <w:color w:val="000000" w:themeColor="text1"/>
          <w:sz w:val="22"/>
          <w:szCs w:val="22"/>
          <w:lang w:eastAsia="ja-JP"/>
        </w:rPr>
        <w:t>S</w:t>
      </w:r>
      <w:r w:rsidRPr="005E6B7C">
        <w:rPr>
          <w:rFonts w:asciiTheme="majorHAnsi" w:eastAsia="Yu Mincho" w:hAnsiTheme="majorHAnsi" w:cstheme="majorHAnsi"/>
          <w:bCs/>
          <w:color w:val="000000" w:themeColor="text1"/>
          <w:sz w:val="22"/>
          <w:szCs w:val="22"/>
          <w:lang w:eastAsia="ja-JP"/>
        </w:rPr>
        <w:t xml:space="preserve">erial </w:t>
      </w:r>
      <w:r w:rsidR="004C20BA" w:rsidRPr="005E6B7C">
        <w:rPr>
          <w:rFonts w:asciiTheme="majorHAnsi" w:eastAsia="Yu Mincho" w:hAnsiTheme="majorHAnsi" w:cstheme="majorHAnsi"/>
          <w:bCs/>
          <w:color w:val="000000" w:themeColor="text1"/>
          <w:sz w:val="22"/>
          <w:szCs w:val="22"/>
          <w:lang w:eastAsia="ja-JP"/>
        </w:rPr>
        <w:t>dilutions</w:t>
      </w:r>
      <w:r w:rsidR="004C20BA" w:rsidRPr="005E6B7C">
        <w:rPr>
          <w:rFonts w:asciiTheme="majorHAnsi" w:eastAsia="Yu Mincho" w:hAnsiTheme="majorHAnsi" w:cstheme="majorHAnsi"/>
          <w:bCs/>
          <w:color w:val="000000" w:themeColor="text1"/>
          <w:sz w:val="22"/>
          <w:szCs w:val="22"/>
          <w:lang w:val="vi-VN" w:eastAsia="ja-JP"/>
        </w:rPr>
        <w:t xml:space="preserve"> were performed</w:t>
      </w:r>
      <w:r w:rsidRPr="005E6B7C">
        <w:rPr>
          <w:rFonts w:asciiTheme="majorHAnsi" w:eastAsia="Yu Mincho" w:hAnsiTheme="majorHAnsi" w:cstheme="majorHAnsi"/>
          <w:bCs/>
          <w:color w:val="000000" w:themeColor="text1"/>
          <w:sz w:val="22"/>
          <w:szCs w:val="22"/>
          <w:lang w:eastAsia="ja-JP"/>
        </w:rPr>
        <w:t xml:space="preserve"> on a 96-well plate using cell culture medium (Gibco, Thermo Fisher Scientific Inc.) without FBS to create 4 concentration series from high to low.</w:t>
      </w:r>
    </w:p>
    <w:p w14:paraId="55B4036C" w14:textId="6A0EA03D" w:rsidR="00290AD6" w:rsidRPr="005E6B7C" w:rsidRDefault="00290AD6"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 Trypsinize the experimental cells to detach them, then count the cells using a hemocytometer to adjust the cell density to the appropriate level for the experiment. Add 5700 cells/well </w:t>
      </w:r>
      <w:r w:rsidR="004C20BA" w:rsidRPr="005E6B7C">
        <w:rPr>
          <w:rFonts w:asciiTheme="majorHAnsi" w:eastAsia="Yu Mincho" w:hAnsiTheme="majorHAnsi" w:cstheme="majorHAnsi"/>
          <w:bCs/>
          <w:color w:val="000000" w:themeColor="text1"/>
          <w:sz w:val="22"/>
          <w:szCs w:val="22"/>
          <w:lang w:eastAsia="ja-JP"/>
        </w:rPr>
        <w:t>were</w:t>
      </w:r>
      <w:r w:rsidR="004C20BA" w:rsidRPr="005E6B7C">
        <w:rPr>
          <w:rFonts w:asciiTheme="majorHAnsi" w:eastAsia="Yu Mincho" w:hAnsiTheme="majorHAnsi" w:cstheme="majorHAnsi"/>
          <w:bCs/>
          <w:color w:val="000000" w:themeColor="text1"/>
          <w:sz w:val="22"/>
          <w:szCs w:val="22"/>
          <w:lang w:val="vi-VN" w:eastAsia="ja-JP"/>
        </w:rPr>
        <w:t xml:space="preserve"> added </w:t>
      </w:r>
      <w:r w:rsidRPr="005E6B7C">
        <w:rPr>
          <w:rFonts w:asciiTheme="majorHAnsi" w:eastAsia="Yu Mincho" w:hAnsiTheme="majorHAnsi" w:cstheme="majorHAnsi"/>
          <w:bCs/>
          <w:color w:val="000000" w:themeColor="text1"/>
          <w:sz w:val="22"/>
          <w:szCs w:val="22"/>
          <w:lang w:eastAsia="ja-JP"/>
        </w:rPr>
        <w:t xml:space="preserve">in 190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color w:val="000000" w:themeColor="text1"/>
          <w:sz w:val="22"/>
          <w:szCs w:val="22"/>
          <w:lang w:eastAsia="ja-JP"/>
        </w:rPr>
        <w:t>L of complete culture medium (supplemented with 5% FBS) into each well of a 96-well plate and incubate in a CO</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 incubator to allow stable growth for 18–20 hours.</w:t>
      </w:r>
    </w:p>
    <w:p w14:paraId="75F42085" w14:textId="7CB14869" w:rsidR="00290AD6" w:rsidRPr="005E6B7C" w:rsidRDefault="00290AD6"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After this stabilization period, the cells </w:t>
      </w:r>
      <w:r w:rsidR="004C20BA" w:rsidRPr="005E6B7C">
        <w:rPr>
          <w:rFonts w:asciiTheme="majorHAnsi" w:eastAsia="Yu Mincho" w:hAnsiTheme="majorHAnsi" w:cstheme="majorHAnsi"/>
          <w:bCs/>
          <w:color w:val="000000" w:themeColor="text1"/>
          <w:sz w:val="22"/>
          <w:szCs w:val="22"/>
          <w:lang w:eastAsia="ja-JP"/>
        </w:rPr>
        <w:t>were</w:t>
      </w:r>
      <w:r w:rsidR="004C20BA" w:rsidRPr="005E6B7C">
        <w:rPr>
          <w:rFonts w:asciiTheme="majorHAnsi" w:eastAsia="Yu Mincho" w:hAnsiTheme="majorHAnsi" w:cstheme="majorHAnsi"/>
          <w:bCs/>
          <w:color w:val="000000" w:themeColor="text1"/>
          <w:sz w:val="22"/>
          <w:szCs w:val="22"/>
          <w:lang w:val="vi-VN" w:eastAsia="ja-JP"/>
        </w:rPr>
        <w:t xml:space="preserve"> </w:t>
      </w:r>
      <w:r w:rsidRPr="005E6B7C">
        <w:rPr>
          <w:rFonts w:asciiTheme="majorHAnsi" w:eastAsia="Yu Mincho" w:hAnsiTheme="majorHAnsi" w:cstheme="majorHAnsi"/>
          <w:bCs/>
          <w:color w:val="000000" w:themeColor="text1"/>
          <w:sz w:val="22"/>
          <w:szCs w:val="22"/>
          <w:lang w:eastAsia="ja-JP"/>
        </w:rPr>
        <w:t xml:space="preserve">treated with test samples as follows: 10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color w:val="000000" w:themeColor="text1"/>
          <w:sz w:val="22"/>
          <w:szCs w:val="22"/>
          <w:lang w:eastAsia="ja-JP"/>
        </w:rPr>
        <w:t xml:space="preserve">L of the pre-diluted test sample (at various concentrations prepared earlier) is added to the wells containing cells. Negative control wells contain cancer cells (190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color w:val="000000" w:themeColor="text1"/>
          <w:sz w:val="22"/>
          <w:szCs w:val="22"/>
          <w:lang w:eastAsia="ja-JP"/>
        </w:rPr>
        <w:t xml:space="preserve">L) + 1% DMSO (10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color w:val="000000" w:themeColor="text1"/>
          <w:sz w:val="22"/>
          <w:szCs w:val="22"/>
          <w:lang w:eastAsia="ja-JP"/>
        </w:rPr>
        <w:t xml:space="preserve">L) without any test compound. Blank wells contain only culture medium (no cells, no test sample). All treatments are performed in triplicate to ensure reliability. Ellipticine at concentrations of 10, 2, 0.4, and 0.08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color w:val="000000" w:themeColor="text1"/>
          <w:sz w:val="22"/>
          <w:szCs w:val="22"/>
          <w:lang w:eastAsia="ja-JP"/>
        </w:rPr>
        <w:t>g/mL is used as the positive control</w:t>
      </w:r>
      <w:r w:rsidRPr="005E6B7C">
        <w:rPr>
          <w:rFonts w:asciiTheme="majorHAnsi" w:eastAsia="Yu Mincho" w:hAnsiTheme="majorHAnsi" w:cstheme="majorHAnsi"/>
          <w:bCs/>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 </w:t>
      </w:r>
    </w:p>
    <w:p w14:paraId="319089CD" w14:textId="36650331" w:rsidR="00D15F3A" w:rsidRPr="005E6B7C" w:rsidRDefault="00D15F3A"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After 48 hours of incubation with the test compounds in a CO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incubator (37°C, 5% CO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10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of MTT (Bio Basic Canada Inc.) solution (final concentration in the well = 0.5 mg/mL) is added to each well</w:t>
      </w:r>
      <w:r w:rsidRPr="005E6B7C">
        <w:rPr>
          <w:rFonts w:asciiTheme="majorHAnsi" w:eastAsia="Yu Mincho" w:hAnsiTheme="majorHAnsi" w:cstheme="majorHAnsi"/>
          <w:bCs/>
          <w:color w:val="000000" w:themeColor="text1"/>
          <w:sz w:val="22"/>
          <w:szCs w:val="22"/>
          <w:lang w:eastAsia="ja-JP"/>
        </w:rPr>
        <w:t xml:space="preserve">. </w:t>
      </w:r>
    </w:p>
    <w:p w14:paraId="11033E24" w14:textId="2269F5E6" w:rsidR="00290AD6" w:rsidRPr="005E6B7C" w:rsidRDefault="001922EB" w:rsidP="008C0D47">
      <w:pPr>
        <w:tabs>
          <w:tab w:val="left" w:pos="270"/>
          <w:tab w:val="left" w:pos="360"/>
          <w:tab w:val="left" w:pos="540"/>
          <w:tab w:val="right" w:leader="hyphen" w:pos="9072"/>
          <w:tab w:val="left" w:pos="9270"/>
        </w:tabs>
        <w:ind w:right="-20"/>
        <w:rPr>
          <w:rFonts w:asciiTheme="majorHAnsi" w:eastAsia="Yu Mincho" w:hAnsiTheme="majorHAnsi" w:cstheme="majorHAnsi"/>
          <w:b/>
          <w:color w:val="000000" w:themeColor="text1"/>
          <w:sz w:val="18"/>
          <w:szCs w:val="18"/>
          <w:lang w:val="pt-BR" w:eastAsia="ja-JP"/>
        </w:rPr>
      </w:pPr>
      <w:r w:rsidRPr="005E6B7C">
        <w:rPr>
          <w:noProof/>
        </w:rPr>
        <w:lastRenderedPageBreak/>
        <w:drawing>
          <wp:inline distT="0" distB="0" distL="0" distR="0" wp14:anchorId="560B2DAE" wp14:editId="07195BFE">
            <wp:extent cx="2789555" cy="2152015"/>
            <wp:effectExtent l="0" t="0" r="0" b="635"/>
            <wp:docPr id="20238888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9555" cy="2152015"/>
                    </a:xfrm>
                    <a:prstGeom prst="rect">
                      <a:avLst/>
                    </a:prstGeom>
                    <a:noFill/>
                    <a:ln>
                      <a:noFill/>
                    </a:ln>
                  </pic:spPr>
                </pic:pic>
              </a:graphicData>
            </a:graphic>
          </wp:inline>
        </w:drawing>
      </w:r>
    </w:p>
    <w:p w14:paraId="44739530" w14:textId="77777777" w:rsidR="00E049CB" w:rsidRPr="005E6B7C" w:rsidRDefault="00517F81" w:rsidP="008C0D47">
      <w:pPr>
        <w:tabs>
          <w:tab w:val="left" w:pos="270"/>
          <w:tab w:val="left" w:pos="360"/>
          <w:tab w:val="left" w:pos="540"/>
          <w:tab w:val="right" w:leader="hyphen" w:pos="9072"/>
          <w:tab w:val="left" w:pos="9270"/>
        </w:tabs>
        <w:spacing w:before="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Fig. </w:t>
      </w:r>
      <w:r w:rsidR="00E049CB" w:rsidRPr="005E6B7C">
        <w:rPr>
          <w:rFonts w:asciiTheme="majorHAnsi" w:eastAsia="Yu Mincho" w:hAnsiTheme="majorHAnsi" w:cstheme="majorHAnsi"/>
          <w:b/>
          <w:color w:val="000000" w:themeColor="text1"/>
          <w:sz w:val="18"/>
          <w:szCs w:val="18"/>
          <w:lang w:eastAsia="ja-JP"/>
        </w:rPr>
        <w:t xml:space="preserve">1. </w:t>
      </w:r>
      <w:r w:rsidR="00E049CB" w:rsidRPr="005E6B7C">
        <w:rPr>
          <w:rFonts w:asciiTheme="majorHAnsi" w:eastAsia="Yu Mincho" w:hAnsiTheme="majorHAnsi" w:cstheme="majorHAnsi"/>
          <w:color w:val="000000" w:themeColor="text1"/>
          <w:sz w:val="18"/>
          <w:szCs w:val="18"/>
          <w:lang w:eastAsia="ja-JP"/>
        </w:rPr>
        <w:t>Structures and key HMBC (H</w:t>
      </w:r>
      <w:r w:rsidR="00E049CB" w:rsidRPr="005E6B7C">
        <w:rPr>
          <w:rFonts w:asciiTheme="majorHAnsi" w:eastAsia="Yu Mincho" w:hAnsiTheme="majorHAnsi" w:cstheme="majorHAnsi"/>
          <w:color w:val="000000" w:themeColor="text1"/>
          <w:sz w:val="18"/>
          <w:szCs w:val="18"/>
          <w:lang w:val="pt-BR" w:eastAsia="ja-JP"/>
        </w:rPr>
        <w:sym w:font="Symbol" w:char="F0AE"/>
      </w:r>
      <w:r w:rsidR="00E049CB" w:rsidRPr="005E6B7C">
        <w:rPr>
          <w:rFonts w:asciiTheme="majorHAnsi" w:eastAsia="Yu Mincho" w:hAnsiTheme="majorHAnsi" w:cstheme="majorHAnsi"/>
          <w:color w:val="000000" w:themeColor="text1"/>
          <w:sz w:val="18"/>
          <w:szCs w:val="18"/>
          <w:lang w:eastAsia="ja-JP"/>
        </w:rPr>
        <w:t>C) correlations</w:t>
      </w:r>
      <w:r w:rsidR="00D15F3A" w:rsidRPr="005E6B7C">
        <w:rPr>
          <w:rFonts w:asciiTheme="majorHAnsi" w:eastAsia="Yu Mincho" w:hAnsiTheme="majorHAnsi" w:cstheme="majorHAnsi"/>
          <w:color w:val="000000" w:themeColor="text1"/>
          <w:sz w:val="18"/>
          <w:szCs w:val="18"/>
          <w:lang w:eastAsia="ja-JP"/>
        </w:rPr>
        <w:br/>
      </w:r>
      <w:r w:rsidR="00E049CB" w:rsidRPr="005E6B7C">
        <w:rPr>
          <w:rFonts w:asciiTheme="majorHAnsi" w:eastAsia="Yu Mincho" w:hAnsiTheme="majorHAnsi" w:cstheme="majorHAnsi"/>
          <w:color w:val="000000" w:themeColor="text1"/>
          <w:sz w:val="18"/>
          <w:szCs w:val="18"/>
          <w:lang w:eastAsia="ja-JP"/>
        </w:rPr>
        <w:t xml:space="preserve"> of compounds </w:t>
      </w:r>
      <w:r w:rsidR="00E049CB" w:rsidRPr="005E6B7C">
        <w:rPr>
          <w:rFonts w:asciiTheme="majorHAnsi" w:eastAsia="Yu Mincho" w:hAnsiTheme="majorHAnsi" w:cstheme="majorHAnsi"/>
          <w:b/>
          <w:color w:val="000000" w:themeColor="text1"/>
          <w:sz w:val="18"/>
          <w:szCs w:val="18"/>
          <w:lang w:eastAsia="ja-JP"/>
        </w:rPr>
        <w:t>1</w:t>
      </w:r>
      <w:r w:rsidR="00E049CB" w:rsidRPr="005E6B7C">
        <w:rPr>
          <w:rFonts w:asciiTheme="majorHAnsi" w:eastAsia="Yu Mincho" w:hAnsiTheme="majorHAnsi" w:cstheme="majorHAnsi"/>
          <w:bCs/>
          <w:color w:val="000000" w:themeColor="text1"/>
          <w:sz w:val="18"/>
          <w:szCs w:val="18"/>
          <w:lang w:val="pt-BR" w:eastAsia="ja-JP"/>
        </w:rPr>
        <w:sym w:font="Symbol" w:char="F02D"/>
      </w:r>
      <w:r w:rsidR="00E049CB" w:rsidRPr="005E6B7C">
        <w:rPr>
          <w:rFonts w:asciiTheme="majorHAnsi" w:eastAsia="Yu Mincho" w:hAnsiTheme="majorHAnsi" w:cstheme="majorHAnsi"/>
          <w:b/>
          <w:color w:val="000000" w:themeColor="text1"/>
          <w:sz w:val="18"/>
          <w:szCs w:val="18"/>
          <w:lang w:eastAsia="ja-JP"/>
        </w:rPr>
        <w:t>5</w:t>
      </w:r>
    </w:p>
    <w:p w14:paraId="212F2F6D" w14:textId="77777777" w:rsidR="00671A6C" w:rsidRPr="005E6B7C" w:rsidRDefault="00671A6C"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p w14:paraId="2A3B2C09" w14:textId="739E4BE6"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pacing w:val="-8"/>
          <w:sz w:val="22"/>
          <w:szCs w:val="22"/>
          <w:lang w:eastAsia="ja-JP"/>
        </w:rPr>
        <w:t xml:space="preserve">After 4 hours, the medium is carefully removed, and the formazan crystals are dissolved in 50 </w:t>
      </w:r>
      <w:r w:rsidR="00266B26" w:rsidRPr="005E6B7C">
        <w:rPr>
          <w:rFonts w:asciiTheme="majorHAnsi" w:eastAsia="Yu Mincho" w:hAnsiTheme="majorHAnsi" w:cstheme="majorHAnsi"/>
          <w:bCs/>
          <w:i/>
          <w:iCs/>
          <w:color w:val="000000" w:themeColor="text1"/>
          <w:spacing w:val="-8"/>
          <w:sz w:val="22"/>
          <w:szCs w:val="22"/>
          <w:lang w:eastAsia="ja-JP"/>
        </w:rPr>
        <w:t>µ</w:t>
      </w:r>
      <w:r w:rsidRPr="005E6B7C">
        <w:rPr>
          <w:rFonts w:asciiTheme="majorHAnsi" w:eastAsia="Yu Mincho" w:hAnsiTheme="majorHAnsi" w:cstheme="majorHAnsi"/>
          <w:bCs/>
          <w:color w:val="000000" w:themeColor="text1"/>
          <w:spacing w:val="-8"/>
          <w:sz w:val="22"/>
          <w:szCs w:val="22"/>
          <w:lang w:eastAsia="ja-JP"/>
        </w:rPr>
        <w:t>L of 100% DMSO. The optical density (OD) is measured at 540 nm using a BioTek ELx800 microplate reader.</w:t>
      </w:r>
      <w:r w:rsidRPr="005E6B7C">
        <w:rPr>
          <w:rFonts w:asciiTheme="majorHAnsi" w:eastAsia="Yu Mincho" w:hAnsiTheme="majorHAnsi" w:cstheme="majorHAnsi"/>
          <w:bCs/>
          <w:color w:val="000000" w:themeColor="text1"/>
          <w:spacing w:val="-8"/>
          <w:sz w:val="22"/>
          <w:szCs w:val="22"/>
          <w:lang w:eastAsia="ja-JP"/>
        </w:rPr>
        <w:br/>
      </w:r>
      <w:r w:rsidRPr="005E6B7C">
        <w:rPr>
          <w:rFonts w:asciiTheme="majorHAnsi" w:eastAsia="Yu Mincho" w:hAnsiTheme="majorHAnsi" w:cstheme="majorHAnsi"/>
          <w:bCs/>
          <w:color w:val="000000" w:themeColor="text1"/>
          <w:sz w:val="22"/>
          <w:szCs w:val="22"/>
          <w:lang w:eastAsia="ja-JP"/>
        </w:rPr>
        <w:t>The IC</w:t>
      </w:r>
      <w:r w:rsidRPr="005E6B7C">
        <w:rPr>
          <w:rFonts w:asciiTheme="majorHAnsi" w:eastAsia="Yu Mincho" w:hAnsiTheme="majorHAnsi" w:cstheme="majorHAnsi"/>
          <w:bCs/>
          <w:color w:val="000000" w:themeColor="text1"/>
          <w:sz w:val="22"/>
          <w:szCs w:val="22"/>
          <w:vertAlign w:val="subscript"/>
          <w:lang w:eastAsia="ja-JP"/>
        </w:rPr>
        <w:t>50</w:t>
      </w:r>
      <w:r w:rsidRPr="005E6B7C">
        <w:rPr>
          <w:rFonts w:asciiTheme="majorHAnsi" w:eastAsia="Yu Mincho" w:hAnsiTheme="majorHAnsi" w:cstheme="majorHAnsi"/>
          <w:bCs/>
          <w:color w:val="000000" w:themeColor="text1"/>
          <w:sz w:val="22"/>
          <w:szCs w:val="22"/>
          <w:lang w:eastAsia="ja-JP"/>
        </w:rPr>
        <w:t xml:space="preserve"> value (concentration that inhibits 50% of cell growth) is calculated using TableCurve 2D v4 software</w:t>
      </w:r>
      <w:r w:rsidRPr="005E6B7C">
        <w:rPr>
          <w:rFonts w:asciiTheme="majorHAnsi" w:eastAsia="Yu Mincho" w:hAnsiTheme="majorHAnsi" w:cstheme="majorHAnsi"/>
          <w:bCs/>
          <w:color w:val="000000" w:themeColor="text1"/>
          <w:sz w:val="22"/>
          <w:szCs w:val="22"/>
          <w:lang w:val="vi-VN" w:eastAsia="ja-JP"/>
        </w:rPr>
        <w:t>.</w:t>
      </w:r>
    </w:p>
    <w:p w14:paraId="3B151B07" w14:textId="77777777" w:rsidR="00D15F3A"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The percentage of cell growth inhibition in the presence of the test compound is calculated using the following formula</w:t>
      </w:r>
      <w:r w:rsidRPr="005E6B7C">
        <w:rPr>
          <w:rFonts w:asciiTheme="majorHAnsi" w:eastAsia="Yu Mincho" w:hAnsiTheme="majorHAnsi" w:cstheme="majorHAnsi"/>
          <w:bCs/>
          <w:color w:val="000000" w:themeColor="text1"/>
          <w:sz w:val="22"/>
          <w:szCs w:val="22"/>
          <w:lang w:val="vi-VN" w:eastAsia="ja-JP"/>
        </w:rPr>
        <w:t>:</w:t>
      </w:r>
    </w:p>
    <w:p w14:paraId="33BAB981" w14:textId="77777777" w:rsidR="00D15F3A" w:rsidRPr="005E6B7C" w:rsidRDefault="00D15F3A"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6"/>
          <w:szCs w:val="16"/>
          <w:lang w:eastAsia="ja-JP"/>
        </w:rPr>
      </w:pPr>
      <m:oMathPara>
        <m:oMathParaPr>
          <m:jc m:val="left"/>
        </m:oMathParaPr>
        <m:oMath>
          <m:r>
            <m:rPr>
              <m:sty m:val="p"/>
            </m:rPr>
            <w:rPr>
              <w:rFonts w:ascii="Cambria Math" w:eastAsia="Yu Mincho" w:hAnsi="Cambria Math" w:cstheme="majorHAnsi"/>
              <w:color w:val="000000" w:themeColor="text1"/>
              <w:sz w:val="16"/>
              <w:szCs w:val="16"/>
              <w:lang w:eastAsia="ja-JP"/>
            </w:rPr>
            <m:t>% inhibition (%)</m:t>
          </m:r>
          <m:r>
            <w:rPr>
              <w:rFonts w:ascii="Cambria Math" w:eastAsia="Yu Mincho" w:hAnsi="Cambria Math" w:cstheme="majorHAnsi"/>
              <w:color w:val="000000" w:themeColor="text1"/>
              <w:sz w:val="16"/>
              <w:szCs w:val="16"/>
              <w:lang w:eastAsia="ja-JP"/>
            </w:rPr>
            <m:t>=100-</m:t>
          </m:r>
          <m:f>
            <m:fPr>
              <m:ctrlPr>
                <w:rPr>
                  <w:rFonts w:ascii="Cambria Math" w:eastAsia="Yu Mincho" w:hAnsi="Cambria Math" w:cstheme="majorHAnsi"/>
                  <w:bCs/>
                  <w:color w:val="000000" w:themeColor="text1"/>
                  <w:sz w:val="16"/>
                  <w:szCs w:val="16"/>
                  <w:lang w:eastAsia="ja-JP"/>
                </w:rPr>
              </m:ctrlPr>
            </m:fPr>
            <m:num>
              <m:r>
                <w:rPr>
                  <w:rFonts w:ascii="Cambria Math" w:eastAsia="Yu Mincho" w:hAnsi="Cambria Math" w:cstheme="majorHAnsi"/>
                  <w:color w:val="000000" w:themeColor="text1"/>
                  <w:sz w:val="16"/>
                  <w:szCs w:val="16"/>
                  <w:lang w:eastAsia="ja-JP"/>
                </w:rPr>
                <m:t>OD</m:t>
              </m:r>
              <m:d>
                <m:dPr>
                  <m:ctrlPr>
                    <w:rPr>
                      <w:rFonts w:ascii="Cambria Math" w:eastAsia="Yu Mincho" w:hAnsi="Cambria Math" w:cstheme="majorHAnsi"/>
                      <w:bCs/>
                      <w:i/>
                      <w:color w:val="000000" w:themeColor="text1"/>
                      <w:sz w:val="16"/>
                      <w:szCs w:val="16"/>
                      <w:lang w:eastAsia="ja-JP"/>
                    </w:rPr>
                  </m:ctrlPr>
                </m:dPr>
                <m:e>
                  <m:r>
                    <w:rPr>
                      <w:rFonts w:ascii="Cambria Math" w:eastAsia="Yu Mincho" w:hAnsi="Cambria Math" w:cstheme="majorHAnsi"/>
                      <w:color w:val="000000" w:themeColor="text1"/>
                      <w:sz w:val="16"/>
                      <w:szCs w:val="16"/>
                      <w:lang w:eastAsia="ja-JP"/>
                    </w:rPr>
                    <m:t>sample</m:t>
                  </m:r>
                </m:e>
              </m:d>
              <m:r>
                <w:rPr>
                  <w:rFonts w:ascii="Cambria Math" w:eastAsia="Yu Mincho" w:hAnsi="Cambria Math" w:cstheme="majorHAnsi"/>
                  <w:color w:val="000000" w:themeColor="text1"/>
                  <w:sz w:val="16"/>
                  <w:szCs w:val="16"/>
                  <w:lang w:eastAsia="ja-JP"/>
                </w:rPr>
                <m:t>-OD</m:t>
              </m:r>
              <m:d>
                <m:dPr>
                  <m:ctrlPr>
                    <w:rPr>
                      <w:rFonts w:ascii="Cambria Math" w:eastAsia="Yu Mincho" w:hAnsi="Cambria Math" w:cstheme="majorHAnsi"/>
                      <w:bCs/>
                      <w:i/>
                      <w:color w:val="000000" w:themeColor="text1"/>
                      <w:sz w:val="16"/>
                      <w:szCs w:val="16"/>
                      <w:lang w:eastAsia="ja-JP"/>
                    </w:rPr>
                  </m:ctrlPr>
                </m:dPr>
                <m:e>
                  <m:r>
                    <w:rPr>
                      <w:rFonts w:ascii="Cambria Math" w:eastAsia="Yu Mincho" w:hAnsi="Cambria Math" w:cstheme="majorHAnsi"/>
                      <w:color w:val="000000" w:themeColor="text1"/>
                      <w:sz w:val="16"/>
                      <w:szCs w:val="16"/>
                      <w:lang w:eastAsia="ja-JP"/>
                    </w:rPr>
                    <m:t>blank</m:t>
                  </m:r>
                </m:e>
              </m:d>
            </m:num>
            <m:den>
              <m:r>
                <w:rPr>
                  <w:rFonts w:ascii="Cambria Math" w:eastAsia="Yu Mincho" w:hAnsi="Cambria Math" w:cstheme="majorHAnsi"/>
                  <w:color w:val="000000" w:themeColor="text1"/>
                  <w:sz w:val="16"/>
                  <w:szCs w:val="16"/>
                  <w:lang w:eastAsia="ja-JP"/>
                </w:rPr>
                <m:t>OD</m:t>
              </m:r>
              <m:d>
                <m:dPr>
                  <m:ctrlPr>
                    <w:rPr>
                      <w:rFonts w:ascii="Cambria Math" w:eastAsia="Yu Mincho" w:hAnsi="Cambria Math" w:cstheme="majorHAnsi"/>
                      <w:bCs/>
                      <w:i/>
                      <w:color w:val="000000" w:themeColor="text1"/>
                      <w:sz w:val="16"/>
                      <w:szCs w:val="16"/>
                      <w:lang w:eastAsia="ja-JP"/>
                    </w:rPr>
                  </m:ctrlPr>
                </m:dPr>
                <m:e>
                  <m:r>
                    <w:rPr>
                      <w:rFonts w:ascii="Cambria Math" w:eastAsia="Yu Mincho" w:hAnsi="Cambria Math" w:cstheme="majorHAnsi"/>
                      <w:color w:val="000000" w:themeColor="text1"/>
                      <w:sz w:val="16"/>
                      <w:szCs w:val="16"/>
                      <w:lang w:eastAsia="ja-JP"/>
                    </w:rPr>
                    <m:t>DMSO</m:t>
                  </m:r>
                </m:e>
              </m:d>
              <m:r>
                <w:rPr>
                  <w:rFonts w:ascii="Cambria Math" w:eastAsia="Yu Mincho" w:hAnsi="Cambria Math" w:cstheme="majorHAnsi"/>
                  <w:color w:val="000000" w:themeColor="text1"/>
                  <w:sz w:val="16"/>
                  <w:szCs w:val="16"/>
                  <w:lang w:eastAsia="ja-JP"/>
                </w:rPr>
                <m:t>-OD</m:t>
              </m:r>
              <m:d>
                <m:dPr>
                  <m:ctrlPr>
                    <w:rPr>
                      <w:rFonts w:ascii="Cambria Math" w:eastAsia="Yu Mincho" w:hAnsi="Cambria Math" w:cstheme="majorHAnsi"/>
                      <w:bCs/>
                      <w:i/>
                      <w:color w:val="000000" w:themeColor="text1"/>
                      <w:sz w:val="16"/>
                      <w:szCs w:val="16"/>
                      <w:lang w:eastAsia="ja-JP"/>
                    </w:rPr>
                  </m:ctrlPr>
                </m:dPr>
                <m:e>
                  <m:r>
                    <w:rPr>
                      <w:rFonts w:ascii="Cambria Math" w:eastAsia="Yu Mincho" w:hAnsi="Cambria Math" w:cstheme="majorHAnsi"/>
                      <w:color w:val="000000" w:themeColor="text1"/>
                      <w:sz w:val="16"/>
                      <w:szCs w:val="16"/>
                      <w:lang w:eastAsia="ja-JP"/>
                    </w:rPr>
                    <m:t>blank</m:t>
                  </m:r>
                </m:e>
              </m:d>
            </m:den>
          </m:f>
          <m:r>
            <w:rPr>
              <w:rFonts w:ascii="Cambria Math" w:eastAsia="Yu Mincho" w:hAnsi="Cambria Math" w:cstheme="majorHAnsi"/>
              <w:color w:val="000000" w:themeColor="text1"/>
              <w:sz w:val="16"/>
              <w:szCs w:val="16"/>
              <w:lang w:eastAsia="ja-JP"/>
            </w:rPr>
            <m:t>×100</m:t>
          </m:r>
        </m:oMath>
      </m:oMathPara>
    </w:p>
    <w:p w14:paraId="1D6B5B2A" w14:textId="06292E80" w:rsidR="00D15F3A" w:rsidRPr="005E6B7C" w:rsidRDefault="00D15F3A"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where OD</w:t>
      </w:r>
      <w:r w:rsidR="005336CE"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(DMSO): absorbance of well with untreated cells; OD</w:t>
      </w:r>
      <w:r w:rsidR="005336CE"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(sample): absorbance of well with treated cells; and OD (blank): absorbance of well was medium only.</w:t>
      </w:r>
    </w:p>
    <w:p w14:paraId="3A9510CE" w14:textId="77777777" w:rsidR="00D15F3A" w:rsidRPr="005E6B7C" w:rsidRDefault="00D15F3A" w:rsidP="008C0D47">
      <w:pPr>
        <w:tabs>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03B291AC" w14:textId="4EFBB4AC" w:rsidR="00D15F3A" w:rsidRPr="005E6B7C" w:rsidRDefault="00D15F3A"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was isolated as a pale yellow solid.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NMR spectra revealed typical signals of an ABX coupled aromatic ring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6.82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Hz, H-2), 7.04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8.4 Hz, H-5), and 6.71 (dd,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8.4 Hz, H-6)/</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136.06 (C-1), 114.07 (C-2), 150.78 (C-3), 146.32 (C-4), 117.50 (C-5), and  121.78 (C-6)], a methylene group attached to an aromatic ring [</w:t>
      </w:r>
      <w:r w:rsidRPr="005E6B7C">
        <w:rPr>
          <w:rFonts w:asciiTheme="majorHAnsi" w:eastAsia="Yu Mincho" w:hAnsiTheme="majorHAnsi" w:cstheme="majorHAnsi"/>
          <w:bCs/>
          <w:i/>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3.33 (m, H-7)/</w:t>
      </w:r>
      <w:r w:rsidRPr="005E6B7C">
        <w:rPr>
          <w:rFonts w:asciiTheme="majorHAnsi" w:eastAsia="Yu Mincho" w:hAnsiTheme="majorHAnsi" w:cstheme="majorHAnsi"/>
          <w:bCs/>
          <w:i/>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40.75 (C-7)], a monosubstituted double bond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5.96 (m, H-8), 5.04 (dd, </w:t>
      </w:r>
      <w:r w:rsidRPr="005E6B7C">
        <w:rPr>
          <w:rFonts w:asciiTheme="majorHAnsi" w:eastAsia="Yu Mincho" w:hAnsiTheme="majorHAnsi" w:cstheme="majorHAnsi"/>
          <w:bCs/>
          <w:i/>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10.2 Hz, H-9), and 5.08  (dd, </w:t>
      </w:r>
      <w:r w:rsidRPr="005E6B7C">
        <w:rPr>
          <w:rFonts w:asciiTheme="majorHAnsi" w:eastAsia="Yu Mincho" w:hAnsiTheme="majorHAnsi" w:cstheme="majorHAnsi"/>
          <w:bCs/>
          <w:i/>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17.4 Hz, H-9)/</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139.06 (C-8) and 115.77 (C-9)] and a methoxy group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3.83 (s, 3-OMe)/</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56.44 (3-OMe)]. The obtained data are indicative of the eugenyl aglycon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&lt;EndNote&gt;&lt;Cite&gt;&lt;Author&gt;Takeda&lt;/Author&gt;&lt;Year&gt;1998&lt;/Year&gt;&lt;RecNum&gt;125&lt;/RecNum&gt;&lt;DisplayText&gt;[8]&lt;/DisplayText&gt;&lt;record&gt;&lt;rec-number&gt;125&lt;/rec-number&gt;&lt;foreign-keys&gt;&lt;key app="EN" db-id="tft9dfze3vf9poe9vtjx0wtlrts555p959rp" timestamp="1764926063"&gt;125&lt;/key&gt;&lt;/foreign-keys&gt;&lt;ref-type name="Journal Article"&gt;17&lt;/ref-type&gt;&lt;contributors&gt;&lt;authors&gt;&lt;author&gt;Takeda, Yoshio&lt;/author&gt;&lt;author&gt;Ooiso, Yasushi&lt;/author&gt;&lt;author&gt;Masuda, Toshiya&lt;/author&gt;&lt;author&gt;Honda, Gisho&lt;/author&gt;&lt;author&gt;Otsuka, Hideaki&lt;/author&gt;&lt;author&gt;Sezik, Ekrem&lt;/author&gt;&lt;author&gt;Yesilada, Erdem&lt;/author&gt;&lt;/authors&gt;&lt;/contributors&gt;&lt;titles&gt;&lt;title&gt;&lt;style face="normal" font="default" size="100%"&gt;Iridoid and eugenol glycosides from &lt;/style&gt;&lt;style face="italic" font="default" size="100%"&gt;Nepeta cadmea&lt;/style&gt;&lt;/title&gt;&lt;secondary-title&gt;Phytochemistry&lt;/secondary-title&gt;&lt;/titles&gt;&lt;periodical&gt;&lt;full-title&gt;Phytochemistry&lt;/full-title&gt;&lt;abbr-1&gt;Phytochemistry&lt;/abbr-1&gt;&lt;/periodical&gt;&lt;pages&gt;787-791&lt;/pages&gt;&lt;volume&gt;49&lt;/volume&gt;&lt;number&gt;3&lt;/number&gt;&lt;dates&gt;&lt;year&gt;1998&lt;/year&gt;&lt;pub-dates&gt;&lt;date&gt;1998/10/01/&lt;/date&gt;&lt;/pub-dates&gt;&lt;/dates&gt;&lt;isbn&gt;0031-9422&lt;/isbn&gt;&lt;urls&gt;&lt;related-urls&gt;&lt;url&gt;https://www.sciencedirect.com/science/article/pii/S0031942298001253&lt;/url&gt;&lt;/related-urls&gt;&lt;/urls&gt;&lt;electronic-resource-num&gt;https://doi.org/10.1016/S0031-9422(98)00125-3&lt;/electronic-resource-num&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8" w:tooltip="Takeda, 1998 #125" w:history="1">
        <w:r w:rsidRPr="005E6B7C">
          <w:rPr>
            <w:rFonts w:asciiTheme="majorHAnsi" w:eastAsia="Yu Mincho" w:hAnsiTheme="majorHAnsi" w:cstheme="majorHAnsi"/>
            <w:bCs/>
            <w:noProof/>
            <w:color w:val="000000" w:themeColor="text1"/>
            <w:sz w:val="22"/>
            <w:szCs w:val="22"/>
            <w:lang w:eastAsia="ja-JP"/>
          </w:rPr>
          <w:t>8</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xml:space="preserve">. In addition, the presence of two anomeric protons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4.97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7.8 Hz,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and 5.56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1.2 Hz,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004C20BA" w:rsidRPr="005E6B7C">
        <w:rPr>
          <w:rFonts w:asciiTheme="majorHAnsi" w:eastAsia="Yu Mincho" w:hAnsiTheme="majorHAnsi" w:cstheme="majorHAnsi"/>
          <w:bCs/>
          <w:color w:val="000000" w:themeColor="text1"/>
          <w:sz w:val="22"/>
          <w:szCs w:val="22"/>
          <w:lang w:eastAsia="ja-JP"/>
        </w:rPr>
        <w:t>showed</w:t>
      </w:r>
      <w:r w:rsidRPr="005E6B7C">
        <w:rPr>
          <w:rFonts w:asciiTheme="majorHAnsi" w:eastAsia="Yu Mincho" w:hAnsiTheme="majorHAnsi" w:cstheme="majorHAnsi"/>
          <w:bCs/>
          <w:color w:val="000000" w:themeColor="text1"/>
          <w:sz w:val="22"/>
          <w:szCs w:val="22"/>
          <w:lang w:eastAsia="ja-JP"/>
        </w:rPr>
        <w:t xml:space="preserve"> HSQC correlations with two relevant anomeric carbons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101.16 (C-1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and 110.26 (C-1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confirmed two sugar units. Detailed analysis of the HSQC and HMBC correlations allow</w:t>
      </w:r>
      <w:r w:rsidR="004C20BA" w:rsidRPr="005E6B7C">
        <w:rPr>
          <w:rFonts w:asciiTheme="majorHAnsi" w:eastAsia="Yu Mincho" w:hAnsiTheme="majorHAnsi" w:cstheme="majorHAnsi"/>
          <w:bCs/>
          <w:color w:val="000000" w:themeColor="text1"/>
          <w:sz w:val="22"/>
          <w:szCs w:val="22"/>
          <w:lang w:eastAsia="ja-JP"/>
        </w:rPr>
        <w:t>ed</w:t>
      </w:r>
      <w:r w:rsidRPr="005E6B7C">
        <w:rPr>
          <w:rFonts w:asciiTheme="majorHAnsi" w:eastAsia="Yu Mincho" w:hAnsiTheme="majorHAnsi" w:cstheme="majorHAnsi"/>
          <w:bCs/>
          <w:color w:val="000000" w:themeColor="text1"/>
          <w:sz w:val="22"/>
          <w:szCs w:val="22"/>
          <w:lang w:eastAsia="ja-JP"/>
        </w:rPr>
        <w:t xml:space="preserve"> assignment of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NMR spectral data of the two sugars, as shown in Table 1.</w:t>
      </w:r>
    </w:p>
    <w:p w14:paraId="748B16FF" w14:textId="77777777" w:rsidR="00D15F3A" w:rsidRPr="005E6B7C" w:rsidRDefault="00D15F3A"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sectPr w:rsidR="00D15F3A" w:rsidRPr="005E6B7C" w:rsidSect="00D15F3A">
          <w:type w:val="continuous"/>
          <w:pgSz w:w="10773" w:h="15309" w:code="9"/>
          <w:pgMar w:top="907" w:right="851" w:bottom="1418" w:left="851" w:header="397" w:footer="851" w:gutter="0"/>
          <w:cols w:num="2" w:space="284"/>
          <w:docGrid w:linePitch="360"/>
        </w:sectPr>
      </w:pPr>
    </w:p>
    <w:p w14:paraId="16FE3897" w14:textId="77777777"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The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(CD</w:t>
      </w:r>
      <w:r w:rsidRPr="005E6B7C">
        <w:rPr>
          <w:rFonts w:asciiTheme="majorHAnsi" w:eastAsia="Yu Mincho" w:hAnsiTheme="majorHAnsi" w:cstheme="majorHAns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 xml:space="preserve">OD, 600 MHz)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C</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NMR (CD</w:t>
      </w:r>
      <w:r w:rsidRPr="005E6B7C">
        <w:rPr>
          <w:rFonts w:asciiTheme="majorHAnsi" w:eastAsia="Yu Mincho" w:hAnsiTheme="majorHAnsi" w:cstheme="majorHAns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 xml:space="preserve">OD, 150 MHz) spectral data of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2</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86"/>
        <w:gridCol w:w="869"/>
        <w:gridCol w:w="869"/>
        <w:gridCol w:w="964"/>
        <w:gridCol w:w="1876"/>
        <w:gridCol w:w="856"/>
        <w:gridCol w:w="964"/>
        <w:gridCol w:w="1888"/>
      </w:tblGrid>
      <w:tr w:rsidR="00E049CB" w:rsidRPr="005E6B7C" w14:paraId="2DBD625B" w14:textId="77777777" w:rsidTr="00D15F3A">
        <w:trPr>
          <w:tblHeader/>
          <w:jc w:val="center"/>
        </w:trPr>
        <w:tc>
          <w:tcPr>
            <w:tcW w:w="807" w:type="dxa"/>
            <w:vMerge w:val="restart"/>
            <w:vAlign w:val="center"/>
          </w:tcPr>
          <w:p w14:paraId="31CDA763" w14:textId="77777777" w:rsidR="00E049CB" w:rsidRPr="005E6B7C" w:rsidRDefault="0044085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Pos.</w:t>
            </w:r>
          </w:p>
        </w:tc>
        <w:tc>
          <w:tcPr>
            <w:tcW w:w="894" w:type="dxa"/>
            <w:vMerge w:val="restart"/>
            <w:vAlign w:val="center"/>
          </w:tcPr>
          <w:p w14:paraId="399B531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eastAsia="ja-JP"/>
              </w:rPr>
              <w:t>C</w:t>
            </w:r>
            <w:r w:rsidRPr="005E6B7C">
              <w:rPr>
                <w:rFonts w:asciiTheme="majorHAnsi" w:eastAsia="Yu Mincho" w:hAnsiTheme="majorHAnsi" w:cstheme="majorHAnsi"/>
                <w:b/>
                <w:bCs/>
                <w:color w:val="000000" w:themeColor="text1"/>
                <w:sz w:val="18"/>
                <w:szCs w:val="18"/>
                <w:vertAlign w:val="superscript"/>
                <w:lang w:eastAsia="ja-JP"/>
              </w:rPr>
              <w:t>a</w:t>
            </w:r>
          </w:p>
        </w:tc>
        <w:tc>
          <w:tcPr>
            <w:tcW w:w="894" w:type="dxa"/>
            <w:vMerge w:val="restart"/>
            <w:vAlign w:val="center"/>
          </w:tcPr>
          <w:p w14:paraId="16CF4F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eastAsia="ja-JP"/>
              </w:rPr>
              <w:t>C</w:t>
            </w:r>
            <w:r w:rsidRPr="005E6B7C">
              <w:rPr>
                <w:rFonts w:asciiTheme="majorHAnsi" w:eastAsia="Yu Mincho" w:hAnsiTheme="majorHAnsi" w:cstheme="majorHAnsi"/>
                <w:b/>
                <w:bCs/>
                <w:color w:val="000000" w:themeColor="text1"/>
                <w:sz w:val="18"/>
                <w:szCs w:val="18"/>
                <w:vertAlign w:val="superscript"/>
                <w:lang w:eastAsia="ja-JP"/>
              </w:rPr>
              <w:t>b</w:t>
            </w:r>
          </w:p>
        </w:tc>
        <w:tc>
          <w:tcPr>
            <w:tcW w:w="2934" w:type="dxa"/>
            <w:gridSpan w:val="2"/>
            <w:vAlign w:val="center"/>
          </w:tcPr>
          <w:p w14:paraId="2A3653E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w:t>
            </w:r>
          </w:p>
        </w:tc>
        <w:tc>
          <w:tcPr>
            <w:tcW w:w="881" w:type="dxa"/>
            <w:vMerge w:val="restart"/>
            <w:vAlign w:val="center"/>
          </w:tcPr>
          <w:p w14:paraId="013CACB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eastAsia="ja-JP"/>
              </w:rPr>
              <w:t>C</w:t>
            </w:r>
            <w:r w:rsidRPr="005E6B7C">
              <w:rPr>
                <w:rFonts w:asciiTheme="majorHAnsi" w:eastAsia="Yu Mincho" w:hAnsiTheme="majorHAnsi" w:cstheme="majorHAnsi"/>
                <w:b/>
                <w:bCs/>
                <w:color w:val="000000" w:themeColor="text1"/>
                <w:sz w:val="18"/>
                <w:szCs w:val="18"/>
                <w:vertAlign w:val="superscript"/>
                <w:lang w:eastAsia="ja-JP"/>
              </w:rPr>
              <w:t>c</w:t>
            </w:r>
          </w:p>
        </w:tc>
        <w:tc>
          <w:tcPr>
            <w:tcW w:w="2946" w:type="dxa"/>
            <w:gridSpan w:val="2"/>
            <w:vAlign w:val="center"/>
          </w:tcPr>
          <w:p w14:paraId="0FBBABE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p>
        </w:tc>
      </w:tr>
      <w:tr w:rsidR="00E049CB" w:rsidRPr="005E6B7C" w14:paraId="69C2C6DA" w14:textId="77777777" w:rsidTr="00D15F3A">
        <w:trPr>
          <w:tblHeader/>
          <w:jc w:val="center"/>
        </w:trPr>
        <w:tc>
          <w:tcPr>
            <w:tcW w:w="807" w:type="dxa"/>
            <w:vMerge/>
            <w:vAlign w:val="center"/>
          </w:tcPr>
          <w:p w14:paraId="557301F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p>
        </w:tc>
        <w:tc>
          <w:tcPr>
            <w:tcW w:w="894" w:type="dxa"/>
            <w:vMerge/>
          </w:tcPr>
          <w:p w14:paraId="381EDB6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p>
        </w:tc>
        <w:tc>
          <w:tcPr>
            <w:tcW w:w="894" w:type="dxa"/>
            <w:vMerge/>
            <w:vAlign w:val="center"/>
          </w:tcPr>
          <w:p w14:paraId="12D2B90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p>
        </w:tc>
        <w:tc>
          <w:tcPr>
            <w:tcW w:w="993" w:type="dxa"/>
            <w:vAlign w:val="center"/>
          </w:tcPr>
          <w:p w14:paraId="39123D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eastAsia="ja-JP"/>
              </w:rPr>
              <w:t>C</w:t>
            </w:r>
          </w:p>
        </w:tc>
        <w:tc>
          <w:tcPr>
            <w:tcW w:w="1941" w:type="dxa"/>
          </w:tcPr>
          <w:p w14:paraId="2A0D2BB0" w14:textId="4487B710" w:rsidR="00E049CB" w:rsidRPr="005E6B7C" w:rsidRDefault="00E049CB" w:rsidP="000630EF">
            <w:pPr>
              <w:tabs>
                <w:tab w:val="left" w:pos="270"/>
                <w:tab w:val="left" w:pos="540"/>
                <w:tab w:val="left" w:pos="9270"/>
              </w:tabs>
              <w:spacing w:line="160" w:lineRule="exact"/>
              <w:ind w:right="-20"/>
              <w:jc w:val="center"/>
              <w:rPr>
                <w:rFonts w:asciiTheme="majorHAnsi" w:eastAsia="Yu Mincho" w:hAnsiTheme="majorHAnsi" w:cstheme="majorHAnsi"/>
                <w:bCs/>
                <w:i/>
                <w:color w:val="000000" w:themeColor="text1"/>
                <w:sz w:val="18"/>
                <w:szCs w:val="18"/>
                <w:lang w:val="nl-NL"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val="nl-NL" w:eastAsia="ja-JP"/>
              </w:rPr>
              <w:t>H</w:t>
            </w:r>
            <w:r w:rsidR="000630EF" w:rsidRPr="005E6B7C">
              <w:rPr>
                <w:rFonts w:asciiTheme="majorHAnsi" w:eastAsia="Yu Mincho" w:hAnsiTheme="majorHAnsi" w:cstheme="majorHAnsi"/>
                <w:b/>
                <w:bCs/>
                <w:color w:val="000000" w:themeColor="text1"/>
                <w:sz w:val="18"/>
                <w:szCs w:val="18"/>
                <w:lang w:val="nl-NL" w:eastAsia="ja-JP"/>
              </w:rPr>
              <w:t xml:space="preserve"> </w:t>
            </w:r>
            <w:r w:rsidRPr="005E6B7C">
              <w:rPr>
                <w:rFonts w:asciiTheme="majorHAnsi" w:eastAsia="Yu Mincho" w:hAnsiTheme="majorHAnsi" w:cstheme="majorHAnsi"/>
                <w:bCs/>
                <w:color w:val="000000" w:themeColor="text1"/>
                <w:sz w:val="18"/>
                <w:szCs w:val="18"/>
                <w:lang w:val="nl-NL" w:eastAsia="ja-JP"/>
              </w:rPr>
              <w:t>mult. (</w:t>
            </w:r>
            <w:r w:rsidRPr="005E6B7C">
              <w:rPr>
                <w:rFonts w:asciiTheme="majorHAnsi" w:eastAsia="Yu Mincho" w:hAnsiTheme="majorHAnsi" w:cstheme="majorHAnsi"/>
                <w:bCs/>
                <w:i/>
                <w:color w:val="000000" w:themeColor="text1"/>
                <w:sz w:val="18"/>
                <w:szCs w:val="18"/>
                <w:lang w:val="nl-NL" w:eastAsia="ja-JP"/>
              </w:rPr>
              <w:t>J</w:t>
            </w:r>
            <w:r w:rsidRPr="005E6B7C">
              <w:rPr>
                <w:rFonts w:asciiTheme="majorHAnsi" w:eastAsia="Yu Mincho" w:hAnsiTheme="majorHAnsi" w:cstheme="majorHAnsi"/>
                <w:bCs/>
                <w:color w:val="000000" w:themeColor="text1"/>
                <w:sz w:val="18"/>
                <w:szCs w:val="18"/>
                <w:lang w:val="nl-NL" w:eastAsia="ja-JP"/>
              </w:rPr>
              <w:t xml:space="preserve"> in Hz)</w:t>
            </w:r>
          </w:p>
        </w:tc>
        <w:tc>
          <w:tcPr>
            <w:tcW w:w="881" w:type="dxa"/>
            <w:vMerge/>
          </w:tcPr>
          <w:p w14:paraId="5651C53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val="nl-NL" w:eastAsia="ja-JP"/>
              </w:rPr>
            </w:pPr>
          </w:p>
        </w:tc>
        <w:tc>
          <w:tcPr>
            <w:tcW w:w="993" w:type="dxa"/>
            <w:vAlign w:val="center"/>
          </w:tcPr>
          <w:p w14:paraId="1A07DD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eastAsia="ja-JP"/>
              </w:rPr>
              <w:t>C</w:t>
            </w:r>
          </w:p>
        </w:tc>
        <w:tc>
          <w:tcPr>
            <w:tcW w:w="1953" w:type="dxa"/>
          </w:tcPr>
          <w:p w14:paraId="1A592A91" w14:textId="30C76F9F" w:rsidR="00E049CB" w:rsidRPr="005E6B7C" w:rsidRDefault="00E049CB" w:rsidP="000630EF">
            <w:pPr>
              <w:tabs>
                <w:tab w:val="left" w:pos="270"/>
                <w:tab w:val="left" w:pos="540"/>
                <w:tab w:val="left" w:pos="9270"/>
              </w:tabs>
              <w:spacing w:line="160" w:lineRule="exact"/>
              <w:ind w:right="-20"/>
              <w:jc w:val="center"/>
              <w:rPr>
                <w:rFonts w:asciiTheme="majorHAnsi" w:eastAsia="Yu Mincho" w:hAnsiTheme="majorHAnsi" w:cstheme="majorHAnsi"/>
                <w:b/>
                <w:bCs/>
                <w:i/>
                <w:color w:val="000000" w:themeColor="text1"/>
                <w:sz w:val="18"/>
                <w:szCs w:val="18"/>
                <w:lang w:val="nl-NL" w:eastAsia="ja-JP"/>
              </w:rPr>
            </w:pPr>
            <w:r w:rsidRPr="005E6B7C">
              <w:rPr>
                <w:rFonts w:asciiTheme="majorHAnsi" w:eastAsia="Yu Mincho" w:hAnsiTheme="majorHAnsi" w:cstheme="majorHAnsi"/>
                <w:b/>
                <w:bCs/>
                <w:i/>
                <w:color w:val="000000" w:themeColor="text1"/>
                <w:sz w:val="18"/>
                <w:szCs w:val="18"/>
                <w:lang w:eastAsia="ja-JP"/>
              </w:rPr>
              <w:t>δ</w:t>
            </w:r>
            <w:r w:rsidRPr="005E6B7C">
              <w:rPr>
                <w:rFonts w:asciiTheme="majorHAnsi" w:eastAsia="Yu Mincho" w:hAnsiTheme="majorHAnsi" w:cstheme="majorHAnsi"/>
                <w:b/>
                <w:bCs/>
                <w:color w:val="000000" w:themeColor="text1"/>
                <w:sz w:val="18"/>
                <w:szCs w:val="18"/>
                <w:vertAlign w:val="subscript"/>
                <w:lang w:val="nl-NL" w:eastAsia="ja-JP"/>
              </w:rPr>
              <w:t>H</w:t>
            </w:r>
            <w:r w:rsidR="000630EF" w:rsidRPr="005E6B7C">
              <w:rPr>
                <w:rFonts w:asciiTheme="majorHAnsi" w:eastAsia="Yu Mincho" w:hAnsiTheme="majorHAnsi" w:cstheme="majorHAnsi"/>
                <w:b/>
                <w:bCs/>
                <w:color w:val="000000" w:themeColor="text1"/>
                <w:sz w:val="18"/>
                <w:szCs w:val="18"/>
                <w:lang w:val="nl-NL" w:eastAsia="ja-JP"/>
              </w:rPr>
              <w:t xml:space="preserve"> </w:t>
            </w:r>
            <w:r w:rsidRPr="005E6B7C">
              <w:rPr>
                <w:rFonts w:asciiTheme="majorHAnsi" w:eastAsia="Yu Mincho" w:hAnsiTheme="majorHAnsi" w:cstheme="majorHAnsi"/>
                <w:bCs/>
                <w:color w:val="000000" w:themeColor="text1"/>
                <w:sz w:val="18"/>
                <w:szCs w:val="18"/>
                <w:lang w:val="nl-NL" w:eastAsia="ja-JP"/>
              </w:rPr>
              <w:t>mult. (</w:t>
            </w:r>
            <w:r w:rsidRPr="005E6B7C">
              <w:rPr>
                <w:rFonts w:asciiTheme="majorHAnsi" w:eastAsia="Yu Mincho" w:hAnsiTheme="majorHAnsi" w:cstheme="majorHAnsi"/>
                <w:bCs/>
                <w:i/>
                <w:color w:val="000000" w:themeColor="text1"/>
                <w:sz w:val="18"/>
                <w:szCs w:val="18"/>
                <w:lang w:val="nl-NL" w:eastAsia="ja-JP"/>
              </w:rPr>
              <w:t>J</w:t>
            </w:r>
            <w:r w:rsidRPr="005E6B7C">
              <w:rPr>
                <w:rFonts w:asciiTheme="majorHAnsi" w:eastAsia="Yu Mincho" w:hAnsiTheme="majorHAnsi" w:cstheme="majorHAnsi"/>
                <w:bCs/>
                <w:color w:val="000000" w:themeColor="text1"/>
                <w:sz w:val="18"/>
                <w:szCs w:val="18"/>
                <w:lang w:val="nl-NL" w:eastAsia="ja-JP"/>
              </w:rPr>
              <w:t xml:space="preserve"> in Hz)</w:t>
            </w:r>
          </w:p>
        </w:tc>
      </w:tr>
      <w:tr w:rsidR="00E049CB" w:rsidRPr="005E6B7C" w14:paraId="471E1260" w14:textId="77777777" w:rsidTr="00290AD6">
        <w:trPr>
          <w:jc w:val="center"/>
        </w:trPr>
        <w:tc>
          <w:tcPr>
            <w:tcW w:w="807" w:type="dxa"/>
          </w:tcPr>
          <w:p w14:paraId="705392A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bookmarkStart w:id="6" w:name="_Hlk215920435"/>
            <w:r w:rsidRPr="005E6B7C">
              <w:rPr>
                <w:rFonts w:asciiTheme="majorHAnsi" w:eastAsia="Yu Mincho" w:hAnsiTheme="majorHAnsi" w:cstheme="majorHAnsi"/>
                <w:color w:val="000000" w:themeColor="text1"/>
                <w:sz w:val="18"/>
                <w:szCs w:val="18"/>
                <w:lang w:eastAsia="ja-JP"/>
              </w:rPr>
              <w:t>1</w:t>
            </w:r>
          </w:p>
        </w:tc>
        <w:tc>
          <w:tcPr>
            <w:tcW w:w="894" w:type="dxa"/>
          </w:tcPr>
          <w:p w14:paraId="512DFB5D"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136.4</w:t>
            </w:r>
          </w:p>
        </w:tc>
        <w:tc>
          <w:tcPr>
            <w:tcW w:w="894" w:type="dxa"/>
          </w:tcPr>
          <w:p w14:paraId="6C1111C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133.8</w:t>
            </w:r>
          </w:p>
        </w:tc>
        <w:tc>
          <w:tcPr>
            <w:tcW w:w="993" w:type="dxa"/>
          </w:tcPr>
          <w:p w14:paraId="65E4B85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136.06</w:t>
            </w:r>
          </w:p>
        </w:tc>
        <w:tc>
          <w:tcPr>
            <w:tcW w:w="1941" w:type="dxa"/>
          </w:tcPr>
          <w:p w14:paraId="1280DDE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81" w:type="dxa"/>
          </w:tcPr>
          <w:p w14:paraId="74CE1A9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140.1</w:t>
            </w:r>
          </w:p>
        </w:tc>
        <w:tc>
          <w:tcPr>
            <w:tcW w:w="993" w:type="dxa"/>
          </w:tcPr>
          <w:p w14:paraId="21DF291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140.03</w:t>
            </w:r>
          </w:p>
        </w:tc>
        <w:tc>
          <w:tcPr>
            <w:tcW w:w="1953" w:type="dxa"/>
          </w:tcPr>
          <w:p w14:paraId="0938122E"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90F1813" w14:textId="77777777" w:rsidTr="00290AD6">
        <w:trPr>
          <w:jc w:val="center"/>
        </w:trPr>
        <w:tc>
          <w:tcPr>
            <w:tcW w:w="807" w:type="dxa"/>
          </w:tcPr>
          <w:p w14:paraId="67B3D86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894" w:type="dxa"/>
          </w:tcPr>
          <w:p w14:paraId="79818DA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114.1</w:t>
            </w:r>
          </w:p>
        </w:tc>
        <w:tc>
          <w:tcPr>
            <w:tcW w:w="894" w:type="dxa"/>
          </w:tcPr>
          <w:p w14:paraId="7A234BC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113.0</w:t>
            </w:r>
          </w:p>
        </w:tc>
        <w:tc>
          <w:tcPr>
            <w:tcW w:w="993" w:type="dxa"/>
          </w:tcPr>
          <w:p w14:paraId="371E051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114.07</w:t>
            </w:r>
          </w:p>
        </w:tc>
        <w:tc>
          <w:tcPr>
            <w:tcW w:w="1941" w:type="dxa"/>
          </w:tcPr>
          <w:p w14:paraId="15B69622"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6.82 d (1.8)</w:t>
            </w:r>
          </w:p>
        </w:tc>
        <w:tc>
          <w:tcPr>
            <w:tcW w:w="881" w:type="dxa"/>
          </w:tcPr>
          <w:p w14:paraId="18AA481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129.5</w:t>
            </w:r>
          </w:p>
        </w:tc>
        <w:tc>
          <w:tcPr>
            <w:tcW w:w="993" w:type="dxa"/>
          </w:tcPr>
          <w:p w14:paraId="579CFEA9"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129.38</w:t>
            </w:r>
          </w:p>
        </w:tc>
        <w:tc>
          <w:tcPr>
            <w:tcW w:w="1953" w:type="dxa"/>
          </w:tcPr>
          <w:p w14:paraId="3CE284D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7.28 m</w:t>
            </w:r>
          </w:p>
        </w:tc>
      </w:tr>
      <w:tr w:rsidR="00E049CB" w:rsidRPr="005E6B7C" w14:paraId="14A936F8" w14:textId="77777777" w:rsidTr="00290AD6">
        <w:trPr>
          <w:jc w:val="center"/>
        </w:trPr>
        <w:tc>
          <w:tcPr>
            <w:tcW w:w="807" w:type="dxa"/>
          </w:tcPr>
          <w:p w14:paraId="331B874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894" w:type="dxa"/>
          </w:tcPr>
          <w:p w14:paraId="4221FB6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150.7</w:t>
            </w:r>
          </w:p>
        </w:tc>
        <w:tc>
          <w:tcPr>
            <w:tcW w:w="894" w:type="dxa"/>
          </w:tcPr>
          <w:p w14:paraId="2CB73A66"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149.2</w:t>
            </w:r>
          </w:p>
        </w:tc>
        <w:tc>
          <w:tcPr>
            <w:tcW w:w="993" w:type="dxa"/>
          </w:tcPr>
          <w:p w14:paraId="0C481E9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150.78</w:t>
            </w:r>
          </w:p>
        </w:tc>
        <w:tc>
          <w:tcPr>
            <w:tcW w:w="1941" w:type="dxa"/>
          </w:tcPr>
          <w:p w14:paraId="45C96D67"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81" w:type="dxa"/>
          </w:tcPr>
          <w:p w14:paraId="5B76E24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130.1</w:t>
            </w:r>
          </w:p>
        </w:tc>
        <w:tc>
          <w:tcPr>
            <w:tcW w:w="993" w:type="dxa"/>
          </w:tcPr>
          <w:p w14:paraId="7AD2CFA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130.01</w:t>
            </w:r>
          </w:p>
        </w:tc>
        <w:tc>
          <w:tcPr>
            <w:tcW w:w="1953" w:type="dxa"/>
          </w:tcPr>
          <w:p w14:paraId="0474ECB3"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7.27 m</w:t>
            </w:r>
          </w:p>
        </w:tc>
      </w:tr>
      <w:tr w:rsidR="00E049CB" w:rsidRPr="005E6B7C" w14:paraId="27526474" w14:textId="77777777" w:rsidTr="00290AD6">
        <w:trPr>
          <w:jc w:val="center"/>
        </w:trPr>
        <w:tc>
          <w:tcPr>
            <w:tcW w:w="807" w:type="dxa"/>
          </w:tcPr>
          <w:p w14:paraId="3AAE747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894" w:type="dxa"/>
          </w:tcPr>
          <w:p w14:paraId="51B64DF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146.3</w:t>
            </w:r>
          </w:p>
        </w:tc>
        <w:tc>
          <w:tcPr>
            <w:tcW w:w="894" w:type="dxa"/>
          </w:tcPr>
          <w:p w14:paraId="59DB10E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145.1</w:t>
            </w:r>
          </w:p>
        </w:tc>
        <w:tc>
          <w:tcPr>
            <w:tcW w:w="993" w:type="dxa"/>
          </w:tcPr>
          <w:p w14:paraId="4423F23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146.32</w:t>
            </w:r>
          </w:p>
        </w:tc>
        <w:tc>
          <w:tcPr>
            <w:tcW w:w="1941" w:type="dxa"/>
          </w:tcPr>
          <w:p w14:paraId="320F02D7"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81" w:type="dxa"/>
          </w:tcPr>
          <w:p w14:paraId="04ECBF1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127.3</w:t>
            </w:r>
          </w:p>
        </w:tc>
        <w:tc>
          <w:tcPr>
            <w:tcW w:w="993" w:type="dxa"/>
          </w:tcPr>
          <w:p w14:paraId="096A6AD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127.21</w:t>
            </w:r>
          </w:p>
        </w:tc>
        <w:tc>
          <w:tcPr>
            <w:tcW w:w="1953" w:type="dxa"/>
          </w:tcPr>
          <w:p w14:paraId="529132B0"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7.19 m</w:t>
            </w:r>
          </w:p>
        </w:tc>
      </w:tr>
      <w:tr w:rsidR="00E049CB" w:rsidRPr="005E6B7C" w14:paraId="7D1E651E" w14:textId="77777777" w:rsidTr="00290AD6">
        <w:trPr>
          <w:jc w:val="center"/>
        </w:trPr>
        <w:tc>
          <w:tcPr>
            <w:tcW w:w="807" w:type="dxa"/>
          </w:tcPr>
          <w:p w14:paraId="1EE479CE"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894" w:type="dxa"/>
          </w:tcPr>
          <w:p w14:paraId="3E21882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118.2</w:t>
            </w:r>
          </w:p>
        </w:tc>
        <w:tc>
          <w:tcPr>
            <w:tcW w:w="894" w:type="dxa"/>
          </w:tcPr>
          <w:p w14:paraId="2770785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115.6</w:t>
            </w:r>
          </w:p>
        </w:tc>
        <w:tc>
          <w:tcPr>
            <w:tcW w:w="993" w:type="dxa"/>
          </w:tcPr>
          <w:p w14:paraId="20C4677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117.50</w:t>
            </w:r>
          </w:p>
        </w:tc>
        <w:tc>
          <w:tcPr>
            <w:tcW w:w="1941" w:type="dxa"/>
          </w:tcPr>
          <w:p w14:paraId="29C2D265"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7.04 d (8.4)</w:t>
            </w:r>
          </w:p>
        </w:tc>
        <w:tc>
          <w:tcPr>
            <w:tcW w:w="881" w:type="dxa"/>
          </w:tcPr>
          <w:p w14:paraId="320E381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130.1</w:t>
            </w:r>
          </w:p>
        </w:tc>
        <w:tc>
          <w:tcPr>
            <w:tcW w:w="993" w:type="dxa"/>
          </w:tcPr>
          <w:p w14:paraId="6689DA09"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130.01</w:t>
            </w:r>
          </w:p>
        </w:tc>
        <w:tc>
          <w:tcPr>
            <w:tcW w:w="1953" w:type="dxa"/>
          </w:tcPr>
          <w:p w14:paraId="517E80C2"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7.27 m</w:t>
            </w:r>
          </w:p>
        </w:tc>
      </w:tr>
      <w:tr w:rsidR="00E049CB" w:rsidRPr="005E6B7C" w14:paraId="6736FC6E" w14:textId="77777777" w:rsidTr="00290AD6">
        <w:trPr>
          <w:jc w:val="center"/>
        </w:trPr>
        <w:tc>
          <w:tcPr>
            <w:tcW w:w="807" w:type="dxa"/>
          </w:tcPr>
          <w:p w14:paraId="121A3D8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894" w:type="dxa"/>
          </w:tcPr>
          <w:p w14:paraId="13B6B01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122.1</w:t>
            </w:r>
          </w:p>
        </w:tc>
        <w:tc>
          <w:tcPr>
            <w:tcW w:w="894" w:type="dxa"/>
          </w:tcPr>
          <w:p w14:paraId="628F4D7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120.6</w:t>
            </w:r>
          </w:p>
        </w:tc>
        <w:tc>
          <w:tcPr>
            <w:tcW w:w="993" w:type="dxa"/>
          </w:tcPr>
          <w:p w14:paraId="2E9B643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121.78</w:t>
            </w:r>
          </w:p>
        </w:tc>
        <w:tc>
          <w:tcPr>
            <w:tcW w:w="1941" w:type="dxa"/>
          </w:tcPr>
          <w:p w14:paraId="1A5F4162"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6.71 dd (1.8, 8.4)</w:t>
            </w:r>
          </w:p>
        </w:tc>
        <w:tc>
          <w:tcPr>
            <w:tcW w:w="881" w:type="dxa"/>
          </w:tcPr>
          <w:p w14:paraId="535C0C1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129.5</w:t>
            </w:r>
          </w:p>
        </w:tc>
        <w:tc>
          <w:tcPr>
            <w:tcW w:w="993" w:type="dxa"/>
          </w:tcPr>
          <w:p w14:paraId="0D47BC4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129.38</w:t>
            </w:r>
          </w:p>
        </w:tc>
        <w:tc>
          <w:tcPr>
            <w:tcW w:w="1953" w:type="dxa"/>
          </w:tcPr>
          <w:p w14:paraId="140D8F16"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7.28 m</w:t>
            </w:r>
          </w:p>
        </w:tc>
      </w:tr>
      <w:bookmarkEnd w:id="6"/>
      <w:tr w:rsidR="00E049CB" w:rsidRPr="005E6B7C" w14:paraId="214A4EC7" w14:textId="77777777" w:rsidTr="00290AD6">
        <w:trPr>
          <w:jc w:val="center"/>
        </w:trPr>
        <w:tc>
          <w:tcPr>
            <w:tcW w:w="807" w:type="dxa"/>
          </w:tcPr>
          <w:p w14:paraId="437F061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894" w:type="dxa"/>
          </w:tcPr>
          <w:p w14:paraId="7B18888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40.8</w:t>
            </w:r>
          </w:p>
        </w:tc>
        <w:tc>
          <w:tcPr>
            <w:tcW w:w="894" w:type="dxa"/>
          </w:tcPr>
          <w:p w14:paraId="773B62E9"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39.5</w:t>
            </w:r>
          </w:p>
        </w:tc>
        <w:tc>
          <w:tcPr>
            <w:tcW w:w="993" w:type="dxa"/>
          </w:tcPr>
          <w:p w14:paraId="3C4E6ED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40.75</w:t>
            </w:r>
          </w:p>
        </w:tc>
        <w:tc>
          <w:tcPr>
            <w:tcW w:w="1941" w:type="dxa"/>
          </w:tcPr>
          <w:p w14:paraId="27FE309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3.33 m</w:t>
            </w:r>
          </w:p>
        </w:tc>
        <w:tc>
          <w:tcPr>
            <w:tcW w:w="881" w:type="dxa"/>
          </w:tcPr>
          <w:p w14:paraId="5D9B544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37.4</w:t>
            </w:r>
          </w:p>
        </w:tc>
        <w:tc>
          <w:tcPr>
            <w:tcW w:w="993" w:type="dxa"/>
          </w:tcPr>
          <w:p w14:paraId="2AFCAA1E"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37.30</w:t>
            </w:r>
          </w:p>
        </w:tc>
        <w:tc>
          <w:tcPr>
            <w:tcW w:w="1953" w:type="dxa"/>
          </w:tcPr>
          <w:p w14:paraId="3A170C94"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2.96 m</w:t>
            </w:r>
          </w:p>
        </w:tc>
      </w:tr>
      <w:tr w:rsidR="00E049CB" w:rsidRPr="005E6B7C" w14:paraId="399A7902" w14:textId="77777777" w:rsidTr="00290AD6">
        <w:trPr>
          <w:jc w:val="center"/>
        </w:trPr>
        <w:tc>
          <w:tcPr>
            <w:tcW w:w="807" w:type="dxa"/>
          </w:tcPr>
          <w:p w14:paraId="3ABCE6E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894" w:type="dxa"/>
          </w:tcPr>
          <w:p w14:paraId="7BF432F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139.0</w:t>
            </w:r>
          </w:p>
        </w:tc>
        <w:tc>
          <w:tcPr>
            <w:tcW w:w="894" w:type="dxa"/>
          </w:tcPr>
          <w:p w14:paraId="62542D4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138.4</w:t>
            </w:r>
          </w:p>
        </w:tc>
        <w:tc>
          <w:tcPr>
            <w:tcW w:w="993" w:type="dxa"/>
          </w:tcPr>
          <w:p w14:paraId="52591CC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139.06</w:t>
            </w:r>
          </w:p>
        </w:tc>
        <w:tc>
          <w:tcPr>
            <w:tcW w:w="1941" w:type="dxa"/>
          </w:tcPr>
          <w:p w14:paraId="3FB31740"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5.96 m</w:t>
            </w:r>
          </w:p>
        </w:tc>
        <w:tc>
          <w:tcPr>
            <w:tcW w:w="881" w:type="dxa"/>
          </w:tcPr>
          <w:p w14:paraId="548FDB39"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71.9</w:t>
            </w:r>
          </w:p>
        </w:tc>
        <w:tc>
          <w:tcPr>
            <w:tcW w:w="993" w:type="dxa"/>
          </w:tcPr>
          <w:p w14:paraId="2DDA05E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71.84</w:t>
            </w:r>
          </w:p>
        </w:tc>
        <w:tc>
          <w:tcPr>
            <w:tcW w:w="1953" w:type="dxa"/>
          </w:tcPr>
          <w:p w14:paraId="202153D9"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3.78 m/4.05 m</w:t>
            </w:r>
          </w:p>
        </w:tc>
      </w:tr>
      <w:tr w:rsidR="00E049CB" w:rsidRPr="005E6B7C" w14:paraId="16356081" w14:textId="77777777" w:rsidTr="00290AD6">
        <w:trPr>
          <w:jc w:val="center"/>
        </w:trPr>
        <w:tc>
          <w:tcPr>
            <w:tcW w:w="807" w:type="dxa"/>
          </w:tcPr>
          <w:p w14:paraId="76211F0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894" w:type="dxa"/>
          </w:tcPr>
          <w:p w14:paraId="6FAF956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115.9</w:t>
            </w:r>
          </w:p>
        </w:tc>
        <w:tc>
          <w:tcPr>
            <w:tcW w:w="894" w:type="dxa"/>
          </w:tcPr>
          <w:p w14:paraId="3E0345B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116.0</w:t>
            </w:r>
          </w:p>
        </w:tc>
        <w:tc>
          <w:tcPr>
            <w:tcW w:w="993" w:type="dxa"/>
          </w:tcPr>
          <w:p w14:paraId="1E9576D6"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115.77</w:t>
            </w:r>
          </w:p>
        </w:tc>
        <w:tc>
          <w:tcPr>
            <w:tcW w:w="1941" w:type="dxa"/>
          </w:tcPr>
          <w:p w14:paraId="66FCB9EB"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5.04 dd (1.8, 17.4)</w:t>
            </w:r>
          </w:p>
          <w:p w14:paraId="087565D5"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5.08 dd (1.8, 10.2)</w:t>
            </w:r>
          </w:p>
        </w:tc>
        <w:tc>
          <w:tcPr>
            <w:tcW w:w="881" w:type="dxa"/>
          </w:tcPr>
          <w:p w14:paraId="1AD060B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993" w:type="dxa"/>
          </w:tcPr>
          <w:p w14:paraId="471B192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p>
        </w:tc>
        <w:tc>
          <w:tcPr>
            <w:tcW w:w="1953" w:type="dxa"/>
          </w:tcPr>
          <w:p w14:paraId="75A0003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28E75150" w14:textId="77777777" w:rsidTr="00290AD6">
        <w:trPr>
          <w:jc w:val="center"/>
        </w:trPr>
        <w:tc>
          <w:tcPr>
            <w:tcW w:w="807" w:type="dxa"/>
          </w:tcPr>
          <w:p w14:paraId="18C3E79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3-OCH</w:t>
            </w:r>
            <w:r w:rsidRPr="005E6B7C">
              <w:rPr>
                <w:rFonts w:asciiTheme="majorHAnsi" w:eastAsia="Yu Mincho" w:hAnsiTheme="majorHAnsi" w:cstheme="majorHAnsi"/>
                <w:color w:val="000000" w:themeColor="text1"/>
                <w:sz w:val="18"/>
                <w:szCs w:val="18"/>
                <w:vertAlign w:val="subscript"/>
                <w:lang w:eastAsia="ja-JP"/>
              </w:rPr>
              <w:t>3</w:t>
            </w:r>
          </w:p>
        </w:tc>
        <w:tc>
          <w:tcPr>
            <w:tcW w:w="894" w:type="dxa"/>
          </w:tcPr>
          <w:p w14:paraId="2E98649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56.7</w:t>
            </w:r>
          </w:p>
        </w:tc>
        <w:tc>
          <w:tcPr>
            <w:tcW w:w="894" w:type="dxa"/>
          </w:tcPr>
          <w:p w14:paraId="2757114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55.9</w:t>
            </w:r>
          </w:p>
        </w:tc>
        <w:tc>
          <w:tcPr>
            <w:tcW w:w="993" w:type="dxa"/>
          </w:tcPr>
          <w:p w14:paraId="523E9B4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56.44</w:t>
            </w:r>
          </w:p>
        </w:tc>
        <w:tc>
          <w:tcPr>
            <w:tcW w:w="1941" w:type="dxa"/>
          </w:tcPr>
          <w:p w14:paraId="46D79509"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3.83 s</w:t>
            </w:r>
          </w:p>
        </w:tc>
        <w:tc>
          <w:tcPr>
            <w:tcW w:w="881" w:type="dxa"/>
          </w:tcPr>
          <w:p w14:paraId="577D547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993" w:type="dxa"/>
          </w:tcPr>
          <w:p w14:paraId="7E1EE73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p>
        </w:tc>
        <w:tc>
          <w:tcPr>
            <w:tcW w:w="1953" w:type="dxa"/>
          </w:tcPr>
          <w:p w14:paraId="02985451"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563E658E" w14:textId="77777777" w:rsidTr="00290AD6">
        <w:trPr>
          <w:jc w:val="center"/>
        </w:trPr>
        <w:tc>
          <w:tcPr>
            <w:tcW w:w="807" w:type="dxa"/>
          </w:tcPr>
          <w:p w14:paraId="4D27322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p>
        </w:tc>
        <w:tc>
          <w:tcPr>
            <w:tcW w:w="894" w:type="dxa"/>
          </w:tcPr>
          <w:p w14:paraId="73BB9C3D"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i/>
                <w:iCs/>
                <w:color w:val="000000" w:themeColor="text1"/>
                <w:sz w:val="18"/>
                <w:szCs w:val="18"/>
                <w:lang w:eastAsia="ja-JP"/>
              </w:rPr>
              <w:t>Glc</w:t>
            </w:r>
          </w:p>
        </w:tc>
        <w:tc>
          <w:tcPr>
            <w:tcW w:w="894" w:type="dxa"/>
          </w:tcPr>
          <w:p w14:paraId="7F65D87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i/>
                <w:iCs/>
                <w:color w:val="000000" w:themeColor="text1"/>
                <w:sz w:val="18"/>
                <w:szCs w:val="18"/>
                <w:lang w:eastAsia="ja-JP"/>
              </w:rPr>
            </w:pPr>
          </w:p>
        </w:tc>
        <w:tc>
          <w:tcPr>
            <w:tcW w:w="993" w:type="dxa"/>
          </w:tcPr>
          <w:p w14:paraId="012DC39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1941" w:type="dxa"/>
          </w:tcPr>
          <w:p w14:paraId="53B45B0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c>
          <w:tcPr>
            <w:tcW w:w="881" w:type="dxa"/>
          </w:tcPr>
          <w:p w14:paraId="4915151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993" w:type="dxa"/>
          </w:tcPr>
          <w:p w14:paraId="48D6770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p>
        </w:tc>
        <w:tc>
          <w:tcPr>
            <w:tcW w:w="1953" w:type="dxa"/>
          </w:tcPr>
          <w:p w14:paraId="66A154C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5332843F" w14:textId="77777777" w:rsidTr="00290AD6">
        <w:trPr>
          <w:jc w:val="center"/>
        </w:trPr>
        <w:tc>
          <w:tcPr>
            <w:tcW w:w="807" w:type="dxa"/>
          </w:tcPr>
          <w:p w14:paraId="32CADDD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1ʹ</w:t>
            </w:r>
          </w:p>
        </w:tc>
        <w:tc>
          <w:tcPr>
            <w:tcW w:w="894" w:type="dxa"/>
          </w:tcPr>
          <w:p w14:paraId="2BAC5D9D"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103.0</w:t>
            </w:r>
          </w:p>
        </w:tc>
        <w:tc>
          <w:tcPr>
            <w:tcW w:w="894" w:type="dxa"/>
          </w:tcPr>
          <w:p w14:paraId="0E901CD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98.8</w:t>
            </w:r>
          </w:p>
        </w:tc>
        <w:tc>
          <w:tcPr>
            <w:tcW w:w="993" w:type="dxa"/>
          </w:tcPr>
          <w:p w14:paraId="49AF1E8D"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101.16</w:t>
            </w:r>
          </w:p>
        </w:tc>
        <w:tc>
          <w:tcPr>
            <w:tcW w:w="1941" w:type="dxa"/>
          </w:tcPr>
          <w:p w14:paraId="5E33D4C6"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4.97 d (7.8)</w:t>
            </w:r>
          </w:p>
        </w:tc>
        <w:tc>
          <w:tcPr>
            <w:tcW w:w="881" w:type="dxa"/>
          </w:tcPr>
          <w:p w14:paraId="057689B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104.7</w:t>
            </w:r>
          </w:p>
        </w:tc>
        <w:tc>
          <w:tcPr>
            <w:tcW w:w="993" w:type="dxa"/>
          </w:tcPr>
          <w:p w14:paraId="2F8D3C5E"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104.50</w:t>
            </w:r>
          </w:p>
        </w:tc>
        <w:tc>
          <w:tcPr>
            <w:tcW w:w="1953" w:type="dxa"/>
          </w:tcPr>
          <w:p w14:paraId="5851BFA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4.31 d (7.8)</w:t>
            </w:r>
          </w:p>
        </w:tc>
      </w:tr>
      <w:tr w:rsidR="00E049CB" w:rsidRPr="005E6B7C" w14:paraId="25A695E9" w14:textId="77777777" w:rsidTr="00290AD6">
        <w:trPr>
          <w:jc w:val="center"/>
        </w:trPr>
        <w:tc>
          <w:tcPr>
            <w:tcW w:w="807" w:type="dxa"/>
          </w:tcPr>
          <w:p w14:paraId="54083429"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2ʹ</w:t>
            </w:r>
          </w:p>
        </w:tc>
        <w:tc>
          <w:tcPr>
            <w:tcW w:w="894" w:type="dxa"/>
          </w:tcPr>
          <w:p w14:paraId="59C5E97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74.9</w:t>
            </w:r>
          </w:p>
        </w:tc>
        <w:tc>
          <w:tcPr>
            <w:tcW w:w="894" w:type="dxa"/>
          </w:tcPr>
          <w:p w14:paraId="189ACC5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77.7</w:t>
            </w:r>
          </w:p>
        </w:tc>
        <w:tc>
          <w:tcPr>
            <w:tcW w:w="993" w:type="dxa"/>
          </w:tcPr>
          <w:p w14:paraId="059D98A6"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77.59</w:t>
            </w:r>
          </w:p>
        </w:tc>
        <w:tc>
          <w:tcPr>
            <w:tcW w:w="1941" w:type="dxa"/>
          </w:tcPr>
          <w:p w14:paraId="09F5BB86"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3.70 m</w:t>
            </w:r>
          </w:p>
        </w:tc>
        <w:tc>
          <w:tcPr>
            <w:tcW w:w="881" w:type="dxa"/>
          </w:tcPr>
          <w:p w14:paraId="3327C56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75.3</w:t>
            </w:r>
          </w:p>
        </w:tc>
        <w:tc>
          <w:tcPr>
            <w:tcW w:w="993" w:type="dxa"/>
          </w:tcPr>
          <w:p w14:paraId="17CC72A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75.08</w:t>
            </w:r>
          </w:p>
        </w:tc>
        <w:tc>
          <w:tcPr>
            <w:tcW w:w="1953" w:type="dxa"/>
          </w:tcPr>
          <w:p w14:paraId="19567A82"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3.19 dd (7.8, 9.0)</w:t>
            </w:r>
          </w:p>
        </w:tc>
      </w:tr>
      <w:tr w:rsidR="00E049CB" w:rsidRPr="005E6B7C" w14:paraId="062F5377" w14:textId="77777777" w:rsidTr="00290AD6">
        <w:trPr>
          <w:jc w:val="center"/>
        </w:trPr>
        <w:tc>
          <w:tcPr>
            <w:tcW w:w="807" w:type="dxa"/>
          </w:tcPr>
          <w:p w14:paraId="02D1C67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3ʹ</w:t>
            </w:r>
          </w:p>
        </w:tc>
        <w:tc>
          <w:tcPr>
            <w:tcW w:w="894" w:type="dxa"/>
          </w:tcPr>
          <w:p w14:paraId="44B78D42"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78.1</w:t>
            </w:r>
          </w:p>
        </w:tc>
        <w:tc>
          <w:tcPr>
            <w:tcW w:w="894" w:type="dxa"/>
          </w:tcPr>
          <w:p w14:paraId="50B3088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76.5</w:t>
            </w:r>
          </w:p>
        </w:tc>
        <w:tc>
          <w:tcPr>
            <w:tcW w:w="993" w:type="dxa"/>
          </w:tcPr>
          <w:p w14:paraId="7F59FA1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78.79</w:t>
            </w:r>
          </w:p>
        </w:tc>
        <w:tc>
          <w:tcPr>
            <w:tcW w:w="1941" w:type="dxa"/>
          </w:tcPr>
          <w:p w14:paraId="39DBBA77"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3.60 m</w:t>
            </w:r>
          </w:p>
        </w:tc>
        <w:tc>
          <w:tcPr>
            <w:tcW w:w="881" w:type="dxa"/>
          </w:tcPr>
          <w:p w14:paraId="3D8D41F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78.3</w:t>
            </w:r>
          </w:p>
        </w:tc>
        <w:tc>
          <w:tcPr>
            <w:tcW w:w="993" w:type="dxa"/>
          </w:tcPr>
          <w:p w14:paraId="6F289FA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78.07</w:t>
            </w:r>
          </w:p>
        </w:tc>
        <w:tc>
          <w:tcPr>
            <w:tcW w:w="1953" w:type="dxa"/>
          </w:tcPr>
          <w:p w14:paraId="0481E4B3"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3.35 m</w:t>
            </w:r>
          </w:p>
        </w:tc>
      </w:tr>
      <w:tr w:rsidR="00E049CB" w:rsidRPr="005E6B7C" w14:paraId="239008FA" w14:textId="77777777" w:rsidTr="00290AD6">
        <w:trPr>
          <w:jc w:val="center"/>
        </w:trPr>
        <w:tc>
          <w:tcPr>
            <w:tcW w:w="807" w:type="dxa"/>
          </w:tcPr>
          <w:p w14:paraId="60A1A4B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4ʹ</w:t>
            </w:r>
          </w:p>
        </w:tc>
        <w:tc>
          <w:tcPr>
            <w:tcW w:w="894" w:type="dxa"/>
          </w:tcPr>
          <w:p w14:paraId="3437F77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71.3</w:t>
            </w:r>
          </w:p>
        </w:tc>
        <w:tc>
          <w:tcPr>
            <w:tcW w:w="894" w:type="dxa"/>
          </w:tcPr>
          <w:p w14:paraId="621C550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70.5</w:t>
            </w:r>
          </w:p>
        </w:tc>
        <w:tc>
          <w:tcPr>
            <w:tcW w:w="993" w:type="dxa"/>
          </w:tcPr>
          <w:p w14:paraId="73F8045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71.49</w:t>
            </w:r>
          </w:p>
        </w:tc>
        <w:tc>
          <w:tcPr>
            <w:tcW w:w="1941" w:type="dxa"/>
          </w:tcPr>
          <w:p w14:paraId="0CCAE93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3.42 t (8.4)</w:t>
            </w:r>
          </w:p>
        </w:tc>
        <w:tc>
          <w:tcPr>
            <w:tcW w:w="881" w:type="dxa"/>
          </w:tcPr>
          <w:p w14:paraId="5F62205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71.8</w:t>
            </w:r>
          </w:p>
        </w:tc>
        <w:tc>
          <w:tcPr>
            <w:tcW w:w="993" w:type="dxa"/>
          </w:tcPr>
          <w:p w14:paraId="527EEA3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71.66</w:t>
            </w:r>
          </w:p>
        </w:tc>
        <w:tc>
          <w:tcPr>
            <w:tcW w:w="1953" w:type="dxa"/>
          </w:tcPr>
          <w:p w14:paraId="69EC268E"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3.30 t (9.0)</w:t>
            </w:r>
          </w:p>
        </w:tc>
      </w:tr>
      <w:tr w:rsidR="00E049CB" w:rsidRPr="005E6B7C" w14:paraId="65C55303" w14:textId="77777777" w:rsidTr="00290AD6">
        <w:trPr>
          <w:jc w:val="center"/>
        </w:trPr>
        <w:tc>
          <w:tcPr>
            <w:tcW w:w="807" w:type="dxa"/>
          </w:tcPr>
          <w:p w14:paraId="67B52E2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5ʹ</w:t>
            </w:r>
          </w:p>
        </w:tc>
        <w:tc>
          <w:tcPr>
            <w:tcW w:w="894" w:type="dxa"/>
          </w:tcPr>
          <w:p w14:paraId="2CB90F2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77.8</w:t>
            </w:r>
          </w:p>
        </w:tc>
        <w:tc>
          <w:tcPr>
            <w:tcW w:w="894" w:type="dxa"/>
          </w:tcPr>
          <w:p w14:paraId="5287E5D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75.4</w:t>
            </w:r>
          </w:p>
        </w:tc>
        <w:tc>
          <w:tcPr>
            <w:tcW w:w="993" w:type="dxa"/>
          </w:tcPr>
          <w:p w14:paraId="428A8284"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78.00</w:t>
            </w:r>
          </w:p>
        </w:tc>
        <w:tc>
          <w:tcPr>
            <w:tcW w:w="1941" w:type="dxa"/>
          </w:tcPr>
          <w:p w14:paraId="56BDC803"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3.40 m</w:t>
            </w:r>
          </w:p>
        </w:tc>
        <w:tc>
          <w:tcPr>
            <w:tcW w:w="881" w:type="dxa"/>
          </w:tcPr>
          <w:p w14:paraId="49AEEE8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77.1</w:t>
            </w:r>
          </w:p>
        </w:tc>
        <w:tc>
          <w:tcPr>
            <w:tcW w:w="993" w:type="dxa"/>
          </w:tcPr>
          <w:p w14:paraId="5702CB2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76.84</w:t>
            </w:r>
          </w:p>
        </w:tc>
        <w:tc>
          <w:tcPr>
            <w:tcW w:w="1953" w:type="dxa"/>
          </w:tcPr>
          <w:p w14:paraId="21376909"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3.42 m</w:t>
            </w:r>
          </w:p>
        </w:tc>
      </w:tr>
      <w:tr w:rsidR="00E049CB" w:rsidRPr="005E6B7C" w14:paraId="45AC0991" w14:textId="77777777" w:rsidTr="00290AD6">
        <w:trPr>
          <w:jc w:val="center"/>
        </w:trPr>
        <w:tc>
          <w:tcPr>
            <w:tcW w:w="807" w:type="dxa"/>
          </w:tcPr>
          <w:p w14:paraId="5E0E84A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6ʹ</w:t>
            </w:r>
          </w:p>
        </w:tc>
        <w:tc>
          <w:tcPr>
            <w:tcW w:w="894" w:type="dxa"/>
          </w:tcPr>
          <w:p w14:paraId="6E03464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62.5</w:t>
            </w:r>
          </w:p>
        </w:tc>
        <w:tc>
          <w:tcPr>
            <w:tcW w:w="894" w:type="dxa"/>
          </w:tcPr>
          <w:p w14:paraId="0EAC865D"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61.1</w:t>
            </w:r>
          </w:p>
        </w:tc>
        <w:tc>
          <w:tcPr>
            <w:tcW w:w="993" w:type="dxa"/>
          </w:tcPr>
          <w:p w14:paraId="0BAB4C7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62.52</w:t>
            </w:r>
          </w:p>
        </w:tc>
        <w:tc>
          <w:tcPr>
            <w:tcW w:w="1941" w:type="dxa"/>
          </w:tcPr>
          <w:p w14:paraId="45A1514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3.69 dd (5.4, 12.0)</w:t>
            </w:r>
          </w:p>
          <w:p w14:paraId="58B8587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3.87 dd (1.8, 12.0)</w:t>
            </w:r>
          </w:p>
        </w:tc>
        <w:tc>
          <w:tcPr>
            <w:tcW w:w="881" w:type="dxa"/>
          </w:tcPr>
          <w:p w14:paraId="33271CE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68.4</w:t>
            </w:r>
          </w:p>
        </w:tc>
        <w:tc>
          <w:tcPr>
            <w:tcW w:w="993" w:type="dxa"/>
          </w:tcPr>
          <w:p w14:paraId="7E8DC3C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68.12</w:t>
            </w:r>
          </w:p>
        </w:tc>
        <w:tc>
          <w:tcPr>
            <w:tcW w:w="1953" w:type="dxa"/>
          </w:tcPr>
          <w:p w14:paraId="1F9CAA06"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3.63 dd (6.0, 12.0)</w:t>
            </w:r>
          </w:p>
          <w:p w14:paraId="58335E0D"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4.00 dd (1.8, 12.0)</w:t>
            </w:r>
          </w:p>
        </w:tc>
      </w:tr>
      <w:tr w:rsidR="00E049CB" w:rsidRPr="005E6B7C" w14:paraId="33DF7B17" w14:textId="77777777" w:rsidTr="00290AD6">
        <w:trPr>
          <w:jc w:val="center"/>
        </w:trPr>
        <w:tc>
          <w:tcPr>
            <w:tcW w:w="807" w:type="dxa"/>
          </w:tcPr>
          <w:p w14:paraId="73F7C84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p>
        </w:tc>
        <w:tc>
          <w:tcPr>
            <w:tcW w:w="894" w:type="dxa"/>
          </w:tcPr>
          <w:p w14:paraId="03CB4C6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293DA6A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i/>
                <w:iCs/>
                <w:color w:val="000000" w:themeColor="text1"/>
                <w:sz w:val="18"/>
                <w:szCs w:val="18"/>
                <w:lang w:eastAsia="ja-JP"/>
              </w:rPr>
            </w:pPr>
            <w:r w:rsidRPr="005E6B7C">
              <w:rPr>
                <w:rFonts w:asciiTheme="majorHAnsi" w:eastAsia="Yu Mincho" w:hAnsiTheme="majorHAnsi" w:cstheme="majorHAnsi"/>
                <w:bCs/>
                <w:i/>
                <w:iCs/>
                <w:color w:val="000000" w:themeColor="text1"/>
                <w:sz w:val="18"/>
                <w:szCs w:val="18"/>
                <w:lang w:eastAsia="ja-JP"/>
              </w:rPr>
              <w:t>Api</w:t>
            </w:r>
          </w:p>
        </w:tc>
        <w:tc>
          <w:tcPr>
            <w:tcW w:w="993" w:type="dxa"/>
          </w:tcPr>
          <w:p w14:paraId="3D2F8C8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1941" w:type="dxa"/>
          </w:tcPr>
          <w:p w14:paraId="642F809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c>
          <w:tcPr>
            <w:tcW w:w="881" w:type="dxa"/>
          </w:tcPr>
          <w:p w14:paraId="0D6527B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i/>
                <w:iCs/>
                <w:color w:val="000000" w:themeColor="text1"/>
                <w:sz w:val="18"/>
                <w:szCs w:val="18"/>
                <w:lang w:eastAsia="ja-JP"/>
              </w:rPr>
            </w:pPr>
            <w:r w:rsidRPr="005E6B7C">
              <w:rPr>
                <w:rFonts w:asciiTheme="majorHAnsi" w:eastAsia="Yu Mincho" w:hAnsiTheme="majorHAnsi" w:cstheme="majorHAnsi"/>
                <w:bCs/>
                <w:i/>
                <w:iCs/>
                <w:color w:val="000000" w:themeColor="text1"/>
                <w:sz w:val="18"/>
                <w:szCs w:val="18"/>
                <w:lang w:eastAsia="ja-JP"/>
              </w:rPr>
              <w:t>Rha</w:t>
            </w:r>
          </w:p>
        </w:tc>
        <w:tc>
          <w:tcPr>
            <w:tcW w:w="993" w:type="dxa"/>
          </w:tcPr>
          <w:p w14:paraId="7CB1E29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1953" w:type="dxa"/>
          </w:tcPr>
          <w:p w14:paraId="4F4F64EB"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54D20ADD" w14:textId="77777777" w:rsidTr="00290AD6">
        <w:trPr>
          <w:jc w:val="center"/>
        </w:trPr>
        <w:tc>
          <w:tcPr>
            <w:tcW w:w="807" w:type="dxa"/>
          </w:tcPr>
          <w:p w14:paraId="1F81F48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1ʹʹ</w:t>
            </w:r>
          </w:p>
        </w:tc>
        <w:tc>
          <w:tcPr>
            <w:tcW w:w="894" w:type="dxa"/>
          </w:tcPr>
          <w:p w14:paraId="578EAA5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1729E0DE"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108.</w:t>
            </w:r>
          </w:p>
        </w:tc>
        <w:tc>
          <w:tcPr>
            <w:tcW w:w="993" w:type="dxa"/>
          </w:tcPr>
          <w:p w14:paraId="3CA4518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110.26</w:t>
            </w:r>
          </w:p>
        </w:tc>
        <w:tc>
          <w:tcPr>
            <w:tcW w:w="1941" w:type="dxa"/>
          </w:tcPr>
          <w:p w14:paraId="06D8A0AE"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 d (1.2)</w:t>
            </w:r>
          </w:p>
        </w:tc>
        <w:tc>
          <w:tcPr>
            <w:tcW w:w="881" w:type="dxa"/>
          </w:tcPr>
          <w:p w14:paraId="3F98F79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102.4</w:t>
            </w:r>
          </w:p>
        </w:tc>
        <w:tc>
          <w:tcPr>
            <w:tcW w:w="993" w:type="dxa"/>
          </w:tcPr>
          <w:p w14:paraId="6A60626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102.25</w:t>
            </w:r>
          </w:p>
        </w:tc>
        <w:tc>
          <w:tcPr>
            <w:tcW w:w="1953" w:type="dxa"/>
          </w:tcPr>
          <w:p w14:paraId="0EAB185B"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4.76 d (1.8)</w:t>
            </w:r>
          </w:p>
        </w:tc>
      </w:tr>
      <w:tr w:rsidR="00E049CB" w:rsidRPr="005E6B7C" w14:paraId="328E4F13" w14:textId="77777777" w:rsidTr="00290AD6">
        <w:trPr>
          <w:jc w:val="center"/>
        </w:trPr>
        <w:tc>
          <w:tcPr>
            <w:tcW w:w="807" w:type="dxa"/>
          </w:tcPr>
          <w:p w14:paraId="18F795C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2ʹʹ</w:t>
            </w:r>
          </w:p>
        </w:tc>
        <w:tc>
          <w:tcPr>
            <w:tcW w:w="894" w:type="dxa"/>
          </w:tcPr>
          <w:p w14:paraId="6D39D6C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5EF2325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77.3</w:t>
            </w:r>
          </w:p>
        </w:tc>
        <w:tc>
          <w:tcPr>
            <w:tcW w:w="993" w:type="dxa"/>
          </w:tcPr>
          <w:p w14:paraId="0C82128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77.85</w:t>
            </w:r>
          </w:p>
        </w:tc>
        <w:tc>
          <w:tcPr>
            <w:tcW w:w="1941" w:type="dxa"/>
          </w:tcPr>
          <w:p w14:paraId="750E174A"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4.00 d (1.2)</w:t>
            </w:r>
          </w:p>
        </w:tc>
        <w:tc>
          <w:tcPr>
            <w:tcW w:w="881" w:type="dxa"/>
          </w:tcPr>
          <w:p w14:paraId="38A065F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72.3</w:t>
            </w:r>
          </w:p>
        </w:tc>
        <w:tc>
          <w:tcPr>
            <w:tcW w:w="993" w:type="dxa"/>
          </w:tcPr>
          <w:p w14:paraId="7C73DCB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72.20</w:t>
            </w:r>
          </w:p>
        </w:tc>
        <w:tc>
          <w:tcPr>
            <w:tcW w:w="1953" w:type="dxa"/>
          </w:tcPr>
          <w:p w14:paraId="03E63BBC"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3.85 dd (1.8, 3.6)</w:t>
            </w:r>
          </w:p>
        </w:tc>
      </w:tr>
      <w:tr w:rsidR="00E049CB" w:rsidRPr="005E6B7C" w14:paraId="78D18D41" w14:textId="77777777" w:rsidTr="00290AD6">
        <w:trPr>
          <w:jc w:val="center"/>
        </w:trPr>
        <w:tc>
          <w:tcPr>
            <w:tcW w:w="807" w:type="dxa"/>
          </w:tcPr>
          <w:p w14:paraId="187C5316"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3ʹʹ</w:t>
            </w:r>
          </w:p>
        </w:tc>
        <w:tc>
          <w:tcPr>
            <w:tcW w:w="894" w:type="dxa"/>
          </w:tcPr>
          <w:p w14:paraId="748C3BE5"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42E2B64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79.8</w:t>
            </w:r>
          </w:p>
        </w:tc>
        <w:tc>
          <w:tcPr>
            <w:tcW w:w="993" w:type="dxa"/>
          </w:tcPr>
          <w:p w14:paraId="0E77A5D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80.82</w:t>
            </w:r>
          </w:p>
        </w:tc>
        <w:tc>
          <w:tcPr>
            <w:tcW w:w="1941" w:type="dxa"/>
          </w:tcPr>
          <w:p w14:paraId="1F2155F0"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81" w:type="dxa"/>
          </w:tcPr>
          <w:p w14:paraId="5CEA9A3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72.5</w:t>
            </w:r>
          </w:p>
        </w:tc>
        <w:tc>
          <w:tcPr>
            <w:tcW w:w="993" w:type="dxa"/>
          </w:tcPr>
          <w:p w14:paraId="2F2A715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72.37</w:t>
            </w:r>
          </w:p>
        </w:tc>
        <w:tc>
          <w:tcPr>
            <w:tcW w:w="1953" w:type="dxa"/>
          </w:tcPr>
          <w:p w14:paraId="0A4AF625"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3.68 m</w:t>
            </w:r>
          </w:p>
        </w:tc>
      </w:tr>
      <w:tr w:rsidR="00E049CB" w:rsidRPr="005E6B7C" w14:paraId="2288F3BD" w14:textId="77777777" w:rsidTr="00290AD6">
        <w:trPr>
          <w:jc w:val="center"/>
        </w:trPr>
        <w:tc>
          <w:tcPr>
            <w:tcW w:w="807" w:type="dxa"/>
          </w:tcPr>
          <w:p w14:paraId="1A24F01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4ʹʹ</w:t>
            </w:r>
          </w:p>
        </w:tc>
        <w:tc>
          <w:tcPr>
            <w:tcW w:w="894" w:type="dxa"/>
          </w:tcPr>
          <w:p w14:paraId="161ACD5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1D4349A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74.4</w:t>
            </w:r>
          </w:p>
        </w:tc>
        <w:tc>
          <w:tcPr>
            <w:tcW w:w="993" w:type="dxa"/>
          </w:tcPr>
          <w:p w14:paraId="396E8D5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75.49</w:t>
            </w:r>
          </w:p>
        </w:tc>
        <w:tc>
          <w:tcPr>
            <w:tcW w:w="1941" w:type="dxa"/>
          </w:tcPr>
          <w:p w14:paraId="61307F51"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3.76 d (9.6)</w:t>
            </w:r>
          </w:p>
          <w:p w14:paraId="1C914249"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4.19 d (9.6)</w:t>
            </w:r>
          </w:p>
        </w:tc>
        <w:tc>
          <w:tcPr>
            <w:tcW w:w="881" w:type="dxa"/>
          </w:tcPr>
          <w:p w14:paraId="0BA8A7A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74.2</w:t>
            </w:r>
          </w:p>
        </w:tc>
        <w:tc>
          <w:tcPr>
            <w:tcW w:w="993" w:type="dxa"/>
          </w:tcPr>
          <w:p w14:paraId="6034E0A0"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74.02</w:t>
            </w:r>
          </w:p>
        </w:tc>
        <w:tc>
          <w:tcPr>
            <w:tcW w:w="1953" w:type="dxa"/>
          </w:tcPr>
          <w:p w14:paraId="679A38FB"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 m</w:t>
            </w:r>
          </w:p>
        </w:tc>
      </w:tr>
      <w:tr w:rsidR="00E049CB" w:rsidRPr="005E6B7C" w14:paraId="266D075B" w14:textId="77777777" w:rsidTr="00290AD6">
        <w:trPr>
          <w:jc w:val="center"/>
        </w:trPr>
        <w:tc>
          <w:tcPr>
            <w:tcW w:w="807" w:type="dxa"/>
          </w:tcPr>
          <w:p w14:paraId="7AFB6B7B"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5ʹʹ</w:t>
            </w:r>
          </w:p>
        </w:tc>
        <w:tc>
          <w:tcPr>
            <w:tcW w:w="894" w:type="dxa"/>
          </w:tcPr>
          <w:p w14:paraId="1A573503"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p>
        </w:tc>
        <w:tc>
          <w:tcPr>
            <w:tcW w:w="894" w:type="dxa"/>
          </w:tcPr>
          <w:p w14:paraId="1E997A26"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64.9</w:t>
            </w:r>
          </w:p>
        </w:tc>
        <w:tc>
          <w:tcPr>
            <w:tcW w:w="993" w:type="dxa"/>
          </w:tcPr>
          <w:p w14:paraId="00EFD747"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66.21</w:t>
            </w:r>
          </w:p>
        </w:tc>
        <w:tc>
          <w:tcPr>
            <w:tcW w:w="1941" w:type="dxa"/>
          </w:tcPr>
          <w:p w14:paraId="0C227F9C"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3.55 d (11.4)</w:t>
            </w:r>
          </w:p>
          <w:p w14:paraId="22863BB9"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3.60 d (11.4)</w:t>
            </w:r>
          </w:p>
        </w:tc>
        <w:tc>
          <w:tcPr>
            <w:tcW w:w="881" w:type="dxa"/>
          </w:tcPr>
          <w:p w14:paraId="12ADE218"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69.9</w:t>
            </w:r>
          </w:p>
        </w:tc>
        <w:tc>
          <w:tcPr>
            <w:tcW w:w="993" w:type="dxa"/>
          </w:tcPr>
          <w:p w14:paraId="33C75F31"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69.81</w:t>
            </w:r>
          </w:p>
        </w:tc>
        <w:tc>
          <w:tcPr>
            <w:tcW w:w="1953" w:type="dxa"/>
          </w:tcPr>
          <w:p w14:paraId="029B99EF"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3.69 m</w:t>
            </w:r>
          </w:p>
        </w:tc>
      </w:tr>
      <w:tr w:rsidR="00E049CB" w:rsidRPr="005E6B7C" w14:paraId="6C9A8287" w14:textId="77777777" w:rsidTr="00290AD6">
        <w:trPr>
          <w:jc w:val="center"/>
        </w:trPr>
        <w:tc>
          <w:tcPr>
            <w:tcW w:w="807" w:type="dxa"/>
          </w:tcPr>
          <w:p w14:paraId="3FBFFF9F"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6ʹʹ</w:t>
            </w:r>
          </w:p>
        </w:tc>
        <w:tc>
          <w:tcPr>
            <w:tcW w:w="894" w:type="dxa"/>
          </w:tcPr>
          <w:p w14:paraId="43BE4985"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bCs/>
                <w:color w:val="000000" w:themeColor="text1"/>
                <w:sz w:val="18"/>
                <w:szCs w:val="18"/>
                <w:lang w:eastAsia="ja-JP"/>
              </w:rPr>
            </w:pPr>
          </w:p>
        </w:tc>
        <w:tc>
          <w:tcPr>
            <w:tcW w:w="894" w:type="dxa"/>
          </w:tcPr>
          <w:p w14:paraId="761751DF"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bCs/>
                <w:color w:val="000000" w:themeColor="text1"/>
                <w:sz w:val="18"/>
                <w:szCs w:val="18"/>
                <w:lang w:eastAsia="ja-JP"/>
              </w:rPr>
            </w:pPr>
          </w:p>
        </w:tc>
        <w:tc>
          <w:tcPr>
            <w:tcW w:w="993" w:type="dxa"/>
          </w:tcPr>
          <w:p w14:paraId="77ACE10D"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c>
          <w:tcPr>
            <w:tcW w:w="1941" w:type="dxa"/>
          </w:tcPr>
          <w:p w14:paraId="3E42B878"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p>
        </w:tc>
        <w:tc>
          <w:tcPr>
            <w:tcW w:w="881" w:type="dxa"/>
          </w:tcPr>
          <w:p w14:paraId="20AB9A1A"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18.5</w:t>
            </w:r>
          </w:p>
        </w:tc>
        <w:tc>
          <w:tcPr>
            <w:tcW w:w="993" w:type="dxa"/>
          </w:tcPr>
          <w:p w14:paraId="7243AE5C" w14:textId="77777777" w:rsidR="00E049CB" w:rsidRPr="005E6B7C" w:rsidRDefault="00E049CB" w:rsidP="008C0D47">
            <w:pPr>
              <w:tabs>
                <w:tab w:val="left" w:pos="270"/>
                <w:tab w:val="left" w:pos="540"/>
                <w:tab w:val="left" w:pos="9270"/>
              </w:tabs>
              <w:spacing w:line="154"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18.04</w:t>
            </w:r>
          </w:p>
        </w:tc>
        <w:tc>
          <w:tcPr>
            <w:tcW w:w="1953" w:type="dxa"/>
          </w:tcPr>
          <w:p w14:paraId="2984F43D" w14:textId="77777777" w:rsidR="00E049CB" w:rsidRPr="005E6B7C" w:rsidRDefault="00E049CB" w:rsidP="008C0D47">
            <w:pPr>
              <w:tabs>
                <w:tab w:val="left" w:pos="270"/>
                <w:tab w:val="left" w:pos="540"/>
                <w:tab w:val="left" w:pos="9270"/>
              </w:tabs>
              <w:spacing w:line="154"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 d (6.0)</w:t>
            </w:r>
          </w:p>
        </w:tc>
      </w:tr>
    </w:tbl>
    <w:p w14:paraId="7E8E61FC" w14:textId="77777777" w:rsidR="00E049CB" w:rsidRPr="005E6B7C" w:rsidRDefault="00E049CB" w:rsidP="008C0D47">
      <w:pPr>
        <w:tabs>
          <w:tab w:val="left" w:pos="270"/>
          <w:tab w:val="left" w:pos="540"/>
          <w:tab w:val="left" w:pos="9270"/>
        </w:tabs>
        <w:spacing w:before="60" w:line="180" w:lineRule="exact"/>
        <w:ind w:right="-23" w:firstLine="284"/>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i/>
          <w:iCs/>
          <w:color w:val="000000" w:themeColor="text1"/>
          <w:sz w:val="18"/>
          <w:szCs w:val="18"/>
          <w:vertAlign w:val="superscript"/>
          <w:lang w:eastAsia="ja-JP"/>
        </w:rPr>
        <w:t>a</w:t>
      </w:r>
      <w:r w:rsidRPr="005E6B7C">
        <w:rPr>
          <w:rFonts w:asciiTheme="majorHAnsi" w:eastAsia="Yu Mincho" w:hAnsiTheme="majorHAnsi" w:cstheme="majorHAnsi"/>
          <w:i/>
          <w:iCs/>
          <w:color w:val="000000" w:themeColor="text1"/>
          <w:sz w:val="18"/>
          <w:szCs w:val="18"/>
          <w:lang w:eastAsia="ja-JP"/>
        </w:rPr>
        <w:sym w:font="Symbol" w:char="F064"/>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lang w:eastAsia="ja-JP"/>
        </w:rPr>
        <w:t xml:space="preserve"> of </w:t>
      </w:r>
      <w:r w:rsidRPr="005E6B7C">
        <w:rPr>
          <w:rFonts w:asciiTheme="majorHAnsi" w:eastAsia="Yu Mincho" w:hAnsiTheme="majorHAnsi" w:cstheme="majorHAnsi"/>
          <w:bCs/>
          <w:i/>
          <w:color w:val="000000" w:themeColor="text1"/>
          <w:sz w:val="18"/>
          <w:szCs w:val="18"/>
          <w:lang w:eastAsia="ja-JP"/>
        </w:rPr>
        <w:t>eugenyl-</w:t>
      </w:r>
      <w:r w:rsidRPr="005E6B7C">
        <w:rPr>
          <w:rFonts w:asciiTheme="majorHAnsi" w:eastAsia="Yu Mincho" w:hAnsiTheme="majorHAnsi" w:cstheme="majorHAnsi"/>
          <w:bCs/>
          <w:i/>
          <w:iCs/>
          <w:color w:val="000000" w:themeColor="text1"/>
          <w:sz w:val="18"/>
          <w:szCs w:val="18"/>
          <w:lang w:eastAsia="ja-JP"/>
        </w:rPr>
        <w:t>O</w:t>
      </w:r>
      <w:r w:rsidRPr="005E6B7C">
        <w:rPr>
          <w:rFonts w:asciiTheme="majorHAnsi" w:eastAsia="Yu Mincho" w:hAnsiTheme="majorHAnsi" w:cstheme="majorHAnsi"/>
          <w:bCs/>
          <w:i/>
          <w:color w:val="000000" w:themeColor="text1"/>
          <w:sz w:val="18"/>
          <w:szCs w:val="18"/>
          <w:lang w:eastAsia="ja-JP"/>
        </w:rPr>
        <w:t>-</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i/>
          <w:color w:val="000000" w:themeColor="text1"/>
          <w:sz w:val="18"/>
          <w:szCs w:val="18"/>
          <w:lang w:eastAsia="ja-JP"/>
        </w:rPr>
        <w:t xml:space="preserve">-glucopyranoside </w:t>
      </w:r>
      <w:r w:rsidRPr="005E6B7C">
        <w:rPr>
          <w:rFonts w:asciiTheme="majorHAnsi" w:eastAsia="Yu Mincho" w:hAnsiTheme="majorHAnsi" w:cstheme="majorHAnsi"/>
          <w:i/>
          <w:color w:val="000000" w:themeColor="text1"/>
          <w:sz w:val="18"/>
          <w:szCs w:val="18"/>
          <w:lang w:eastAsia="ja-JP"/>
        </w:rPr>
        <w:t>in CD</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i/>
          <w:color w:val="000000" w:themeColor="text1"/>
          <w:sz w:val="18"/>
          <w:szCs w:val="18"/>
          <w:lang w:eastAsia="ja-JP"/>
        </w:rPr>
        <w:t>OD</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fldChar w:fldCharType="begin"/>
      </w:r>
      <w:r w:rsidRPr="005E6B7C">
        <w:rPr>
          <w:rFonts w:asciiTheme="majorHAnsi" w:eastAsia="Yu Mincho" w:hAnsiTheme="majorHAnsi" w:cstheme="majorHAnsi"/>
          <w:bCs/>
          <w:color w:val="000000" w:themeColor="text1"/>
          <w:sz w:val="18"/>
          <w:szCs w:val="18"/>
          <w:lang w:eastAsia="ja-JP"/>
        </w:rPr>
        <w:instrText xml:space="preserve"> ADDIN EN.CITE &lt;EndNote&gt;&lt;Cite&gt;&lt;Author&gt;Takeda&lt;/Author&gt;&lt;Year&gt;1998&lt;/Year&gt;&lt;RecNum&gt;125&lt;/RecNum&gt;&lt;DisplayText&gt;[8]&lt;/DisplayText&gt;&lt;record&gt;&lt;rec-number&gt;125&lt;/rec-number&gt;&lt;foreign-keys&gt;&lt;key app="EN" db-id="tft9dfze3vf9poe9vtjx0wtlrts555p959rp" timestamp="1764926063"&gt;125&lt;/key&gt;&lt;/foreign-keys&gt;&lt;ref-type name="Journal Article"&gt;17&lt;/ref-type&gt;&lt;contributors&gt;&lt;authors&gt;&lt;author&gt;Takeda, Yoshio&lt;/author&gt;&lt;author&gt;Ooiso, Yasushi&lt;/author&gt;&lt;author&gt;Masuda, Toshiya&lt;/author&gt;&lt;author&gt;Honda, Gisho&lt;/author&gt;&lt;author&gt;Otsuka, Hideaki&lt;/author&gt;&lt;author&gt;Sezik, Ekrem&lt;/author&gt;&lt;author&gt;Yesilada, Erdem&lt;/author&gt;&lt;/authors&gt;&lt;/contributors&gt;&lt;titles&gt;&lt;title&gt;&lt;style face="normal" font="default" size="100%"&gt;Iridoid and eugenol glycosides from &lt;/style&gt;&lt;style face="italic" font="default" size="100%"&gt;Nepeta cadmea&lt;/style&gt;&lt;/title&gt;&lt;secondary-title&gt;Phytochemistry&lt;/secondary-title&gt;&lt;/titles&gt;&lt;periodical&gt;&lt;full-title&gt;Phytochemistry&lt;/full-title&gt;&lt;abbr-1&gt;Phytochemistry&lt;/abbr-1&gt;&lt;/periodical&gt;&lt;pages&gt;787-791&lt;/pages&gt;&lt;volume&gt;49&lt;/volume&gt;&lt;number&gt;3&lt;/number&gt;&lt;dates&gt;&lt;year&gt;1998&lt;/year&gt;&lt;pub-dates&gt;&lt;date&gt;1998/10/01/&lt;/date&gt;&lt;/pub-dates&gt;&lt;/dates&gt;&lt;isbn&gt;0031-9422&lt;/isbn&gt;&lt;urls&gt;&lt;related-urls&gt;&lt;url&gt;https://www.sciencedirect.com/science/article/pii/S0031942298001253&lt;/url&gt;&lt;/related-urls&gt;&lt;/urls&gt;&lt;electronic-resource-num&gt;https://doi.org/10.1016/S0031-9422(98)00125-3&lt;/electronic-resource-num&gt;&lt;/record&gt;&lt;/Cite&gt;&lt;/EndNote&gt;</w:instrText>
      </w:r>
      <w:r w:rsidRPr="005E6B7C">
        <w:rPr>
          <w:rFonts w:asciiTheme="majorHAnsi" w:eastAsia="Yu Mincho" w:hAnsiTheme="majorHAnsi" w:cstheme="majorHAnsi"/>
          <w:bCs/>
          <w:color w:val="000000" w:themeColor="text1"/>
          <w:sz w:val="18"/>
          <w:szCs w:val="18"/>
          <w:lang w:eastAsia="ja-JP"/>
        </w:rPr>
        <w:fldChar w:fldCharType="separate"/>
      </w:r>
      <w:r w:rsidRPr="005E6B7C">
        <w:rPr>
          <w:rFonts w:asciiTheme="majorHAnsi" w:eastAsia="Yu Mincho" w:hAnsiTheme="majorHAnsi" w:cstheme="majorHAnsi"/>
          <w:bCs/>
          <w:noProof/>
          <w:color w:val="000000" w:themeColor="text1"/>
          <w:sz w:val="18"/>
          <w:szCs w:val="18"/>
          <w:lang w:eastAsia="ja-JP"/>
        </w:rPr>
        <w:t>[</w:t>
      </w:r>
      <w:hyperlink w:anchor="_ENREF_8" w:tooltip="Takeda, 1998 #125" w:history="1">
        <w:r w:rsidRPr="005E6B7C">
          <w:rPr>
            <w:rFonts w:asciiTheme="majorHAnsi" w:eastAsia="Yu Mincho" w:hAnsiTheme="majorHAnsi" w:cstheme="majorHAnsi"/>
            <w:bCs/>
            <w:noProof/>
            <w:color w:val="000000" w:themeColor="text1"/>
            <w:sz w:val="18"/>
            <w:szCs w:val="18"/>
            <w:lang w:eastAsia="ja-JP"/>
          </w:rPr>
          <w:t>8</w:t>
        </w:r>
      </w:hyperlink>
      <w:r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bCs/>
          <w:color w:val="000000" w:themeColor="text1"/>
          <w:sz w:val="18"/>
          <w:szCs w:val="18"/>
          <w:lang w:eastAsia="ja-JP"/>
        </w:rPr>
        <w:fldChar w:fldCharType="end"/>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vertAlign w:val="superscript"/>
          <w:lang w:eastAsia="ja-JP"/>
        </w:rPr>
        <w:t>b</w:t>
      </w:r>
      <w:r w:rsidRPr="005E6B7C">
        <w:rPr>
          <w:rFonts w:asciiTheme="majorHAnsi" w:eastAsia="Yu Mincho" w:hAnsiTheme="majorHAnsi" w:cstheme="majorHAnsi"/>
          <w:i/>
          <w:iCs/>
          <w:color w:val="000000" w:themeColor="text1"/>
          <w:sz w:val="18"/>
          <w:szCs w:val="18"/>
          <w:lang w:eastAsia="ja-JP"/>
        </w:rPr>
        <w:sym w:font="Symbol" w:char="F064"/>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lang w:eastAsia="ja-JP"/>
        </w:rPr>
        <w:t xml:space="preserve"> of </w:t>
      </w:r>
      <w:r w:rsidRPr="005E6B7C">
        <w:rPr>
          <w:rFonts w:asciiTheme="majorHAnsi" w:eastAsia="Yu Mincho" w:hAnsiTheme="majorHAnsi" w:cstheme="majorHAnsi"/>
          <w:bCs/>
          <w:i/>
          <w:color w:val="000000" w:themeColor="text1"/>
          <w:sz w:val="18"/>
          <w:szCs w:val="18"/>
          <w:lang w:eastAsia="ja-JP"/>
        </w:rPr>
        <w:t>1-allyl-3-methoxy-4-[apiofuranosyl(1</w:t>
      </w:r>
      <w:r w:rsidRPr="005E6B7C">
        <w:rPr>
          <w:rFonts w:asciiTheme="majorHAnsi" w:eastAsia="Yu Mincho" w:hAnsiTheme="majorHAnsi" w:cstheme="majorHAnsi"/>
          <w:bCs/>
          <w:i/>
          <w:color w:val="000000" w:themeColor="text1"/>
          <w:sz w:val="18"/>
          <w:szCs w:val="18"/>
          <w:lang w:eastAsia="ja-JP"/>
        </w:rPr>
        <w:sym w:font="Symbol" w:char="F0AE"/>
      </w:r>
      <w:r w:rsidRPr="005E6B7C">
        <w:rPr>
          <w:rFonts w:asciiTheme="majorHAnsi" w:eastAsia="Yu Mincho" w:hAnsiTheme="majorHAnsi" w:cstheme="majorHAnsi"/>
          <w:bCs/>
          <w:i/>
          <w:color w:val="000000" w:themeColor="text1"/>
          <w:sz w:val="18"/>
          <w:szCs w:val="18"/>
          <w:lang w:eastAsia="ja-JP"/>
        </w:rPr>
        <w:t xml:space="preserve">2)-glucopyranosyloxybenzene] </w:t>
      </w:r>
      <w:r w:rsidRPr="005E6B7C">
        <w:rPr>
          <w:rFonts w:asciiTheme="majorHAnsi" w:eastAsia="Yu Mincho" w:hAnsiTheme="majorHAnsi" w:cstheme="majorHAnsi"/>
          <w:i/>
          <w:color w:val="000000" w:themeColor="text1"/>
          <w:sz w:val="18"/>
          <w:szCs w:val="18"/>
          <w:lang w:eastAsia="ja-JP"/>
        </w:rPr>
        <w:t>in DMSO-</w:t>
      </w:r>
      <w:r w:rsidRPr="005E6B7C">
        <w:rPr>
          <w:rFonts w:asciiTheme="majorHAnsi" w:eastAsia="Yu Mincho" w:hAnsiTheme="majorHAnsi" w:cstheme="majorHAnsi"/>
          <w:i/>
          <w:iCs/>
          <w:color w:val="000000" w:themeColor="text1"/>
          <w:sz w:val="18"/>
          <w:szCs w:val="18"/>
          <w:lang w:eastAsia="ja-JP"/>
        </w:rPr>
        <w:t>d</w:t>
      </w:r>
      <w:r w:rsidRPr="005E6B7C">
        <w:rPr>
          <w:rFonts w:asciiTheme="majorHAnsi" w:eastAsia="Yu Mincho" w:hAnsiTheme="majorHAnsi" w:cstheme="majorHAnsi"/>
          <w:i/>
          <w:color w:val="000000" w:themeColor="text1"/>
          <w:sz w:val="18"/>
          <w:szCs w:val="18"/>
          <w:vertAlign w:val="subscript"/>
          <w:lang w:eastAsia="ja-JP"/>
        </w:rPr>
        <w:t>6</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fldChar w:fldCharType="begin"/>
      </w:r>
      <w:r w:rsidRPr="005E6B7C">
        <w:rPr>
          <w:rFonts w:asciiTheme="majorHAnsi" w:eastAsia="Yu Mincho" w:hAnsiTheme="majorHAnsi" w:cstheme="majorHAnsi"/>
          <w:bCs/>
          <w:color w:val="000000" w:themeColor="text1"/>
          <w:sz w:val="18"/>
          <w:szCs w:val="18"/>
          <w:lang w:eastAsia="ja-JP"/>
        </w:rPr>
        <w:instrText xml:space="preserve"> ADDIN EN.CITE &lt;EndNote&gt;&lt;Cite&gt;&lt;Author&gt;Wang&lt;/Author&gt;&lt;Year&gt;2016&lt;/Year&gt;&lt;RecNum&gt;126&lt;/RecNum&gt;&lt;DisplayText&gt;[9]&lt;/DisplayText&gt;&lt;record&gt;&lt;rec-number&gt;126&lt;/rec-number&gt;&lt;foreign-keys&gt;&lt;key app="EN" db-id="tft9dfze3vf9poe9vtjx0wtlrts555p959rp" timestamp="1764990942"&gt;126&lt;/key&gt;&lt;/foreign-keys&gt;&lt;ref-type name="Journal Article"&gt;17&lt;/ref-type&gt;&lt;contributors&gt;&lt;authors&gt;&lt;author&gt;Wang, Kui-Wu&lt;/author&gt;&lt;author&gt;Zhou, Man-Qing&lt;/author&gt;&lt;author&gt;Gu, Qin&lt;/author&gt;&lt;author&gt;Auckloo, Nazia Bibi&lt;/author&gt;&lt;author&gt;Wu, Xiao-Dan&lt;/author&gt;&lt;author&gt;Wu, Bin&lt;/author&gt;&lt;/authors&gt;&lt;/contributors&gt;&lt;titles&gt;&lt;title&gt;&lt;style face="normal" font="default" size="100%"&gt;Unusual new phenylethanoid and phenylpropanoid diglycosides from the leaves of &lt;/style&gt;&lt;style face="italic" font="default" size="100%"&gt;Chloranthus spicatus&lt;/style&gt;&lt;style face="normal" font="default" size="100%"&gt; (Thunb.) Makino&lt;/style&gt;&lt;/title&gt;&lt;secondary-title&gt;Phytochemistry Letters&lt;/secondary-title&gt;&lt;/titles&gt;&lt;periodical&gt;&lt;full-title&gt;Phytochemistry Letters&lt;/full-title&gt;&lt;/periodical&gt;&lt;pages&gt;201-205&lt;/pages&gt;&lt;volume&gt;17&lt;/volume&gt;&lt;keywords&gt;&lt;keyword&gt;Phenylethanoid diglycoside&lt;/keyword&gt;&lt;keyword&gt;Phenylpropanoid diglycoside&lt;/keyword&gt;&lt;/keywords&gt;&lt;dates&gt;&lt;year&gt;2016&lt;/year&gt;&lt;pub-dates&gt;&lt;date&gt;2016/09/01/&lt;/date&gt;&lt;/pub-dates&gt;&lt;/dates&gt;&lt;isbn&gt;1874-3900&lt;/isbn&gt;&lt;urls&gt;&lt;related-urls&gt;&lt;url&gt;https://www.sciencedirect.com/science/article/pii/S1874390016301227&lt;/url&gt;&lt;/related-urls&gt;&lt;/urls&gt;&lt;electronic-resource-num&gt;https://doi.org/10.1016/j.phytol.2016.07.025&lt;/electronic-resource-num&gt;&lt;/record&gt;&lt;/Cite&gt;&lt;/EndNote&gt;</w:instrText>
      </w:r>
      <w:r w:rsidRPr="005E6B7C">
        <w:rPr>
          <w:rFonts w:asciiTheme="majorHAnsi" w:eastAsia="Yu Mincho" w:hAnsiTheme="majorHAnsi" w:cstheme="majorHAnsi"/>
          <w:bCs/>
          <w:color w:val="000000" w:themeColor="text1"/>
          <w:sz w:val="18"/>
          <w:szCs w:val="18"/>
          <w:lang w:eastAsia="ja-JP"/>
        </w:rPr>
        <w:fldChar w:fldCharType="separate"/>
      </w:r>
      <w:r w:rsidRPr="005E6B7C">
        <w:rPr>
          <w:rFonts w:asciiTheme="majorHAnsi" w:eastAsia="Yu Mincho" w:hAnsiTheme="majorHAnsi" w:cstheme="majorHAnsi"/>
          <w:bCs/>
          <w:noProof/>
          <w:color w:val="000000" w:themeColor="text1"/>
          <w:sz w:val="18"/>
          <w:szCs w:val="18"/>
          <w:lang w:eastAsia="ja-JP"/>
        </w:rPr>
        <w:t>[</w:t>
      </w:r>
      <w:hyperlink w:anchor="_ENREF_9" w:tooltip="Wang, 2016 #126" w:history="1">
        <w:r w:rsidRPr="005E6B7C">
          <w:rPr>
            <w:rFonts w:asciiTheme="majorHAnsi" w:eastAsia="Yu Mincho" w:hAnsiTheme="majorHAnsi" w:cstheme="majorHAnsi"/>
            <w:bCs/>
            <w:noProof/>
            <w:color w:val="000000" w:themeColor="text1"/>
            <w:sz w:val="18"/>
            <w:szCs w:val="18"/>
            <w:lang w:eastAsia="ja-JP"/>
          </w:rPr>
          <w:t>9</w:t>
        </w:r>
      </w:hyperlink>
      <w:r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bCs/>
          <w:color w:val="000000" w:themeColor="text1"/>
          <w:sz w:val="18"/>
          <w:szCs w:val="18"/>
          <w:lang w:eastAsia="ja-JP"/>
        </w:rPr>
        <w:fldChar w:fldCharType="end"/>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vertAlign w:val="superscript"/>
          <w:lang w:eastAsia="ja-JP"/>
        </w:rPr>
        <w:t>c</w:t>
      </w:r>
      <w:r w:rsidRPr="005E6B7C">
        <w:rPr>
          <w:rFonts w:asciiTheme="majorHAnsi" w:eastAsia="Yu Mincho" w:hAnsiTheme="majorHAnsi" w:cstheme="majorHAnsi"/>
          <w:i/>
          <w:iCs/>
          <w:color w:val="000000" w:themeColor="text1"/>
          <w:sz w:val="18"/>
          <w:szCs w:val="18"/>
          <w:lang w:eastAsia="ja-JP"/>
        </w:rPr>
        <w:sym w:font="Symbol" w:char="F064"/>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lang w:eastAsia="ja-JP"/>
        </w:rPr>
        <w:t xml:space="preserve"> of </w:t>
      </w:r>
      <w:r w:rsidRPr="005E6B7C">
        <w:rPr>
          <w:rFonts w:asciiTheme="majorHAnsi" w:eastAsia="Yu Mincho" w:hAnsiTheme="majorHAnsi" w:cstheme="majorHAnsi"/>
          <w:bCs/>
          <w:i/>
          <w:color w:val="000000" w:themeColor="text1"/>
          <w:sz w:val="18"/>
          <w:szCs w:val="18"/>
          <w:lang w:eastAsia="ja-JP"/>
        </w:rPr>
        <w:t xml:space="preserve">phenylethyl-rutinoside </w:t>
      </w:r>
      <w:r w:rsidRPr="005E6B7C">
        <w:rPr>
          <w:rFonts w:asciiTheme="majorHAnsi" w:eastAsia="Yu Mincho" w:hAnsiTheme="majorHAnsi" w:cstheme="majorHAnsi"/>
          <w:i/>
          <w:color w:val="000000" w:themeColor="text1"/>
          <w:sz w:val="18"/>
          <w:szCs w:val="18"/>
          <w:lang w:eastAsia="ja-JP"/>
        </w:rPr>
        <w:t>in CD</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i/>
          <w:color w:val="000000" w:themeColor="text1"/>
          <w:sz w:val="18"/>
          <w:szCs w:val="18"/>
          <w:lang w:eastAsia="ja-JP"/>
        </w:rPr>
        <w:t>OD</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18"/>
          <w:szCs w:val="18"/>
          <w:lang w:eastAsia="ja-JP"/>
        </w:rPr>
        <w:instrText xml:space="preserve"> ADDIN EN.CITE </w:instrText>
      </w:r>
      <w:r w:rsidRPr="005E6B7C">
        <w:rPr>
          <w:rFonts w:asciiTheme="majorHAnsi" w:eastAsia="Yu Mincho" w:hAnsiTheme="majorHAnsi" w:cstheme="majorHAnsi"/>
          <w:bCs/>
          <w:color w:val="000000" w:themeColor="text1"/>
          <w:sz w:val="18"/>
          <w:szCs w:val="18"/>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18"/>
          <w:szCs w:val="18"/>
          <w:lang w:eastAsia="ja-JP"/>
        </w:rPr>
        <w:instrText xml:space="preserve"> ADDIN EN.CITE.DATA </w:instrText>
      </w:r>
      <w:r w:rsidRPr="005E6B7C">
        <w:rPr>
          <w:rFonts w:asciiTheme="majorHAnsi" w:eastAsia="Yu Mincho" w:hAnsiTheme="majorHAnsi" w:cstheme="majorHAnsi"/>
          <w:bCs/>
          <w:color w:val="000000" w:themeColor="text1"/>
          <w:sz w:val="18"/>
          <w:szCs w:val="18"/>
          <w:lang w:eastAsia="ja-JP"/>
        </w:rPr>
      </w:r>
      <w:r w:rsidRPr="005E6B7C">
        <w:rPr>
          <w:rFonts w:asciiTheme="majorHAnsi" w:eastAsia="Yu Mincho" w:hAnsiTheme="majorHAnsi" w:cstheme="majorHAnsi"/>
          <w:bCs/>
          <w:color w:val="000000" w:themeColor="text1"/>
          <w:sz w:val="18"/>
          <w:szCs w:val="18"/>
          <w:lang w:eastAsia="ja-JP"/>
        </w:rPr>
        <w:fldChar w:fldCharType="end"/>
      </w:r>
      <w:r w:rsidRPr="005E6B7C">
        <w:rPr>
          <w:rFonts w:asciiTheme="majorHAnsi" w:eastAsia="Yu Mincho" w:hAnsiTheme="majorHAnsi" w:cstheme="majorHAnsi"/>
          <w:bCs/>
          <w:color w:val="000000" w:themeColor="text1"/>
          <w:sz w:val="18"/>
          <w:szCs w:val="18"/>
          <w:lang w:eastAsia="ja-JP"/>
        </w:rPr>
      </w:r>
      <w:r w:rsidRPr="005E6B7C">
        <w:rPr>
          <w:rFonts w:asciiTheme="majorHAnsi" w:eastAsia="Yu Mincho" w:hAnsiTheme="majorHAnsi" w:cstheme="majorHAnsi"/>
          <w:bCs/>
          <w:color w:val="000000" w:themeColor="text1"/>
          <w:sz w:val="18"/>
          <w:szCs w:val="18"/>
          <w:lang w:eastAsia="ja-JP"/>
        </w:rPr>
        <w:fldChar w:fldCharType="separate"/>
      </w:r>
      <w:r w:rsidRPr="005E6B7C">
        <w:rPr>
          <w:rFonts w:asciiTheme="majorHAnsi" w:eastAsia="Yu Mincho" w:hAnsiTheme="majorHAnsi" w:cstheme="majorHAnsi"/>
          <w:bCs/>
          <w:noProof/>
          <w:color w:val="000000" w:themeColor="text1"/>
          <w:sz w:val="18"/>
          <w:szCs w:val="18"/>
          <w:lang w:eastAsia="ja-JP"/>
        </w:rPr>
        <w:t>[</w:t>
      </w:r>
      <w:hyperlink w:anchor="_ENREF_10" w:tooltip="Kil, 2019 #123" w:history="1">
        <w:r w:rsidRPr="005E6B7C">
          <w:rPr>
            <w:rFonts w:asciiTheme="majorHAnsi" w:eastAsia="Yu Mincho" w:hAnsiTheme="majorHAnsi" w:cstheme="majorHAnsi"/>
            <w:bCs/>
            <w:noProof/>
            <w:color w:val="000000" w:themeColor="text1"/>
            <w:sz w:val="18"/>
            <w:szCs w:val="18"/>
            <w:lang w:eastAsia="ja-JP"/>
          </w:rPr>
          <w:t>10</w:t>
        </w:r>
      </w:hyperlink>
      <w:r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bCs/>
          <w:color w:val="000000" w:themeColor="text1"/>
          <w:sz w:val="18"/>
          <w:szCs w:val="18"/>
          <w:lang w:eastAsia="ja-JP"/>
        </w:rPr>
        <w:fldChar w:fldCharType="end"/>
      </w:r>
      <w:r w:rsidRPr="005E6B7C">
        <w:rPr>
          <w:rFonts w:asciiTheme="majorHAnsi" w:eastAsia="Yu Mincho" w:hAnsiTheme="majorHAnsi" w:cstheme="majorHAnsi"/>
          <w:bCs/>
          <w:color w:val="000000" w:themeColor="text1"/>
          <w:sz w:val="18"/>
          <w:szCs w:val="18"/>
          <w:lang w:eastAsia="ja-JP"/>
        </w:rPr>
        <w:t>.</w:t>
      </w:r>
    </w:p>
    <w:p w14:paraId="375204F2" w14:textId="77777777" w:rsidR="00E049CB" w:rsidRPr="005E6B7C" w:rsidRDefault="00E049CB" w:rsidP="008C0D47">
      <w:pPr>
        <w:tabs>
          <w:tab w:val="left" w:pos="270"/>
          <w:tab w:val="left" w:pos="540"/>
          <w:tab w:val="left" w:pos="9270"/>
        </w:tabs>
        <w:spacing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2.</w:t>
      </w:r>
      <w:r w:rsidRPr="005E6B7C">
        <w:rPr>
          <w:rFonts w:asciiTheme="majorHAnsi" w:eastAsia="Yu Mincho" w:hAnsiTheme="majorHAnsi" w:cstheme="majorHAnsi"/>
          <w:color w:val="000000" w:themeColor="text1"/>
          <w:sz w:val="18"/>
          <w:szCs w:val="18"/>
          <w:lang w:eastAsia="ja-JP"/>
        </w:rPr>
        <w:t xml:space="preserve"> The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C</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NMR spectral data of </w:t>
      </w:r>
      <w:r w:rsidRPr="005E6B7C">
        <w:rPr>
          <w:rFonts w:asciiTheme="majorHAnsi" w:eastAsia="Yu Mincho" w:hAnsiTheme="majorHAnsi" w:cstheme="majorHAnsi"/>
          <w:b/>
          <w:color w:val="000000" w:themeColor="text1"/>
          <w:sz w:val="18"/>
          <w:szCs w:val="18"/>
          <w:lang w:eastAsia="ja-JP"/>
        </w:rPr>
        <w:t>3</w:t>
      </w:r>
      <w:r w:rsidRPr="005E6B7C">
        <w:rPr>
          <w:rFonts w:asciiTheme="majorHAnsi" w:eastAsia="Yu Mincho" w:hAnsiTheme="majorHAnsi" w:cstheme="majorHAnsi"/>
          <w:bCs/>
          <w:color w:val="000000" w:themeColor="text1"/>
          <w:sz w:val="18"/>
          <w:szCs w:val="18"/>
          <w:lang w:val="pt-BR" w:eastAsia="ja-JP"/>
        </w:rPr>
        <w:sym w:font="Symbol" w:char="F02D"/>
      </w:r>
      <w:r w:rsidRPr="005E6B7C">
        <w:rPr>
          <w:rFonts w:asciiTheme="majorHAnsi" w:eastAsia="Yu Mincho" w:hAnsiTheme="majorHAnsi" w:cstheme="majorHAnsi"/>
          <w:b/>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 xml:space="preserve"> in CD</w:t>
      </w:r>
      <w:r w:rsidRPr="005E6B7C">
        <w:rPr>
          <w:rFonts w:asciiTheme="majorHAnsi" w:eastAsia="Yu Mincho" w:hAnsiTheme="majorHAnsi" w:cstheme="majorHAns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OD</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11"/>
        <w:gridCol w:w="674"/>
        <w:gridCol w:w="899"/>
        <w:gridCol w:w="1646"/>
        <w:gridCol w:w="853"/>
        <w:gridCol w:w="1659"/>
        <w:gridCol w:w="852"/>
        <w:gridCol w:w="1678"/>
      </w:tblGrid>
      <w:tr w:rsidR="00E049CB" w:rsidRPr="005E6B7C" w14:paraId="4C21668D" w14:textId="77777777" w:rsidTr="0044085B">
        <w:trPr>
          <w:tblHeader/>
          <w:jc w:val="center"/>
        </w:trPr>
        <w:tc>
          <w:tcPr>
            <w:tcW w:w="811" w:type="dxa"/>
            <w:vMerge w:val="restart"/>
            <w:vAlign w:val="center"/>
          </w:tcPr>
          <w:p w14:paraId="60949041" w14:textId="77777777" w:rsidR="00E049CB" w:rsidRPr="005E6B7C" w:rsidRDefault="0044085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Pos.</w:t>
            </w:r>
          </w:p>
        </w:tc>
        <w:tc>
          <w:tcPr>
            <w:tcW w:w="674" w:type="dxa"/>
            <w:vMerge w:val="restart"/>
            <w:vAlign w:val="center"/>
          </w:tcPr>
          <w:p w14:paraId="3E6EED5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a</w:t>
            </w:r>
          </w:p>
        </w:tc>
        <w:tc>
          <w:tcPr>
            <w:tcW w:w="2545" w:type="dxa"/>
            <w:gridSpan w:val="2"/>
            <w:vAlign w:val="center"/>
          </w:tcPr>
          <w:p w14:paraId="4095349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3</w:t>
            </w:r>
          </w:p>
        </w:tc>
        <w:tc>
          <w:tcPr>
            <w:tcW w:w="2512" w:type="dxa"/>
            <w:gridSpan w:val="2"/>
            <w:vAlign w:val="center"/>
          </w:tcPr>
          <w:p w14:paraId="370F985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4</w:t>
            </w:r>
          </w:p>
        </w:tc>
        <w:tc>
          <w:tcPr>
            <w:tcW w:w="2530" w:type="dxa"/>
            <w:gridSpan w:val="2"/>
            <w:vAlign w:val="center"/>
          </w:tcPr>
          <w:p w14:paraId="6C5320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5</w:t>
            </w:r>
          </w:p>
        </w:tc>
      </w:tr>
      <w:tr w:rsidR="006E722D" w:rsidRPr="005E6B7C" w14:paraId="4A0526BE" w14:textId="77777777" w:rsidTr="0044085B">
        <w:trPr>
          <w:tblHeader/>
          <w:jc w:val="center"/>
        </w:trPr>
        <w:tc>
          <w:tcPr>
            <w:tcW w:w="811" w:type="dxa"/>
            <w:vMerge/>
            <w:vAlign w:val="center"/>
          </w:tcPr>
          <w:p w14:paraId="38681128" w14:textId="77777777"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674" w:type="dxa"/>
            <w:vMerge/>
            <w:vAlign w:val="center"/>
          </w:tcPr>
          <w:p w14:paraId="0B66EE85" w14:textId="77777777"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p>
        </w:tc>
        <w:tc>
          <w:tcPr>
            <w:tcW w:w="899" w:type="dxa"/>
            <w:vAlign w:val="center"/>
          </w:tcPr>
          <w:p w14:paraId="06D926A2" w14:textId="650194C3"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b</w:t>
            </w:r>
          </w:p>
        </w:tc>
        <w:tc>
          <w:tcPr>
            <w:tcW w:w="1646" w:type="dxa"/>
          </w:tcPr>
          <w:p w14:paraId="7EC4009C" w14:textId="1DDE9467"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val="nl-NL"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val="nl-NL" w:eastAsia="ja-JP"/>
              </w:rPr>
              <w:t>H</w:t>
            </w:r>
            <w:r w:rsidRPr="005E6B7C">
              <w:rPr>
                <w:rFonts w:asciiTheme="majorHAnsi" w:eastAsia="Yu Mincho" w:hAnsiTheme="majorHAnsi" w:cstheme="majorHAnsi"/>
                <w:color w:val="000000" w:themeColor="text1"/>
                <w:sz w:val="18"/>
                <w:szCs w:val="18"/>
                <w:vertAlign w:val="superscript"/>
                <w:lang w:val="nl-NL" w:eastAsia="ja-JP"/>
              </w:rPr>
              <w:t>c</w:t>
            </w:r>
            <w:r w:rsidRPr="005E6B7C">
              <w:rPr>
                <w:rFonts w:asciiTheme="majorHAnsi" w:eastAsia="Yu Mincho" w:hAnsiTheme="majorHAnsi" w:cstheme="majorHAnsi"/>
                <w:color w:val="000000" w:themeColor="text1"/>
                <w:sz w:val="18"/>
                <w:szCs w:val="18"/>
                <w:lang w:val="nl-NL" w:eastAsia="ja-JP"/>
              </w:rPr>
              <w:t xml:space="preserve"> mult. (</w:t>
            </w:r>
            <w:r w:rsidRPr="005E6B7C">
              <w:rPr>
                <w:rFonts w:asciiTheme="majorHAnsi" w:eastAsia="Yu Mincho" w:hAnsiTheme="majorHAnsi" w:cstheme="majorHAnsi"/>
                <w:i/>
                <w:color w:val="000000" w:themeColor="text1"/>
                <w:sz w:val="18"/>
                <w:szCs w:val="18"/>
                <w:lang w:val="nl-NL" w:eastAsia="ja-JP"/>
              </w:rPr>
              <w:t>J</w:t>
            </w:r>
            <w:r w:rsidRPr="005E6B7C">
              <w:rPr>
                <w:rFonts w:asciiTheme="majorHAnsi" w:eastAsia="Yu Mincho" w:hAnsiTheme="majorHAnsi" w:cstheme="majorHAnsi"/>
                <w:color w:val="000000" w:themeColor="text1"/>
                <w:sz w:val="18"/>
                <w:szCs w:val="18"/>
                <w:lang w:val="nl-NL" w:eastAsia="ja-JP"/>
              </w:rPr>
              <w:t xml:space="preserve"> in Hz)</w:t>
            </w:r>
          </w:p>
        </w:tc>
        <w:tc>
          <w:tcPr>
            <w:tcW w:w="853" w:type="dxa"/>
            <w:vAlign w:val="center"/>
          </w:tcPr>
          <w:p w14:paraId="405852B7" w14:textId="543A73B5"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b</w:t>
            </w:r>
          </w:p>
        </w:tc>
        <w:tc>
          <w:tcPr>
            <w:tcW w:w="1659" w:type="dxa"/>
          </w:tcPr>
          <w:p w14:paraId="57E78F27" w14:textId="7F6FC19C"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val="nl-NL"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val="nl-NL" w:eastAsia="ja-JP"/>
              </w:rPr>
              <w:t>H</w:t>
            </w:r>
            <w:r w:rsidRPr="005E6B7C">
              <w:rPr>
                <w:rFonts w:asciiTheme="majorHAnsi" w:eastAsia="Yu Mincho" w:hAnsiTheme="majorHAnsi" w:cstheme="majorHAnsi"/>
                <w:color w:val="000000" w:themeColor="text1"/>
                <w:sz w:val="18"/>
                <w:szCs w:val="18"/>
                <w:vertAlign w:val="superscript"/>
                <w:lang w:val="nl-NL" w:eastAsia="ja-JP"/>
              </w:rPr>
              <w:t>c</w:t>
            </w:r>
            <w:r w:rsidRPr="005E6B7C">
              <w:rPr>
                <w:rFonts w:asciiTheme="majorHAnsi" w:eastAsia="Yu Mincho" w:hAnsiTheme="majorHAnsi" w:cstheme="majorHAnsi"/>
                <w:color w:val="000000" w:themeColor="text1"/>
                <w:sz w:val="18"/>
                <w:szCs w:val="18"/>
                <w:lang w:val="nl-NL" w:eastAsia="ja-JP"/>
              </w:rPr>
              <w:t xml:space="preserve"> mult. (</w:t>
            </w:r>
            <w:r w:rsidRPr="005E6B7C">
              <w:rPr>
                <w:rFonts w:asciiTheme="majorHAnsi" w:eastAsia="Yu Mincho" w:hAnsiTheme="majorHAnsi" w:cstheme="majorHAnsi"/>
                <w:i/>
                <w:color w:val="000000" w:themeColor="text1"/>
                <w:sz w:val="18"/>
                <w:szCs w:val="18"/>
                <w:lang w:val="nl-NL" w:eastAsia="ja-JP"/>
              </w:rPr>
              <w:t>J</w:t>
            </w:r>
            <w:r w:rsidRPr="005E6B7C">
              <w:rPr>
                <w:rFonts w:asciiTheme="majorHAnsi" w:eastAsia="Yu Mincho" w:hAnsiTheme="majorHAnsi" w:cstheme="majorHAnsi"/>
                <w:color w:val="000000" w:themeColor="text1"/>
                <w:sz w:val="18"/>
                <w:szCs w:val="18"/>
                <w:lang w:val="nl-NL" w:eastAsia="ja-JP"/>
              </w:rPr>
              <w:t xml:space="preserve"> in Hz)</w:t>
            </w:r>
          </w:p>
        </w:tc>
        <w:tc>
          <w:tcPr>
            <w:tcW w:w="852" w:type="dxa"/>
            <w:vAlign w:val="center"/>
          </w:tcPr>
          <w:p w14:paraId="696BBD6E" w14:textId="6AE12324"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C</w:t>
            </w:r>
            <w:r w:rsidRPr="005E6B7C">
              <w:rPr>
                <w:rFonts w:asciiTheme="majorHAnsi" w:eastAsia="Yu Mincho" w:hAnsiTheme="majorHAnsi" w:cstheme="majorHAnsi"/>
                <w:color w:val="000000" w:themeColor="text1"/>
                <w:sz w:val="18"/>
                <w:szCs w:val="18"/>
                <w:vertAlign w:val="superscript"/>
                <w:lang w:eastAsia="ja-JP"/>
              </w:rPr>
              <w:t>d</w:t>
            </w:r>
          </w:p>
        </w:tc>
        <w:tc>
          <w:tcPr>
            <w:tcW w:w="1678" w:type="dxa"/>
          </w:tcPr>
          <w:p w14:paraId="28546DCD" w14:textId="664F36B8" w:rsidR="006E722D" w:rsidRPr="005E6B7C" w:rsidRDefault="006E722D" w:rsidP="006E722D">
            <w:pPr>
              <w:tabs>
                <w:tab w:val="left" w:pos="270"/>
                <w:tab w:val="left" w:pos="540"/>
                <w:tab w:val="left" w:pos="9270"/>
              </w:tabs>
              <w:spacing w:line="160" w:lineRule="exact"/>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e</w:t>
            </w:r>
            <w:r w:rsidRPr="005E6B7C">
              <w:rPr>
                <w:rFonts w:asciiTheme="majorHAnsi" w:eastAsia="Yu Mincho" w:hAnsiTheme="majorHAnsi" w:cstheme="majorHAnsi"/>
                <w:color w:val="000000" w:themeColor="text1"/>
                <w:sz w:val="18"/>
                <w:szCs w:val="18"/>
                <w:lang w:eastAsia="ja-JP"/>
              </w:rPr>
              <w:t xml:space="preserve"> mult. (</w:t>
            </w:r>
            <w:r w:rsidRPr="005E6B7C">
              <w:rPr>
                <w:rFonts w:asciiTheme="majorHAnsi" w:eastAsia="Yu Mincho" w:hAnsiTheme="majorHAnsi" w:cstheme="majorHAnsi"/>
                <w:i/>
                <w:color w:val="000000" w:themeColor="text1"/>
                <w:sz w:val="18"/>
                <w:szCs w:val="18"/>
                <w:lang w:eastAsia="ja-JP"/>
              </w:rPr>
              <w:t>J</w:t>
            </w:r>
            <w:r w:rsidRPr="005E6B7C">
              <w:rPr>
                <w:rFonts w:asciiTheme="majorHAnsi" w:eastAsia="Yu Mincho" w:hAnsiTheme="majorHAnsi" w:cstheme="majorHAnsi"/>
                <w:color w:val="000000" w:themeColor="text1"/>
                <w:sz w:val="18"/>
                <w:szCs w:val="18"/>
                <w:lang w:eastAsia="ja-JP"/>
              </w:rPr>
              <w:t xml:space="preserve"> in Hz)</w:t>
            </w:r>
          </w:p>
        </w:tc>
      </w:tr>
      <w:tr w:rsidR="00E049CB" w:rsidRPr="005E6B7C" w14:paraId="0EADF07B" w14:textId="77777777" w:rsidTr="0044085B">
        <w:trPr>
          <w:jc w:val="center"/>
        </w:trPr>
        <w:tc>
          <w:tcPr>
            <w:tcW w:w="811" w:type="dxa"/>
          </w:tcPr>
          <w:p w14:paraId="42AC15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674" w:type="dxa"/>
          </w:tcPr>
          <w:p w14:paraId="5EC663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7BDE77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20A68981"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2FF5DC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137.23</w:t>
            </w:r>
          </w:p>
        </w:tc>
        <w:tc>
          <w:tcPr>
            <w:tcW w:w="1659" w:type="dxa"/>
          </w:tcPr>
          <w:p w14:paraId="0629396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768B0A7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138.32</w:t>
            </w:r>
          </w:p>
        </w:tc>
        <w:tc>
          <w:tcPr>
            <w:tcW w:w="1678" w:type="dxa"/>
          </w:tcPr>
          <w:p w14:paraId="4F1C6079"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w:t>
            </w:r>
          </w:p>
        </w:tc>
      </w:tr>
      <w:tr w:rsidR="00E049CB" w:rsidRPr="005E6B7C" w14:paraId="73403A7F" w14:textId="77777777" w:rsidTr="0044085B">
        <w:trPr>
          <w:jc w:val="center"/>
        </w:trPr>
        <w:tc>
          <w:tcPr>
            <w:tcW w:w="811" w:type="dxa"/>
          </w:tcPr>
          <w:p w14:paraId="41EF4F1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674" w:type="dxa"/>
          </w:tcPr>
          <w:p w14:paraId="14B9E5D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158.5</w:t>
            </w:r>
          </w:p>
        </w:tc>
        <w:tc>
          <w:tcPr>
            <w:tcW w:w="899" w:type="dxa"/>
          </w:tcPr>
          <w:p w14:paraId="3AB45E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158.40</w:t>
            </w:r>
          </w:p>
        </w:tc>
        <w:tc>
          <w:tcPr>
            <w:tcW w:w="1646" w:type="dxa"/>
          </w:tcPr>
          <w:p w14:paraId="349C0617"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60A263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111.26</w:t>
            </w:r>
          </w:p>
        </w:tc>
        <w:tc>
          <w:tcPr>
            <w:tcW w:w="1659" w:type="dxa"/>
          </w:tcPr>
          <w:p w14:paraId="50BE69C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7.01 d (1.8)</w:t>
            </w:r>
          </w:p>
        </w:tc>
        <w:tc>
          <w:tcPr>
            <w:tcW w:w="852" w:type="dxa"/>
          </w:tcPr>
          <w:p w14:paraId="33ED97E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111.20</w:t>
            </w:r>
          </w:p>
        </w:tc>
        <w:tc>
          <w:tcPr>
            <w:tcW w:w="1678" w:type="dxa"/>
          </w:tcPr>
          <w:p w14:paraId="3CE9DFE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7.05 br s</w:t>
            </w:r>
          </w:p>
        </w:tc>
      </w:tr>
      <w:tr w:rsidR="00E049CB" w:rsidRPr="005E6B7C" w14:paraId="4BEDE1C9" w14:textId="77777777" w:rsidTr="0044085B">
        <w:trPr>
          <w:jc w:val="center"/>
        </w:trPr>
        <w:tc>
          <w:tcPr>
            <w:tcW w:w="811" w:type="dxa"/>
          </w:tcPr>
          <w:p w14:paraId="02110B3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674" w:type="dxa"/>
          </w:tcPr>
          <w:p w14:paraId="62E7A77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135.0</w:t>
            </w:r>
          </w:p>
        </w:tc>
        <w:tc>
          <w:tcPr>
            <w:tcW w:w="899" w:type="dxa"/>
          </w:tcPr>
          <w:p w14:paraId="6C10C82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134.98</w:t>
            </w:r>
          </w:p>
        </w:tc>
        <w:tc>
          <w:tcPr>
            <w:tcW w:w="1646" w:type="dxa"/>
          </w:tcPr>
          <w:p w14:paraId="5ADAEF3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1C18A8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151.44</w:t>
            </w:r>
          </w:p>
        </w:tc>
        <w:tc>
          <w:tcPr>
            <w:tcW w:w="1659" w:type="dxa"/>
          </w:tcPr>
          <w:p w14:paraId="791203F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432FF07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150.92</w:t>
            </w:r>
          </w:p>
        </w:tc>
        <w:tc>
          <w:tcPr>
            <w:tcW w:w="1678" w:type="dxa"/>
          </w:tcPr>
          <w:p w14:paraId="212963F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7DD00BBB" w14:textId="77777777" w:rsidTr="0044085B">
        <w:trPr>
          <w:jc w:val="center"/>
        </w:trPr>
        <w:tc>
          <w:tcPr>
            <w:tcW w:w="811" w:type="dxa"/>
          </w:tcPr>
          <w:p w14:paraId="7FFBC6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674" w:type="dxa"/>
          </w:tcPr>
          <w:p w14:paraId="78E96E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179.7</w:t>
            </w:r>
          </w:p>
        </w:tc>
        <w:tc>
          <w:tcPr>
            <w:tcW w:w="899" w:type="dxa"/>
          </w:tcPr>
          <w:p w14:paraId="2E471B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179.58</w:t>
            </w:r>
          </w:p>
        </w:tc>
        <w:tc>
          <w:tcPr>
            <w:tcW w:w="1646" w:type="dxa"/>
          </w:tcPr>
          <w:p w14:paraId="78E9148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20C4B6A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147.01</w:t>
            </w:r>
          </w:p>
        </w:tc>
        <w:tc>
          <w:tcPr>
            <w:tcW w:w="1659" w:type="dxa"/>
          </w:tcPr>
          <w:p w14:paraId="35A05FE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648C6A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147.58</w:t>
            </w:r>
          </w:p>
        </w:tc>
        <w:tc>
          <w:tcPr>
            <w:tcW w:w="1678" w:type="dxa"/>
          </w:tcPr>
          <w:p w14:paraId="79E914C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6F85A5A0" w14:textId="77777777" w:rsidTr="0044085B">
        <w:trPr>
          <w:jc w:val="center"/>
        </w:trPr>
        <w:tc>
          <w:tcPr>
            <w:tcW w:w="811" w:type="dxa"/>
          </w:tcPr>
          <w:p w14:paraId="315F108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674" w:type="dxa"/>
          </w:tcPr>
          <w:p w14:paraId="2709CD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163.1</w:t>
            </w:r>
          </w:p>
        </w:tc>
        <w:tc>
          <w:tcPr>
            <w:tcW w:w="899" w:type="dxa"/>
          </w:tcPr>
          <w:p w14:paraId="3E292B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163.10</w:t>
            </w:r>
          </w:p>
        </w:tc>
        <w:tc>
          <w:tcPr>
            <w:tcW w:w="1646" w:type="dxa"/>
          </w:tcPr>
          <w:p w14:paraId="4C7AB5F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1AA4C5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117.84</w:t>
            </w:r>
          </w:p>
        </w:tc>
        <w:tc>
          <w:tcPr>
            <w:tcW w:w="1659" w:type="dxa"/>
          </w:tcPr>
          <w:p w14:paraId="3E3BFB8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7.10 d (8.4)</w:t>
            </w:r>
          </w:p>
        </w:tc>
        <w:tc>
          <w:tcPr>
            <w:tcW w:w="852" w:type="dxa"/>
          </w:tcPr>
          <w:p w14:paraId="1E2E530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118.01</w:t>
            </w:r>
          </w:p>
        </w:tc>
        <w:tc>
          <w:tcPr>
            <w:tcW w:w="1678" w:type="dxa"/>
          </w:tcPr>
          <w:p w14:paraId="7234D2B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7.15 d (8.5)</w:t>
            </w:r>
          </w:p>
        </w:tc>
      </w:tr>
      <w:tr w:rsidR="00E049CB" w:rsidRPr="005E6B7C" w14:paraId="3957054A" w14:textId="77777777" w:rsidTr="0044085B">
        <w:trPr>
          <w:jc w:val="center"/>
        </w:trPr>
        <w:tc>
          <w:tcPr>
            <w:tcW w:w="811" w:type="dxa"/>
          </w:tcPr>
          <w:p w14:paraId="752FEC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674" w:type="dxa"/>
          </w:tcPr>
          <w:p w14:paraId="4A9D44A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99.8</w:t>
            </w:r>
          </w:p>
        </w:tc>
        <w:tc>
          <w:tcPr>
            <w:tcW w:w="899" w:type="dxa"/>
          </w:tcPr>
          <w:p w14:paraId="0E607B9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99.80</w:t>
            </w:r>
          </w:p>
        </w:tc>
        <w:tc>
          <w:tcPr>
            <w:tcW w:w="1646" w:type="dxa"/>
          </w:tcPr>
          <w:p w14:paraId="2672020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6.20 br s</w:t>
            </w:r>
          </w:p>
        </w:tc>
        <w:tc>
          <w:tcPr>
            <w:tcW w:w="853" w:type="dxa"/>
          </w:tcPr>
          <w:p w14:paraId="7EC5C7B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119.23</w:t>
            </w:r>
          </w:p>
        </w:tc>
        <w:tc>
          <w:tcPr>
            <w:tcW w:w="1659" w:type="dxa"/>
          </w:tcPr>
          <w:p w14:paraId="048CE37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6.89 dd (1.8, 8.4)</w:t>
            </w:r>
          </w:p>
        </w:tc>
        <w:tc>
          <w:tcPr>
            <w:tcW w:w="852" w:type="dxa"/>
          </w:tcPr>
          <w:p w14:paraId="2BFF60D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119.38</w:t>
            </w:r>
          </w:p>
        </w:tc>
        <w:tc>
          <w:tcPr>
            <w:tcW w:w="1678" w:type="dxa"/>
          </w:tcPr>
          <w:p w14:paraId="7F31ECD1"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6.95 br d (8.5)</w:t>
            </w:r>
          </w:p>
        </w:tc>
      </w:tr>
      <w:tr w:rsidR="00E049CB" w:rsidRPr="005E6B7C" w14:paraId="44A1BB65" w14:textId="77777777" w:rsidTr="0044085B">
        <w:trPr>
          <w:jc w:val="center"/>
        </w:trPr>
        <w:tc>
          <w:tcPr>
            <w:tcW w:w="811" w:type="dxa"/>
          </w:tcPr>
          <w:p w14:paraId="5A72A8F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674" w:type="dxa"/>
          </w:tcPr>
          <w:p w14:paraId="7BCA128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165.8</w:t>
            </w:r>
          </w:p>
        </w:tc>
        <w:tc>
          <w:tcPr>
            <w:tcW w:w="899" w:type="dxa"/>
          </w:tcPr>
          <w:p w14:paraId="1236BC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165.80</w:t>
            </w:r>
          </w:p>
        </w:tc>
        <w:tc>
          <w:tcPr>
            <w:tcW w:w="1646" w:type="dxa"/>
          </w:tcPr>
          <w:p w14:paraId="58DF296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044325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87.13</w:t>
            </w:r>
          </w:p>
        </w:tc>
        <w:tc>
          <w:tcPr>
            <w:tcW w:w="1659" w:type="dxa"/>
          </w:tcPr>
          <w:p w14:paraId="1F0F540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4.76 d (4.2)</w:t>
            </w:r>
          </w:p>
        </w:tc>
        <w:tc>
          <w:tcPr>
            <w:tcW w:w="852" w:type="dxa"/>
          </w:tcPr>
          <w:p w14:paraId="2A17E0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88.46</w:t>
            </w:r>
          </w:p>
        </w:tc>
        <w:tc>
          <w:tcPr>
            <w:tcW w:w="1678" w:type="dxa"/>
          </w:tcPr>
          <w:p w14:paraId="710E175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5.57 d (6.0)</w:t>
            </w:r>
          </w:p>
        </w:tc>
      </w:tr>
      <w:tr w:rsidR="00E049CB" w:rsidRPr="005E6B7C" w14:paraId="69449559" w14:textId="77777777" w:rsidTr="0044085B">
        <w:trPr>
          <w:jc w:val="center"/>
        </w:trPr>
        <w:tc>
          <w:tcPr>
            <w:tcW w:w="811" w:type="dxa"/>
          </w:tcPr>
          <w:p w14:paraId="0B9EEF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674" w:type="dxa"/>
          </w:tcPr>
          <w:p w14:paraId="6B540B5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94.6</w:t>
            </w:r>
          </w:p>
        </w:tc>
        <w:tc>
          <w:tcPr>
            <w:tcW w:w="899" w:type="dxa"/>
          </w:tcPr>
          <w:p w14:paraId="124464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94.66</w:t>
            </w:r>
          </w:p>
        </w:tc>
        <w:tc>
          <w:tcPr>
            <w:tcW w:w="1646" w:type="dxa"/>
          </w:tcPr>
          <w:p w14:paraId="64E25FE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6.40 br s</w:t>
            </w:r>
          </w:p>
        </w:tc>
        <w:tc>
          <w:tcPr>
            <w:tcW w:w="853" w:type="dxa"/>
          </w:tcPr>
          <w:p w14:paraId="5B84EFC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55.51</w:t>
            </w:r>
          </w:p>
        </w:tc>
        <w:tc>
          <w:tcPr>
            <w:tcW w:w="1659" w:type="dxa"/>
          </w:tcPr>
          <w:p w14:paraId="15EFE2F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3.14 m</w:t>
            </w:r>
          </w:p>
        </w:tc>
        <w:tc>
          <w:tcPr>
            <w:tcW w:w="852" w:type="dxa"/>
          </w:tcPr>
          <w:p w14:paraId="2EE1E0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55.61</w:t>
            </w:r>
          </w:p>
        </w:tc>
        <w:tc>
          <w:tcPr>
            <w:tcW w:w="1678" w:type="dxa"/>
          </w:tcPr>
          <w:p w14:paraId="2A786EE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3.46  m</w:t>
            </w:r>
          </w:p>
        </w:tc>
      </w:tr>
      <w:tr w:rsidR="00E049CB" w:rsidRPr="005E6B7C" w14:paraId="79F10EA2" w14:textId="77777777" w:rsidTr="0044085B">
        <w:trPr>
          <w:jc w:val="center"/>
        </w:trPr>
        <w:tc>
          <w:tcPr>
            <w:tcW w:w="811" w:type="dxa"/>
          </w:tcPr>
          <w:p w14:paraId="07225E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674" w:type="dxa"/>
          </w:tcPr>
          <w:p w14:paraId="4CA1BE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158.4</w:t>
            </w:r>
          </w:p>
        </w:tc>
        <w:tc>
          <w:tcPr>
            <w:tcW w:w="899" w:type="dxa"/>
          </w:tcPr>
          <w:p w14:paraId="7423E04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158.37</w:t>
            </w:r>
          </w:p>
        </w:tc>
        <w:tc>
          <w:tcPr>
            <w:tcW w:w="1646" w:type="dxa"/>
          </w:tcPr>
          <w:p w14:paraId="1F60D6C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611C138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72.67</w:t>
            </w:r>
          </w:p>
        </w:tc>
        <w:tc>
          <w:tcPr>
            <w:tcW w:w="1659" w:type="dxa"/>
          </w:tcPr>
          <w:p w14:paraId="0D258187"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3.89 m/4.26 m</w:t>
            </w:r>
          </w:p>
        </w:tc>
        <w:tc>
          <w:tcPr>
            <w:tcW w:w="852" w:type="dxa"/>
          </w:tcPr>
          <w:p w14:paraId="72E6D1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65.04</w:t>
            </w:r>
          </w:p>
        </w:tc>
        <w:tc>
          <w:tcPr>
            <w:tcW w:w="1678" w:type="dxa"/>
          </w:tcPr>
          <w:p w14:paraId="1C11B3D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3.77 dd (7.5, 11.0)</w:t>
            </w:r>
          </w:p>
          <w:p w14:paraId="6E2E1BE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3.87 m</w:t>
            </w:r>
          </w:p>
        </w:tc>
      </w:tr>
      <w:tr w:rsidR="00E049CB" w:rsidRPr="005E6B7C" w14:paraId="5A810994" w14:textId="77777777" w:rsidTr="0044085B">
        <w:trPr>
          <w:jc w:val="center"/>
        </w:trPr>
        <w:tc>
          <w:tcPr>
            <w:tcW w:w="811" w:type="dxa"/>
          </w:tcPr>
          <w:p w14:paraId="2FCB53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674" w:type="dxa"/>
          </w:tcPr>
          <w:p w14:paraId="264244E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105.9</w:t>
            </w:r>
          </w:p>
        </w:tc>
        <w:tc>
          <w:tcPr>
            <w:tcW w:w="899" w:type="dxa"/>
          </w:tcPr>
          <w:p w14:paraId="575A392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105.80</w:t>
            </w:r>
          </w:p>
        </w:tc>
        <w:tc>
          <w:tcPr>
            <w:tcW w:w="1646" w:type="dxa"/>
          </w:tcPr>
          <w:p w14:paraId="3B500C0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08E92C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59" w:type="dxa"/>
          </w:tcPr>
          <w:p w14:paraId="7461BAA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2" w:type="dxa"/>
          </w:tcPr>
          <w:p w14:paraId="6443AD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1355B80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36BE7391" w14:textId="77777777" w:rsidTr="0044085B">
        <w:trPr>
          <w:jc w:val="center"/>
        </w:trPr>
        <w:tc>
          <w:tcPr>
            <w:tcW w:w="811" w:type="dxa"/>
          </w:tcPr>
          <w:p w14:paraId="23595F5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36AB47A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122.9</w:t>
            </w:r>
          </w:p>
        </w:tc>
        <w:tc>
          <w:tcPr>
            <w:tcW w:w="899" w:type="dxa"/>
          </w:tcPr>
          <w:p w14:paraId="63E88A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122.86</w:t>
            </w:r>
          </w:p>
        </w:tc>
        <w:tc>
          <w:tcPr>
            <w:tcW w:w="1646" w:type="dxa"/>
          </w:tcPr>
          <w:p w14:paraId="6B0C2551"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4C00887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133.78</w:t>
            </w:r>
          </w:p>
        </w:tc>
        <w:tc>
          <w:tcPr>
            <w:tcW w:w="1659" w:type="dxa"/>
          </w:tcPr>
          <w:p w14:paraId="4B810B2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3096F9D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137.05</w:t>
            </w:r>
          </w:p>
        </w:tc>
        <w:tc>
          <w:tcPr>
            <w:tcW w:w="1678" w:type="dxa"/>
          </w:tcPr>
          <w:p w14:paraId="2AFC93C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10A7170A" w14:textId="77777777" w:rsidTr="0044085B">
        <w:trPr>
          <w:jc w:val="center"/>
        </w:trPr>
        <w:tc>
          <w:tcPr>
            <w:tcW w:w="811" w:type="dxa"/>
          </w:tcPr>
          <w:p w14:paraId="43644A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798E05D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132.3</w:t>
            </w:r>
          </w:p>
        </w:tc>
        <w:tc>
          <w:tcPr>
            <w:tcW w:w="899" w:type="dxa"/>
          </w:tcPr>
          <w:p w14:paraId="588360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132.29</w:t>
            </w:r>
          </w:p>
        </w:tc>
        <w:tc>
          <w:tcPr>
            <w:tcW w:w="1646" w:type="dxa"/>
          </w:tcPr>
          <w:p w14:paraId="430F576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8.08 d (8.4)</w:t>
            </w:r>
          </w:p>
        </w:tc>
        <w:tc>
          <w:tcPr>
            <w:tcW w:w="853" w:type="dxa"/>
          </w:tcPr>
          <w:p w14:paraId="3E99DFF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111.02</w:t>
            </w:r>
          </w:p>
        </w:tc>
        <w:tc>
          <w:tcPr>
            <w:tcW w:w="1659" w:type="dxa"/>
          </w:tcPr>
          <w:p w14:paraId="3030F73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6.96 d (1.8)</w:t>
            </w:r>
          </w:p>
        </w:tc>
        <w:tc>
          <w:tcPr>
            <w:tcW w:w="852" w:type="dxa"/>
          </w:tcPr>
          <w:p w14:paraId="6189E5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114.17</w:t>
            </w:r>
          </w:p>
        </w:tc>
        <w:tc>
          <w:tcPr>
            <w:tcW w:w="1678" w:type="dxa"/>
          </w:tcPr>
          <w:p w14:paraId="023399F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6.75 br s</w:t>
            </w:r>
          </w:p>
        </w:tc>
      </w:tr>
      <w:tr w:rsidR="00E049CB" w:rsidRPr="005E6B7C" w14:paraId="73AC4D09" w14:textId="77777777" w:rsidTr="0044085B">
        <w:trPr>
          <w:jc w:val="center"/>
        </w:trPr>
        <w:tc>
          <w:tcPr>
            <w:tcW w:w="811" w:type="dxa"/>
          </w:tcPr>
          <w:p w14:paraId="752BA0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25C650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116.2</w:t>
            </w:r>
          </w:p>
        </w:tc>
        <w:tc>
          <w:tcPr>
            <w:tcW w:w="899" w:type="dxa"/>
          </w:tcPr>
          <w:p w14:paraId="440BADE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116.17</w:t>
            </w:r>
          </w:p>
        </w:tc>
        <w:tc>
          <w:tcPr>
            <w:tcW w:w="1646" w:type="dxa"/>
          </w:tcPr>
          <w:p w14:paraId="0F1B112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6.91 d (8.4)</w:t>
            </w:r>
          </w:p>
        </w:tc>
        <w:tc>
          <w:tcPr>
            <w:tcW w:w="853" w:type="dxa"/>
          </w:tcPr>
          <w:p w14:paraId="1C6D81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149.12</w:t>
            </w:r>
          </w:p>
        </w:tc>
        <w:tc>
          <w:tcPr>
            <w:tcW w:w="1659" w:type="dxa"/>
          </w:tcPr>
          <w:p w14:paraId="301F0206"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309D633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145.22</w:t>
            </w:r>
          </w:p>
        </w:tc>
        <w:tc>
          <w:tcPr>
            <w:tcW w:w="1678" w:type="dxa"/>
          </w:tcPr>
          <w:p w14:paraId="20F50AC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6D0EB45D" w14:textId="77777777" w:rsidTr="0044085B">
        <w:trPr>
          <w:jc w:val="center"/>
        </w:trPr>
        <w:tc>
          <w:tcPr>
            <w:tcW w:w="811" w:type="dxa"/>
          </w:tcPr>
          <w:p w14:paraId="3414480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091D2F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161.5</w:t>
            </w:r>
          </w:p>
        </w:tc>
        <w:tc>
          <w:tcPr>
            <w:tcW w:w="899" w:type="dxa"/>
          </w:tcPr>
          <w:p w14:paraId="3FB8241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161.42</w:t>
            </w:r>
          </w:p>
        </w:tc>
        <w:tc>
          <w:tcPr>
            <w:tcW w:w="1646" w:type="dxa"/>
          </w:tcPr>
          <w:p w14:paraId="164CD3C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3" w:type="dxa"/>
          </w:tcPr>
          <w:p w14:paraId="1C65623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147.31</w:t>
            </w:r>
          </w:p>
        </w:tc>
        <w:tc>
          <w:tcPr>
            <w:tcW w:w="1659" w:type="dxa"/>
          </w:tcPr>
          <w:p w14:paraId="7874D707"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52" w:type="dxa"/>
          </w:tcPr>
          <w:p w14:paraId="356A10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147.47</w:t>
            </w:r>
          </w:p>
        </w:tc>
        <w:tc>
          <w:tcPr>
            <w:tcW w:w="1678" w:type="dxa"/>
          </w:tcPr>
          <w:p w14:paraId="410B642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3F0AEE81" w14:textId="77777777" w:rsidTr="0044085B">
        <w:trPr>
          <w:jc w:val="center"/>
        </w:trPr>
        <w:tc>
          <w:tcPr>
            <w:tcW w:w="811" w:type="dxa"/>
          </w:tcPr>
          <w:p w14:paraId="682A3F7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37D146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116.2</w:t>
            </w:r>
          </w:p>
        </w:tc>
        <w:tc>
          <w:tcPr>
            <w:tcW w:w="899" w:type="dxa"/>
          </w:tcPr>
          <w:p w14:paraId="727AD1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116.17</w:t>
            </w:r>
          </w:p>
        </w:tc>
        <w:tc>
          <w:tcPr>
            <w:tcW w:w="1646" w:type="dxa"/>
          </w:tcPr>
          <w:p w14:paraId="6CBE19D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6.91 d (8.4)</w:t>
            </w:r>
          </w:p>
        </w:tc>
        <w:tc>
          <w:tcPr>
            <w:tcW w:w="853" w:type="dxa"/>
          </w:tcPr>
          <w:p w14:paraId="53F3786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116.12</w:t>
            </w:r>
          </w:p>
        </w:tc>
        <w:tc>
          <w:tcPr>
            <w:tcW w:w="1659" w:type="dxa"/>
          </w:tcPr>
          <w:p w14:paraId="3E5F9D2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6.79 d (7.8)</w:t>
            </w:r>
          </w:p>
        </w:tc>
        <w:tc>
          <w:tcPr>
            <w:tcW w:w="852" w:type="dxa"/>
          </w:tcPr>
          <w:p w14:paraId="751DAE4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129.59</w:t>
            </w:r>
          </w:p>
        </w:tc>
        <w:tc>
          <w:tcPr>
            <w:tcW w:w="1678" w:type="dxa"/>
          </w:tcPr>
          <w:p w14:paraId="0EB4897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069F3C2E" w14:textId="77777777" w:rsidTr="0044085B">
        <w:trPr>
          <w:jc w:val="center"/>
        </w:trPr>
        <w:tc>
          <w:tcPr>
            <w:tcW w:w="811" w:type="dxa"/>
          </w:tcPr>
          <w:p w14:paraId="216C94E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5D98DA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132.3</w:t>
            </w:r>
          </w:p>
        </w:tc>
        <w:tc>
          <w:tcPr>
            <w:tcW w:w="899" w:type="dxa"/>
          </w:tcPr>
          <w:p w14:paraId="4BFD7B4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132.29</w:t>
            </w:r>
          </w:p>
        </w:tc>
        <w:tc>
          <w:tcPr>
            <w:tcW w:w="1646" w:type="dxa"/>
          </w:tcPr>
          <w:p w14:paraId="566EF85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8.08 d (8.4)</w:t>
            </w:r>
          </w:p>
        </w:tc>
        <w:tc>
          <w:tcPr>
            <w:tcW w:w="853" w:type="dxa"/>
          </w:tcPr>
          <w:p w14:paraId="7A39AE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120.05</w:t>
            </w:r>
          </w:p>
        </w:tc>
        <w:tc>
          <w:tcPr>
            <w:tcW w:w="1659" w:type="dxa"/>
          </w:tcPr>
          <w:p w14:paraId="11F37A64"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6.82 dd (1.8, 7.8)</w:t>
            </w:r>
          </w:p>
        </w:tc>
        <w:tc>
          <w:tcPr>
            <w:tcW w:w="852" w:type="dxa"/>
          </w:tcPr>
          <w:p w14:paraId="44AAFD4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117.93</w:t>
            </w:r>
          </w:p>
        </w:tc>
        <w:tc>
          <w:tcPr>
            <w:tcW w:w="1678" w:type="dxa"/>
          </w:tcPr>
          <w:p w14:paraId="6EC49544"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6.73 br s</w:t>
            </w:r>
          </w:p>
        </w:tc>
      </w:tr>
      <w:tr w:rsidR="00E049CB" w:rsidRPr="005E6B7C" w14:paraId="0B668524" w14:textId="77777777" w:rsidTr="0044085B">
        <w:trPr>
          <w:jc w:val="center"/>
        </w:trPr>
        <w:tc>
          <w:tcPr>
            <w:tcW w:w="811" w:type="dxa"/>
          </w:tcPr>
          <w:p w14:paraId="25D4688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60BB0F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0352A4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1472DC4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157A35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87.49</w:t>
            </w:r>
          </w:p>
        </w:tc>
        <w:tc>
          <w:tcPr>
            <w:tcW w:w="1659" w:type="dxa"/>
          </w:tcPr>
          <w:p w14:paraId="0C5B3506"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4.72 d (4.8)</w:t>
            </w:r>
          </w:p>
        </w:tc>
        <w:tc>
          <w:tcPr>
            <w:tcW w:w="852" w:type="dxa"/>
          </w:tcPr>
          <w:p w14:paraId="220DD23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32.87</w:t>
            </w:r>
          </w:p>
        </w:tc>
        <w:tc>
          <w:tcPr>
            <w:tcW w:w="1678" w:type="dxa"/>
          </w:tcPr>
          <w:p w14:paraId="07455F5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2.64 t (8.0)</w:t>
            </w:r>
          </w:p>
        </w:tc>
      </w:tr>
      <w:tr w:rsidR="00E049CB" w:rsidRPr="005E6B7C" w14:paraId="4E9E03FF" w14:textId="77777777" w:rsidTr="0044085B">
        <w:trPr>
          <w:jc w:val="center"/>
        </w:trPr>
        <w:tc>
          <w:tcPr>
            <w:tcW w:w="811" w:type="dxa"/>
          </w:tcPr>
          <w:p w14:paraId="770E59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7C9E59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61CF3A4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65FAD10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6231548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55.32</w:t>
            </w:r>
          </w:p>
        </w:tc>
        <w:tc>
          <w:tcPr>
            <w:tcW w:w="1659" w:type="dxa"/>
          </w:tcPr>
          <w:p w14:paraId="1984A33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3.14 m</w:t>
            </w:r>
          </w:p>
        </w:tc>
        <w:tc>
          <w:tcPr>
            <w:tcW w:w="852" w:type="dxa"/>
          </w:tcPr>
          <w:p w14:paraId="107695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35.77</w:t>
            </w:r>
          </w:p>
        </w:tc>
        <w:tc>
          <w:tcPr>
            <w:tcW w:w="1678" w:type="dxa"/>
          </w:tcPr>
          <w:p w14:paraId="3062853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1.83 m</w:t>
            </w:r>
          </w:p>
        </w:tc>
      </w:tr>
      <w:tr w:rsidR="00E049CB" w:rsidRPr="005E6B7C" w14:paraId="059F284B" w14:textId="77777777" w:rsidTr="0044085B">
        <w:trPr>
          <w:jc w:val="center"/>
        </w:trPr>
        <w:tc>
          <w:tcPr>
            <w:tcW w:w="811" w:type="dxa"/>
          </w:tcPr>
          <w:p w14:paraId="1F0C26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301F875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44972B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7671AD5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02137AA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72.69</w:t>
            </w:r>
          </w:p>
        </w:tc>
        <w:tc>
          <w:tcPr>
            <w:tcW w:w="1659" w:type="dxa"/>
          </w:tcPr>
          <w:p w14:paraId="405564B6"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3.89 m/4.26 m</w:t>
            </w:r>
          </w:p>
        </w:tc>
        <w:tc>
          <w:tcPr>
            <w:tcW w:w="852" w:type="dxa"/>
          </w:tcPr>
          <w:p w14:paraId="270560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62.22</w:t>
            </w:r>
          </w:p>
        </w:tc>
        <w:tc>
          <w:tcPr>
            <w:tcW w:w="1678" w:type="dxa"/>
          </w:tcPr>
          <w:p w14:paraId="144A68B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pl-PL" w:eastAsia="ja-JP"/>
              </w:rPr>
              <w:t>3.58 t (7.0)</w:t>
            </w:r>
          </w:p>
        </w:tc>
      </w:tr>
      <w:tr w:rsidR="00E049CB" w:rsidRPr="005E6B7C" w14:paraId="7B345118" w14:textId="77777777" w:rsidTr="0044085B">
        <w:trPr>
          <w:jc w:val="center"/>
        </w:trPr>
        <w:tc>
          <w:tcPr>
            <w:tcW w:w="811" w:type="dxa"/>
          </w:tcPr>
          <w:p w14:paraId="45D97E7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3-OMe</w:t>
            </w:r>
          </w:p>
        </w:tc>
        <w:tc>
          <w:tcPr>
            <w:tcW w:w="674" w:type="dxa"/>
          </w:tcPr>
          <w:p w14:paraId="43D678E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15E9C4B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442C3ED4"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707314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56.41</w:t>
            </w:r>
          </w:p>
        </w:tc>
        <w:tc>
          <w:tcPr>
            <w:tcW w:w="1659" w:type="dxa"/>
          </w:tcPr>
          <w:p w14:paraId="09D8B41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3.86 s</w:t>
            </w:r>
          </w:p>
        </w:tc>
        <w:tc>
          <w:tcPr>
            <w:tcW w:w="852" w:type="dxa"/>
          </w:tcPr>
          <w:p w14:paraId="5980EE4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56.70</w:t>
            </w:r>
          </w:p>
        </w:tc>
        <w:tc>
          <w:tcPr>
            <w:tcW w:w="1678" w:type="dxa"/>
          </w:tcPr>
          <w:p w14:paraId="42420E8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3.85 s</w:t>
            </w:r>
          </w:p>
        </w:tc>
      </w:tr>
      <w:tr w:rsidR="00E049CB" w:rsidRPr="005E6B7C" w14:paraId="6435D184" w14:textId="77777777" w:rsidTr="0044085B">
        <w:trPr>
          <w:jc w:val="center"/>
        </w:trPr>
        <w:tc>
          <w:tcPr>
            <w:tcW w:w="811" w:type="dxa"/>
          </w:tcPr>
          <w:p w14:paraId="2117EFD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t>-OMe</w:t>
            </w:r>
          </w:p>
        </w:tc>
        <w:tc>
          <w:tcPr>
            <w:tcW w:w="674" w:type="dxa"/>
          </w:tcPr>
          <w:p w14:paraId="2E5806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020069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64D94D64"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7F7AEA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56.46</w:t>
            </w:r>
          </w:p>
        </w:tc>
        <w:tc>
          <w:tcPr>
            <w:tcW w:w="1659" w:type="dxa"/>
          </w:tcPr>
          <w:p w14:paraId="2983BE1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3.87 s</w:t>
            </w:r>
          </w:p>
        </w:tc>
        <w:tc>
          <w:tcPr>
            <w:tcW w:w="852" w:type="dxa"/>
          </w:tcPr>
          <w:p w14:paraId="3E2067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56.78</w:t>
            </w:r>
          </w:p>
        </w:tc>
        <w:tc>
          <w:tcPr>
            <w:tcW w:w="1678" w:type="dxa"/>
          </w:tcPr>
          <w:p w14:paraId="7C22F59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3.89 s</w:t>
            </w:r>
          </w:p>
        </w:tc>
      </w:tr>
      <w:tr w:rsidR="00E049CB" w:rsidRPr="005E6B7C" w14:paraId="18952137" w14:textId="77777777" w:rsidTr="0044085B">
        <w:trPr>
          <w:jc w:val="center"/>
        </w:trPr>
        <w:tc>
          <w:tcPr>
            <w:tcW w:w="811" w:type="dxa"/>
          </w:tcPr>
          <w:p w14:paraId="7FB39F6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674" w:type="dxa"/>
          </w:tcPr>
          <w:p w14:paraId="28F7F6B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899" w:type="dxa"/>
          </w:tcPr>
          <w:p w14:paraId="4BC05CF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46" w:type="dxa"/>
          </w:tcPr>
          <w:p w14:paraId="2DBC2A9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26BA53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59" w:type="dxa"/>
          </w:tcPr>
          <w:p w14:paraId="551C402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2" w:type="dxa"/>
          </w:tcPr>
          <w:p w14:paraId="37D68C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3CD37DF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6B93ECF4" w14:textId="77777777" w:rsidTr="0044085B">
        <w:trPr>
          <w:jc w:val="center"/>
        </w:trPr>
        <w:tc>
          <w:tcPr>
            <w:tcW w:w="811" w:type="dxa"/>
          </w:tcPr>
          <w:p w14:paraId="2C27E75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11E2BC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100.8</w:t>
            </w:r>
          </w:p>
        </w:tc>
        <w:tc>
          <w:tcPr>
            <w:tcW w:w="899" w:type="dxa"/>
          </w:tcPr>
          <w:p w14:paraId="4264DC2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100.77</w:t>
            </w:r>
          </w:p>
        </w:tc>
        <w:tc>
          <w:tcPr>
            <w:tcW w:w="1646" w:type="dxa"/>
          </w:tcPr>
          <w:p w14:paraId="325D88A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5.50 d (7.8)</w:t>
            </w:r>
          </w:p>
        </w:tc>
        <w:tc>
          <w:tcPr>
            <w:tcW w:w="853" w:type="dxa"/>
          </w:tcPr>
          <w:p w14:paraId="494F23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100.53</w:t>
            </w:r>
          </w:p>
        </w:tc>
        <w:tc>
          <w:tcPr>
            <w:tcW w:w="1659" w:type="dxa"/>
          </w:tcPr>
          <w:p w14:paraId="7C04CF3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5.07 d (7.8)</w:t>
            </w:r>
          </w:p>
        </w:tc>
        <w:tc>
          <w:tcPr>
            <w:tcW w:w="852" w:type="dxa"/>
          </w:tcPr>
          <w:p w14:paraId="5F8E12F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102.75</w:t>
            </w:r>
          </w:p>
        </w:tc>
        <w:tc>
          <w:tcPr>
            <w:tcW w:w="1678" w:type="dxa"/>
          </w:tcPr>
          <w:p w14:paraId="687BAC7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4.90 d (7.0)</w:t>
            </w:r>
          </w:p>
        </w:tc>
      </w:tr>
      <w:tr w:rsidR="00E049CB" w:rsidRPr="005E6B7C" w14:paraId="049A9347" w14:textId="77777777" w:rsidTr="0044085B">
        <w:trPr>
          <w:jc w:val="center"/>
        </w:trPr>
        <w:tc>
          <w:tcPr>
            <w:tcW w:w="811" w:type="dxa"/>
          </w:tcPr>
          <w:p w14:paraId="24F62E6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135FC0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82.4</w:t>
            </w:r>
          </w:p>
        </w:tc>
        <w:tc>
          <w:tcPr>
            <w:tcW w:w="899" w:type="dxa"/>
          </w:tcPr>
          <w:p w14:paraId="5B714A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82.33</w:t>
            </w:r>
          </w:p>
        </w:tc>
        <w:tc>
          <w:tcPr>
            <w:tcW w:w="1646" w:type="dxa"/>
          </w:tcPr>
          <w:p w14:paraId="244CB36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3.69 dd (7.8, 9.0)</w:t>
            </w:r>
          </w:p>
        </w:tc>
        <w:tc>
          <w:tcPr>
            <w:tcW w:w="853" w:type="dxa"/>
          </w:tcPr>
          <w:p w14:paraId="2D8AB3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78.41</w:t>
            </w:r>
          </w:p>
        </w:tc>
        <w:tc>
          <w:tcPr>
            <w:tcW w:w="1659" w:type="dxa"/>
          </w:tcPr>
          <w:p w14:paraId="3D127454"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3.75 dd (7.8, 9.0)</w:t>
            </w:r>
          </w:p>
        </w:tc>
        <w:tc>
          <w:tcPr>
            <w:tcW w:w="852" w:type="dxa"/>
          </w:tcPr>
          <w:p w14:paraId="08058D8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74.88</w:t>
            </w:r>
          </w:p>
        </w:tc>
        <w:tc>
          <w:tcPr>
            <w:tcW w:w="1678" w:type="dxa"/>
          </w:tcPr>
          <w:p w14:paraId="5813A47F"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3.50 m</w:t>
            </w:r>
          </w:p>
        </w:tc>
      </w:tr>
      <w:tr w:rsidR="00E049CB" w:rsidRPr="005E6B7C" w14:paraId="1F89ADA2" w14:textId="77777777" w:rsidTr="0044085B">
        <w:trPr>
          <w:jc w:val="center"/>
        </w:trPr>
        <w:tc>
          <w:tcPr>
            <w:tcW w:w="811" w:type="dxa"/>
          </w:tcPr>
          <w:p w14:paraId="3910B6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51467B6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78.3</w:t>
            </w:r>
          </w:p>
        </w:tc>
        <w:tc>
          <w:tcPr>
            <w:tcW w:w="899" w:type="dxa"/>
          </w:tcPr>
          <w:p w14:paraId="17F958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78.18</w:t>
            </w:r>
          </w:p>
        </w:tc>
        <w:tc>
          <w:tcPr>
            <w:tcW w:w="1646" w:type="dxa"/>
          </w:tcPr>
          <w:p w14:paraId="53CF271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3.62 m</w:t>
            </w:r>
          </w:p>
        </w:tc>
        <w:tc>
          <w:tcPr>
            <w:tcW w:w="853" w:type="dxa"/>
          </w:tcPr>
          <w:p w14:paraId="4D1AF5D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79.43</w:t>
            </w:r>
          </w:p>
        </w:tc>
        <w:tc>
          <w:tcPr>
            <w:tcW w:w="1659" w:type="dxa"/>
          </w:tcPr>
          <w:p w14:paraId="1E572A0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3.61 t (9.0)</w:t>
            </w:r>
          </w:p>
        </w:tc>
        <w:tc>
          <w:tcPr>
            <w:tcW w:w="852" w:type="dxa"/>
          </w:tcPr>
          <w:p w14:paraId="10F51DD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78.15</w:t>
            </w:r>
          </w:p>
        </w:tc>
        <w:tc>
          <w:tcPr>
            <w:tcW w:w="1678" w:type="dxa"/>
          </w:tcPr>
          <w:p w14:paraId="2686E19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3.41m</w:t>
            </w:r>
          </w:p>
        </w:tc>
      </w:tr>
      <w:tr w:rsidR="00E049CB" w:rsidRPr="005E6B7C" w14:paraId="0482D7D7" w14:textId="77777777" w:rsidTr="0044085B">
        <w:trPr>
          <w:jc w:val="center"/>
        </w:trPr>
        <w:tc>
          <w:tcPr>
            <w:tcW w:w="811" w:type="dxa"/>
          </w:tcPr>
          <w:p w14:paraId="7FD6ED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736CC18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71.1</w:t>
            </w:r>
          </w:p>
        </w:tc>
        <w:tc>
          <w:tcPr>
            <w:tcW w:w="899" w:type="dxa"/>
          </w:tcPr>
          <w:p w14:paraId="2E49814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71.12</w:t>
            </w:r>
          </w:p>
        </w:tc>
        <w:tc>
          <w:tcPr>
            <w:tcW w:w="1646" w:type="dxa"/>
          </w:tcPr>
          <w:p w14:paraId="54F273C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 m</w:t>
            </w:r>
          </w:p>
        </w:tc>
        <w:tc>
          <w:tcPr>
            <w:tcW w:w="853" w:type="dxa"/>
          </w:tcPr>
          <w:p w14:paraId="744FE54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71.48</w:t>
            </w:r>
          </w:p>
        </w:tc>
        <w:tc>
          <w:tcPr>
            <w:tcW w:w="1659" w:type="dxa"/>
          </w:tcPr>
          <w:p w14:paraId="381C45D7"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3.42 t (9.0)</w:t>
            </w:r>
          </w:p>
        </w:tc>
        <w:tc>
          <w:tcPr>
            <w:tcW w:w="852" w:type="dxa"/>
          </w:tcPr>
          <w:p w14:paraId="2FB0099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71.31</w:t>
            </w:r>
          </w:p>
        </w:tc>
        <w:tc>
          <w:tcPr>
            <w:tcW w:w="1678" w:type="dxa"/>
          </w:tcPr>
          <w:p w14:paraId="0F6DDB4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3.41 m</w:t>
            </w:r>
          </w:p>
        </w:tc>
      </w:tr>
      <w:tr w:rsidR="00E049CB" w:rsidRPr="005E6B7C" w14:paraId="1A0000AA" w14:textId="77777777" w:rsidTr="0044085B">
        <w:trPr>
          <w:jc w:val="center"/>
        </w:trPr>
        <w:tc>
          <w:tcPr>
            <w:tcW w:w="811" w:type="dxa"/>
          </w:tcPr>
          <w:p w14:paraId="2A9F15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3413D9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77.1</w:t>
            </w:r>
          </w:p>
        </w:tc>
        <w:tc>
          <w:tcPr>
            <w:tcW w:w="899" w:type="dxa"/>
          </w:tcPr>
          <w:p w14:paraId="788DB0A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77.07</w:t>
            </w:r>
          </w:p>
        </w:tc>
        <w:tc>
          <w:tcPr>
            <w:tcW w:w="1646" w:type="dxa"/>
          </w:tcPr>
          <w:p w14:paraId="6EBF5DAB"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3.40 m</w:t>
            </w:r>
          </w:p>
        </w:tc>
        <w:tc>
          <w:tcPr>
            <w:tcW w:w="853" w:type="dxa"/>
          </w:tcPr>
          <w:p w14:paraId="3E79695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77.96</w:t>
            </w:r>
          </w:p>
        </w:tc>
        <w:tc>
          <w:tcPr>
            <w:tcW w:w="1659" w:type="dxa"/>
          </w:tcPr>
          <w:p w14:paraId="52CA66E6"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3.40 m</w:t>
            </w:r>
          </w:p>
        </w:tc>
        <w:tc>
          <w:tcPr>
            <w:tcW w:w="852" w:type="dxa"/>
          </w:tcPr>
          <w:p w14:paraId="39DA65E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77.81</w:t>
            </w:r>
          </w:p>
        </w:tc>
        <w:tc>
          <w:tcPr>
            <w:tcW w:w="1678" w:type="dxa"/>
          </w:tcPr>
          <w:p w14:paraId="0A848C1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3.48 m</w:t>
            </w:r>
          </w:p>
        </w:tc>
      </w:tr>
      <w:tr w:rsidR="00E049CB" w:rsidRPr="005E6B7C" w14:paraId="1E05262B" w14:textId="77777777" w:rsidTr="0044085B">
        <w:trPr>
          <w:jc w:val="center"/>
        </w:trPr>
        <w:tc>
          <w:tcPr>
            <w:tcW w:w="811" w:type="dxa"/>
          </w:tcPr>
          <w:p w14:paraId="0D26423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0FC704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62.5</w:t>
            </w:r>
          </w:p>
        </w:tc>
        <w:tc>
          <w:tcPr>
            <w:tcW w:w="899" w:type="dxa"/>
          </w:tcPr>
          <w:p w14:paraId="60FB2E5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62.43</w:t>
            </w:r>
          </w:p>
        </w:tc>
        <w:tc>
          <w:tcPr>
            <w:tcW w:w="1646" w:type="dxa"/>
          </w:tcPr>
          <w:p w14:paraId="1F2EB68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3.55 dd (5.4, 12.0)</w:t>
            </w:r>
          </w:p>
          <w:p w14:paraId="5E1DF00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3.72 dd (1.8, 12.0)</w:t>
            </w:r>
          </w:p>
        </w:tc>
        <w:tc>
          <w:tcPr>
            <w:tcW w:w="853" w:type="dxa"/>
          </w:tcPr>
          <w:p w14:paraId="3D8D13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62.44</w:t>
            </w:r>
          </w:p>
        </w:tc>
        <w:tc>
          <w:tcPr>
            <w:tcW w:w="1659" w:type="dxa"/>
          </w:tcPr>
          <w:p w14:paraId="682C5E5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3.68 m/3.84 m</w:t>
            </w:r>
          </w:p>
        </w:tc>
        <w:tc>
          <w:tcPr>
            <w:tcW w:w="852" w:type="dxa"/>
          </w:tcPr>
          <w:p w14:paraId="092C89C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62.47</w:t>
            </w:r>
          </w:p>
        </w:tc>
        <w:tc>
          <w:tcPr>
            <w:tcW w:w="1678" w:type="dxa"/>
          </w:tcPr>
          <w:p w14:paraId="0CAF2E8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3.69 dd (3.0, 12.0)</w:t>
            </w:r>
          </w:p>
          <w:p w14:paraId="3799B017"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3.87 m</w:t>
            </w:r>
          </w:p>
        </w:tc>
      </w:tr>
      <w:tr w:rsidR="00E049CB" w:rsidRPr="005E6B7C" w14:paraId="0FE9FF37" w14:textId="77777777" w:rsidTr="0044085B">
        <w:trPr>
          <w:jc w:val="center"/>
        </w:trPr>
        <w:tc>
          <w:tcPr>
            <w:tcW w:w="811" w:type="dxa"/>
          </w:tcPr>
          <w:p w14:paraId="469601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674" w:type="dxa"/>
          </w:tcPr>
          <w:p w14:paraId="03D21E4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p>
        </w:tc>
        <w:tc>
          <w:tcPr>
            <w:tcW w:w="899" w:type="dxa"/>
          </w:tcPr>
          <w:p w14:paraId="2EE05C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p>
        </w:tc>
        <w:tc>
          <w:tcPr>
            <w:tcW w:w="1646" w:type="dxa"/>
          </w:tcPr>
          <w:p w14:paraId="705B3B0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76F490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59" w:type="dxa"/>
          </w:tcPr>
          <w:p w14:paraId="1F63DBB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2" w:type="dxa"/>
          </w:tcPr>
          <w:p w14:paraId="54F0F43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3AD4C72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0C637CEC" w14:textId="77777777" w:rsidTr="0044085B">
        <w:trPr>
          <w:jc w:val="center"/>
        </w:trPr>
        <w:tc>
          <w:tcPr>
            <w:tcW w:w="811" w:type="dxa"/>
          </w:tcPr>
          <w:p w14:paraId="1EF089B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0CE110A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105.5</w:t>
            </w:r>
          </w:p>
        </w:tc>
        <w:tc>
          <w:tcPr>
            <w:tcW w:w="899" w:type="dxa"/>
          </w:tcPr>
          <w:p w14:paraId="3149576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105.37</w:t>
            </w:r>
          </w:p>
        </w:tc>
        <w:tc>
          <w:tcPr>
            <w:tcW w:w="1646" w:type="dxa"/>
          </w:tcPr>
          <w:p w14:paraId="65A9BCE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4.78 d (7.2)</w:t>
            </w:r>
          </w:p>
        </w:tc>
        <w:tc>
          <w:tcPr>
            <w:tcW w:w="853" w:type="dxa"/>
          </w:tcPr>
          <w:p w14:paraId="3BC0477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101.95</w:t>
            </w:r>
          </w:p>
        </w:tc>
        <w:tc>
          <w:tcPr>
            <w:tcW w:w="1659" w:type="dxa"/>
          </w:tcPr>
          <w:p w14:paraId="5A81F1B3"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5.38 d (1.2)</w:t>
            </w:r>
          </w:p>
        </w:tc>
        <w:tc>
          <w:tcPr>
            <w:tcW w:w="852" w:type="dxa"/>
          </w:tcPr>
          <w:p w14:paraId="462241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2B3ADE0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169C421E" w14:textId="77777777" w:rsidTr="0044085B">
        <w:trPr>
          <w:jc w:val="center"/>
        </w:trPr>
        <w:tc>
          <w:tcPr>
            <w:tcW w:w="811" w:type="dxa"/>
          </w:tcPr>
          <w:p w14:paraId="5FBC11D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4D0485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75.0</w:t>
            </w:r>
          </w:p>
        </w:tc>
        <w:tc>
          <w:tcPr>
            <w:tcW w:w="899" w:type="dxa"/>
          </w:tcPr>
          <w:p w14:paraId="41937A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74.91</w:t>
            </w:r>
          </w:p>
        </w:tc>
        <w:tc>
          <w:tcPr>
            <w:tcW w:w="1646" w:type="dxa"/>
          </w:tcPr>
          <w:p w14:paraId="51DE5ED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3.39 m</w:t>
            </w:r>
          </w:p>
        </w:tc>
        <w:tc>
          <w:tcPr>
            <w:tcW w:w="853" w:type="dxa"/>
          </w:tcPr>
          <w:p w14:paraId="5AE901B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72.32</w:t>
            </w:r>
          </w:p>
        </w:tc>
        <w:tc>
          <w:tcPr>
            <w:tcW w:w="1659" w:type="dxa"/>
          </w:tcPr>
          <w:p w14:paraId="37F2EE38"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3.96 dd (1.8, 3.0)</w:t>
            </w:r>
          </w:p>
        </w:tc>
        <w:tc>
          <w:tcPr>
            <w:tcW w:w="852" w:type="dxa"/>
          </w:tcPr>
          <w:p w14:paraId="7DA9AB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71139085"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7F92103B" w14:textId="77777777" w:rsidTr="0044085B">
        <w:trPr>
          <w:jc w:val="center"/>
        </w:trPr>
        <w:tc>
          <w:tcPr>
            <w:tcW w:w="811" w:type="dxa"/>
          </w:tcPr>
          <w:p w14:paraId="03A13F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5C1B8EE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78.4</w:t>
            </w:r>
          </w:p>
        </w:tc>
        <w:tc>
          <w:tcPr>
            <w:tcW w:w="899" w:type="dxa"/>
          </w:tcPr>
          <w:p w14:paraId="2846CF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78.30</w:t>
            </w:r>
          </w:p>
        </w:tc>
        <w:tc>
          <w:tcPr>
            <w:tcW w:w="1646" w:type="dxa"/>
          </w:tcPr>
          <w:p w14:paraId="3F9F8E3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3.24 m</w:t>
            </w:r>
          </w:p>
        </w:tc>
        <w:tc>
          <w:tcPr>
            <w:tcW w:w="853" w:type="dxa"/>
          </w:tcPr>
          <w:p w14:paraId="671EE50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72.21</w:t>
            </w:r>
          </w:p>
        </w:tc>
        <w:tc>
          <w:tcPr>
            <w:tcW w:w="1659" w:type="dxa"/>
          </w:tcPr>
          <w:p w14:paraId="27447D8E"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3.68 m</w:t>
            </w:r>
          </w:p>
        </w:tc>
        <w:tc>
          <w:tcPr>
            <w:tcW w:w="852" w:type="dxa"/>
          </w:tcPr>
          <w:p w14:paraId="099185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2EC6114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5C634447" w14:textId="77777777" w:rsidTr="0044085B">
        <w:trPr>
          <w:jc w:val="center"/>
        </w:trPr>
        <w:tc>
          <w:tcPr>
            <w:tcW w:w="811" w:type="dxa"/>
          </w:tcPr>
          <w:p w14:paraId="2185AB2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200403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71.2</w:t>
            </w:r>
          </w:p>
        </w:tc>
        <w:tc>
          <w:tcPr>
            <w:tcW w:w="899" w:type="dxa"/>
          </w:tcPr>
          <w:p w14:paraId="5518B37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71.02</w:t>
            </w:r>
          </w:p>
        </w:tc>
        <w:tc>
          <w:tcPr>
            <w:tcW w:w="1646" w:type="dxa"/>
          </w:tcPr>
          <w:p w14:paraId="2FA96719"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3.54 m</w:t>
            </w:r>
          </w:p>
        </w:tc>
        <w:tc>
          <w:tcPr>
            <w:tcW w:w="853" w:type="dxa"/>
          </w:tcPr>
          <w:p w14:paraId="10E4EA8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70.01</w:t>
            </w:r>
          </w:p>
        </w:tc>
        <w:tc>
          <w:tcPr>
            <w:tcW w:w="1659" w:type="dxa"/>
          </w:tcPr>
          <w:p w14:paraId="3905D24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4.12 m</w:t>
            </w:r>
          </w:p>
        </w:tc>
        <w:tc>
          <w:tcPr>
            <w:tcW w:w="852" w:type="dxa"/>
          </w:tcPr>
          <w:p w14:paraId="2F5FA4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032C7A7A"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20ED3FAF" w14:textId="77777777" w:rsidTr="0044085B">
        <w:trPr>
          <w:jc w:val="center"/>
        </w:trPr>
        <w:tc>
          <w:tcPr>
            <w:tcW w:w="811" w:type="dxa"/>
          </w:tcPr>
          <w:p w14:paraId="673F4D3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0281CCF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66.7</w:t>
            </w:r>
          </w:p>
        </w:tc>
        <w:tc>
          <w:tcPr>
            <w:tcW w:w="899" w:type="dxa"/>
          </w:tcPr>
          <w:p w14:paraId="489FCF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66.66</w:t>
            </w:r>
          </w:p>
        </w:tc>
        <w:tc>
          <w:tcPr>
            <w:tcW w:w="1646" w:type="dxa"/>
          </w:tcPr>
          <w:p w14:paraId="35DA0AD2"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3.26 dd (11.4, 9.6)</w:t>
            </w:r>
          </w:p>
          <w:p w14:paraId="08DDDF01"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3.96 dd (11.4, 5.4)</w:t>
            </w:r>
          </w:p>
        </w:tc>
        <w:tc>
          <w:tcPr>
            <w:tcW w:w="853" w:type="dxa"/>
          </w:tcPr>
          <w:p w14:paraId="42C0CC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73.98</w:t>
            </w:r>
          </w:p>
        </w:tc>
        <w:tc>
          <w:tcPr>
            <w:tcW w:w="1659" w:type="dxa"/>
          </w:tcPr>
          <w:p w14:paraId="7963F29D"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3.40 m</w:t>
            </w:r>
          </w:p>
        </w:tc>
        <w:tc>
          <w:tcPr>
            <w:tcW w:w="852" w:type="dxa"/>
          </w:tcPr>
          <w:p w14:paraId="0A5F6F1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0A34A6BC"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r w:rsidR="00E049CB" w:rsidRPr="005E6B7C" w14:paraId="730A6029" w14:textId="77777777" w:rsidTr="0044085B">
        <w:trPr>
          <w:jc w:val="center"/>
        </w:trPr>
        <w:tc>
          <w:tcPr>
            <w:tcW w:w="811" w:type="dxa"/>
          </w:tcPr>
          <w:p w14:paraId="48B0D7B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r w:rsidRPr="005E6B7C">
              <w:rPr>
                <w:rFonts w:asciiTheme="majorHAnsi" w:eastAsia="Yu Mincho" w:hAnsiTheme="majorHAnsi" w:cstheme="majorHAnsi"/>
                <w:color w:val="000000" w:themeColor="text1"/>
                <w:sz w:val="18"/>
                <w:szCs w:val="18"/>
                <w:lang w:eastAsia="ja-JP"/>
              </w:rPr>
              <w:sym w:font="Symbol" w:char="F0A2"/>
            </w:r>
          </w:p>
        </w:tc>
        <w:tc>
          <w:tcPr>
            <w:tcW w:w="674" w:type="dxa"/>
          </w:tcPr>
          <w:p w14:paraId="434F873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p>
        </w:tc>
        <w:tc>
          <w:tcPr>
            <w:tcW w:w="899" w:type="dxa"/>
          </w:tcPr>
          <w:p w14:paraId="5D02B0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Cs/>
                <w:color w:val="000000" w:themeColor="text1"/>
                <w:sz w:val="18"/>
                <w:szCs w:val="18"/>
                <w:lang w:eastAsia="ja-JP"/>
              </w:rPr>
            </w:pPr>
          </w:p>
        </w:tc>
        <w:tc>
          <w:tcPr>
            <w:tcW w:w="1646" w:type="dxa"/>
          </w:tcPr>
          <w:p w14:paraId="4B4A6889"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c>
          <w:tcPr>
            <w:tcW w:w="853" w:type="dxa"/>
          </w:tcPr>
          <w:p w14:paraId="009933F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18.11</w:t>
            </w:r>
          </w:p>
        </w:tc>
        <w:tc>
          <w:tcPr>
            <w:tcW w:w="1659" w:type="dxa"/>
          </w:tcPr>
          <w:p w14:paraId="106AC580"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1.23 d (6.0)</w:t>
            </w:r>
          </w:p>
        </w:tc>
        <w:tc>
          <w:tcPr>
            <w:tcW w:w="852" w:type="dxa"/>
          </w:tcPr>
          <w:p w14:paraId="6B27794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eastAsia="ja-JP"/>
              </w:rPr>
            </w:pPr>
          </w:p>
        </w:tc>
        <w:tc>
          <w:tcPr>
            <w:tcW w:w="1678" w:type="dxa"/>
          </w:tcPr>
          <w:p w14:paraId="64643321" w14:textId="77777777" w:rsidR="00E049CB" w:rsidRPr="005E6B7C" w:rsidRDefault="00E049CB" w:rsidP="008C0D47">
            <w:pPr>
              <w:tabs>
                <w:tab w:val="left" w:pos="270"/>
                <w:tab w:val="left" w:pos="540"/>
                <w:tab w:val="left" w:pos="9270"/>
              </w:tabs>
              <w:spacing w:line="160" w:lineRule="exact"/>
              <w:ind w:right="-20"/>
              <w:jc w:val="both"/>
              <w:rPr>
                <w:rFonts w:asciiTheme="majorHAnsi" w:eastAsia="Yu Mincho" w:hAnsiTheme="majorHAnsi" w:cstheme="majorHAnsi"/>
                <w:color w:val="000000" w:themeColor="text1"/>
                <w:sz w:val="18"/>
                <w:szCs w:val="18"/>
                <w:lang w:eastAsia="ja-JP"/>
              </w:rPr>
            </w:pPr>
          </w:p>
        </w:tc>
      </w:tr>
    </w:tbl>
    <w:p w14:paraId="701809AA" w14:textId="77777777" w:rsidR="00E049CB" w:rsidRPr="005E6B7C" w:rsidRDefault="00E049CB" w:rsidP="008C0D47">
      <w:pPr>
        <w:tabs>
          <w:tab w:val="left" w:pos="9270"/>
        </w:tabs>
        <w:spacing w:before="120"/>
        <w:ind w:right="-20" w:firstLine="284"/>
        <w:jc w:val="both"/>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Cs/>
          <w:color w:val="000000" w:themeColor="text1"/>
          <w:sz w:val="18"/>
          <w:szCs w:val="18"/>
          <w:vertAlign w:val="superscript"/>
          <w:lang w:eastAsia="ja-JP"/>
        </w:rPr>
        <w:t>a</w:t>
      </w:r>
      <w:r w:rsidRPr="005E6B7C">
        <w:rPr>
          <w:rFonts w:asciiTheme="majorHAnsi" w:eastAsia="Yu Mincho" w:hAnsiTheme="majorHAnsi" w:cstheme="majorHAnsi"/>
          <w:i/>
          <w:iCs/>
          <w:color w:val="000000" w:themeColor="text1"/>
          <w:sz w:val="18"/>
          <w:szCs w:val="18"/>
          <w:lang w:eastAsia="ja-JP"/>
        </w:rPr>
        <w:sym w:font="Symbol" w:char="F064"/>
      </w:r>
      <w:r w:rsidRPr="005E6B7C">
        <w:rPr>
          <w:rFonts w:asciiTheme="majorHAnsi" w:eastAsia="Yu Mincho" w:hAnsiTheme="majorHAnsi" w:cstheme="majorHAnsi"/>
          <w:i/>
          <w:color w:val="000000" w:themeColor="text1"/>
          <w:sz w:val="18"/>
          <w:szCs w:val="18"/>
          <w:vertAlign w:val="subscript"/>
          <w:lang w:eastAsia="ja-JP"/>
        </w:rPr>
        <w:t>C</w:t>
      </w:r>
      <w:r w:rsidRPr="005E6B7C">
        <w:rPr>
          <w:rFonts w:asciiTheme="majorHAnsi" w:eastAsia="Yu Mincho" w:hAnsiTheme="majorHAnsi" w:cstheme="majorHAnsi"/>
          <w:i/>
          <w:color w:val="000000" w:themeColor="text1"/>
          <w:sz w:val="18"/>
          <w:szCs w:val="18"/>
          <w:lang w:eastAsia="ja-JP"/>
        </w:rPr>
        <w:t xml:space="preserve"> of </w:t>
      </w:r>
      <w:r w:rsidRPr="005E6B7C">
        <w:rPr>
          <w:rFonts w:asciiTheme="majorHAnsi" w:eastAsia="Yu Mincho" w:hAnsiTheme="majorHAnsi" w:cstheme="majorHAnsi"/>
          <w:bCs/>
          <w:i/>
          <w:color w:val="000000" w:themeColor="text1"/>
          <w:sz w:val="18"/>
          <w:szCs w:val="18"/>
          <w:lang w:eastAsia="ja-JP"/>
        </w:rPr>
        <w:t>kaempferol 3-</w:t>
      </w:r>
      <w:r w:rsidRPr="005E6B7C">
        <w:rPr>
          <w:rFonts w:asciiTheme="majorHAnsi" w:eastAsia="Yu Mincho" w:hAnsiTheme="majorHAnsi" w:cstheme="majorHAnsi"/>
          <w:bCs/>
          <w:i/>
          <w:iCs/>
          <w:color w:val="000000" w:themeColor="text1"/>
          <w:sz w:val="18"/>
          <w:szCs w:val="18"/>
          <w:lang w:eastAsia="ja-JP"/>
        </w:rPr>
        <w:t>O</w:t>
      </w:r>
      <w:r w:rsidRPr="005E6B7C">
        <w:rPr>
          <w:rFonts w:asciiTheme="majorHAnsi" w:eastAsia="Yu Mincho" w:hAnsiTheme="majorHAnsi" w:cstheme="majorHAnsi"/>
          <w:bCs/>
          <w:i/>
          <w:color w:val="000000" w:themeColor="text1"/>
          <w:sz w:val="18"/>
          <w:szCs w:val="18"/>
          <w:lang w:eastAsia="ja-JP"/>
        </w:rPr>
        <w:t>-</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i/>
          <w:color w:val="000000" w:themeColor="text1"/>
          <w:sz w:val="18"/>
          <w:szCs w:val="18"/>
          <w:lang w:eastAsia="ja-JP"/>
        </w:rPr>
        <w:t>-D-glucopyranosyl-(2</w:t>
      </w:r>
      <w:r w:rsidRPr="005E6B7C">
        <w:rPr>
          <w:rFonts w:asciiTheme="majorHAnsi" w:eastAsia="Yu Mincho" w:hAnsiTheme="majorHAnsi" w:cstheme="majorHAnsi"/>
          <w:bCs/>
          <w:i/>
          <w:color w:val="000000" w:themeColor="text1"/>
          <w:sz w:val="18"/>
          <w:szCs w:val="18"/>
          <w:lang w:eastAsia="ja-JP"/>
        </w:rPr>
        <w:sym w:font="Symbol" w:char="F0AE"/>
      </w:r>
      <w:r w:rsidRPr="005E6B7C">
        <w:rPr>
          <w:rFonts w:asciiTheme="majorHAnsi" w:eastAsia="Yu Mincho" w:hAnsiTheme="majorHAnsi" w:cstheme="majorHAnsi"/>
          <w:bCs/>
          <w:i/>
          <w:color w:val="000000" w:themeColor="text1"/>
          <w:sz w:val="18"/>
          <w:szCs w:val="18"/>
          <w:lang w:eastAsia="ja-JP"/>
        </w:rPr>
        <w:t>1)-</w:t>
      </w:r>
      <w:r w:rsidRPr="005E6B7C">
        <w:rPr>
          <w:rFonts w:asciiTheme="majorHAnsi" w:eastAsia="Yu Mincho" w:hAnsiTheme="majorHAnsi" w:cstheme="majorHAnsi"/>
          <w:bCs/>
          <w:i/>
          <w:iCs/>
          <w:color w:val="000000" w:themeColor="text1"/>
          <w:sz w:val="18"/>
          <w:szCs w:val="18"/>
          <w:lang w:eastAsia="ja-JP"/>
        </w:rPr>
        <w:sym w:font="Symbol" w:char="F062"/>
      </w:r>
      <w:r w:rsidRPr="005E6B7C">
        <w:rPr>
          <w:rFonts w:asciiTheme="majorHAnsi" w:eastAsia="Yu Mincho" w:hAnsiTheme="majorHAnsi" w:cstheme="majorHAnsi"/>
          <w:bCs/>
          <w:i/>
          <w:color w:val="000000" w:themeColor="text1"/>
          <w:sz w:val="18"/>
          <w:szCs w:val="18"/>
          <w:lang w:eastAsia="ja-JP"/>
        </w:rPr>
        <w:t>-D-xylopyranoside</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fldChar w:fldCharType="begin"/>
      </w:r>
      <w:r w:rsidRPr="005E6B7C">
        <w:rPr>
          <w:rFonts w:asciiTheme="majorHAnsi" w:eastAsia="Yu Mincho" w:hAnsiTheme="majorHAnsi" w:cstheme="majorHAnsi"/>
          <w:bCs/>
          <w:color w:val="000000" w:themeColor="text1"/>
          <w:sz w:val="18"/>
          <w:szCs w:val="18"/>
          <w:lang w:eastAsia="ja-JP"/>
        </w:rPr>
        <w:instrText xml:space="preserve"> ADDIN EN.CITE &lt;EndNote&gt;&lt;Cite&gt;&lt;Author&gt;Hübner&lt;/Author&gt;&lt;Year&gt;1999&lt;/Year&gt;&lt;RecNum&gt;127&lt;/RecNum&gt;&lt;DisplayText&gt;[11]&lt;/DisplayText&gt;&lt;record&gt;&lt;rec-number&gt;127&lt;/rec-number&gt;&lt;foreign-keys&gt;&lt;key app="EN" db-id="tft9dfze3vf9poe9vtjx0wtlrts555p959rp" timestamp="1764992510"&gt;127&lt;/key&gt;&lt;/foreign-keys&gt;&lt;ref-type name="Journal Article"&gt;17&lt;/ref-type&gt;&lt;contributors&gt;&lt;authors&gt;&lt;author&gt;Hübner, G.&lt;/author&gt;&lt;author&gt;Wray, V.&lt;/author&gt;&lt;author&gt;Nahrstedt, A.&lt;/author&gt;&lt;/authors&gt;&lt;/contributors&gt;&lt;auth-address&gt;Institute of Pharmaceutical Biology and Phytochemistry, Westfälischen Wilhelms--Universität Münster, Germany.&lt;/auth-address&gt;&lt;titles&gt;&lt;title&gt;&lt;style face="normal" font="default" size="100%"&gt;Flavonol oligosaccharides from the seeds of &lt;/style&gt;&lt;style face="italic" font="default" size="100%"&gt;Aesculus hippocastanum&lt;/style&gt;&lt;/title&gt;&lt;secondary-title&gt;Planta Med&lt;/secondary-title&gt;&lt;alt-title&gt;Planta medica&lt;/alt-title&gt;&lt;/titles&gt;&lt;periodical&gt;&lt;full-title&gt;Planta Med&lt;/full-title&gt;&lt;abbr-1&gt;Planta medica&lt;/abbr-1&gt;&lt;/periodical&gt;&lt;alt-periodical&gt;&lt;full-title&gt;Planta Med&lt;/full-title&gt;&lt;abbr-1&gt;Planta medica&lt;/abbr-1&gt;&lt;/alt-periodical&gt;&lt;pages&gt;636-42&lt;/pages&gt;&lt;volume&gt;65&lt;/volume&gt;&lt;number&gt;7&lt;/number&gt;&lt;edition&gt;2007/01/30&lt;/edition&gt;&lt;dates&gt;&lt;year&gt;1999&lt;/year&gt;&lt;pub-dates&gt;&lt;date&gt;Oct&lt;/date&gt;&lt;/pub-dates&gt;&lt;/dates&gt;&lt;isbn&gt;0032-0943 (Print)&amp;#xD;0032-0943&lt;/isbn&gt;&lt;accession-num&gt;17260289&lt;/accession-num&gt;&lt;urls&gt;&lt;/urls&gt;&lt;electronic-resource-num&gt;10.1055/s-1999-14038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18"/>
          <w:szCs w:val="18"/>
          <w:lang w:eastAsia="ja-JP"/>
        </w:rPr>
        <w:fldChar w:fldCharType="separate"/>
      </w:r>
      <w:r w:rsidRPr="005E6B7C">
        <w:rPr>
          <w:rFonts w:asciiTheme="majorHAnsi" w:eastAsia="Yu Mincho" w:hAnsiTheme="majorHAnsi" w:cstheme="majorHAnsi"/>
          <w:bCs/>
          <w:noProof/>
          <w:color w:val="000000" w:themeColor="text1"/>
          <w:sz w:val="18"/>
          <w:szCs w:val="18"/>
          <w:lang w:eastAsia="ja-JP"/>
        </w:rPr>
        <w:t>[</w:t>
      </w:r>
      <w:hyperlink w:anchor="_ENREF_11" w:tooltip="Hübner, 1999 #127" w:history="1">
        <w:r w:rsidRPr="005E6B7C">
          <w:rPr>
            <w:rFonts w:asciiTheme="majorHAnsi" w:eastAsia="Yu Mincho" w:hAnsiTheme="majorHAnsi" w:cstheme="majorHAnsi"/>
            <w:bCs/>
            <w:noProof/>
            <w:color w:val="000000" w:themeColor="text1"/>
            <w:sz w:val="18"/>
            <w:szCs w:val="18"/>
            <w:lang w:eastAsia="ja-JP"/>
          </w:rPr>
          <w:t>11</w:t>
        </w:r>
      </w:hyperlink>
      <w:r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bCs/>
          <w:color w:val="000000" w:themeColor="text1"/>
          <w:sz w:val="18"/>
          <w:szCs w:val="18"/>
          <w:lang w:eastAsia="ja-JP"/>
        </w:rPr>
        <w:fldChar w:fldCharType="end"/>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vertAlign w:val="superscript"/>
          <w:lang w:eastAsia="ja-JP"/>
        </w:rPr>
        <w:t>b</w:t>
      </w:r>
      <w:r w:rsidRPr="005E6B7C">
        <w:rPr>
          <w:rFonts w:asciiTheme="majorHAnsi" w:eastAsia="Yu Mincho" w:hAnsiTheme="majorHAnsi" w:cstheme="majorHAnsi"/>
          <w:i/>
          <w:color w:val="000000" w:themeColor="text1"/>
          <w:sz w:val="18"/>
          <w:szCs w:val="18"/>
          <w:lang w:eastAsia="ja-JP"/>
        </w:rPr>
        <w:t>150 MHz</w:t>
      </w:r>
      <w:r w:rsidRPr="005E6B7C">
        <w:rPr>
          <w:rFonts w:asciiTheme="majorHAnsi" w:eastAsia="Yu Mincho" w:hAnsiTheme="majorHAnsi" w:cstheme="majorHAnsi"/>
          <w:bCs/>
          <w: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vertAlign w:val="superscript"/>
          <w:lang w:eastAsia="ja-JP"/>
        </w:rPr>
        <w:t>c</w:t>
      </w:r>
      <w:r w:rsidRPr="005E6B7C">
        <w:rPr>
          <w:rFonts w:asciiTheme="majorHAnsi" w:eastAsia="Yu Mincho" w:hAnsiTheme="majorHAnsi" w:cstheme="majorHAnsi"/>
          <w:i/>
          <w:color w:val="000000" w:themeColor="text1"/>
          <w:sz w:val="18"/>
          <w:szCs w:val="18"/>
          <w:lang w:eastAsia="ja-JP"/>
        </w:rPr>
        <w:t>600 MHz</w:t>
      </w:r>
      <w:r w:rsidRPr="005E6B7C">
        <w:rPr>
          <w:rFonts w:asciiTheme="majorHAnsi" w:eastAsia="Yu Mincho" w:hAnsiTheme="majorHAnsi" w:cstheme="majorHAnsi"/>
          <w:bCs/>
          <w:i/>
          <w:color w:val="000000" w:themeColor="text1"/>
          <w:sz w:val="18"/>
          <w:szCs w:val="18"/>
          <w:lang w:eastAsia="ja-JP"/>
        </w:rPr>
        <w:t>,</w:t>
      </w:r>
      <w:r w:rsidRPr="005E6B7C">
        <w:rPr>
          <w:rFonts w:asciiTheme="majorHAnsi" w:eastAsia="Yu Mincho" w:hAnsiTheme="majorHAnsi" w:cstheme="majorHAnsi"/>
          <w:i/>
          <w:iCs/>
          <w:color w:val="000000" w:themeColor="text1"/>
          <w:sz w:val="18"/>
          <w:szCs w:val="18"/>
          <w:vertAlign w:val="superscript"/>
          <w:lang w:eastAsia="ja-JP"/>
        </w:rPr>
        <w:t xml:space="preserve"> d</w:t>
      </w:r>
      <w:r w:rsidRPr="005E6B7C">
        <w:rPr>
          <w:rFonts w:asciiTheme="majorHAnsi" w:eastAsia="Yu Mincho" w:hAnsiTheme="majorHAnsi" w:cstheme="majorHAnsi"/>
          <w:i/>
          <w:color w:val="000000" w:themeColor="text1"/>
          <w:sz w:val="18"/>
          <w:szCs w:val="18"/>
          <w:lang w:eastAsia="ja-JP"/>
        </w:rPr>
        <w:t>125 MHz</w:t>
      </w:r>
      <w:r w:rsidRPr="005E6B7C">
        <w:rPr>
          <w:rFonts w:asciiTheme="majorHAnsi" w:eastAsia="Yu Mincho" w:hAnsiTheme="majorHAnsi" w:cstheme="majorHAnsi"/>
          <w:bCs/>
          <w:i/>
          <w:color w:val="000000" w:themeColor="text1"/>
          <w:sz w:val="18"/>
          <w:szCs w:val="18"/>
          <w:lang w:eastAsia="ja-JP"/>
        </w:rPr>
        <w:t>,</w:t>
      </w:r>
      <w:r w:rsidRPr="005E6B7C">
        <w:rPr>
          <w:rFonts w:asciiTheme="majorHAnsi" w:eastAsia="Yu Mincho" w:hAnsiTheme="majorHAnsi" w:cstheme="majorHAnsi"/>
          <w:i/>
          <w:iCs/>
          <w:color w:val="000000" w:themeColor="text1"/>
          <w:sz w:val="18"/>
          <w:szCs w:val="18"/>
          <w:vertAlign w:val="superscript"/>
          <w:lang w:eastAsia="ja-JP"/>
        </w:rPr>
        <w:t xml:space="preserve"> e</w:t>
      </w:r>
      <w:r w:rsidRPr="005E6B7C">
        <w:rPr>
          <w:rFonts w:asciiTheme="majorHAnsi" w:eastAsia="Yu Mincho" w:hAnsiTheme="majorHAnsi" w:cstheme="majorHAnsi"/>
          <w:i/>
          <w:color w:val="000000" w:themeColor="text1"/>
          <w:sz w:val="18"/>
          <w:szCs w:val="18"/>
          <w:lang w:eastAsia="ja-JP"/>
        </w:rPr>
        <w:t>500 MHz</w:t>
      </w:r>
      <w:r w:rsidR="00AC78CB" w:rsidRPr="005E6B7C">
        <w:rPr>
          <w:rFonts w:asciiTheme="majorHAnsi" w:eastAsia="Yu Mincho" w:hAnsiTheme="majorHAnsi" w:cstheme="majorHAnsi"/>
          <w:i/>
          <w:color w:val="000000" w:themeColor="text1"/>
          <w:sz w:val="18"/>
          <w:szCs w:val="18"/>
          <w:lang w:eastAsia="ja-JP"/>
        </w:rPr>
        <w:t>.</w:t>
      </w:r>
    </w:p>
    <w:p w14:paraId="6537B9DD" w14:textId="77777777" w:rsidR="00685C8E" w:rsidRPr="005E6B7C" w:rsidRDefault="00685C8E" w:rsidP="008C0D47">
      <w:pPr>
        <w:tabs>
          <w:tab w:val="left" w:pos="270"/>
          <w:tab w:val="left" w:pos="540"/>
          <w:tab w:val="left" w:pos="9270"/>
        </w:tabs>
        <w:ind w:right="-20"/>
        <w:jc w:val="both"/>
        <w:rPr>
          <w:rFonts w:asciiTheme="majorHAnsi" w:eastAsia="Yu Mincho" w:hAnsiTheme="majorHAnsi" w:cstheme="majorHAnsi"/>
          <w:i/>
          <w:color w:val="000000" w:themeColor="text1"/>
          <w:sz w:val="18"/>
          <w:szCs w:val="18"/>
          <w:lang w:eastAsia="ja-JP"/>
        </w:rPr>
      </w:pPr>
    </w:p>
    <w:p w14:paraId="25E23DE9" w14:textId="77777777" w:rsidR="005A2B3C" w:rsidRPr="005E6B7C" w:rsidRDefault="005A2B3C"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sectPr w:rsidR="005A2B3C" w:rsidRPr="005E6B7C" w:rsidSect="002206BB">
          <w:type w:val="continuous"/>
          <w:pgSz w:w="10773" w:h="15309" w:code="9"/>
          <w:pgMar w:top="907" w:right="851" w:bottom="1418" w:left="851" w:header="397" w:footer="851" w:gutter="0"/>
          <w:cols w:space="284"/>
          <w:docGrid w:linePitch="360"/>
        </w:sectPr>
      </w:pPr>
    </w:p>
    <w:p w14:paraId="736DD95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Comparison of these data with reported values led to the identification of the sugar chain as apiofuranosyl(1</w:t>
      </w:r>
      <w:r w:rsidRPr="005E6B7C">
        <w:rPr>
          <w:rFonts w:asciiTheme="majorHAnsi" w:eastAsia="Yu Mincho" w:hAnsiTheme="majorHAnsi" w:cstheme="majorHAnsi"/>
          <w:bCs/>
          <w:color w:val="000000" w:themeColor="text1"/>
          <w:sz w:val="22"/>
          <w:szCs w:val="22"/>
          <w:lang w:eastAsia="ja-JP"/>
        </w:rPr>
        <w:sym w:font="Symbol" w:char="F0AE"/>
      </w:r>
      <w:r w:rsidRPr="005E6B7C">
        <w:rPr>
          <w:rFonts w:asciiTheme="majorHAnsi" w:eastAsia="Yu Mincho" w:hAnsiTheme="majorHAnsi" w:cstheme="majorHAnsi"/>
          <w:bCs/>
          <w:color w:val="000000" w:themeColor="text1"/>
          <w:sz w:val="22"/>
          <w:szCs w:val="22"/>
          <w:lang w:eastAsia="ja-JP"/>
        </w:rPr>
        <w:t xml:space="preserve">2)-glucopyranoside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&lt;EndNote&gt;&lt;Cite&gt;&lt;Author&gt;Wang&lt;/Author&gt;&lt;Year&gt;2016&lt;/Year&gt;&lt;RecNum&gt;126&lt;/RecNum&gt;&lt;DisplayText&gt;[9]&lt;/DisplayText&gt;&lt;record&gt;&lt;rec-number&gt;126&lt;/rec-number&gt;&lt;foreign-keys&gt;&lt;key app="EN" db-id="tft9dfze3vf9poe9vtjx0wtlrts555p959rp" timestamp="1764990942"&gt;126&lt;/key&gt;&lt;/foreign-keys&gt;&lt;ref-type name="Journal Article"&gt;17&lt;/ref-type&gt;&lt;contributors&gt;&lt;authors&gt;&lt;author&gt;Wang, Kui-Wu&lt;/author&gt;&lt;author&gt;Zhou, Man-Qing&lt;/author&gt;&lt;author&gt;Gu, Qin&lt;/author&gt;&lt;author&gt;Auckloo, Nazia Bibi&lt;/author&gt;&lt;author&gt;Wu, Xiao-Dan&lt;/author&gt;&lt;author&gt;Wu, Bin&lt;/author&gt;&lt;/authors&gt;&lt;/contributors&gt;&lt;titles&gt;&lt;title&gt;&lt;style face="normal" font="default" size="100%"&gt;Unusual new phenylethanoid and phenylpropanoid diglycosides from the leaves of &lt;/style&gt;&lt;style face="italic" font="default" size="100%"&gt;Chloranthus spicatus&lt;/style&gt;&lt;style face="normal" font="default" size="100%"&gt; (Thunb.) Makino&lt;/style&gt;&lt;/title&gt;&lt;secondary-title&gt;Phytochemistry Letters&lt;/secondary-title&gt;&lt;/titles&gt;&lt;periodical&gt;&lt;full-title&gt;Phytochemistry Letters&lt;/full-title&gt;&lt;/periodical&gt;&lt;pages&gt;201-205&lt;/pages&gt;&lt;volume&gt;17&lt;/volume&gt;&lt;keywords&gt;&lt;keyword&gt;Phenylethanoid diglycoside&lt;/keyword&gt;&lt;keyword&gt;Phenylpropanoid diglycoside&lt;/keyword&gt;&lt;/keywords&gt;&lt;dates&gt;&lt;year&gt;2016&lt;/year&gt;&lt;pub-dates&gt;&lt;date&gt;2016/09/01/&lt;/date&gt;&lt;/pub-dates&gt;&lt;/dates&gt;&lt;isbn&gt;1874-3900&lt;/isbn&gt;&lt;urls&gt;&lt;related-urls&gt;&lt;url&gt;https://www.sciencedirect.com/science/article/pii/S1874390016301227&lt;/url&gt;&lt;/related-urls&gt;&lt;/urls&gt;&lt;electronic-resource-num&gt;https://doi.org/10.1016/j.phytol.2016.07.025&lt;/electronic-resource-num&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9" w:tooltip="Wang, 2016 #126" w:history="1">
        <w:r w:rsidRPr="005E6B7C">
          <w:rPr>
            <w:rFonts w:asciiTheme="majorHAnsi" w:eastAsia="Yu Mincho" w:hAnsiTheme="majorHAnsi" w:cstheme="majorHAnsi"/>
            <w:bCs/>
            <w:noProof/>
            <w:color w:val="000000" w:themeColor="text1"/>
            <w:sz w:val="22"/>
            <w:szCs w:val="22"/>
            <w:lang w:eastAsia="ja-JP"/>
          </w:rPr>
          <w:t>9</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The HMBC cross-peak of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5.56) with C-2</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77.59) confirmed the attachment of the apiofuranose unit at C-2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of the glucopyranose moiety. In addition, the HMBC cross-peak of the anomeric proton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4.97) with carbon C-4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146.32) indicated the attached position of the sugar chain at this carbon (</w:t>
      </w:r>
      <w:r w:rsidR="00517F81" w:rsidRPr="005E6B7C">
        <w:rPr>
          <w:rFonts w:asciiTheme="majorHAnsi" w:eastAsia="Yu Mincho" w:hAnsiTheme="majorHAnsi" w:cstheme="majorHAnsi"/>
          <w:bCs/>
          <w:color w:val="000000" w:themeColor="text1"/>
          <w:sz w:val="22"/>
          <w:szCs w:val="22"/>
          <w:lang w:eastAsia="ja-JP"/>
        </w:rPr>
        <w:t xml:space="preserve">Fig. </w:t>
      </w:r>
      <w:r w:rsidRPr="005E6B7C">
        <w:rPr>
          <w:rFonts w:asciiTheme="majorHAnsi" w:eastAsia="Yu Mincho" w:hAnsiTheme="majorHAnsi" w:cstheme="majorHAnsi"/>
          <w:bCs/>
          <w:color w:val="000000" w:themeColor="text1"/>
          <w:sz w:val="22"/>
          <w:szCs w:val="22"/>
          <w:lang w:eastAsia="ja-JP"/>
        </w:rPr>
        <w:t xml:space="preserve">1). From the above evidence, 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was identified as 1-allyl-3-methoxy-4-[apiofuranosyl(1</w:t>
      </w:r>
      <w:r w:rsidRPr="005E6B7C">
        <w:rPr>
          <w:rFonts w:asciiTheme="majorHAnsi" w:eastAsia="Yu Mincho" w:hAnsiTheme="majorHAnsi" w:cstheme="majorHAnsi"/>
          <w:bCs/>
          <w:color w:val="000000" w:themeColor="text1"/>
          <w:sz w:val="22"/>
          <w:szCs w:val="22"/>
          <w:lang w:eastAsia="ja-JP"/>
        </w:rPr>
        <w:sym w:font="Symbol" w:char="F0AE"/>
      </w:r>
      <w:r w:rsidRPr="005E6B7C">
        <w:rPr>
          <w:rFonts w:asciiTheme="majorHAnsi" w:eastAsia="Yu Mincho" w:hAnsiTheme="majorHAnsi" w:cstheme="majorHAnsi"/>
          <w:bCs/>
          <w:color w:val="000000" w:themeColor="text1"/>
          <w:sz w:val="22"/>
          <w:szCs w:val="22"/>
          <w:lang w:eastAsia="ja-JP"/>
        </w:rPr>
        <w:t xml:space="preserve">2)-glucopyranosyl-oxybenzene]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&lt;EndNote&gt;&lt;Cite&gt;&lt;Author&gt;Wang&lt;/Author&gt;&lt;Year&gt;2016&lt;/Year&gt;&lt;RecNum&gt;126&lt;/RecNum&gt;&lt;DisplayText&gt;[9]&lt;/DisplayText&gt;&lt;record&gt;&lt;rec-number&gt;126&lt;/rec-number&gt;&lt;foreign-keys&gt;&lt;key app="EN" db-id="tft9dfze3vf9poe9vtjx0wtlrts555p959rp" timestamp="1764990942"&gt;126&lt;/key&gt;&lt;/foreign-keys&gt;&lt;ref-type name="Journal Article"&gt;17&lt;/ref-type&gt;&lt;contributors&gt;&lt;authors&gt;&lt;author&gt;Wang, Kui-Wu&lt;/author&gt;&lt;author&gt;Zhou, Man-Qing&lt;/author&gt;&lt;author&gt;Gu, Qin&lt;/author&gt;&lt;author&gt;Auckloo, Nazia Bibi&lt;/author&gt;&lt;author&gt;Wu, Xiao-Dan&lt;/author&gt;&lt;author&gt;Wu, Bin&lt;/author&gt;&lt;/authors&gt;&lt;/contributors&gt;&lt;titles&gt;&lt;title&gt;&lt;style face="normal" font="default" size="100%"&gt;Unusual new phenylethanoid and phenylpropanoid diglycosides from the leaves of &lt;/style&gt;&lt;style face="italic" font="default" size="100%"&gt;Chloranthus spicatus&lt;/style&gt;&lt;style face="normal" font="default" size="100%"&gt; (Thunb.) Makino&lt;/style&gt;&lt;/title&gt;&lt;secondary-title&gt;Phytochemistry Letters&lt;/secondary-title&gt;&lt;/titles&gt;&lt;periodical&gt;&lt;full-title&gt;Phytochemistry Letters&lt;/full-title&gt;&lt;/periodical&gt;&lt;pages&gt;201-205&lt;/pages&gt;&lt;volume&gt;17&lt;/volume&gt;&lt;keywords&gt;&lt;keyword&gt;Phenylethanoid diglycoside&lt;/keyword&gt;&lt;keyword&gt;Phenylpropanoid diglycoside&lt;/keyword&gt;&lt;/keywords&gt;&lt;dates&gt;&lt;year&gt;2016&lt;/year&gt;&lt;pub-dates&gt;&lt;date&gt;2016/09/01/&lt;/date&gt;&lt;/pub-dates&gt;&lt;/dates&gt;&lt;isbn&gt;1874-3900&lt;/isbn&gt;&lt;urls&gt;&lt;related-urls&gt;&lt;url&gt;https://www.sciencedirect.com/science/article/pii/S1874390016301227&lt;/url&gt;&lt;/related-urls&gt;&lt;/urls&gt;&lt;electronic-resource-num&gt;https://doi.org/10.1016/j.phytol.2016.07.025&lt;/electronic-resource-num&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9" w:tooltip="Wang, 2016 #126" w:history="1">
        <w:r w:rsidRPr="005E6B7C">
          <w:rPr>
            <w:rFonts w:asciiTheme="majorHAnsi" w:eastAsia="Yu Mincho" w:hAnsiTheme="majorHAnsi" w:cstheme="majorHAnsi"/>
            <w:bCs/>
            <w:noProof/>
            <w:color w:val="000000" w:themeColor="text1"/>
            <w:sz w:val="22"/>
            <w:szCs w:val="22"/>
            <w:lang w:eastAsia="ja-JP"/>
          </w:rPr>
          <w:t>9</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w:t>
      </w:r>
    </w:p>
    <w:p w14:paraId="58374282" w14:textId="4AD3E0B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spectra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also revealed two anomeric protons/carbons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4.31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7.8 Hz,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and 4.76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Hz,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104.50 (C-1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and 102.25 (C-1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confirming the presence of two sugar moieties. Detailed analysis of the HSQC and HMBC correlations in comparison of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spectral data for the sugar part with the reported values led to the assignment of the two sugars as rhamnopyranose and glucopyranose </w:t>
      </w:r>
      <w:r w:rsidRPr="005E6B7C">
        <w:rPr>
          <w:rFonts w:asciiTheme="majorHAnsi" w:eastAsia="Yu Mincho" w:hAnsiTheme="majorHAnsi" w:cstheme="majorHAnsi"/>
          <w:bCs/>
          <w:color w:val="000000" w:themeColor="text1"/>
          <w:sz w:val="22"/>
          <w:szCs w:val="22"/>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22"/>
          <w:szCs w:val="22"/>
          <w:lang w:eastAsia="ja-JP"/>
        </w:rPr>
        <w:instrText xml:space="preserve"> ADDIN EN.CITE </w:instrText>
      </w:r>
      <w:r w:rsidRPr="005E6B7C">
        <w:rPr>
          <w:rFonts w:asciiTheme="majorHAnsi" w:eastAsia="Yu Mincho" w:hAnsiTheme="majorHAnsi" w:cstheme="majorHAnsi"/>
          <w:bCs/>
          <w:color w:val="000000" w:themeColor="text1"/>
          <w:sz w:val="22"/>
          <w:szCs w:val="22"/>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22"/>
          <w:szCs w:val="22"/>
          <w:lang w:eastAsia="ja-JP"/>
        </w:rPr>
        <w:instrText xml:space="preserve"> ADDIN EN.CITE.DATA </w:instrText>
      </w:r>
      <w:r w:rsidRPr="005E6B7C">
        <w:rPr>
          <w:rFonts w:asciiTheme="majorHAnsi" w:eastAsia="Yu Mincho" w:hAnsiTheme="majorHAnsi" w:cstheme="majorHAnsi"/>
          <w:bCs/>
          <w:color w:val="000000" w:themeColor="text1"/>
          <w:sz w:val="22"/>
          <w:szCs w:val="22"/>
          <w:lang w:eastAsia="ja-JP"/>
        </w:rPr>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0" w:tooltip="Kil, 2019 #123" w:history="1">
        <w:r w:rsidRPr="005E6B7C">
          <w:rPr>
            <w:rFonts w:asciiTheme="majorHAnsi" w:eastAsia="Yu Mincho" w:hAnsiTheme="majorHAnsi" w:cstheme="majorHAnsi"/>
            <w:bCs/>
            <w:noProof/>
            <w:color w:val="000000" w:themeColor="text1"/>
            <w:sz w:val="22"/>
            <w:szCs w:val="22"/>
            <w:lang w:eastAsia="ja-JP"/>
          </w:rPr>
          <w:t>10</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 xml:space="preserve">The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0630EF"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NMR signal at C-6</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of </w:t>
      </w:r>
      <w:r w:rsidRPr="005E6B7C">
        <w:rPr>
          <w:rFonts w:asciiTheme="majorHAnsi" w:eastAsia="Yu Mincho" w:hAnsiTheme="majorHAnsi" w:cstheme="majorHAnsi"/>
          <w:b/>
          <w:color w:val="000000" w:themeColor="text1"/>
          <w:sz w:val="22"/>
          <w:szCs w:val="22"/>
          <w:lang w:eastAsia="ja-JP"/>
        </w:rPr>
        <w:t xml:space="preserve">2 </w:t>
      </w:r>
      <w:r w:rsidRPr="005E6B7C">
        <w:rPr>
          <w:rFonts w:asciiTheme="majorHAnsi" w:eastAsia="Yu Mincho" w:hAnsiTheme="majorHAnsi" w:cstheme="majorHAnsi"/>
          <w:bCs/>
          <w:color w:val="000000" w:themeColor="text1"/>
          <w:sz w:val="22"/>
          <w:szCs w:val="22"/>
          <w:lang w:eastAsia="ja-JP"/>
        </w:rPr>
        <w:t xml:space="preserve">was strongly shifted downfield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68.12 (relative to that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62.52), confirming the attached position of the rhamnose unit at C-6</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of the glucose moiety. This was further confirmed by the HMBC cross-peak between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4.76) and C-6</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68.12). In addition, the aglycon part contained signals of a monosubstituted benzene ring, a methylene group attached to an aromatic ring, and an oxymethylene group (Table 1). The anomeric proton H-1</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4.31) exhibited an HMBC cross-peak with the oxymethylene carbon C-8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71.84) indicating the attachment of the sugar chain at this carbon. Thus,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was identified as phenylethyl-rutinoside </w:t>
      </w:r>
      <w:r w:rsidRPr="005E6B7C">
        <w:rPr>
          <w:rFonts w:asciiTheme="majorHAnsi" w:eastAsia="Yu Mincho" w:hAnsiTheme="majorHAnsi" w:cstheme="majorHAnsi"/>
          <w:bCs/>
          <w:color w:val="000000" w:themeColor="text1"/>
          <w:sz w:val="22"/>
          <w:szCs w:val="22"/>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22"/>
          <w:szCs w:val="22"/>
          <w:lang w:eastAsia="ja-JP"/>
        </w:rPr>
        <w:instrText xml:space="preserve"> ADDIN EN.CITE </w:instrText>
      </w:r>
      <w:r w:rsidRPr="005E6B7C">
        <w:rPr>
          <w:rFonts w:asciiTheme="majorHAnsi" w:eastAsia="Yu Mincho" w:hAnsiTheme="majorHAnsi" w:cstheme="majorHAnsi"/>
          <w:bCs/>
          <w:color w:val="000000" w:themeColor="text1"/>
          <w:sz w:val="22"/>
          <w:szCs w:val="22"/>
          <w:lang w:eastAsia="ja-JP"/>
        </w:rPr>
        <w:fldChar w:fldCharType="begin">
          <w:fldData xml:space="preserve">PEVuZE5vdGU+PENpdGU+PEF1dGhvcj5LaWw8L0F1dGhvcj48WWVhcj4yMDE5PC9ZZWFyPjxSZWNO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</w:fldData>
        </w:fldChar>
      </w:r>
      <w:r w:rsidRPr="005E6B7C">
        <w:rPr>
          <w:rFonts w:asciiTheme="majorHAnsi" w:eastAsia="Yu Mincho" w:hAnsiTheme="majorHAnsi" w:cstheme="majorHAnsi"/>
          <w:bCs/>
          <w:color w:val="000000" w:themeColor="text1"/>
          <w:sz w:val="22"/>
          <w:szCs w:val="22"/>
          <w:lang w:eastAsia="ja-JP"/>
        </w:rPr>
        <w:instrText xml:space="preserve"> ADDIN EN.CITE.DATA </w:instrText>
      </w:r>
      <w:r w:rsidRPr="005E6B7C">
        <w:rPr>
          <w:rFonts w:asciiTheme="majorHAnsi" w:eastAsia="Yu Mincho" w:hAnsiTheme="majorHAnsi" w:cstheme="majorHAnsi"/>
          <w:bCs/>
          <w:color w:val="000000" w:themeColor="text1"/>
          <w:sz w:val="22"/>
          <w:szCs w:val="22"/>
          <w:lang w:eastAsia="ja-JP"/>
        </w:rPr>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0" w:tooltip="Kil, 2019 #123" w:history="1">
        <w:r w:rsidRPr="005E6B7C">
          <w:rPr>
            <w:rFonts w:asciiTheme="majorHAnsi" w:eastAsia="Yu Mincho" w:hAnsiTheme="majorHAnsi" w:cstheme="majorHAnsi"/>
            <w:bCs/>
            <w:noProof/>
            <w:color w:val="000000" w:themeColor="text1"/>
            <w:sz w:val="22"/>
            <w:szCs w:val="22"/>
            <w:lang w:eastAsia="ja-JP"/>
          </w:rPr>
          <w:t>10</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w:t>
      </w:r>
    </w:p>
    <w:p w14:paraId="5AFF4AB8" w14:textId="05B59FF4"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spot of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 xml:space="preserve"> on the TLC plate turned orange when sprayed with 10% 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SO</w:t>
      </w:r>
      <w:r w:rsidRPr="005E6B7C">
        <w:rPr>
          <w:rFonts w:asciiTheme="majorHAnsi" w:eastAsia="Yu Mincho" w:hAnsiTheme="majorHAnsi" w:cstheme="majorHAnsi"/>
          <w:bCs/>
          <w:color w:val="000000" w:themeColor="text1"/>
          <w:sz w:val="22"/>
          <w:szCs w:val="22"/>
          <w:vertAlign w:val="subscript"/>
          <w:lang w:eastAsia="ja-JP"/>
        </w:rPr>
        <w:t>4</w:t>
      </w:r>
      <w:r w:rsidRPr="005E6B7C">
        <w:rPr>
          <w:rFonts w:asciiTheme="majorHAnsi" w:eastAsia="Yu Mincho" w:hAnsiTheme="majorHAnsi" w:cstheme="majorHAnsi"/>
          <w:bCs/>
          <w:color w:val="000000" w:themeColor="text1"/>
          <w:sz w:val="22"/>
          <w:szCs w:val="22"/>
          <w:lang w:eastAsia="ja-JP"/>
        </w:rPr>
        <w:t xml:space="preserve"> reagent and heated, suggesting that it is a flavonoid. The presence of two pairs of symmetric </w:t>
      </w:r>
      <w:r w:rsidRPr="005E6B7C">
        <w:rPr>
          <w:rFonts w:asciiTheme="majorHAnsi" w:eastAsia="Yu Mincho" w:hAnsiTheme="majorHAnsi" w:cstheme="majorHAnsi"/>
          <w:bCs/>
          <w:i/>
          <w:iCs/>
          <w:color w:val="000000" w:themeColor="text1"/>
          <w:sz w:val="22"/>
          <w:szCs w:val="22"/>
          <w:lang w:eastAsia="ja-JP"/>
        </w:rPr>
        <w:t>ortho</w:t>
      </w:r>
      <w:r w:rsidRPr="005E6B7C">
        <w:rPr>
          <w:rFonts w:asciiTheme="majorHAnsi" w:eastAsia="Yu Mincho" w:hAnsiTheme="majorHAnsi" w:cstheme="majorHAnsi"/>
          <w:bCs/>
          <w:color w:val="000000" w:themeColor="text1"/>
          <w:sz w:val="22"/>
          <w:szCs w:val="22"/>
          <w:lang w:eastAsia="ja-JP"/>
        </w:rPr>
        <w:t xml:space="preserve"> coupled aromatic protons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8.08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8.4 Hz, H-2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H-6</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6.91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8.4 Hz, H-3</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H-5</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two </w:t>
      </w:r>
      <w:r w:rsidRPr="005E6B7C">
        <w:rPr>
          <w:rFonts w:asciiTheme="majorHAnsi" w:eastAsia="Yu Mincho" w:hAnsiTheme="majorHAnsi" w:cstheme="majorHAnsi"/>
          <w:bCs/>
          <w:i/>
          <w:iCs/>
          <w:color w:val="000000" w:themeColor="text1"/>
          <w:sz w:val="22"/>
          <w:szCs w:val="22"/>
          <w:lang w:eastAsia="ja-JP"/>
        </w:rPr>
        <w:t>meta</w:t>
      </w:r>
      <w:r w:rsidRPr="005E6B7C">
        <w:rPr>
          <w:rFonts w:asciiTheme="majorHAnsi" w:eastAsia="Yu Mincho" w:hAnsiTheme="majorHAnsi" w:cstheme="majorHAnsi"/>
          <w:bCs/>
          <w:color w:val="000000" w:themeColor="text1"/>
          <w:sz w:val="22"/>
          <w:szCs w:val="22"/>
          <w:lang w:eastAsia="ja-JP"/>
        </w:rPr>
        <w:t xml:space="preserve"> coupled aromatic protons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6.20 (br s, H-6</w:t>
      </w:r>
      <w:r w:rsidR="004C20BA" w:rsidRPr="005E6B7C">
        <w:rPr>
          <w:rFonts w:asciiTheme="majorHAnsi" w:eastAsia="Yu Mincho" w:hAnsiTheme="majorHAnsi" w:cstheme="majorHAnsi"/>
          <w:bCs/>
          <w:color w:val="000000" w:themeColor="text1"/>
          <w:sz w:val="22"/>
          <w:szCs w:val="22"/>
          <w:lang w:val="vi-VN" w:eastAsia="ja-JP"/>
        </w:rPr>
        <w:t>)</w:t>
      </w:r>
      <w:r w:rsidRPr="005E6B7C">
        <w:rPr>
          <w:rFonts w:asciiTheme="majorHAnsi" w:eastAsia="Yu Mincho" w:hAnsiTheme="majorHAnsi" w:cstheme="majorHAnsi"/>
          <w:bCs/>
          <w:color w:val="000000" w:themeColor="text1"/>
          <w:sz w:val="22"/>
          <w:szCs w:val="22"/>
          <w:lang w:eastAsia="ja-JP"/>
        </w:rPr>
        <w:t xml:space="preserve"> and 6.40 (br s, H-8)] indicated </w:t>
      </w:r>
      <w:r w:rsidRPr="005E6B7C">
        <w:rPr>
          <w:rFonts w:asciiTheme="majorHAnsi" w:eastAsia="Yu Mincho" w:hAnsiTheme="majorHAnsi" w:cstheme="majorHAnsi"/>
          <w:bCs/>
          <w:color w:val="000000" w:themeColor="text1"/>
          <w:sz w:val="22"/>
          <w:szCs w:val="22"/>
          <w:lang w:eastAsia="ja-JP"/>
        </w:rPr>
        <w:lastRenderedPageBreak/>
        <w:t xml:space="preserve">the presence of the kaempferol skeleton. In addition, signals of one glucose and one xylose moieties (see Table 2)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&lt;EndNote&gt;&lt;Cite&gt;&lt;Author&gt;Hübner&lt;/Author&gt;&lt;Year&gt;1999&lt;/Year&gt;&lt;RecNum&gt;127&lt;/RecNum&gt;&lt;DisplayText&gt;[11]&lt;/DisplayText&gt;&lt;record&gt;&lt;rec-number&gt;127&lt;/rec-number&gt;&lt;foreign-keys&gt;&lt;key app="EN" db-id="tft9dfze3vf9poe9vtjx0wtlrts555p959rp" timestamp="1764992510"&gt;127&lt;/key&gt;&lt;/foreign-keys&gt;&lt;ref-type name="Journal Article"&gt;17&lt;/ref-type&gt;&lt;contributors&gt;&lt;authors&gt;&lt;author&gt;Hübner, G.&lt;/author&gt;&lt;author&gt;Wray, V.&lt;/author&gt;&lt;author&gt;Nahrstedt, A.&lt;/author&gt;&lt;/authors&gt;&lt;/contributors&gt;&lt;auth-address&gt;Institute of Pharmaceutical Biology and Phytochemistry, Westfälischen Wilhelms--Universität Münster, Germany.&lt;/auth-address&gt;&lt;titles&gt;&lt;title&gt;&lt;style face="normal" font="default" size="100%"&gt;Flavonol oligosaccharides from the seeds of &lt;/style&gt;&lt;style face="italic" font="default" size="100%"&gt;Aesculus hippocastanum&lt;/style&gt;&lt;/title&gt;&lt;secondary-title&gt;Planta Med&lt;/secondary-title&gt;&lt;alt-title&gt;Planta medica&lt;/alt-title&gt;&lt;/titles&gt;&lt;periodical&gt;&lt;full-title&gt;Planta Med&lt;/full-title&gt;&lt;abbr-1&gt;Planta medica&lt;/abbr-1&gt;&lt;/periodical&gt;&lt;alt-periodical&gt;&lt;full-title&gt;Planta Med&lt;/full-title&gt;&lt;abbr-1&gt;Planta medica&lt;/abbr-1&gt;&lt;/alt-periodical&gt;&lt;pages&gt;636-42&lt;/pages&gt;&lt;volume&gt;65&lt;/volume&gt;&lt;number&gt;7&lt;/number&gt;&lt;edition&gt;2007/01/30&lt;/edition&gt;&lt;dates&gt;&lt;year&gt;1999&lt;/year&gt;&lt;pub-dates&gt;&lt;date&gt;Oct&lt;/date&gt;&lt;/pub-dates&gt;&lt;/dates&gt;&lt;isbn&gt;0032-0943 (Print)&amp;#xD;0032-0943&lt;/isbn&gt;&lt;accession-num&gt;17260289&lt;/accession-num&gt;&lt;urls&gt;&lt;/urls&gt;&lt;electronic-resource-num&gt;10.1055/s-1999-14038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1" w:tooltip="Hübner, 1999 #127" w:history="1">
        <w:r w:rsidRPr="005E6B7C">
          <w:rPr>
            <w:rFonts w:asciiTheme="majorHAnsi" w:eastAsia="Yu Mincho" w:hAnsiTheme="majorHAnsi" w:cstheme="majorHAnsi"/>
            <w:bCs/>
            <w:noProof/>
            <w:color w:val="000000" w:themeColor="text1"/>
            <w:sz w:val="22"/>
            <w:szCs w:val="22"/>
            <w:lang w:eastAsia="ja-JP"/>
          </w:rPr>
          <w:t>11</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xml:space="preserve"> were also recorded. The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chemical shifts for C-3 of the aglycon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134.98 and C-2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of the glucose moiety at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82.33 suggested attachments of the xylose unit at C-2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the sugar chain at C-3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&lt;EndNote&gt;&lt;Cite&gt;&lt;Author&gt;Hübner&lt;/Author&gt;&lt;Year&gt;1999&lt;/Year&gt;&lt;RecNum&gt;127&lt;/RecNum&gt;&lt;DisplayText&gt;[11]&lt;/DisplayText&gt;&lt;record&gt;&lt;rec-number&gt;127&lt;/rec-number&gt;&lt;foreign-keys&gt;&lt;key app="EN" db-id="tft9dfze3vf9poe9vtjx0wtlrts555p959rp" timestamp="1764992510"&gt;127&lt;/key&gt;&lt;/foreign-keys&gt;&lt;ref-type name="Journal Article"&gt;17&lt;/ref-type&gt;&lt;contributors&gt;&lt;authors&gt;&lt;author&gt;Hübner, G.&lt;/author&gt;&lt;author&gt;Wray, V.&lt;/author&gt;&lt;author&gt;Nahrstedt, A.&lt;/author&gt;&lt;/authors&gt;&lt;/contributors&gt;&lt;auth-address&gt;Institute of Pharmaceutical Biology and Phytochemistry, Westfälischen Wilhelms--Universität Münster, Germany.&lt;/auth-address&gt;&lt;titles&gt;&lt;title&gt;&lt;style face="normal" font="default" size="100%"&gt;Flavonol oligosaccharides from the seeds of &lt;/style&gt;&lt;style face="italic" font="default" size="100%"&gt;Aesculus hippocastanum&lt;/style&gt;&lt;/title&gt;&lt;secondary-title&gt;Planta Med&lt;/secondary-title&gt;&lt;alt-title&gt;Planta medica&lt;/alt-title&gt;&lt;/titles&gt;&lt;periodical&gt;&lt;full-title&gt;Planta Med&lt;/full-title&gt;&lt;abbr-1&gt;Planta medica&lt;/abbr-1&gt;&lt;/periodical&gt;&lt;alt-periodical&gt;&lt;full-title&gt;Planta Med&lt;/full-title&gt;&lt;abbr-1&gt;Planta medica&lt;/abbr-1&gt;&lt;/alt-periodical&gt;&lt;pages&gt;636-42&lt;/pages&gt;&lt;volume&gt;65&lt;/volume&gt;&lt;number&gt;7&lt;/number&gt;&lt;edition&gt;2007/01/30&lt;/edition&gt;&lt;dates&gt;&lt;year&gt;1999&lt;/year&gt;&lt;pub-dates&gt;&lt;date&gt;Oct&lt;/date&gt;&lt;/pub-dates&gt;&lt;/dates&gt;&lt;isbn&gt;0032-0943 (Print)&amp;#xD;0032-0943&lt;/isbn&gt;&lt;accession-num&gt;17260289&lt;/accession-num&gt;&lt;urls&gt;&lt;/urls&gt;&lt;electronic-resource-num&gt;10.1055/s-1999-14038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1" w:tooltip="Hübner, 1999 #127" w:history="1">
        <w:r w:rsidRPr="005E6B7C">
          <w:rPr>
            <w:rFonts w:asciiTheme="majorHAnsi" w:eastAsia="Yu Mincho" w:hAnsiTheme="majorHAnsi" w:cstheme="majorHAnsi"/>
            <w:bCs/>
            <w:noProof/>
            <w:color w:val="000000" w:themeColor="text1"/>
            <w:sz w:val="22"/>
            <w:szCs w:val="22"/>
            <w:lang w:eastAsia="ja-JP"/>
          </w:rPr>
          <w:t>11</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This was further supported by the HMBC cross-peaks of H-1</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4.78) with C-2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82.33) and H-1</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5.50) with C-3 (</w:t>
      </w:r>
      <w:r w:rsidRPr="005E6B7C">
        <w:rPr>
          <w:rFonts w:asciiTheme="majorHAnsi" w:eastAsia="Yu Mincho" w:hAnsiTheme="majorHAnsi" w:cstheme="majorHAnsi"/>
          <w:bCs/>
          <w:i/>
          <w:iCs/>
          <w:color w:val="000000" w:themeColor="text1"/>
          <w:sz w:val="22"/>
          <w:szCs w:val="22"/>
          <w:lang w:val="it-IT"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134.98). Consequently,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 xml:space="preserve"> was identified as kaempferol 3-</w:t>
      </w:r>
      <w:r w:rsidRPr="005E6B7C">
        <w:rPr>
          <w:rFonts w:asciiTheme="majorHAnsi" w:eastAsia="Yu Mincho" w:hAnsiTheme="majorHAnsi" w:cstheme="majorHAnsi"/>
          <w:bCs/>
          <w:i/>
          <w:iCs/>
          <w:color w:val="000000" w:themeColor="text1"/>
          <w:sz w:val="22"/>
          <w:szCs w:val="22"/>
          <w:lang w:eastAsia="ja-JP"/>
        </w:rPr>
        <w:t>O</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-D-glucopyranosyl-(2</w:t>
      </w:r>
      <w:r w:rsidRPr="005E6B7C">
        <w:rPr>
          <w:rFonts w:asciiTheme="majorHAnsi" w:eastAsia="Yu Mincho" w:hAnsiTheme="majorHAnsi" w:cstheme="majorHAnsi"/>
          <w:bCs/>
          <w:color w:val="000000" w:themeColor="text1"/>
          <w:sz w:val="22"/>
          <w:szCs w:val="22"/>
          <w:lang w:eastAsia="ja-JP"/>
        </w:rPr>
        <w:sym w:font="Symbol" w:char="F0AE"/>
      </w:r>
      <w:r w:rsidRPr="005E6B7C">
        <w:rPr>
          <w:rFonts w:asciiTheme="majorHAnsi" w:eastAsia="Yu Mincho" w:hAnsiTheme="majorHAnsi" w:cstheme="majorHAnsi"/>
          <w:bCs/>
          <w:color w:val="000000" w:themeColor="text1"/>
          <w:sz w:val="22"/>
          <w:szCs w:val="22"/>
          <w:lang w:eastAsia="ja-JP"/>
        </w:rPr>
        <w:t>1)-</w:t>
      </w:r>
      <w:r w:rsidRPr="005E6B7C">
        <w:rPr>
          <w:rFonts w:asciiTheme="majorHAnsi" w:eastAsia="Yu Mincho"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 xml:space="preserve">-D-xylopyranoside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&lt;EndNote&gt;&lt;Cite&gt;&lt;Author&gt;Hübner&lt;/Author&gt;&lt;Year&gt;1999&lt;/Year&gt;&lt;RecNum&gt;127&lt;/RecNum&gt;&lt;DisplayText&gt;[11]&lt;/DisplayText&gt;&lt;record&gt;&lt;rec-number&gt;127&lt;/rec-number&gt;&lt;foreign-keys&gt;&lt;key app="EN" db-id="tft9dfze3vf9poe9vtjx0wtlrts555p959rp" timestamp="1764992510"&gt;127&lt;/key&gt;&lt;/foreign-keys&gt;&lt;ref-type name="Journal Article"&gt;17&lt;/ref-type&gt;&lt;contributors&gt;&lt;authors&gt;&lt;author&gt;Hübner, G.&lt;/author&gt;&lt;author&gt;Wray, V.&lt;/author&gt;&lt;author&gt;Nahrstedt, A.&lt;/author&gt;&lt;/authors&gt;&lt;/contributors&gt;&lt;auth-address&gt;Institute of Pharmaceutical Biology and Phytochemistry, Westfälischen Wilhelms--Universität Münster, Germany.&lt;/auth-address&gt;&lt;titles&gt;&lt;title&gt;&lt;style face="normal" font="default" size="100%"&gt;Flavonol oligosaccharides from the seeds of &lt;/style&gt;&lt;style face="italic" font="default" size="100%"&gt;Aesculus hippocastanum&lt;/style&gt;&lt;/title&gt;&lt;secondary-title&gt;Planta Med&lt;/secondary-title&gt;&lt;alt-title&gt;Planta medica&lt;/alt-title&gt;&lt;/titles&gt;&lt;periodical&gt;&lt;full-title&gt;Planta Med&lt;/full-title&gt;&lt;abbr-1&gt;Planta medica&lt;/abbr-1&gt;&lt;/periodical&gt;&lt;alt-periodical&gt;&lt;full-title&gt;Planta Med&lt;/full-title&gt;&lt;abbr-1&gt;Planta medica&lt;/abbr-1&gt;&lt;/alt-periodical&gt;&lt;pages&gt;636-42&lt;/pages&gt;&lt;volume&gt;65&lt;/volume&gt;&lt;number&gt;7&lt;/number&gt;&lt;edition&gt;2007/01/30&lt;/edition&gt;&lt;dates&gt;&lt;year&gt;1999&lt;/year&gt;&lt;pub-dates&gt;&lt;date&gt;Oct&lt;/date&gt;&lt;/pub-dates&gt;&lt;/dates&gt;&lt;isbn&gt;0032-0943 (Print)&amp;#xD;0032-0943&lt;/isbn&gt;&lt;accession-num&gt;17260289&lt;/accession-num&gt;&lt;urls&gt;&lt;/urls&gt;&lt;electronic-resource-num&gt;10.1055/s-1999-14038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1" w:tooltip="Hübner, 1999 #127" w:history="1">
        <w:r w:rsidRPr="005E6B7C">
          <w:rPr>
            <w:rFonts w:asciiTheme="majorHAnsi" w:eastAsia="Yu Mincho" w:hAnsiTheme="majorHAnsi" w:cstheme="majorHAnsi"/>
            <w:bCs/>
            <w:noProof/>
            <w:color w:val="000000" w:themeColor="text1"/>
            <w:sz w:val="22"/>
            <w:szCs w:val="22"/>
            <w:lang w:eastAsia="ja-JP"/>
          </w:rPr>
          <w:t>11</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w:t>
      </w:r>
    </w:p>
    <w:p w14:paraId="0EE2585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xml:space="preserve"> was isolated as a white powder.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NMR spectrum revealed signals of two ABX coupled aromatic rings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7.01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Hz, H-2), 7.01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8.4 Hz, H-5), 6.89 (dd,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8.4 Hz, H-6), 9.96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Hz, H-2</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6.79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7.8 Hz, H-5</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and 6.82 (dd,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1.8, 7.8 Hz, H-6</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two oxymethines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5.57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6.0 Hz, H-7) and 4.72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4.8 Hz, H-7</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two oxymethylenes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3.89 and 4.26, m, H-9 and H-9</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and two methoxy groups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3.85 (s, 3-OMe) and 3.89 (s, 3</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-OMe)]. In addition, signals of one glucose and one rhamnose units (see Table 2)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&lt;EndNote&gt;&lt;Cite&gt;&lt;Author&gt;Zhou&lt;/Author&gt;&lt;Year&gt;2009&lt;/Year&gt;&lt;RecNum&gt;128&lt;/RecNum&gt;&lt;DisplayText&gt;[12]&lt;/DisplayText&gt;&lt;record&gt;&lt;rec-number&gt;128&lt;/rec-number&gt;&lt;foreign-keys&gt;&lt;key app="EN" db-id="tft9dfze3vf9poe9vtjx0wtlrts555p959rp" timestamp="1764994050"&gt;128&lt;/key&gt;&lt;/foreign-keys&gt;&lt;ref-type name="Journal Article"&gt;17&lt;/ref-type&gt;&lt;contributors&gt;&lt;authors&gt;&lt;author&gt;Zhou, Y.&lt;/author&gt;&lt;author&gt;Wang, W.&lt;/author&gt;&lt;author&gt;Tang, L.&lt;/author&gt;&lt;author&gt;Yan, X. G.&lt;/author&gt;&lt;author&gt;Shi, L. Y.&lt;/author&gt;&lt;author&gt;Wang, Y. Q.&lt;/author&gt;&lt;author&gt;Feng, B. M.&lt;/author&gt;&lt;/authors&gt;&lt;/contributors&gt;&lt;auth-address&gt;College of Bioengineering, Dalian University, 116622, Dalian, China.&lt;/auth-address&gt;&lt;titles&gt;&lt;title&gt;&lt;style face="normal" font="default" size="100%"&gt;Lignan and flavonoid glycosides from &lt;/style&gt;&lt;style face="italic" font="default" size="100%"&gt;Urtica laetevirens&lt;/style&gt;&lt;style face="normal" font="default" size="100%"&gt; Maxim&lt;/style&gt;&lt;/title&gt;&lt;secondary-title&gt;J Nat Med&lt;/secondary-title&gt;&lt;alt-title&gt;Journal of natural medicines&lt;/alt-title&gt;&lt;/titles&gt;&lt;periodical&gt;&lt;full-title&gt;J Nat Med&lt;/full-title&gt;&lt;abbr-1&gt;Journal of natural medicines&lt;/abbr-1&gt;&lt;/periodical&gt;&lt;alt-periodical&gt;&lt;full-title&gt;J Nat Med&lt;/full-title&gt;&lt;abbr-1&gt;Journal of natural medicines&lt;/abbr-1&gt;&lt;/alt-periodical&gt;&lt;pages&gt;100-1&lt;/pages&gt;&lt;volume&gt;63&lt;/volume&gt;&lt;number&gt;1&lt;/number&gt;&lt;edition&gt;2008/07/05&lt;/edition&gt;&lt;keywords&gt;&lt;keyword&gt;Flavonoids/*chemistry&lt;/keyword&gt;&lt;keyword&gt;Glycosides/*chemistry/isolation &amp;amp; purification&lt;/keyword&gt;&lt;keyword&gt;Lignans/*chemistry/isolation &amp;amp; purification&lt;/keyword&gt;&lt;keyword&gt;Magnetic Resonance Spectroscopy&lt;/keyword&gt;&lt;keyword&gt;Molecular Structure&lt;/keyword&gt;&lt;keyword&gt;Urticaceae/*chemistry&lt;/keyword&gt;&lt;/keywords&gt;&lt;dates&gt;&lt;year&gt;2009&lt;/year&gt;&lt;pub-dates&gt;&lt;date&gt;Jan&lt;/date&gt;&lt;/pub-dates&gt;&lt;/dates&gt;&lt;isbn&gt;1340-3443&lt;/isbn&gt;&lt;accession-num&gt;18600298&lt;/accession-num&gt;&lt;urls&gt;&lt;/urls&gt;&lt;electronic-resource-num&gt;10.1007/s11418-008-0274-8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2" w:tooltip="Zhou, 2009 #128" w:history="1">
        <w:r w:rsidRPr="005E6B7C">
          <w:rPr>
            <w:rFonts w:asciiTheme="majorHAnsi" w:eastAsia="Yu Mincho" w:hAnsiTheme="majorHAnsi" w:cstheme="majorHAnsi"/>
            <w:bCs/>
            <w:noProof/>
            <w:color w:val="000000" w:themeColor="text1"/>
            <w:sz w:val="22"/>
            <w:szCs w:val="22"/>
            <w:lang w:eastAsia="ja-JP"/>
          </w:rPr>
          <w:t>12</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xml:space="preserve"> were also observed.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data of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xml:space="preserve"> were found to be similar to those of </w:t>
      </w:r>
      <w:r w:rsidRPr="005E6B7C">
        <w:rPr>
          <w:rFonts w:asciiTheme="majorHAnsi" w:eastAsia="Yu Mincho" w:hAnsiTheme="majorHAnsi" w:cstheme="majorHAnsi"/>
          <w:color w:val="000000" w:themeColor="text1"/>
          <w:sz w:val="22"/>
          <w:szCs w:val="22"/>
          <w:lang w:eastAsia="ja-JP"/>
        </w:rPr>
        <w:t xml:space="preserve">pinoresinol </w:t>
      </w:r>
      <w:r w:rsidRPr="005E6B7C">
        <w:rPr>
          <w:rFonts w:asciiTheme="majorHAnsi" w:eastAsia="Yu Mincho" w:hAnsiTheme="majorHAnsi" w:cstheme="majorHAnsi"/>
          <w:color w:val="000000" w:themeColor="text1"/>
          <w:spacing w:val="-12"/>
          <w:sz w:val="22"/>
          <w:szCs w:val="22"/>
          <w:lang w:eastAsia="ja-JP"/>
        </w:rPr>
        <w:t>4-</w:t>
      </w:r>
      <w:r w:rsidRPr="005E6B7C">
        <w:rPr>
          <w:rFonts w:asciiTheme="majorHAnsi" w:eastAsia="Yu Mincho" w:hAnsiTheme="majorHAnsi" w:cstheme="majorHAnsi"/>
          <w:i/>
          <w:iCs/>
          <w:color w:val="000000" w:themeColor="text1"/>
          <w:spacing w:val="-12"/>
          <w:sz w:val="22"/>
          <w:szCs w:val="22"/>
          <w:lang w:eastAsia="ja-JP"/>
        </w:rPr>
        <w:t>O</w:t>
      </w:r>
      <w:r w:rsidRPr="005E6B7C">
        <w:rPr>
          <w:rFonts w:asciiTheme="majorHAnsi" w:eastAsia="Yu Mincho" w:hAnsiTheme="majorHAnsi" w:cstheme="majorHAnsi"/>
          <w:color w:val="000000" w:themeColor="text1"/>
          <w:spacing w:val="-12"/>
          <w:sz w:val="22"/>
          <w:szCs w:val="22"/>
          <w:lang w:eastAsia="ja-JP"/>
        </w:rPr>
        <w:t>-</w:t>
      </w:r>
      <w:r w:rsidRPr="005E6B7C">
        <w:rPr>
          <w:rFonts w:asciiTheme="majorHAnsi" w:eastAsia="Yu Mincho" w:hAnsiTheme="majorHAnsi" w:cstheme="majorHAnsi"/>
          <w:i/>
          <w:iCs/>
          <w:color w:val="000000" w:themeColor="text1"/>
          <w:spacing w:val="-12"/>
          <w:sz w:val="22"/>
          <w:szCs w:val="22"/>
          <w:lang w:eastAsia="ja-JP"/>
        </w:rPr>
        <w:sym w:font="Symbol" w:char="F061"/>
      </w:r>
      <w:r w:rsidRPr="005E6B7C">
        <w:rPr>
          <w:rFonts w:asciiTheme="majorHAnsi" w:eastAsia="Yu Mincho" w:hAnsiTheme="majorHAnsi" w:cstheme="majorHAnsi"/>
          <w:color w:val="000000" w:themeColor="text1"/>
          <w:spacing w:val="-12"/>
          <w:sz w:val="22"/>
          <w:szCs w:val="22"/>
          <w:lang w:eastAsia="ja-JP"/>
        </w:rPr>
        <w:t>-L-rhamnopyranosyl (1</w:t>
      </w:r>
      <w:r w:rsidRPr="005E6B7C">
        <w:rPr>
          <w:rFonts w:asciiTheme="majorHAnsi" w:eastAsia="Yu Mincho" w:hAnsiTheme="majorHAnsi" w:cstheme="majorHAnsi"/>
          <w:color w:val="000000" w:themeColor="text1"/>
          <w:spacing w:val="-12"/>
          <w:sz w:val="22"/>
          <w:szCs w:val="22"/>
          <w:lang w:eastAsia="ja-JP"/>
        </w:rPr>
        <w:sym w:font="Symbol" w:char="F0AE"/>
      </w:r>
      <w:r w:rsidRPr="005E6B7C">
        <w:rPr>
          <w:rFonts w:asciiTheme="majorHAnsi" w:eastAsia="Yu Mincho" w:hAnsiTheme="majorHAnsi" w:cstheme="majorHAnsi"/>
          <w:color w:val="000000" w:themeColor="text1"/>
          <w:spacing w:val="-12"/>
          <w:sz w:val="22"/>
          <w:szCs w:val="22"/>
          <w:lang w:eastAsia="ja-JP"/>
        </w:rPr>
        <w:t>2)-</w:t>
      </w:r>
      <w:r w:rsidRPr="005E6B7C">
        <w:rPr>
          <w:rFonts w:asciiTheme="majorHAnsi" w:eastAsia="Yu Mincho" w:hAnsiTheme="majorHAnsi" w:cstheme="majorHAnsi"/>
          <w:i/>
          <w:iCs/>
          <w:color w:val="000000" w:themeColor="text1"/>
          <w:spacing w:val="-12"/>
          <w:sz w:val="22"/>
          <w:szCs w:val="22"/>
          <w:lang w:eastAsia="ja-JP"/>
        </w:rPr>
        <w:sym w:font="Symbol" w:char="F062"/>
      </w:r>
      <w:r w:rsidRPr="005E6B7C">
        <w:rPr>
          <w:rFonts w:asciiTheme="majorHAnsi" w:eastAsia="Yu Mincho" w:hAnsiTheme="majorHAnsi" w:cstheme="majorHAnsi"/>
          <w:color w:val="000000" w:themeColor="text1"/>
          <w:spacing w:val="-12"/>
          <w:sz w:val="22"/>
          <w:szCs w:val="22"/>
          <w:lang w:eastAsia="ja-JP"/>
        </w:rPr>
        <w:t>-D-glucopyranoside</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fldChar w:fldCharType="begin"/>
      </w:r>
      <w:r w:rsidRPr="005E6B7C">
        <w:rPr>
          <w:rFonts w:asciiTheme="majorHAnsi" w:eastAsia="Yu Mincho" w:hAnsiTheme="majorHAnsi" w:cstheme="majorHAnsi"/>
          <w:bCs/>
          <w:color w:val="000000" w:themeColor="text1"/>
          <w:sz w:val="22"/>
          <w:szCs w:val="22"/>
          <w:lang w:eastAsia="ja-JP"/>
        </w:rPr>
        <w:instrText xml:space="preserve"> ADDIN EN.CITE &lt;EndNote&gt;&lt;Cite&gt;&lt;Author&gt;Zhou&lt;/Author&gt;&lt;Year&gt;2009&lt;/Year&gt;&lt;RecNum&gt;128&lt;/RecNum&gt;&lt;DisplayText&gt;[12]&lt;/DisplayText&gt;&lt;record&gt;&lt;rec-number&gt;128&lt;/rec-number&gt;&lt;foreign-keys&gt;&lt;key app="EN" db-id="tft9dfze3vf9poe9vtjx0wtlrts555p959rp" timestamp="1764994050"&gt;128&lt;/key&gt;&lt;/foreign-keys&gt;&lt;ref-type name="Journal Article"&gt;17&lt;/ref-type&gt;&lt;contributors&gt;&lt;authors&gt;&lt;author&gt;Zhou, Y.&lt;/author&gt;&lt;author&gt;Wang, W.&lt;/author&gt;&lt;author&gt;Tang, L.&lt;/author&gt;&lt;author&gt;Yan, X. G.&lt;/author&gt;&lt;author&gt;Shi, L. Y.&lt;/author&gt;&lt;author&gt;Wang, Y. Q.&lt;/author&gt;&lt;author&gt;Feng, B. M.&lt;/author&gt;&lt;/authors&gt;&lt;/contributors&gt;&lt;auth-address&gt;College of Bioengineering, Dalian University, 116622, Dalian, China.&lt;/auth-address&gt;&lt;titles&gt;&lt;title&gt;&lt;style face="normal" font="default" size="100%"&gt;Lignan and flavonoid glycosides from &lt;/style&gt;&lt;style face="italic" font="default" size="100%"&gt;Urtica laetevirens&lt;/style&gt;&lt;style face="normal" font="default" size="100%"&gt; Maxim&lt;/style&gt;&lt;/title&gt;&lt;secondary-title&gt;J Nat Med&lt;/secondary-title&gt;&lt;alt-title&gt;Journal of natural medicines&lt;/alt-title&gt;&lt;/titles&gt;&lt;periodical&gt;&lt;full-title&gt;J Nat Med&lt;/full-title&gt;&lt;abbr-1&gt;Journal of natural medicines&lt;/abbr-1&gt;&lt;/periodical&gt;&lt;alt-periodical&gt;&lt;full-title&gt;J Nat Med&lt;/full-title&gt;&lt;abbr-1&gt;Journal of natural medicines&lt;/abbr-1&gt;&lt;/alt-periodical&gt;&lt;pages&gt;100-1&lt;/pages&gt;&lt;volume&gt;63&lt;/volume&gt;&lt;number&gt;1&lt;/number&gt;&lt;edition&gt;2008/07/05&lt;/edition&gt;&lt;keywords&gt;&lt;keyword&gt;Flavonoids/*chemistry&lt;/keyword&gt;&lt;keyword&gt;Glycosides/*chemistry/isolation &amp;amp; purification&lt;/keyword&gt;&lt;keyword&gt;Lignans/*chemistry/isolation &amp;amp; purification&lt;/keyword&gt;&lt;keyword&gt;Magnetic Resonance Spectroscopy&lt;/keyword&gt;&lt;keyword&gt;Molecular Structure&lt;/keyword&gt;&lt;keyword&gt;Urticaceae/*chemistry&lt;/keyword&gt;&lt;/keywords&gt;&lt;dates&gt;&lt;year&gt;2009&lt;/year&gt;&lt;pub-dates&gt;&lt;date&gt;Jan&lt;/date&gt;&lt;/pub-dates&gt;&lt;/dates&gt;&lt;isbn&gt;1340-3443&lt;/isbn&gt;&lt;accession-num&gt;18600298&lt;/accession-num&gt;&lt;urls&gt;&lt;/urls&gt;&lt;electronic-resource-num&gt;10.1007/s11418-008-0274-8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z w:val="22"/>
          <w:szCs w:val="22"/>
          <w:lang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2" w:tooltip="Zhou, 2009 #128" w:history="1">
        <w:r w:rsidRPr="005E6B7C">
          <w:rPr>
            <w:rFonts w:asciiTheme="majorHAnsi" w:eastAsia="Yu Mincho" w:hAnsiTheme="majorHAnsi" w:cstheme="majorHAnsi"/>
            <w:bCs/>
            <w:noProof/>
            <w:color w:val="000000" w:themeColor="text1"/>
            <w:sz w:val="22"/>
            <w:szCs w:val="22"/>
            <w:lang w:eastAsia="ja-JP"/>
          </w:rPr>
          <w:t>12</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fldChar w:fldCharType="end"/>
      </w:r>
      <w:r w:rsidRPr="005E6B7C">
        <w:rPr>
          <w:rFonts w:asciiTheme="majorHAnsi" w:eastAsia="Yu Mincho" w:hAnsiTheme="majorHAnsi" w:cstheme="majorHAnsi"/>
          <w:bCs/>
          <w:color w:val="000000" w:themeColor="text1"/>
          <w:sz w:val="22"/>
          <w:szCs w:val="22"/>
          <w:lang w:eastAsia="ja-JP"/>
        </w:rPr>
        <w:t>. Protons H-1</w:t>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sym w:font="Symbol" w:char="F0A2"/>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5.38), 3</w:t>
      </w:r>
      <w:r w:rsidRPr="005E6B7C">
        <w:rPr>
          <w:rFonts w:asciiTheme="majorHAnsi" w:eastAsia="Yu Mincho" w:hAnsiTheme="majorHAnsi" w:cstheme="majorHAnsi"/>
          <w:bCs/>
          <w:color w:val="000000" w:themeColor="text1"/>
          <w:spacing w:val="-4"/>
          <w:sz w:val="22"/>
          <w:szCs w:val="22"/>
          <w:lang w:eastAsia="ja-JP"/>
        </w:rPr>
        <w:t>-OMe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H</w:t>
      </w:r>
      <w:r w:rsidRPr="005E6B7C">
        <w:rPr>
          <w:rFonts w:asciiTheme="majorHAnsi" w:eastAsia="Yu Mincho" w:hAnsiTheme="majorHAnsi" w:cstheme="majorHAnsi"/>
          <w:bCs/>
          <w:color w:val="000000" w:themeColor="text1"/>
          <w:spacing w:val="-4"/>
          <w:sz w:val="22"/>
          <w:szCs w:val="22"/>
          <w:lang w:eastAsia="ja-JP"/>
        </w:rPr>
        <w:t xml:space="preserve"> 3.85), and 3</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-OMe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H</w:t>
      </w:r>
      <w:r w:rsidRPr="005E6B7C">
        <w:rPr>
          <w:rFonts w:asciiTheme="majorHAnsi" w:eastAsia="Yu Mincho" w:hAnsiTheme="majorHAnsi" w:cstheme="majorHAnsi"/>
          <w:bCs/>
          <w:color w:val="000000" w:themeColor="text1"/>
          <w:spacing w:val="-4"/>
          <w:sz w:val="22"/>
          <w:szCs w:val="22"/>
          <w:lang w:eastAsia="ja-JP"/>
        </w:rPr>
        <w:t xml:space="preserve"> 3.89) revealed HMBC cross-peaks with the corresponding carbons C-2</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 xml:space="preserve">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C</w:t>
      </w:r>
      <w:r w:rsidRPr="005E6B7C">
        <w:rPr>
          <w:rFonts w:asciiTheme="majorHAnsi" w:eastAsia="Yu Mincho" w:hAnsiTheme="majorHAnsi" w:cstheme="majorHAnsi"/>
          <w:bCs/>
          <w:color w:val="000000" w:themeColor="text1"/>
          <w:spacing w:val="-4"/>
          <w:sz w:val="22"/>
          <w:szCs w:val="22"/>
          <w:lang w:eastAsia="ja-JP"/>
        </w:rPr>
        <w:t xml:space="preserve"> 78.41), C-3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C</w:t>
      </w:r>
      <w:r w:rsidRPr="005E6B7C">
        <w:rPr>
          <w:rFonts w:asciiTheme="majorHAnsi" w:eastAsia="Yu Mincho" w:hAnsiTheme="majorHAnsi" w:cstheme="majorHAnsi"/>
          <w:bCs/>
          <w:color w:val="000000" w:themeColor="text1"/>
          <w:spacing w:val="-4"/>
          <w:sz w:val="22"/>
          <w:szCs w:val="22"/>
          <w:lang w:eastAsia="ja-JP"/>
        </w:rPr>
        <w:t xml:space="preserve"> 151.44), and C-3</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 xml:space="preserve">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C</w:t>
      </w:r>
      <w:r w:rsidRPr="005E6B7C">
        <w:rPr>
          <w:rFonts w:asciiTheme="majorHAnsi" w:eastAsia="Yu Mincho" w:hAnsiTheme="majorHAnsi" w:cstheme="majorHAnsi"/>
          <w:bCs/>
          <w:color w:val="000000" w:themeColor="text1"/>
          <w:spacing w:val="-4"/>
          <w:sz w:val="22"/>
          <w:szCs w:val="22"/>
          <w:lang w:eastAsia="ja-JP"/>
        </w:rPr>
        <w:t xml:space="preserve"> 149.12), respectively, confirming attachments of the rhamnose at C-2</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 xml:space="preserve"> and two methoxy groups at C-3 and C-3</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 Moreover, the HMBC cross-peaks of H-6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H</w:t>
      </w:r>
      <w:r w:rsidRPr="005E6B7C">
        <w:rPr>
          <w:rFonts w:asciiTheme="majorHAnsi" w:eastAsia="Yu Mincho" w:hAnsiTheme="majorHAnsi" w:cstheme="majorHAnsi"/>
          <w:bCs/>
          <w:color w:val="000000" w:themeColor="text1"/>
          <w:spacing w:val="-4"/>
          <w:sz w:val="22"/>
          <w:szCs w:val="22"/>
          <w:lang w:eastAsia="ja-JP"/>
        </w:rPr>
        <w:t xml:space="preserve"> 6.89) and H-1</w:t>
      </w:r>
      <w:r w:rsidRPr="005E6B7C">
        <w:rPr>
          <w:rFonts w:asciiTheme="majorHAnsi" w:eastAsia="Yu Mincho" w:hAnsiTheme="majorHAnsi" w:cstheme="majorHAnsi"/>
          <w:bCs/>
          <w:color w:val="000000" w:themeColor="text1"/>
          <w:spacing w:val="-4"/>
          <w:sz w:val="22"/>
          <w:szCs w:val="22"/>
          <w:lang w:eastAsia="ja-JP"/>
        </w:rPr>
        <w:sym w:font="Symbol" w:char="F0A2"/>
      </w:r>
      <w:r w:rsidRPr="005E6B7C">
        <w:rPr>
          <w:rFonts w:asciiTheme="majorHAnsi" w:eastAsia="Yu Mincho" w:hAnsiTheme="majorHAnsi" w:cstheme="majorHAnsi"/>
          <w:bCs/>
          <w:color w:val="000000" w:themeColor="text1"/>
          <w:spacing w:val="-4"/>
          <w:sz w:val="22"/>
          <w:szCs w:val="22"/>
          <w:lang w:eastAsia="ja-JP"/>
        </w:rPr>
        <w:t xml:space="preserve">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H</w:t>
      </w:r>
      <w:r w:rsidRPr="005E6B7C">
        <w:rPr>
          <w:rFonts w:asciiTheme="majorHAnsi" w:eastAsia="Yu Mincho" w:hAnsiTheme="majorHAnsi" w:cstheme="majorHAnsi"/>
          <w:bCs/>
          <w:color w:val="000000" w:themeColor="text1"/>
          <w:spacing w:val="-4"/>
          <w:sz w:val="22"/>
          <w:szCs w:val="22"/>
          <w:lang w:eastAsia="ja-JP"/>
        </w:rPr>
        <w:t xml:space="preserve"> 5.07) with C-4 (</w:t>
      </w:r>
      <w:r w:rsidRPr="005E6B7C">
        <w:rPr>
          <w:rFonts w:asciiTheme="majorHAnsi" w:eastAsia="Yu Mincho" w:hAnsiTheme="majorHAnsi" w:cstheme="majorHAnsi"/>
          <w:bCs/>
          <w:i/>
          <w:iCs/>
          <w:color w:val="000000" w:themeColor="text1"/>
          <w:spacing w:val="-4"/>
          <w:sz w:val="22"/>
          <w:szCs w:val="22"/>
          <w:lang w:eastAsia="ja-JP"/>
        </w:rPr>
        <w:sym w:font="Symbol" w:char="F064"/>
      </w:r>
      <w:r w:rsidRPr="005E6B7C">
        <w:rPr>
          <w:rFonts w:asciiTheme="majorHAnsi" w:eastAsia="Yu Mincho" w:hAnsiTheme="majorHAnsi" w:cstheme="majorHAnsi"/>
          <w:bCs/>
          <w:color w:val="000000" w:themeColor="text1"/>
          <w:spacing w:val="-4"/>
          <w:sz w:val="22"/>
          <w:szCs w:val="22"/>
          <w:vertAlign w:val="subscript"/>
          <w:lang w:eastAsia="ja-JP"/>
        </w:rPr>
        <w:t>C</w:t>
      </w:r>
      <w:r w:rsidRPr="005E6B7C">
        <w:rPr>
          <w:rFonts w:asciiTheme="majorHAnsi" w:eastAsia="Yu Mincho" w:hAnsiTheme="majorHAnsi" w:cstheme="majorHAnsi"/>
          <w:bCs/>
          <w:color w:val="000000" w:themeColor="text1"/>
          <w:spacing w:val="-4"/>
          <w:sz w:val="22"/>
          <w:szCs w:val="22"/>
          <w:lang w:eastAsia="ja-JP"/>
        </w:rPr>
        <w:t xml:space="preserve"> 147.01) confirmed the location of the sugar chain at this carbon. Thus, </w:t>
      </w:r>
      <w:r w:rsidRPr="005E6B7C">
        <w:rPr>
          <w:rFonts w:asciiTheme="majorHAnsi" w:eastAsia="Yu Mincho" w:hAnsiTheme="majorHAnsi" w:cstheme="majorHAnsi"/>
          <w:b/>
          <w:color w:val="000000" w:themeColor="text1"/>
          <w:spacing w:val="-4"/>
          <w:sz w:val="22"/>
          <w:szCs w:val="22"/>
          <w:lang w:eastAsia="ja-JP"/>
        </w:rPr>
        <w:t>4</w:t>
      </w:r>
      <w:r w:rsidRPr="005E6B7C">
        <w:rPr>
          <w:rFonts w:asciiTheme="majorHAnsi" w:eastAsia="Yu Mincho" w:hAnsiTheme="majorHAnsi" w:cstheme="majorHAnsi"/>
          <w:bCs/>
          <w:color w:val="000000" w:themeColor="text1"/>
          <w:spacing w:val="-4"/>
          <w:sz w:val="22"/>
          <w:szCs w:val="22"/>
          <w:lang w:eastAsia="ja-JP"/>
        </w:rPr>
        <w:t xml:space="preserve"> was identified as </w:t>
      </w:r>
      <w:r w:rsidRPr="005E6B7C">
        <w:rPr>
          <w:rFonts w:asciiTheme="majorHAnsi" w:eastAsia="Yu Mincho" w:hAnsiTheme="majorHAnsi" w:cstheme="majorHAnsi"/>
          <w:color w:val="000000" w:themeColor="text1"/>
          <w:spacing w:val="-4"/>
          <w:sz w:val="22"/>
          <w:szCs w:val="22"/>
          <w:lang w:eastAsia="ja-JP"/>
        </w:rPr>
        <w:t>pinoresinol 4-</w:t>
      </w:r>
      <w:r w:rsidRPr="005E6B7C">
        <w:rPr>
          <w:rFonts w:asciiTheme="majorHAnsi" w:eastAsia="Yu Mincho" w:hAnsiTheme="majorHAnsi" w:cstheme="majorHAnsi"/>
          <w:i/>
          <w:iCs/>
          <w:color w:val="000000" w:themeColor="text1"/>
          <w:spacing w:val="-4"/>
          <w:sz w:val="22"/>
          <w:szCs w:val="22"/>
          <w:lang w:eastAsia="ja-JP"/>
        </w:rPr>
        <w:t>O</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i/>
          <w:iCs/>
          <w:color w:val="000000" w:themeColor="text1"/>
          <w:spacing w:val="-4"/>
          <w:sz w:val="22"/>
          <w:szCs w:val="22"/>
          <w:lang w:eastAsia="ja-JP"/>
        </w:rPr>
        <w:sym w:font="Symbol" w:char="F061"/>
      </w:r>
      <w:r w:rsidRPr="005E6B7C">
        <w:rPr>
          <w:rFonts w:asciiTheme="majorHAnsi" w:eastAsia="Yu Mincho" w:hAnsiTheme="majorHAnsi" w:cstheme="majorHAnsi"/>
          <w:color w:val="000000" w:themeColor="text1"/>
          <w:spacing w:val="-4"/>
          <w:sz w:val="22"/>
          <w:szCs w:val="22"/>
          <w:lang w:eastAsia="ja-JP"/>
        </w:rPr>
        <w:t>-L-rhamnopyranosyl (1</w:t>
      </w:r>
      <w:r w:rsidRPr="005E6B7C">
        <w:rPr>
          <w:rFonts w:asciiTheme="majorHAnsi" w:eastAsia="Yu Mincho" w:hAnsiTheme="majorHAnsi" w:cstheme="majorHAnsi"/>
          <w:color w:val="000000" w:themeColor="text1"/>
          <w:spacing w:val="-4"/>
          <w:sz w:val="22"/>
          <w:szCs w:val="22"/>
          <w:lang w:eastAsia="ja-JP"/>
        </w:rPr>
        <w:sym w:font="Symbol" w:char="F0AE"/>
      </w:r>
      <w:r w:rsidRPr="005E6B7C">
        <w:rPr>
          <w:rFonts w:asciiTheme="majorHAnsi" w:eastAsia="Yu Mincho" w:hAnsiTheme="majorHAnsi" w:cstheme="majorHAnsi"/>
          <w:color w:val="000000" w:themeColor="text1"/>
          <w:spacing w:val="-4"/>
          <w:sz w:val="22"/>
          <w:szCs w:val="22"/>
          <w:lang w:eastAsia="ja-JP"/>
        </w:rPr>
        <w:t>2)-</w:t>
      </w:r>
      <w:r w:rsidRPr="005E6B7C">
        <w:rPr>
          <w:rFonts w:asciiTheme="majorHAnsi" w:eastAsia="Yu Mincho" w:hAnsiTheme="majorHAnsi" w:cstheme="majorHAnsi"/>
          <w:i/>
          <w:iCs/>
          <w:color w:val="000000" w:themeColor="text1"/>
          <w:spacing w:val="-4"/>
          <w:sz w:val="22"/>
          <w:szCs w:val="22"/>
          <w:lang w:eastAsia="ja-JP"/>
        </w:rPr>
        <w:sym w:font="Symbol" w:char="F062"/>
      </w:r>
      <w:r w:rsidRPr="005E6B7C">
        <w:rPr>
          <w:rFonts w:asciiTheme="majorHAnsi" w:eastAsia="Yu Mincho" w:hAnsiTheme="majorHAnsi" w:cstheme="majorHAnsi"/>
          <w:color w:val="000000" w:themeColor="text1"/>
          <w:spacing w:val="-4"/>
          <w:sz w:val="22"/>
          <w:szCs w:val="22"/>
          <w:lang w:eastAsia="ja-JP"/>
        </w:rPr>
        <w:t>-D-glucopyranoside</w:t>
      </w:r>
      <w:r w:rsidRPr="005E6B7C">
        <w:rPr>
          <w:rFonts w:asciiTheme="majorHAnsi" w:eastAsia="Yu Mincho" w:hAnsiTheme="majorHAnsi" w:cstheme="majorHAnsi"/>
          <w:bCs/>
          <w:color w:val="000000" w:themeColor="text1"/>
          <w:spacing w:val="-4"/>
          <w:sz w:val="22"/>
          <w:szCs w:val="22"/>
          <w:lang w:eastAsia="ja-JP"/>
        </w:rPr>
        <w:t xml:space="preserve"> </w:t>
      </w:r>
      <w:r w:rsidRPr="005E6B7C">
        <w:rPr>
          <w:rFonts w:asciiTheme="majorHAnsi" w:eastAsia="Yu Mincho" w:hAnsiTheme="majorHAnsi" w:cstheme="majorHAnsi"/>
          <w:bCs/>
          <w:color w:val="000000" w:themeColor="text1"/>
          <w:spacing w:val="-4"/>
          <w:sz w:val="22"/>
          <w:szCs w:val="22"/>
          <w:lang w:eastAsia="ja-JP"/>
        </w:rPr>
        <w:fldChar w:fldCharType="begin"/>
      </w:r>
      <w:r w:rsidRPr="005E6B7C">
        <w:rPr>
          <w:rFonts w:asciiTheme="majorHAnsi" w:eastAsia="Yu Mincho" w:hAnsiTheme="majorHAnsi" w:cstheme="majorHAnsi"/>
          <w:bCs/>
          <w:color w:val="000000" w:themeColor="text1"/>
          <w:spacing w:val="-4"/>
          <w:sz w:val="22"/>
          <w:szCs w:val="22"/>
          <w:lang w:eastAsia="ja-JP"/>
        </w:rPr>
        <w:instrText xml:space="preserve"> ADDIN EN.CITE &lt;EndNote&gt;&lt;Cite&gt;&lt;Author&gt;Zhou&lt;/Author&gt;&lt;Year&gt;2009&lt;/Year&gt;&lt;RecNum&gt;128&lt;/RecNum&gt;&lt;DisplayText&gt;[12]&lt;/DisplayText&gt;&lt;record&gt;&lt;rec-number&gt;128&lt;/rec-number&gt;&lt;foreign-keys&gt;&lt;key app="EN" db-id="tft9dfze3vf9poe9vtjx0wtlrts555p959rp" timestamp="1764994050"&gt;128&lt;/key&gt;&lt;/foreign-keys&gt;&lt;ref-type name="Journal Article"&gt;17&lt;/ref-type&gt;&lt;contributors&gt;&lt;authors&gt;&lt;author&gt;Zhou, Y.&lt;/author&gt;&lt;author&gt;Wang, W.&lt;/author&gt;&lt;author&gt;Tang, L.&lt;/author&gt;&lt;author&gt;Yan, X. G.&lt;/author&gt;&lt;author&gt;Shi, L. Y.&lt;/author&gt;&lt;author&gt;Wang, Y. Q.&lt;/author&gt;&lt;author&gt;Feng, B. M.&lt;/author&gt;&lt;/authors&gt;&lt;/contributors&gt;&lt;auth-address&gt;College of Bioengineering, Dalian University, 116622, Dalian, China.&lt;/auth-address&gt;&lt;titles&gt;&lt;title&gt;&lt;style face="normal" font="default" size="100%"&gt;Lignan and flavonoid glycosides from &lt;/style&gt;&lt;style face="italic" font="default" size="100%"&gt;Urtica laetevirens&lt;/style&gt;&lt;style face="normal" font="default" size="100%"&gt; Maxim&lt;/style&gt;&lt;/title&gt;&lt;secondary-title&gt;J Nat Med&lt;/secondary-title&gt;&lt;alt-title&gt;Journal of natural medicines&lt;/alt-title&gt;&lt;/titles&gt;&lt;periodical&gt;&lt;full-title&gt;J Nat Med&lt;/full-title&gt;&lt;abbr-1&gt;Journal of natural medicines&lt;/abbr-1&gt;&lt;/periodical&gt;&lt;alt-periodical&gt;&lt;full-title&gt;J Nat Med&lt;/full-title&gt;&lt;abbr-1&gt;Journal of natural medicines&lt;/abbr-1&gt;&lt;/alt-periodical&gt;&lt;pages&gt;100-1&lt;/pages&gt;&lt;volume&gt;63&lt;/volume&gt;&lt;number&gt;1&lt;/number&gt;&lt;edition&gt;2008/07/05&lt;/edition&gt;&lt;keywords&gt;&lt;keyword&gt;Flavonoids/*chemistry&lt;/keyword&gt;&lt;keyword&gt;Glycosides/*chemistry/isolation &amp;amp; purification&lt;/keyword&gt;&lt;keyword&gt;Lignans/*chemistry/isolation &amp;amp; purification&lt;/keyword&gt;&lt;keyword&gt;Magnetic Resonance Spectroscopy&lt;/keyword&gt;&lt;keyword&gt;Molecular Structure&lt;/keyword&gt;&lt;keyword&gt;Urticaceae/*chemistry&lt;/keyword&gt;&lt;/keywords&gt;&lt;dates&gt;&lt;year&gt;2009&lt;/year&gt;&lt;pub-dates&gt;&lt;date&gt;Jan&lt;/date&gt;&lt;/pub-dates&gt;&lt;/dates&gt;&lt;isbn&gt;1340-3443&lt;/isbn&gt;&lt;accession-num&gt;18600298&lt;/accession-num&gt;&lt;urls&gt;&lt;/urls&gt;&lt;electronic-resource-num&gt;10.1007/s11418-008-0274-8&lt;/electronic-resource-num&gt;&lt;remote-database-provider&gt;NLM&lt;/remote-database-provider&gt;&lt;language&gt;eng&lt;/language&gt;&lt;/record&gt;&lt;/Cite&gt;&lt;/EndNote&gt;</w:instrText>
      </w:r>
      <w:r w:rsidRPr="005E6B7C">
        <w:rPr>
          <w:rFonts w:asciiTheme="majorHAnsi" w:eastAsia="Yu Mincho" w:hAnsiTheme="majorHAnsi" w:cstheme="majorHAnsi"/>
          <w:bCs/>
          <w:color w:val="000000" w:themeColor="text1"/>
          <w:spacing w:val="-4"/>
          <w:sz w:val="22"/>
          <w:szCs w:val="22"/>
          <w:lang w:eastAsia="ja-JP"/>
        </w:rPr>
        <w:fldChar w:fldCharType="separate"/>
      </w:r>
      <w:r w:rsidRPr="005E6B7C">
        <w:rPr>
          <w:rFonts w:asciiTheme="majorHAnsi" w:eastAsia="Yu Mincho" w:hAnsiTheme="majorHAnsi" w:cstheme="majorHAnsi"/>
          <w:bCs/>
          <w:noProof/>
          <w:color w:val="000000" w:themeColor="text1"/>
          <w:spacing w:val="-4"/>
          <w:sz w:val="22"/>
          <w:szCs w:val="22"/>
          <w:lang w:eastAsia="ja-JP"/>
        </w:rPr>
        <w:t>[</w:t>
      </w:r>
      <w:hyperlink w:anchor="_ENREF_12" w:tooltip="Zhou, 2009 #128" w:history="1">
        <w:r w:rsidRPr="005E6B7C">
          <w:rPr>
            <w:rFonts w:asciiTheme="majorHAnsi" w:eastAsia="Yu Mincho" w:hAnsiTheme="majorHAnsi" w:cstheme="majorHAnsi"/>
            <w:bCs/>
            <w:noProof/>
            <w:color w:val="000000" w:themeColor="text1"/>
            <w:spacing w:val="-4"/>
            <w:sz w:val="22"/>
            <w:szCs w:val="22"/>
            <w:lang w:eastAsia="ja-JP"/>
          </w:rPr>
          <w:t>12</w:t>
        </w:r>
      </w:hyperlink>
      <w:r w:rsidRPr="005E6B7C">
        <w:rPr>
          <w:rFonts w:asciiTheme="majorHAnsi" w:eastAsia="Yu Mincho" w:hAnsiTheme="majorHAnsi" w:cstheme="majorHAnsi"/>
          <w:bCs/>
          <w:noProof/>
          <w:color w:val="000000" w:themeColor="text1"/>
          <w:spacing w:val="-4"/>
          <w:sz w:val="22"/>
          <w:szCs w:val="22"/>
          <w:lang w:eastAsia="ja-JP"/>
        </w:rPr>
        <w:t>]</w:t>
      </w:r>
      <w:r w:rsidRPr="005E6B7C">
        <w:rPr>
          <w:rFonts w:asciiTheme="majorHAnsi" w:eastAsia="Yu Mincho" w:hAnsiTheme="majorHAnsi" w:cstheme="majorHAnsi"/>
          <w:bCs/>
          <w:color w:val="000000" w:themeColor="text1"/>
          <w:spacing w:val="-4"/>
          <w:sz w:val="22"/>
          <w:szCs w:val="22"/>
          <w:lang w:eastAsia="ja-JP"/>
        </w:rPr>
        <w:fldChar w:fldCharType="end"/>
      </w:r>
      <w:r w:rsidRPr="005E6B7C">
        <w:rPr>
          <w:rFonts w:asciiTheme="majorHAnsi" w:eastAsia="Yu Mincho" w:hAnsiTheme="majorHAnsi" w:cstheme="majorHAnsi"/>
          <w:bCs/>
          <w:color w:val="000000" w:themeColor="text1"/>
          <w:spacing w:val="-4"/>
          <w:sz w:val="22"/>
          <w:szCs w:val="22"/>
          <w:lang w:eastAsia="ja-JP"/>
        </w:rPr>
        <w:t>.</w:t>
      </w:r>
    </w:p>
    <w:p w14:paraId="1C643091" w14:textId="6AAFDEB9"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spectrum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exhibited signals of three ABX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7.05 (br s, H-2), 7.25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8.5 Hz, H-5), 6.95 (br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8.5 Hz, H-6)] and two </w:t>
      </w:r>
      <w:r w:rsidRPr="005E6B7C">
        <w:rPr>
          <w:rFonts w:asciiTheme="majorHAnsi" w:eastAsia="Yu Mincho" w:hAnsiTheme="majorHAnsi" w:cstheme="majorHAnsi"/>
          <w:bCs/>
          <w:i/>
          <w:iCs/>
          <w:color w:val="000000" w:themeColor="text1"/>
          <w:sz w:val="22"/>
          <w:szCs w:val="22"/>
          <w:lang w:eastAsia="ja-JP"/>
        </w:rPr>
        <w:t>meta</w:t>
      </w:r>
      <w:r w:rsidRPr="005E6B7C">
        <w:rPr>
          <w:rFonts w:asciiTheme="majorHAnsi" w:eastAsia="Yu Mincho" w:hAnsiTheme="majorHAnsi" w:cstheme="majorHAnsi"/>
          <w:bCs/>
          <w:color w:val="000000" w:themeColor="text1"/>
          <w:sz w:val="22"/>
          <w:szCs w:val="22"/>
          <w:lang w:eastAsia="ja-JP"/>
        </w:rPr>
        <w:t xml:space="preserve"> coupled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6.75 (br s, H-2) and 6.73 </w:t>
      </w:r>
      <w:r w:rsidR="004C20BA" w:rsidRPr="005E6B7C">
        <w:rPr>
          <w:rFonts w:asciiTheme="majorHAnsi" w:eastAsia="Yu Mincho" w:hAnsiTheme="majorHAnsi" w:cstheme="majorHAnsi"/>
          <w:bCs/>
          <w:color w:val="000000" w:themeColor="text1"/>
          <w:sz w:val="22"/>
          <w:szCs w:val="22"/>
          <w:lang w:val="vi-VN" w:eastAsia="ja-JP"/>
        </w:rPr>
        <w:t>(</w:t>
      </w:r>
      <w:r w:rsidRPr="005E6B7C">
        <w:rPr>
          <w:rFonts w:asciiTheme="majorHAnsi" w:eastAsia="Yu Mincho" w:hAnsiTheme="majorHAnsi" w:cstheme="majorHAnsi"/>
          <w:bCs/>
          <w:color w:val="000000" w:themeColor="text1"/>
          <w:sz w:val="22"/>
          <w:szCs w:val="22"/>
          <w:lang w:eastAsia="ja-JP"/>
        </w:rPr>
        <w:t>br s H-6)] aromatic protons, one oxymethine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5.57 (d,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6.0 Hz, H-7)], two oxymethylenes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3.77 (dd,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7.5, 11.0 Hz, H</w:t>
      </w:r>
      <w:r w:rsidRPr="005E6B7C">
        <w:rPr>
          <w:rFonts w:asciiTheme="majorHAnsi" w:eastAsia="Yu Mincho" w:hAnsiTheme="majorHAnsi" w:cstheme="majorHAnsi"/>
          <w:bCs/>
          <w:color w:val="000000" w:themeColor="text1"/>
          <w:sz w:val="22"/>
          <w:szCs w:val="22"/>
          <w:vertAlign w:val="subscript"/>
          <w:lang w:eastAsia="ja-JP"/>
        </w:rPr>
        <w:t>a</w:t>
      </w:r>
      <w:r w:rsidRPr="005E6B7C">
        <w:rPr>
          <w:rFonts w:asciiTheme="majorHAnsi" w:eastAsia="Yu Mincho" w:hAnsiTheme="majorHAnsi" w:cstheme="majorHAnsi"/>
          <w:bCs/>
          <w:color w:val="000000" w:themeColor="text1"/>
          <w:sz w:val="22"/>
          <w:szCs w:val="22"/>
          <w:lang w:eastAsia="ja-JP"/>
        </w:rPr>
        <w:t>-9), 3.87 (m, H</w:t>
      </w:r>
      <w:r w:rsidRPr="005E6B7C">
        <w:rPr>
          <w:rFonts w:asciiTheme="majorHAnsi" w:eastAsia="Yu Mincho" w:hAnsiTheme="majorHAnsi" w:cstheme="majorHAnsi"/>
          <w:bCs/>
          <w:color w:val="000000" w:themeColor="text1"/>
          <w:sz w:val="22"/>
          <w:szCs w:val="22"/>
          <w:vertAlign w:val="subscript"/>
          <w:lang w:eastAsia="ja-JP"/>
        </w:rPr>
        <w:t>b</w:t>
      </w:r>
      <w:r w:rsidRPr="005E6B7C">
        <w:rPr>
          <w:rFonts w:asciiTheme="majorHAnsi" w:eastAsia="Yu Mincho" w:hAnsiTheme="majorHAnsi" w:cstheme="majorHAnsi"/>
          <w:bCs/>
          <w:color w:val="000000" w:themeColor="text1"/>
          <w:sz w:val="22"/>
          <w:szCs w:val="22"/>
          <w:lang w:eastAsia="ja-JP"/>
        </w:rPr>
        <w:t xml:space="preserve">-9), and 3.58 (t, </w:t>
      </w:r>
      <w:r w:rsidRPr="005E6B7C">
        <w:rPr>
          <w:rFonts w:asciiTheme="majorHAnsi" w:eastAsia="Yu Mincho" w:hAnsiTheme="majorHAnsi" w:cstheme="majorHAnsi"/>
          <w:bCs/>
          <w:i/>
          <w:iCs/>
          <w:color w:val="000000" w:themeColor="text1"/>
          <w:sz w:val="22"/>
          <w:szCs w:val="22"/>
          <w:lang w:eastAsia="ja-JP"/>
        </w:rPr>
        <w:t>J</w:t>
      </w:r>
      <w:r w:rsidRPr="005E6B7C">
        <w:rPr>
          <w:rFonts w:asciiTheme="majorHAnsi" w:eastAsia="Yu Mincho" w:hAnsiTheme="majorHAnsi" w:cstheme="majorHAnsi"/>
          <w:bCs/>
          <w:color w:val="000000" w:themeColor="text1"/>
          <w:sz w:val="22"/>
          <w:szCs w:val="22"/>
          <w:lang w:eastAsia="ja-JP"/>
        </w:rPr>
        <w:t xml:space="preserve"> = 7.0 Hz, H-9</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and two methoxy groups [</w:t>
      </w:r>
      <w:r w:rsidRPr="005E6B7C">
        <w:rPr>
          <w:rFonts w:asciiTheme="majorHAnsi" w:eastAsia="Yu Mincho" w:hAnsiTheme="majorHAnsi" w:cstheme="majorHAnsi"/>
          <w:bCs/>
          <w:i/>
          <w:iCs/>
          <w:color w:val="000000" w:themeColor="text1"/>
          <w:sz w:val="22"/>
          <w:szCs w:val="22"/>
          <w:lang w:eastAsia="ja-JP"/>
        </w:rPr>
        <w:sym w:font="Symbol" w:char="F064"/>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3.85 (s, 3-OMe) and 3.89 (s, 3</w:t>
      </w:r>
      <w:r w:rsidRPr="005E6B7C">
        <w:rPr>
          <w:rFonts w:asciiTheme="majorHAnsi" w:eastAsia="Yu Mincho" w:hAnsiTheme="majorHAnsi" w:cstheme="majorHAnsi"/>
          <w:bCs/>
          <w:color w:val="000000" w:themeColor="text1"/>
          <w:sz w:val="22"/>
          <w:szCs w:val="22"/>
          <w:lang w:val="it-IT" w:eastAsia="ja-JP"/>
        </w:rPr>
        <w:sym w:font="Symbol" w:char="F0A2"/>
      </w:r>
      <w:r w:rsidRPr="005E6B7C">
        <w:rPr>
          <w:rFonts w:asciiTheme="majorHAnsi" w:eastAsia="Yu Mincho" w:hAnsiTheme="majorHAnsi" w:cstheme="majorHAnsi"/>
          <w:bCs/>
          <w:color w:val="000000" w:themeColor="text1"/>
          <w:sz w:val="22"/>
          <w:szCs w:val="22"/>
          <w:lang w:eastAsia="ja-JP"/>
        </w:rPr>
        <w:t xml:space="preserve">-OMe)]. In addition, signals of one glucose moiety were also recorded.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C</w:t>
      </w:r>
      <w:r w:rsidR="0044085B"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NMR data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closely resembled those of (7</w:t>
      </w:r>
      <w:r w:rsidRPr="005E6B7C">
        <w:rPr>
          <w:rFonts w:asciiTheme="majorHAnsi" w:eastAsia="Yu Mincho" w:hAnsiTheme="majorHAnsi" w:cstheme="majorHAnsi"/>
          <w:bCs/>
          <w:i/>
          <w:iCs/>
          <w:color w:val="000000" w:themeColor="text1"/>
          <w:sz w:val="22"/>
          <w:szCs w:val="22"/>
          <w:lang w:eastAsia="ja-JP"/>
        </w:rPr>
        <w:t>S*</w:t>
      </w:r>
      <w:r w:rsidRPr="005E6B7C">
        <w:rPr>
          <w:rFonts w:asciiTheme="majorHAnsi" w:eastAsia="Yu Mincho" w:hAnsiTheme="majorHAnsi" w:cstheme="majorHAnsi"/>
          <w:bCs/>
          <w:color w:val="000000" w:themeColor="text1"/>
          <w:sz w:val="22"/>
          <w:szCs w:val="22"/>
          <w:lang w:eastAsia="ja-JP"/>
        </w:rPr>
        <w:t>,8</w:t>
      </w:r>
      <w:r w:rsidRPr="005E6B7C">
        <w:rPr>
          <w:rFonts w:asciiTheme="majorHAnsi" w:eastAsia="Yu Mincho" w:hAnsiTheme="majorHAnsi" w:cstheme="majorHAnsi"/>
          <w:bCs/>
          <w:i/>
          <w:iCs/>
          <w:color w:val="000000" w:themeColor="text1"/>
          <w:sz w:val="22"/>
          <w:szCs w:val="22"/>
          <w:lang w:eastAsia="ja-JP"/>
        </w:rPr>
        <w:t>R*</w:t>
      </w:r>
      <w:r w:rsidRPr="005E6B7C">
        <w:rPr>
          <w:rFonts w:asciiTheme="majorHAnsi" w:eastAsia="Yu Mincho" w:hAnsiTheme="majorHAnsi" w:cstheme="majorHAnsi"/>
          <w:bCs/>
          <w:color w:val="000000" w:themeColor="text1"/>
          <w:sz w:val="22"/>
          <w:szCs w:val="22"/>
          <w:lang w:eastAsia="ja-JP"/>
        </w:rPr>
        <w:t xml:space="preserve">)-urolignoside </w:t>
      </w:r>
      <w:r w:rsidRPr="005E6B7C">
        <w:rPr>
          <w:rFonts w:asciiTheme="majorHAnsi" w:eastAsia="Yu Mincho" w:hAnsiTheme="majorHAnsi" w:cstheme="majorHAnsi"/>
          <w:bCs/>
          <w:color w:val="000000" w:themeColor="text1"/>
          <w:sz w:val="22"/>
          <w:szCs w:val="22"/>
          <w:lang w:val="it-IT" w:eastAsia="ja-JP"/>
        </w:rPr>
        <w:fldChar w:fldCharType="begin">
          <w:fldData xml:space="preserve">PEVuZE5vdGU+PENpdGU+PEF1dGhvcj5LdWFuZzwvQXV0aG9yPjxZZWFyPjIwMDk8L1llYXI+PFJl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</w:fldData>
        </w:fldChar>
      </w:r>
      <w:r w:rsidRPr="005E6B7C">
        <w:rPr>
          <w:rFonts w:asciiTheme="majorHAnsi" w:eastAsia="Yu Mincho" w:hAnsiTheme="majorHAnsi" w:cstheme="majorHAnsi"/>
          <w:bCs/>
          <w:color w:val="000000" w:themeColor="text1"/>
          <w:sz w:val="22"/>
          <w:szCs w:val="22"/>
          <w:lang w:eastAsia="ja-JP"/>
        </w:rPr>
        <w:instrText xml:space="preserve"> ADDIN EN.CITE </w:instrText>
      </w:r>
      <w:r w:rsidRPr="005E6B7C">
        <w:rPr>
          <w:rFonts w:asciiTheme="majorHAnsi" w:eastAsia="Yu Mincho" w:hAnsiTheme="majorHAnsi" w:cstheme="majorHAnsi"/>
          <w:bCs/>
          <w:color w:val="000000" w:themeColor="text1"/>
          <w:sz w:val="22"/>
          <w:szCs w:val="22"/>
          <w:lang w:val="it-IT" w:eastAsia="ja-JP"/>
        </w:rPr>
        <w:fldChar w:fldCharType="begin">
          <w:fldData xml:space="preserve">PEVuZE5vdGU+PENpdGU+PEF1dGhvcj5LdWFuZzwvQXV0aG9yPjxZZWFyPjIwMDk8L1llYXI+PFJl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</w:fldData>
        </w:fldChar>
      </w:r>
      <w:r w:rsidRPr="005E6B7C">
        <w:rPr>
          <w:rFonts w:asciiTheme="majorHAnsi" w:eastAsia="Yu Mincho" w:hAnsiTheme="majorHAnsi" w:cstheme="majorHAnsi"/>
          <w:bCs/>
          <w:color w:val="000000" w:themeColor="text1"/>
          <w:sz w:val="22"/>
          <w:szCs w:val="22"/>
          <w:lang w:eastAsia="ja-JP"/>
        </w:rPr>
        <w:instrText xml:space="preserve"> ADDIN EN.CITE.DATA </w:instrText>
      </w:r>
      <w:r w:rsidRPr="005E6B7C">
        <w:rPr>
          <w:rFonts w:asciiTheme="majorHAnsi" w:eastAsia="Yu Mincho" w:hAnsiTheme="majorHAnsi" w:cstheme="majorHAnsi"/>
          <w:bCs/>
          <w:color w:val="000000" w:themeColor="text1"/>
          <w:sz w:val="22"/>
          <w:szCs w:val="22"/>
          <w:lang w:val="it-IT" w:eastAsia="ja-JP"/>
        </w:rPr>
      </w:r>
      <w:r w:rsidRPr="005E6B7C">
        <w:rPr>
          <w:rFonts w:asciiTheme="majorHAnsi" w:eastAsia="Yu Mincho" w:hAnsiTheme="majorHAnsi" w:cstheme="majorHAnsi"/>
          <w:bCs/>
          <w:color w:val="000000" w:themeColor="text1"/>
          <w:sz w:val="22"/>
          <w:szCs w:val="22"/>
          <w:lang w:val="it-IT" w:eastAsia="ja-JP"/>
        </w:rPr>
        <w:fldChar w:fldCharType="end"/>
      </w:r>
      <w:r w:rsidRPr="005E6B7C">
        <w:rPr>
          <w:rFonts w:asciiTheme="majorHAnsi" w:eastAsia="Yu Mincho" w:hAnsiTheme="majorHAnsi" w:cstheme="majorHAnsi"/>
          <w:bCs/>
          <w:color w:val="000000" w:themeColor="text1"/>
          <w:sz w:val="22"/>
          <w:szCs w:val="22"/>
          <w:lang w:val="it-IT" w:eastAsia="ja-JP"/>
        </w:rPr>
      </w:r>
      <w:r w:rsidRPr="005E6B7C">
        <w:rPr>
          <w:rFonts w:asciiTheme="majorHAnsi" w:eastAsia="Yu Mincho" w:hAnsiTheme="majorHAnsi" w:cstheme="majorHAnsi"/>
          <w:bCs/>
          <w:color w:val="000000" w:themeColor="text1"/>
          <w:sz w:val="22"/>
          <w:szCs w:val="22"/>
          <w:lang w:val="it-IT"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3" w:tooltip="Kuang, 2009 #129" w:history="1">
        <w:r w:rsidRPr="005E6B7C">
          <w:rPr>
            <w:rFonts w:asciiTheme="majorHAnsi" w:eastAsia="Yu Mincho" w:hAnsiTheme="majorHAnsi" w:cstheme="majorHAnsi"/>
            <w:bCs/>
            <w:noProof/>
            <w:color w:val="000000" w:themeColor="text1"/>
            <w:sz w:val="22"/>
            <w:szCs w:val="22"/>
            <w:lang w:eastAsia="ja-JP"/>
          </w:rPr>
          <w:t>13</w:t>
        </w:r>
      </w:hyperlink>
      <w:r w:rsidRPr="005E6B7C">
        <w:rPr>
          <w:rFonts w:asciiTheme="majorHAnsi" w:eastAsia="Yu Mincho" w:hAnsiTheme="majorHAnsi" w:cstheme="majorHAnsi"/>
          <w:bCs/>
          <w:noProof/>
          <w:color w:val="000000" w:themeColor="text1"/>
          <w:sz w:val="22"/>
          <w:szCs w:val="22"/>
          <w:lang w:eastAsia="ja-JP"/>
        </w:rPr>
        <w:t>],[</w:t>
      </w:r>
      <w:hyperlink w:anchor="_ENREF_14" w:tooltip="Takara, 2003 #130" w:history="1">
        <w:r w:rsidRPr="005E6B7C">
          <w:rPr>
            <w:rFonts w:asciiTheme="majorHAnsi" w:eastAsia="Yu Mincho" w:hAnsiTheme="majorHAnsi" w:cstheme="majorHAnsi"/>
            <w:bCs/>
            <w:noProof/>
            <w:color w:val="000000" w:themeColor="text1"/>
            <w:sz w:val="22"/>
            <w:szCs w:val="22"/>
            <w:lang w:eastAsia="ja-JP"/>
          </w:rPr>
          <w:t>14</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val="it-IT" w:eastAsia="ja-JP"/>
        </w:rPr>
        <w:fldChar w:fldCharType="end"/>
      </w:r>
      <w:r w:rsidRPr="005E6B7C">
        <w:rPr>
          <w:rFonts w:asciiTheme="majorHAnsi" w:eastAsia="Yu Mincho" w:hAnsiTheme="majorHAnsi" w:cstheme="majorHAnsi"/>
          <w:bCs/>
          <w:color w:val="000000" w:themeColor="text1"/>
          <w:sz w:val="22"/>
          <w:szCs w:val="22"/>
          <w:lang w:eastAsia="ja-JP"/>
        </w:rPr>
        <w:t xml:space="preserve">. The structure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was further confirmed by the HMBC experiment, as shown in </w:t>
      </w:r>
      <w:r w:rsidR="00517F81" w:rsidRPr="005E6B7C">
        <w:rPr>
          <w:rFonts w:asciiTheme="majorHAnsi" w:eastAsia="Yu Mincho" w:hAnsiTheme="majorHAnsi" w:cstheme="majorHAnsi"/>
          <w:bCs/>
          <w:color w:val="000000" w:themeColor="text1"/>
          <w:sz w:val="22"/>
          <w:szCs w:val="22"/>
          <w:lang w:eastAsia="ja-JP"/>
        </w:rPr>
        <w:t xml:space="preserve">Fig. </w:t>
      </w:r>
      <w:r w:rsidRPr="005E6B7C">
        <w:rPr>
          <w:rFonts w:asciiTheme="majorHAnsi" w:eastAsia="Yu Mincho" w:hAnsiTheme="majorHAnsi" w:cstheme="majorHAnsi"/>
          <w:bCs/>
          <w:color w:val="000000" w:themeColor="text1"/>
          <w:sz w:val="22"/>
          <w:szCs w:val="22"/>
          <w:lang w:eastAsia="ja-JP"/>
        </w:rPr>
        <w:t xml:space="preserve">1. Without CD data, only the relative configuration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was assigned </w:t>
      </w:r>
      <w:r w:rsidRPr="005E6B7C">
        <w:rPr>
          <w:rFonts w:asciiTheme="majorHAnsi" w:eastAsia="Yu Mincho" w:hAnsiTheme="majorHAnsi" w:cstheme="majorHAnsi"/>
          <w:bCs/>
          <w:color w:val="000000" w:themeColor="text1"/>
          <w:sz w:val="22"/>
          <w:szCs w:val="22"/>
          <w:lang w:eastAsia="ja-JP"/>
        </w:rPr>
        <w:t>by comparison of its NMR and [</w:t>
      </w:r>
      <w:r w:rsidRPr="005E6B7C">
        <w:rPr>
          <w:rFonts w:asciiTheme="majorHAnsi" w:eastAsia="Yu Mincho" w:hAnsiTheme="majorHAnsi" w:cstheme="majorHAnsi"/>
          <w:bCs/>
          <w:color w:val="000000" w:themeColor="text1"/>
          <w:sz w:val="22"/>
          <w:szCs w:val="22"/>
          <w:lang w:val="it-IT" w:eastAsia="ja-JP"/>
        </w:rPr>
        <w:sym w:font="Symbol" w:char="F061"/>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vertAlign w:val="subscript"/>
          <w:lang w:eastAsia="ja-JP"/>
        </w:rPr>
        <w:t>D</w:t>
      </w:r>
      <w:r w:rsidRPr="005E6B7C">
        <w:rPr>
          <w:rFonts w:asciiTheme="majorHAnsi" w:eastAsia="Yu Mincho" w:hAnsiTheme="majorHAnsi" w:cstheme="majorHAnsi"/>
          <w:bCs/>
          <w:color w:val="000000" w:themeColor="text1"/>
          <w:sz w:val="22"/>
          <w:szCs w:val="22"/>
          <w:lang w:eastAsia="ja-JP"/>
        </w:rPr>
        <w:t xml:space="preserve"> data with the reported values. Consequently, compound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was identified to be (7</w:t>
      </w:r>
      <w:r w:rsidRPr="005E6B7C">
        <w:rPr>
          <w:rFonts w:asciiTheme="majorHAnsi" w:eastAsia="Yu Mincho" w:hAnsiTheme="majorHAnsi" w:cstheme="majorHAnsi"/>
          <w:bCs/>
          <w:i/>
          <w:iCs/>
          <w:color w:val="000000" w:themeColor="text1"/>
          <w:sz w:val="22"/>
          <w:szCs w:val="22"/>
          <w:lang w:eastAsia="ja-JP"/>
        </w:rPr>
        <w:t>S*</w:t>
      </w:r>
      <w:r w:rsidRPr="005E6B7C">
        <w:rPr>
          <w:rFonts w:asciiTheme="majorHAnsi" w:eastAsia="Yu Mincho" w:hAnsiTheme="majorHAnsi" w:cstheme="majorHAnsi"/>
          <w:bCs/>
          <w:color w:val="000000" w:themeColor="text1"/>
          <w:sz w:val="22"/>
          <w:szCs w:val="22"/>
          <w:lang w:eastAsia="ja-JP"/>
        </w:rPr>
        <w:t>,8</w:t>
      </w:r>
      <w:r w:rsidRPr="005E6B7C">
        <w:rPr>
          <w:rFonts w:asciiTheme="majorHAnsi" w:eastAsia="Yu Mincho" w:hAnsiTheme="majorHAnsi" w:cstheme="majorHAnsi"/>
          <w:bCs/>
          <w:i/>
          <w:iCs/>
          <w:color w:val="000000" w:themeColor="text1"/>
          <w:sz w:val="22"/>
          <w:szCs w:val="22"/>
          <w:lang w:eastAsia="ja-JP"/>
        </w:rPr>
        <w:t>R*</w:t>
      </w:r>
      <w:r w:rsidRPr="005E6B7C">
        <w:rPr>
          <w:rFonts w:asciiTheme="majorHAnsi" w:eastAsia="Yu Mincho" w:hAnsiTheme="majorHAnsi" w:cstheme="majorHAnsi"/>
          <w:bCs/>
          <w:color w:val="000000" w:themeColor="text1"/>
          <w:sz w:val="22"/>
          <w:szCs w:val="22"/>
          <w:lang w:eastAsia="ja-JP"/>
        </w:rPr>
        <w:t xml:space="preserve">)-urolignoside </w:t>
      </w:r>
      <w:r w:rsidRPr="005E6B7C">
        <w:rPr>
          <w:rFonts w:asciiTheme="majorHAnsi" w:eastAsia="Yu Mincho" w:hAnsiTheme="majorHAnsi" w:cstheme="majorHAnsi"/>
          <w:bCs/>
          <w:color w:val="000000" w:themeColor="text1"/>
          <w:sz w:val="22"/>
          <w:szCs w:val="22"/>
          <w:lang w:val="it-IT" w:eastAsia="ja-JP"/>
        </w:rPr>
        <w:fldChar w:fldCharType="begin">
          <w:fldData xml:space="preserve">PEVuZE5vdGU+PENpdGU+PEF1dGhvcj5LdWFuZzwvQXV0aG9yPjxZZWFyPjIwMDk8L1llYXI+PFJl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</w:fldData>
        </w:fldChar>
      </w:r>
      <w:r w:rsidRPr="005E6B7C">
        <w:rPr>
          <w:rFonts w:asciiTheme="majorHAnsi" w:eastAsia="Yu Mincho" w:hAnsiTheme="majorHAnsi" w:cstheme="majorHAnsi"/>
          <w:bCs/>
          <w:color w:val="000000" w:themeColor="text1"/>
          <w:sz w:val="22"/>
          <w:szCs w:val="22"/>
          <w:lang w:eastAsia="ja-JP"/>
        </w:rPr>
        <w:instrText xml:space="preserve"> ADDIN EN.CITE </w:instrText>
      </w:r>
      <w:r w:rsidRPr="005E6B7C">
        <w:rPr>
          <w:rFonts w:asciiTheme="majorHAnsi" w:eastAsia="Yu Mincho" w:hAnsiTheme="majorHAnsi" w:cstheme="majorHAnsi"/>
          <w:bCs/>
          <w:color w:val="000000" w:themeColor="text1"/>
          <w:sz w:val="22"/>
          <w:szCs w:val="22"/>
          <w:lang w:val="it-IT" w:eastAsia="ja-JP"/>
        </w:rPr>
        <w:fldChar w:fldCharType="begin">
          <w:fldData xml:space="preserve">PEVuZE5vdGU+PENpdGU+PEF1dGhvcj5LdWFuZzwvQXV0aG9yPjxZZWFyPjIwMDk8L1llYXI+PFJl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</w:fldData>
        </w:fldChar>
      </w:r>
      <w:r w:rsidRPr="005E6B7C">
        <w:rPr>
          <w:rFonts w:asciiTheme="majorHAnsi" w:eastAsia="Yu Mincho" w:hAnsiTheme="majorHAnsi" w:cstheme="majorHAnsi"/>
          <w:bCs/>
          <w:color w:val="000000" w:themeColor="text1"/>
          <w:sz w:val="22"/>
          <w:szCs w:val="22"/>
          <w:lang w:eastAsia="ja-JP"/>
        </w:rPr>
        <w:instrText xml:space="preserve"> ADDIN EN.CITE.DATA </w:instrText>
      </w:r>
      <w:r w:rsidRPr="005E6B7C">
        <w:rPr>
          <w:rFonts w:asciiTheme="majorHAnsi" w:eastAsia="Yu Mincho" w:hAnsiTheme="majorHAnsi" w:cstheme="majorHAnsi"/>
          <w:bCs/>
          <w:color w:val="000000" w:themeColor="text1"/>
          <w:sz w:val="22"/>
          <w:szCs w:val="22"/>
          <w:lang w:val="it-IT" w:eastAsia="ja-JP"/>
        </w:rPr>
      </w:r>
      <w:r w:rsidRPr="005E6B7C">
        <w:rPr>
          <w:rFonts w:asciiTheme="majorHAnsi" w:eastAsia="Yu Mincho" w:hAnsiTheme="majorHAnsi" w:cstheme="majorHAnsi"/>
          <w:bCs/>
          <w:color w:val="000000" w:themeColor="text1"/>
          <w:sz w:val="22"/>
          <w:szCs w:val="22"/>
          <w:lang w:val="it-IT" w:eastAsia="ja-JP"/>
        </w:rPr>
        <w:fldChar w:fldCharType="end"/>
      </w:r>
      <w:r w:rsidRPr="005E6B7C">
        <w:rPr>
          <w:rFonts w:asciiTheme="majorHAnsi" w:eastAsia="Yu Mincho" w:hAnsiTheme="majorHAnsi" w:cstheme="majorHAnsi"/>
          <w:bCs/>
          <w:color w:val="000000" w:themeColor="text1"/>
          <w:sz w:val="22"/>
          <w:szCs w:val="22"/>
          <w:lang w:val="it-IT" w:eastAsia="ja-JP"/>
        </w:rPr>
      </w:r>
      <w:r w:rsidRPr="005E6B7C">
        <w:rPr>
          <w:rFonts w:asciiTheme="majorHAnsi" w:eastAsia="Yu Mincho" w:hAnsiTheme="majorHAnsi" w:cstheme="majorHAnsi"/>
          <w:bCs/>
          <w:color w:val="000000" w:themeColor="text1"/>
          <w:sz w:val="22"/>
          <w:szCs w:val="22"/>
          <w:lang w:val="it-IT" w:eastAsia="ja-JP"/>
        </w:rPr>
        <w:fldChar w:fldCharType="separate"/>
      </w:r>
      <w:r w:rsidRPr="005E6B7C">
        <w:rPr>
          <w:rFonts w:asciiTheme="majorHAnsi" w:eastAsia="Yu Mincho" w:hAnsiTheme="majorHAnsi" w:cstheme="majorHAnsi"/>
          <w:bCs/>
          <w:noProof/>
          <w:color w:val="000000" w:themeColor="text1"/>
          <w:sz w:val="22"/>
          <w:szCs w:val="22"/>
          <w:lang w:eastAsia="ja-JP"/>
        </w:rPr>
        <w:t>[</w:t>
      </w:r>
      <w:hyperlink w:anchor="_ENREF_13" w:tooltip="Kuang, 2009 #129" w:history="1">
        <w:r w:rsidRPr="005E6B7C">
          <w:rPr>
            <w:rFonts w:asciiTheme="majorHAnsi" w:eastAsia="Yu Mincho" w:hAnsiTheme="majorHAnsi" w:cstheme="majorHAnsi"/>
            <w:bCs/>
            <w:noProof/>
            <w:color w:val="000000" w:themeColor="text1"/>
            <w:sz w:val="22"/>
            <w:szCs w:val="22"/>
            <w:lang w:eastAsia="ja-JP"/>
          </w:rPr>
          <w:t>13</w:t>
        </w:r>
      </w:hyperlink>
      <w:r w:rsidRPr="005E6B7C">
        <w:rPr>
          <w:rFonts w:asciiTheme="majorHAnsi" w:eastAsia="Yu Mincho" w:hAnsiTheme="majorHAnsi" w:cstheme="majorHAnsi"/>
          <w:bCs/>
          <w:noProof/>
          <w:color w:val="000000" w:themeColor="text1"/>
          <w:sz w:val="22"/>
          <w:szCs w:val="22"/>
          <w:lang w:eastAsia="ja-JP"/>
        </w:rPr>
        <w:t>],[</w:t>
      </w:r>
      <w:hyperlink w:anchor="_ENREF_14" w:tooltip="Takara, 2003 #130" w:history="1">
        <w:r w:rsidRPr="005E6B7C">
          <w:rPr>
            <w:rFonts w:asciiTheme="majorHAnsi" w:eastAsia="Yu Mincho" w:hAnsiTheme="majorHAnsi" w:cstheme="majorHAnsi"/>
            <w:bCs/>
            <w:noProof/>
            <w:color w:val="000000" w:themeColor="text1"/>
            <w:sz w:val="22"/>
            <w:szCs w:val="22"/>
            <w:lang w:eastAsia="ja-JP"/>
          </w:rPr>
          <w:t>14</w:t>
        </w:r>
      </w:hyperlink>
      <w:r w:rsidRPr="005E6B7C">
        <w:rPr>
          <w:rFonts w:asciiTheme="majorHAnsi" w:eastAsia="Yu Mincho" w:hAnsiTheme="majorHAnsi" w:cstheme="majorHAnsi"/>
          <w:bCs/>
          <w:noProof/>
          <w:color w:val="000000" w:themeColor="text1"/>
          <w:sz w:val="22"/>
          <w:szCs w:val="22"/>
          <w:lang w:eastAsia="ja-JP"/>
        </w:rPr>
        <w:t>]</w:t>
      </w:r>
      <w:r w:rsidRPr="005E6B7C">
        <w:rPr>
          <w:rFonts w:asciiTheme="majorHAnsi" w:eastAsia="Yu Mincho" w:hAnsiTheme="majorHAnsi" w:cstheme="majorHAnsi"/>
          <w:bCs/>
          <w:color w:val="000000" w:themeColor="text1"/>
          <w:sz w:val="22"/>
          <w:szCs w:val="22"/>
          <w:lang w:val="it-IT" w:eastAsia="ja-JP"/>
        </w:rPr>
        <w:fldChar w:fldCharType="end"/>
      </w:r>
      <w:r w:rsidRPr="005E6B7C">
        <w:rPr>
          <w:rFonts w:asciiTheme="majorHAnsi" w:eastAsia="Yu Mincho" w:hAnsiTheme="majorHAnsi" w:cstheme="majorHAnsi"/>
          <w:bCs/>
          <w:color w:val="000000" w:themeColor="text1"/>
          <w:sz w:val="22"/>
          <w:szCs w:val="22"/>
          <w:lang w:eastAsia="ja-JP"/>
        </w:rPr>
        <w:t>.</w:t>
      </w:r>
    </w:p>
    <w:p w14:paraId="297B2B1E" w14:textId="77777777" w:rsidR="006E722D" w:rsidRPr="005E6B7C" w:rsidRDefault="006E722D" w:rsidP="006E722D">
      <w:pPr>
        <w:tabs>
          <w:tab w:val="left" w:pos="270"/>
          <w:tab w:val="left" w:pos="540"/>
          <w:tab w:val="left" w:pos="9270"/>
        </w:tabs>
        <w:spacing w:after="120"/>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Table 3. </w:t>
      </w:r>
      <w:r w:rsidRPr="005E6B7C">
        <w:rPr>
          <w:rFonts w:asciiTheme="majorHAnsi" w:eastAsia="Yu Mincho" w:hAnsiTheme="majorHAnsi" w:cstheme="majorHAnsi"/>
          <w:bCs/>
          <w:color w:val="000000" w:themeColor="text1"/>
          <w:sz w:val="18"/>
          <w:szCs w:val="18"/>
          <w:lang w:eastAsia="ja-JP"/>
        </w:rPr>
        <w:t xml:space="preserve">The antiproliferative activity of compounds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val="pt-BR" w:eastAsia="ja-JP"/>
        </w:rPr>
        <w:sym w:font="Symbol" w:char="F02D"/>
      </w:r>
      <w:r w:rsidRPr="005E6B7C">
        <w:rPr>
          <w:rFonts w:asciiTheme="majorHAnsi" w:eastAsia="Yu Mincho" w:hAnsiTheme="majorHAnsi" w:cstheme="majorHAnsi"/>
          <w:b/>
          <w:bCs/>
          <w:color w:val="000000" w:themeColor="text1"/>
          <w:sz w:val="18"/>
          <w:szCs w:val="18"/>
          <w:lang w:eastAsia="ja-JP"/>
        </w:rPr>
        <w:t>5</w:t>
      </w:r>
    </w:p>
    <w:tbl>
      <w:tblPr>
        <w:tblStyle w:val="TableGrid10"/>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1131"/>
        <w:gridCol w:w="1131"/>
        <w:gridCol w:w="1170"/>
        <w:gridCol w:w="951"/>
      </w:tblGrid>
      <w:tr w:rsidR="006E722D" w:rsidRPr="005E6B7C" w14:paraId="39904109" w14:textId="77777777" w:rsidTr="003B076D">
        <w:trPr>
          <w:jc w:val="center"/>
        </w:trPr>
        <w:tc>
          <w:tcPr>
            <w:tcW w:w="1290" w:type="pct"/>
            <w:vMerge w:val="restart"/>
            <w:vAlign w:val="center"/>
          </w:tcPr>
          <w:p w14:paraId="7531E78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Compounds</w:t>
            </w:r>
          </w:p>
        </w:tc>
        <w:tc>
          <w:tcPr>
            <w:tcW w:w="3710" w:type="pct"/>
            <w:gridSpan w:val="3"/>
            <w:vAlign w:val="center"/>
          </w:tcPr>
          <w:p w14:paraId="168CFB45" w14:textId="78004388"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IC</w:t>
            </w:r>
            <w:r w:rsidRPr="005E6B7C">
              <w:rPr>
                <w:rFonts w:asciiTheme="majorHAnsi" w:eastAsia="Yu Mincho" w:hAnsiTheme="majorHAnsi" w:cstheme="majorHAnsi"/>
                <w:b/>
                <w:bCs/>
                <w:color w:val="000000" w:themeColor="text1"/>
                <w:sz w:val="18"/>
                <w:szCs w:val="18"/>
                <w:vertAlign w:val="subscript"/>
                <w:lang w:eastAsia="ja-JP"/>
              </w:rPr>
              <w:t>50</w:t>
            </w:r>
            <w:r w:rsidRPr="005E6B7C">
              <w:rPr>
                <w:rFonts w:asciiTheme="majorHAnsi" w:eastAsia="Yu Mincho" w:hAnsiTheme="majorHAnsi" w:cstheme="majorHAnsi"/>
                <w:b/>
                <w:bCs/>
                <w:color w:val="000000" w:themeColor="text1"/>
                <w:sz w:val="18"/>
                <w:szCs w:val="18"/>
                <w:lang w:eastAsia="ja-JP"/>
              </w:rPr>
              <w:t xml:space="preserve"> values </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i/>
                <w:color w:val="000000" w:themeColor="text1"/>
                <w:sz w:val="18"/>
                <w:szCs w:val="18"/>
                <w:lang w:eastAsia="ja-JP"/>
              </w:rPr>
              <w:sym w:font="Symbol" w:char="F06D"/>
            </w:r>
            <w:r w:rsidRPr="005E6B7C">
              <w:rPr>
                <w:rFonts w:asciiTheme="majorHAnsi" w:eastAsia="Yu Mincho" w:hAnsiTheme="majorHAnsi" w:cstheme="majorHAnsi"/>
                <w:bCs/>
                <w:color w:val="000000" w:themeColor="text1"/>
                <w:sz w:val="18"/>
                <w:szCs w:val="18"/>
                <w:lang w:eastAsia="ja-JP"/>
              </w:rPr>
              <w:t>M)</w:t>
            </w:r>
          </w:p>
        </w:tc>
      </w:tr>
      <w:tr w:rsidR="006E722D" w:rsidRPr="005E6B7C" w14:paraId="2FD5DB39" w14:textId="77777777" w:rsidTr="003B076D">
        <w:trPr>
          <w:jc w:val="center"/>
        </w:trPr>
        <w:tc>
          <w:tcPr>
            <w:tcW w:w="1290" w:type="pct"/>
            <w:vMerge/>
            <w:vAlign w:val="center"/>
          </w:tcPr>
          <w:p w14:paraId="6E1BCE3C"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p>
        </w:tc>
        <w:tc>
          <w:tcPr>
            <w:tcW w:w="1290" w:type="pct"/>
            <w:vAlign w:val="center"/>
          </w:tcPr>
          <w:p w14:paraId="3BC3B714" w14:textId="16354E4A"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MCF</w:t>
            </w:r>
            <w:r w:rsidR="00FB7B36"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7</w:t>
            </w:r>
          </w:p>
        </w:tc>
        <w:tc>
          <w:tcPr>
            <w:tcW w:w="1335" w:type="pct"/>
            <w:vAlign w:val="center"/>
          </w:tcPr>
          <w:p w14:paraId="5E5347AA"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HepG2</w:t>
            </w:r>
          </w:p>
        </w:tc>
        <w:tc>
          <w:tcPr>
            <w:tcW w:w="1084" w:type="pct"/>
            <w:vAlign w:val="center"/>
          </w:tcPr>
          <w:p w14:paraId="3BF136F3"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SK-LU-1</w:t>
            </w:r>
          </w:p>
        </w:tc>
      </w:tr>
      <w:tr w:rsidR="006E722D" w:rsidRPr="005E6B7C" w14:paraId="02104777" w14:textId="77777777" w:rsidTr="003B076D">
        <w:trPr>
          <w:jc w:val="center"/>
        </w:trPr>
        <w:tc>
          <w:tcPr>
            <w:tcW w:w="1290" w:type="pct"/>
            <w:vAlign w:val="center"/>
          </w:tcPr>
          <w:p w14:paraId="3A47F678"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1</w:t>
            </w:r>
          </w:p>
        </w:tc>
        <w:tc>
          <w:tcPr>
            <w:tcW w:w="1290" w:type="pct"/>
            <w:vAlign w:val="center"/>
          </w:tcPr>
          <w:p w14:paraId="75C72E7C"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335" w:type="pct"/>
          </w:tcPr>
          <w:p w14:paraId="754F4387"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084" w:type="pct"/>
          </w:tcPr>
          <w:p w14:paraId="7CDE953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6E722D" w:rsidRPr="005E6B7C" w14:paraId="2BD39D49" w14:textId="77777777" w:rsidTr="003B076D">
        <w:trPr>
          <w:jc w:val="center"/>
        </w:trPr>
        <w:tc>
          <w:tcPr>
            <w:tcW w:w="1290" w:type="pct"/>
            <w:vAlign w:val="center"/>
          </w:tcPr>
          <w:p w14:paraId="45924EE9"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2</w:t>
            </w:r>
          </w:p>
        </w:tc>
        <w:tc>
          <w:tcPr>
            <w:tcW w:w="1290" w:type="pct"/>
            <w:vAlign w:val="center"/>
          </w:tcPr>
          <w:p w14:paraId="18EA20B5"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67.17 ± 5.97</w:t>
            </w:r>
          </w:p>
        </w:tc>
        <w:tc>
          <w:tcPr>
            <w:tcW w:w="1335" w:type="pct"/>
            <w:vAlign w:val="center"/>
          </w:tcPr>
          <w:p w14:paraId="68F584FC"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49.38 ± 3.64</w:t>
            </w:r>
          </w:p>
        </w:tc>
        <w:tc>
          <w:tcPr>
            <w:tcW w:w="1084" w:type="pct"/>
            <w:vAlign w:val="center"/>
          </w:tcPr>
          <w:p w14:paraId="2DFBB175"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71.03 ± 5.08</w:t>
            </w:r>
          </w:p>
        </w:tc>
      </w:tr>
      <w:tr w:rsidR="006E722D" w:rsidRPr="005E6B7C" w14:paraId="42A4ED05" w14:textId="77777777" w:rsidTr="003B076D">
        <w:trPr>
          <w:jc w:val="center"/>
        </w:trPr>
        <w:tc>
          <w:tcPr>
            <w:tcW w:w="1290" w:type="pct"/>
            <w:vAlign w:val="center"/>
          </w:tcPr>
          <w:p w14:paraId="7045D3CE"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3</w:t>
            </w:r>
          </w:p>
        </w:tc>
        <w:tc>
          <w:tcPr>
            <w:tcW w:w="1290" w:type="pct"/>
          </w:tcPr>
          <w:p w14:paraId="41DB8151"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335" w:type="pct"/>
          </w:tcPr>
          <w:p w14:paraId="1CFCE774"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084" w:type="pct"/>
          </w:tcPr>
          <w:p w14:paraId="2D481D9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6E722D" w:rsidRPr="005E6B7C" w14:paraId="62CFF373" w14:textId="77777777" w:rsidTr="003B076D">
        <w:trPr>
          <w:jc w:val="center"/>
        </w:trPr>
        <w:tc>
          <w:tcPr>
            <w:tcW w:w="1290" w:type="pct"/>
            <w:vAlign w:val="center"/>
          </w:tcPr>
          <w:p w14:paraId="4C25C29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4</w:t>
            </w:r>
          </w:p>
        </w:tc>
        <w:tc>
          <w:tcPr>
            <w:tcW w:w="1290" w:type="pct"/>
            <w:vAlign w:val="center"/>
          </w:tcPr>
          <w:p w14:paraId="5FA7ED28"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82.35 ± 5.39</w:t>
            </w:r>
          </w:p>
        </w:tc>
        <w:tc>
          <w:tcPr>
            <w:tcW w:w="1335" w:type="pct"/>
            <w:vAlign w:val="center"/>
          </w:tcPr>
          <w:p w14:paraId="4841F57E"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63.01 ± 5.14</w:t>
            </w:r>
          </w:p>
        </w:tc>
        <w:tc>
          <w:tcPr>
            <w:tcW w:w="1084" w:type="pct"/>
            <w:vAlign w:val="center"/>
          </w:tcPr>
          <w:p w14:paraId="2573B413"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84.55 ± 6.60</w:t>
            </w:r>
          </w:p>
        </w:tc>
      </w:tr>
      <w:tr w:rsidR="006E722D" w:rsidRPr="005E6B7C" w14:paraId="27B371F9" w14:textId="77777777" w:rsidTr="003B076D">
        <w:trPr>
          <w:jc w:val="center"/>
        </w:trPr>
        <w:tc>
          <w:tcPr>
            <w:tcW w:w="1290" w:type="pct"/>
            <w:vAlign w:val="center"/>
          </w:tcPr>
          <w:p w14:paraId="5EBB659B"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5</w:t>
            </w:r>
          </w:p>
        </w:tc>
        <w:tc>
          <w:tcPr>
            <w:tcW w:w="1290" w:type="pct"/>
          </w:tcPr>
          <w:p w14:paraId="5635DB8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335" w:type="pct"/>
          </w:tcPr>
          <w:p w14:paraId="6B348DCE"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084" w:type="pct"/>
          </w:tcPr>
          <w:p w14:paraId="5A311304"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6E722D" w:rsidRPr="005E6B7C" w14:paraId="1CEA36E0" w14:textId="77777777" w:rsidTr="003B076D">
        <w:trPr>
          <w:jc w:val="center"/>
        </w:trPr>
        <w:tc>
          <w:tcPr>
            <w:tcW w:w="1290" w:type="pct"/>
            <w:vAlign w:val="center"/>
          </w:tcPr>
          <w:p w14:paraId="2A28180D"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Ellip.</w:t>
            </w:r>
            <w:r w:rsidRPr="005E6B7C">
              <w:rPr>
                <w:rFonts w:asciiTheme="majorHAnsi" w:eastAsia="Yu Mincho" w:hAnsiTheme="majorHAnsi" w:cstheme="majorHAnsi"/>
                <w:bCs/>
                <w:color w:val="000000" w:themeColor="text1"/>
                <w:sz w:val="18"/>
                <w:szCs w:val="18"/>
                <w:vertAlign w:val="superscript"/>
                <w:lang w:eastAsia="ja-JP"/>
              </w:rPr>
              <w:t>a</w:t>
            </w:r>
          </w:p>
        </w:tc>
        <w:tc>
          <w:tcPr>
            <w:tcW w:w="1290" w:type="pct"/>
            <w:vAlign w:val="center"/>
          </w:tcPr>
          <w:p w14:paraId="5F2F8635"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1.46 ± 0.12</w:t>
            </w:r>
          </w:p>
        </w:tc>
        <w:tc>
          <w:tcPr>
            <w:tcW w:w="1335" w:type="pct"/>
            <w:vAlign w:val="center"/>
          </w:tcPr>
          <w:p w14:paraId="3D3C9724"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1.34 ± 0.12</w:t>
            </w:r>
          </w:p>
        </w:tc>
        <w:tc>
          <w:tcPr>
            <w:tcW w:w="1084" w:type="pct"/>
            <w:vAlign w:val="center"/>
          </w:tcPr>
          <w:p w14:paraId="587F0B88" w14:textId="77777777" w:rsidR="006E722D" w:rsidRPr="005E6B7C" w:rsidRDefault="006E722D" w:rsidP="004E2C03">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1.54 ± 0.12</w:t>
            </w:r>
          </w:p>
        </w:tc>
      </w:tr>
    </w:tbl>
    <w:p w14:paraId="6047FA60" w14:textId="77777777" w:rsidR="006E722D" w:rsidRPr="005E6B7C" w:rsidRDefault="006E722D" w:rsidP="006E722D">
      <w:pPr>
        <w:tabs>
          <w:tab w:val="left" w:pos="270"/>
          <w:tab w:val="left" w:pos="540"/>
          <w:tab w:val="left" w:pos="9270"/>
        </w:tabs>
        <w:spacing w:before="120"/>
        <w:ind w:right="-20"/>
        <w:jc w:val="both"/>
        <w:rPr>
          <w:rFonts w:asciiTheme="majorHAnsi" w:eastAsia="Yu Mincho" w:hAnsiTheme="majorHAnsi" w:cstheme="majorHAnsi"/>
          <w:bCs/>
          <w:i/>
          <w:color w:val="000000" w:themeColor="text1"/>
          <w:spacing w:val="-10"/>
          <w:sz w:val="18"/>
          <w:szCs w:val="18"/>
          <w:lang w:eastAsia="ja-JP"/>
        </w:rPr>
      </w:pPr>
      <w:r w:rsidRPr="005E6B7C">
        <w:rPr>
          <w:rFonts w:asciiTheme="majorHAnsi" w:hAnsiTheme="majorHAnsi" w:cstheme="majorHAnsi"/>
          <w:i/>
          <w:color w:val="000000" w:themeColor="text1"/>
          <w:spacing w:val="-10"/>
          <w:sz w:val="18"/>
          <w:szCs w:val="18"/>
          <w:vertAlign w:val="superscript"/>
          <w:lang w:eastAsia="ja-JP"/>
        </w:rPr>
        <w:t xml:space="preserve">a </w:t>
      </w:r>
      <w:r w:rsidRPr="005E6B7C">
        <w:rPr>
          <w:rFonts w:asciiTheme="majorHAnsi" w:hAnsiTheme="majorHAnsi" w:cstheme="majorHAnsi"/>
          <w:i/>
          <w:color w:val="000000" w:themeColor="text1"/>
          <w:spacing w:val="-10"/>
          <w:sz w:val="18"/>
          <w:szCs w:val="18"/>
          <w:lang w:eastAsia="ja-JP"/>
        </w:rPr>
        <w:t xml:space="preserve">Ellipticine was used as the positive control, </w:t>
      </w:r>
      <w:r w:rsidRPr="005E6B7C">
        <w:rPr>
          <w:rFonts w:asciiTheme="majorHAnsi" w:eastAsia="Yu Mincho" w:hAnsiTheme="majorHAnsi" w:cstheme="majorHAnsi"/>
          <w:i/>
          <w:color w:val="000000" w:themeColor="text1"/>
          <w:spacing w:val="-10"/>
          <w:sz w:val="18"/>
          <w:szCs w:val="18"/>
          <w:lang w:eastAsia="ja-JP"/>
        </w:rPr>
        <w:t>(-): IC</w:t>
      </w:r>
      <w:r w:rsidRPr="005E6B7C">
        <w:rPr>
          <w:rFonts w:asciiTheme="majorHAnsi" w:eastAsia="Yu Mincho" w:hAnsiTheme="majorHAnsi" w:cstheme="majorHAnsi"/>
          <w:i/>
          <w:color w:val="000000" w:themeColor="text1"/>
          <w:spacing w:val="-10"/>
          <w:sz w:val="18"/>
          <w:szCs w:val="18"/>
          <w:vertAlign w:val="subscript"/>
          <w:lang w:eastAsia="ja-JP"/>
        </w:rPr>
        <w:t>50</w:t>
      </w:r>
      <w:r w:rsidRPr="005E6B7C">
        <w:rPr>
          <w:rFonts w:asciiTheme="majorHAnsi" w:eastAsia="Yu Mincho" w:hAnsiTheme="majorHAnsi" w:cstheme="majorHAnsi"/>
          <w:i/>
          <w:color w:val="000000" w:themeColor="text1"/>
          <w:spacing w:val="-10"/>
          <w:sz w:val="18"/>
          <w:szCs w:val="18"/>
          <w:lang w:eastAsia="ja-JP"/>
        </w:rPr>
        <w:t xml:space="preserve"> &gt; 100 </w:t>
      </w:r>
      <w:r w:rsidRPr="005E6B7C">
        <w:rPr>
          <w:rFonts w:asciiTheme="majorHAnsi" w:eastAsia="Yu Mincho" w:hAnsiTheme="majorHAnsi" w:cstheme="majorHAnsi"/>
          <w:i/>
          <w:color w:val="000000" w:themeColor="text1"/>
          <w:spacing w:val="-10"/>
          <w:sz w:val="18"/>
          <w:szCs w:val="18"/>
          <w:lang w:eastAsia="ja-JP"/>
        </w:rPr>
        <w:sym w:font="Symbol" w:char="F06D"/>
      </w:r>
      <w:r w:rsidRPr="005E6B7C">
        <w:rPr>
          <w:rFonts w:asciiTheme="majorHAnsi" w:eastAsia="Yu Mincho" w:hAnsiTheme="majorHAnsi" w:cstheme="majorHAnsi"/>
          <w:i/>
          <w:color w:val="000000" w:themeColor="text1"/>
          <w:spacing w:val="-10"/>
          <w:sz w:val="18"/>
          <w:szCs w:val="18"/>
          <w:lang w:eastAsia="ja-JP"/>
        </w:rPr>
        <w:t>M.</w:t>
      </w:r>
    </w:p>
    <w:p w14:paraId="4020CB15" w14:textId="77777777" w:rsidR="000B7F16" w:rsidRPr="005E6B7C" w:rsidRDefault="000B7F16"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451BCC41" w14:textId="11542ECF"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were evaluated for their antiproliferative activity against three human cancer cell lines, MCF</w:t>
      </w:r>
      <w:r w:rsidR="00FB7B36"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7 (breast), HepG2 (liver), and SK-LU-1 (lung) using the MTT assay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PEVuZE5vdGU+PENpdGU+PEF1dGhvcj5TY3VkaWVybzwvQXV0aG9yPjxZZWFyPjE5ODg8L1llYXI+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PjxwYWdlcz40ODI3LTMzPC9wYWdlcz48dm9sdW1lPjQ4PC92b2x1bWU+PG51bWJlcj4xNzwvbnVt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PEVuZE5vdGU+PENpdGU+PEF1dGhvcj5TY3VkaWVybzwvQXV0aG9yPjxZZWFyPjE5ODg8L1llYXI+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PjxwYWdlcz40ODI3LTMzPC9wYWdlcz48dm9sdW1lPjQ4PC92b2x1bWU+PG51bWJlcj4xNzwvbnVt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6" w:tooltip="Scudiero, 1988 #62" w:history="1">
        <w:r w:rsidRPr="005E6B7C">
          <w:rPr>
            <w:rFonts w:asciiTheme="majorHAnsi" w:eastAsia="Yu Mincho" w:hAnsiTheme="majorHAnsi" w:cstheme="majorHAnsi"/>
            <w:noProof/>
            <w:color w:val="000000" w:themeColor="text1"/>
            <w:sz w:val="22"/>
            <w:szCs w:val="22"/>
            <w:lang w:eastAsia="ja-JP"/>
          </w:rPr>
          <w:t>6</w:t>
        </w:r>
      </w:hyperlink>
      <w:r w:rsidRPr="005E6B7C">
        <w:rPr>
          <w:rFonts w:asciiTheme="majorHAnsi" w:eastAsia="Yu Mincho" w:hAnsiTheme="majorHAnsi" w:cstheme="majorHAnsi"/>
          <w:noProof/>
          <w:color w:val="000000" w:themeColor="text1"/>
          <w:sz w:val="22"/>
          <w:szCs w:val="22"/>
          <w:lang w:eastAsia="ja-JP"/>
        </w:rPr>
        <w:t>],[</w:t>
      </w:r>
      <w:hyperlink w:anchor="_ENREF_7" w:tooltip="Nguyen, 2023 #63" w:history="1">
        <w:r w:rsidRPr="005E6B7C">
          <w:rPr>
            <w:rFonts w:asciiTheme="majorHAnsi" w:eastAsia="Yu Mincho" w:hAnsiTheme="majorHAnsi" w:cstheme="majorHAnsi"/>
            <w:noProof/>
            <w:color w:val="000000" w:themeColor="text1"/>
            <w:sz w:val="22"/>
            <w:szCs w:val="22"/>
            <w:lang w:eastAsia="ja-JP"/>
          </w:rPr>
          <w:t>7</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As the results (Table 3), </w:t>
      </w:r>
      <w:r w:rsidRPr="005E6B7C">
        <w:rPr>
          <w:rFonts w:asciiTheme="majorHAnsi" w:eastAsia="Yu Mincho" w:hAnsiTheme="majorHAnsi" w:cstheme="majorHAnsi"/>
          <w:bCs/>
          <w:color w:val="000000" w:themeColor="text1"/>
          <w:sz w:val="22"/>
          <w:szCs w:val="22"/>
          <w:lang w:eastAsia="ja-JP"/>
        </w:rPr>
        <w:t>phenylethyl-rutinoside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exhibited moderate </w:t>
      </w:r>
      <w:r w:rsidRPr="005E6B7C">
        <w:rPr>
          <w:rFonts w:asciiTheme="majorHAnsi" w:eastAsia="Yu Mincho" w:hAnsiTheme="majorHAnsi" w:cstheme="majorHAnsi"/>
          <w:color w:val="000000" w:themeColor="text1"/>
          <w:sz w:val="22"/>
          <w:szCs w:val="22"/>
          <w:lang w:eastAsia="ja-JP"/>
        </w:rPr>
        <w:t>activity</w:t>
      </w:r>
      <w:r w:rsidRPr="005E6B7C">
        <w:rPr>
          <w:rFonts w:asciiTheme="majorHAnsi" w:eastAsia="Yu Mincho" w:hAnsiTheme="majorHAnsi" w:cstheme="majorHAnsi"/>
          <w:bCs/>
          <w:color w:val="000000" w:themeColor="text1"/>
          <w:sz w:val="22"/>
          <w:szCs w:val="22"/>
          <w:lang w:eastAsia="ja-JP"/>
        </w:rPr>
        <w:t xml:space="preserve"> on the HepG2 cell line (IC</w:t>
      </w:r>
      <w:r w:rsidRPr="005E6B7C">
        <w:rPr>
          <w:rFonts w:asciiTheme="majorHAnsi" w:eastAsia="Yu Mincho" w:hAnsiTheme="majorHAnsi" w:cstheme="majorHAnsi"/>
          <w:bCs/>
          <w:color w:val="000000" w:themeColor="text1"/>
          <w:sz w:val="22"/>
          <w:szCs w:val="22"/>
          <w:vertAlign w:val="subscript"/>
          <w:lang w:eastAsia="ja-JP"/>
        </w:rPr>
        <w:t>50</w:t>
      </w:r>
      <w:r w:rsidRPr="005E6B7C">
        <w:rPr>
          <w:rFonts w:asciiTheme="majorHAnsi" w:eastAsia="Yu Mincho" w:hAnsiTheme="majorHAnsi" w:cstheme="majorHAnsi"/>
          <w:bCs/>
          <w:color w:val="000000" w:themeColor="text1"/>
          <w:sz w:val="22"/>
          <w:szCs w:val="22"/>
          <w:lang w:eastAsia="ja-JP"/>
        </w:rPr>
        <w:t xml:space="preserve"> = 49.38 ± 3.64 </w:t>
      </w:r>
      <w:r w:rsidRPr="005E6B7C">
        <w:rPr>
          <w:rFonts w:asciiTheme="majorHAnsi" w:eastAsia="Yu Mincho" w:hAnsiTheme="majorHAnsi" w:cstheme="majorHAnsi"/>
          <w:bCs/>
          <w:i/>
          <w:color w:val="000000" w:themeColor="text1"/>
          <w:sz w:val="22"/>
          <w:szCs w:val="22"/>
          <w:lang w:eastAsia="ja-JP"/>
        </w:rPr>
        <w:sym w:font="Symbol" w:char="F06D"/>
      </w:r>
      <w:r w:rsidRPr="005E6B7C">
        <w:rPr>
          <w:rFonts w:asciiTheme="majorHAnsi" w:eastAsia="Yu Mincho" w:hAnsiTheme="majorHAnsi" w:cstheme="majorHAnsi"/>
          <w:bCs/>
          <w:color w:val="000000" w:themeColor="text1"/>
          <w:sz w:val="22"/>
          <w:szCs w:val="22"/>
          <w:lang w:eastAsia="ja-JP"/>
        </w:rPr>
        <w:t xml:space="preserve">M) and weak effect on the </w:t>
      </w:r>
      <w:r w:rsidRPr="005E6B7C">
        <w:rPr>
          <w:rFonts w:asciiTheme="majorHAnsi" w:eastAsia="Yu Mincho" w:hAnsiTheme="majorHAnsi" w:cstheme="majorHAnsi"/>
          <w:bCs/>
          <w:sz w:val="22"/>
          <w:szCs w:val="22"/>
          <w:lang w:eastAsia="ja-JP"/>
        </w:rPr>
        <w:t xml:space="preserve">two </w:t>
      </w:r>
      <w:r w:rsidR="0072591F" w:rsidRPr="005E6B7C">
        <w:rPr>
          <w:rFonts w:asciiTheme="majorHAnsi" w:eastAsia="Yu Mincho" w:hAnsiTheme="majorHAnsi" w:cstheme="majorHAnsi"/>
          <w:bCs/>
          <w:sz w:val="22"/>
          <w:szCs w:val="22"/>
          <w:lang w:eastAsia="ja-JP"/>
        </w:rPr>
        <w:t>MCF</w:t>
      </w:r>
      <w:r w:rsidR="00FB7B36" w:rsidRPr="005E6B7C">
        <w:rPr>
          <w:rFonts w:asciiTheme="majorHAnsi" w:eastAsia="Yu Mincho" w:hAnsiTheme="majorHAnsi" w:cstheme="majorHAnsi"/>
          <w:bCs/>
          <w:sz w:val="22"/>
          <w:szCs w:val="22"/>
          <w:lang w:val="vi-VN" w:eastAsia="ja-JP"/>
        </w:rPr>
        <w:t>-</w:t>
      </w:r>
      <w:r w:rsidRPr="005E6B7C">
        <w:rPr>
          <w:rFonts w:asciiTheme="majorHAnsi" w:eastAsia="Yu Mincho" w:hAnsiTheme="majorHAnsi" w:cstheme="majorHAnsi"/>
          <w:bCs/>
          <w:sz w:val="22"/>
          <w:szCs w:val="22"/>
          <w:lang w:eastAsia="ja-JP"/>
        </w:rPr>
        <w:t xml:space="preserve">7 </w:t>
      </w:r>
      <w:r w:rsidRPr="005E6B7C">
        <w:rPr>
          <w:rFonts w:asciiTheme="majorHAnsi" w:eastAsia="Yu Mincho" w:hAnsiTheme="majorHAnsi" w:cstheme="majorHAnsi"/>
          <w:bCs/>
          <w:color w:val="000000" w:themeColor="text1"/>
          <w:sz w:val="22"/>
          <w:szCs w:val="22"/>
          <w:lang w:eastAsia="ja-JP"/>
        </w:rPr>
        <w:t>(IC</w:t>
      </w:r>
      <w:r w:rsidRPr="005E6B7C">
        <w:rPr>
          <w:rFonts w:asciiTheme="majorHAnsi" w:eastAsia="Yu Mincho" w:hAnsiTheme="majorHAnsi" w:cstheme="majorHAnsi"/>
          <w:bCs/>
          <w:color w:val="000000" w:themeColor="text1"/>
          <w:sz w:val="22"/>
          <w:szCs w:val="22"/>
          <w:vertAlign w:val="subscript"/>
          <w:lang w:eastAsia="ja-JP"/>
        </w:rPr>
        <w:t>50</w:t>
      </w:r>
      <w:r w:rsidRPr="005E6B7C">
        <w:rPr>
          <w:rFonts w:asciiTheme="majorHAnsi" w:eastAsia="Yu Mincho" w:hAnsiTheme="majorHAnsi" w:cstheme="majorHAnsi"/>
          <w:bCs/>
          <w:color w:val="000000" w:themeColor="text1"/>
          <w:sz w:val="22"/>
          <w:szCs w:val="22"/>
          <w:lang w:eastAsia="ja-JP"/>
        </w:rPr>
        <w:t xml:space="preserve"> = 67.17 ± 5.97 </w:t>
      </w:r>
      <w:r w:rsidRPr="005E6B7C">
        <w:rPr>
          <w:rFonts w:asciiTheme="majorHAnsi" w:eastAsia="Yu Mincho" w:hAnsiTheme="majorHAnsi" w:cstheme="majorHAnsi"/>
          <w:bCs/>
          <w:i/>
          <w:color w:val="000000" w:themeColor="text1"/>
          <w:sz w:val="22"/>
          <w:szCs w:val="22"/>
          <w:lang w:eastAsia="ja-JP"/>
        </w:rPr>
        <w:sym w:font="Symbol" w:char="F06D"/>
      </w:r>
      <w:r w:rsidRPr="005E6B7C">
        <w:rPr>
          <w:rFonts w:asciiTheme="majorHAnsi" w:eastAsia="Yu Mincho" w:hAnsiTheme="majorHAnsi" w:cstheme="majorHAnsi"/>
          <w:bCs/>
          <w:color w:val="000000" w:themeColor="text1"/>
          <w:sz w:val="22"/>
          <w:szCs w:val="22"/>
          <w:lang w:eastAsia="ja-JP"/>
        </w:rPr>
        <w:t>M) and SK-LU-1 (IC</w:t>
      </w:r>
      <w:r w:rsidRPr="005E6B7C">
        <w:rPr>
          <w:rFonts w:asciiTheme="majorHAnsi" w:eastAsia="Yu Mincho" w:hAnsiTheme="majorHAnsi" w:cstheme="majorHAnsi"/>
          <w:bCs/>
          <w:color w:val="000000" w:themeColor="text1"/>
          <w:sz w:val="22"/>
          <w:szCs w:val="22"/>
          <w:vertAlign w:val="subscript"/>
          <w:lang w:eastAsia="ja-JP"/>
        </w:rPr>
        <w:t>50</w:t>
      </w:r>
      <w:r w:rsidRPr="005E6B7C">
        <w:rPr>
          <w:rFonts w:asciiTheme="majorHAnsi" w:eastAsia="Yu Mincho" w:hAnsiTheme="majorHAnsi" w:cstheme="majorHAnsi"/>
          <w:bCs/>
          <w:color w:val="000000" w:themeColor="text1"/>
          <w:sz w:val="22"/>
          <w:szCs w:val="22"/>
          <w:lang w:eastAsia="ja-JP"/>
        </w:rPr>
        <w:t xml:space="preserve"> = 71.03 ± 5.08 </w:t>
      </w:r>
      <w:r w:rsidRPr="005E6B7C">
        <w:rPr>
          <w:rFonts w:asciiTheme="majorHAnsi" w:eastAsia="Yu Mincho" w:hAnsiTheme="majorHAnsi" w:cstheme="majorHAnsi"/>
          <w:bCs/>
          <w:i/>
          <w:color w:val="000000" w:themeColor="text1"/>
          <w:sz w:val="22"/>
          <w:szCs w:val="22"/>
          <w:lang w:eastAsia="ja-JP"/>
        </w:rPr>
        <w:sym w:font="Symbol" w:char="F06D"/>
      </w:r>
      <w:r w:rsidRPr="005E6B7C">
        <w:rPr>
          <w:rFonts w:asciiTheme="majorHAnsi" w:eastAsia="Yu Mincho" w:hAnsiTheme="majorHAnsi" w:cstheme="majorHAnsi"/>
          <w:bCs/>
          <w:color w:val="000000" w:themeColor="text1"/>
          <w:sz w:val="22"/>
          <w:szCs w:val="22"/>
          <w:lang w:eastAsia="ja-JP"/>
        </w:rPr>
        <w:t xml:space="preserve">M) cell lines, </w:t>
      </w:r>
      <w:r w:rsidRPr="005E6B7C">
        <w:rPr>
          <w:rFonts w:asciiTheme="majorHAnsi" w:eastAsia="Yu Mincho" w:hAnsiTheme="majorHAnsi" w:cstheme="majorHAnsi"/>
          <w:color w:val="000000" w:themeColor="text1"/>
          <w:sz w:val="22"/>
          <w:szCs w:val="22"/>
          <w:lang w:eastAsia="ja-JP"/>
        </w:rPr>
        <w:t>relative to that of the positive control ellipticine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of 1.34 ± 0.12, 1.46 ± 0.12 and 1.54 ± 0.12 </w:t>
      </w:r>
      <w:r w:rsidRPr="005E6B7C">
        <w:rPr>
          <w:rFonts w:asciiTheme="majorHAnsi" w:eastAsia="Yu Mincho" w:hAnsiTheme="majorHAnsi" w:cstheme="majorHAnsi"/>
          <w:bCs/>
          <w:i/>
          <w:color w:val="000000" w:themeColor="text1"/>
          <w:sz w:val="22"/>
          <w:szCs w:val="22"/>
          <w:lang w:eastAsia="ja-JP"/>
        </w:rPr>
        <w:sym w:font="Symbol" w:char="F06D"/>
      </w:r>
      <w:r w:rsidRPr="005E6B7C">
        <w:rPr>
          <w:rFonts w:asciiTheme="majorHAnsi" w:eastAsia="Yu Mincho" w:hAnsiTheme="majorHAnsi" w:cstheme="majorHAnsi"/>
          <w:b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 xml:space="preserve">. Compound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reported to have anti-inflammatory activity via inhibition of IL-12 p40 production in LPS-stimulated BMDCs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29.23 ± 0.75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&lt;EndNote&gt;&lt;Cite&gt;&lt;Author&gt;Thao&lt;/Author&gt;&lt;Year&gt;2016&lt;/Year&gt;&lt;RecNum&gt;163&lt;/RecNum&gt;&lt;DisplayText&gt;[15]&lt;/DisplayText&gt;&lt;record&gt;&lt;rec-number&gt;163&lt;/rec-number&gt;&lt;foreign-keys&gt;&lt;key app="EN" db-id="tft9dfze3vf9poe9vtjx0wtlrts555p959rp" timestamp="1768199196"&gt;163&lt;/key&gt;&lt;/foreign-keys&gt;&lt;ref-type name="Journal Article"&gt;17&lt;/ref-type&gt;&lt;contributors&gt;&lt;authors&gt;&lt;author&gt;Thao, Nguyen Phuong&lt;/author&gt;&lt;author&gt;Luyen, Bui Thi Thuy&lt;/author&gt;&lt;author&gt;Koo, Jung Eun&lt;/author&gt;&lt;author&gt;Kim, Sohyun&lt;/author&gt;&lt;author&gt;Koh, Young Sang&lt;/author&gt;&lt;author&gt;Thanh, Nguyen Van&lt;/author&gt;&lt;author&gt;Cuong, Nguyen Xuan&lt;/author&gt;&lt;author&gt;Kiem, Phan Van&lt;/author&gt;&lt;author&gt;Minh, Chau Van&lt;/author&gt;&lt;author&gt;Kim, Young Ho&lt;/author&gt;&lt;/authors&gt;&lt;/contributors&gt;&lt;titles&gt;&lt;title&gt;&lt;style face="italic" font="default" size="100%"&gt;In vitro&lt;/style&gt;&lt;style face="normal" font="default" size="100%"&gt; anti-inflammatory components isolated from the carnivorous plant &lt;/style&gt;&lt;style face="italic" font="default" size="100%"&gt;Nepenthes mirabilis&lt;/style&gt;&lt;style face="normal" font="default" size="100%"&gt; (Lour.) Rafarin&lt;/style&gt;&lt;/title&gt;&lt;secondary-title&gt;Pharmaceutical Biology&lt;/secondary-title&gt;&lt;/titles&gt;&lt;periodical&gt;&lt;full-title&gt;Pharmaceutical Biology&lt;/full-title&gt;&lt;/periodical&gt;&lt;pages&gt;588-594&lt;/pages&gt;&lt;volume&gt;54&lt;/volume&gt;&lt;number&gt;4&lt;/number&gt;&lt;dates&gt;&lt;year&gt;2016&lt;/year&gt;&lt;pub-dates&gt;&lt;date&gt;2016/04/02&lt;/date&gt;&lt;/pub-dates&gt;&lt;/dates&gt;&lt;publisher&gt;Taylor &amp;amp; Francis&lt;/publisher&gt;&lt;isbn&gt;1388-0209&lt;/isbn&gt;&lt;urls&gt;&lt;related-urls&gt;&lt;url&gt;https://doi.org/10.3109/13880209.2015.1067234&lt;/url&gt;&lt;/related-urls&gt;&lt;/urls&gt;&lt;electronic-resource-num&gt;10.3109/13880209.2015.1067234&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5" w:tooltip="Thao, 2016 #163" w:history="1">
        <w:r w:rsidRPr="005E6B7C">
          <w:rPr>
            <w:rFonts w:asciiTheme="majorHAnsi" w:eastAsia="Yu Mincho" w:hAnsiTheme="majorHAnsi" w:cstheme="majorHAnsi"/>
            <w:noProof/>
            <w:color w:val="000000" w:themeColor="text1"/>
            <w:sz w:val="22"/>
            <w:szCs w:val="22"/>
            <w:lang w:eastAsia="ja-JP"/>
          </w:rPr>
          <w:t>15</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inhibitory effect of enzymes COX-1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41.2 ± 1.5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 COX-2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35.4 ± 1.6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&lt;EndNote&gt;&lt;Cite&gt;&lt;Author&gt;Yang&lt;/Author&gt;&lt;Year&gt;2017&lt;/Year&gt;&lt;RecNum&gt;164&lt;/RecNum&gt;&lt;DisplayText&gt;[16]&lt;/DisplayText&gt;&lt;record&gt;&lt;rec-number&gt;164&lt;/rec-number&gt;&lt;foreign-keys&gt;&lt;key app="EN" db-id="tft9dfze3vf9poe9vtjx0wtlrts555p959rp" timestamp="1768199878"&gt;164&lt;/key&gt;&lt;/foreign-keys&gt;&lt;ref-type name="Journal Article"&gt;17&lt;/ref-type&gt;&lt;contributors&gt;&lt;authors&gt;&lt;author&gt;Yang, Li&lt;/author&gt;&lt;author&gt;Jiang, Shu-Tai&lt;/author&gt;&lt;author&gt;Zhou, Qin-Guang&lt;/author&gt;&lt;author&gt;Zhong, Guo-Yue&lt;/author&gt;&lt;author&gt;He, Jun-Wei&lt;/author&gt;&lt;/authors&gt;&lt;/contributors&gt;&lt;titles&gt;&lt;title&gt;&lt;style face="normal" font="default" size="100%"&gt;Chemical constituents from the flower of &lt;/style&gt;&lt;style face="italic" font="default" size="100%"&gt;Hosta plantaginea&lt;/style&gt;&lt;style face="normal" font="default" size="100%"&gt; with cyclooxygenases inhibition and antioxidant activities and their chemotaxonomic significance&lt;/style&gt;&lt;/title&gt;&lt;secondary-title&gt;Molecules&lt;/secondary-title&gt;&lt;/titles&gt;&lt;periodical&gt;&lt;full-title&gt;Molecules&lt;/full-title&gt;&lt;abbr-1&gt;Molecules (Basel, Switzerland)&lt;/abbr-1&gt;&lt;/periodical&gt;&lt;pages&gt;1825&lt;/pages&gt;&lt;volume&gt;22&lt;/volume&gt;&lt;number&gt;11&lt;/number&gt;&lt;dates&gt;&lt;year&gt;2017&lt;/year&gt;&lt;/dates&gt;&lt;isbn&gt;1420-3049&lt;/isbn&gt;&lt;accession-num&gt;doi:10.3390/molecules22111825&lt;/accession-num&gt;&lt;urls&gt;&lt;related-urls&gt;&lt;url&gt;https://www.mdpi.com/1420-3049/22/11/1825&lt;/url&gt;&lt;/related-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6" w:tooltip="Yang, 2017 #164" w:history="1">
        <w:r w:rsidRPr="005E6B7C">
          <w:rPr>
            <w:rFonts w:asciiTheme="majorHAnsi" w:eastAsia="Yu Mincho" w:hAnsiTheme="majorHAnsi" w:cstheme="majorHAnsi"/>
            <w:noProof/>
            <w:color w:val="000000" w:themeColor="text1"/>
            <w:sz w:val="22"/>
            <w:szCs w:val="22"/>
            <w:lang w:eastAsia="ja-JP"/>
          </w:rPr>
          <w:t>16</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and less cytotoxic activity against the human lung cancer cell line A549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&gt; 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&lt;EndNote&gt;&lt;Cite&gt;&lt;Author&gt;Samy&lt;/Author&gt;&lt;Year&gt;2018&lt;/Year&gt;&lt;RecNum&gt;165&lt;/RecNum&gt;&lt;DisplayText&gt;[17]&lt;/DisplayText&gt;&lt;record&gt;&lt;rec-number&gt;165&lt;/rec-number&gt;&lt;foreign-keys&gt;&lt;key app="EN" db-id="tft9dfze3vf9poe9vtjx0wtlrts555p959rp" timestamp="1768199956"&gt;165&lt;/key&gt;&lt;/foreign-keys&gt;&lt;ref-type name="Journal Article"&gt;17&lt;/ref-type&gt;&lt;contributors&gt;&lt;authors&gt;&lt;author&gt;Samy, M. N.&lt;/author&gt;&lt;author&gt;Khalil, H. E.&lt;/author&gt;&lt;author&gt;Sugimoto, S.&lt;/author&gt;&lt;author&gt;Otsuka, H.&lt;/author&gt;&lt;author&gt;Matsunami, K.&lt;/author&gt;&lt;author&gt;Kamel, M. S.&lt;/author&gt;&lt;/authors&gt;&lt;/contributors&gt;&lt;titles&gt;&lt;title&gt;&lt;style face="normal" font="default" size="100%"&gt;Phytoconstituents from the aerial parts of &lt;/style&gt;&lt;style face="italic" font="default" size="100%"&gt;Lampranthus spectabilis&lt;/style&gt;&lt;/title&gt;&lt;secondary-title&gt;South African Journal of Botany&lt;/secondary-title&gt;&lt;/titles&gt;&lt;periodical&gt;&lt;full-title&gt;South African Journal of Botany&lt;/full-title&gt;&lt;/periodical&gt;&lt;pages&gt;179-182&lt;/pages&gt;&lt;volume&gt;118&lt;/volume&gt;&lt;keywords&gt;&lt;keyword&gt;Aizoaceae&lt;/keyword&gt;&lt;keyword&gt;Heptadecylcaffeic acid&lt;/keyword&gt;&lt;keyword&gt;2-(2-Hydroxyethyl)-3-methylfumaric acid&lt;/keyword&gt;&lt;keyword&gt;DPPH&lt;/keyword&gt;&lt;keyword&gt;Cytotoxicity&lt;/keyword&gt;&lt;/keywords&gt;&lt;dates&gt;&lt;year&gt;2018&lt;/year&gt;&lt;pub-dates&gt;&lt;date&gt;2018/09/01/&lt;/date&gt;&lt;/pub-dates&gt;&lt;/dates&gt;&lt;isbn&gt;0254-6299&lt;/isbn&gt;&lt;urls&gt;&lt;related-urls&gt;&lt;url&gt;https://www.sciencedirect.com/science/article/pii/S0254629918310627&lt;/url&gt;&lt;/related-urls&gt;&lt;/urls&gt;&lt;electronic-resource-num&gt;https://doi.org/10.1016/j.sajb.2018.07.014&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7" w:tooltip="Samy, 2018 #165" w:history="1">
        <w:r w:rsidRPr="005E6B7C">
          <w:rPr>
            <w:rFonts w:asciiTheme="majorHAnsi" w:eastAsia="Yu Mincho" w:hAnsiTheme="majorHAnsi" w:cstheme="majorHAnsi"/>
            <w:noProof/>
            <w:color w:val="000000" w:themeColor="text1"/>
            <w:sz w:val="22"/>
            <w:szCs w:val="22"/>
            <w:lang w:eastAsia="ja-JP"/>
          </w:rPr>
          <w:t>17</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Pinoresinol 4-</w:t>
      </w:r>
      <w:r w:rsidRPr="005E6B7C">
        <w:rPr>
          <w:rFonts w:asciiTheme="majorHAnsi" w:eastAsia="Yu Mincho" w:hAnsiTheme="majorHAnsi" w:cstheme="majorHAnsi"/>
          <w:i/>
          <w:iCs/>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sym w:font="Symbol" w:char="F061"/>
      </w:r>
      <w:r w:rsidRPr="005E6B7C">
        <w:rPr>
          <w:rFonts w:asciiTheme="majorHAnsi" w:eastAsia="Yu Mincho" w:hAnsiTheme="majorHAnsi" w:cstheme="majorHAnsi"/>
          <w:color w:val="000000" w:themeColor="text1"/>
          <w:sz w:val="22"/>
          <w:szCs w:val="22"/>
          <w:lang w:eastAsia="ja-JP"/>
        </w:rPr>
        <w:t>-L-rhamnopyranosyl (1</w:t>
      </w:r>
      <w:r w:rsidRPr="005E6B7C">
        <w:rPr>
          <w:rFonts w:asciiTheme="majorHAnsi" w:eastAsia="Yu Mincho" w:hAnsiTheme="majorHAnsi" w:cstheme="majorHAnsi"/>
          <w:color w:val="000000" w:themeColor="text1"/>
          <w:sz w:val="22"/>
          <w:szCs w:val="22"/>
          <w:lang w:eastAsia="ja-JP"/>
        </w:rPr>
        <w:sym w:font="Symbol" w:char="F0AE"/>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iCs/>
          <w:color w:val="000000" w:themeColor="text1"/>
          <w:sz w:val="22"/>
          <w:szCs w:val="22"/>
          <w:lang w:eastAsia="ja-JP"/>
        </w:rPr>
        <w:sym w:font="Symbol" w:char="F062"/>
      </w:r>
      <w:r w:rsidRPr="005E6B7C">
        <w:rPr>
          <w:rFonts w:asciiTheme="majorHAnsi" w:eastAsia="Yu Mincho" w:hAnsiTheme="majorHAnsi" w:cstheme="majorHAnsi"/>
          <w:color w:val="000000" w:themeColor="text1"/>
          <w:sz w:val="22"/>
          <w:szCs w:val="22"/>
          <w:lang w:eastAsia="ja-JP"/>
        </w:rPr>
        <w:t>-D-glucopyranoside</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xml:space="preserve">) revealed weak effect against all the three </w:t>
      </w:r>
      <w:r w:rsidR="00FB7B36" w:rsidRPr="005E6B7C">
        <w:rPr>
          <w:rFonts w:asciiTheme="majorHAnsi" w:eastAsia="Yu Mincho" w:hAnsiTheme="majorHAnsi" w:cstheme="majorHAnsi"/>
          <w:bCs/>
          <w:color w:val="000000" w:themeColor="text1"/>
          <w:sz w:val="22"/>
          <w:szCs w:val="22"/>
          <w:lang w:eastAsia="ja-JP"/>
        </w:rPr>
        <w:t>MCF-7</w:t>
      </w:r>
      <w:r w:rsidRPr="005E6B7C">
        <w:rPr>
          <w:rFonts w:asciiTheme="majorHAnsi" w:eastAsia="Yu Mincho" w:hAnsiTheme="majorHAnsi" w:cstheme="majorHAnsi"/>
          <w:bCs/>
          <w:color w:val="000000" w:themeColor="text1"/>
          <w:sz w:val="22"/>
          <w:szCs w:val="22"/>
          <w:lang w:eastAsia="ja-JP"/>
        </w:rPr>
        <w:t xml:space="preserve">, HepG2 and SK-LU-1 cell lines with the </w:t>
      </w:r>
      <w:r w:rsidRPr="005E6B7C">
        <w:rPr>
          <w:rFonts w:asciiTheme="majorHAnsi" w:eastAsia="Yu Mincho" w:hAnsiTheme="majorHAnsi" w:cstheme="majorHAnsi"/>
          <w:color w:val="000000" w:themeColor="text1"/>
          <w:sz w:val="22"/>
          <w:szCs w:val="22"/>
          <w:lang w:eastAsia="ja-JP"/>
        </w:rPr>
        <w:t>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of 82.35 ± 5.39, 63.01 ± 5.14 and 84.55 ± 6.60 </w:t>
      </w:r>
      <w:r w:rsidRPr="005E6B7C">
        <w:rPr>
          <w:rFonts w:asciiTheme="majorHAnsi" w:eastAsia="Yu Mincho" w:hAnsiTheme="majorHAnsi" w:cstheme="majorHAnsi"/>
          <w:bCs/>
          <w:i/>
          <w:color w:val="000000" w:themeColor="text1"/>
          <w:sz w:val="22"/>
          <w:szCs w:val="22"/>
          <w:lang w:eastAsia="ja-JP"/>
        </w:rPr>
        <w:sym w:font="Symbol" w:char="F06D"/>
      </w:r>
      <w:r w:rsidRPr="005E6B7C">
        <w:rPr>
          <w:rFonts w:asciiTheme="majorHAnsi" w:eastAsia="Yu Mincho" w:hAnsiTheme="majorHAnsi" w:cstheme="majorHAnsi"/>
          <w:bCs/>
          <w:color w:val="000000" w:themeColor="text1"/>
          <w:sz w:val="22"/>
          <w:szCs w:val="22"/>
          <w:lang w:eastAsia="ja-JP"/>
        </w:rPr>
        <w:t>M, respectively</w:t>
      </w:r>
      <w:r w:rsidRPr="005E6B7C">
        <w:rPr>
          <w:rFonts w:asciiTheme="majorHAnsi" w:eastAsia="Yu Mincho" w:hAnsiTheme="majorHAnsi" w:cstheme="majorHAnsi"/>
          <w:color w:val="000000" w:themeColor="text1"/>
          <w:sz w:val="22"/>
          <w:szCs w:val="22"/>
          <w:lang w:eastAsia="ja-JP"/>
        </w:rPr>
        <w:t>. This compound was reported to inhibit lipid peroxidation in rat liver microsomes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27</w:t>
      </w:r>
      <w:r w:rsidR="004C20BA"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PEVuZE5vdGU+PENpdGU+PEF1dGhvcj5MZWU8L0F1dGhvcj48WWVhcj4xOTk5PC9ZZWFyPjxSZWNO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PEVuZE5vdGU+PENpdGU+PEF1dGhvcj5MZWU8L0F1dGhvcj48WWVhcj4xOTk5PC9ZZWFyPjxSZWNO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8" w:tooltip="Lee, 1999 #166" w:history="1">
        <w:r w:rsidRPr="005E6B7C">
          <w:rPr>
            <w:rFonts w:asciiTheme="majorHAnsi" w:eastAsia="Yu Mincho" w:hAnsiTheme="majorHAnsi" w:cstheme="majorHAnsi"/>
            <w:noProof/>
            <w:color w:val="000000" w:themeColor="text1"/>
            <w:sz w:val="22"/>
            <w:szCs w:val="22"/>
            <w:lang w:eastAsia="ja-JP"/>
          </w:rPr>
          <w:t>18</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other compounds were inactive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&gt; 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Compounds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exhibited only moderate to weak antiproliferative activity; nevertheless, this finding provides a scientific basis for directing further investigations into the pharmaceutical effects of the isolated compounds. </w:t>
      </w:r>
      <w:r w:rsidRPr="005E6B7C">
        <w:rPr>
          <w:rFonts w:asciiTheme="majorHAnsi" w:eastAsia="Batang" w:hAnsiTheme="majorHAnsi" w:cstheme="majorHAnsi"/>
          <w:color w:val="000000" w:themeColor="text1"/>
          <w:sz w:val="22"/>
          <w:szCs w:val="22"/>
          <w:lang w:eastAsia="ko-KR"/>
        </w:rPr>
        <w:t>In general, glycoside compounds could participate in detoxification and elimination processes in animals and humans, where toxic substances are often conjugated to sugars for safer transport and excretion, while some exhibit broader effects such as cytotoxic, antioxidant, anti-inflammatory, or signaling functions in cellular processes.</w:t>
      </w:r>
    </w:p>
    <w:p w14:paraId="5677BB7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val="de-DE" w:eastAsia="ja-JP"/>
        </w:rPr>
      </w:pPr>
      <w:r w:rsidRPr="005E6B7C">
        <w:rPr>
          <w:rFonts w:asciiTheme="majorHAnsi" w:eastAsia="Yu Mincho" w:hAnsiTheme="majorHAnsi" w:cstheme="majorHAnsi"/>
          <w:b/>
          <w:bCs/>
          <w:color w:val="000000" w:themeColor="text1"/>
          <w:sz w:val="22"/>
          <w:szCs w:val="22"/>
          <w:lang w:val="de-DE" w:eastAsia="ja-JP"/>
        </w:rPr>
        <w:lastRenderedPageBreak/>
        <w:t>4. Conclusion</w:t>
      </w:r>
    </w:p>
    <w:p w14:paraId="4A5FCCF9" w14:textId="0BAE65C8"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de-DE" w:eastAsia="ja-JP"/>
        </w:rPr>
        <w:t xml:space="preserve">From the branches and leaves of </w:t>
      </w:r>
      <w:r w:rsidRPr="005E6B7C">
        <w:rPr>
          <w:rFonts w:asciiTheme="majorHAnsi" w:eastAsia="Yu Mincho" w:hAnsiTheme="majorHAnsi" w:cstheme="majorHAnsi"/>
          <w:i/>
          <w:iCs/>
          <w:color w:val="000000" w:themeColor="text1"/>
          <w:sz w:val="22"/>
          <w:szCs w:val="22"/>
          <w:lang w:eastAsia="ja-JP"/>
        </w:rPr>
        <w:t>Abroma augustum</w:t>
      </w:r>
      <w:r w:rsidRPr="005E6B7C">
        <w:rPr>
          <w:rFonts w:asciiTheme="majorHAnsi" w:eastAsia="Yu Mincho" w:hAnsiTheme="majorHAnsi" w:cstheme="majorHAnsi"/>
          <w:color w:val="000000" w:themeColor="text1"/>
          <w:sz w:val="22"/>
          <w:szCs w:val="22"/>
          <w:lang w:eastAsia="ja-JP"/>
        </w:rPr>
        <w:t>, five glycoside derivatives</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1-allyl-3-methoxy-4-[apiofuranosyl(1</w:t>
      </w:r>
      <w:r w:rsidRPr="005E6B7C">
        <w:rPr>
          <w:rFonts w:asciiTheme="majorHAnsi" w:eastAsia="Yu Mincho" w:hAnsiTheme="majorHAnsi" w:cstheme="majorHAnsi"/>
          <w:bCs/>
          <w:color w:val="000000" w:themeColor="text1"/>
          <w:sz w:val="22"/>
          <w:szCs w:val="22"/>
          <w:lang w:eastAsia="ja-JP"/>
        </w:rPr>
        <w:sym w:font="Symbol" w:char="F0AE"/>
      </w:r>
      <w:r w:rsidRPr="005E6B7C">
        <w:rPr>
          <w:rFonts w:asciiTheme="majorHAnsi" w:eastAsia="Yu Mincho" w:hAnsiTheme="majorHAnsi" w:cstheme="majorHAnsi"/>
          <w:bCs/>
          <w:color w:val="000000" w:themeColor="text1"/>
          <w:sz w:val="22"/>
          <w:szCs w:val="22"/>
          <w:lang w:eastAsia="ja-JP"/>
        </w:rPr>
        <w:t>2)-glucopyranosyloxybenzene]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phenylethyl</w:t>
      </w:r>
      <w:r w:rsidR="007B291D"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rutinoside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kaempferol 3-</w:t>
      </w:r>
      <w:r w:rsidRPr="005E6B7C">
        <w:rPr>
          <w:rFonts w:asciiTheme="majorHAnsi" w:eastAsia="Yu Mincho" w:hAnsiTheme="majorHAnsi" w:cstheme="majorHAnsi"/>
          <w:bCs/>
          <w:i/>
          <w:iCs/>
          <w:color w:val="000000" w:themeColor="text1"/>
          <w:sz w:val="22"/>
          <w:szCs w:val="22"/>
          <w:lang w:eastAsia="ja-JP"/>
        </w:rPr>
        <w:t>O</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-D-glucopyranosyl-(2</w:t>
      </w:r>
      <w:r w:rsidRPr="005E6B7C">
        <w:rPr>
          <w:rFonts w:asciiTheme="majorHAnsi" w:eastAsia="Yu Mincho" w:hAnsiTheme="majorHAnsi" w:cstheme="majorHAnsi"/>
          <w:bCs/>
          <w:color w:val="000000" w:themeColor="text1"/>
          <w:sz w:val="22"/>
          <w:szCs w:val="22"/>
          <w:lang w:eastAsia="ja-JP"/>
        </w:rPr>
        <w:sym w:font="Symbol" w:char="F0AE"/>
      </w:r>
      <w:r w:rsidRPr="005E6B7C">
        <w:rPr>
          <w:rFonts w:asciiTheme="majorHAnsi" w:eastAsia="Yu Mincho" w:hAnsiTheme="majorHAnsi" w:cstheme="majorHAnsi"/>
          <w:bCs/>
          <w:color w:val="000000" w:themeColor="text1"/>
          <w:sz w:val="22"/>
          <w:szCs w:val="22"/>
          <w:lang w:eastAsia="ja-JP"/>
        </w:rPr>
        <w:t>1)-</w:t>
      </w:r>
      <w:r w:rsidRPr="005E6B7C">
        <w:rPr>
          <w:rFonts w:asciiTheme="majorHAnsi" w:eastAsia="Yu Mincho"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-D-xylopyranoside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pinoresinol 4-</w:t>
      </w:r>
      <w:r w:rsidRPr="005E6B7C">
        <w:rPr>
          <w:rFonts w:asciiTheme="majorHAnsi" w:eastAsia="Yu Mincho" w:hAnsiTheme="majorHAnsi" w:cstheme="majorHAnsi"/>
          <w:i/>
          <w:iCs/>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sym w:font="Symbol" w:char="F061"/>
      </w:r>
      <w:r w:rsidRPr="005E6B7C">
        <w:rPr>
          <w:rFonts w:asciiTheme="majorHAnsi" w:eastAsia="Yu Mincho" w:hAnsiTheme="majorHAnsi" w:cstheme="majorHAnsi"/>
          <w:color w:val="000000" w:themeColor="text1"/>
          <w:sz w:val="22"/>
          <w:szCs w:val="22"/>
          <w:lang w:eastAsia="ja-JP"/>
        </w:rPr>
        <w:t>-L-rhamnopyranosyl-(1</w:t>
      </w:r>
      <w:r w:rsidRPr="005E6B7C">
        <w:rPr>
          <w:rFonts w:asciiTheme="majorHAnsi" w:eastAsia="Yu Mincho" w:hAnsiTheme="majorHAnsi" w:cstheme="majorHAnsi"/>
          <w:color w:val="000000" w:themeColor="text1"/>
          <w:sz w:val="22"/>
          <w:szCs w:val="22"/>
          <w:lang w:eastAsia="ja-JP"/>
        </w:rPr>
        <w:sym w:font="Symbol" w:char="F0AE"/>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iCs/>
          <w:color w:val="000000" w:themeColor="text1"/>
          <w:sz w:val="22"/>
          <w:szCs w:val="22"/>
          <w:lang w:eastAsia="ja-JP"/>
        </w:rPr>
        <w:sym w:font="Symbol" w:char="F062"/>
      </w:r>
      <w:r w:rsidRPr="005E6B7C">
        <w:rPr>
          <w:rFonts w:asciiTheme="majorHAnsi" w:eastAsia="Yu Mincho" w:hAnsiTheme="majorHAnsi" w:cstheme="majorHAnsi"/>
          <w:color w:val="000000" w:themeColor="text1"/>
          <w:sz w:val="22"/>
          <w:szCs w:val="22"/>
          <w:lang w:eastAsia="ja-JP"/>
        </w:rPr>
        <w:t>-D-glucopyranoside</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w:t>
      </w:r>
      <w:r w:rsidR="00E94837"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 xml:space="preserve"> and (7</w:t>
      </w:r>
      <w:r w:rsidRPr="005E6B7C">
        <w:rPr>
          <w:rFonts w:asciiTheme="majorHAnsi" w:eastAsia="Yu Mincho" w:hAnsiTheme="majorHAnsi" w:cstheme="majorHAnsi"/>
          <w:bCs/>
          <w:i/>
          <w:iCs/>
          <w:color w:val="000000" w:themeColor="text1"/>
          <w:sz w:val="22"/>
          <w:szCs w:val="22"/>
          <w:lang w:eastAsia="ja-JP"/>
        </w:rPr>
        <w:t>S*</w:t>
      </w:r>
      <w:r w:rsidRPr="005E6B7C">
        <w:rPr>
          <w:rFonts w:asciiTheme="majorHAnsi" w:eastAsia="Yu Mincho" w:hAnsiTheme="majorHAnsi" w:cstheme="majorHAnsi"/>
          <w:bCs/>
          <w:color w:val="000000" w:themeColor="text1"/>
          <w:sz w:val="22"/>
          <w:szCs w:val="22"/>
          <w:lang w:eastAsia="ja-JP"/>
        </w:rPr>
        <w:t>,8</w:t>
      </w:r>
      <w:r w:rsidRPr="005E6B7C">
        <w:rPr>
          <w:rFonts w:asciiTheme="majorHAnsi" w:eastAsia="Yu Mincho" w:hAnsiTheme="majorHAnsi" w:cstheme="majorHAnsi"/>
          <w:bCs/>
          <w:i/>
          <w:iCs/>
          <w:color w:val="000000" w:themeColor="text1"/>
          <w:sz w:val="22"/>
          <w:szCs w:val="22"/>
          <w:lang w:eastAsia="ja-JP"/>
        </w:rPr>
        <w:t>R*</w:t>
      </w:r>
      <w:r w:rsidRPr="005E6B7C">
        <w:rPr>
          <w:rFonts w:asciiTheme="majorHAnsi" w:eastAsia="Yu Mincho" w:hAnsiTheme="majorHAnsi" w:cstheme="majorHAnsi"/>
          <w:bCs/>
          <w:color w:val="000000" w:themeColor="text1"/>
          <w:sz w:val="22"/>
          <w:szCs w:val="22"/>
          <w:lang w:eastAsia="ja-JP"/>
        </w:rPr>
        <w:t>)-urolignoside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were isolated using combined chromatographic experiments. Their chemical </w:t>
      </w:r>
      <w:r w:rsidRPr="005E6B7C">
        <w:rPr>
          <w:rFonts w:asciiTheme="majorHAnsi" w:eastAsia="Yu Mincho" w:hAnsiTheme="majorHAnsi" w:cstheme="majorHAnsi"/>
          <w:bCs/>
          <w:color w:val="000000" w:themeColor="text1"/>
          <w:sz w:val="22"/>
          <w:szCs w:val="22"/>
          <w:lang w:eastAsia="ja-JP"/>
        </w:rPr>
        <w:t xml:space="preserve">structures were elucidated by one </w:t>
      </w:r>
      <w:r w:rsidRPr="005E6B7C">
        <w:rPr>
          <w:rFonts w:asciiTheme="majorHAnsi" w:eastAsia="Yu Mincho" w:hAnsiTheme="majorHAnsi" w:cstheme="majorHAnsi"/>
          <w:color w:val="000000" w:themeColor="text1"/>
          <w:sz w:val="22"/>
          <w:szCs w:val="22"/>
          <w:lang w:val="de-DE" w:eastAsia="ja-JP"/>
        </w:rPr>
        <w:t>(</w:t>
      </w:r>
      <w:r w:rsidRPr="005E6B7C">
        <w:rPr>
          <w:rFonts w:asciiTheme="majorHAnsi" w:eastAsia="Yu Mincho" w:hAnsiTheme="majorHAnsi" w:cstheme="majorHAnsi"/>
          <w:color w:val="000000" w:themeColor="text1"/>
          <w:sz w:val="22"/>
          <w:szCs w:val="22"/>
          <w:vertAlign w:val="superscript"/>
          <w:lang w:val="de-DE" w:eastAsia="ja-JP"/>
        </w:rPr>
        <w:t>1</w:t>
      </w:r>
      <w:r w:rsidRPr="005E6B7C">
        <w:rPr>
          <w:rFonts w:asciiTheme="majorHAnsi" w:eastAsia="Yu Mincho" w:hAnsiTheme="majorHAnsi" w:cstheme="majorHAnsi"/>
          <w:color w:val="000000" w:themeColor="text1"/>
          <w:sz w:val="22"/>
          <w:szCs w:val="22"/>
          <w:lang w:val="de-DE" w:eastAsia="ja-JP"/>
        </w:rPr>
        <w:t>H</w:t>
      </w:r>
      <w:r w:rsidR="00E94837" w:rsidRPr="005E6B7C">
        <w:rPr>
          <w:rFonts w:asciiTheme="majorHAnsi" w:eastAsia="Yu Mincho" w:hAnsiTheme="majorHAnsi" w:cstheme="majorHAnsi"/>
          <w:color w:val="000000" w:themeColor="text1"/>
          <w:sz w:val="22"/>
          <w:szCs w:val="22"/>
          <w:lang w:val="de-DE" w:eastAsia="ja-JP"/>
        </w:rPr>
        <w:t>-</w:t>
      </w:r>
      <w:r w:rsidRPr="005E6B7C">
        <w:rPr>
          <w:rFonts w:asciiTheme="majorHAnsi" w:eastAsia="Yu Mincho" w:hAnsiTheme="majorHAnsi" w:cstheme="majorHAnsi"/>
          <w:color w:val="000000" w:themeColor="text1"/>
          <w:sz w:val="22"/>
          <w:szCs w:val="22"/>
          <w:lang w:val="de-DE" w:eastAsia="ja-JP"/>
        </w:rPr>
        <w:t xml:space="preserve"> and </w:t>
      </w:r>
      <w:r w:rsidRPr="005E6B7C">
        <w:rPr>
          <w:rFonts w:asciiTheme="majorHAnsi" w:eastAsia="Yu Mincho" w:hAnsiTheme="majorHAnsi" w:cstheme="majorHAnsi"/>
          <w:color w:val="000000" w:themeColor="text1"/>
          <w:sz w:val="22"/>
          <w:szCs w:val="22"/>
          <w:vertAlign w:val="superscript"/>
          <w:lang w:val="de-DE" w:eastAsia="ja-JP"/>
        </w:rPr>
        <w:t>13</w:t>
      </w:r>
      <w:r w:rsidRPr="005E6B7C">
        <w:rPr>
          <w:rFonts w:asciiTheme="majorHAnsi" w:eastAsia="Yu Mincho" w:hAnsiTheme="majorHAnsi" w:cstheme="majorHAnsi"/>
          <w:color w:val="000000" w:themeColor="text1"/>
          <w:sz w:val="22"/>
          <w:szCs w:val="22"/>
          <w:lang w:val="de-DE" w:eastAsia="ja-JP"/>
        </w:rPr>
        <w:t>C</w:t>
      </w:r>
      <w:r w:rsidR="00E94837" w:rsidRPr="005E6B7C">
        <w:rPr>
          <w:rFonts w:asciiTheme="majorHAnsi" w:eastAsia="Yu Mincho" w:hAnsiTheme="majorHAnsi" w:cstheme="majorHAnsi"/>
          <w:color w:val="000000" w:themeColor="text1"/>
          <w:sz w:val="22"/>
          <w:szCs w:val="22"/>
          <w:lang w:val="de-DE" w:eastAsia="ja-JP"/>
        </w:rPr>
        <w:t>-</w:t>
      </w:r>
      <w:r w:rsidRPr="005E6B7C">
        <w:rPr>
          <w:rFonts w:asciiTheme="majorHAnsi" w:eastAsia="Yu Mincho" w:hAnsiTheme="majorHAnsi" w:cstheme="majorHAnsi"/>
          <w:color w:val="000000" w:themeColor="text1"/>
          <w:sz w:val="22"/>
          <w:szCs w:val="22"/>
          <w:lang w:val="de-DE" w:eastAsia="ja-JP"/>
        </w:rPr>
        <w:t xml:space="preserve"> NMR) and two-dimensional (HSQC and HMBC) NMR spectra. This is the first report of compounds </w:t>
      </w:r>
      <w:r w:rsidRPr="005E6B7C">
        <w:rPr>
          <w:rFonts w:asciiTheme="majorHAnsi" w:eastAsia="Yu Mincho" w:hAnsiTheme="majorHAnsi" w:cstheme="majorHAnsi"/>
          <w:b/>
          <w:bCs/>
          <w:color w:val="000000" w:themeColor="text1"/>
          <w:sz w:val="22"/>
          <w:szCs w:val="22"/>
          <w:lang w:val="de-DE" w:eastAsia="ja-JP"/>
        </w:rPr>
        <w:t>1</w:t>
      </w:r>
      <w:r w:rsidRPr="005E6B7C">
        <w:rPr>
          <w:rFonts w:asciiTheme="majorHAnsi" w:eastAsia="Yu Mincho" w:hAnsiTheme="majorHAnsi" w:cstheme="majorHAnsi"/>
          <w:color w:val="000000" w:themeColor="text1"/>
          <w:sz w:val="22"/>
          <w:szCs w:val="22"/>
          <w:lang w:val="de-DE" w:eastAsia="ja-JP"/>
        </w:rPr>
        <w:sym w:font="Symbol" w:char="F02D"/>
      </w:r>
      <w:r w:rsidRPr="005E6B7C">
        <w:rPr>
          <w:rFonts w:asciiTheme="majorHAnsi" w:eastAsia="Yu Mincho" w:hAnsiTheme="majorHAnsi" w:cstheme="majorHAnsi"/>
          <w:b/>
          <w:bCs/>
          <w:color w:val="000000" w:themeColor="text1"/>
          <w:sz w:val="22"/>
          <w:szCs w:val="22"/>
          <w:lang w:val="de-DE" w:eastAsia="ja-JP"/>
        </w:rPr>
        <w:t>5</w:t>
      </w:r>
      <w:r w:rsidRPr="005E6B7C">
        <w:rPr>
          <w:rFonts w:asciiTheme="majorHAnsi" w:eastAsia="Yu Mincho" w:hAnsiTheme="majorHAnsi" w:cstheme="majorHAnsi"/>
          <w:color w:val="000000" w:themeColor="text1"/>
          <w:sz w:val="22"/>
          <w:szCs w:val="22"/>
          <w:lang w:val="de-DE" w:eastAsia="ja-JP"/>
        </w:rPr>
        <w:t xml:space="preserve"> from </w:t>
      </w:r>
      <w:r w:rsidRPr="005E6B7C">
        <w:rPr>
          <w:rFonts w:asciiTheme="majorHAnsi" w:eastAsia="Yu Mincho" w:hAnsiTheme="majorHAnsi" w:cstheme="majorHAnsi"/>
          <w:i/>
          <w:iCs/>
          <w:color w:val="000000" w:themeColor="text1"/>
          <w:sz w:val="22"/>
          <w:szCs w:val="22"/>
          <w:lang w:eastAsia="ja-JP"/>
        </w:rPr>
        <w:t>A. augustum</w:t>
      </w:r>
      <w:r w:rsidRPr="005E6B7C">
        <w:rPr>
          <w:rFonts w:asciiTheme="majorHAnsi" w:eastAsia="Yu Mincho" w:hAnsiTheme="majorHAnsi" w:cstheme="majorHAnsi"/>
          <w:color w:val="000000" w:themeColor="text1"/>
          <w:sz w:val="22"/>
          <w:szCs w:val="22"/>
          <w:lang w:val="de-DE" w:eastAsia="ja-JP"/>
        </w:rPr>
        <w:t>. Compounds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exhibited </w:t>
      </w:r>
      <w:r w:rsidRPr="005E6B7C">
        <w:rPr>
          <w:rFonts w:asciiTheme="majorHAnsi" w:eastAsia="Yu Mincho" w:hAnsiTheme="majorHAnsi" w:cstheme="majorHAnsi"/>
          <w:bCs/>
          <w:iCs/>
          <w:color w:val="000000" w:themeColor="text1"/>
          <w:sz w:val="22"/>
          <w:szCs w:val="22"/>
          <w:lang w:eastAsia="ja-JP"/>
        </w:rPr>
        <w:t xml:space="preserve">moderate to weak </w:t>
      </w:r>
      <w:r w:rsidRPr="005E6B7C">
        <w:rPr>
          <w:rFonts w:asciiTheme="majorHAnsi" w:eastAsia="Yu Mincho" w:hAnsiTheme="majorHAnsi" w:cstheme="majorHAnsi"/>
          <w:color w:val="000000" w:themeColor="text1"/>
          <w:sz w:val="22"/>
          <w:szCs w:val="22"/>
          <w:lang w:eastAsia="ja-JP"/>
        </w:rPr>
        <w:t>antiproliferative activity against three human cancer cell lines (</w:t>
      </w:r>
      <w:r w:rsidR="00FB7B36" w:rsidRPr="005E6B7C">
        <w:rPr>
          <w:rFonts w:asciiTheme="majorHAnsi" w:eastAsia="Yu Mincho" w:hAnsiTheme="majorHAnsi" w:cstheme="majorHAnsi"/>
          <w:bCs/>
          <w:color w:val="000000" w:themeColor="text1"/>
          <w:sz w:val="22"/>
          <w:szCs w:val="22"/>
          <w:lang w:eastAsia="ja-JP"/>
        </w:rPr>
        <w:t>MCF-7</w:t>
      </w:r>
      <w:r w:rsidRPr="005E6B7C">
        <w:rPr>
          <w:rFonts w:asciiTheme="majorHAnsi" w:eastAsia="Yu Mincho" w:hAnsiTheme="majorHAnsi" w:cstheme="majorHAnsi"/>
          <w:bCs/>
          <w:color w:val="000000" w:themeColor="text1"/>
          <w:sz w:val="22"/>
          <w:szCs w:val="22"/>
          <w:lang w:eastAsia="ja-JP"/>
        </w:rPr>
        <w:t xml:space="preserve">, HepG2, and SK-LU-1) </w:t>
      </w:r>
      <w:r w:rsidRPr="005E6B7C">
        <w:rPr>
          <w:rFonts w:asciiTheme="majorHAnsi" w:eastAsia="Yu Mincho" w:hAnsiTheme="majorHAnsi" w:cstheme="majorHAnsi"/>
          <w:color w:val="000000" w:themeColor="text1"/>
          <w:sz w:val="22"/>
          <w:szCs w:val="22"/>
          <w:lang w:eastAsia="ja-JP"/>
        </w:rPr>
        <w:t>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ranging from </w:t>
      </w:r>
      <w:r w:rsidRPr="005E6B7C">
        <w:rPr>
          <w:rFonts w:asciiTheme="majorHAnsi" w:eastAsia="Yu Mincho" w:hAnsiTheme="majorHAnsi" w:cstheme="majorHAnsi"/>
          <w:bCs/>
          <w:color w:val="000000" w:themeColor="text1"/>
          <w:sz w:val="22"/>
          <w:szCs w:val="22"/>
          <w:lang w:eastAsia="ja-JP"/>
        </w:rPr>
        <w:t xml:space="preserve">49.38 ± 3.64 to </w:t>
      </w:r>
      <w:r w:rsidRPr="005E6B7C">
        <w:rPr>
          <w:rFonts w:asciiTheme="majorHAnsi" w:eastAsia="Yu Mincho" w:hAnsiTheme="majorHAnsi" w:cstheme="majorHAnsi"/>
          <w:color w:val="000000" w:themeColor="text1"/>
          <w:sz w:val="22"/>
          <w:szCs w:val="22"/>
          <w:lang w:eastAsia="ja-JP"/>
        </w:rPr>
        <w:t xml:space="preserve">84.55 ± 6.60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w:t>
      </w:r>
    </w:p>
    <w:p w14:paraId="58475940" w14:textId="77777777" w:rsidR="005A2B3C"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Acknowledgments:</w:t>
      </w:r>
      <w:r w:rsidRPr="005E6B7C">
        <w:rPr>
          <w:rFonts w:asciiTheme="majorHAnsi" w:eastAsia="Yu Mincho" w:hAnsiTheme="majorHAnsi" w:cstheme="majorHAnsi"/>
          <w:color w:val="000000" w:themeColor="text1"/>
          <w:sz w:val="20"/>
          <w:szCs w:val="20"/>
          <w:lang w:eastAsia="ja-JP"/>
        </w:rPr>
        <w:t xml:space="preserve"> </w:t>
      </w:r>
      <w:r w:rsidRPr="005E6B7C">
        <w:rPr>
          <w:rFonts w:asciiTheme="majorHAnsi" w:eastAsia="Yu Mincho" w:hAnsiTheme="majorHAnsi" w:cstheme="majorHAnsi"/>
          <w:i/>
          <w:iCs/>
          <w:color w:val="000000" w:themeColor="text1"/>
          <w:sz w:val="20"/>
          <w:szCs w:val="20"/>
          <w:lang w:eastAsia="ja-JP"/>
        </w:rPr>
        <w:t>This study is funded by the Vietnam Academy of Science and Technology (grant number: KHCBHH.01/24-25).</w:t>
      </w:r>
    </w:p>
    <w:p w14:paraId="4437E290" w14:textId="77777777" w:rsidR="005A2B3C" w:rsidRPr="005E6B7C" w:rsidRDefault="005A2B3C"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5A2B3C" w:rsidRPr="005E6B7C" w:rsidSect="005A2B3C">
          <w:type w:val="continuous"/>
          <w:pgSz w:w="10773" w:h="15309" w:code="9"/>
          <w:pgMar w:top="907" w:right="851" w:bottom="1418" w:left="851" w:header="397" w:footer="851" w:gutter="0"/>
          <w:cols w:num="2" w:space="284"/>
          <w:docGrid w:linePitch="360"/>
        </w:sectPr>
      </w:pPr>
    </w:p>
    <w:p w14:paraId="2EFB80E3" w14:textId="77777777" w:rsidR="003A70BA" w:rsidRPr="005E6B7C" w:rsidRDefault="003A70BA" w:rsidP="008C0D47">
      <w:pPr>
        <w:tabs>
          <w:tab w:val="left" w:pos="270"/>
          <w:tab w:val="left" w:pos="540"/>
          <w:tab w:val="left" w:pos="9270"/>
        </w:tabs>
        <w:ind w:right="-20"/>
        <w:jc w:val="both"/>
        <w:rPr>
          <w:rFonts w:asciiTheme="majorHAnsi" w:eastAsia="Yu Mincho" w:hAnsiTheme="majorHAnsi" w:cstheme="majorHAnsi"/>
          <w:b/>
          <w:color w:val="000000" w:themeColor="text1"/>
          <w:sz w:val="18"/>
          <w:szCs w:val="18"/>
          <w:lang w:val="de-DE" w:eastAsia="ja-JP"/>
        </w:rPr>
      </w:pPr>
    </w:p>
    <w:p w14:paraId="018C3E63" w14:textId="77777777" w:rsidR="00E049CB" w:rsidRPr="005E6B7C" w:rsidRDefault="00E049CB" w:rsidP="008C0D47">
      <w:pPr>
        <w:tabs>
          <w:tab w:val="left" w:pos="270"/>
          <w:tab w:val="left" w:pos="540"/>
          <w:tab w:val="left" w:pos="9270"/>
        </w:tabs>
        <w:spacing w:after="120"/>
        <w:ind w:right="-20"/>
        <w:jc w:val="center"/>
        <w:rPr>
          <w:rFonts w:asciiTheme="majorHAnsi" w:eastAsia="Yu Mincho" w:hAnsiTheme="majorHAnsi" w:cstheme="majorHAnsi"/>
          <w:b/>
          <w:color w:val="000000" w:themeColor="text1"/>
          <w:sz w:val="18"/>
          <w:szCs w:val="18"/>
          <w:lang w:val="de-DE" w:eastAsia="ja-JP"/>
        </w:rPr>
      </w:pPr>
      <w:r w:rsidRPr="005E6B7C">
        <w:rPr>
          <w:rFonts w:asciiTheme="majorHAnsi" w:eastAsia="Yu Mincho" w:hAnsiTheme="majorHAnsi" w:cstheme="majorHAnsi"/>
          <w:b/>
          <w:color w:val="000000" w:themeColor="text1"/>
          <w:sz w:val="18"/>
          <w:szCs w:val="18"/>
          <w:lang w:val="de-DE" w:eastAsia="ja-JP"/>
        </w:rPr>
        <w:t>References</w:t>
      </w:r>
    </w:p>
    <w:p w14:paraId="7C421F19"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val="es-VE" w:eastAsia="ja-JP"/>
        </w:rPr>
        <w:fldChar w:fldCharType="begin"/>
      </w:r>
      <w:r w:rsidRPr="005E6B7C">
        <w:rPr>
          <w:rFonts w:asciiTheme="majorHAnsi" w:eastAsia="Yu Mincho" w:hAnsiTheme="majorHAnsi" w:cstheme="majorHAnsi"/>
          <w:noProof/>
          <w:color w:val="000000" w:themeColor="text1"/>
          <w:sz w:val="18"/>
          <w:szCs w:val="18"/>
          <w:lang w:val="es-VE" w:eastAsia="ja-JP"/>
        </w:rPr>
        <w:instrText xml:space="preserve"> ADDIN EN.REFLIST </w:instrText>
      </w:r>
      <w:r w:rsidRPr="005E6B7C">
        <w:rPr>
          <w:rFonts w:asciiTheme="majorHAnsi" w:eastAsia="Yu Mincho" w:hAnsiTheme="majorHAnsi" w:cstheme="majorHAnsi"/>
          <w:noProof/>
          <w:color w:val="000000" w:themeColor="text1"/>
          <w:sz w:val="18"/>
          <w:szCs w:val="18"/>
          <w:lang w:val="es-VE" w:eastAsia="ja-JP"/>
        </w:rPr>
        <w:fldChar w:fldCharType="separate"/>
      </w:r>
      <w:r w:rsidRPr="005E6B7C">
        <w:rPr>
          <w:rFonts w:asciiTheme="majorHAnsi" w:eastAsia="Yu Mincho" w:hAnsiTheme="majorHAnsi" w:cstheme="majorHAnsi"/>
          <w:b/>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 xml:space="preserve">Chi V. V. </w:t>
      </w:r>
      <w:r w:rsidRPr="005E6B7C">
        <w:rPr>
          <w:rFonts w:asciiTheme="majorHAnsi" w:eastAsia="Yu Mincho" w:hAnsiTheme="majorHAnsi" w:cstheme="majorHAnsi"/>
          <w:i/>
          <w:noProof/>
          <w:color w:val="000000" w:themeColor="text1"/>
          <w:spacing w:val="4"/>
          <w:sz w:val="18"/>
          <w:szCs w:val="18"/>
          <w:lang w:eastAsia="ja-JP"/>
        </w:rPr>
        <w:t>The Dictionary of Vietnamese Medicinal Plants (new edition)</w:t>
      </w:r>
      <w:r w:rsidRPr="005E6B7C">
        <w:rPr>
          <w:rFonts w:asciiTheme="majorHAnsi" w:eastAsia="Yu Mincho" w:hAnsiTheme="majorHAnsi" w:cstheme="majorHAnsi"/>
          <w:noProof/>
          <w:color w:val="000000" w:themeColor="text1"/>
          <w:spacing w:val="4"/>
          <w:sz w:val="18"/>
          <w:szCs w:val="18"/>
          <w:lang w:eastAsia="ja-JP"/>
        </w:rPr>
        <w:t xml:space="preserve">. Medicine Publishing House, Hanoi, 2012, pp. 761. </w:t>
      </w:r>
    </w:p>
    <w:p w14:paraId="0FAFF8B3"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 xml:space="preserve">. Aman A. M., Nahar N., Mosihuzzamann M. (1993), Isolation and characterization of some terpenoids and phenolic acids of </w:t>
      </w:r>
      <w:r w:rsidRPr="005E6B7C">
        <w:rPr>
          <w:rFonts w:asciiTheme="majorHAnsi" w:eastAsia="Yu Mincho" w:hAnsiTheme="majorHAnsi" w:cstheme="majorHAnsi"/>
          <w:i/>
          <w:noProof/>
          <w:color w:val="000000" w:themeColor="text1"/>
          <w:sz w:val="18"/>
          <w:szCs w:val="18"/>
          <w:lang w:eastAsia="ja-JP"/>
        </w:rPr>
        <w:t>Abroma augusta</w:t>
      </w:r>
      <w:r w:rsidRPr="005E6B7C">
        <w:rPr>
          <w:rFonts w:asciiTheme="majorHAnsi" w:eastAsia="Yu Mincho" w:hAnsiTheme="majorHAnsi" w:cstheme="majorHAnsi"/>
          <w:noProof/>
          <w:color w:val="000000" w:themeColor="text1"/>
          <w:sz w:val="18"/>
          <w:szCs w:val="18"/>
          <w:lang w:eastAsia="ja-JP"/>
        </w:rPr>
        <w:t xml:space="preserve"> root bark</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Dhaka University Studies, Part B: Science</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41, 119-126. </w:t>
      </w:r>
    </w:p>
    <w:p w14:paraId="6CE4985B"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xml:space="preserve">. Khanra R., Bhattacharjee N., Dua T. K., Nandy A., Saha A., Kalita J., Manna P., Dewanjee S. (2017), Taraxerol, a pentacyclic triterpenoid, from </w:t>
      </w:r>
      <w:r w:rsidRPr="005E6B7C">
        <w:rPr>
          <w:rFonts w:asciiTheme="majorHAnsi" w:eastAsia="Yu Mincho" w:hAnsiTheme="majorHAnsi" w:cstheme="majorHAnsi"/>
          <w:i/>
          <w:noProof/>
          <w:color w:val="000000" w:themeColor="text1"/>
          <w:sz w:val="18"/>
          <w:szCs w:val="18"/>
          <w:lang w:eastAsia="ja-JP"/>
        </w:rPr>
        <w:t>Abroma augusta</w:t>
      </w:r>
      <w:r w:rsidRPr="005E6B7C">
        <w:rPr>
          <w:rFonts w:asciiTheme="majorHAnsi" w:eastAsia="Yu Mincho" w:hAnsiTheme="majorHAnsi" w:cstheme="majorHAnsi"/>
          <w:noProof/>
          <w:color w:val="000000" w:themeColor="text1"/>
          <w:sz w:val="18"/>
          <w:szCs w:val="18"/>
          <w:lang w:eastAsia="ja-JP"/>
        </w:rPr>
        <w:t xml:space="preserve"> leaf attenuates diabetic nephropathy in type 2 diabetic rats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Biomedicine &amp; Pharmacotherapy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94, 726-741. </w:t>
      </w:r>
    </w:p>
    <w:p w14:paraId="18B5D724"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 xml:space="preserve">. Khanra R., Dewanjee S., Dua T. K., Bhattacharjee N. (2017), Taraxerol, a pentacyclic triterpene from </w:t>
      </w:r>
      <w:r w:rsidRPr="005E6B7C">
        <w:rPr>
          <w:rFonts w:asciiTheme="majorHAnsi" w:eastAsia="Yu Mincho" w:hAnsiTheme="majorHAnsi" w:cstheme="majorHAnsi"/>
          <w:i/>
          <w:noProof/>
          <w:color w:val="000000" w:themeColor="text1"/>
          <w:sz w:val="18"/>
          <w:szCs w:val="18"/>
          <w:lang w:eastAsia="ja-JP"/>
        </w:rPr>
        <w:t>Abroma augusta</w:t>
      </w:r>
      <w:r w:rsidRPr="005E6B7C">
        <w:rPr>
          <w:rFonts w:asciiTheme="majorHAnsi" w:eastAsia="Yu Mincho" w:hAnsiTheme="majorHAnsi" w:cstheme="majorHAnsi"/>
          <w:noProof/>
          <w:color w:val="000000" w:themeColor="text1"/>
          <w:sz w:val="18"/>
          <w:szCs w:val="18"/>
          <w:lang w:eastAsia="ja-JP"/>
        </w:rPr>
        <w:t xml:space="preserve"> leaf, attenuates acute inflammation via inhibition of NF-κB signaling</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Biomedicine &amp; Pharmacotherapy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88, 918-923. </w:t>
      </w:r>
    </w:p>
    <w:p w14:paraId="130B5221"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 Dixit A., Singh A. K. (2022), Substantiation of medicinal properties of Ulatakambal (</w:t>
      </w:r>
      <w:r w:rsidRPr="005E6B7C">
        <w:rPr>
          <w:rFonts w:asciiTheme="majorHAnsi" w:eastAsia="Yu Mincho" w:hAnsiTheme="majorHAnsi" w:cstheme="majorHAnsi"/>
          <w:i/>
          <w:noProof/>
          <w:color w:val="000000" w:themeColor="text1"/>
          <w:sz w:val="18"/>
          <w:szCs w:val="18"/>
          <w:lang w:eastAsia="ja-JP"/>
        </w:rPr>
        <w:t>Abroma augusta</w:t>
      </w:r>
      <w:r w:rsidRPr="005E6B7C">
        <w:rPr>
          <w:rFonts w:asciiTheme="majorHAnsi" w:eastAsia="Yu Mincho" w:hAnsiTheme="majorHAnsi" w:cstheme="majorHAnsi"/>
          <w:noProof/>
          <w:color w:val="000000" w:themeColor="text1"/>
          <w:sz w:val="18"/>
          <w:szCs w:val="18"/>
          <w:lang w:eastAsia="ja-JP"/>
        </w:rPr>
        <w:t xml:space="preserve"> Linn.) through ethnomedicine, phytochemical, experimental and clinical studies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International Journal of Ayurveda and Pharmaceutical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17, 1-13. </w:t>
      </w:r>
    </w:p>
    <w:p w14:paraId="345A6B7E"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 Scudiero D. A., Shoemaker R. H., Paull K. D., Monks A., Tierney S., Nofziger T. H., Currens M. J., Seniff D., Boyd M. R. (1988), Evaluation of a soluble tetrazolium/formazan assay for cell growth and drug sensitivity in culture using human and other tumor cell lines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Cancer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48, 4827-4833. </w:t>
      </w:r>
    </w:p>
    <w:p w14:paraId="0BDAA0C3"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 Nguyen T. N., Do T. P., Nguyen T. C., Trieu H. P., Nguyen T. G. A., Do T. T. (2023), Cinchonain Ia shows promising antitumor effects in combination with L-asparaginase-loaded nanoliposomes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Pharmaceutics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15, 1537. </w:t>
      </w:r>
    </w:p>
    <w:p w14:paraId="5D56001A"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 xml:space="preserve">. Takeda Y., Ooiso Y., Masuda T., Honda G., Otsuka H., Sezik E., Yesilada E. (1998), Iridoid and eugenol glycosides from </w:t>
      </w:r>
      <w:r w:rsidRPr="005E6B7C">
        <w:rPr>
          <w:rFonts w:asciiTheme="majorHAnsi" w:eastAsia="Yu Mincho" w:hAnsiTheme="majorHAnsi" w:cstheme="majorHAnsi"/>
          <w:i/>
          <w:noProof/>
          <w:color w:val="000000" w:themeColor="text1"/>
          <w:sz w:val="18"/>
          <w:szCs w:val="18"/>
          <w:lang w:eastAsia="ja-JP"/>
        </w:rPr>
        <w:t>Nepeta cadmea.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Phytochemistry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49, 787-791. </w:t>
      </w:r>
    </w:p>
    <w:p w14:paraId="474EC62D"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Wang K. W., Zhou M. Q., Gu Q., Auckloo N. B., Wu X. D., Wu B. (2016), Unusual new phenylethanoid and phenylpropanoid diglycosides from the leaves of </w:t>
      </w:r>
      <w:r w:rsidRPr="005E6B7C">
        <w:rPr>
          <w:rFonts w:asciiTheme="majorHAnsi" w:eastAsia="Yu Mincho" w:hAnsiTheme="majorHAnsi" w:cstheme="majorHAnsi"/>
          <w:i/>
          <w:noProof/>
          <w:color w:val="000000" w:themeColor="text1"/>
          <w:spacing w:val="4"/>
          <w:sz w:val="18"/>
          <w:szCs w:val="18"/>
          <w:lang w:eastAsia="ja-JP"/>
        </w:rPr>
        <w:t>Chloranthus spicatus</w:t>
      </w:r>
      <w:r w:rsidRPr="005E6B7C">
        <w:rPr>
          <w:rFonts w:asciiTheme="majorHAnsi" w:eastAsia="Yu Mincho" w:hAnsiTheme="majorHAnsi" w:cstheme="majorHAnsi"/>
          <w:noProof/>
          <w:color w:val="000000" w:themeColor="text1"/>
          <w:spacing w:val="4"/>
          <w:sz w:val="18"/>
          <w:szCs w:val="18"/>
          <w:lang w:eastAsia="ja-JP"/>
        </w:rPr>
        <w:t xml:space="preserve"> (Thunb.) Makino</w:t>
      </w:r>
      <w:r w:rsidRPr="005E6B7C">
        <w:rPr>
          <w:rFonts w:asciiTheme="majorHAnsi" w:eastAsia="Yu Mincho" w:hAnsiTheme="majorHAnsi" w:cstheme="majorHAnsi"/>
          <w: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i/>
          <w:noProof/>
          <w:color w:val="000000" w:themeColor="text1"/>
          <w:spacing w:val="4"/>
          <w:sz w:val="18"/>
          <w:szCs w:val="18"/>
          <w:lang w:eastAsia="ja-JP"/>
        </w:rPr>
        <w:t>Phytochemistry Letters</w:t>
      </w:r>
      <w:r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b/>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eastAsia="ja-JP"/>
        </w:rPr>
        <w:t xml:space="preserve">17, 201-205. </w:t>
      </w:r>
    </w:p>
    <w:p w14:paraId="3415994B"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 xml:space="preserve">. Kil H. W., Rho T., Yoon K. D. (2019), Phytochemical study of aerial parts of </w:t>
      </w:r>
      <w:r w:rsidRPr="005E6B7C">
        <w:rPr>
          <w:rFonts w:asciiTheme="majorHAnsi" w:eastAsia="Yu Mincho" w:hAnsiTheme="majorHAnsi" w:cstheme="majorHAnsi"/>
          <w:i/>
          <w:noProof/>
          <w:color w:val="000000" w:themeColor="text1"/>
          <w:sz w:val="18"/>
          <w:szCs w:val="18"/>
          <w:lang w:eastAsia="ja-JP"/>
        </w:rPr>
        <w:t>Leea asiatica.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24, 1733. </w:t>
      </w:r>
    </w:p>
    <w:p w14:paraId="3BA6B022"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 xml:space="preserve">. Hübner G., Wray V., Nahrstedt A. (1999), Flavonol oligosaccharides from the seeds of </w:t>
      </w:r>
      <w:r w:rsidRPr="005E6B7C">
        <w:rPr>
          <w:rFonts w:asciiTheme="majorHAnsi" w:eastAsia="Yu Mincho" w:hAnsiTheme="majorHAnsi" w:cstheme="majorHAnsi"/>
          <w:i/>
          <w:noProof/>
          <w:color w:val="000000" w:themeColor="text1"/>
          <w:sz w:val="18"/>
          <w:szCs w:val="18"/>
          <w:lang w:eastAsia="ja-JP"/>
        </w:rPr>
        <w:t>Aesculus hippocastanum.</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Planta Medica</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65, 636-642. </w:t>
      </w:r>
    </w:p>
    <w:p w14:paraId="04BFD2AF"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 xml:space="preserve">. Zhou Y., Wang W., Tang L., Yan X. G., Shi L. Y., Wang Y. Q., Feng B. M. (2009), Lignan and flavonoid glycosides from </w:t>
      </w:r>
      <w:r w:rsidRPr="005E6B7C">
        <w:rPr>
          <w:rFonts w:asciiTheme="majorHAnsi" w:eastAsia="Yu Mincho" w:hAnsiTheme="majorHAnsi" w:cstheme="majorHAnsi"/>
          <w:i/>
          <w:noProof/>
          <w:color w:val="000000" w:themeColor="text1"/>
          <w:sz w:val="18"/>
          <w:szCs w:val="18"/>
          <w:lang w:eastAsia="ja-JP"/>
        </w:rPr>
        <w:t>Urtica laetevirens</w:t>
      </w:r>
      <w:r w:rsidRPr="005E6B7C">
        <w:rPr>
          <w:rFonts w:asciiTheme="majorHAnsi" w:eastAsia="Yu Mincho" w:hAnsiTheme="majorHAnsi" w:cstheme="majorHAnsi"/>
          <w:noProof/>
          <w:color w:val="000000" w:themeColor="text1"/>
          <w:sz w:val="18"/>
          <w:szCs w:val="18"/>
          <w:lang w:eastAsia="ja-JP"/>
        </w:rPr>
        <w:t xml:space="preserve"> Maxim</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Natural Medicines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63, 100-101. </w:t>
      </w:r>
    </w:p>
    <w:p w14:paraId="4E023E3E"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 xml:space="preserve">. Kuang H. X., Xia Y. G., Yang B. Y., Wang Q. H., Lü S. W. (2009), Lignan constituents from </w:t>
      </w:r>
      <w:r w:rsidRPr="005E6B7C">
        <w:rPr>
          <w:rFonts w:asciiTheme="majorHAnsi" w:eastAsia="Yu Mincho" w:hAnsiTheme="majorHAnsi" w:cstheme="majorHAnsi"/>
          <w:i/>
          <w:noProof/>
          <w:color w:val="000000" w:themeColor="text1"/>
          <w:sz w:val="18"/>
          <w:szCs w:val="18"/>
          <w:lang w:eastAsia="ja-JP"/>
        </w:rPr>
        <w:t>Chloranthus japonicus</w:t>
      </w:r>
      <w:r w:rsidRPr="005E6B7C">
        <w:rPr>
          <w:rFonts w:asciiTheme="majorHAnsi" w:eastAsia="Yu Mincho" w:hAnsiTheme="majorHAnsi" w:cstheme="majorHAnsi"/>
          <w:noProof/>
          <w:color w:val="000000" w:themeColor="text1"/>
          <w:sz w:val="18"/>
          <w:szCs w:val="18"/>
          <w:lang w:eastAsia="ja-JP"/>
        </w:rPr>
        <w:t xml:space="preserve"> Sieb</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Archives of Pharmacal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32, 329-334. </w:t>
      </w:r>
    </w:p>
    <w:p w14:paraId="471AB2FB"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 xml:space="preserve">. Takara K., Matsui D., Wada K., Ichiba T., Chinen I., Nakasone Y. (2003), New phenolic compounds from </w:t>
      </w:r>
      <w:r w:rsidRPr="005E6B7C">
        <w:rPr>
          <w:rFonts w:asciiTheme="majorHAnsi" w:eastAsia="Yu Mincho" w:hAnsiTheme="majorHAnsi" w:cstheme="majorHAnsi"/>
          <w:i/>
          <w:noProof/>
          <w:color w:val="000000" w:themeColor="text1"/>
          <w:sz w:val="18"/>
          <w:szCs w:val="18"/>
          <w:lang w:eastAsia="ja-JP"/>
        </w:rPr>
        <w:t>Kokuto</w:t>
      </w:r>
      <w:r w:rsidRPr="005E6B7C">
        <w:rPr>
          <w:rFonts w:asciiTheme="majorHAnsi" w:eastAsia="Yu Mincho" w:hAnsiTheme="majorHAnsi" w:cstheme="majorHAnsi"/>
          <w:noProof/>
          <w:color w:val="000000" w:themeColor="text1"/>
          <w:sz w:val="18"/>
          <w:szCs w:val="18"/>
          <w:lang w:eastAsia="ja-JP"/>
        </w:rPr>
        <w:t>, non-centrifuged cane sugar</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Bioscience, Biotechnology, and Biochemistry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67, 376-379. </w:t>
      </w:r>
      <w:bookmarkStart w:id="7" w:name="_ENREF_15"/>
    </w:p>
    <w:p w14:paraId="66511495"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 xml:space="preserve">. Thao N. P., Luyen B. T. T., Koo J. E., Kim S., Koh Y. S., Thanh N. V., Cuong N. X., Kiem P. V., Minh C. V., Kim Y. H. (2016),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anti-inflammatory components isolated from the carnivorous plant </w:t>
      </w:r>
      <w:r w:rsidRPr="005E6B7C">
        <w:rPr>
          <w:rFonts w:asciiTheme="majorHAnsi" w:eastAsia="Yu Mincho" w:hAnsiTheme="majorHAnsi" w:cstheme="majorHAnsi"/>
          <w:i/>
          <w:noProof/>
          <w:color w:val="000000" w:themeColor="text1"/>
          <w:sz w:val="18"/>
          <w:szCs w:val="18"/>
          <w:lang w:eastAsia="ja-JP"/>
        </w:rPr>
        <w:t>Nepenthes mirabilis</w:t>
      </w:r>
      <w:r w:rsidRPr="005E6B7C">
        <w:rPr>
          <w:rFonts w:asciiTheme="majorHAnsi" w:eastAsia="Yu Mincho" w:hAnsiTheme="majorHAnsi" w:cstheme="majorHAnsi"/>
          <w:noProof/>
          <w:color w:val="000000" w:themeColor="text1"/>
          <w:sz w:val="18"/>
          <w:szCs w:val="18"/>
          <w:lang w:eastAsia="ja-JP"/>
        </w:rPr>
        <w:t xml:space="preserve"> (Lour.) Rafarin</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Pharmaceutical Biology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54, 588-594.</w:t>
      </w:r>
      <w:bookmarkEnd w:id="7"/>
      <w:r w:rsidRPr="005E6B7C">
        <w:rPr>
          <w:rFonts w:asciiTheme="majorHAnsi" w:eastAsia="Yu Mincho" w:hAnsiTheme="majorHAnsi" w:cstheme="majorHAnsi"/>
          <w:noProof/>
          <w:color w:val="000000" w:themeColor="text1"/>
          <w:sz w:val="18"/>
          <w:szCs w:val="18"/>
          <w:lang w:eastAsia="ja-JP"/>
        </w:rPr>
        <w:t xml:space="preserve"> </w:t>
      </w:r>
      <w:bookmarkStart w:id="8" w:name="_ENREF_16"/>
    </w:p>
    <w:p w14:paraId="4F8F8A52"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Yang L., Jiang S. T., Zhou Q. G., Zhong G. Y., He J. W. (2017), Chemical constituents from the flower of </w:t>
      </w:r>
      <w:r w:rsidRPr="005E6B7C">
        <w:rPr>
          <w:rFonts w:asciiTheme="majorHAnsi" w:eastAsia="Yu Mincho" w:hAnsiTheme="majorHAnsi" w:cstheme="majorHAnsi"/>
          <w:i/>
          <w:noProof/>
          <w:color w:val="000000" w:themeColor="text1"/>
          <w:sz w:val="18"/>
          <w:szCs w:val="18"/>
          <w:lang w:eastAsia="ja-JP"/>
        </w:rPr>
        <w:t>Hosta plantaginea</w:t>
      </w:r>
      <w:r w:rsidRPr="005E6B7C">
        <w:rPr>
          <w:rFonts w:asciiTheme="majorHAnsi" w:eastAsia="Yu Mincho" w:hAnsiTheme="majorHAnsi" w:cstheme="majorHAnsi"/>
          <w:noProof/>
          <w:color w:val="000000" w:themeColor="text1"/>
          <w:sz w:val="18"/>
          <w:szCs w:val="18"/>
          <w:lang w:eastAsia="ja-JP"/>
        </w:rPr>
        <w:t xml:space="preserve"> with cyclooxygenases inhibition and antioxidant activities and their chemotaxonomic significance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22, 1825.</w:t>
      </w:r>
      <w:bookmarkEnd w:id="8"/>
      <w:r w:rsidRPr="005E6B7C">
        <w:rPr>
          <w:rFonts w:asciiTheme="majorHAnsi" w:eastAsia="Yu Mincho" w:hAnsiTheme="majorHAnsi" w:cstheme="majorHAnsi"/>
          <w:noProof/>
          <w:color w:val="000000" w:themeColor="text1"/>
          <w:sz w:val="18"/>
          <w:szCs w:val="18"/>
          <w:lang w:eastAsia="ja-JP"/>
        </w:rPr>
        <w:t xml:space="preserve"> </w:t>
      </w:r>
      <w:bookmarkStart w:id="9" w:name="_ENREF_17"/>
    </w:p>
    <w:p w14:paraId="50BA3EBC"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xml:space="preserve">. Samy M. N., Khalil H. E., Sugimoto S., Otsuka H., Matsunami K., Kamel M. S. (2018), Phytoconstituents from the aerial parts of </w:t>
      </w:r>
      <w:r w:rsidRPr="005E6B7C">
        <w:rPr>
          <w:rFonts w:asciiTheme="majorHAnsi" w:eastAsia="Yu Mincho" w:hAnsiTheme="majorHAnsi" w:cstheme="majorHAnsi"/>
          <w:i/>
          <w:noProof/>
          <w:color w:val="000000" w:themeColor="text1"/>
          <w:sz w:val="18"/>
          <w:szCs w:val="18"/>
          <w:lang w:eastAsia="ja-JP"/>
        </w:rPr>
        <w:t>Lampranthus spectabilis.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South African Journal of Botany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118, 179-182.</w:t>
      </w:r>
      <w:bookmarkEnd w:id="9"/>
      <w:r w:rsidRPr="005E6B7C">
        <w:rPr>
          <w:rFonts w:asciiTheme="majorHAnsi" w:eastAsia="Yu Mincho" w:hAnsiTheme="majorHAnsi" w:cstheme="majorHAnsi"/>
          <w:noProof/>
          <w:color w:val="000000" w:themeColor="text1"/>
          <w:sz w:val="18"/>
          <w:szCs w:val="18"/>
          <w:lang w:eastAsia="ja-JP"/>
        </w:rPr>
        <w:t xml:space="preserve"> </w:t>
      </w:r>
      <w:bookmarkStart w:id="10" w:name="_ENREF_18"/>
    </w:p>
    <w:p w14:paraId="14058F10" w14:textId="77777777" w:rsidR="00E049CB" w:rsidRPr="005E6B7C" w:rsidRDefault="00E049CB" w:rsidP="008C0D47">
      <w:pPr>
        <w:tabs>
          <w:tab w:val="left" w:pos="270"/>
          <w:tab w:val="left" w:pos="540"/>
          <w:tab w:val="left" w:pos="9270"/>
        </w:tabs>
        <w:spacing w:line="20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 xml:space="preserve">. Lee S. J., Yun Y. S., Lee I. K., Ryoo I. J., Yun B. S., Yoo I. D. (1999), An antioxidant lignan and other constituents from the root bark of </w:t>
      </w:r>
      <w:r w:rsidRPr="005E6B7C">
        <w:rPr>
          <w:rFonts w:asciiTheme="majorHAnsi" w:eastAsia="Yu Mincho" w:hAnsiTheme="majorHAnsi" w:cstheme="majorHAnsi"/>
          <w:i/>
          <w:noProof/>
          <w:color w:val="000000" w:themeColor="text1"/>
          <w:sz w:val="18"/>
          <w:szCs w:val="18"/>
          <w:lang w:eastAsia="ja-JP"/>
        </w:rPr>
        <w:t>Hibiscus syriacus.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Planta Medica</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65, 658-660.</w:t>
      </w:r>
      <w:bookmarkEnd w:id="10"/>
      <w:r w:rsidRPr="005E6B7C">
        <w:rPr>
          <w:rFonts w:asciiTheme="majorHAnsi" w:eastAsia="Yu Mincho" w:hAnsiTheme="majorHAnsi" w:cstheme="majorHAnsi"/>
          <w:noProof/>
          <w:color w:val="000000" w:themeColor="text1"/>
          <w:sz w:val="18"/>
          <w:szCs w:val="18"/>
          <w:lang w:val="es-VE" w:eastAsia="ja-JP"/>
        </w:rPr>
        <w:fldChar w:fldCharType="end"/>
      </w:r>
    </w:p>
    <w:p w14:paraId="344E0758" w14:textId="77777777" w:rsidR="000B7F16" w:rsidRPr="005E6B7C" w:rsidRDefault="000B7F16" w:rsidP="008C0D47">
      <w:pPr>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p>
    <w:p w14:paraId="307C8D17"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C8462C" w:rsidRPr="005E6B7C">
        <w:rPr>
          <w:rFonts w:asciiTheme="majorHAnsi" w:eastAsia="Yu Mincho" w:hAnsiTheme="majorHAnsi" w:cstheme="majorHAnsi"/>
          <w:b/>
          <w:bCs/>
          <w:i/>
          <w:color w:val="000000" w:themeColor="text1"/>
          <w:sz w:val="26"/>
          <w:szCs w:val="26"/>
          <w:lang w:eastAsia="ja-JP"/>
        </w:rPr>
        <w:t>. 29 -</w:t>
      </w:r>
      <w:r w:rsidR="00FC534C" w:rsidRPr="005E6B7C">
        <w:rPr>
          <w:rFonts w:asciiTheme="majorHAnsi" w:eastAsia="Yu Mincho" w:hAnsiTheme="majorHAnsi" w:cstheme="majorHAnsi"/>
          <w:b/>
          <w:bCs/>
          <w:i/>
          <w:color w:val="000000" w:themeColor="text1"/>
          <w:sz w:val="26"/>
          <w:szCs w:val="26"/>
          <w:lang w:eastAsia="ja-JP"/>
        </w:rPr>
        <w:t xml:space="preserve"> 35</w:t>
      </w:r>
      <w:r w:rsidRPr="005E6B7C">
        <w:rPr>
          <w:rFonts w:asciiTheme="majorHAnsi" w:eastAsia="Yu Mincho" w:hAnsiTheme="majorHAnsi" w:cstheme="majorHAnsi"/>
          <w:b/>
          <w:bCs/>
          <w:i/>
          <w:color w:val="000000" w:themeColor="text1"/>
          <w:sz w:val="26"/>
          <w:szCs w:val="26"/>
          <w:lang w:eastAsia="ja-JP"/>
        </w:rPr>
        <w:t>)</w:t>
      </w:r>
    </w:p>
    <w:p w14:paraId="353D8831"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2"/>
          <w:szCs w:val="22"/>
          <w:lang w:eastAsia="ja-JP"/>
        </w:rPr>
      </w:pPr>
    </w:p>
    <w:p w14:paraId="149E9BAA" w14:textId="77777777" w:rsidR="00B666AE" w:rsidRPr="005E6B7C" w:rsidRDefault="00E049CB" w:rsidP="008C0D47">
      <w:pPr>
        <w:tabs>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CHEMICAL PROFILING AND ANTI-INFLAMMATORY EFFECTS </w:t>
      </w:r>
    </w:p>
    <w:p w14:paraId="23C696C3" w14:textId="77777777" w:rsidR="00E049CB" w:rsidRPr="005E6B7C" w:rsidRDefault="00E049CB" w:rsidP="008C0D47">
      <w:pPr>
        <w:tabs>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OF </w:t>
      </w:r>
      <w:r w:rsidRPr="005E6B7C">
        <w:rPr>
          <w:rFonts w:asciiTheme="majorHAnsi" w:eastAsia="Yu Mincho" w:hAnsiTheme="majorHAnsi" w:cstheme="majorHAnsi"/>
          <w:b/>
          <w:bCs/>
          <w:i/>
          <w:iCs/>
          <w:color w:val="000000" w:themeColor="text1"/>
          <w:sz w:val="26"/>
          <w:szCs w:val="26"/>
          <w:lang w:eastAsia="ja-JP"/>
        </w:rPr>
        <w:t>PHYSALIS ANGULATA</w:t>
      </w:r>
      <w:r w:rsidRPr="005E6B7C">
        <w:rPr>
          <w:rFonts w:asciiTheme="majorHAnsi" w:eastAsia="Yu Mincho" w:hAnsiTheme="majorHAnsi" w:cstheme="majorHAnsi"/>
          <w:b/>
          <w:bCs/>
          <w:color w:val="000000" w:themeColor="text1"/>
          <w:sz w:val="26"/>
          <w:szCs w:val="26"/>
          <w:lang w:eastAsia="ja-JP"/>
        </w:rPr>
        <w:t xml:space="preserve"> IN LIPOPOLYSACCHARIDE-STIMULATED BONE MARROW–DERIVED DENDRITIC CELLS</w:t>
      </w:r>
    </w:p>
    <w:p w14:paraId="14926DB1" w14:textId="77777777" w:rsidR="00E049CB" w:rsidRPr="005E6B7C" w:rsidRDefault="00E049CB" w:rsidP="008C0D47">
      <w:pPr>
        <w:tabs>
          <w:tab w:val="left" w:pos="9270"/>
        </w:tabs>
        <w:ind w:right="-20"/>
        <w:jc w:val="center"/>
        <w:rPr>
          <w:rFonts w:asciiTheme="majorHAnsi" w:eastAsia="Yu Mincho" w:hAnsiTheme="majorHAnsi" w:cstheme="majorHAnsi"/>
          <w:b/>
          <w:bCs/>
          <w:i/>
          <w:iCs/>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Dinh Thi Huong, Le Ba Vinh*, Nguyen Van Chinh, Nguyen Cao Cuong</w:t>
      </w:r>
    </w:p>
    <w:p w14:paraId="5086D147" w14:textId="77777777" w:rsidR="00E049CB" w:rsidRPr="005E6B7C" w:rsidRDefault="00E049CB" w:rsidP="008C0D47">
      <w:pPr>
        <w:tabs>
          <w:tab w:val="left" w:pos="9270"/>
        </w:tabs>
        <w:ind w:right="-20"/>
        <w:jc w:val="center"/>
        <w:rPr>
          <w:rFonts w:asciiTheme="majorHAnsi" w:eastAsia="Yu Mincho" w:hAnsiTheme="majorHAnsi" w:cstheme="majorHAnsi"/>
          <w:i/>
          <w:iCs/>
          <w:color w:val="000000" w:themeColor="text1"/>
          <w:sz w:val="22"/>
          <w:szCs w:val="22"/>
          <w:lang w:eastAsia="ja-JP"/>
        </w:rPr>
      </w:pPr>
      <w:bookmarkStart w:id="11" w:name="_Hlk201478684"/>
      <w:r w:rsidRPr="005E6B7C">
        <w:rPr>
          <w:rFonts w:asciiTheme="majorHAnsi" w:eastAsia="Yu Mincho" w:hAnsiTheme="majorHAnsi" w:cstheme="majorHAnsi"/>
          <w:i/>
          <w:iCs/>
          <w:color w:val="000000" w:themeColor="text1"/>
          <w:sz w:val="22"/>
          <w:szCs w:val="22"/>
          <w:lang w:eastAsia="ja-JP"/>
        </w:rPr>
        <w:t>Faculty of Medicine and Pharmacy, Yersin University of Da Lat, Lam Dong, Vietnam</w:t>
      </w:r>
      <w:bookmarkEnd w:id="11"/>
    </w:p>
    <w:p w14:paraId="5F17708D" w14:textId="77777777" w:rsidR="00C247FE" w:rsidRPr="005E6B7C" w:rsidRDefault="00C247FE" w:rsidP="008C0D47">
      <w:pPr>
        <w:tabs>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vinhrooney@gmail.com</w:t>
      </w:r>
    </w:p>
    <w:p w14:paraId="2145B04F" w14:textId="077DB3F4" w:rsidR="00221F08" w:rsidRPr="005E6B7C" w:rsidRDefault="00221F08"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February 20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w:t>
      </w:r>
      <w:r w:rsidR="003115FB" w:rsidRPr="005E6B7C">
        <w:rPr>
          <w:rFonts w:asciiTheme="majorHAnsi" w:eastAsia="Yu Mincho" w:hAnsiTheme="majorHAnsi" w:cstheme="majorHAnsi"/>
          <w:color w:val="000000" w:themeColor="text1"/>
          <w:sz w:val="20"/>
          <w:szCs w:val="20"/>
          <w:lang w:eastAsia="ja-JP"/>
        </w:rPr>
        <w:t>6</w:t>
      </w:r>
      <w:r w:rsidRPr="005E6B7C">
        <w:rPr>
          <w:rFonts w:asciiTheme="majorHAnsi" w:eastAsia="Yu Mincho" w:hAnsiTheme="majorHAnsi" w:cstheme="majorHAnsi"/>
          <w:color w:val="000000" w:themeColor="text1"/>
          <w:sz w:val="20"/>
          <w:szCs w:val="20"/>
          <w:lang w:eastAsia="ja-JP"/>
        </w:rPr>
        <w:t xml:space="preserve">                Accepted March 1</w:t>
      </w:r>
      <w:r w:rsidRPr="005E6B7C">
        <w:rPr>
          <w:rFonts w:asciiTheme="majorHAnsi" w:eastAsia="Yu Mincho" w:hAnsiTheme="majorHAnsi" w:cstheme="majorHAnsi"/>
          <w:color w:val="000000" w:themeColor="text1"/>
          <w:sz w:val="20"/>
          <w:szCs w:val="20"/>
          <w:vertAlign w:val="superscript"/>
          <w:lang w:eastAsia="ja-JP"/>
        </w:rPr>
        <w:t>st</w:t>
      </w:r>
      <w:r w:rsidRPr="005E6B7C">
        <w:rPr>
          <w:rFonts w:asciiTheme="majorHAnsi" w:eastAsia="Yu Mincho" w:hAnsiTheme="majorHAnsi" w:cstheme="majorHAnsi"/>
          <w:color w:val="000000" w:themeColor="text1"/>
          <w:sz w:val="20"/>
          <w:szCs w:val="20"/>
          <w:lang w:eastAsia="ja-JP"/>
        </w:rPr>
        <w:t>, 2026</w:t>
      </w:r>
    </w:p>
    <w:p w14:paraId="09898D6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7D03A0C8" w14:textId="4D2D4280"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Physalis angulata</w:t>
      </w:r>
      <w:r w:rsidRPr="005E6B7C">
        <w:rPr>
          <w:rFonts w:asciiTheme="majorHAnsi" w:eastAsia="Yu Mincho" w:hAnsiTheme="majorHAnsi" w:cstheme="majorHAnsi"/>
          <w:color w:val="000000" w:themeColor="text1"/>
          <w:sz w:val="18"/>
          <w:szCs w:val="18"/>
          <w:lang w:eastAsia="ja-JP"/>
        </w:rPr>
        <w:t xml:space="preserve"> is an important medicinal plant that has been widely used in traditional medicine for the treatment of inflammation and various inflammatory-related disorders. Despite its medicinal relevance, comprehensive chemical profiling of the fruits of </w:t>
      </w:r>
      <w:r w:rsidRPr="005E6B7C">
        <w:rPr>
          <w:rFonts w:asciiTheme="majorHAnsi" w:eastAsia="Yu Mincho" w:hAnsiTheme="majorHAnsi" w:cstheme="majorHAnsi"/>
          <w:i/>
          <w:iCs/>
          <w:color w:val="000000" w:themeColor="text1"/>
          <w:sz w:val="18"/>
          <w:szCs w:val="18"/>
          <w:lang w:eastAsia="ja-JP"/>
        </w:rPr>
        <w:t>P. angulata</w:t>
      </w:r>
      <w:r w:rsidRPr="005E6B7C">
        <w:rPr>
          <w:rFonts w:asciiTheme="majorHAnsi" w:eastAsia="Yu Mincho" w:hAnsiTheme="majorHAnsi" w:cstheme="majorHAnsi"/>
          <w:color w:val="000000" w:themeColor="text1"/>
          <w:sz w:val="18"/>
          <w:szCs w:val="18"/>
          <w:lang w:eastAsia="ja-JP"/>
        </w:rPr>
        <w:t xml:space="preserve"> collected in Vietnam has not yet been systematically investigated. In this study, a comprehensive chemical characterization of the methanolic extract of </w:t>
      </w:r>
      <w:r w:rsidRPr="005E6B7C">
        <w:rPr>
          <w:rFonts w:asciiTheme="majorHAnsi" w:eastAsia="Yu Mincho" w:hAnsiTheme="majorHAnsi" w:cstheme="majorHAnsi"/>
          <w:i/>
          <w:iCs/>
          <w:color w:val="000000" w:themeColor="text1"/>
          <w:sz w:val="18"/>
          <w:szCs w:val="18"/>
          <w:lang w:eastAsia="ja-JP"/>
        </w:rPr>
        <w:t>P. angulata</w:t>
      </w:r>
      <w:r w:rsidRPr="005E6B7C">
        <w:rPr>
          <w:rFonts w:asciiTheme="majorHAnsi" w:eastAsia="Yu Mincho" w:hAnsiTheme="majorHAnsi" w:cstheme="majorHAnsi"/>
          <w:color w:val="000000" w:themeColor="text1"/>
          <w:sz w:val="18"/>
          <w:szCs w:val="18"/>
          <w:lang w:eastAsia="ja-JP"/>
        </w:rPr>
        <w:t xml:space="preserve"> was performed using high-resolution quadrupole time-of-flight mass spectrometry (HR-QTOF-MS), enabling rapid and accurate profiling of its bioactive constituents. Furthermore, the anti-inflammatory activity of the isolated compounds was evaluated by measuring lipopolysaccharide (LPS)-induced production of pro-inflammatory cytokines, including interleukin (IL)-12p40, IL-6, and tumor necrosis factor-</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xml:space="preserve"> (TNF-</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in bone marrow</w:t>
      </w:r>
      <w:r w:rsidR="00E94837"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derived dendritic cells. Consistent with this, compound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exhibited potent anti-inflammatory activity against IL-12p40, IL-6, and TNF-</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with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of 1.17 ± 0.02, 7.52 ± 0.03, and 2.93 ± 0.05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 xml:space="preserve">M, respectively, compared with the positive control </w:t>
      </w:r>
      <w:r w:rsidR="00E94837" w:rsidRPr="005E6B7C">
        <w:rPr>
          <w:rFonts w:asciiTheme="majorHAnsi" w:eastAsia="Yu Mincho" w:hAnsiTheme="majorHAnsi" w:cstheme="majorHAnsi"/>
          <w:color w:val="000000" w:themeColor="text1"/>
          <w:sz w:val="18"/>
          <w:szCs w:val="18"/>
          <w:lang w:eastAsia="ja-JP"/>
        </w:rPr>
        <w:t>a</w:t>
      </w:r>
      <w:r w:rsidRPr="005E6B7C">
        <w:rPr>
          <w:rFonts w:asciiTheme="majorHAnsi" w:eastAsia="Yu Mincho" w:hAnsiTheme="majorHAnsi" w:cstheme="majorHAnsi"/>
          <w:color w:val="000000" w:themeColor="text1"/>
          <w:sz w:val="18"/>
          <w:szCs w:val="18"/>
          <w:lang w:eastAsia="ja-JP"/>
        </w:rPr>
        <w:t>dezmapimod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 5.00 ± 0.01, 3.50 ± 0.01, and 7.20 ± 0.01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 xml:space="preserve">M, respectively). Overall, this study provides the first comprehensive chemical profile of </w:t>
      </w:r>
      <w:r w:rsidRPr="005E6B7C">
        <w:rPr>
          <w:rFonts w:asciiTheme="majorHAnsi" w:eastAsia="Yu Mincho" w:hAnsiTheme="majorHAnsi" w:cstheme="majorHAnsi"/>
          <w:i/>
          <w:iCs/>
          <w:color w:val="000000" w:themeColor="text1"/>
          <w:sz w:val="18"/>
          <w:szCs w:val="18"/>
          <w:lang w:eastAsia="ja-JP"/>
        </w:rPr>
        <w:t>P. angulata</w:t>
      </w:r>
      <w:r w:rsidRPr="005E6B7C">
        <w:rPr>
          <w:rFonts w:asciiTheme="majorHAnsi" w:eastAsia="Yu Mincho" w:hAnsiTheme="majorHAnsi" w:cstheme="majorHAnsi"/>
          <w:color w:val="000000" w:themeColor="text1"/>
          <w:sz w:val="18"/>
          <w:szCs w:val="18"/>
          <w:lang w:eastAsia="ja-JP"/>
        </w:rPr>
        <w:t xml:space="preserve"> from Vietnam and offers scientific evidence supporting its traditional use as a source of anti-inflammatory agents.</w:t>
      </w:r>
    </w:p>
    <w:p w14:paraId="0F3C011C" w14:textId="2C5E5445"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 xml:space="preserve">Physalis angulata </w:t>
      </w:r>
      <w:r w:rsidR="001D594F" w:rsidRPr="005E6B7C">
        <w:rPr>
          <w:rFonts w:asciiTheme="majorHAnsi" w:eastAsia="Yu Mincho" w:hAnsiTheme="majorHAnsi" w:cstheme="majorHAnsi"/>
          <w:color w:val="000000" w:themeColor="text1"/>
          <w:sz w:val="18"/>
          <w:szCs w:val="18"/>
          <w:lang w:eastAsia="ja-JP"/>
        </w:rPr>
        <w:t>L.</w:t>
      </w:r>
      <w:r w:rsidRPr="005E6B7C">
        <w:rPr>
          <w:rFonts w:asciiTheme="majorHAnsi" w:eastAsia="Yu Mincho" w:hAnsiTheme="majorHAnsi" w:cstheme="majorHAnsi"/>
          <w:i/>
          <w:iCs/>
          <w:color w:val="000000" w:themeColor="text1"/>
          <w:sz w:val="18"/>
          <w:szCs w:val="18"/>
          <w:lang w:eastAsia="ja-JP"/>
        </w:rPr>
        <w:t xml:space="preserve">; </w:t>
      </w:r>
      <w:r w:rsidR="001D594F" w:rsidRPr="005E6B7C">
        <w:rPr>
          <w:rFonts w:asciiTheme="majorHAnsi" w:eastAsia="Yu Mincho" w:hAnsiTheme="majorHAnsi" w:cstheme="majorHAnsi"/>
          <w:color w:val="000000" w:themeColor="text1"/>
          <w:sz w:val="18"/>
          <w:szCs w:val="18"/>
          <w:lang w:eastAsia="ja-JP"/>
        </w:rPr>
        <w:t xml:space="preserve">Solanaceae; </w:t>
      </w:r>
      <w:r w:rsidRPr="005E6B7C">
        <w:rPr>
          <w:rFonts w:asciiTheme="majorHAnsi" w:eastAsia="Yu Mincho" w:hAnsiTheme="majorHAnsi" w:cstheme="majorHAnsi"/>
          <w:i/>
          <w:iCs/>
          <w:color w:val="000000" w:themeColor="text1"/>
          <w:sz w:val="18"/>
          <w:szCs w:val="18"/>
          <w:lang w:eastAsia="ja-JP"/>
        </w:rPr>
        <w:t xml:space="preserve">Chemical profile; Anti-inflammatory </w:t>
      </w:r>
      <w:r w:rsidR="00144E48" w:rsidRPr="005E6B7C">
        <w:rPr>
          <w:rFonts w:asciiTheme="majorHAnsi" w:eastAsia="Yu Mincho" w:hAnsiTheme="majorHAnsi" w:cstheme="majorHAnsi"/>
          <w:i/>
          <w:iCs/>
          <w:color w:val="000000" w:themeColor="text1"/>
          <w:sz w:val="18"/>
          <w:szCs w:val="18"/>
          <w:lang w:eastAsia="ja-JP"/>
        </w:rPr>
        <w:t>agent</w:t>
      </w:r>
      <w:r w:rsidR="001D594F" w:rsidRPr="005E6B7C">
        <w:rPr>
          <w:rFonts w:asciiTheme="majorHAnsi" w:eastAsia="Yu Mincho" w:hAnsiTheme="majorHAnsi" w:cstheme="majorHAnsi"/>
          <w:i/>
          <w:iCs/>
          <w:color w:val="000000" w:themeColor="text1"/>
          <w:sz w:val="18"/>
          <w:szCs w:val="18"/>
          <w:lang w:eastAsia="ja-JP"/>
        </w:rPr>
        <w:t>s</w:t>
      </w:r>
      <w:r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p>
    <w:p w14:paraId="0C034ABE" w14:textId="77777777" w:rsidR="000B7F16" w:rsidRPr="005E6B7C" w:rsidRDefault="000B7F16" w:rsidP="008C0D47">
      <w:pPr>
        <w:tabs>
          <w:tab w:val="left" w:pos="270"/>
          <w:tab w:val="left" w:pos="540"/>
          <w:tab w:val="left" w:pos="9270"/>
        </w:tabs>
        <w:ind w:right="-20"/>
        <w:contextualSpacing/>
        <w:jc w:val="both"/>
        <w:outlineLvl w:val="0"/>
        <w:rPr>
          <w:rFonts w:asciiTheme="majorHAnsi" w:eastAsia="Yu Mincho" w:hAnsiTheme="majorHAnsi" w:cstheme="majorHAnsi"/>
          <w:b/>
          <w:bCs/>
          <w:color w:val="000000" w:themeColor="text1"/>
          <w:sz w:val="22"/>
          <w:szCs w:val="22"/>
          <w:lang w:eastAsia="ja-JP"/>
        </w:rPr>
      </w:pPr>
    </w:p>
    <w:p w14:paraId="75571E02" w14:textId="77777777" w:rsidR="00C8462C" w:rsidRPr="005E6B7C" w:rsidRDefault="00C8462C" w:rsidP="008C0D47">
      <w:pPr>
        <w:tabs>
          <w:tab w:val="left" w:pos="270"/>
          <w:tab w:val="left" w:pos="540"/>
          <w:tab w:val="left" w:pos="9270"/>
        </w:tabs>
        <w:spacing w:line="240" w:lineRule="exact"/>
        <w:ind w:firstLine="284"/>
        <w:contextualSpacing/>
        <w:jc w:val="both"/>
        <w:outlineLvl w:val="0"/>
        <w:rPr>
          <w:rFonts w:asciiTheme="majorHAnsi" w:eastAsia="Yu Mincho" w:hAnsiTheme="majorHAnsi" w:cstheme="majorHAnsi"/>
          <w:b/>
          <w:bCs/>
          <w:color w:val="000000" w:themeColor="text1"/>
          <w:sz w:val="22"/>
          <w:szCs w:val="22"/>
          <w:lang w:eastAsia="ja-JP"/>
        </w:rPr>
        <w:sectPr w:rsidR="00C8462C" w:rsidRPr="005E6B7C" w:rsidSect="002206BB">
          <w:type w:val="continuous"/>
          <w:pgSz w:w="10773" w:h="15309" w:code="9"/>
          <w:pgMar w:top="907" w:right="851" w:bottom="1418" w:left="851" w:header="397" w:footer="851" w:gutter="0"/>
          <w:cols w:space="284"/>
          <w:docGrid w:linePitch="360"/>
        </w:sectPr>
      </w:pPr>
    </w:p>
    <w:p w14:paraId="2A271B67" w14:textId="77777777" w:rsidR="00E049CB" w:rsidRPr="005E6B7C" w:rsidRDefault="00E049CB" w:rsidP="008C0D47">
      <w:pPr>
        <w:tabs>
          <w:tab w:val="left" w:pos="270"/>
          <w:tab w:val="left" w:pos="540"/>
          <w:tab w:val="left" w:pos="9270"/>
        </w:tabs>
        <w:spacing w:line="240" w:lineRule="exact"/>
        <w:ind w:firstLine="284"/>
        <w:contextualSpacing/>
        <w:jc w:val="both"/>
        <w:outlineLvl w:val="0"/>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1. Introduction</w:t>
      </w:r>
    </w:p>
    <w:p w14:paraId="39530ED1" w14:textId="4D301650"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Physalis angulata</w:t>
      </w:r>
      <w:r w:rsidRPr="005E6B7C">
        <w:rPr>
          <w:rFonts w:asciiTheme="majorHAnsi" w:eastAsia="Yu Mincho" w:hAnsiTheme="majorHAnsi" w:cstheme="majorHAnsi"/>
          <w:color w:val="000000" w:themeColor="text1"/>
          <w:sz w:val="22"/>
          <w:szCs w:val="22"/>
          <w:lang w:eastAsia="ja-JP"/>
        </w:rPr>
        <w:t xml:space="preserve"> L. (Solanaceae), commonly known as cutleaf groundcherry, is a medicinal plant broadly distributed in tropical and subtropical regions, particularly in Southeast Asia, Africa, and South America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&lt;EndNote&gt;&lt;Cite&gt;&lt;Author&gt;Sholehah&lt;/Author&gt;&lt;Year&gt;2021&lt;/Year&gt;&lt;RecNum&gt;312&lt;/RecNum&gt;&lt;DisplayText&gt;[1]&lt;/DisplayText&gt;&lt;record&gt;&lt;rec-number&gt;312&lt;/rec-number&gt;&lt;foreign-keys&gt;&lt;key app="EN" db-id="wfttda02r0awahede5wvps9saaxwfxsexte9" timestamp="1770715772"&gt;312&lt;/key&gt;&lt;/foreign-keys&gt;&lt;ref-type name="Journal Article"&gt;17&lt;/ref-type&gt;&lt;contributors&gt;&lt;authors&gt;&lt;author&gt;Sholehah, Diana Nurus&lt;/author&gt;&lt;author&gt;Hariyanto, Sucipto&lt;/author&gt;&lt;author&gt;Purnobasuki, Hery&lt;/author&gt;&lt;/authors&gt;&lt;/contributors&gt;&lt;titles&gt;&lt;title&gt;Fruit Development of groundcherry (Phyasalis angulate L.) in dryland&lt;/title&gt;&lt;secondary-title&gt;Australian Journal of Crop Science&lt;/secondary-title&gt;&lt;/titles&gt;&lt;periodical&gt;&lt;full-title&gt;Australian Journal of Crop Science&lt;/full-title&gt;&lt;/periodical&gt;&lt;pages&gt;1186-2693&lt;/pages&gt;&lt;volume&gt;15&lt;/volume&gt;&lt;number&gt;8&lt;/number&gt;&lt;dates&gt;&lt;year&gt;2021&lt;/year&gt;&lt;/dates&gt;&lt;isbn&gt;1835-2707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 species has been extensively employed in traditional medicine for the treatment of various ailments, including inflammatory disorders, fever, malaria, liver diseases, and cancer-related conditions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&lt;EndNote&gt;&lt;Cite&gt;&lt;Author&gt;Novitasari&lt;/Author&gt;&lt;Year&gt;2024&lt;/Year&gt;&lt;RecNum&gt;294&lt;/RecNum&gt;&lt;DisplayText&gt;[2]&lt;/DisplayText&gt;&lt;record&gt;&lt;rec-number&gt;294&lt;/rec-number&gt;&lt;foreign-keys&gt;&lt;key app="EN" db-id="wfttda02r0awahede5wvps9saaxwfxsexte9" timestamp="1766479169"&gt;294&lt;/key&gt;&lt;/foreign-keys&gt;&lt;ref-type name="Journal Article"&gt;17&lt;/ref-type&gt;&lt;contributors&gt;&lt;authors&gt;&lt;author&gt;Novitasari, Ariyani&lt;/author&gt;&lt;author&gt;Rohmawaty, Enny&lt;/author&gt;&lt;author&gt;Rosdianto, Aziiz M&lt;/author&gt;&lt;/authors&gt;&lt;/contributors&gt;&lt;titles&gt;&lt;title&gt;Physalis angulata Linn. as a medicinal plant&lt;/title&gt;&lt;secondary-title&gt;Biomedical Reports&lt;/secondary-title&gt;&lt;/titles&gt;&lt;periodical&gt;&lt;full-title&gt;Biomedical Reports&lt;/full-title&gt;&lt;/periodical&gt;&lt;pages&gt;1-16&lt;/pages&gt;&lt;volume&gt;20&lt;/volume&gt;&lt;number&gt;3&lt;/number&gt;&lt;dates&gt;&lt;year&gt;2024&lt;/year&gt;&lt;/dates&gt;&lt;isbn&gt;2049-9434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recent years,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has gained increasing scientific interest due to its chemically diverse secondary metabolites and accumulating evidence of its broad pharmacological potential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&lt;EndNote&gt;&lt;Cite&gt;&lt;Author&gt;Ramakrishna Pillai&lt;/Author&gt;&lt;Year&gt;2022&lt;/Year&gt;&lt;RecNum&gt;314&lt;/RecNum&gt;&lt;DisplayText&gt;[3]&lt;/DisplayText&gt;&lt;record&gt;&lt;rec-number&gt;314&lt;/rec-number&gt;&lt;foreign-keys&gt;&lt;key app="EN" db-id="wfttda02r0awahede5wvps9saaxwfxsexte9" timestamp="1770715882"&gt;314&lt;/key&gt;&lt;/foreign-keys&gt;&lt;ref-type name="Journal Article"&gt;17&lt;/ref-type&gt;&lt;contributors&gt;&lt;authors&gt;&lt;author&gt;Ramakrishna Pillai, Jayachithra&lt;/author&gt;&lt;author&gt;Wali, Adil Farooq&lt;/author&gt;&lt;author&gt;Menezes, Godfred Antony&lt;/author&gt;&lt;author&gt;Rehman, Muneeb U&lt;/author&gt;&lt;author&gt;Wani, Tanveer A&lt;/author&gt;&lt;author&gt;Arafah, Azher&lt;/author&gt;&lt;author&gt;Zargar, Seema&lt;/author&gt;&lt;author&gt;Mir, Tahir Maqbool&lt;/author&gt;&lt;/authors&gt;&lt;/contributors&gt;&lt;titles&gt;&lt;title&gt;Chemical composition analysis, cytotoxic, antimicrobial and antioxidant activities of Physalis angulata L.: A comparative study of leaves and fruit&lt;/title&gt;&lt;secondary-title&gt;Molecules&lt;/secondary-title&gt;&lt;/titles&gt;&lt;periodical&gt;&lt;full-title&gt;Molecules&lt;/full-title&gt;&lt;/periodical&gt;&lt;pages&gt;1480&lt;/pages&gt;&lt;volume&gt;27&lt;/volume&gt;&lt;number&gt;5&lt;/number&gt;&lt;dates&gt;&lt;year&gt;2022&lt;/year&gt;&lt;/dates&gt;&lt;isbn&gt;1420-3049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Phytochemical investigations have identified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as a rich source of bioactive compounds, including physalins, withanolides, flavonoids, phenolic acids, and steroids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&lt;EndNote&gt;&lt;Cite&gt;&lt;Author&gt;Damu&lt;/Author&gt;&lt;Year&gt;2007&lt;/Year&gt;&lt;RecNum&gt;315&lt;/RecNum&gt;&lt;DisplayText&gt;[4]&lt;/DisplayText&gt;&lt;record&gt;&lt;rec-number&gt;315&lt;/rec-number&gt;&lt;foreign-keys&gt;&lt;key app="EN" db-id="wfttda02r0awahede5wvps9saaxwfxsexte9" timestamp="1770715967"&gt;315&lt;/key&gt;&lt;/foreign-keys&gt;&lt;ref-type name="Journal Article"&gt;17&lt;/ref-type&gt;&lt;contributors&gt;&lt;authors&gt;&lt;author&gt;Damu, Amooru G&lt;/author&gt;&lt;author&gt;Kuo, Ping-Chung&lt;/author&gt;&lt;author&gt;Su, Chung-Ren&lt;/author&gt;&lt;author&gt;Kuo, Tsung-Hsiao&lt;/author&gt;&lt;author&gt;Chen, Tzu-Hsuan&lt;/author&gt;&lt;author&gt;Bastow, Kenneth F&lt;/author&gt;&lt;author&gt;Lee, Kuo-Hsiung&lt;/author&gt;&lt;author&gt;Wu, Tian-Shung&lt;/author&gt;&lt;/authors&gt;&lt;/contributors&gt;&lt;titles&gt;&lt;title&gt;Isolation, structures, and structure− cytotoxic activity relationships of withanolides and physalins from Physalis angulata&lt;/title&gt;&lt;secondary-title&gt;Journal of Natural Products&lt;/secondary-title&gt;&lt;/titles&gt;&lt;periodical&gt;&lt;full-title&gt;Journal of natural products&lt;/full-title&gt;&lt;/periodical&gt;&lt;pages&gt;1146-1152&lt;/pages&gt;&lt;volume&gt;70&lt;/volume&gt;&lt;number&gt;7&lt;/number&gt;&lt;dates&gt;&lt;year&gt;2007&lt;/year&gt;&lt;/dates&gt;&lt;isbn&gt;0163-3864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Among these, physalins</w:t>
      </w:r>
      <w:r w:rsidR="00E948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highly oxygenated seco-steroidal lactones</w:t>
      </w:r>
      <w:r w:rsidR="00E948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are recognized as the major characteristic constituents of the species. Substantial experimental evidence has demonstrated that physalins possess a wide range of biological activities, such as anti-inflammatory, immunomodulatory, antitumor, antimalarial, and antimicrobial effects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&lt;EndNote&gt;&lt;Cite&gt;&lt;Author&gt;Huang&lt;/Author&gt;&lt;Year&gt;2020&lt;/Year&gt;&lt;RecNum&gt;295&lt;/RecNum&gt;&lt;DisplayText&gt;[5]&lt;/DisplayText&gt;&lt;record&gt;&lt;rec-number&gt;295&lt;/rec-number&gt;&lt;foreign-keys&gt;&lt;key app="EN" db-id="wfttda02r0awahede5wvps9saaxwfxsexte9" timestamp="1766479212"&gt;295&lt;/key&gt;&lt;/foreign-keys&gt;&lt;ref-type name="Journal Article"&gt;17&lt;/ref-type&gt;&lt;contributors&gt;&lt;authors&gt;&lt;author&gt;Huang, Min&lt;/author&gt;&lt;author&gt;He, Ji-Xiang&lt;/author&gt;&lt;author&gt;Hu, Hui-Xin&lt;/author&gt;&lt;author&gt;Zhang, Kan&lt;/author&gt;&lt;author&gt;Wang, Xiao-Ning&lt;/author&gt;&lt;author&gt;Zhao, Bao-Bing&lt;/author&gt;&lt;author&gt;Lou, Hong-Xiang&lt;/author&gt;&lt;author&gt;Ren, Dong-Mei&lt;/author&gt;&lt;author&gt;Shen, Tao&lt;/author&gt;&lt;/authors&gt;&lt;/contributors&gt;&lt;titles&gt;&lt;title&gt;Withanolides from the genus Physalis: a review on their phytochemical and pharmacological aspects&lt;/title&gt;&lt;secondary-title&gt;Journal of Pharmacy and Pharmacology&lt;/secondary-title&gt;&lt;/titles&gt;&lt;periodical&gt;&lt;full-title&gt;Journal of Pharmacy and Pharmacology&lt;/full-title&gt;&lt;/periodical&gt;&lt;pages&gt;649-669&lt;/pages&gt;&lt;volume&gt;72&lt;/volume&gt;&lt;number&gt;5&lt;/number&gt;&lt;dates&gt;&lt;year&gt;2020&lt;/year&gt;&lt;/dates&gt;&lt;isbn&gt;2042-7158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t>
      </w:r>
    </w:p>
    <w:p w14:paraId="426C3DF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Despite these advances, the correlation between the phytochemical composition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and its biological activities has not yet been fully elucidated. In particular, comprehensive chemical profiling remains limited, </w:t>
      </w:r>
      <w:r w:rsidRPr="005E6B7C">
        <w:rPr>
          <w:rFonts w:asciiTheme="majorHAnsi" w:eastAsia="Yu Mincho" w:hAnsiTheme="majorHAnsi" w:cstheme="majorHAnsi"/>
          <w:color w:val="000000" w:themeColor="text1"/>
          <w:sz w:val="22"/>
          <w:szCs w:val="22"/>
          <w:lang w:eastAsia="ja-JP"/>
        </w:rPr>
        <w:t xml:space="preserve">and the effects of geographical origin, plant parts, and extraction conditions on its chemical constituents are poorly understood. Addressing these knowledge gaps is crucial for the standardization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-derived materials and for providing scientific validation of its traditional medicinal uses. Therefore, the present study aims to characterize the chemical profile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collected in Vietnam using LC–MS/MS, thereby providing supportive evidence for a scientific basis for future investigations into its pharmacological potential and potential applications in pharmaceutical and functional food development.</w:t>
      </w:r>
    </w:p>
    <w:p w14:paraId="4D913478" w14:textId="77777777" w:rsidR="00E049CB" w:rsidRPr="005E6B7C" w:rsidRDefault="00E049CB" w:rsidP="008C0D47">
      <w:pPr>
        <w:tabs>
          <w:tab w:val="left" w:pos="270"/>
          <w:tab w:val="left" w:pos="540"/>
          <w:tab w:val="left" w:pos="9270"/>
        </w:tabs>
        <w:spacing w:line="240" w:lineRule="exact"/>
        <w:ind w:firstLine="284"/>
        <w:contextualSpacing/>
        <w:jc w:val="both"/>
        <w:outlineLvl w:val="0"/>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5696CB57" w14:textId="77777777" w:rsidR="00E049CB" w:rsidRPr="005E6B7C" w:rsidRDefault="00E049CB" w:rsidP="008C0D47">
      <w:pPr>
        <w:tabs>
          <w:tab w:val="left" w:pos="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2.1. General experimental procedures</w:t>
      </w:r>
    </w:p>
    <w:p w14:paraId="7203AA16" w14:textId="437FDD81"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Open-column chromatographic separations were carried out using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iCs/>
          <w:color w:val="000000" w:themeColor="text1"/>
          <w:sz w:val="22"/>
          <w:szCs w:val="22"/>
          <w:lang w:eastAsia="ja-JP"/>
        </w:rPr>
        <w:t xml:space="preserve"> (Kieselgel 60, 70–230 and 230–400 mesh; Merck, Darmstadt, Germany) as well as reversed-phase </w:t>
      </w:r>
      <w:r w:rsidR="00E94837" w:rsidRPr="005E6B7C">
        <w:rPr>
          <w:rFonts w:asciiTheme="majorHAnsi" w:eastAsia="Yu Mincho" w:hAnsiTheme="majorHAnsi" w:cstheme="majorHAnsi"/>
          <w:iCs/>
          <w:color w:val="000000" w:themeColor="text1"/>
          <w:sz w:val="22"/>
          <w:szCs w:val="22"/>
          <w:lang w:eastAsia="ja-JP"/>
        </w:rPr>
        <w:t>C-18 (</w:t>
      </w:r>
      <w:r w:rsidRPr="005E6B7C">
        <w:rPr>
          <w:rFonts w:asciiTheme="majorHAnsi" w:eastAsia="Yu Mincho" w:hAnsiTheme="majorHAnsi" w:cstheme="majorHAnsi"/>
          <w:iCs/>
          <w:color w:val="000000" w:themeColor="text1"/>
          <w:sz w:val="22"/>
          <w:szCs w:val="22"/>
          <w:lang w:eastAsia="ja-JP"/>
        </w:rPr>
        <w:t>YMC*GEL ODS-A packing</w:t>
      </w:r>
      <w:r w:rsidR="00E94837"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 xml:space="preserve">12 nm pore size, S-150 </w:t>
      </w:r>
      <w:r w:rsidRPr="005E6B7C">
        <w:rPr>
          <w:rFonts w:asciiTheme="majorHAnsi" w:eastAsia="Yu Mincho" w:hAnsiTheme="majorHAnsi" w:cstheme="majorHAnsi"/>
          <w:i/>
          <w:iCs/>
          <w:color w:val="000000" w:themeColor="text1"/>
          <w:sz w:val="22"/>
          <w:szCs w:val="22"/>
          <w:lang w:eastAsia="ja-JP"/>
        </w:rPr>
        <w:t>μ</w:t>
      </w:r>
      <w:r w:rsidRPr="005E6B7C">
        <w:rPr>
          <w:rFonts w:asciiTheme="majorHAnsi" w:eastAsia="Yu Mincho" w:hAnsiTheme="majorHAnsi" w:cstheme="majorHAnsi"/>
          <w:iCs/>
          <w:color w:val="000000" w:themeColor="text1"/>
          <w:sz w:val="22"/>
          <w:szCs w:val="22"/>
          <w:lang w:eastAsia="ja-JP"/>
        </w:rPr>
        <w:t>m; YMC Co., Ltd., Japan). The progress of fractionation and compound purity was monitored by thin-layer chromatography performed on pre</w:t>
      </w:r>
      <w:r w:rsidR="00144E48"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Cs/>
          <w:color w:val="000000" w:themeColor="text1"/>
          <w:sz w:val="22"/>
          <w:szCs w:val="22"/>
          <w:lang w:eastAsia="ja-JP"/>
        </w:rPr>
        <w:t xml:space="preserve">coated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iCs/>
          <w:color w:val="000000" w:themeColor="text1"/>
          <w:sz w:val="22"/>
          <w:szCs w:val="22"/>
          <w:lang w:eastAsia="ja-JP"/>
        </w:rPr>
        <w:t xml:space="preserve"> 60 F</w:t>
      </w:r>
      <w:r w:rsidRPr="005E6B7C">
        <w:rPr>
          <w:rFonts w:asciiTheme="majorHAnsi" w:eastAsia="Yu Mincho" w:hAnsiTheme="majorHAnsi" w:cstheme="majorHAnsi"/>
          <w:iCs/>
          <w:color w:val="000000" w:themeColor="text1"/>
          <w:sz w:val="22"/>
          <w:szCs w:val="22"/>
          <w:vertAlign w:val="subscript"/>
          <w:lang w:eastAsia="ja-JP"/>
        </w:rPr>
        <w:t>254</w:t>
      </w:r>
      <w:r w:rsidRPr="005E6B7C">
        <w:rPr>
          <w:rFonts w:asciiTheme="majorHAnsi" w:eastAsia="Yu Mincho" w:hAnsiTheme="majorHAnsi" w:cstheme="majorHAnsi"/>
          <w:iCs/>
          <w:color w:val="000000" w:themeColor="text1"/>
          <w:sz w:val="22"/>
          <w:szCs w:val="22"/>
          <w:lang w:eastAsia="ja-JP"/>
        </w:rPr>
        <w:t xml:space="preserve"> and RP-C18 </w:t>
      </w:r>
      <w:r w:rsidR="006E722D" w:rsidRPr="005E6B7C">
        <w:rPr>
          <w:rFonts w:asciiTheme="majorHAnsi" w:eastAsia="Yu Mincho" w:hAnsiTheme="majorHAnsi" w:cstheme="majorHAnsi"/>
          <w:iCs/>
          <w:color w:val="000000" w:themeColor="text1"/>
          <w:sz w:val="22"/>
          <w:szCs w:val="22"/>
          <w:lang w:eastAsia="ja-JP"/>
        </w:rPr>
        <w:t>F</w:t>
      </w:r>
      <w:r w:rsidR="006E722D" w:rsidRPr="005E6B7C">
        <w:rPr>
          <w:rFonts w:asciiTheme="majorHAnsi" w:eastAsia="Yu Mincho" w:hAnsiTheme="majorHAnsi" w:cstheme="majorHAnsi"/>
          <w:iCs/>
          <w:color w:val="000000" w:themeColor="text1"/>
          <w:sz w:val="22"/>
          <w:szCs w:val="22"/>
          <w:vertAlign w:val="subscript"/>
          <w:lang w:eastAsia="ja-JP"/>
        </w:rPr>
        <w:t>254</w:t>
      </w:r>
      <w:r w:rsidR="007A051F" w:rsidRPr="005E6B7C">
        <w:rPr>
          <w:rFonts w:asciiTheme="majorHAnsi" w:eastAsia="Yu Mincho" w:hAnsiTheme="majorHAnsi" w:cstheme="majorHAnsi"/>
          <w:iCs/>
          <w:color w:val="000000" w:themeColor="text1"/>
          <w:sz w:val="22"/>
          <w:szCs w:val="22"/>
          <w:lang w:eastAsia="ja-JP"/>
        </w:rPr>
        <w:t>S</w:t>
      </w:r>
      <w:r w:rsidRPr="005E6B7C">
        <w:rPr>
          <w:rFonts w:asciiTheme="majorHAnsi" w:eastAsia="Yu Mincho" w:hAnsiTheme="majorHAnsi" w:cstheme="majorHAnsi"/>
          <w:iCs/>
          <w:color w:val="000000" w:themeColor="text1"/>
          <w:sz w:val="22"/>
          <w:szCs w:val="22"/>
          <w:lang w:eastAsia="ja-JP"/>
        </w:rPr>
        <w:t xml:space="preserve"> plates (Merck). Chromatographic spots were visualized under ultraviolet illumination at 254 and 365 nm, followed by spraying with 10% (v/v) aqueous sulfuric acid and subsequent heating. All chemicals and solvents employed in this study were of analytical or HPLC grade and were </w:t>
      </w:r>
      <w:r w:rsidRPr="005E6B7C">
        <w:rPr>
          <w:rFonts w:asciiTheme="majorHAnsi" w:eastAsia="Yu Mincho" w:hAnsiTheme="majorHAnsi" w:cstheme="majorHAnsi"/>
          <w:iCs/>
          <w:color w:val="000000" w:themeColor="text1"/>
          <w:sz w:val="22"/>
          <w:szCs w:val="22"/>
          <w:lang w:eastAsia="ja-JP"/>
        </w:rPr>
        <w:lastRenderedPageBreak/>
        <w:t xml:space="preserve">obtained from Aldrich Chemical Co. (St. Louis, MO, USA). Nuclear magnetic resonance (NMR) analyses, including </w:t>
      </w:r>
      <w:r w:rsidRPr="005E6B7C">
        <w:rPr>
          <w:rFonts w:asciiTheme="majorHAnsi" w:eastAsia="Yu Mincho" w:hAnsiTheme="majorHAnsi" w:cstheme="majorHAnsi"/>
          <w:iCs/>
          <w:color w:val="000000" w:themeColor="text1"/>
          <w:sz w:val="22"/>
          <w:szCs w:val="22"/>
          <w:vertAlign w:val="superscript"/>
          <w:lang w:eastAsia="ja-JP"/>
        </w:rPr>
        <w:t>1</w:t>
      </w:r>
      <w:r w:rsidRPr="005E6B7C">
        <w:rPr>
          <w:rFonts w:asciiTheme="majorHAnsi" w:eastAsia="Yu Mincho" w:hAnsiTheme="majorHAnsi" w:cstheme="majorHAnsi"/>
          <w:iCs/>
          <w:color w:val="000000" w:themeColor="text1"/>
          <w:sz w:val="22"/>
          <w:szCs w:val="22"/>
          <w:lang w:eastAsia="ja-JP"/>
        </w:rPr>
        <w:t xml:space="preserve">H, </w:t>
      </w:r>
      <w:r w:rsidRPr="005E6B7C">
        <w:rPr>
          <w:rFonts w:asciiTheme="majorHAnsi" w:eastAsia="Yu Mincho" w:hAnsiTheme="majorHAnsi" w:cstheme="majorHAnsi"/>
          <w:iCs/>
          <w:color w:val="000000" w:themeColor="text1"/>
          <w:sz w:val="22"/>
          <w:szCs w:val="22"/>
          <w:vertAlign w:val="superscript"/>
          <w:lang w:eastAsia="ja-JP"/>
        </w:rPr>
        <w:t>13</w:t>
      </w:r>
      <w:r w:rsidRPr="005E6B7C">
        <w:rPr>
          <w:rFonts w:asciiTheme="majorHAnsi" w:eastAsia="Yu Mincho" w:hAnsiTheme="majorHAnsi" w:cstheme="majorHAnsi"/>
          <w:iCs/>
          <w:color w:val="000000" w:themeColor="text1"/>
          <w:sz w:val="22"/>
          <w:szCs w:val="22"/>
          <w:lang w:eastAsia="ja-JP"/>
        </w:rPr>
        <w:t xml:space="preserve">C, and two-dimensional experiments, were performed using a Bruker Avance III spectrometer operating at 500 MHz. </w:t>
      </w:r>
    </w:p>
    <w:p w14:paraId="11A0F3E6" w14:textId="52EEA670"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2.2. Plant </w:t>
      </w:r>
      <w:r w:rsidR="00144E48"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i/>
          <w:iCs/>
          <w:color w:val="000000" w:themeColor="text1"/>
          <w:sz w:val="22"/>
          <w:szCs w:val="22"/>
          <w:lang w:eastAsia="ja-JP"/>
        </w:rPr>
        <w:t>aterial</w:t>
      </w:r>
    </w:p>
    <w:p w14:paraId="66B9733A" w14:textId="2873F0FA"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whole plant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was collected in Me Linh, Hanoi, Vietnam, in July 2024. The plant material was taxonomically authenticated by Dr. Nguyen Cao Cuong, and a voucher specimen (QTB 005) </w:t>
      </w:r>
      <w:r w:rsidR="00144E48" w:rsidRPr="005E6B7C">
        <w:rPr>
          <w:rFonts w:asciiTheme="majorHAnsi" w:eastAsia="Yu Mincho" w:hAnsiTheme="majorHAnsi" w:cstheme="majorHAnsi"/>
          <w:color w:val="000000" w:themeColor="text1"/>
          <w:sz w:val="22"/>
          <w:szCs w:val="22"/>
          <w:lang w:eastAsia="ja-JP"/>
        </w:rPr>
        <w:t>was</w:t>
      </w:r>
      <w:r w:rsidRPr="005E6B7C">
        <w:rPr>
          <w:rFonts w:asciiTheme="majorHAnsi" w:eastAsia="Yu Mincho" w:hAnsiTheme="majorHAnsi" w:cstheme="majorHAnsi"/>
          <w:color w:val="000000" w:themeColor="text1"/>
          <w:sz w:val="22"/>
          <w:szCs w:val="22"/>
          <w:lang w:eastAsia="ja-JP"/>
        </w:rPr>
        <w:t xml:space="preserve"> deposited in the herbarium of Yersin University of Da Lat, Faculty of Medicine and Pharmacy, Lam Dong.</w:t>
      </w:r>
    </w:p>
    <w:p w14:paraId="73866C82"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2.3. Extraction and isolation</w:t>
      </w:r>
    </w:p>
    <w:p w14:paraId="06FD9B69" w14:textId="69773ABC"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Fresh aerial parts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hint="eastAsia"/>
          <w:color w:val="000000" w:themeColor="text1"/>
          <w:sz w:val="22"/>
          <w:szCs w:val="22"/>
          <w:lang w:eastAsia="ja-JP"/>
        </w:rPr>
        <w:t xml:space="preserve"> were collected, cut into small pieces, air-dried, and pulverized to yield 2.0 kg of dry powder. The material was extracted with methanol (3 </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 5 L) under ultrasonic assistance at 50</w:t>
      </w:r>
      <w:r w:rsidR="0044085B"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C for 3 h each time. The combined extracts were filtered and evaporated under reduced pressure to afford a MeOH extract (90 g). This extract was suspended in water (1.5 L) and successively partitioned with chloroform and EtOAc, yielding the chloroform (C, 24.5 g), EtOAc (PAE, 4.5 g), and water layer (PAW, 61.0 g) fractions. The chloroform fraction (C, 24.5 g) was subjected to </w:t>
      </w:r>
      <w:r w:rsidR="00894500" w:rsidRPr="005E6B7C">
        <w:rPr>
          <w:rFonts w:asciiTheme="majorHAnsi" w:eastAsia="Yu Mincho" w:hAnsiTheme="majorHAnsi" w:cstheme="majorHAnsi" w:hint="eastAsia"/>
          <w:i/>
          <w:iCs/>
          <w:color w:val="000000" w:themeColor="text1"/>
          <w:sz w:val="22"/>
          <w:szCs w:val="22"/>
          <w:lang w:eastAsia="ja-JP"/>
        </w:rPr>
        <w:t>silica gel</w:t>
      </w:r>
      <w:r w:rsidRPr="005E6B7C">
        <w:rPr>
          <w:rFonts w:asciiTheme="majorHAnsi" w:eastAsia="Yu Mincho" w:hAnsiTheme="majorHAnsi" w:cstheme="majorHAnsi" w:hint="eastAsia"/>
          <w:color w:val="000000" w:themeColor="text1"/>
          <w:sz w:val="22"/>
          <w:szCs w:val="22"/>
          <w:lang w:eastAsia="ja-JP"/>
        </w:rPr>
        <w:t xml:space="preserve"> column chromatography and eluted with a gradient of chloroform</w:t>
      </w:r>
      <w:r w:rsidR="00045ADB"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hint="eastAsia"/>
          <w:color w:val="000000" w:themeColor="text1"/>
          <w:sz w:val="22"/>
          <w:szCs w:val="22"/>
          <w:lang w:eastAsia="ja-JP"/>
        </w:rPr>
        <w:t xml:space="preserve">methanol (100:1 </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 1:100, v/v) to afford five subfractions (C1</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C5). </w:t>
      </w:r>
      <w:r w:rsidR="00144E48" w:rsidRPr="005E6B7C">
        <w:rPr>
          <w:rFonts w:asciiTheme="majorHAnsi" w:eastAsia="Yu Mincho" w:hAnsiTheme="majorHAnsi" w:cstheme="majorHAnsi"/>
          <w:color w:val="000000" w:themeColor="text1"/>
          <w:sz w:val="22"/>
          <w:szCs w:val="22"/>
          <w:lang w:eastAsia="ja-JP"/>
        </w:rPr>
        <w:t>Fraction</w:t>
      </w:r>
      <w:r w:rsidRPr="005E6B7C">
        <w:rPr>
          <w:rFonts w:asciiTheme="majorHAnsi" w:eastAsia="Yu Mincho" w:hAnsiTheme="majorHAnsi" w:cstheme="majorHAnsi" w:hint="eastAsia"/>
          <w:color w:val="000000" w:themeColor="text1"/>
          <w:sz w:val="22"/>
          <w:szCs w:val="22"/>
          <w:lang w:eastAsia="ja-JP"/>
        </w:rPr>
        <w:t xml:space="preserve"> C2</w:t>
      </w:r>
      <w:r w:rsidR="00144E48" w:rsidRPr="005E6B7C">
        <w:rPr>
          <w:rFonts w:asciiTheme="majorHAnsi" w:eastAsia="Yu Mincho" w:hAnsiTheme="majorHAnsi" w:cstheme="majorHAnsi"/>
          <w:color w:val="000000" w:themeColor="text1"/>
          <w:sz w:val="22"/>
          <w:szCs w:val="22"/>
          <w:lang w:val="vi-VN" w:eastAsia="ja-JP"/>
        </w:rPr>
        <w:t xml:space="preserve"> was</w:t>
      </w:r>
      <w:r w:rsidR="00144E48" w:rsidRPr="005E6B7C">
        <w:rPr>
          <w:rFonts w:asciiTheme="majorHAnsi" w:eastAsia="Yu Mincho" w:hAnsiTheme="majorHAnsi" w:cstheme="majorHAnsi"/>
          <w:color w:val="000000" w:themeColor="text1"/>
          <w:sz w:val="22"/>
          <w:szCs w:val="22"/>
          <w:lang w:eastAsia="ja-JP"/>
        </w:rPr>
        <w:t>f</w:t>
      </w:r>
      <w:r w:rsidRPr="005E6B7C">
        <w:rPr>
          <w:rFonts w:asciiTheme="majorHAnsi" w:eastAsia="Yu Mincho" w:hAnsiTheme="majorHAnsi" w:cstheme="majorHAnsi" w:hint="eastAsia"/>
          <w:color w:val="000000" w:themeColor="text1"/>
          <w:sz w:val="22"/>
          <w:szCs w:val="22"/>
          <w:lang w:eastAsia="ja-JP"/>
        </w:rPr>
        <w:t xml:space="preserve">urther </w:t>
      </w:r>
      <w:r w:rsidRPr="005E6B7C">
        <w:rPr>
          <w:rFonts w:asciiTheme="majorHAnsi" w:eastAsia="Yu Mincho" w:hAnsiTheme="majorHAnsi" w:cstheme="majorHAnsi"/>
          <w:color w:val="000000" w:themeColor="text1"/>
          <w:sz w:val="22"/>
          <w:szCs w:val="22"/>
          <w:lang w:eastAsia="ja-JP"/>
        </w:rPr>
        <w:t>separat</w:t>
      </w:r>
      <w:r w:rsidR="00144E48" w:rsidRPr="005E6B7C">
        <w:rPr>
          <w:rFonts w:asciiTheme="majorHAnsi" w:eastAsia="Yu Mincho" w:hAnsiTheme="majorHAnsi" w:cstheme="majorHAnsi"/>
          <w:color w:val="000000" w:themeColor="text1"/>
          <w:sz w:val="22"/>
          <w:szCs w:val="22"/>
          <w:lang w:eastAsia="ja-JP"/>
        </w:rPr>
        <w:t>ed</w:t>
      </w:r>
      <w:r w:rsidRPr="005E6B7C">
        <w:rPr>
          <w:rFonts w:asciiTheme="majorHAnsi" w:eastAsia="Yu Mincho" w:hAnsiTheme="majorHAnsi" w:cstheme="majorHAnsi" w:hint="eastAsia"/>
          <w:color w:val="000000" w:themeColor="text1"/>
          <w:sz w:val="22"/>
          <w:szCs w:val="22"/>
          <w:lang w:eastAsia="ja-JP"/>
        </w:rPr>
        <w:t xml:space="preserve">n over </w:t>
      </w:r>
      <w:r w:rsidR="00894500" w:rsidRPr="005E6B7C">
        <w:rPr>
          <w:rFonts w:asciiTheme="majorHAnsi" w:eastAsia="Yu Mincho" w:hAnsiTheme="majorHAnsi" w:cstheme="majorHAnsi" w:hint="eastAsia"/>
          <w:i/>
          <w:iCs/>
          <w:color w:val="000000" w:themeColor="text1"/>
          <w:sz w:val="22"/>
          <w:szCs w:val="22"/>
          <w:lang w:eastAsia="ja-JP"/>
        </w:rPr>
        <w:t>silica gel</w:t>
      </w:r>
      <w:r w:rsidRPr="005E6B7C">
        <w:rPr>
          <w:rFonts w:asciiTheme="majorHAnsi" w:eastAsia="Yu Mincho" w:hAnsiTheme="majorHAnsi" w:cstheme="majorHAnsi" w:hint="eastAsia"/>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C</w:t>
      </w:r>
      <w:r w:rsidR="00045ADB" w:rsidRPr="005E6B7C">
        <w:rPr>
          <w:rFonts w:asciiTheme="majorHAnsi" w:eastAsia="Yu Mincho" w:hAnsiTheme="majorHAnsi" w:cstheme="majorHAnsi"/>
          <w:color w:val="000000" w:themeColor="text1"/>
          <w:sz w:val="22"/>
          <w:szCs w:val="22"/>
          <w:lang w:eastAsia="ja-JP"/>
        </w:rPr>
        <w:t>H</w:t>
      </w:r>
      <w:r w:rsidR="00045ADB" w:rsidRPr="005E6B7C">
        <w:rPr>
          <w:rFonts w:asciiTheme="majorHAnsi" w:eastAsia="Yu Mincho" w:hAnsiTheme="majorHAnsi" w:cstheme="majorHAnsi"/>
          <w:color w:val="000000" w:themeColor="text1"/>
          <w:sz w:val="22"/>
          <w:szCs w:val="22"/>
          <w:vertAlign w:val="subscript"/>
          <w:lang w:eastAsia="ja-JP"/>
        </w:rPr>
        <w:t>2</w:t>
      </w:r>
      <w:r w:rsidR="00045ADB" w:rsidRPr="005E6B7C">
        <w:rPr>
          <w:rFonts w:asciiTheme="majorHAnsi" w:eastAsia="Yu Mincho" w:hAnsiTheme="majorHAnsi" w:cstheme="majorHAnsi"/>
          <w:color w:val="000000" w:themeColor="text1"/>
          <w:sz w:val="22"/>
          <w:szCs w:val="22"/>
          <w:lang w:eastAsia="ja-JP"/>
        </w:rPr>
        <w:t>Cl</w:t>
      </w:r>
      <w:r w:rsidR="00045ADB"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M</w:t>
      </w:r>
      <w:r w:rsidR="00045ADB" w:rsidRPr="005E6B7C">
        <w:rPr>
          <w:rFonts w:asciiTheme="majorHAnsi" w:eastAsia="Yu Mincho" w:hAnsiTheme="majorHAnsi" w:cstheme="majorHAnsi"/>
          <w:color w:val="000000" w:themeColor="text1"/>
          <w:sz w:val="22"/>
          <w:szCs w:val="22"/>
          <w:lang w:eastAsia="ja-JP"/>
        </w:rPr>
        <w:t>eOH</w:t>
      </w:r>
      <w:r w:rsidRPr="005E6B7C">
        <w:rPr>
          <w:rFonts w:asciiTheme="majorHAnsi" w:eastAsia="Yu Mincho" w:hAnsiTheme="majorHAnsi" w:cstheme="majorHAnsi"/>
          <w:color w:val="000000" w:themeColor="text1"/>
          <w:sz w:val="22"/>
          <w:szCs w:val="22"/>
          <w:lang w:eastAsia="ja-JP"/>
        </w:rPr>
        <w:t xml:space="preserve">, 20:1,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yielded three subfractions (C2A–C2C). Subfraction C2A was fractionated on RP-18 </w:t>
      </w:r>
      <w:r w:rsidR="00045ADB" w:rsidRPr="005E6B7C">
        <w:rPr>
          <w:rFonts w:asciiTheme="majorHAnsi" w:eastAsia="Yu Mincho" w:hAnsiTheme="majorHAnsi" w:cstheme="majorHAnsi" w:hint="eastAsia"/>
          <w:color w:val="000000" w:themeColor="text1"/>
          <w:sz w:val="22"/>
          <w:szCs w:val="22"/>
          <w:lang w:eastAsia="ja-JP"/>
        </w:rPr>
        <w:t>column chromatography</w:t>
      </w:r>
      <w:r w:rsidR="00045ADB"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with acetone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water (1.8:1,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affording C2A1–C2A3. Repeated RP-18 chromatography of C2A1 with 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(1:1, </w:t>
      </w:r>
      <w:r w:rsidRPr="005E6B7C">
        <w:rPr>
          <w:rFonts w:asciiTheme="majorHAnsi" w:eastAsia="Yu Mincho" w:hAnsiTheme="majorHAnsi" w:cstheme="majorHAns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gave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(4.6 mg).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chromatography of C2A3 (</w:t>
      </w:r>
      <w:r w:rsidR="00045ADB" w:rsidRPr="005E6B7C">
        <w:rPr>
          <w:rFonts w:asciiTheme="majorHAnsi" w:eastAsia="Yu Mincho" w:hAnsiTheme="majorHAnsi" w:cstheme="majorHAnsi"/>
          <w:color w:val="000000" w:themeColor="text1"/>
          <w:sz w:val="22"/>
          <w:szCs w:val="22"/>
          <w:lang w:eastAsia="ja-JP"/>
        </w:rPr>
        <w:t>CH</w:t>
      </w:r>
      <w:r w:rsidR="00045ADB" w:rsidRPr="005E6B7C">
        <w:rPr>
          <w:rFonts w:asciiTheme="majorHAnsi" w:eastAsia="Yu Mincho" w:hAnsiTheme="majorHAnsi" w:cstheme="majorHAnsi"/>
          <w:color w:val="000000" w:themeColor="text1"/>
          <w:sz w:val="22"/>
          <w:szCs w:val="22"/>
          <w:vertAlign w:val="subscript"/>
          <w:lang w:eastAsia="ja-JP"/>
        </w:rPr>
        <w:t>2</w:t>
      </w:r>
      <w:r w:rsidR="00045ADB" w:rsidRPr="005E6B7C">
        <w:rPr>
          <w:rFonts w:asciiTheme="majorHAnsi" w:eastAsia="Yu Mincho" w:hAnsiTheme="majorHAnsi" w:cstheme="majorHAnsi"/>
          <w:color w:val="000000" w:themeColor="text1"/>
          <w:sz w:val="22"/>
          <w:szCs w:val="22"/>
          <w:lang w:eastAsia="ja-JP"/>
        </w:rPr>
        <w:t>Cl</w:t>
      </w:r>
      <w:r w:rsidR="00045ADB" w:rsidRPr="005E6B7C">
        <w:rPr>
          <w:rFonts w:asciiTheme="majorHAnsi" w:eastAsia="Yu Mincho" w:hAnsiTheme="majorHAnsi" w:cstheme="majorHAnsi"/>
          <w:color w:val="000000" w:themeColor="text1"/>
          <w:sz w:val="22"/>
          <w:szCs w:val="22"/>
          <w:vertAlign w:val="subscript"/>
          <w:lang w:eastAsia="ja-JP"/>
        </w:rPr>
        <w:t>2</w:t>
      </w:r>
      <w:r w:rsidR="00045ADB" w:rsidRPr="005E6B7C">
        <w:rPr>
          <w:rFonts w:asciiTheme="majorHAnsi" w:eastAsia="Yu Mincho" w:hAnsiTheme="majorHAnsi" w:cstheme="majorHAnsi"/>
          <w:color w:val="000000" w:themeColor="text1"/>
          <w:sz w:val="22"/>
          <w:szCs w:val="22"/>
          <w:lang w:eastAsia="ja-JP"/>
        </w:rPr>
        <w:sym w:font="Symbol" w:char="F02D"/>
      </w:r>
      <w:r w:rsidR="00045ADB" w:rsidRPr="005E6B7C">
        <w:rPr>
          <w:rFonts w:asciiTheme="majorHAnsi" w:eastAsia="Yu Mincho" w:hAnsiTheme="majorHAnsi" w:cstheme="majorHAnsi"/>
          <w:color w:val="000000" w:themeColor="text1"/>
          <w:sz w:val="22"/>
          <w:szCs w:val="22"/>
          <w:lang w:eastAsia="ja-JP"/>
        </w:rPr>
        <w:t xml:space="preserve">acetone, </w:t>
      </w:r>
      <w:r w:rsidRPr="005E6B7C">
        <w:rPr>
          <w:rFonts w:asciiTheme="majorHAnsi" w:eastAsia="Yu Mincho" w:hAnsiTheme="majorHAnsi" w:cstheme="majorHAnsi"/>
          <w:color w:val="000000" w:themeColor="text1"/>
          <w:sz w:val="22"/>
          <w:szCs w:val="22"/>
          <w:lang w:eastAsia="ja-JP"/>
        </w:rPr>
        <w:t xml:space="preserve">10:1, v/v) afforded compounds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(7.1 mg) and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(4.9 mg). </w:t>
      </w:r>
    </w:p>
    <w:p w14:paraId="4A3FB913"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2.4. Liquid chromatography quadrupole time-of-flight mass spectrometry (LC-Q-TOF MS/MS) conditions</w:t>
      </w:r>
    </w:p>
    <w:p w14:paraId="09ABF50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secondary metabolite composition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was characterized using an optimized analytical strategy adapted from our earlier work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&lt;EndNote&gt;&lt;Cite&gt;&lt;Author&gt;Han&lt;/Author&gt;&lt;Year&gt;2025&lt;/Year&gt;&lt;RecNum&gt;252&lt;/RecNum&gt;&lt;DisplayText&gt;[6]&lt;/DisplayText&gt;&lt;record&gt;&lt;rec-number&gt;252&lt;/rec-number&gt;&lt;foreign-keys&gt;&lt;key app="EN" db-id="wfttda02r0awahede5wvps9saaxwfxsexte9" timestamp="1758100380"&gt;252&lt;/key&gt;&lt;/foreign-keys&gt;&lt;ref-type name="Journal Article"&gt;17&lt;/ref-type&gt;&lt;contributors&gt;&lt;authors&gt;&lt;author&gt;Han, Yoo Kyong&lt;/author&gt;&lt;author&gt;Vinh, Le Ba&lt;/author&gt;&lt;author&gt;Lee, Kyeong Seon&lt;/author&gt;&lt;author&gt;Lee, Mi Kyeong&lt;/author&gt;&lt;author&gt;Lee, Ki Yong&lt;/author&gt;&lt;/authors&gt;&lt;/contributors&gt;&lt;titles&gt;&lt;title&gt;Aurantiosides A–D: New Furofuran Lignan Glucosides with Neuroprotective Activity from Osmanthus fragrans var. aurantiacus Enabled via a MS/MS-Based Molecular Networking Strategy&lt;/title&gt;&lt;secondary-title&gt;ACS Omega&lt;/secondary-title&gt;&lt;/titles&gt;&lt;periodical&gt;&lt;full-title&gt;ACS Omega&lt;/full-title&gt;&lt;/periodical&gt;&lt;dates&gt;&lt;year&gt;2025&lt;/year&gt;&lt;/dates&gt;&lt;isbn&gt;2470-1343&lt;/isbn&gt;&lt;urls&gt;&lt;/urls&gt;&lt;/record&gt;&lt;/Cite&gt;&lt;/EndNote&gt;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Chromatographic analyses were carried out on an Agilent 1260 Infinity liquid chromatography platform (Agilent Technologies, Santa Clara, CA, USA) equipped with a binary solvent delivery system, an inline degassing unit, an automated sample injector, a thermostated column oven, and a photodiode array detector. Compound separation was achieved using a CAPCELL PAK UG C</w:t>
      </w:r>
      <w:r w:rsidRPr="005E6B7C">
        <w:rPr>
          <w:rFonts w:asciiTheme="majorHAnsi" w:eastAsia="Yu Mincho" w:hAnsiTheme="majorHAnsi" w:cstheme="majorHAnsi"/>
          <w:color w:val="000000" w:themeColor="text1"/>
          <w:sz w:val="22"/>
          <w:szCs w:val="22"/>
          <w:vertAlign w:val="subscript"/>
          <w:lang w:eastAsia="ja-JP"/>
        </w:rPr>
        <w:t>18</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column (150 × 4.6 mm, 5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m; Shiseido, Japan), protected by a C</w:t>
      </w:r>
      <w:r w:rsidRPr="005E6B7C">
        <w:rPr>
          <w:rFonts w:asciiTheme="majorHAnsi" w:eastAsia="Yu Mincho" w:hAnsiTheme="majorHAnsi" w:cstheme="majorHAnsi"/>
          <w:color w:val="000000" w:themeColor="text1"/>
          <w:sz w:val="22"/>
          <w:szCs w:val="22"/>
          <w:vertAlign w:val="subscript"/>
          <w:lang w:eastAsia="ja-JP"/>
        </w:rPr>
        <w:t>18</w:t>
      </w:r>
      <w:r w:rsidRPr="005E6B7C">
        <w:rPr>
          <w:rFonts w:asciiTheme="majorHAnsi" w:eastAsia="Yu Mincho" w:hAnsiTheme="majorHAnsi" w:cstheme="majorHAnsi"/>
          <w:color w:val="000000" w:themeColor="text1"/>
          <w:sz w:val="22"/>
          <w:szCs w:val="22"/>
          <w:lang w:eastAsia="ja-JP"/>
        </w:rPr>
        <w:t xml:space="preserve"> guard cartridge (4.0 × 3.0 mm; Phenomenex, Torrance, CA, USA).</w:t>
      </w:r>
    </w:p>
    <w:p w14:paraId="24E2FECE" w14:textId="75BFA5D4"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Chromatographic separation was performed using a binary solvent system consisting of solvent A (0.1% formic acid in water, v/v) and solvent B (0.1% formic acid in acetonitrile, v/v). To achieve adequate separation of the metabolite components, a gradient elution program was applied as follows: 5% B from 0 to 5 min; a linear increase from 5% to 80% B over 5–10 min; 80–85% B from 10 to 15 min; 85–90% B from 15 to 25 min; and finally 90–95% B from 25 to 30 min. The mobile phase was delivered at a constant flow rate of 0.6 mL/min, and the injection volume was set to 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Mass spectrometric analysis was conducted using an Agilent 6530 quadrupole time-of-flight (Q-TOF) mass spectrometer (Agilent Technologies, Santa Clara, CA, USA) equipped with an electrospray ionization (ESI) source. Data acquisition was carried out in both positive and negative ionization modes to ensure comprehensive detection of metabolites. The mass spectrometer was operated under optimized conditions, with the capillary voltage set to 4000 V, fragmentor voltage to 175 V, skimmer voltage to 65 V, and OCT 1 RF Vpp to 750 V. The nebulizer pressure was maintained at 40 psi, while the drying gas and sheath gas temperatures were set at 325 °C and 350 °C, respectively. High-accuracy mass data were acquired in centroid mode over an </w:t>
      </w:r>
      <w:r w:rsidRPr="005E6B7C">
        <w:rPr>
          <w:rFonts w:asciiTheme="majorHAnsi" w:eastAsia="Yu Mincho" w:hAnsiTheme="majorHAnsi" w:cstheme="majorHAnsi"/>
          <w:i/>
          <w:iCs/>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range of 50–1000, ensuring mass measurement errors below 5 ppm. Instrument operation and data analysis were performed using MassHunter Workstation software (version B.05.00; Agilent Technologies). The combination of high-resolution chromatographic separation and accurate mass detection enabled rapid and reliable profiling of secondary metabolites in complex plant extracts, providing excellent sensitivity and reproducibility.</w:t>
      </w:r>
    </w:p>
    <w:p w14:paraId="3355FDB4"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2.5. Cell culture and reagents</w:t>
      </w:r>
    </w:p>
    <w:p w14:paraId="04F2A634" w14:textId="0C5C5CF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Bone marrow</w:t>
      </w:r>
      <w:r w:rsidR="00045ADB"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derived dendritic cells (BMDCs) were generated from wild-type C57BL/6 mice obtained from Orient Bio Inc</w:t>
      </w:r>
      <w:r w:rsidR="00144E48"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 (Seoul, Korea)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&lt;EndNote&gt;&lt;Cite&gt;&lt;Author&gt;Vinh&lt;/Author&gt;&lt;Year&gt;2020&lt;/Year&gt;&lt;RecNum&gt;158&lt;/RecNum&gt;&lt;DisplayText&gt;[7]&lt;/DisplayText&gt;&lt;record&gt;&lt;rec-number&gt;158&lt;/rec-number&gt;&lt;foreign-keys&gt;&lt;key app="EN" db-id="wfttda02r0awahede5wvps9saaxwfxsexte9" timestamp="1746963750"&gt;158&lt;/key&gt;&lt;/foreign-keys&gt;&lt;ref-type name="Journal Article"&gt;17&lt;/ref-type&gt;&lt;contributors&gt;&lt;authors&gt;&lt;author&gt;Vinh, Le Ba&lt;/author&gt;&lt;author&gt;Heo, Myungsook&lt;/author&gt;&lt;author&gt;Phong, Nguyen Viet&lt;/author&gt;&lt;author&gt;Ali, Irshad&lt;/author&gt;&lt;author&gt;Koh, Young Sang&lt;/author&gt;&lt;author&gt;Kim, Young Ho&lt;/author&gt;&lt;author&gt;Yang, Seo Young&lt;/author&gt;&lt;/authors&gt;&lt;/contributors&gt;&lt;titles&gt;&lt;title&gt;Bioactive compounds from Polygala tenuifolia and their inhibitory effects on lipopolysaccharide-stimulated pro-inflammatory cytokine production in bone marrow-derived dendritic cells&lt;/title&gt;&lt;secondary-title&gt;Plants&lt;/secondary-title&gt;&lt;/titles&gt;&lt;periodical&gt;&lt;full-title&gt;Plants&lt;/full-title&gt;&lt;/periodical&gt;&lt;pages&gt;1240&lt;/pages&gt;&lt;volume&gt;9&lt;/volume&gt;&lt;number&gt;9&lt;/number&gt;&lt;dates&gt;&lt;year&gt;2020&lt;/year&gt;&lt;/dates&gt;&lt;isbn&gt;2223-7747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All animal experiments were conducted in accordance with the ethical guidelines approved by the Institutional Animal Care and Use Committee of Jeju National University (approval no. 2016-0059). For BMDC preparation, bone marrow cells were harvested from the femurs and tibias by flushing with Dulbecco’s Modified Eagle Medium (DMEM; Welgene, Gyeongsan, Korea). The collected cells </w:t>
      </w:r>
      <w:r w:rsidRPr="005E6B7C">
        <w:rPr>
          <w:rFonts w:asciiTheme="majorHAnsi" w:eastAsia="Yu Mincho" w:hAnsiTheme="majorHAnsi" w:cstheme="majorHAnsi"/>
          <w:color w:val="000000" w:themeColor="text1"/>
          <w:sz w:val="22"/>
          <w:szCs w:val="22"/>
          <w:lang w:eastAsia="ja-JP"/>
        </w:rPr>
        <w:lastRenderedPageBreak/>
        <w:t xml:space="preserve">were subsequently cultured in RPMI 1640 medium supplemented with 10% heat-inactivated fetal bovine serum (FBS; Gibco, New York, NY, USA), 50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M 2-mercaptoethanol, and 2 mM L-glutamine. To promote dendritic cell differentiation, the culture medium was further enriched with 3% conditioned medium from J558L hybridoma cells as a source of granulocyte–macrophage colony-stimulating factor (GM-CSF). The culture medium supplemented with GM-CSF was refreshed at two-day intervals. After six days of differentiation, loosely attached dendritic cell clusters and non-adherent cells were harvested, washed, and resuspended in RPMI 1640 medium containing 5% FBS. The cells were then seeded into 48-well plates at a density of 1 × 10</w:t>
      </w:r>
      <w:r w:rsidRPr="005E6B7C">
        <w:rPr>
          <w:rFonts w:asciiTheme="majorHAnsi" w:eastAsia="Yu Mincho" w:hAnsiTheme="majorHAnsi" w:cstheme="majorHAnsi"/>
          <w:color w:val="000000" w:themeColor="text1"/>
          <w:sz w:val="22"/>
          <w:szCs w:val="22"/>
          <w:vertAlign w:val="superscript"/>
          <w:lang w:eastAsia="ja-JP"/>
        </w:rPr>
        <w:t>5</w:t>
      </w:r>
      <w:r w:rsidRPr="005E6B7C">
        <w:rPr>
          <w:rFonts w:asciiTheme="majorHAnsi" w:eastAsia="Yu Mincho" w:hAnsiTheme="majorHAnsi" w:cstheme="majorHAnsi"/>
          <w:color w:val="000000" w:themeColor="text1"/>
          <w:sz w:val="22"/>
          <w:szCs w:val="22"/>
          <w:lang w:eastAsia="ja-JP"/>
        </w:rPr>
        <w:t xml:space="preserve"> cells per 0.5 mL and preincubated with the isolated compounds at the indicated concentrations for 1 h. Subsequently, dendritic cells were stimulated with lipopolysaccharide (LPS; 10 ng/mL) derived from </w:t>
      </w:r>
      <w:r w:rsidRPr="005E6B7C">
        <w:rPr>
          <w:rFonts w:asciiTheme="majorHAnsi" w:eastAsia="Yu Mincho" w:hAnsiTheme="majorHAnsi" w:cstheme="majorHAnsi"/>
          <w:i/>
          <w:iCs/>
          <w:color w:val="000000" w:themeColor="text1"/>
          <w:sz w:val="22"/>
          <w:szCs w:val="22"/>
          <w:lang w:eastAsia="ja-JP"/>
        </w:rPr>
        <w:t>Salmonella minnesota</w:t>
      </w:r>
      <w:r w:rsidRPr="005E6B7C">
        <w:rPr>
          <w:rFonts w:asciiTheme="majorHAnsi" w:eastAsia="Yu Mincho" w:hAnsiTheme="majorHAnsi" w:cstheme="majorHAnsi"/>
          <w:color w:val="000000" w:themeColor="text1"/>
          <w:sz w:val="22"/>
          <w:szCs w:val="22"/>
          <w:lang w:eastAsia="ja-JP"/>
        </w:rPr>
        <w:t xml:space="preserve"> (Alexis, New York, USA). Following an 18 h incubation period, culture supernatants were collected, and the levels of murine IL-12p40, IL-6, and TNF-</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 were quantified using enzyme-linked immunosorbent assay (ELISA) kits (BD PharMingen, San Diego, CA, USA) in accordance with the manufacturer’s protocols. Data represent the </w:t>
      </w:r>
      <w:r w:rsidR="00144E48" w:rsidRPr="005E6B7C">
        <w:rPr>
          <w:rFonts w:asciiTheme="majorHAnsi" w:eastAsia="Yu Mincho" w:hAnsiTheme="majorHAnsi" w:cstheme="majorHAnsi"/>
          <w:color w:val="000000" w:themeColor="text1"/>
          <w:sz w:val="22"/>
          <w:szCs w:val="22"/>
          <w:lang w:eastAsia="ja-JP"/>
        </w:rPr>
        <w:t>mean</w:t>
      </w:r>
      <w:r w:rsidRPr="005E6B7C">
        <w:rPr>
          <w:rFonts w:asciiTheme="majorHAnsi" w:eastAsia="Yu Mincho" w:hAnsiTheme="majorHAnsi" w:cstheme="majorHAnsi"/>
          <w:color w:val="000000" w:themeColor="text1"/>
          <w:sz w:val="22"/>
          <w:szCs w:val="22"/>
          <w:lang w:eastAsia="ja-JP"/>
        </w:rPr>
        <w:t xml:space="preserve"> ± SD obtained from three independently repeated experiments.</w:t>
      </w:r>
    </w:p>
    <w:p w14:paraId="6BDEDB20"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2.6. Cytokine production measurements</w:t>
      </w:r>
    </w:p>
    <w:p w14:paraId="5F894A5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BMDCs were seeded into 48-well culture plates at a density of 1 × 10</w:t>
      </w:r>
      <w:r w:rsidRPr="005E6B7C">
        <w:rPr>
          <w:rFonts w:asciiTheme="majorHAnsi" w:eastAsia="Yu Mincho" w:hAnsiTheme="majorHAnsi" w:cstheme="majorHAnsi"/>
          <w:color w:val="000000" w:themeColor="text1"/>
          <w:sz w:val="22"/>
          <w:szCs w:val="22"/>
          <w:vertAlign w:val="superscript"/>
          <w:lang w:eastAsia="ja-JP"/>
        </w:rPr>
        <w:t>5</w:t>
      </w:r>
      <w:r w:rsidRPr="005E6B7C">
        <w:rPr>
          <w:rFonts w:asciiTheme="majorHAnsi" w:eastAsia="Yu Mincho" w:hAnsiTheme="majorHAnsi" w:cstheme="majorHAnsi"/>
          <w:color w:val="000000" w:themeColor="text1"/>
          <w:sz w:val="22"/>
          <w:szCs w:val="22"/>
          <w:lang w:eastAsia="ja-JP"/>
        </w:rPr>
        <w:t xml:space="preserve"> cells in 0.5 mL per well and allowed to equilibrate prior to treatment. The cells were pretreated with the isolated compounds at the specified concentrations for 1 h, followed by stimulation with lipopolysaccharide (LPS; 10 ng/mL) from </w:t>
      </w:r>
      <w:r w:rsidRPr="005E6B7C">
        <w:rPr>
          <w:rFonts w:asciiTheme="majorHAnsi" w:eastAsia="Yu Mincho" w:hAnsiTheme="majorHAnsi" w:cstheme="majorHAnsi"/>
          <w:i/>
          <w:iCs/>
          <w:color w:val="000000" w:themeColor="text1"/>
          <w:sz w:val="22"/>
          <w:szCs w:val="22"/>
          <w:lang w:eastAsia="ja-JP"/>
        </w:rPr>
        <w:t>S. minnesota</w:t>
      </w:r>
      <w:r w:rsidRPr="005E6B7C">
        <w:rPr>
          <w:rFonts w:asciiTheme="majorHAnsi" w:eastAsia="Yu Mincho" w:hAnsiTheme="majorHAnsi" w:cstheme="majorHAnsi"/>
          <w:color w:val="000000" w:themeColor="text1"/>
          <w:sz w:val="22"/>
          <w:szCs w:val="22"/>
          <w:lang w:eastAsia="ja-JP"/>
        </w:rPr>
        <w:t xml:space="preserve"> (Alexis, NY, USA) for 18 h. After incubation, culture supernatants were collected, and the levels of murine IL-12p40, IL-6, and TNF-</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 were quantified using ELISA kits (BD PharMingen, CA, USA) according to the manufacturer’s instructions.</w:t>
      </w:r>
    </w:p>
    <w:p w14:paraId="30F5E537" w14:textId="0C11AD38"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w:t>
      </w:r>
      <w:r w:rsidR="00144E48" w:rsidRPr="005E6B7C">
        <w:rPr>
          <w:rFonts w:asciiTheme="majorHAnsi" w:eastAsia="Times New Roman" w:hAnsiTheme="majorHAnsi" w:cstheme="majorHAnsi"/>
          <w:i/>
          <w:iCs/>
          <w:color w:val="000000" w:themeColor="text1"/>
          <w:sz w:val="22"/>
          <w:szCs w:val="22"/>
          <w:lang w:eastAsia="ja-JP"/>
        </w:rPr>
        <w:t>7</w:t>
      </w:r>
      <w:r w:rsidRPr="005E6B7C">
        <w:rPr>
          <w:rFonts w:asciiTheme="majorHAnsi" w:eastAsia="Times New Roman" w:hAnsiTheme="majorHAnsi" w:cstheme="majorHAnsi"/>
          <w:i/>
          <w:iCs/>
          <w:color w:val="000000" w:themeColor="text1"/>
          <w:sz w:val="22"/>
          <w:szCs w:val="22"/>
          <w:lang w:eastAsia="ja-JP"/>
        </w:rPr>
        <w:t>. Cell viability assay and statistical analysis</w:t>
      </w:r>
    </w:p>
    <w:p w14:paraId="64674140" w14:textId="295F256C"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Cell viability was evaluated using an MTT-based colorimetric assay to determine the cytotoxic effects of the isolated compounds on BMDCs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&lt;EndNote&gt;&lt;Cite&gt;&lt;Author&gt;Vinh&lt;/Author&gt;&lt;Year&gt;2020&lt;/Year&gt;&lt;RecNum&gt;158&lt;/RecNum&gt;&lt;DisplayText&gt;[7]&lt;/DisplayText&gt;&lt;record&gt;&lt;rec-number&gt;158&lt;/rec-number&gt;&lt;foreign-keys&gt;&lt;key app="EN" db-id="wfttda02r0awahede5wvps9saaxwfxsexte9" timestamp="1746963750"&gt;158&lt;/key&gt;&lt;/foreign-keys&gt;&lt;ref-type name="Journal Article"&gt;17&lt;/ref-type&gt;&lt;contributors&gt;&lt;authors&gt;&lt;author&gt;Vinh, Le Ba&lt;/author&gt;&lt;author&gt;Heo, Myungsook&lt;/author&gt;&lt;author&gt;Phong, Nguyen Viet&lt;/author&gt;&lt;author&gt;Ali, Irshad&lt;/author&gt;&lt;author&gt;Koh, Young Sang&lt;/author&gt;&lt;author&gt;Kim, Young Ho&lt;/author&gt;&lt;author&gt;Yang, Seo Young&lt;/author&gt;&lt;/authors&gt;&lt;/contributors&gt;&lt;titles&gt;&lt;title&gt;Bioactive compounds from Polygala tenuifolia and their inhibitory effects on lipopolysaccharide-stimulated pro-inflammatory cytokine production in bone marrow-derived dendritic cells&lt;/title&gt;&lt;secondary-title&gt;Plants&lt;/secondary-title&gt;&lt;/titles&gt;&lt;periodical&gt;&lt;full-title&gt;Plants&lt;/full-title&gt;&lt;/periodical&gt;&lt;pages&gt;1240&lt;/pages&gt;&lt;volume&gt;9&lt;/volume&gt;&lt;number&gt;9&lt;/number&gt;&lt;dates&gt;&lt;year&gt;2020&lt;/year&gt;&lt;/dates&gt;&lt;isbn&gt;2223-7747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Cells were exposed to the test compounds at concentrations ranging from 1 to 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for a period of 18 h. All data are expressed as mean values with corresponding standard deviations. Statistical evaluation was performed using one-way analysis of variance (ANOVA), with significance thresholds set at </w:t>
      </w:r>
      <w:r w:rsidRPr="005E6B7C">
        <w:rPr>
          <w:rFonts w:asciiTheme="majorHAnsi" w:eastAsia="Yu Mincho" w:hAnsiTheme="majorHAnsi" w:cstheme="majorHAnsi"/>
          <w:i/>
          <w:iCs/>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 &lt; 0.05 and </w:t>
      </w:r>
      <w:r w:rsidRPr="005E6B7C">
        <w:rPr>
          <w:rFonts w:asciiTheme="majorHAnsi" w:eastAsia="Yu Mincho" w:hAnsiTheme="majorHAnsi" w:cstheme="majorHAnsi"/>
          <w:i/>
          <w:iCs/>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 &lt; 0.01. Each experiment was independently repeated at least three times to ensure reproducibility.</w:t>
      </w:r>
    </w:p>
    <w:p w14:paraId="683F1F05" w14:textId="77777777" w:rsidR="00C8462C" w:rsidRPr="005E6B7C" w:rsidRDefault="00E049CB" w:rsidP="008C0D47">
      <w:pPr>
        <w:tabs>
          <w:tab w:val="left" w:pos="270"/>
          <w:tab w:val="left" w:pos="540"/>
          <w:tab w:val="left" w:pos="9270"/>
        </w:tabs>
        <w:spacing w:line="240" w:lineRule="exact"/>
        <w:ind w:firstLine="284"/>
        <w:jc w:val="both"/>
        <w:outlineLvl w:val="0"/>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3. Results and discussion</w:t>
      </w:r>
    </w:p>
    <w:p w14:paraId="5895FCCC" w14:textId="77777777" w:rsidR="00C8462C" w:rsidRPr="005E6B7C" w:rsidRDefault="00C8462C" w:rsidP="008C0D47">
      <w:pPr>
        <w:tabs>
          <w:tab w:val="left" w:pos="270"/>
          <w:tab w:val="left" w:pos="540"/>
          <w:tab w:val="left" w:pos="9270"/>
        </w:tabs>
        <w:spacing w:line="240" w:lineRule="exact"/>
        <w:ind w:firstLine="284"/>
        <w:jc w:val="both"/>
        <w:outlineLvl w:val="0"/>
        <w:rPr>
          <w:rFonts w:asciiTheme="majorHAnsi" w:eastAsia="Yu Mincho" w:hAnsiTheme="majorHAnsi" w:cstheme="majorHAnsi"/>
          <w:b/>
          <w:bCs/>
          <w:color w:val="000000" w:themeColor="text1"/>
          <w:sz w:val="22"/>
          <w:szCs w:val="22"/>
          <w:lang w:eastAsia="ja-JP"/>
        </w:rPr>
        <w:sectPr w:rsidR="00C8462C" w:rsidRPr="005E6B7C" w:rsidSect="00C8462C">
          <w:type w:val="continuous"/>
          <w:pgSz w:w="10773" w:h="15309" w:code="9"/>
          <w:pgMar w:top="907" w:right="851" w:bottom="1418" w:left="851" w:header="397" w:footer="851" w:gutter="0"/>
          <w:cols w:num="2" w:space="284"/>
          <w:docGrid w:linePitch="360"/>
        </w:sectPr>
      </w:pPr>
    </w:p>
    <w:p w14:paraId="0D10133A"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3CBE47E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6FD012F3" wp14:editId="1C73D4F0">
            <wp:extent cx="5303520" cy="665746"/>
            <wp:effectExtent l="0" t="0" r="0" b="1270"/>
            <wp:docPr id="40495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836" cy="666037"/>
                    </a:xfrm>
                    <a:prstGeom prst="rect">
                      <a:avLst/>
                    </a:prstGeom>
                    <a:noFill/>
                    <a:ln>
                      <a:noFill/>
                    </a:ln>
                  </pic:spPr>
                </pic:pic>
              </a:graphicData>
            </a:graphic>
          </wp:inline>
        </w:drawing>
      </w:r>
    </w:p>
    <w:p w14:paraId="6AD831DE" w14:textId="4F867DE3"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 xml:space="preserve"> MS chromatograms of </w:t>
      </w:r>
      <w:r w:rsidR="00E049CB" w:rsidRPr="005E6B7C">
        <w:rPr>
          <w:rFonts w:asciiTheme="majorHAnsi" w:eastAsia="Yu Mincho" w:hAnsiTheme="majorHAnsi" w:cstheme="majorHAnsi"/>
          <w:i/>
          <w:iCs/>
          <w:color w:val="000000" w:themeColor="text1"/>
          <w:sz w:val="18"/>
          <w:szCs w:val="18"/>
          <w:lang w:eastAsia="ja-JP"/>
        </w:rPr>
        <w:t>P. angulata</w:t>
      </w:r>
      <w:r w:rsidR="00E14C6B" w:rsidRPr="005E6B7C">
        <w:rPr>
          <w:rFonts w:asciiTheme="majorHAnsi" w:eastAsia="Yu Mincho" w:hAnsiTheme="majorHAnsi" w:cstheme="majorHAnsi"/>
          <w:color w:val="000000" w:themeColor="text1"/>
          <w:sz w:val="18"/>
          <w:szCs w:val="18"/>
          <w:lang w:eastAsia="ja-JP"/>
        </w:rPr>
        <w:t xml:space="preserve"> extract analyzed by LC</w:t>
      </w:r>
      <w:r w:rsidR="007F1237" w:rsidRPr="005E6B7C">
        <w:rPr>
          <w:rFonts w:asciiTheme="majorHAnsi" w:eastAsia="Yu Mincho" w:hAnsiTheme="majorHAnsi" w:cstheme="majorHAnsi"/>
          <w:color w:val="000000" w:themeColor="text1"/>
          <w:sz w:val="18"/>
          <w:szCs w:val="18"/>
          <w:lang w:val="vi-VN" w:eastAsia="ja-JP"/>
        </w:rPr>
        <w:t>–</w:t>
      </w:r>
      <w:r w:rsidR="00E049CB" w:rsidRPr="005E6B7C">
        <w:rPr>
          <w:rFonts w:asciiTheme="majorHAnsi" w:eastAsia="Yu Mincho" w:hAnsiTheme="majorHAnsi" w:cstheme="majorHAnsi"/>
          <w:color w:val="000000" w:themeColor="text1"/>
          <w:sz w:val="18"/>
          <w:szCs w:val="18"/>
          <w:lang w:eastAsia="ja-JP"/>
        </w:rPr>
        <w:t>MS/MS</w:t>
      </w:r>
    </w:p>
    <w:p w14:paraId="02FDF528" w14:textId="77777777" w:rsidR="000B7F16" w:rsidRPr="005E6B7C" w:rsidRDefault="000B7F16"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3B2BB66" w14:textId="77777777" w:rsidR="00C8462C" w:rsidRPr="005E6B7C" w:rsidRDefault="00C8462C"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8462C" w:rsidRPr="005E6B7C" w:rsidSect="002206BB">
          <w:type w:val="continuous"/>
          <w:pgSz w:w="10773" w:h="15309" w:code="9"/>
          <w:pgMar w:top="907" w:right="851" w:bottom="1418" w:left="851" w:header="397" w:footer="851" w:gutter="0"/>
          <w:cols w:space="284"/>
          <w:docGrid w:linePitch="360"/>
        </w:sectPr>
      </w:pPr>
    </w:p>
    <w:p w14:paraId="5ACC16E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chemical constituents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in the methanol extract were systematically characterized using liquid chromatography coupled with tandem mass spectrometry (LC–MS/MS). This analytical approach enabled comprehensive profiling of the secondary metabolites present in the extract. A total of thirteen major compounds were detected and tentatively identified based on their chromatographic and spectrometric characteristics.</w:t>
      </w:r>
    </w:p>
    <w:p w14:paraId="6297FE3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Specifically, the detected peaks (</w:t>
      </w:r>
      <w:r w:rsidRPr="005E6B7C">
        <w:rPr>
          <w:rFonts w:asciiTheme="majorHAnsi" w:eastAsia="Yu Mincho" w:hAnsiTheme="majorHAnsi" w:cstheme="majorHAnsi"/>
          <w:b/>
          <w:bCs/>
          <w:color w:val="000000" w:themeColor="text1"/>
          <w:sz w:val="22"/>
          <w:szCs w:val="22"/>
          <w:lang w:eastAsia="ja-JP"/>
        </w:rPr>
        <w:t>Table 1</w:t>
      </w:r>
      <w:r w:rsidRPr="005E6B7C">
        <w:rPr>
          <w:rFonts w:asciiTheme="majorHAnsi" w:eastAsia="Yu Mincho" w:hAnsiTheme="majorHAnsi" w:cstheme="majorHAnsi"/>
          <w:color w:val="000000" w:themeColor="text1"/>
          <w:sz w:val="22"/>
          <w:szCs w:val="22"/>
          <w:lang w:eastAsia="ja-JP"/>
        </w:rPr>
        <w:t xml:space="preserve">) were tentatively assigned to chlorogenic acid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&lt;EndNote&gt;&lt;Cite&gt;&lt;Author&gt;Wang&lt;/Author&gt;&lt;Year&gt;2003&lt;/Year&gt;&lt;RecNum&gt;316&lt;/RecNum&gt;&lt;DisplayText&gt;[8]&lt;/DisplayText&gt;&lt;record&gt;&lt;rec-number&gt;316&lt;/rec-number&gt;&lt;foreign-keys&gt;&lt;key app="EN" db-id="wfttda02r0awahede5wvps9saaxwfxsexte9" timestamp="1770722728"&gt;316&lt;/key&gt;&lt;/foreign-keys&gt;&lt;ref-type name="Journal Article"&gt;17&lt;/ref-type&gt;&lt;contributors&gt;&lt;authors&gt;&lt;author&gt;Wang, Mingfu&lt;/author&gt;&lt;author&gt;Simon, James E&lt;/author&gt;&lt;author&gt;Aviles, Irma Fabiola&lt;/author&gt;&lt;author&gt;He, Kan&lt;/author&gt;&lt;author&gt;Zheng, Qun-Yi&lt;/author&gt;&lt;author&gt;Tadmor, Yaakov&lt;/author&gt;&lt;/authors&gt;&lt;/contributors&gt;&lt;titles&gt;&lt;title&gt;Analysis of antioxidative phenolic compounds in artichoke (Cynara scolymus L.)&lt;/title&gt;&lt;secondary-title&gt;Journal of agricultural and Food Chemistry&lt;/secondary-title&gt;&lt;/titles&gt;&lt;periodical&gt;&lt;full-title&gt;Journal of Agricultural and Food Chemistry&lt;/full-title&gt;&lt;/periodical&gt;&lt;pages&gt;601-608&lt;/pages&gt;&lt;volume&gt;51&lt;/volume&gt;&lt;number&gt;3&lt;/number&gt;&lt;dates&gt;&lt;year&gt;2003&lt;/year&gt;&lt;/dates&gt;&lt;isbn&gt;0021-8561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esculetin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&lt;EndNote&gt;&lt;Cite&gt;&lt;Author&gt;Chang&lt;/Author&gt;&lt;Year&gt;1977&lt;/Year&gt;&lt;RecNum&gt;317&lt;/RecNum&gt;&lt;DisplayText&gt;[9]&lt;/DisplayText&gt;&lt;record&gt;&lt;rec-number&gt;317&lt;/rec-number&gt;&lt;foreign-keys&gt;&lt;key app="EN" db-id="wfttda02r0awahede5wvps9saaxwfxsexte9" timestamp="1770722864"&gt;317&lt;/key&gt;&lt;/foreign-keys&gt;&lt;ref-type name="Journal Article"&gt;17&lt;/ref-type&gt;&lt;contributors&gt;&lt;authors&gt;&lt;author&gt;Chang, Ching-Jer&lt;/author&gt;&lt;author&gt;Floss, Heinz G&lt;/author&gt;&lt;author&gt;Steck, Warren&lt;/author&gt;&lt;/authors&gt;&lt;/contributors&gt;&lt;titles&gt;&lt;title&gt;Carbon-13 magnetic resonance spectroscopy of coumarins. Carbon-13-proton long-range couplings&lt;/title&gt;&lt;secondary-title&gt;The Journal of Organic Chemistry&lt;/secondary-title&gt;&lt;/titles&gt;&lt;periodical&gt;&lt;full-title&gt;The Journal of Organic Chemistry&lt;/full-title&gt;&lt;/periodical&gt;&lt;pages&gt;1337-1340&lt;/pages&gt;&lt;volume&gt;42&lt;/volume&gt;&lt;number&gt;8&lt;/number&gt;&lt;dates&gt;&lt;year&gt;1977&lt;/year&gt;&lt;/dates&gt;&lt;isbn&gt;0022-3263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rutin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&lt;EndNote&gt;&lt;Cite&gt;&lt;Author&gt;Pyo&lt;/Author&gt;&lt;Year&gt;2002&lt;/Year&gt;&lt;RecNum&gt;318&lt;/RecNum&gt;&lt;DisplayText&gt;[10]&lt;/DisplayText&gt;&lt;record&gt;&lt;rec-number&gt;318&lt;/rec-number&gt;&lt;foreign-keys&gt;&lt;key app="EN" db-id="wfttda02r0awahede5wvps9saaxwfxsexte9" timestamp="1770722959"&gt;318&lt;/key&gt;&lt;/foreign-keys&gt;&lt;ref-type name="Journal Article"&gt;17&lt;/ref-type&gt;&lt;contributors&gt;&lt;authors&gt;&lt;author&gt;Pyo, Mi-Kyung&lt;/author&gt;&lt;author&gt;Koo, Yean-Kyoung&lt;/author&gt;&lt;author&gt;YunChoi, Hye-Sook&lt;/author&gt;&lt;/authors&gt;&lt;/contributors&gt;&lt;titles&gt;&lt;title&gt;Anti-platelet effect of the phenolic constituents isolated from the leaves of Magnolia obovata&lt;/title&gt;&lt;secondary-title&gt;Natural Product Sciences&lt;/secondary-title&gt;&lt;/titles&gt;&lt;periodical&gt;&lt;full-title&gt;Natural Product Sciences&lt;/full-title&gt;&lt;/periodical&gt;&lt;pages&gt;147-151&lt;/pages&gt;&lt;volume&gt;8&lt;/volume&gt;&lt;number&gt;4&lt;/number&gt;&lt;dates&gt;&lt;year&gt;2002&lt;/year&gt;&lt;/dates&gt;&lt;isbn&gt;1226-3907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kaempferol 3-</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-L-arabinopyranosyl-7-</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-L-rhamnopyranoside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&lt;EndNote&gt;&lt;Cite&gt;&lt;Author&gt;Yoshimitsu&lt;/Author&gt;&lt;Year&gt;2007&lt;/Year&gt;&lt;RecNum&gt;319&lt;/RecNum&gt;&lt;DisplayText&gt;[11]&lt;/DisplayText&gt;&lt;record&gt;&lt;rec-number&gt;319&lt;/rec-number&gt;&lt;foreign-keys&gt;&lt;key app="EN" db-id="wfttda02r0awahede5wvps9saaxwfxsexte9" timestamp="1770723006"&gt;319&lt;/key&gt;&lt;/foreign-keys&gt;&lt;ref-type name="Journal Article"&gt;17&lt;/ref-type&gt;&lt;contributors&gt;&lt;authors&gt;&lt;author&gt;Yoshimitsu, Hitoshi&lt;/author&gt;&lt;author&gt;Nishida, Makiko&lt;/author&gt;&lt;author&gt;Hashimoto, Fumio&lt;/author&gt;&lt;author&gt;Tanaka, Mika&lt;/author&gt;&lt;author&gt;Sakata, Yusuke&lt;/author&gt;&lt;author&gt;Okawa, Masafumi&lt;/author&gt;&lt;author&gt;Nohara, Toshihiro&lt;/author&gt;&lt;/authors&gt;&lt;/contributors&gt;&lt;titles&gt;&lt;title&gt;Chromone and flavonol glycosides from Delphinium hybridum cv.“Belladonna Casablanca”&lt;/title&gt;&lt;secondary-title&gt;Journal of Natural Medicines&lt;/secondary-title&gt;&lt;/titles&gt;&lt;periodical&gt;&lt;full-title&gt;Journal of Natural Medicines&lt;/full-title&gt;&lt;/periodical&gt;&lt;pages&gt;334-338&lt;/pages&gt;&lt;volume&gt;61&lt;/volume&gt;&lt;number&gt;3&lt;/number&gt;&lt;dates&gt;&lt;year&gt;2007&lt;/year&gt;&lt;/dates&gt;&lt;isbn&gt;1340-3443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isorhamnetin 3-</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-rutinoside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&lt;EndNote&gt;&lt;Cite&gt;&lt;Author&gt;Beck&lt;/Author&gt;&lt;Year&gt;1999&lt;/Year&gt;&lt;RecNum&gt;300&lt;/RecNum&gt;&lt;DisplayText&gt;[12]&lt;/DisplayText&gt;&lt;record&gt;&lt;rec-number&gt;300&lt;/rec-number&gt;&lt;foreign-keys&gt;&lt;key app="EN" db-id="wfttda02r0awahede5wvps9saaxwfxsexte9" timestamp="1766479934"&gt;300&lt;/key&gt;&lt;/foreign-keys&gt;&lt;ref-type name="Journal Article"&gt;17&lt;/ref-type&gt;&lt;contributors&gt;&lt;authors&gt;&lt;author&gt;Beck, Mona-Antonia&lt;/author&gt;&lt;author&gt;Häberlein, Hanns&lt;/author&gt;&lt;/authors&gt;&lt;/contributors&gt;&lt;titles&gt;&lt;title&gt;Flavonol glycosides from Eschscholtzia californica&lt;/title&gt;&lt;secondary-title&gt;Phytochemistry&lt;/secondary-title&gt;&lt;/titles&gt;&lt;periodical&gt;&lt;full-title&gt;Phytochemistry&lt;/full-title&gt;&lt;/periodical&gt;&lt;pages&gt;329-332&lt;/pages&gt;&lt;volume&gt;50&lt;/volume&gt;&lt;number&gt;2&lt;/number&gt;&lt;dates&gt;&lt;year&gt;1999&lt;/year&gt;&lt;/dates&gt;&lt;isbn&gt;0031-9422&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physalins D, E, G, and W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&lt;EndNote&gt;&lt;Cite&gt;&lt;Author&gt;Januário&lt;/Author&gt;&lt;Year&gt;2002&lt;/Year&gt;&lt;RecNum&gt;321&lt;/RecNum&gt;&lt;DisplayText&gt;[13]&lt;/DisplayText&gt;&lt;record&gt;&lt;rec-number&gt;321&lt;/rec-number&gt;&lt;foreign-keys&gt;&lt;key app="EN" db-id="wfttda02r0awahede5wvps9saaxwfxsexte9" timestamp="1770723246"&gt;321&lt;/key&gt;&lt;/foreign-keys&gt;&lt;ref-type name="Journal Article"&gt;17&lt;/ref-type&gt;&lt;contributors&gt;&lt;authors&gt;&lt;author&gt;Januário, AH&lt;/author&gt;&lt;author&gt;Filho, E Rodrigues&lt;/author&gt;&lt;author&gt;Pietro, RCLR&lt;/author&gt;&lt;author&gt;Kashima, S&lt;/author&gt;&lt;author&gt;Sato, DN&lt;/author&gt;&lt;author&gt;França, SC&lt;/author&gt;&lt;/authors&gt;&lt;/contributors&gt;&lt;titles&gt;&lt;title&gt;Antimycobacterial physalins from Physalis angulata L.(Solanaceae)&lt;/title&gt;&lt;secondary-title&gt;Phytotherapy Research: An International Journal Devoted to Pharmacological and Toxicological Evaluation of Natural Product Derivatives&lt;/secondary-title&gt;&lt;/titles&gt;&lt;periodical&gt;&lt;full-title&gt;Phytotherapy Research: An International Journal Devoted to Pharmacological and Toxicological Evaluation of Natural Product Derivatives&lt;/full-title&gt;&lt;/periodical&gt;&lt;pages&gt;445-448&lt;/pages&gt;&lt;volume&gt;16&lt;/volume&gt;&lt;number&gt;5&lt;/number&gt;&lt;dates&gt;&lt;year&gt;2002&lt;/year&gt;&lt;/dates&gt;&lt;isbn&gt;0951-418X&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physagulin H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&lt;EndNote&gt;&lt;Cite&gt;&lt;Author&gt;Nagafuji&lt;/Author&gt;&lt;Year&gt;2004&lt;/Year&gt;&lt;RecNum&gt;322&lt;/RecNum&gt;&lt;DisplayText&gt;[14]&lt;/DisplayText&gt;&lt;record&gt;&lt;rec-number&gt;322&lt;/rec-number&gt;&lt;foreign-keys&gt;&lt;key app="EN" db-id="wfttda02r0awahede5wvps9saaxwfxsexte9" timestamp="1770723300"&gt;322&lt;/key&gt;&lt;/foreign-keys&gt;&lt;ref-type name="Journal Article"&gt;17&lt;/ref-type&gt;&lt;contributors&gt;&lt;authors&gt;&lt;author&gt;Nagafuji, Shinya&lt;/author&gt;&lt;author&gt;Okabe, Hikaru&lt;/author&gt;&lt;author&gt;Akahane, Hiroshige&lt;/author&gt;&lt;author&gt;Abe, Fumiko&lt;/author&gt;&lt;/authors&gt;&lt;/contributors&gt;&lt;titles&gt;&lt;title&gt;Trypanocidal constituents in plants 4. Withanolides from the aerial parts of Physalis angulata&lt;/title&gt;&lt;secondary-title&gt;Biological and Pharmaceutical Bulletin&lt;/secondary-title&gt;&lt;/titles&gt;&lt;periodical&gt;&lt;full-title&gt;Biological and Pharmaceutical Bulletin&lt;/full-title&gt;&lt;/periodical&gt;&lt;pages&gt;193-197&lt;/pages&gt;&lt;volume&gt;27&lt;/volume&gt;&lt;number&gt;2&lt;/number&gt;&lt;dates&gt;&lt;year&gt;2004&lt;/year&gt;&lt;/dates&gt;&lt;isbn&gt;0918-6158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withaminimin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&lt;EndNote&gt;&lt;Cite&gt;&lt;Author&gt;Yang&lt;/Author&gt;&lt;Year&gt;2025&lt;/Year&gt;&lt;RecNum&gt;323&lt;/RecNum&gt;&lt;DisplayText&gt;[15]&lt;/DisplayText&gt;&lt;record&gt;&lt;rec-number&gt;323&lt;/rec-number&gt;&lt;foreign-keys&gt;&lt;key app="EN" db-id="wfttda02r0awahede5wvps9saaxwfxsexte9" timestamp="1770723330"&gt;323&lt;/key&gt;&lt;/foreign-keys&gt;&lt;ref-type name="Journal Article"&gt;17&lt;/ref-type&gt;&lt;contributors&gt;&lt;authors&gt;&lt;author&gt;Yang, Zhu&lt;/author&gt;&lt;author&gt;Tong, Kai-Xiang&lt;/author&gt;&lt;author&gt;Lv, Qiu-Yue&lt;/author&gt;&lt;author&gt;Xie, Song-Zi&lt;/author&gt;&lt;author&gt;Wu, Jiang-Ping&lt;/author&gt;&lt;author&gt;Han, Jun&lt;/author&gt;&lt;author&gt;Zou, Zhong-Mei&lt;/author&gt;&lt;/authors&gt;&lt;/contributors&gt;&lt;titles&gt;&lt;title&gt;Structural elucidation of anti-inflammatory withanolides from Physalis minima&lt;/title&gt;&lt;secondary-title&gt;Journal of Asian Natural Products Research&lt;/secondary-title&gt;&lt;/titles&gt;&lt;periodical&gt;&lt;full-title&gt;Journal of asian natural Products research&lt;/full-title&gt;&lt;/periodical&gt;&lt;pages&gt;1-10&lt;/pages&gt;&lt;dates&gt;&lt;year&gt;2025&lt;/year&gt;&lt;/dates&gt;&lt;isbn&gt;1028-6020&lt;/isbn&gt;&lt;urls&gt;&lt;/urls&gt;&lt;/record&gt;&lt;/Cite&gt;&lt;/EndNote&gt;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kaempferol-3-</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-rutinoside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&lt;EndNote&gt;&lt;Cite&gt;&lt;Author&gt;Clarkson&lt;/Author&gt;&lt;Year&gt;2005&lt;/Year&gt;&lt;RecNum&gt;301&lt;/RecNum&gt;&lt;DisplayText&gt;[16]&lt;/DisplayText&gt;&lt;record&gt;&lt;rec-number&gt;301&lt;/rec-number&gt;&lt;foreign-keys&gt;&lt;key app="EN" db-id="wfttda02r0awahede5wvps9saaxwfxsexte9" timestamp="1766480042"&gt;301&lt;/key&gt;&lt;/foreign-keys&gt;&lt;ref-type name="Journal Article"&gt;17&lt;/ref-type&gt;&lt;contributors&gt;&lt;authors&gt;&lt;author&gt;Clarkson, Cailean&lt;/author&gt;&lt;author&gt;Stærk, Dan&lt;/author&gt;&lt;author&gt;Hansen, Steen Honoré&lt;/author&gt;&lt;author&gt;Jaroszewski, Jerzy W&lt;/author&gt;&lt;/authors&gt;&lt;/contributors&gt;&lt;titles&gt;&lt;title&gt;Hyphenation of Solid-Phase Extraction with Liquid Chromatography and Nuclear Magnetic Resonance: Application of HPLC-DAD-SPE-NMR to Identification of Constituents of Kanahia l aniflora&lt;/title&gt;&lt;secondary-title&gt;Analytical Chemistry&lt;/secondary-title&gt;&lt;/titles&gt;&lt;periodical&gt;&lt;full-title&gt;Analytical Chemistry&lt;/full-title&gt;&lt;/periodical&gt;&lt;pages&gt;3547-3553&lt;/pages&gt;&lt;volume&gt;77&lt;/volume&gt;&lt;number&gt;11&lt;/number&gt;&lt;dates&gt;&lt;year&gt;2005&lt;/year&gt;&lt;/dates&gt;&lt;isbn&gt;0003-2700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and 9,12,13-trihydroxyoctadec-10-enoic acid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&lt;EndNote&gt;&lt;Cite&gt;&lt;Author&gt;Prasad&lt;/Author&gt;&lt;Year&gt;2008&lt;/Year&gt;&lt;RecNum&gt;325&lt;/RecNum&gt;&lt;DisplayText&gt;[17]&lt;/DisplayText&gt;&lt;record&gt;&lt;rec-number&gt;325&lt;/rec-number&gt;&lt;foreign-keys&gt;&lt;key app="EN" db-id="wfttda02r0awahede5wvps9saaxwfxsexte9" timestamp="1770723528"&gt;325&lt;/key&gt;&lt;/foreign-keys&gt;&lt;ref-type name="Journal Article"&gt;17&lt;/ref-type&gt;&lt;contributors&gt;&lt;authors&gt;&lt;author&gt;Prasad, Kavirayani R&lt;/author&gt;&lt;author&gt;Swain, Bandita&lt;/author&gt;&lt;/authors&gt;&lt;/contributors&gt;&lt;titles&gt;&lt;title&gt;Stereoselective total synthesis of (+)-pinellic acid from l-(+)-tartaric acid&lt;/title&gt;&lt;secondary-title&gt;Tetrahedron: asymmetry&lt;/secondary-title&gt;&lt;/titles&gt;&lt;periodical&gt;&lt;full-title&gt;Tetrahedron: asymmetry&lt;/full-title&gt;&lt;/periodical&gt;&lt;pages&gt;1134-1138&lt;/pages&gt;&lt;volume&gt;19&lt;/volume&gt;&lt;number&gt;9&lt;/number&gt;&lt;dates&gt;&lt;year&gt;2008&lt;/year&gt;&lt;/dates&gt;&lt;isbn&gt;0957-4166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These compounds were tentatively identified by comparing their retention times, deprotonated molecular ions ([M–H]⁻), characteristic MS/MS fragmentation patterns, and maximum UV absorption wavelengths with those reported in the literature and available reference data. The LC–MS/MS results revealed that flavonoids and physalin-type withanolides constituted the predominant classes of compounds in the methanol extract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In particular, the presence of multiple physalin derivatives highlights the chemical complexity of the extract and is consistent with previous phytochemical investigations of the genus </w:t>
      </w:r>
      <w:r w:rsidRPr="005E6B7C">
        <w:rPr>
          <w:rFonts w:asciiTheme="majorHAnsi" w:eastAsia="Yu Mincho" w:hAnsiTheme="majorHAnsi" w:cstheme="majorHAnsi"/>
          <w:i/>
          <w:iCs/>
          <w:color w:val="000000" w:themeColor="text1"/>
          <w:sz w:val="22"/>
          <w:szCs w:val="22"/>
          <w:lang w:eastAsia="ja-JP"/>
        </w:rPr>
        <w:t>Physalis</w:t>
      </w:r>
      <w:r w:rsidRPr="005E6B7C">
        <w:rPr>
          <w:rFonts w:asciiTheme="majorHAnsi" w:eastAsia="Yu Mincho" w:hAnsiTheme="majorHAnsi" w:cstheme="majorHAnsi"/>
          <w:color w:val="000000" w:themeColor="text1"/>
          <w:sz w:val="22"/>
          <w:szCs w:val="22"/>
          <w:lang w:eastAsia="ja-JP"/>
        </w:rPr>
        <w:t xml:space="preserve">. A detailed summary of the identified compounds, including their retention times, </w:t>
      </w:r>
      <w:r w:rsidRPr="005E6B7C">
        <w:rPr>
          <w:rFonts w:asciiTheme="majorHAnsi" w:eastAsia="Yu Mincho" w:hAnsiTheme="majorHAnsi" w:cstheme="majorHAnsi"/>
          <w:color w:val="000000" w:themeColor="text1"/>
          <w:sz w:val="22"/>
          <w:szCs w:val="22"/>
          <w:lang w:eastAsia="ja-JP"/>
        </w:rPr>
        <w:lastRenderedPageBreak/>
        <w:t xml:space="preserve">observed and calculated mass-to-charge ratios, and proposed molecular formulas, is presented in </w:t>
      </w:r>
      <w:r w:rsidRPr="005E6B7C">
        <w:rPr>
          <w:rFonts w:asciiTheme="majorHAnsi" w:eastAsia="Yu Mincho" w:hAnsiTheme="majorHAnsi" w:cstheme="majorHAnsi"/>
          <w:bCs/>
          <w:color w:val="000000" w:themeColor="text1"/>
          <w:sz w:val="22"/>
          <w:szCs w:val="22"/>
          <w:lang w:eastAsia="ja-JP"/>
        </w:rPr>
        <w:t>Table 1</w:t>
      </w:r>
      <w:r w:rsidRPr="005E6B7C">
        <w:rPr>
          <w:rFonts w:asciiTheme="majorHAnsi" w:eastAsia="Yu Mincho" w:hAnsiTheme="majorHAnsi" w:cstheme="majorHAnsi"/>
          <w:color w:val="000000" w:themeColor="text1"/>
          <w:sz w:val="22"/>
          <w:szCs w:val="22"/>
          <w:lang w:eastAsia="ja-JP"/>
        </w:rPr>
        <w:t>. Although most compounds were reliably identified, several showed noticeable mass deviations (ppm), suggesting the need for further calibration and quantitative validation of the LC–MS method to ensure greater analytical robustness.</w:t>
      </w:r>
    </w:p>
    <w:p w14:paraId="7BFFD9A5" w14:textId="77777777" w:rsidR="00C8462C"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8462C" w:rsidRPr="005E6B7C" w:rsidSect="00C8462C">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In particular, esculetin, physagulin H, withaminimin, and kaempferol-3-</w:t>
      </w:r>
      <w:r w:rsidRPr="005E6B7C">
        <w:rPr>
          <w:rFonts w:asciiTheme="majorHAnsi" w:eastAsia="Yu Mincho" w:hAnsiTheme="majorHAnsi" w:cstheme="majorHAnsi"/>
          <w:i/>
          <w:color w:val="000000" w:themeColor="text1"/>
          <w:sz w:val="22"/>
          <w:szCs w:val="22"/>
          <w:lang w:eastAsia="ja-JP"/>
        </w:rPr>
        <w:t>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-rutinoside </w:t>
      </w:r>
      <w:r w:rsidRPr="005E6B7C">
        <w:rPr>
          <w:rFonts w:asciiTheme="majorHAnsi" w:eastAsia="Yu Mincho" w:hAnsiTheme="majorHAnsi" w:cstheme="majorHAnsi"/>
          <w:color w:val="000000" w:themeColor="text1"/>
          <w:sz w:val="22"/>
          <w:szCs w:val="22"/>
          <w:lang w:eastAsia="ja-JP"/>
        </w:rPr>
        <w:t>were tentatively identified. Although relatively high mass errors (ppm) were observed for the precursor ions, the MS/MS fragmentation patterns were consistent with those previously reported in the literature, thereby supporting the proposed assignments. Further isolation of the major constituents will be conducted to validate the identification and confirm the analytical method.</w:t>
      </w:r>
    </w:p>
    <w:p w14:paraId="214D7718" w14:textId="77777777"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LC-QTOF MS/MS analysis of secondary metabolites from </w:t>
      </w:r>
      <w:r w:rsidRPr="005E6B7C">
        <w:rPr>
          <w:rFonts w:asciiTheme="majorHAnsi" w:eastAsia="Yu Mincho" w:hAnsiTheme="majorHAnsi" w:cstheme="majorHAnsi"/>
          <w:i/>
          <w:iCs/>
          <w:color w:val="000000" w:themeColor="text1"/>
          <w:sz w:val="18"/>
          <w:szCs w:val="18"/>
          <w:lang w:eastAsia="ja-JP"/>
        </w:rPr>
        <w:t>P. angulata</w:t>
      </w:r>
    </w:p>
    <w:tbl>
      <w:tblPr>
        <w:tblW w:w="9072" w:type="dxa"/>
        <w:jc w:val="center"/>
        <w:tblBorders>
          <w:top w:val="dotted" w:sz="4" w:space="0" w:color="auto"/>
          <w:left w:val="dotted" w:sz="4" w:space="0" w:color="auto"/>
          <w:bottom w:val="dotted" w:sz="4" w:space="0" w:color="auto"/>
          <w:right w:val="dotted"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2"/>
        <w:gridCol w:w="1946"/>
        <w:gridCol w:w="739"/>
        <w:gridCol w:w="989"/>
        <w:gridCol w:w="872"/>
        <w:gridCol w:w="853"/>
        <w:gridCol w:w="1323"/>
        <w:gridCol w:w="643"/>
        <w:gridCol w:w="609"/>
        <w:gridCol w:w="686"/>
      </w:tblGrid>
      <w:tr w:rsidR="00E049CB" w:rsidRPr="005E6B7C" w14:paraId="1B78B596" w14:textId="77777777" w:rsidTr="00E37467">
        <w:trPr>
          <w:tblHeader/>
          <w:jc w:val="center"/>
        </w:trPr>
        <w:tc>
          <w:tcPr>
            <w:tcW w:w="456" w:type="dxa"/>
            <w:tcBorders>
              <w:right w:val="dotted" w:sz="4" w:space="0" w:color="auto"/>
            </w:tcBorders>
            <w:vAlign w:val="center"/>
            <w:hideMark/>
          </w:tcPr>
          <w:p w14:paraId="33DE99C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bookmarkStart w:id="12" w:name="_Hlk224213947"/>
            <w:r w:rsidRPr="005E6B7C">
              <w:rPr>
                <w:rFonts w:asciiTheme="majorHAnsi" w:eastAsia="Yu Mincho" w:hAnsiTheme="majorHAnsi" w:cstheme="majorHAnsi"/>
                <w:b/>
                <w:bCs/>
                <w:color w:val="000000" w:themeColor="text1"/>
                <w:sz w:val="16"/>
                <w:szCs w:val="16"/>
                <w:lang w:eastAsia="ja-JP"/>
              </w:rPr>
              <w:t>Peak No</w:t>
            </w:r>
          </w:p>
        </w:tc>
        <w:tc>
          <w:tcPr>
            <w:tcW w:w="2179" w:type="dxa"/>
            <w:vAlign w:val="center"/>
            <w:hideMark/>
          </w:tcPr>
          <w:p w14:paraId="7DBE3AC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Expected compounds</w:t>
            </w:r>
          </w:p>
        </w:tc>
        <w:tc>
          <w:tcPr>
            <w:tcW w:w="823" w:type="dxa"/>
            <w:tcBorders>
              <w:left w:val="dotted" w:sz="4" w:space="0" w:color="auto"/>
              <w:right w:val="dotted" w:sz="4" w:space="0" w:color="auto"/>
            </w:tcBorders>
            <w:vAlign w:val="center"/>
            <w:hideMark/>
          </w:tcPr>
          <w:p w14:paraId="05E1320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i/>
                <w:iCs/>
                <w:color w:val="000000" w:themeColor="text1"/>
                <w:sz w:val="16"/>
                <w:szCs w:val="16"/>
                <w:lang w:eastAsia="ja-JP"/>
              </w:rPr>
              <w:t>t</w:t>
            </w:r>
            <w:r w:rsidRPr="005E6B7C">
              <w:rPr>
                <w:rFonts w:asciiTheme="majorHAnsi" w:eastAsia="Yu Mincho" w:hAnsiTheme="majorHAnsi" w:cstheme="majorHAnsi"/>
                <w:b/>
                <w:bCs/>
                <w:i/>
                <w:iCs/>
                <w:color w:val="000000" w:themeColor="text1"/>
                <w:sz w:val="16"/>
                <w:szCs w:val="16"/>
                <w:vertAlign w:val="subscript"/>
                <w:lang w:eastAsia="ja-JP"/>
              </w:rPr>
              <w:t>R</w:t>
            </w:r>
            <w:r w:rsidRPr="005E6B7C">
              <w:rPr>
                <w:rFonts w:asciiTheme="majorHAnsi" w:eastAsia="Yu Mincho" w:hAnsiTheme="majorHAnsi" w:cstheme="majorHAnsi"/>
                <w:b/>
                <w:bCs/>
                <w:i/>
                <w:iCs/>
                <w:color w:val="000000" w:themeColor="text1"/>
                <w:sz w:val="16"/>
                <w:szCs w:val="16"/>
                <w:lang w:eastAsia="ja-JP"/>
              </w:rPr>
              <w:t xml:space="preserve"> </w:t>
            </w:r>
            <w:r w:rsidRPr="005E6B7C">
              <w:rPr>
                <w:rFonts w:asciiTheme="majorHAnsi" w:eastAsia="Yu Mincho" w:hAnsiTheme="majorHAnsi" w:cstheme="majorHAnsi"/>
                <w:b/>
                <w:bCs/>
                <w:color w:val="000000" w:themeColor="text1"/>
                <w:sz w:val="16"/>
                <w:szCs w:val="16"/>
                <w:lang w:eastAsia="ja-JP"/>
              </w:rPr>
              <w:t>(min)</w:t>
            </w:r>
          </w:p>
        </w:tc>
        <w:tc>
          <w:tcPr>
            <w:tcW w:w="1104" w:type="dxa"/>
            <w:tcBorders>
              <w:right w:val="dotted" w:sz="4" w:space="0" w:color="auto"/>
            </w:tcBorders>
            <w:vAlign w:val="center"/>
            <w:hideMark/>
          </w:tcPr>
          <w:p w14:paraId="2B48A1F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Observed (</w:t>
            </w:r>
            <w:r w:rsidRPr="005E6B7C">
              <w:rPr>
                <w:rFonts w:asciiTheme="majorHAnsi" w:eastAsia="Yu Mincho" w:hAnsiTheme="majorHAnsi" w:cstheme="majorHAnsi"/>
                <w:b/>
                <w:bCs/>
                <w:i/>
                <w:iCs/>
                <w:color w:val="000000" w:themeColor="text1"/>
                <w:sz w:val="16"/>
                <w:szCs w:val="16"/>
                <w:lang w:eastAsia="ja-JP"/>
              </w:rPr>
              <w:t>m/z</w:t>
            </w:r>
            <w:r w:rsidRPr="005E6B7C">
              <w:rPr>
                <w:rFonts w:asciiTheme="majorHAnsi" w:eastAsia="Yu Mincho" w:hAnsiTheme="majorHAnsi" w:cstheme="majorHAnsi"/>
                <w:b/>
                <w:bCs/>
                <w:color w:val="000000" w:themeColor="text1"/>
                <w:sz w:val="16"/>
                <w:szCs w:val="16"/>
                <w:lang w:eastAsia="ja-JP"/>
              </w:rPr>
              <w:t>)</w:t>
            </w:r>
          </w:p>
        </w:tc>
        <w:tc>
          <w:tcPr>
            <w:tcW w:w="973" w:type="dxa"/>
            <w:tcBorders>
              <w:right w:val="dotted" w:sz="4" w:space="0" w:color="auto"/>
            </w:tcBorders>
            <w:vAlign w:val="center"/>
            <w:hideMark/>
          </w:tcPr>
          <w:p w14:paraId="1C794FE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Calculated (</w:t>
            </w:r>
            <w:r w:rsidRPr="005E6B7C">
              <w:rPr>
                <w:rFonts w:asciiTheme="majorHAnsi" w:eastAsia="Yu Mincho" w:hAnsiTheme="majorHAnsi" w:cstheme="majorHAnsi"/>
                <w:b/>
                <w:bCs/>
                <w:i/>
                <w:iCs/>
                <w:color w:val="000000" w:themeColor="text1"/>
                <w:sz w:val="16"/>
                <w:szCs w:val="16"/>
                <w:lang w:eastAsia="ja-JP"/>
              </w:rPr>
              <w:t>m/z</w:t>
            </w:r>
            <w:r w:rsidRPr="005E6B7C">
              <w:rPr>
                <w:rFonts w:asciiTheme="majorHAnsi" w:eastAsia="Yu Mincho" w:hAnsiTheme="majorHAnsi" w:cstheme="majorHAnsi"/>
                <w:b/>
                <w:bCs/>
                <w:color w:val="000000" w:themeColor="text1"/>
                <w:sz w:val="16"/>
                <w:szCs w:val="16"/>
                <w:lang w:eastAsia="ja-JP"/>
              </w:rPr>
              <w:t>)</w:t>
            </w:r>
          </w:p>
        </w:tc>
        <w:tc>
          <w:tcPr>
            <w:tcW w:w="952" w:type="dxa"/>
            <w:vAlign w:val="center"/>
            <w:hideMark/>
          </w:tcPr>
          <w:p w14:paraId="74FB10F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 xml:space="preserve">Molecular formula </w:t>
            </w:r>
            <w:r w:rsidR="00E37467" w:rsidRPr="005E6B7C">
              <w:rPr>
                <w:rFonts w:asciiTheme="majorHAnsi" w:eastAsia="Yu Mincho" w:hAnsiTheme="majorHAnsi" w:cstheme="majorHAnsi"/>
                <w:b/>
                <w:bCs/>
                <w:color w:val="000000" w:themeColor="text1"/>
                <w:sz w:val="16"/>
                <w:szCs w:val="16"/>
                <w:lang w:eastAsia="ja-JP"/>
              </w:rPr>
              <w:br/>
            </w:r>
            <w:r w:rsidRPr="005E6B7C">
              <w:rPr>
                <w:rFonts w:asciiTheme="majorHAnsi" w:eastAsia="Yu Mincho" w:hAnsiTheme="majorHAnsi" w:cstheme="majorHAnsi"/>
                <w:b/>
                <w:bCs/>
                <w:color w:val="000000" w:themeColor="text1"/>
                <w:sz w:val="16"/>
                <w:szCs w:val="16"/>
                <w:lang w:eastAsia="ja-JP"/>
              </w:rPr>
              <w:t>[M–H]⁻</w:t>
            </w:r>
          </w:p>
        </w:tc>
        <w:tc>
          <w:tcPr>
            <w:tcW w:w="1479" w:type="dxa"/>
            <w:tcBorders>
              <w:left w:val="dotted" w:sz="4" w:space="0" w:color="auto"/>
              <w:right w:val="dotted" w:sz="4" w:space="0" w:color="auto"/>
            </w:tcBorders>
            <w:vAlign w:val="center"/>
          </w:tcPr>
          <w:p w14:paraId="5EC752A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val="fr-FR" w:eastAsia="ja-JP"/>
              </w:rPr>
            </w:pPr>
            <w:r w:rsidRPr="005E6B7C">
              <w:rPr>
                <w:rFonts w:asciiTheme="majorHAnsi" w:eastAsia="Yu Mincho" w:hAnsiTheme="majorHAnsi" w:cstheme="majorHAnsi"/>
                <w:b/>
                <w:bCs/>
                <w:color w:val="000000" w:themeColor="text1"/>
                <w:sz w:val="16"/>
                <w:szCs w:val="16"/>
                <w:lang w:val="fr-FR" w:eastAsia="ja-JP"/>
              </w:rPr>
              <w:t xml:space="preserve">MS/MS fragment </w:t>
            </w:r>
            <w:r w:rsidR="00E37467" w:rsidRPr="005E6B7C">
              <w:rPr>
                <w:rFonts w:asciiTheme="majorHAnsi" w:eastAsia="Yu Mincho" w:hAnsiTheme="majorHAnsi" w:cstheme="majorHAnsi"/>
                <w:b/>
                <w:bCs/>
                <w:color w:val="000000" w:themeColor="text1"/>
                <w:sz w:val="16"/>
                <w:szCs w:val="16"/>
                <w:lang w:val="fr-FR" w:eastAsia="ja-JP"/>
              </w:rPr>
              <w:br/>
            </w:r>
            <w:r w:rsidRPr="005E6B7C">
              <w:rPr>
                <w:rFonts w:asciiTheme="majorHAnsi" w:eastAsia="Yu Mincho" w:hAnsiTheme="majorHAnsi" w:cstheme="majorHAnsi"/>
                <w:b/>
                <w:bCs/>
                <w:color w:val="000000" w:themeColor="text1"/>
                <w:sz w:val="16"/>
                <w:szCs w:val="16"/>
                <w:lang w:val="fr-FR" w:eastAsia="ja-JP"/>
              </w:rPr>
              <w:t>(</w:t>
            </w:r>
            <w:r w:rsidRPr="005E6B7C">
              <w:rPr>
                <w:rFonts w:asciiTheme="majorHAnsi" w:eastAsia="Yu Mincho" w:hAnsiTheme="majorHAnsi" w:cstheme="majorHAnsi"/>
                <w:b/>
                <w:bCs/>
                <w:i/>
                <w:iCs/>
                <w:color w:val="000000" w:themeColor="text1"/>
                <w:sz w:val="16"/>
                <w:szCs w:val="16"/>
                <w:lang w:val="fr-FR" w:eastAsia="ja-JP"/>
              </w:rPr>
              <w:t>m/z</w:t>
            </w:r>
            <w:r w:rsidRPr="005E6B7C">
              <w:rPr>
                <w:rFonts w:asciiTheme="majorHAnsi" w:eastAsia="Yu Mincho" w:hAnsiTheme="majorHAnsi" w:cstheme="majorHAnsi"/>
                <w:b/>
                <w:bCs/>
                <w:color w:val="000000" w:themeColor="text1"/>
                <w:sz w:val="16"/>
                <w:szCs w:val="16"/>
                <w:lang w:val="fr-FR" w:eastAsia="ja-JP"/>
              </w:rPr>
              <w:t>)</w:t>
            </w:r>
          </w:p>
        </w:tc>
        <w:tc>
          <w:tcPr>
            <w:tcW w:w="716" w:type="dxa"/>
            <w:vAlign w:val="center"/>
          </w:tcPr>
          <w:p w14:paraId="1FBA0E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Collision energy (eV)</w:t>
            </w:r>
          </w:p>
        </w:tc>
        <w:tc>
          <w:tcPr>
            <w:tcW w:w="678" w:type="dxa"/>
            <w:tcBorders>
              <w:left w:val="dotted" w:sz="4" w:space="0" w:color="auto"/>
            </w:tcBorders>
            <w:vAlign w:val="center"/>
          </w:tcPr>
          <w:p w14:paraId="3FDC9B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UV</w:t>
            </w:r>
          </w:p>
          <w:p w14:paraId="0D41B1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w:t>
            </w:r>
            <w:r w:rsidRPr="005E6B7C">
              <w:rPr>
                <w:rFonts w:asciiTheme="majorHAnsi" w:eastAsia="Yu Mincho" w:hAnsiTheme="majorHAnsi" w:cstheme="majorHAnsi"/>
                <w:b/>
                <w:bCs/>
                <w:color w:val="000000" w:themeColor="text1"/>
                <w:sz w:val="16"/>
                <w:szCs w:val="16"/>
                <w:lang w:val="el-GR" w:eastAsia="ja-JP"/>
              </w:rPr>
              <w:t>λ</w:t>
            </w:r>
            <w:r w:rsidRPr="005E6B7C">
              <w:rPr>
                <w:rFonts w:asciiTheme="majorHAnsi" w:eastAsia="Yu Mincho" w:hAnsiTheme="majorHAnsi" w:cstheme="majorHAnsi"/>
                <w:b/>
                <w:bCs/>
                <w:color w:val="000000" w:themeColor="text1"/>
                <w:sz w:val="16"/>
                <w:szCs w:val="16"/>
                <w:lang w:eastAsia="ja-JP"/>
              </w:rPr>
              <w:t>max, nm</w:t>
            </w:r>
          </w:p>
        </w:tc>
        <w:tc>
          <w:tcPr>
            <w:tcW w:w="764" w:type="dxa"/>
            <w:tcBorders>
              <w:left w:val="dotted" w:sz="4" w:space="0" w:color="auto"/>
            </w:tcBorders>
            <w:vAlign w:val="center"/>
          </w:tcPr>
          <w:p w14:paraId="2C53BB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Error</w:t>
            </w:r>
          </w:p>
          <w:p w14:paraId="23414E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(ppm)</w:t>
            </w:r>
          </w:p>
        </w:tc>
      </w:tr>
      <w:tr w:rsidR="00E049CB" w:rsidRPr="005E6B7C" w14:paraId="26D9BE48" w14:textId="77777777" w:rsidTr="000B7F16">
        <w:trPr>
          <w:jc w:val="center"/>
        </w:trPr>
        <w:tc>
          <w:tcPr>
            <w:tcW w:w="456" w:type="dxa"/>
            <w:tcBorders>
              <w:top w:val="dotted" w:sz="4" w:space="0" w:color="auto"/>
              <w:right w:val="dotted" w:sz="4" w:space="0" w:color="auto"/>
            </w:tcBorders>
            <w:vAlign w:val="center"/>
            <w:hideMark/>
          </w:tcPr>
          <w:p w14:paraId="00DB0E4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w:t>
            </w:r>
          </w:p>
        </w:tc>
        <w:tc>
          <w:tcPr>
            <w:tcW w:w="2179" w:type="dxa"/>
            <w:tcBorders>
              <w:top w:val="dotted" w:sz="4" w:space="0" w:color="auto"/>
            </w:tcBorders>
            <w:hideMark/>
          </w:tcPr>
          <w:p w14:paraId="6EBFFBB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w:t>
            </w:r>
          </w:p>
        </w:tc>
        <w:tc>
          <w:tcPr>
            <w:tcW w:w="823" w:type="dxa"/>
            <w:tcBorders>
              <w:top w:val="dotted" w:sz="4" w:space="0" w:color="auto"/>
              <w:left w:val="dotted" w:sz="4" w:space="0" w:color="auto"/>
              <w:right w:val="dotted" w:sz="4" w:space="0" w:color="auto"/>
            </w:tcBorders>
            <w:vAlign w:val="center"/>
            <w:hideMark/>
          </w:tcPr>
          <w:p w14:paraId="56282BE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11.10</w:t>
            </w:r>
          </w:p>
        </w:tc>
        <w:tc>
          <w:tcPr>
            <w:tcW w:w="1104" w:type="dxa"/>
            <w:tcBorders>
              <w:top w:val="dotted" w:sz="4" w:space="0" w:color="auto"/>
              <w:right w:val="dotted" w:sz="4" w:space="0" w:color="auto"/>
            </w:tcBorders>
            <w:vAlign w:val="center"/>
            <w:hideMark/>
          </w:tcPr>
          <w:p w14:paraId="5E28A6D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471.2481</w:t>
            </w:r>
          </w:p>
        </w:tc>
        <w:tc>
          <w:tcPr>
            <w:tcW w:w="973" w:type="dxa"/>
            <w:tcBorders>
              <w:top w:val="dotted" w:sz="4" w:space="0" w:color="auto"/>
              <w:right w:val="dotted" w:sz="4" w:space="0" w:color="auto"/>
            </w:tcBorders>
            <w:vAlign w:val="center"/>
            <w:hideMark/>
          </w:tcPr>
          <w:p w14:paraId="5894635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top w:val="dotted" w:sz="4" w:space="0" w:color="auto"/>
            </w:tcBorders>
            <w:hideMark/>
          </w:tcPr>
          <w:p w14:paraId="4FB4AC8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479" w:type="dxa"/>
            <w:tcBorders>
              <w:top w:val="dotted" w:sz="4" w:space="0" w:color="auto"/>
              <w:left w:val="dotted" w:sz="4" w:space="0" w:color="auto"/>
              <w:right w:val="dotted" w:sz="4" w:space="0" w:color="auto"/>
            </w:tcBorders>
          </w:tcPr>
          <w:p w14:paraId="614C2E74"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tcBorders>
              <w:top w:val="dotted" w:sz="4" w:space="0" w:color="auto"/>
            </w:tcBorders>
            <w:vAlign w:val="center"/>
          </w:tcPr>
          <w:p w14:paraId="429F0FC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tcBorders>
            <w:vAlign w:val="center"/>
          </w:tcPr>
          <w:p w14:paraId="6B2E086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214</w:t>
            </w:r>
          </w:p>
        </w:tc>
        <w:tc>
          <w:tcPr>
            <w:tcW w:w="764" w:type="dxa"/>
            <w:tcBorders>
              <w:top w:val="dotted" w:sz="4" w:space="0" w:color="auto"/>
              <w:left w:val="dotted" w:sz="4" w:space="0" w:color="auto"/>
            </w:tcBorders>
          </w:tcPr>
          <w:p w14:paraId="60047A6E"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7.36</w:t>
            </w:r>
          </w:p>
        </w:tc>
      </w:tr>
      <w:tr w:rsidR="00E049CB" w:rsidRPr="005E6B7C" w14:paraId="532C8650" w14:textId="77777777" w:rsidTr="000B7F16">
        <w:trPr>
          <w:jc w:val="center"/>
        </w:trPr>
        <w:tc>
          <w:tcPr>
            <w:tcW w:w="456" w:type="dxa"/>
            <w:tcBorders>
              <w:top w:val="dotted" w:sz="4" w:space="0" w:color="auto"/>
              <w:right w:val="dotted" w:sz="4" w:space="0" w:color="auto"/>
            </w:tcBorders>
            <w:vAlign w:val="center"/>
            <w:hideMark/>
          </w:tcPr>
          <w:p w14:paraId="0A658E5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w:t>
            </w:r>
          </w:p>
        </w:tc>
        <w:tc>
          <w:tcPr>
            <w:tcW w:w="2179" w:type="dxa"/>
            <w:tcBorders>
              <w:top w:val="dotted" w:sz="4" w:space="0" w:color="auto"/>
            </w:tcBorders>
            <w:vAlign w:val="center"/>
            <w:hideMark/>
          </w:tcPr>
          <w:p w14:paraId="7512BD0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Chlorogenic acid</w:t>
            </w:r>
          </w:p>
        </w:tc>
        <w:tc>
          <w:tcPr>
            <w:tcW w:w="823" w:type="dxa"/>
            <w:tcBorders>
              <w:top w:val="dotted" w:sz="4" w:space="0" w:color="auto"/>
              <w:left w:val="dotted" w:sz="4" w:space="0" w:color="auto"/>
              <w:right w:val="dotted" w:sz="4" w:space="0" w:color="auto"/>
            </w:tcBorders>
            <w:vAlign w:val="center"/>
            <w:hideMark/>
          </w:tcPr>
          <w:p w14:paraId="6AEAA76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12.85</w:t>
            </w:r>
          </w:p>
        </w:tc>
        <w:tc>
          <w:tcPr>
            <w:tcW w:w="1104" w:type="dxa"/>
            <w:tcBorders>
              <w:top w:val="dotted" w:sz="4" w:space="0" w:color="auto"/>
              <w:right w:val="dotted" w:sz="4" w:space="0" w:color="auto"/>
            </w:tcBorders>
            <w:vAlign w:val="center"/>
            <w:hideMark/>
          </w:tcPr>
          <w:p w14:paraId="47262AC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353.0904</w:t>
            </w:r>
          </w:p>
        </w:tc>
        <w:tc>
          <w:tcPr>
            <w:tcW w:w="973" w:type="dxa"/>
            <w:tcBorders>
              <w:top w:val="dotted" w:sz="4" w:space="0" w:color="auto"/>
              <w:right w:val="dotted" w:sz="4" w:space="0" w:color="auto"/>
            </w:tcBorders>
            <w:vAlign w:val="center"/>
            <w:hideMark/>
          </w:tcPr>
          <w:p w14:paraId="1E4341C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353.0878</w:t>
            </w:r>
          </w:p>
        </w:tc>
        <w:tc>
          <w:tcPr>
            <w:tcW w:w="952" w:type="dxa"/>
            <w:tcBorders>
              <w:top w:val="dotted" w:sz="4" w:space="0" w:color="auto"/>
            </w:tcBorders>
            <w:vAlign w:val="center"/>
            <w:hideMark/>
          </w:tcPr>
          <w:p w14:paraId="154009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16</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18</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9</w:t>
            </w:r>
          </w:p>
        </w:tc>
        <w:tc>
          <w:tcPr>
            <w:tcW w:w="1479" w:type="dxa"/>
            <w:tcBorders>
              <w:top w:val="dotted" w:sz="4" w:space="0" w:color="auto"/>
              <w:left w:val="dotted" w:sz="4" w:space="0" w:color="auto"/>
              <w:right w:val="dotted" w:sz="4" w:space="0" w:color="auto"/>
            </w:tcBorders>
          </w:tcPr>
          <w:p w14:paraId="54B8430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191[M-C</w:t>
            </w:r>
            <w:r w:rsidRPr="005E6B7C">
              <w:rPr>
                <w:rFonts w:asciiTheme="majorHAnsi" w:eastAsia="Yu Mincho" w:hAnsiTheme="majorHAnsi" w:cstheme="majorHAnsi"/>
                <w:color w:val="000000" w:themeColor="text1"/>
                <w:sz w:val="16"/>
                <w:szCs w:val="16"/>
                <w:vertAlign w:val="subscript"/>
                <w:lang w:eastAsia="ja-JP"/>
              </w:rPr>
              <w:t>9</w:t>
            </w:r>
            <w:r w:rsidRPr="005E6B7C">
              <w:rPr>
                <w:rFonts w:asciiTheme="majorHAnsi" w:eastAsia="Yu Mincho" w:hAnsiTheme="majorHAnsi" w:cstheme="majorHAnsi"/>
                <w:color w:val="000000" w:themeColor="text1"/>
                <w:sz w:val="16"/>
                <w:szCs w:val="16"/>
                <w:lang w:eastAsia="ja-JP"/>
              </w:rPr>
              <w:t>H</w:t>
            </w:r>
            <w:r w:rsidRPr="005E6B7C">
              <w:rPr>
                <w:rFonts w:asciiTheme="majorHAnsi" w:eastAsia="Yu Mincho" w:hAnsiTheme="majorHAnsi" w:cstheme="majorHAnsi"/>
                <w:color w:val="000000" w:themeColor="text1"/>
                <w:sz w:val="16"/>
                <w:szCs w:val="16"/>
                <w:vertAlign w:val="subscript"/>
                <w:lang w:eastAsia="ja-JP"/>
              </w:rPr>
              <w:t>6</w:t>
            </w:r>
            <w:r w:rsidRPr="005E6B7C">
              <w:rPr>
                <w:rFonts w:asciiTheme="majorHAnsi" w:eastAsia="Yu Mincho" w:hAnsiTheme="majorHAnsi" w:cstheme="majorHAnsi"/>
                <w:color w:val="000000" w:themeColor="text1"/>
                <w:sz w:val="16"/>
                <w:szCs w:val="16"/>
                <w:lang w:eastAsia="ja-JP"/>
              </w:rPr>
              <w:t>O</w:t>
            </w:r>
            <w:r w:rsidRPr="005E6B7C">
              <w:rPr>
                <w:rFonts w:asciiTheme="majorHAnsi" w:eastAsia="Yu Mincho" w:hAnsiTheme="majorHAnsi" w:cstheme="majorHAnsi"/>
                <w:color w:val="000000" w:themeColor="text1"/>
                <w:sz w:val="16"/>
                <w:szCs w:val="16"/>
                <w:vertAlign w:val="subscript"/>
                <w:lang w:eastAsia="ja-JP"/>
              </w:rPr>
              <w:t>8</w:t>
            </w:r>
            <w:r w:rsidRPr="005E6B7C">
              <w:rPr>
                <w:rFonts w:asciiTheme="majorHAnsi" w:eastAsia="Yu Mincho" w:hAnsiTheme="majorHAnsi" w:cstheme="majorHAnsi"/>
                <w:color w:val="000000" w:themeColor="text1"/>
                <w:sz w:val="16"/>
                <w:szCs w:val="16"/>
                <w:lang w:eastAsia="ja-JP"/>
              </w:rPr>
              <w:t>-H]</w:t>
            </w:r>
            <w:r w:rsidRPr="005E6B7C">
              <w:rPr>
                <w:rFonts w:asciiTheme="majorHAnsi" w:eastAsia="Yu Mincho" w:hAnsiTheme="majorHAnsi" w:cstheme="majorHAnsi"/>
                <w:color w:val="000000" w:themeColor="text1"/>
                <w:sz w:val="16"/>
                <w:szCs w:val="16"/>
                <w:vertAlign w:val="superscript"/>
                <w:lang w:eastAsia="ja-JP"/>
              </w:rPr>
              <w:t>-</w:t>
            </w:r>
          </w:p>
        </w:tc>
        <w:tc>
          <w:tcPr>
            <w:tcW w:w="716" w:type="dxa"/>
            <w:tcBorders>
              <w:top w:val="dotted" w:sz="4" w:space="0" w:color="auto"/>
            </w:tcBorders>
            <w:vAlign w:val="center"/>
          </w:tcPr>
          <w:p w14:paraId="3BF0DF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678" w:type="dxa"/>
            <w:tcBorders>
              <w:top w:val="dotted" w:sz="4" w:space="0" w:color="auto"/>
              <w:left w:val="dotted" w:sz="4" w:space="0" w:color="auto"/>
            </w:tcBorders>
            <w:vAlign w:val="center"/>
          </w:tcPr>
          <w:p w14:paraId="22CA71C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top w:val="dotted" w:sz="4" w:space="0" w:color="auto"/>
              <w:left w:val="dotted" w:sz="4" w:space="0" w:color="auto"/>
            </w:tcBorders>
          </w:tcPr>
          <w:p w14:paraId="4B7B45A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7.36</w:t>
            </w:r>
          </w:p>
        </w:tc>
      </w:tr>
      <w:tr w:rsidR="00E049CB" w:rsidRPr="005E6B7C" w14:paraId="484B7F09"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6E29990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w:t>
            </w:r>
          </w:p>
        </w:tc>
        <w:tc>
          <w:tcPr>
            <w:tcW w:w="2179" w:type="dxa"/>
            <w:tcBorders>
              <w:top w:val="dotted" w:sz="4" w:space="0" w:color="auto"/>
              <w:bottom w:val="dotted" w:sz="4" w:space="0" w:color="auto"/>
            </w:tcBorders>
            <w:vAlign w:val="center"/>
            <w:hideMark/>
          </w:tcPr>
          <w:p w14:paraId="4CE1A0C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w:t>
            </w:r>
          </w:p>
        </w:tc>
        <w:tc>
          <w:tcPr>
            <w:tcW w:w="823" w:type="dxa"/>
            <w:tcBorders>
              <w:top w:val="dotted" w:sz="4" w:space="0" w:color="auto"/>
              <w:left w:val="dotted" w:sz="4" w:space="0" w:color="auto"/>
              <w:bottom w:val="dotted" w:sz="4" w:space="0" w:color="auto"/>
              <w:right w:val="dotted" w:sz="4" w:space="0" w:color="auto"/>
            </w:tcBorders>
            <w:vAlign w:val="center"/>
            <w:hideMark/>
          </w:tcPr>
          <w:p w14:paraId="06E2B5E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13.22</w:t>
            </w:r>
          </w:p>
        </w:tc>
        <w:tc>
          <w:tcPr>
            <w:tcW w:w="1104" w:type="dxa"/>
            <w:tcBorders>
              <w:top w:val="dotted" w:sz="4" w:space="0" w:color="auto"/>
              <w:bottom w:val="dotted" w:sz="4" w:space="0" w:color="auto"/>
              <w:right w:val="dotted" w:sz="4" w:space="0" w:color="auto"/>
            </w:tcBorders>
            <w:vAlign w:val="center"/>
            <w:hideMark/>
          </w:tcPr>
          <w:p w14:paraId="4269728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421.1667</w:t>
            </w:r>
          </w:p>
        </w:tc>
        <w:tc>
          <w:tcPr>
            <w:tcW w:w="973" w:type="dxa"/>
            <w:tcBorders>
              <w:top w:val="dotted" w:sz="4" w:space="0" w:color="auto"/>
              <w:bottom w:val="dotted" w:sz="4" w:space="0" w:color="auto"/>
              <w:right w:val="dotted" w:sz="4" w:space="0" w:color="auto"/>
            </w:tcBorders>
            <w:vAlign w:val="center"/>
            <w:hideMark/>
          </w:tcPr>
          <w:p w14:paraId="625B787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top w:val="dotted" w:sz="4" w:space="0" w:color="auto"/>
              <w:bottom w:val="dotted" w:sz="4" w:space="0" w:color="auto"/>
            </w:tcBorders>
            <w:vAlign w:val="center"/>
            <w:hideMark/>
          </w:tcPr>
          <w:p w14:paraId="6A2840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479" w:type="dxa"/>
            <w:tcBorders>
              <w:top w:val="dotted" w:sz="4" w:space="0" w:color="auto"/>
              <w:left w:val="dotted" w:sz="4" w:space="0" w:color="auto"/>
              <w:bottom w:val="dotted" w:sz="4" w:space="0" w:color="auto"/>
              <w:right w:val="dotted" w:sz="4" w:space="0" w:color="auto"/>
            </w:tcBorders>
          </w:tcPr>
          <w:p w14:paraId="254E73B9"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tcBorders>
              <w:top w:val="dotted" w:sz="4" w:space="0" w:color="auto"/>
              <w:bottom w:val="dotted" w:sz="4" w:space="0" w:color="auto"/>
            </w:tcBorders>
            <w:vAlign w:val="center"/>
          </w:tcPr>
          <w:p w14:paraId="4DBA549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bottom w:val="dotted" w:sz="4" w:space="0" w:color="auto"/>
            </w:tcBorders>
            <w:vAlign w:val="center"/>
          </w:tcPr>
          <w:p w14:paraId="004B79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215</w:t>
            </w:r>
          </w:p>
        </w:tc>
        <w:tc>
          <w:tcPr>
            <w:tcW w:w="764" w:type="dxa"/>
            <w:tcBorders>
              <w:top w:val="dotted" w:sz="4" w:space="0" w:color="auto"/>
              <w:left w:val="dotted" w:sz="4" w:space="0" w:color="auto"/>
              <w:bottom w:val="dotted" w:sz="4" w:space="0" w:color="auto"/>
            </w:tcBorders>
          </w:tcPr>
          <w:p w14:paraId="6A7FEA46"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r>
      <w:tr w:rsidR="00E049CB" w:rsidRPr="005E6B7C" w14:paraId="1F1D6268" w14:textId="77777777" w:rsidTr="000B7F16">
        <w:trPr>
          <w:jc w:val="center"/>
        </w:trPr>
        <w:tc>
          <w:tcPr>
            <w:tcW w:w="456" w:type="dxa"/>
            <w:tcBorders>
              <w:bottom w:val="dotted" w:sz="4" w:space="0" w:color="auto"/>
              <w:right w:val="dotted" w:sz="4" w:space="0" w:color="auto"/>
            </w:tcBorders>
            <w:vAlign w:val="center"/>
            <w:hideMark/>
          </w:tcPr>
          <w:p w14:paraId="13554AF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w:t>
            </w:r>
          </w:p>
        </w:tc>
        <w:tc>
          <w:tcPr>
            <w:tcW w:w="2179" w:type="dxa"/>
            <w:tcBorders>
              <w:bottom w:val="dotted" w:sz="4" w:space="0" w:color="auto"/>
            </w:tcBorders>
            <w:vAlign w:val="center"/>
            <w:hideMark/>
          </w:tcPr>
          <w:p w14:paraId="4A28F51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Esculetin</w:t>
            </w:r>
          </w:p>
        </w:tc>
        <w:tc>
          <w:tcPr>
            <w:tcW w:w="823" w:type="dxa"/>
            <w:tcBorders>
              <w:left w:val="dotted" w:sz="4" w:space="0" w:color="auto"/>
              <w:bottom w:val="dotted" w:sz="4" w:space="0" w:color="auto"/>
              <w:right w:val="dotted" w:sz="4" w:space="0" w:color="auto"/>
            </w:tcBorders>
            <w:vAlign w:val="center"/>
            <w:hideMark/>
          </w:tcPr>
          <w:p w14:paraId="2050332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13.85</w:t>
            </w:r>
          </w:p>
        </w:tc>
        <w:tc>
          <w:tcPr>
            <w:tcW w:w="1104" w:type="dxa"/>
            <w:tcBorders>
              <w:bottom w:val="dotted" w:sz="4" w:space="0" w:color="auto"/>
              <w:right w:val="dotted" w:sz="4" w:space="0" w:color="auto"/>
            </w:tcBorders>
            <w:vAlign w:val="center"/>
            <w:hideMark/>
          </w:tcPr>
          <w:p w14:paraId="3FC71BE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177.0277</w:t>
            </w:r>
          </w:p>
        </w:tc>
        <w:tc>
          <w:tcPr>
            <w:tcW w:w="973" w:type="dxa"/>
            <w:tcBorders>
              <w:bottom w:val="dotted" w:sz="4" w:space="0" w:color="auto"/>
              <w:right w:val="dotted" w:sz="4" w:space="0" w:color="auto"/>
            </w:tcBorders>
            <w:vAlign w:val="center"/>
            <w:hideMark/>
          </w:tcPr>
          <w:p w14:paraId="5487859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177.0193</w:t>
            </w:r>
          </w:p>
        </w:tc>
        <w:tc>
          <w:tcPr>
            <w:tcW w:w="952" w:type="dxa"/>
            <w:tcBorders>
              <w:bottom w:val="dotted" w:sz="4" w:space="0" w:color="auto"/>
            </w:tcBorders>
            <w:vAlign w:val="center"/>
            <w:hideMark/>
          </w:tcPr>
          <w:p w14:paraId="6E1C4BD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9</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6</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4</w:t>
            </w:r>
          </w:p>
        </w:tc>
        <w:tc>
          <w:tcPr>
            <w:tcW w:w="1479" w:type="dxa"/>
            <w:tcBorders>
              <w:left w:val="dotted" w:sz="4" w:space="0" w:color="auto"/>
              <w:bottom w:val="dotted" w:sz="4" w:space="0" w:color="auto"/>
              <w:right w:val="dotted" w:sz="4" w:space="0" w:color="auto"/>
            </w:tcBorders>
          </w:tcPr>
          <w:p w14:paraId="4E9759F7"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133 [M−CO</w:t>
            </w:r>
            <w:r w:rsidRPr="005E6B7C">
              <w:rPr>
                <w:rFonts w:asciiTheme="majorHAnsi" w:eastAsia="Cambria" w:hAnsiTheme="majorHAnsi" w:cstheme="majorHAnsi"/>
                <w:color w:val="000000" w:themeColor="text1"/>
                <w:kern w:val="24"/>
                <w:sz w:val="16"/>
                <w:szCs w:val="16"/>
                <w:vertAlign w:val="subscript"/>
                <w:lang w:eastAsia="ja-JP"/>
              </w:rPr>
              <w:t>2</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sz w:val="16"/>
                <w:szCs w:val="16"/>
                <w:vertAlign w:val="superscript"/>
                <w:lang w:eastAsia="ja-JP"/>
              </w:rPr>
              <w:t>−</w:t>
            </w:r>
          </w:p>
        </w:tc>
        <w:tc>
          <w:tcPr>
            <w:tcW w:w="716" w:type="dxa"/>
            <w:tcBorders>
              <w:bottom w:val="dotted" w:sz="4" w:space="0" w:color="auto"/>
            </w:tcBorders>
            <w:vAlign w:val="center"/>
          </w:tcPr>
          <w:p w14:paraId="1F633C2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bottom w:val="dotted" w:sz="4" w:space="0" w:color="auto"/>
            </w:tcBorders>
            <w:vAlign w:val="center"/>
          </w:tcPr>
          <w:p w14:paraId="3D07CC2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215</w:t>
            </w:r>
          </w:p>
        </w:tc>
        <w:tc>
          <w:tcPr>
            <w:tcW w:w="764" w:type="dxa"/>
            <w:tcBorders>
              <w:left w:val="dotted" w:sz="4" w:space="0" w:color="auto"/>
              <w:bottom w:val="dotted" w:sz="4" w:space="0" w:color="auto"/>
            </w:tcBorders>
          </w:tcPr>
          <w:p w14:paraId="6F2FFD82"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47.45</w:t>
            </w:r>
          </w:p>
        </w:tc>
      </w:tr>
      <w:tr w:rsidR="00E049CB" w:rsidRPr="005E6B7C" w14:paraId="37519DE3" w14:textId="77777777" w:rsidTr="000B7F16">
        <w:trPr>
          <w:jc w:val="center"/>
        </w:trPr>
        <w:tc>
          <w:tcPr>
            <w:tcW w:w="456" w:type="dxa"/>
            <w:tcBorders>
              <w:right w:val="dotted" w:sz="4" w:space="0" w:color="auto"/>
            </w:tcBorders>
            <w:vAlign w:val="center"/>
            <w:hideMark/>
          </w:tcPr>
          <w:p w14:paraId="4555052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w:t>
            </w:r>
          </w:p>
        </w:tc>
        <w:tc>
          <w:tcPr>
            <w:tcW w:w="2179" w:type="dxa"/>
            <w:vAlign w:val="center"/>
            <w:hideMark/>
          </w:tcPr>
          <w:p w14:paraId="69B27231"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Rutin</w:t>
            </w:r>
          </w:p>
        </w:tc>
        <w:tc>
          <w:tcPr>
            <w:tcW w:w="823" w:type="dxa"/>
            <w:tcBorders>
              <w:left w:val="dotted" w:sz="4" w:space="0" w:color="auto"/>
              <w:right w:val="dotted" w:sz="4" w:space="0" w:color="auto"/>
            </w:tcBorders>
            <w:vAlign w:val="center"/>
            <w:hideMark/>
          </w:tcPr>
          <w:p w14:paraId="7DD3AC4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14.66</w:t>
            </w:r>
          </w:p>
        </w:tc>
        <w:tc>
          <w:tcPr>
            <w:tcW w:w="1104" w:type="dxa"/>
            <w:tcBorders>
              <w:right w:val="dotted" w:sz="4" w:space="0" w:color="auto"/>
            </w:tcBorders>
            <w:vAlign w:val="center"/>
            <w:hideMark/>
          </w:tcPr>
          <w:p w14:paraId="3C84D7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609.1509</w:t>
            </w:r>
          </w:p>
        </w:tc>
        <w:tc>
          <w:tcPr>
            <w:tcW w:w="973" w:type="dxa"/>
            <w:tcBorders>
              <w:right w:val="dotted" w:sz="4" w:space="0" w:color="auto"/>
            </w:tcBorders>
            <w:vAlign w:val="center"/>
            <w:hideMark/>
          </w:tcPr>
          <w:p w14:paraId="4F4DA85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609.1461</w:t>
            </w:r>
          </w:p>
        </w:tc>
        <w:tc>
          <w:tcPr>
            <w:tcW w:w="952" w:type="dxa"/>
            <w:vAlign w:val="center"/>
            <w:hideMark/>
          </w:tcPr>
          <w:p w14:paraId="7140F2D1" w14:textId="77777777" w:rsidR="00E049CB" w:rsidRPr="005E6B7C" w:rsidRDefault="00E049CB" w:rsidP="008C0D47">
            <w:pPr>
              <w:tabs>
                <w:tab w:val="left" w:pos="270"/>
                <w:tab w:val="left" w:pos="540"/>
                <w:tab w:val="left" w:pos="9270"/>
              </w:tabs>
              <w:ind w:right="-23"/>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27</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16</w:t>
            </w:r>
          </w:p>
        </w:tc>
        <w:tc>
          <w:tcPr>
            <w:tcW w:w="1479" w:type="dxa"/>
            <w:tcBorders>
              <w:left w:val="dotted" w:sz="4" w:space="0" w:color="auto"/>
              <w:right w:val="dotted" w:sz="4" w:space="0" w:color="auto"/>
            </w:tcBorders>
          </w:tcPr>
          <w:p w14:paraId="63B01F81"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300[M-C</w:t>
            </w:r>
            <w:r w:rsidRPr="005E6B7C">
              <w:rPr>
                <w:rFonts w:asciiTheme="majorHAnsi" w:eastAsia="Cambria" w:hAnsiTheme="majorHAnsi" w:cstheme="majorHAnsi"/>
                <w:color w:val="000000" w:themeColor="text1"/>
                <w:kern w:val="24"/>
                <w:sz w:val="16"/>
                <w:szCs w:val="16"/>
                <w:vertAlign w:val="subscript"/>
                <w:lang w:eastAsia="ja-JP"/>
              </w:rPr>
              <w:t>12</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sz w:val="16"/>
                <w:szCs w:val="16"/>
                <w:vertAlign w:val="subscript"/>
                <w:lang w:eastAsia="ja-JP"/>
              </w:rPr>
              <w:t>20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sz w:val="16"/>
                <w:szCs w:val="16"/>
                <w:vertAlign w:val="subscript"/>
                <w:lang w:eastAsia="ja-JP"/>
              </w:rPr>
              <w:t>9</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sz w:val="16"/>
                <w:szCs w:val="16"/>
                <w:vertAlign w:val="superscript"/>
                <w:lang w:eastAsia="ja-JP"/>
              </w:rPr>
              <w:t>-</w:t>
            </w:r>
          </w:p>
        </w:tc>
        <w:tc>
          <w:tcPr>
            <w:tcW w:w="716" w:type="dxa"/>
          </w:tcPr>
          <w:p w14:paraId="76B5812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tcBorders>
          </w:tcPr>
          <w:p w14:paraId="2C27FD6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215</w:t>
            </w:r>
          </w:p>
        </w:tc>
        <w:tc>
          <w:tcPr>
            <w:tcW w:w="764" w:type="dxa"/>
            <w:tcBorders>
              <w:left w:val="dotted" w:sz="4" w:space="0" w:color="auto"/>
            </w:tcBorders>
          </w:tcPr>
          <w:p w14:paraId="1531ECA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kern w:val="24"/>
                <w:sz w:val="16"/>
                <w:szCs w:val="16"/>
                <w:lang w:eastAsia="ja-JP"/>
              </w:rPr>
            </w:pPr>
            <w:r w:rsidRPr="005E6B7C">
              <w:rPr>
                <w:rFonts w:asciiTheme="majorHAnsi" w:eastAsia="Yu Mincho" w:hAnsiTheme="majorHAnsi" w:cstheme="majorHAnsi"/>
                <w:color w:val="000000" w:themeColor="text1"/>
                <w:kern w:val="24"/>
                <w:sz w:val="16"/>
                <w:szCs w:val="16"/>
                <w:lang w:eastAsia="ja-JP"/>
              </w:rPr>
              <w:t>7.88</w:t>
            </w:r>
          </w:p>
        </w:tc>
      </w:tr>
      <w:tr w:rsidR="00E049CB" w:rsidRPr="005E6B7C" w14:paraId="26169D75" w14:textId="77777777" w:rsidTr="000B7F16">
        <w:trPr>
          <w:jc w:val="center"/>
        </w:trPr>
        <w:tc>
          <w:tcPr>
            <w:tcW w:w="456" w:type="dxa"/>
            <w:tcBorders>
              <w:top w:val="dotted" w:sz="4" w:space="0" w:color="auto"/>
              <w:right w:val="dotted" w:sz="4" w:space="0" w:color="auto"/>
            </w:tcBorders>
            <w:vAlign w:val="center"/>
            <w:hideMark/>
          </w:tcPr>
          <w:p w14:paraId="5122DCA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w:t>
            </w:r>
          </w:p>
        </w:tc>
        <w:tc>
          <w:tcPr>
            <w:tcW w:w="2179" w:type="dxa"/>
            <w:tcBorders>
              <w:top w:val="dotted" w:sz="4" w:space="0" w:color="auto"/>
            </w:tcBorders>
            <w:hideMark/>
          </w:tcPr>
          <w:p w14:paraId="41783F5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Kaempferol 3-</w:t>
            </w:r>
            <w:r w:rsidRPr="005E6B7C">
              <w:rPr>
                <w:rFonts w:asciiTheme="majorHAnsi" w:eastAsia="Yu Mincho" w:hAnsiTheme="majorHAnsi" w:cstheme="majorHAnsi"/>
                <w:i/>
                <w:color w:val="000000" w:themeColor="text1"/>
                <w:kern w:val="24"/>
                <w:sz w:val="16"/>
                <w:szCs w:val="16"/>
                <w:lang w:eastAsia="ja-JP"/>
              </w:rPr>
              <w:t>O</w:t>
            </w:r>
            <w:r w:rsidRPr="005E6B7C">
              <w:rPr>
                <w:rFonts w:asciiTheme="majorHAnsi" w:eastAsia="Yu Mincho" w:hAnsiTheme="majorHAnsi" w:cstheme="majorHAnsi"/>
                <w:color w:val="000000" w:themeColor="text1"/>
                <w:kern w:val="24"/>
                <w:sz w:val="16"/>
                <w:szCs w:val="16"/>
                <w:lang w:eastAsia="ja-JP"/>
              </w:rPr>
              <w:t>-</w:t>
            </w:r>
            <w:r w:rsidRPr="005E6B7C">
              <w:rPr>
                <w:rFonts w:asciiTheme="majorHAnsi" w:eastAsia="Yu Mincho" w:hAnsiTheme="majorHAnsi" w:cstheme="majorHAnsi"/>
                <w:i/>
                <w:color w:val="000000" w:themeColor="text1"/>
                <w:kern w:val="24"/>
                <w:sz w:val="16"/>
                <w:szCs w:val="16"/>
                <w:lang w:eastAsia="ja-JP"/>
              </w:rPr>
              <w:t>α</w:t>
            </w:r>
            <w:r w:rsidRPr="005E6B7C">
              <w:rPr>
                <w:rFonts w:asciiTheme="majorHAnsi" w:eastAsia="Yu Mincho" w:hAnsiTheme="majorHAnsi" w:cstheme="majorHAnsi"/>
                <w:color w:val="000000" w:themeColor="text1"/>
                <w:kern w:val="24"/>
                <w:sz w:val="16"/>
                <w:szCs w:val="16"/>
                <w:lang w:eastAsia="ja-JP"/>
              </w:rPr>
              <w:t>-L-Arabinopyranosyl-7-</w:t>
            </w:r>
            <w:r w:rsidRPr="005E6B7C">
              <w:rPr>
                <w:rFonts w:asciiTheme="majorHAnsi" w:eastAsia="Yu Mincho" w:hAnsiTheme="majorHAnsi" w:cstheme="majorHAnsi"/>
                <w:i/>
                <w:color w:val="000000" w:themeColor="text1"/>
                <w:kern w:val="24"/>
                <w:sz w:val="16"/>
                <w:szCs w:val="16"/>
                <w:lang w:eastAsia="ja-JP"/>
              </w:rPr>
              <w:t>O-α</w:t>
            </w:r>
            <w:r w:rsidRPr="005E6B7C">
              <w:rPr>
                <w:rFonts w:asciiTheme="majorHAnsi" w:eastAsia="Yu Mincho" w:hAnsiTheme="majorHAnsi" w:cstheme="majorHAnsi"/>
                <w:color w:val="000000" w:themeColor="text1"/>
                <w:kern w:val="24"/>
                <w:sz w:val="16"/>
                <w:szCs w:val="16"/>
                <w:lang w:eastAsia="ja-JP"/>
              </w:rPr>
              <w:t>-L-Rhamnopyranoside</w:t>
            </w:r>
          </w:p>
        </w:tc>
        <w:tc>
          <w:tcPr>
            <w:tcW w:w="823" w:type="dxa"/>
            <w:tcBorders>
              <w:top w:val="dotted" w:sz="4" w:space="0" w:color="auto"/>
              <w:left w:val="dotted" w:sz="4" w:space="0" w:color="auto"/>
              <w:right w:val="dotted" w:sz="4" w:space="0" w:color="auto"/>
            </w:tcBorders>
            <w:vAlign w:val="center"/>
            <w:hideMark/>
          </w:tcPr>
          <w:p w14:paraId="3D2402A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14.79</w:t>
            </w:r>
          </w:p>
        </w:tc>
        <w:tc>
          <w:tcPr>
            <w:tcW w:w="1104" w:type="dxa"/>
            <w:tcBorders>
              <w:top w:val="dotted" w:sz="4" w:space="0" w:color="auto"/>
              <w:right w:val="dotted" w:sz="4" w:space="0" w:color="auto"/>
            </w:tcBorders>
            <w:vAlign w:val="center"/>
            <w:hideMark/>
          </w:tcPr>
          <w:p w14:paraId="2986335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563.1437</w:t>
            </w:r>
          </w:p>
        </w:tc>
        <w:tc>
          <w:tcPr>
            <w:tcW w:w="973" w:type="dxa"/>
            <w:tcBorders>
              <w:top w:val="dotted" w:sz="4" w:space="0" w:color="auto"/>
              <w:right w:val="dotted" w:sz="4" w:space="0" w:color="auto"/>
            </w:tcBorders>
            <w:vAlign w:val="center"/>
            <w:hideMark/>
          </w:tcPr>
          <w:p w14:paraId="1C6C10F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563.1406</w:t>
            </w:r>
          </w:p>
        </w:tc>
        <w:tc>
          <w:tcPr>
            <w:tcW w:w="952" w:type="dxa"/>
            <w:tcBorders>
              <w:top w:val="dotted" w:sz="4" w:space="0" w:color="auto"/>
            </w:tcBorders>
            <w:hideMark/>
          </w:tcPr>
          <w:p w14:paraId="78D4437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26</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14</w:t>
            </w:r>
          </w:p>
        </w:tc>
        <w:tc>
          <w:tcPr>
            <w:tcW w:w="1479" w:type="dxa"/>
            <w:tcBorders>
              <w:top w:val="dotted" w:sz="4" w:space="0" w:color="auto"/>
              <w:left w:val="dotted" w:sz="4" w:space="0" w:color="auto"/>
              <w:right w:val="dotted" w:sz="4" w:space="0" w:color="auto"/>
            </w:tcBorders>
          </w:tcPr>
          <w:p w14:paraId="022E68EF"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431[M−H−Ara]⁻</w:t>
            </w:r>
          </w:p>
        </w:tc>
        <w:tc>
          <w:tcPr>
            <w:tcW w:w="716" w:type="dxa"/>
            <w:tcBorders>
              <w:top w:val="dotted" w:sz="4" w:space="0" w:color="auto"/>
            </w:tcBorders>
          </w:tcPr>
          <w:p w14:paraId="497C4DC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tcBorders>
          </w:tcPr>
          <w:p w14:paraId="40C1751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216</w:t>
            </w:r>
          </w:p>
        </w:tc>
        <w:tc>
          <w:tcPr>
            <w:tcW w:w="764" w:type="dxa"/>
            <w:tcBorders>
              <w:top w:val="dotted" w:sz="4" w:space="0" w:color="auto"/>
              <w:left w:val="dotted" w:sz="4" w:space="0" w:color="auto"/>
            </w:tcBorders>
          </w:tcPr>
          <w:p w14:paraId="58B4AB2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kern w:val="24"/>
                <w:sz w:val="16"/>
                <w:szCs w:val="16"/>
                <w:lang w:eastAsia="ja-JP"/>
              </w:rPr>
            </w:pPr>
            <w:r w:rsidRPr="005E6B7C">
              <w:rPr>
                <w:rFonts w:asciiTheme="majorHAnsi" w:eastAsia="Yu Mincho" w:hAnsiTheme="majorHAnsi" w:cstheme="majorHAnsi"/>
                <w:color w:val="000000" w:themeColor="text1"/>
                <w:kern w:val="24"/>
                <w:sz w:val="16"/>
                <w:szCs w:val="16"/>
                <w:lang w:eastAsia="ja-JP"/>
              </w:rPr>
              <w:t>5.50</w:t>
            </w:r>
          </w:p>
        </w:tc>
      </w:tr>
      <w:tr w:rsidR="00E049CB" w:rsidRPr="005E6B7C" w14:paraId="5127845C"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4CA364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w:t>
            </w:r>
          </w:p>
        </w:tc>
        <w:tc>
          <w:tcPr>
            <w:tcW w:w="2179" w:type="dxa"/>
            <w:tcBorders>
              <w:top w:val="dotted" w:sz="4" w:space="0" w:color="auto"/>
              <w:bottom w:val="dotted" w:sz="4" w:space="0" w:color="auto"/>
            </w:tcBorders>
            <w:hideMark/>
          </w:tcPr>
          <w:p w14:paraId="334E8CA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Isorhamnetin 3-</w:t>
            </w:r>
            <w:r w:rsidRPr="005E6B7C">
              <w:rPr>
                <w:rFonts w:asciiTheme="majorHAnsi" w:eastAsia="Yu Mincho" w:hAnsiTheme="majorHAnsi" w:cstheme="majorHAnsi"/>
                <w:i/>
                <w:color w:val="000000" w:themeColor="text1"/>
                <w:kern w:val="24"/>
                <w:sz w:val="16"/>
                <w:szCs w:val="16"/>
                <w:lang w:eastAsia="ja-JP"/>
              </w:rPr>
              <w:t>O-β</w:t>
            </w:r>
            <w:r w:rsidRPr="005E6B7C">
              <w:rPr>
                <w:rFonts w:asciiTheme="majorHAnsi" w:eastAsia="Yu Mincho" w:hAnsiTheme="majorHAnsi" w:cstheme="majorHAnsi"/>
                <w:color w:val="000000" w:themeColor="text1"/>
                <w:kern w:val="24"/>
                <w:sz w:val="16"/>
                <w:szCs w:val="16"/>
                <w:lang w:eastAsia="ja-JP"/>
              </w:rPr>
              <w:t>-rutinoside</w:t>
            </w:r>
          </w:p>
        </w:tc>
        <w:tc>
          <w:tcPr>
            <w:tcW w:w="823" w:type="dxa"/>
            <w:tcBorders>
              <w:top w:val="dotted" w:sz="4" w:space="0" w:color="auto"/>
              <w:left w:val="dotted" w:sz="4" w:space="0" w:color="auto"/>
              <w:bottom w:val="dotted" w:sz="4" w:space="0" w:color="auto"/>
              <w:right w:val="dotted" w:sz="4" w:space="0" w:color="auto"/>
            </w:tcBorders>
            <w:vAlign w:val="center"/>
            <w:hideMark/>
          </w:tcPr>
          <w:p w14:paraId="6777552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15.29</w:t>
            </w:r>
          </w:p>
        </w:tc>
        <w:tc>
          <w:tcPr>
            <w:tcW w:w="1104" w:type="dxa"/>
            <w:tcBorders>
              <w:top w:val="dotted" w:sz="4" w:space="0" w:color="auto"/>
              <w:bottom w:val="dotted" w:sz="4" w:space="0" w:color="auto"/>
              <w:right w:val="dotted" w:sz="4" w:space="0" w:color="auto"/>
            </w:tcBorders>
            <w:vAlign w:val="center"/>
            <w:hideMark/>
          </w:tcPr>
          <w:p w14:paraId="6809F17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623.1649</w:t>
            </w:r>
          </w:p>
        </w:tc>
        <w:tc>
          <w:tcPr>
            <w:tcW w:w="973" w:type="dxa"/>
            <w:tcBorders>
              <w:top w:val="dotted" w:sz="4" w:space="0" w:color="auto"/>
              <w:bottom w:val="dotted" w:sz="4" w:space="0" w:color="auto"/>
              <w:right w:val="dotted" w:sz="4" w:space="0" w:color="auto"/>
            </w:tcBorders>
            <w:vAlign w:val="center"/>
            <w:hideMark/>
          </w:tcPr>
          <w:p w14:paraId="60811C3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623.1618</w:t>
            </w:r>
          </w:p>
        </w:tc>
        <w:tc>
          <w:tcPr>
            <w:tcW w:w="952" w:type="dxa"/>
            <w:tcBorders>
              <w:top w:val="dotted" w:sz="4" w:space="0" w:color="auto"/>
              <w:bottom w:val="dotted" w:sz="4" w:space="0" w:color="auto"/>
            </w:tcBorders>
            <w:hideMark/>
          </w:tcPr>
          <w:p w14:paraId="5424A72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32</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16</w:t>
            </w:r>
          </w:p>
        </w:tc>
        <w:tc>
          <w:tcPr>
            <w:tcW w:w="1479" w:type="dxa"/>
            <w:tcBorders>
              <w:top w:val="dotted" w:sz="4" w:space="0" w:color="auto"/>
              <w:left w:val="dotted" w:sz="4" w:space="0" w:color="auto"/>
              <w:bottom w:val="dotted" w:sz="4" w:space="0" w:color="auto"/>
              <w:right w:val="dotted" w:sz="4" w:space="0" w:color="auto"/>
            </w:tcBorders>
          </w:tcPr>
          <w:p w14:paraId="1D2E35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593[M−H−HCHO]⁻</w:t>
            </w:r>
          </w:p>
        </w:tc>
        <w:tc>
          <w:tcPr>
            <w:tcW w:w="716" w:type="dxa"/>
            <w:tcBorders>
              <w:top w:val="dotted" w:sz="4" w:space="0" w:color="auto"/>
              <w:bottom w:val="dotted" w:sz="4" w:space="0" w:color="auto"/>
            </w:tcBorders>
          </w:tcPr>
          <w:p w14:paraId="10C651C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678" w:type="dxa"/>
            <w:tcBorders>
              <w:top w:val="dotted" w:sz="4" w:space="0" w:color="auto"/>
              <w:left w:val="dotted" w:sz="4" w:space="0" w:color="auto"/>
              <w:bottom w:val="dotted" w:sz="4" w:space="0" w:color="auto"/>
            </w:tcBorders>
          </w:tcPr>
          <w:p w14:paraId="233C0B9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top w:val="dotted" w:sz="4" w:space="0" w:color="auto"/>
              <w:left w:val="dotted" w:sz="4" w:space="0" w:color="auto"/>
              <w:bottom w:val="dotted" w:sz="4" w:space="0" w:color="auto"/>
            </w:tcBorders>
          </w:tcPr>
          <w:p w14:paraId="5194B66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4.97</w:t>
            </w:r>
          </w:p>
        </w:tc>
      </w:tr>
      <w:tr w:rsidR="00E049CB" w:rsidRPr="005E6B7C" w14:paraId="426645A3" w14:textId="77777777" w:rsidTr="000B7F16">
        <w:trPr>
          <w:jc w:val="center"/>
        </w:trPr>
        <w:tc>
          <w:tcPr>
            <w:tcW w:w="456" w:type="dxa"/>
            <w:tcBorders>
              <w:right w:val="dotted" w:sz="4" w:space="0" w:color="auto"/>
            </w:tcBorders>
            <w:vAlign w:val="center"/>
            <w:hideMark/>
          </w:tcPr>
          <w:p w14:paraId="740D949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w:t>
            </w:r>
          </w:p>
        </w:tc>
        <w:tc>
          <w:tcPr>
            <w:tcW w:w="2179" w:type="dxa"/>
            <w:hideMark/>
          </w:tcPr>
          <w:p w14:paraId="48093BA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w:t>
            </w:r>
          </w:p>
        </w:tc>
        <w:tc>
          <w:tcPr>
            <w:tcW w:w="823" w:type="dxa"/>
            <w:tcBorders>
              <w:left w:val="dotted" w:sz="4" w:space="0" w:color="auto"/>
              <w:right w:val="dotted" w:sz="4" w:space="0" w:color="auto"/>
            </w:tcBorders>
            <w:vAlign w:val="center"/>
            <w:hideMark/>
          </w:tcPr>
          <w:p w14:paraId="2542E39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16.35</w:t>
            </w:r>
          </w:p>
        </w:tc>
        <w:tc>
          <w:tcPr>
            <w:tcW w:w="1104" w:type="dxa"/>
            <w:tcBorders>
              <w:right w:val="dotted" w:sz="4" w:space="0" w:color="auto"/>
            </w:tcBorders>
            <w:vAlign w:val="center"/>
            <w:hideMark/>
          </w:tcPr>
          <w:p w14:paraId="1221005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549.1922</w:t>
            </w:r>
          </w:p>
        </w:tc>
        <w:tc>
          <w:tcPr>
            <w:tcW w:w="973" w:type="dxa"/>
            <w:tcBorders>
              <w:right w:val="dotted" w:sz="4" w:space="0" w:color="auto"/>
            </w:tcBorders>
            <w:vAlign w:val="center"/>
            <w:hideMark/>
          </w:tcPr>
          <w:p w14:paraId="17174BE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hideMark/>
          </w:tcPr>
          <w:p w14:paraId="73C769C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479" w:type="dxa"/>
            <w:tcBorders>
              <w:left w:val="dotted" w:sz="4" w:space="0" w:color="auto"/>
              <w:right w:val="dotted" w:sz="4" w:space="0" w:color="auto"/>
            </w:tcBorders>
          </w:tcPr>
          <w:p w14:paraId="4432E6F7"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vAlign w:val="center"/>
          </w:tcPr>
          <w:p w14:paraId="6FD3778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tcBorders>
            <w:vAlign w:val="center"/>
          </w:tcPr>
          <w:p w14:paraId="1E9E7D0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220</w:t>
            </w:r>
          </w:p>
        </w:tc>
        <w:tc>
          <w:tcPr>
            <w:tcW w:w="764" w:type="dxa"/>
            <w:tcBorders>
              <w:left w:val="dotted" w:sz="4" w:space="0" w:color="auto"/>
            </w:tcBorders>
          </w:tcPr>
          <w:p w14:paraId="412EFB2A"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r>
      <w:tr w:rsidR="00E049CB" w:rsidRPr="005E6B7C" w14:paraId="379B979A" w14:textId="77777777" w:rsidTr="000B7F16">
        <w:trPr>
          <w:jc w:val="center"/>
        </w:trPr>
        <w:tc>
          <w:tcPr>
            <w:tcW w:w="456" w:type="dxa"/>
            <w:tcBorders>
              <w:top w:val="dotted" w:sz="4" w:space="0" w:color="auto"/>
              <w:right w:val="dotted" w:sz="4" w:space="0" w:color="auto"/>
            </w:tcBorders>
            <w:vAlign w:val="center"/>
            <w:hideMark/>
          </w:tcPr>
          <w:p w14:paraId="688A4DB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9</w:t>
            </w:r>
          </w:p>
        </w:tc>
        <w:tc>
          <w:tcPr>
            <w:tcW w:w="2179" w:type="dxa"/>
            <w:tcBorders>
              <w:top w:val="dotted" w:sz="4" w:space="0" w:color="auto"/>
            </w:tcBorders>
            <w:vAlign w:val="center"/>
            <w:hideMark/>
          </w:tcPr>
          <w:p w14:paraId="1CD4349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Physalin D</w:t>
            </w:r>
          </w:p>
        </w:tc>
        <w:tc>
          <w:tcPr>
            <w:tcW w:w="823" w:type="dxa"/>
            <w:tcBorders>
              <w:top w:val="dotted" w:sz="4" w:space="0" w:color="auto"/>
              <w:left w:val="dotted" w:sz="4" w:space="0" w:color="auto"/>
              <w:right w:val="dotted" w:sz="4" w:space="0" w:color="auto"/>
            </w:tcBorders>
            <w:vAlign w:val="center"/>
            <w:hideMark/>
          </w:tcPr>
          <w:p w14:paraId="13F2F0F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16.97</w:t>
            </w:r>
          </w:p>
        </w:tc>
        <w:tc>
          <w:tcPr>
            <w:tcW w:w="1104" w:type="dxa"/>
            <w:tcBorders>
              <w:top w:val="dotted" w:sz="4" w:space="0" w:color="auto"/>
              <w:right w:val="dotted" w:sz="4" w:space="0" w:color="auto"/>
            </w:tcBorders>
            <w:vAlign w:val="center"/>
            <w:hideMark/>
          </w:tcPr>
          <w:p w14:paraId="6A12A7E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579.1679</w:t>
            </w:r>
          </w:p>
        </w:tc>
        <w:tc>
          <w:tcPr>
            <w:tcW w:w="973" w:type="dxa"/>
            <w:tcBorders>
              <w:top w:val="dotted" w:sz="4" w:space="0" w:color="auto"/>
              <w:right w:val="dotted" w:sz="4" w:space="0" w:color="auto"/>
            </w:tcBorders>
            <w:vAlign w:val="center"/>
            <w:hideMark/>
          </w:tcPr>
          <w:p w14:paraId="68BFBB3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579.1639</w:t>
            </w:r>
          </w:p>
        </w:tc>
        <w:tc>
          <w:tcPr>
            <w:tcW w:w="952" w:type="dxa"/>
            <w:tcBorders>
              <w:top w:val="dotted" w:sz="4" w:space="0" w:color="auto"/>
            </w:tcBorders>
            <w:vAlign w:val="center"/>
            <w:hideMark/>
          </w:tcPr>
          <w:p w14:paraId="1E7DB0E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32</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11</w:t>
            </w:r>
            <w:r w:rsidRPr="005E6B7C">
              <w:rPr>
                <w:rFonts w:asciiTheme="majorHAnsi" w:eastAsia="Cambria" w:hAnsiTheme="majorHAnsi" w:cstheme="majorHAnsi"/>
                <w:color w:val="000000" w:themeColor="text1"/>
                <w:kern w:val="24"/>
                <w:position w:val="7"/>
                <w:sz w:val="16"/>
                <w:szCs w:val="16"/>
                <w:vertAlign w:val="superscript"/>
                <w:lang w:eastAsia="ja-JP"/>
              </w:rPr>
              <w:t>a</w:t>
            </w:r>
          </w:p>
        </w:tc>
        <w:tc>
          <w:tcPr>
            <w:tcW w:w="1479" w:type="dxa"/>
            <w:tcBorders>
              <w:top w:val="dotted" w:sz="4" w:space="0" w:color="auto"/>
              <w:left w:val="dotted" w:sz="4" w:space="0" w:color="auto"/>
              <w:right w:val="dotted" w:sz="4" w:space="0" w:color="auto"/>
            </w:tcBorders>
          </w:tcPr>
          <w:p w14:paraId="56F76C4C"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543[M–H]⁻</w:t>
            </w:r>
          </w:p>
        </w:tc>
        <w:tc>
          <w:tcPr>
            <w:tcW w:w="716" w:type="dxa"/>
            <w:tcBorders>
              <w:top w:val="dotted" w:sz="4" w:space="0" w:color="auto"/>
            </w:tcBorders>
            <w:vAlign w:val="center"/>
          </w:tcPr>
          <w:p w14:paraId="6D02812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tcBorders>
            <w:vAlign w:val="center"/>
          </w:tcPr>
          <w:p w14:paraId="1422152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220</w:t>
            </w:r>
          </w:p>
        </w:tc>
        <w:tc>
          <w:tcPr>
            <w:tcW w:w="764" w:type="dxa"/>
            <w:tcBorders>
              <w:top w:val="dotted" w:sz="4" w:space="0" w:color="auto"/>
              <w:left w:val="dotted" w:sz="4" w:space="0" w:color="auto"/>
            </w:tcBorders>
          </w:tcPr>
          <w:p w14:paraId="7A9169FA"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6.91</w:t>
            </w:r>
          </w:p>
        </w:tc>
      </w:tr>
      <w:tr w:rsidR="00E049CB" w:rsidRPr="005E6B7C" w14:paraId="1BDFE0A7" w14:textId="77777777" w:rsidTr="000B7F16">
        <w:trPr>
          <w:jc w:val="center"/>
        </w:trPr>
        <w:tc>
          <w:tcPr>
            <w:tcW w:w="456" w:type="dxa"/>
            <w:tcBorders>
              <w:top w:val="dotted" w:sz="4" w:space="0" w:color="auto"/>
              <w:right w:val="dotted" w:sz="4" w:space="0" w:color="auto"/>
            </w:tcBorders>
            <w:vAlign w:val="center"/>
            <w:hideMark/>
          </w:tcPr>
          <w:p w14:paraId="6713CB7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w:t>
            </w:r>
          </w:p>
        </w:tc>
        <w:tc>
          <w:tcPr>
            <w:tcW w:w="2179" w:type="dxa"/>
            <w:tcBorders>
              <w:top w:val="dotted" w:sz="4" w:space="0" w:color="auto"/>
            </w:tcBorders>
            <w:vAlign w:val="center"/>
            <w:hideMark/>
          </w:tcPr>
          <w:p w14:paraId="7D72140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Physagulin H</w:t>
            </w:r>
          </w:p>
        </w:tc>
        <w:tc>
          <w:tcPr>
            <w:tcW w:w="823" w:type="dxa"/>
            <w:tcBorders>
              <w:top w:val="dotted" w:sz="4" w:space="0" w:color="auto"/>
              <w:left w:val="dotted" w:sz="4" w:space="0" w:color="auto"/>
              <w:right w:val="dotted" w:sz="4" w:space="0" w:color="auto"/>
            </w:tcBorders>
            <w:vAlign w:val="center"/>
            <w:hideMark/>
          </w:tcPr>
          <w:p w14:paraId="1C777BC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17.91</w:t>
            </w:r>
          </w:p>
        </w:tc>
        <w:tc>
          <w:tcPr>
            <w:tcW w:w="1104" w:type="dxa"/>
            <w:tcBorders>
              <w:top w:val="dotted" w:sz="4" w:space="0" w:color="auto"/>
              <w:right w:val="dotted" w:sz="4" w:space="0" w:color="auto"/>
            </w:tcBorders>
            <w:vAlign w:val="center"/>
            <w:hideMark/>
          </w:tcPr>
          <w:p w14:paraId="2ED376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543.1899</w:t>
            </w:r>
          </w:p>
        </w:tc>
        <w:tc>
          <w:tcPr>
            <w:tcW w:w="973" w:type="dxa"/>
            <w:tcBorders>
              <w:top w:val="dotted" w:sz="4" w:space="0" w:color="auto"/>
              <w:right w:val="dotted" w:sz="4" w:space="0" w:color="auto"/>
            </w:tcBorders>
            <w:vAlign w:val="center"/>
            <w:hideMark/>
          </w:tcPr>
          <w:p w14:paraId="018542F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543.1620</w:t>
            </w:r>
          </w:p>
        </w:tc>
        <w:tc>
          <w:tcPr>
            <w:tcW w:w="952" w:type="dxa"/>
            <w:tcBorders>
              <w:top w:val="dotted" w:sz="4" w:space="0" w:color="auto"/>
            </w:tcBorders>
            <w:vAlign w:val="center"/>
            <w:hideMark/>
          </w:tcPr>
          <w:p w14:paraId="7066459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30</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38</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8</w:t>
            </w:r>
            <w:r w:rsidRPr="005E6B7C">
              <w:rPr>
                <w:rFonts w:asciiTheme="majorHAnsi" w:eastAsia="Cambria" w:hAnsiTheme="majorHAnsi" w:cstheme="majorHAnsi"/>
                <w:color w:val="000000" w:themeColor="text1"/>
                <w:kern w:val="24"/>
                <w:position w:val="7"/>
                <w:sz w:val="16"/>
                <w:szCs w:val="16"/>
                <w:vertAlign w:val="superscript"/>
                <w:lang w:eastAsia="ja-JP"/>
              </w:rPr>
              <w:t>b</w:t>
            </w:r>
          </w:p>
        </w:tc>
        <w:tc>
          <w:tcPr>
            <w:tcW w:w="1479" w:type="dxa"/>
            <w:tcBorders>
              <w:top w:val="dotted" w:sz="4" w:space="0" w:color="auto"/>
              <w:left w:val="dotted" w:sz="4" w:space="0" w:color="auto"/>
              <w:right w:val="dotted" w:sz="4" w:space="0" w:color="auto"/>
            </w:tcBorders>
          </w:tcPr>
          <w:p w14:paraId="1E8949A4"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525[M–H]⁻</w:t>
            </w:r>
          </w:p>
        </w:tc>
        <w:tc>
          <w:tcPr>
            <w:tcW w:w="716" w:type="dxa"/>
            <w:tcBorders>
              <w:top w:val="dotted" w:sz="4" w:space="0" w:color="auto"/>
            </w:tcBorders>
            <w:vAlign w:val="center"/>
          </w:tcPr>
          <w:p w14:paraId="13DAE10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tcBorders>
            <w:vAlign w:val="center"/>
          </w:tcPr>
          <w:p w14:paraId="4EF7E28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220</w:t>
            </w:r>
          </w:p>
        </w:tc>
        <w:tc>
          <w:tcPr>
            <w:tcW w:w="764" w:type="dxa"/>
            <w:tcBorders>
              <w:top w:val="dotted" w:sz="4" w:space="0" w:color="auto"/>
              <w:left w:val="dotted" w:sz="4" w:space="0" w:color="auto"/>
            </w:tcBorders>
          </w:tcPr>
          <w:p w14:paraId="16BAEB41"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51.36</w:t>
            </w:r>
          </w:p>
        </w:tc>
      </w:tr>
      <w:tr w:rsidR="00E049CB" w:rsidRPr="005E6B7C" w14:paraId="5F8EBA97" w14:textId="77777777" w:rsidTr="000B7F16">
        <w:trPr>
          <w:jc w:val="center"/>
        </w:trPr>
        <w:tc>
          <w:tcPr>
            <w:tcW w:w="456" w:type="dxa"/>
            <w:tcBorders>
              <w:top w:val="dotted" w:sz="4" w:space="0" w:color="auto"/>
              <w:right w:val="dotted" w:sz="4" w:space="0" w:color="auto"/>
            </w:tcBorders>
            <w:vAlign w:val="center"/>
            <w:hideMark/>
          </w:tcPr>
          <w:p w14:paraId="76BA177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w:t>
            </w:r>
          </w:p>
        </w:tc>
        <w:tc>
          <w:tcPr>
            <w:tcW w:w="2179" w:type="dxa"/>
            <w:tcBorders>
              <w:top w:val="dotted" w:sz="4" w:space="0" w:color="auto"/>
            </w:tcBorders>
            <w:vAlign w:val="center"/>
            <w:hideMark/>
          </w:tcPr>
          <w:p w14:paraId="5C2253C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 xml:space="preserve">Physalin E </w:t>
            </w:r>
          </w:p>
        </w:tc>
        <w:tc>
          <w:tcPr>
            <w:tcW w:w="823" w:type="dxa"/>
            <w:tcBorders>
              <w:top w:val="dotted" w:sz="4" w:space="0" w:color="auto"/>
              <w:left w:val="dotted" w:sz="4" w:space="0" w:color="auto"/>
              <w:right w:val="dotted" w:sz="4" w:space="0" w:color="auto"/>
            </w:tcBorders>
            <w:vAlign w:val="center"/>
            <w:hideMark/>
          </w:tcPr>
          <w:p w14:paraId="2BF4810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18.60</w:t>
            </w:r>
          </w:p>
        </w:tc>
        <w:tc>
          <w:tcPr>
            <w:tcW w:w="1104" w:type="dxa"/>
            <w:tcBorders>
              <w:top w:val="dotted" w:sz="4" w:space="0" w:color="auto"/>
              <w:right w:val="dotted" w:sz="4" w:space="0" w:color="auto"/>
            </w:tcBorders>
            <w:vAlign w:val="center"/>
            <w:hideMark/>
          </w:tcPr>
          <w:p w14:paraId="5E061EC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579.1687</w:t>
            </w:r>
          </w:p>
        </w:tc>
        <w:tc>
          <w:tcPr>
            <w:tcW w:w="973" w:type="dxa"/>
            <w:tcBorders>
              <w:top w:val="dotted" w:sz="4" w:space="0" w:color="auto"/>
              <w:right w:val="dotted" w:sz="4" w:space="0" w:color="auto"/>
            </w:tcBorders>
            <w:vAlign w:val="center"/>
            <w:hideMark/>
          </w:tcPr>
          <w:p w14:paraId="2BD7146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579.1639</w:t>
            </w:r>
          </w:p>
        </w:tc>
        <w:tc>
          <w:tcPr>
            <w:tcW w:w="952" w:type="dxa"/>
            <w:tcBorders>
              <w:top w:val="dotted" w:sz="4" w:space="0" w:color="auto"/>
            </w:tcBorders>
            <w:vAlign w:val="center"/>
            <w:hideMark/>
          </w:tcPr>
          <w:p w14:paraId="75368D0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32</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11</w:t>
            </w:r>
            <w:r w:rsidRPr="005E6B7C">
              <w:rPr>
                <w:rFonts w:asciiTheme="majorHAnsi" w:eastAsia="Cambria" w:hAnsiTheme="majorHAnsi" w:cstheme="majorHAnsi"/>
                <w:color w:val="000000" w:themeColor="text1"/>
                <w:kern w:val="24"/>
                <w:position w:val="7"/>
                <w:sz w:val="16"/>
                <w:szCs w:val="16"/>
                <w:vertAlign w:val="superscript"/>
                <w:lang w:eastAsia="ja-JP"/>
              </w:rPr>
              <w:t>a</w:t>
            </w:r>
          </w:p>
        </w:tc>
        <w:tc>
          <w:tcPr>
            <w:tcW w:w="1479" w:type="dxa"/>
            <w:tcBorders>
              <w:top w:val="dotted" w:sz="4" w:space="0" w:color="auto"/>
              <w:left w:val="dotted" w:sz="4" w:space="0" w:color="auto"/>
              <w:right w:val="dotted" w:sz="4" w:space="0" w:color="auto"/>
            </w:tcBorders>
          </w:tcPr>
          <w:p w14:paraId="48CD4F09"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543[M–H]⁻</w:t>
            </w:r>
          </w:p>
        </w:tc>
        <w:tc>
          <w:tcPr>
            <w:tcW w:w="716" w:type="dxa"/>
            <w:tcBorders>
              <w:top w:val="dotted" w:sz="4" w:space="0" w:color="auto"/>
            </w:tcBorders>
            <w:vAlign w:val="center"/>
          </w:tcPr>
          <w:p w14:paraId="075DF21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tcBorders>
            <w:vAlign w:val="center"/>
          </w:tcPr>
          <w:p w14:paraId="3A1D7D2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top w:val="dotted" w:sz="4" w:space="0" w:color="auto"/>
              <w:left w:val="dotted" w:sz="4" w:space="0" w:color="auto"/>
            </w:tcBorders>
          </w:tcPr>
          <w:p w14:paraId="1857135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8.29</w:t>
            </w:r>
          </w:p>
        </w:tc>
      </w:tr>
      <w:tr w:rsidR="00E049CB" w:rsidRPr="005E6B7C" w14:paraId="20FBD310"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01990A9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w:t>
            </w:r>
          </w:p>
        </w:tc>
        <w:tc>
          <w:tcPr>
            <w:tcW w:w="2179" w:type="dxa"/>
            <w:tcBorders>
              <w:top w:val="dotted" w:sz="4" w:space="0" w:color="auto"/>
              <w:bottom w:val="dotted" w:sz="4" w:space="0" w:color="auto"/>
            </w:tcBorders>
            <w:vAlign w:val="center"/>
            <w:hideMark/>
          </w:tcPr>
          <w:p w14:paraId="67385DF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Withaminimin</w:t>
            </w:r>
          </w:p>
        </w:tc>
        <w:tc>
          <w:tcPr>
            <w:tcW w:w="823" w:type="dxa"/>
            <w:tcBorders>
              <w:top w:val="dotted" w:sz="4" w:space="0" w:color="auto"/>
              <w:left w:val="dotted" w:sz="4" w:space="0" w:color="auto"/>
              <w:bottom w:val="dotted" w:sz="4" w:space="0" w:color="auto"/>
              <w:right w:val="dotted" w:sz="4" w:space="0" w:color="auto"/>
            </w:tcBorders>
            <w:vAlign w:val="center"/>
            <w:hideMark/>
          </w:tcPr>
          <w:p w14:paraId="787959B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18.72</w:t>
            </w:r>
          </w:p>
        </w:tc>
        <w:tc>
          <w:tcPr>
            <w:tcW w:w="1104" w:type="dxa"/>
            <w:tcBorders>
              <w:top w:val="dotted" w:sz="4" w:space="0" w:color="auto"/>
              <w:bottom w:val="dotted" w:sz="4" w:space="0" w:color="auto"/>
              <w:right w:val="dotted" w:sz="4" w:space="0" w:color="auto"/>
            </w:tcBorders>
            <w:vAlign w:val="center"/>
            <w:hideMark/>
          </w:tcPr>
          <w:p w14:paraId="6272D0D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527.1963</w:t>
            </w:r>
          </w:p>
        </w:tc>
        <w:tc>
          <w:tcPr>
            <w:tcW w:w="973" w:type="dxa"/>
            <w:tcBorders>
              <w:top w:val="dotted" w:sz="4" w:space="0" w:color="auto"/>
              <w:bottom w:val="dotted" w:sz="4" w:space="0" w:color="auto"/>
              <w:right w:val="dotted" w:sz="4" w:space="0" w:color="auto"/>
            </w:tcBorders>
            <w:vAlign w:val="center"/>
            <w:hideMark/>
          </w:tcPr>
          <w:p w14:paraId="69C387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527.2650</w:t>
            </w:r>
          </w:p>
        </w:tc>
        <w:tc>
          <w:tcPr>
            <w:tcW w:w="952" w:type="dxa"/>
            <w:tcBorders>
              <w:top w:val="dotted" w:sz="4" w:space="0" w:color="auto"/>
              <w:bottom w:val="dotted" w:sz="4" w:space="0" w:color="auto"/>
            </w:tcBorders>
            <w:vAlign w:val="center"/>
            <w:hideMark/>
          </w:tcPr>
          <w:p w14:paraId="0D44458F" w14:textId="36829515"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00495674" w:rsidRPr="005E6B7C">
              <w:rPr>
                <w:rFonts w:asciiTheme="majorHAnsi" w:eastAsia="Cambria" w:hAnsiTheme="majorHAnsi" w:cstheme="majorHAnsi"/>
                <w:color w:val="000000" w:themeColor="text1"/>
                <w:kern w:val="24"/>
                <w:position w:val="-6"/>
                <w:sz w:val="16"/>
                <w:szCs w:val="16"/>
                <w:vertAlign w:val="subscript"/>
                <w:lang w:eastAsia="ja-JP"/>
              </w:rPr>
              <w:t>30</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40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8</w:t>
            </w:r>
          </w:p>
        </w:tc>
        <w:tc>
          <w:tcPr>
            <w:tcW w:w="1479" w:type="dxa"/>
            <w:tcBorders>
              <w:top w:val="dotted" w:sz="4" w:space="0" w:color="auto"/>
              <w:left w:val="dotted" w:sz="4" w:space="0" w:color="auto"/>
              <w:bottom w:val="dotted" w:sz="4" w:space="0" w:color="auto"/>
              <w:right w:val="dotted" w:sz="4" w:space="0" w:color="auto"/>
            </w:tcBorders>
          </w:tcPr>
          <w:p w14:paraId="0F2D3A39"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507[M−H−H</w:t>
            </w:r>
            <w:r w:rsidRPr="005E6B7C">
              <w:rPr>
                <w:rFonts w:asciiTheme="majorHAnsi" w:eastAsia="Cambria" w:hAnsiTheme="majorHAnsi" w:cstheme="majorHAnsi"/>
                <w:color w:val="000000" w:themeColor="text1"/>
                <w:kern w:val="24"/>
                <w:sz w:val="16"/>
                <w:szCs w:val="16"/>
                <w:vertAlign w:val="subscript"/>
                <w:lang w:eastAsia="ja-JP"/>
              </w:rPr>
              <w:t>2</w:t>
            </w:r>
            <w:r w:rsidRPr="005E6B7C">
              <w:rPr>
                <w:rFonts w:asciiTheme="majorHAnsi" w:eastAsia="Cambria" w:hAnsiTheme="majorHAnsi" w:cstheme="majorHAnsi"/>
                <w:color w:val="000000" w:themeColor="text1"/>
                <w:kern w:val="24"/>
                <w:sz w:val="16"/>
                <w:szCs w:val="16"/>
                <w:lang w:eastAsia="ja-JP"/>
              </w:rPr>
              <w:t>O]⁻</w:t>
            </w:r>
          </w:p>
        </w:tc>
        <w:tc>
          <w:tcPr>
            <w:tcW w:w="716" w:type="dxa"/>
            <w:tcBorders>
              <w:top w:val="dotted" w:sz="4" w:space="0" w:color="auto"/>
              <w:bottom w:val="dotted" w:sz="4" w:space="0" w:color="auto"/>
            </w:tcBorders>
            <w:vAlign w:val="center"/>
          </w:tcPr>
          <w:p w14:paraId="551F43D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bottom w:val="dotted" w:sz="4" w:space="0" w:color="auto"/>
            </w:tcBorders>
            <w:vAlign w:val="center"/>
          </w:tcPr>
          <w:p w14:paraId="2B79A21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220</w:t>
            </w:r>
          </w:p>
        </w:tc>
        <w:tc>
          <w:tcPr>
            <w:tcW w:w="764" w:type="dxa"/>
            <w:tcBorders>
              <w:top w:val="dotted" w:sz="4" w:space="0" w:color="auto"/>
              <w:left w:val="dotted" w:sz="4" w:space="0" w:color="auto"/>
              <w:bottom w:val="dotted" w:sz="4" w:space="0" w:color="auto"/>
            </w:tcBorders>
          </w:tcPr>
          <w:p w14:paraId="744BF4D0"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130.29</w:t>
            </w:r>
          </w:p>
        </w:tc>
      </w:tr>
      <w:tr w:rsidR="00E049CB" w:rsidRPr="005E6B7C" w14:paraId="1D19EE99" w14:textId="77777777" w:rsidTr="000B7F16">
        <w:trPr>
          <w:jc w:val="center"/>
        </w:trPr>
        <w:tc>
          <w:tcPr>
            <w:tcW w:w="456" w:type="dxa"/>
            <w:tcBorders>
              <w:right w:val="dotted" w:sz="4" w:space="0" w:color="auto"/>
            </w:tcBorders>
            <w:vAlign w:val="center"/>
            <w:hideMark/>
          </w:tcPr>
          <w:p w14:paraId="77DCDE4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w:t>
            </w:r>
          </w:p>
        </w:tc>
        <w:tc>
          <w:tcPr>
            <w:tcW w:w="2179" w:type="dxa"/>
            <w:vAlign w:val="center"/>
            <w:hideMark/>
          </w:tcPr>
          <w:p w14:paraId="6F4774D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Physalin W</w:t>
            </w:r>
          </w:p>
        </w:tc>
        <w:tc>
          <w:tcPr>
            <w:tcW w:w="823" w:type="dxa"/>
            <w:tcBorders>
              <w:left w:val="dotted" w:sz="4" w:space="0" w:color="auto"/>
              <w:right w:val="dotted" w:sz="4" w:space="0" w:color="auto"/>
            </w:tcBorders>
            <w:vAlign w:val="center"/>
            <w:hideMark/>
          </w:tcPr>
          <w:p w14:paraId="23599D6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18.97</w:t>
            </w:r>
          </w:p>
        </w:tc>
        <w:tc>
          <w:tcPr>
            <w:tcW w:w="1104" w:type="dxa"/>
            <w:tcBorders>
              <w:right w:val="dotted" w:sz="4" w:space="0" w:color="auto"/>
            </w:tcBorders>
            <w:vAlign w:val="center"/>
            <w:hideMark/>
          </w:tcPr>
          <w:p w14:paraId="3FF7DDF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579.1669</w:t>
            </w:r>
          </w:p>
        </w:tc>
        <w:tc>
          <w:tcPr>
            <w:tcW w:w="973" w:type="dxa"/>
            <w:tcBorders>
              <w:right w:val="dotted" w:sz="4" w:space="0" w:color="auto"/>
            </w:tcBorders>
            <w:vAlign w:val="center"/>
            <w:hideMark/>
          </w:tcPr>
          <w:p w14:paraId="230B485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579.1639</w:t>
            </w:r>
          </w:p>
        </w:tc>
        <w:tc>
          <w:tcPr>
            <w:tcW w:w="952" w:type="dxa"/>
            <w:vAlign w:val="center"/>
            <w:hideMark/>
          </w:tcPr>
          <w:p w14:paraId="02E3E66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10</w:t>
            </w:r>
            <w:r w:rsidRPr="005E6B7C">
              <w:rPr>
                <w:rFonts w:asciiTheme="majorHAnsi" w:eastAsia="Cambria" w:hAnsiTheme="majorHAnsi" w:cstheme="majorHAnsi"/>
                <w:color w:val="000000" w:themeColor="text1"/>
                <w:kern w:val="24"/>
                <w:position w:val="7"/>
                <w:sz w:val="16"/>
                <w:szCs w:val="16"/>
                <w:vertAlign w:val="superscript"/>
                <w:lang w:eastAsia="ja-JP"/>
              </w:rPr>
              <w:t>c</w:t>
            </w:r>
          </w:p>
        </w:tc>
        <w:tc>
          <w:tcPr>
            <w:tcW w:w="1479" w:type="dxa"/>
            <w:tcBorders>
              <w:left w:val="dotted" w:sz="4" w:space="0" w:color="auto"/>
              <w:right w:val="dotted" w:sz="4" w:space="0" w:color="auto"/>
            </w:tcBorders>
          </w:tcPr>
          <w:p w14:paraId="7C0A2C3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523 [M−H−H</w:t>
            </w:r>
            <w:r w:rsidRPr="005E6B7C">
              <w:rPr>
                <w:rFonts w:asciiTheme="majorHAnsi" w:eastAsia="Yu Mincho" w:hAnsiTheme="majorHAnsi" w:cstheme="majorHAnsi"/>
                <w:color w:val="000000" w:themeColor="text1"/>
                <w:sz w:val="16"/>
                <w:szCs w:val="16"/>
                <w:vertAlign w:val="subscript"/>
                <w:lang w:eastAsia="ja-JP"/>
              </w:rPr>
              <w:t>2</w:t>
            </w:r>
            <w:r w:rsidRPr="005E6B7C">
              <w:rPr>
                <w:rFonts w:asciiTheme="majorHAnsi" w:eastAsia="Yu Mincho" w:hAnsiTheme="majorHAnsi" w:cstheme="majorHAnsi"/>
                <w:color w:val="000000" w:themeColor="text1"/>
                <w:sz w:val="16"/>
                <w:szCs w:val="16"/>
                <w:lang w:eastAsia="ja-JP"/>
              </w:rPr>
              <w:t>O]⁻</w:t>
            </w:r>
          </w:p>
        </w:tc>
        <w:tc>
          <w:tcPr>
            <w:tcW w:w="716" w:type="dxa"/>
            <w:vAlign w:val="center"/>
          </w:tcPr>
          <w:p w14:paraId="2D4E57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678" w:type="dxa"/>
            <w:tcBorders>
              <w:left w:val="dotted" w:sz="4" w:space="0" w:color="auto"/>
            </w:tcBorders>
            <w:vAlign w:val="center"/>
          </w:tcPr>
          <w:p w14:paraId="318F0C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left w:val="dotted" w:sz="4" w:space="0" w:color="auto"/>
            </w:tcBorders>
          </w:tcPr>
          <w:p w14:paraId="57D8394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5.18</w:t>
            </w:r>
          </w:p>
        </w:tc>
      </w:tr>
      <w:tr w:rsidR="00E049CB" w:rsidRPr="005E6B7C" w14:paraId="5A542FA8"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06E337F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w:t>
            </w:r>
          </w:p>
        </w:tc>
        <w:tc>
          <w:tcPr>
            <w:tcW w:w="2179" w:type="dxa"/>
            <w:tcBorders>
              <w:top w:val="dotted" w:sz="4" w:space="0" w:color="auto"/>
              <w:bottom w:val="dotted" w:sz="4" w:space="0" w:color="auto"/>
            </w:tcBorders>
            <w:vAlign w:val="center"/>
            <w:hideMark/>
          </w:tcPr>
          <w:p w14:paraId="55E6535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Diterpene lactone</w:t>
            </w:r>
          </w:p>
        </w:tc>
        <w:tc>
          <w:tcPr>
            <w:tcW w:w="823" w:type="dxa"/>
            <w:tcBorders>
              <w:top w:val="dotted" w:sz="4" w:space="0" w:color="auto"/>
              <w:left w:val="dotted" w:sz="4" w:space="0" w:color="auto"/>
              <w:bottom w:val="dotted" w:sz="4" w:space="0" w:color="auto"/>
              <w:right w:val="dotted" w:sz="4" w:space="0" w:color="auto"/>
            </w:tcBorders>
            <w:vAlign w:val="center"/>
            <w:hideMark/>
          </w:tcPr>
          <w:p w14:paraId="001850A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19.22</w:t>
            </w:r>
          </w:p>
        </w:tc>
        <w:tc>
          <w:tcPr>
            <w:tcW w:w="1104" w:type="dxa"/>
            <w:tcBorders>
              <w:top w:val="dotted" w:sz="4" w:space="0" w:color="auto"/>
              <w:bottom w:val="dotted" w:sz="4" w:space="0" w:color="auto"/>
              <w:right w:val="dotted" w:sz="4" w:space="0" w:color="auto"/>
            </w:tcBorders>
            <w:vAlign w:val="center"/>
            <w:hideMark/>
          </w:tcPr>
          <w:p w14:paraId="3FDAEFE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581.1049</w:t>
            </w:r>
          </w:p>
        </w:tc>
        <w:tc>
          <w:tcPr>
            <w:tcW w:w="973" w:type="dxa"/>
            <w:tcBorders>
              <w:top w:val="dotted" w:sz="4" w:space="0" w:color="auto"/>
              <w:bottom w:val="dotted" w:sz="4" w:space="0" w:color="auto"/>
              <w:right w:val="dotted" w:sz="4" w:space="0" w:color="auto"/>
            </w:tcBorders>
            <w:vAlign w:val="center"/>
            <w:hideMark/>
          </w:tcPr>
          <w:p w14:paraId="4D327DE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top w:val="dotted" w:sz="4" w:space="0" w:color="auto"/>
              <w:bottom w:val="dotted" w:sz="4" w:space="0" w:color="auto"/>
            </w:tcBorders>
            <w:vAlign w:val="center"/>
            <w:hideMark/>
          </w:tcPr>
          <w:p w14:paraId="25161B7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479" w:type="dxa"/>
            <w:tcBorders>
              <w:top w:val="dotted" w:sz="4" w:space="0" w:color="auto"/>
              <w:left w:val="dotted" w:sz="4" w:space="0" w:color="auto"/>
              <w:bottom w:val="dotted" w:sz="4" w:space="0" w:color="auto"/>
              <w:right w:val="dotted" w:sz="4" w:space="0" w:color="auto"/>
            </w:tcBorders>
          </w:tcPr>
          <w:p w14:paraId="5C2824FA"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tcBorders>
              <w:top w:val="dotted" w:sz="4" w:space="0" w:color="auto"/>
              <w:bottom w:val="dotted" w:sz="4" w:space="0" w:color="auto"/>
            </w:tcBorders>
            <w:vAlign w:val="center"/>
          </w:tcPr>
          <w:p w14:paraId="0B1F83F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bottom w:val="dotted" w:sz="4" w:space="0" w:color="auto"/>
            </w:tcBorders>
            <w:vAlign w:val="center"/>
          </w:tcPr>
          <w:p w14:paraId="5317030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top w:val="dotted" w:sz="4" w:space="0" w:color="auto"/>
              <w:left w:val="dotted" w:sz="4" w:space="0" w:color="auto"/>
              <w:bottom w:val="dotted" w:sz="4" w:space="0" w:color="auto"/>
            </w:tcBorders>
          </w:tcPr>
          <w:p w14:paraId="34DB40D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r w:rsidR="00E049CB" w:rsidRPr="005E6B7C" w14:paraId="52C50AFF" w14:textId="77777777" w:rsidTr="000B7F16">
        <w:trPr>
          <w:jc w:val="center"/>
        </w:trPr>
        <w:tc>
          <w:tcPr>
            <w:tcW w:w="456" w:type="dxa"/>
            <w:tcBorders>
              <w:right w:val="dotted" w:sz="4" w:space="0" w:color="auto"/>
            </w:tcBorders>
            <w:vAlign w:val="center"/>
            <w:hideMark/>
          </w:tcPr>
          <w:p w14:paraId="6AB523E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w:t>
            </w:r>
          </w:p>
        </w:tc>
        <w:tc>
          <w:tcPr>
            <w:tcW w:w="2179" w:type="dxa"/>
            <w:vAlign w:val="center"/>
            <w:hideMark/>
          </w:tcPr>
          <w:p w14:paraId="422F805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w:t>
            </w:r>
          </w:p>
        </w:tc>
        <w:tc>
          <w:tcPr>
            <w:tcW w:w="823" w:type="dxa"/>
            <w:tcBorders>
              <w:left w:val="dotted" w:sz="4" w:space="0" w:color="auto"/>
              <w:right w:val="dotted" w:sz="4" w:space="0" w:color="auto"/>
            </w:tcBorders>
            <w:vAlign w:val="center"/>
            <w:hideMark/>
          </w:tcPr>
          <w:p w14:paraId="335BED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19.53</w:t>
            </w:r>
          </w:p>
        </w:tc>
        <w:tc>
          <w:tcPr>
            <w:tcW w:w="1104" w:type="dxa"/>
            <w:tcBorders>
              <w:right w:val="dotted" w:sz="4" w:space="0" w:color="auto"/>
            </w:tcBorders>
            <w:vAlign w:val="center"/>
            <w:hideMark/>
          </w:tcPr>
          <w:p w14:paraId="68ABF02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597.1337</w:t>
            </w:r>
          </w:p>
        </w:tc>
        <w:tc>
          <w:tcPr>
            <w:tcW w:w="973" w:type="dxa"/>
            <w:tcBorders>
              <w:right w:val="dotted" w:sz="4" w:space="0" w:color="auto"/>
            </w:tcBorders>
            <w:vAlign w:val="center"/>
            <w:hideMark/>
          </w:tcPr>
          <w:p w14:paraId="2727E23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vAlign w:val="center"/>
            <w:hideMark/>
          </w:tcPr>
          <w:p w14:paraId="401DB1E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479" w:type="dxa"/>
            <w:tcBorders>
              <w:left w:val="dotted" w:sz="4" w:space="0" w:color="auto"/>
              <w:right w:val="dotted" w:sz="4" w:space="0" w:color="auto"/>
            </w:tcBorders>
          </w:tcPr>
          <w:p w14:paraId="4E3F53B8"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vAlign w:val="center"/>
          </w:tcPr>
          <w:p w14:paraId="6E7BA16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tcBorders>
            <w:vAlign w:val="center"/>
          </w:tcPr>
          <w:p w14:paraId="17EB7A9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left w:val="dotted" w:sz="4" w:space="0" w:color="auto"/>
            </w:tcBorders>
          </w:tcPr>
          <w:p w14:paraId="3FCA665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r w:rsidR="00E049CB" w:rsidRPr="005E6B7C" w14:paraId="392C89DE"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6C43A7F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w:t>
            </w:r>
          </w:p>
        </w:tc>
        <w:tc>
          <w:tcPr>
            <w:tcW w:w="2179" w:type="dxa"/>
            <w:tcBorders>
              <w:top w:val="dotted" w:sz="4" w:space="0" w:color="auto"/>
              <w:bottom w:val="dotted" w:sz="4" w:space="0" w:color="auto"/>
            </w:tcBorders>
            <w:vAlign w:val="center"/>
            <w:hideMark/>
          </w:tcPr>
          <w:p w14:paraId="7A905618" w14:textId="77777777" w:rsidR="00E049CB" w:rsidRPr="005E6B7C" w:rsidRDefault="00E049CB" w:rsidP="008C0D47">
            <w:pPr>
              <w:tabs>
                <w:tab w:val="left" w:pos="270"/>
                <w:tab w:val="left" w:pos="540"/>
                <w:tab w:val="left" w:pos="9270"/>
              </w:tabs>
              <w:jc w:val="both"/>
              <w:textAlignment w:val="center"/>
              <w:rPr>
                <w:rFonts w:asciiTheme="majorHAnsi" w:eastAsia="Times New Roman" w:hAnsiTheme="majorHAnsi" w:cstheme="majorHAnsi"/>
                <w:color w:val="000000" w:themeColor="text1"/>
                <w:spacing w:val="-10"/>
                <w:sz w:val="16"/>
                <w:szCs w:val="16"/>
              </w:rPr>
            </w:pPr>
            <w:r w:rsidRPr="005E6B7C">
              <w:rPr>
                <w:rFonts w:asciiTheme="majorHAnsi" w:eastAsia="Cambria" w:hAnsiTheme="majorHAnsi" w:cstheme="majorHAnsi"/>
                <w:color w:val="000000" w:themeColor="text1"/>
                <w:spacing w:val="-10"/>
                <w:kern w:val="24"/>
                <w:sz w:val="16"/>
                <w:szCs w:val="16"/>
              </w:rPr>
              <w:t>Fatty acids (9,12,13-trihydroxyoctadec-10-enoic acid)</w:t>
            </w:r>
          </w:p>
        </w:tc>
        <w:tc>
          <w:tcPr>
            <w:tcW w:w="823" w:type="dxa"/>
            <w:tcBorders>
              <w:top w:val="dotted" w:sz="4" w:space="0" w:color="auto"/>
              <w:left w:val="dotted" w:sz="4" w:space="0" w:color="auto"/>
              <w:bottom w:val="dotted" w:sz="4" w:space="0" w:color="auto"/>
              <w:right w:val="dotted" w:sz="4" w:space="0" w:color="auto"/>
            </w:tcBorders>
            <w:vAlign w:val="center"/>
            <w:hideMark/>
          </w:tcPr>
          <w:p w14:paraId="0E43D82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21.03</w:t>
            </w:r>
          </w:p>
        </w:tc>
        <w:tc>
          <w:tcPr>
            <w:tcW w:w="1104" w:type="dxa"/>
            <w:tcBorders>
              <w:top w:val="dotted" w:sz="4" w:space="0" w:color="auto"/>
              <w:bottom w:val="dotted" w:sz="4" w:space="0" w:color="auto"/>
              <w:right w:val="dotted" w:sz="4" w:space="0" w:color="auto"/>
            </w:tcBorders>
            <w:vAlign w:val="center"/>
            <w:hideMark/>
          </w:tcPr>
          <w:p w14:paraId="5BC6EB6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329.3259</w:t>
            </w:r>
          </w:p>
        </w:tc>
        <w:tc>
          <w:tcPr>
            <w:tcW w:w="973" w:type="dxa"/>
            <w:tcBorders>
              <w:top w:val="dotted" w:sz="4" w:space="0" w:color="auto"/>
              <w:bottom w:val="dotted" w:sz="4" w:space="0" w:color="auto"/>
              <w:right w:val="dotted" w:sz="4" w:space="0" w:color="auto"/>
            </w:tcBorders>
            <w:vAlign w:val="center"/>
            <w:hideMark/>
          </w:tcPr>
          <w:p w14:paraId="7942064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top w:val="dotted" w:sz="4" w:space="0" w:color="auto"/>
              <w:bottom w:val="dotted" w:sz="4" w:space="0" w:color="auto"/>
            </w:tcBorders>
            <w:vAlign w:val="center"/>
            <w:hideMark/>
          </w:tcPr>
          <w:p w14:paraId="74F83B5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18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34</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5</w:t>
            </w:r>
          </w:p>
        </w:tc>
        <w:tc>
          <w:tcPr>
            <w:tcW w:w="1479" w:type="dxa"/>
            <w:tcBorders>
              <w:top w:val="dotted" w:sz="4" w:space="0" w:color="auto"/>
              <w:left w:val="dotted" w:sz="4" w:space="0" w:color="auto"/>
              <w:bottom w:val="dotted" w:sz="4" w:space="0" w:color="auto"/>
              <w:right w:val="dotted" w:sz="4" w:space="0" w:color="auto"/>
            </w:tcBorders>
          </w:tcPr>
          <w:p w14:paraId="72097F8C"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tcBorders>
              <w:top w:val="dotted" w:sz="4" w:space="0" w:color="auto"/>
              <w:bottom w:val="dotted" w:sz="4" w:space="0" w:color="auto"/>
            </w:tcBorders>
            <w:vAlign w:val="center"/>
          </w:tcPr>
          <w:p w14:paraId="716F234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bottom w:val="dotted" w:sz="4" w:space="0" w:color="auto"/>
            </w:tcBorders>
            <w:vAlign w:val="center"/>
          </w:tcPr>
          <w:p w14:paraId="4FAA548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top w:val="dotted" w:sz="4" w:space="0" w:color="auto"/>
              <w:left w:val="dotted" w:sz="4" w:space="0" w:color="auto"/>
              <w:bottom w:val="dotted" w:sz="4" w:space="0" w:color="auto"/>
            </w:tcBorders>
          </w:tcPr>
          <w:p w14:paraId="5478CBB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r w:rsidR="00E049CB" w:rsidRPr="005E6B7C" w14:paraId="0DB6840D" w14:textId="77777777" w:rsidTr="000B7F16">
        <w:trPr>
          <w:jc w:val="center"/>
        </w:trPr>
        <w:tc>
          <w:tcPr>
            <w:tcW w:w="456" w:type="dxa"/>
            <w:tcBorders>
              <w:right w:val="dotted" w:sz="4" w:space="0" w:color="auto"/>
            </w:tcBorders>
            <w:vAlign w:val="center"/>
            <w:hideMark/>
          </w:tcPr>
          <w:p w14:paraId="7CB1E7A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w:t>
            </w:r>
          </w:p>
        </w:tc>
        <w:tc>
          <w:tcPr>
            <w:tcW w:w="2179" w:type="dxa"/>
            <w:vAlign w:val="center"/>
            <w:hideMark/>
          </w:tcPr>
          <w:p w14:paraId="5011FCD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Kaempferol-3-</w:t>
            </w:r>
            <w:r w:rsidRPr="005E6B7C">
              <w:rPr>
                <w:rFonts w:asciiTheme="majorHAnsi" w:eastAsia="Cambria" w:hAnsiTheme="majorHAnsi" w:cstheme="majorHAnsi"/>
                <w:i/>
                <w:color w:val="000000" w:themeColor="text1"/>
                <w:kern w:val="24"/>
                <w:sz w:val="16"/>
                <w:szCs w:val="16"/>
                <w:lang w:eastAsia="ja-JP"/>
              </w:rPr>
              <w:t>O</w:t>
            </w:r>
            <w:r w:rsidRPr="005E6B7C">
              <w:rPr>
                <w:rFonts w:asciiTheme="majorHAnsi" w:eastAsia="Cambria" w:hAnsiTheme="majorHAnsi" w:cstheme="majorHAnsi"/>
                <w:color w:val="000000" w:themeColor="text1"/>
                <w:kern w:val="24"/>
                <w:sz w:val="16"/>
                <w:szCs w:val="16"/>
                <w:lang w:eastAsia="ja-JP"/>
              </w:rPr>
              <w:t>-</w:t>
            </w:r>
            <w:r w:rsidRPr="005E6B7C">
              <w:rPr>
                <w:rFonts w:asciiTheme="majorHAnsi" w:eastAsia="Cambria" w:hAnsiTheme="majorHAnsi" w:cstheme="majorHAnsi"/>
                <w:i/>
                <w:iCs/>
                <w:color w:val="000000" w:themeColor="text1"/>
                <w:kern w:val="24"/>
                <w:sz w:val="16"/>
                <w:szCs w:val="16"/>
                <w:lang w:eastAsia="ja-JP"/>
              </w:rPr>
              <w:t>β</w:t>
            </w:r>
            <w:r w:rsidRPr="005E6B7C">
              <w:rPr>
                <w:rFonts w:asciiTheme="majorHAnsi" w:eastAsia="Cambria" w:hAnsiTheme="majorHAnsi" w:cstheme="majorHAnsi"/>
                <w:color w:val="000000" w:themeColor="text1"/>
                <w:kern w:val="24"/>
                <w:sz w:val="16"/>
                <w:szCs w:val="16"/>
                <w:lang w:eastAsia="ja-JP"/>
              </w:rPr>
              <w:t>-rutinoside</w:t>
            </w:r>
          </w:p>
        </w:tc>
        <w:tc>
          <w:tcPr>
            <w:tcW w:w="823" w:type="dxa"/>
            <w:tcBorders>
              <w:left w:val="dotted" w:sz="4" w:space="0" w:color="auto"/>
              <w:right w:val="dotted" w:sz="4" w:space="0" w:color="auto"/>
            </w:tcBorders>
            <w:vAlign w:val="center"/>
            <w:hideMark/>
          </w:tcPr>
          <w:p w14:paraId="5D1D9D0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21.41</w:t>
            </w:r>
          </w:p>
        </w:tc>
        <w:tc>
          <w:tcPr>
            <w:tcW w:w="1104" w:type="dxa"/>
            <w:tcBorders>
              <w:right w:val="dotted" w:sz="4" w:space="0" w:color="auto"/>
            </w:tcBorders>
            <w:vAlign w:val="center"/>
            <w:hideMark/>
          </w:tcPr>
          <w:p w14:paraId="541EA02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593.1322</w:t>
            </w:r>
          </w:p>
        </w:tc>
        <w:tc>
          <w:tcPr>
            <w:tcW w:w="973" w:type="dxa"/>
            <w:tcBorders>
              <w:right w:val="dotted" w:sz="4" w:space="0" w:color="auto"/>
            </w:tcBorders>
            <w:vAlign w:val="center"/>
            <w:hideMark/>
          </w:tcPr>
          <w:p w14:paraId="35F2433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593.1512</w:t>
            </w:r>
          </w:p>
        </w:tc>
        <w:tc>
          <w:tcPr>
            <w:tcW w:w="952" w:type="dxa"/>
            <w:vAlign w:val="center"/>
            <w:hideMark/>
          </w:tcPr>
          <w:p w14:paraId="2A089E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27</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30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15</w:t>
            </w:r>
          </w:p>
        </w:tc>
        <w:tc>
          <w:tcPr>
            <w:tcW w:w="1479" w:type="dxa"/>
            <w:tcBorders>
              <w:left w:val="dotted" w:sz="4" w:space="0" w:color="auto"/>
              <w:right w:val="dotted" w:sz="4" w:space="0" w:color="auto"/>
            </w:tcBorders>
          </w:tcPr>
          <w:p w14:paraId="27C486D8"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557[M−H−2H</w:t>
            </w:r>
            <w:r w:rsidRPr="005E6B7C">
              <w:rPr>
                <w:rFonts w:asciiTheme="majorHAnsi" w:eastAsia="Cambria" w:hAnsiTheme="majorHAnsi" w:cstheme="majorHAnsi"/>
                <w:color w:val="000000" w:themeColor="text1"/>
                <w:kern w:val="24"/>
                <w:sz w:val="16"/>
                <w:szCs w:val="16"/>
                <w:vertAlign w:val="subscript"/>
                <w:lang w:eastAsia="ja-JP"/>
              </w:rPr>
              <w:t>2</w:t>
            </w:r>
            <w:r w:rsidRPr="005E6B7C">
              <w:rPr>
                <w:rFonts w:asciiTheme="majorHAnsi" w:eastAsia="Cambria" w:hAnsiTheme="majorHAnsi" w:cstheme="majorHAnsi"/>
                <w:color w:val="000000" w:themeColor="text1"/>
                <w:kern w:val="24"/>
                <w:sz w:val="16"/>
                <w:szCs w:val="16"/>
                <w:lang w:eastAsia="ja-JP"/>
              </w:rPr>
              <w:t>O]⁻</w:t>
            </w:r>
          </w:p>
        </w:tc>
        <w:tc>
          <w:tcPr>
            <w:tcW w:w="716" w:type="dxa"/>
            <w:vAlign w:val="center"/>
          </w:tcPr>
          <w:p w14:paraId="3975C32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tcBorders>
            <w:vAlign w:val="center"/>
          </w:tcPr>
          <w:p w14:paraId="75CD130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254</w:t>
            </w:r>
          </w:p>
        </w:tc>
        <w:tc>
          <w:tcPr>
            <w:tcW w:w="764" w:type="dxa"/>
            <w:tcBorders>
              <w:left w:val="dotted" w:sz="4" w:space="0" w:color="auto"/>
            </w:tcBorders>
          </w:tcPr>
          <w:p w14:paraId="575FB52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32.03</w:t>
            </w:r>
          </w:p>
        </w:tc>
      </w:tr>
      <w:tr w:rsidR="00E049CB" w:rsidRPr="005E6B7C" w14:paraId="4051F8C4" w14:textId="77777777" w:rsidTr="000B7F16">
        <w:trPr>
          <w:jc w:val="center"/>
        </w:trPr>
        <w:tc>
          <w:tcPr>
            <w:tcW w:w="456" w:type="dxa"/>
            <w:tcBorders>
              <w:top w:val="dotted" w:sz="4" w:space="0" w:color="auto"/>
              <w:bottom w:val="dotted" w:sz="4" w:space="0" w:color="auto"/>
              <w:right w:val="dotted" w:sz="4" w:space="0" w:color="auto"/>
            </w:tcBorders>
            <w:vAlign w:val="center"/>
            <w:hideMark/>
          </w:tcPr>
          <w:p w14:paraId="2DF48E2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w:t>
            </w:r>
          </w:p>
        </w:tc>
        <w:tc>
          <w:tcPr>
            <w:tcW w:w="2179" w:type="dxa"/>
            <w:tcBorders>
              <w:top w:val="dotted" w:sz="4" w:space="0" w:color="auto"/>
              <w:bottom w:val="dotted" w:sz="4" w:space="0" w:color="auto"/>
            </w:tcBorders>
            <w:vAlign w:val="center"/>
            <w:hideMark/>
          </w:tcPr>
          <w:p w14:paraId="19FD9D06"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Physalin G</w:t>
            </w:r>
          </w:p>
        </w:tc>
        <w:tc>
          <w:tcPr>
            <w:tcW w:w="823" w:type="dxa"/>
            <w:tcBorders>
              <w:top w:val="dotted" w:sz="4" w:space="0" w:color="auto"/>
              <w:left w:val="dotted" w:sz="4" w:space="0" w:color="auto"/>
              <w:bottom w:val="dotted" w:sz="4" w:space="0" w:color="auto"/>
              <w:right w:val="dotted" w:sz="4" w:space="0" w:color="auto"/>
            </w:tcBorders>
            <w:vAlign w:val="center"/>
            <w:hideMark/>
          </w:tcPr>
          <w:p w14:paraId="317DAD8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21.85</w:t>
            </w:r>
          </w:p>
        </w:tc>
        <w:tc>
          <w:tcPr>
            <w:tcW w:w="1104" w:type="dxa"/>
            <w:tcBorders>
              <w:top w:val="dotted" w:sz="4" w:space="0" w:color="auto"/>
              <w:bottom w:val="dotted" w:sz="4" w:space="0" w:color="auto"/>
              <w:right w:val="dotted" w:sz="4" w:space="0" w:color="auto"/>
            </w:tcBorders>
            <w:vAlign w:val="center"/>
            <w:hideMark/>
          </w:tcPr>
          <w:p w14:paraId="3D76A5F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561.1573</w:t>
            </w:r>
          </w:p>
        </w:tc>
        <w:tc>
          <w:tcPr>
            <w:tcW w:w="973" w:type="dxa"/>
            <w:tcBorders>
              <w:top w:val="dotted" w:sz="4" w:space="0" w:color="auto"/>
              <w:bottom w:val="dotted" w:sz="4" w:space="0" w:color="auto"/>
              <w:right w:val="dotted" w:sz="4" w:space="0" w:color="auto"/>
            </w:tcBorders>
            <w:vAlign w:val="center"/>
            <w:hideMark/>
          </w:tcPr>
          <w:p w14:paraId="0BC944E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561.1533</w:t>
            </w:r>
          </w:p>
        </w:tc>
        <w:tc>
          <w:tcPr>
            <w:tcW w:w="952" w:type="dxa"/>
            <w:tcBorders>
              <w:top w:val="dotted" w:sz="4" w:space="0" w:color="auto"/>
              <w:bottom w:val="dotted" w:sz="4" w:space="0" w:color="auto"/>
            </w:tcBorders>
            <w:vAlign w:val="center"/>
            <w:hideMark/>
          </w:tcPr>
          <w:p w14:paraId="4366164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C</w:t>
            </w:r>
            <w:r w:rsidRPr="005E6B7C">
              <w:rPr>
                <w:rFonts w:asciiTheme="majorHAnsi" w:eastAsia="Cambria" w:hAnsiTheme="majorHAnsi" w:cstheme="majorHAnsi"/>
                <w:color w:val="000000" w:themeColor="text1"/>
                <w:kern w:val="24"/>
                <w:position w:val="-6"/>
                <w:sz w:val="16"/>
                <w:szCs w:val="16"/>
                <w:vertAlign w:val="subscript"/>
                <w:lang w:eastAsia="ja-JP"/>
              </w:rPr>
              <w:t>28</w:t>
            </w:r>
            <w:r w:rsidRPr="005E6B7C">
              <w:rPr>
                <w:rFonts w:asciiTheme="majorHAnsi" w:eastAsia="Cambria" w:hAnsiTheme="majorHAnsi" w:cstheme="majorHAnsi"/>
                <w:color w:val="000000" w:themeColor="text1"/>
                <w:kern w:val="24"/>
                <w:sz w:val="16"/>
                <w:szCs w:val="16"/>
                <w:lang w:eastAsia="ja-JP"/>
              </w:rPr>
              <w:t>H</w:t>
            </w:r>
            <w:r w:rsidRPr="005E6B7C">
              <w:rPr>
                <w:rFonts w:asciiTheme="majorHAnsi" w:eastAsia="Cambria" w:hAnsiTheme="majorHAnsi" w:cstheme="majorHAnsi"/>
                <w:color w:val="000000" w:themeColor="text1"/>
                <w:kern w:val="24"/>
                <w:position w:val="-6"/>
                <w:sz w:val="16"/>
                <w:szCs w:val="16"/>
                <w:vertAlign w:val="subscript"/>
                <w:lang w:eastAsia="ja-JP"/>
              </w:rPr>
              <w:t>20</w:t>
            </w:r>
            <w:r w:rsidRPr="005E6B7C">
              <w:rPr>
                <w:rFonts w:asciiTheme="majorHAnsi" w:eastAsia="Cambria" w:hAnsiTheme="majorHAnsi" w:cstheme="majorHAnsi"/>
                <w:color w:val="000000" w:themeColor="text1"/>
                <w:kern w:val="24"/>
                <w:sz w:val="16"/>
                <w:szCs w:val="16"/>
                <w:lang w:eastAsia="ja-JP"/>
              </w:rPr>
              <w:t>O</w:t>
            </w:r>
            <w:r w:rsidRPr="005E6B7C">
              <w:rPr>
                <w:rFonts w:asciiTheme="majorHAnsi" w:eastAsia="Cambria" w:hAnsiTheme="majorHAnsi" w:cstheme="majorHAnsi"/>
                <w:color w:val="000000" w:themeColor="text1"/>
                <w:kern w:val="24"/>
                <w:position w:val="-6"/>
                <w:sz w:val="16"/>
                <w:szCs w:val="16"/>
                <w:vertAlign w:val="subscript"/>
                <w:lang w:eastAsia="ja-JP"/>
              </w:rPr>
              <w:t>10</w:t>
            </w:r>
            <w:r w:rsidRPr="005E6B7C">
              <w:rPr>
                <w:rFonts w:asciiTheme="majorHAnsi" w:eastAsia="Cambria" w:hAnsiTheme="majorHAnsi" w:cstheme="majorHAnsi"/>
                <w:color w:val="000000" w:themeColor="text1"/>
                <w:kern w:val="24"/>
                <w:position w:val="7"/>
                <w:sz w:val="16"/>
                <w:szCs w:val="16"/>
                <w:vertAlign w:val="superscript"/>
                <w:lang w:eastAsia="ja-JP"/>
              </w:rPr>
              <w:t>b</w:t>
            </w:r>
          </w:p>
        </w:tc>
        <w:tc>
          <w:tcPr>
            <w:tcW w:w="1479" w:type="dxa"/>
            <w:tcBorders>
              <w:top w:val="dotted" w:sz="4" w:space="0" w:color="auto"/>
              <w:left w:val="dotted" w:sz="4" w:space="0" w:color="auto"/>
              <w:bottom w:val="dotted" w:sz="4" w:space="0" w:color="auto"/>
              <w:right w:val="dotted" w:sz="4" w:space="0" w:color="auto"/>
            </w:tcBorders>
          </w:tcPr>
          <w:p w14:paraId="3E71AE5C"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525[M–H]⁻</w:t>
            </w:r>
          </w:p>
        </w:tc>
        <w:tc>
          <w:tcPr>
            <w:tcW w:w="716" w:type="dxa"/>
            <w:tcBorders>
              <w:top w:val="dotted" w:sz="4" w:space="0" w:color="auto"/>
              <w:bottom w:val="dotted" w:sz="4" w:space="0" w:color="auto"/>
            </w:tcBorders>
            <w:vAlign w:val="center"/>
          </w:tcPr>
          <w:p w14:paraId="2A3ACF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top w:val="dotted" w:sz="4" w:space="0" w:color="auto"/>
              <w:left w:val="dotted" w:sz="4" w:space="0" w:color="auto"/>
              <w:bottom w:val="dotted" w:sz="4" w:space="0" w:color="auto"/>
            </w:tcBorders>
            <w:vAlign w:val="center"/>
          </w:tcPr>
          <w:p w14:paraId="2D49410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214</w:t>
            </w:r>
          </w:p>
        </w:tc>
        <w:tc>
          <w:tcPr>
            <w:tcW w:w="764" w:type="dxa"/>
            <w:tcBorders>
              <w:top w:val="dotted" w:sz="4" w:space="0" w:color="auto"/>
              <w:left w:val="dotted" w:sz="4" w:space="0" w:color="auto"/>
              <w:bottom w:val="dotted" w:sz="4" w:space="0" w:color="auto"/>
            </w:tcBorders>
          </w:tcPr>
          <w:p w14:paraId="6E514F09"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r w:rsidRPr="005E6B7C">
              <w:rPr>
                <w:rFonts w:asciiTheme="majorHAnsi" w:eastAsia="Cambria" w:hAnsiTheme="majorHAnsi" w:cstheme="majorHAnsi"/>
                <w:color w:val="000000" w:themeColor="text1"/>
                <w:kern w:val="24"/>
                <w:sz w:val="16"/>
                <w:szCs w:val="16"/>
                <w:lang w:eastAsia="ja-JP"/>
              </w:rPr>
              <w:t>7.13</w:t>
            </w:r>
          </w:p>
        </w:tc>
      </w:tr>
      <w:tr w:rsidR="00E049CB" w:rsidRPr="005E6B7C" w14:paraId="6791BD17" w14:textId="77777777" w:rsidTr="000B7F16">
        <w:trPr>
          <w:jc w:val="center"/>
        </w:trPr>
        <w:tc>
          <w:tcPr>
            <w:tcW w:w="456" w:type="dxa"/>
            <w:tcBorders>
              <w:bottom w:val="dotted" w:sz="4" w:space="0" w:color="auto"/>
              <w:right w:val="dotted" w:sz="4" w:space="0" w:color="auto"/>
            </w:tcBorders>
            <w:vAlign w:val="center"/>
            <w:hideMark/>
          </w:tcPr>
          <w:p w14:paraId="23C151A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w:t>
            </w:r>
          </w:p>
        </w:tc>
        <w:tc>
          <w:tcPr>
            <w:tcW w:w="2179" w:type="dxa"/>
            <w:tcBorders>
              <w:bottom w:val="dotted" w:sz="4" w:space="0" w:color="auto"/>
            </w:tcBorders>
            <w:hideMark/>
          </w:tcPr>
          <w:p w14:paraId="4A65E3A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kern w:val="24"/>
                <w:sz w:val="16"/>
                <w:szCs w:val="16"/>
                <w:lang w:eastAsia="ja-JP"/>
              </w:rPr>
              <w:t>-</w:t>
            </w:r>
          </w:p>
        </w:tc>
        <w:tc>
          <w:tcPr>
            <w:tcW w:w="823" w:type="dxa"/>
            <w:tcBorders>
              <w:left w:val="dotted" w:sz="4" w:space="0" w:color="auto"/>
              <w:bottom w:val="dotted" w:sz="4" w:space="0" w:color="auto"/>
              <w:right w:val="dotted" w:sz="4" w:space="0" w:color="auto"/>
            </w:tcBorders>
            <w:vAlign w:val="center"/>
            <w:hideMark/>
          </w:tcPr>
          <w:p w14:paraId="41DA9CA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23.47</w:t>
            </w:r>
          </w:p>
        </w:tc>
        <w:tc>
          <w:tcPr>
            <w:tcW w:w="1104" w:type="dxa"/>
            <w:tcBorders>
              <w:bottom w:val="dotted" w:sz="4" w:space="0" w:color="auto"/>
              <w:right w:val="dotted" w:sz="4" w:space="0" w:color="auto"/>
            </w:tcBorders>
            <w:vAlign w:val="center"/>
            <w:hideMark/>
          </w:tcPr>
          <w:p w14:paraId="7AB7EA6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479.1771</w:t>
            </w:r>
          </w:p>
        </w:tc>
        <w:tc>
          <w:tcPr>
            <w:tcW w:w="973" w:type="dxa"/>
            <w:tcBorders>
              <w:bottom w:val="dotted" w:sz="4" w:space="0" w:color="auto"/>
              <w:right w:val="dotted" w:sz="4" w:space="0" w:color="auto"/>
            </w:tcBorders>
            <w:vAlign w:val="center"/>
            <w:hideMark/>
          </w:tcPr>
          <w:p w14:paraId="7CA9A0A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bottom w:val="dotted" w:sz="4" w:space="0" w:color="auto"/>
            </w:tcBorders>
            <w:vAlign w:val="center"/>
            <w:hideMark/>
          </w:tcPr>
          <w:p w14:paraId="1284278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479" w:type="dxa"/>
            <w:tcBorders>
              <w:left w:val="dotted" w:sz="4" w:space="0" w:color="auto"/>
              <w:bottom w:val="dotted" w:sz="4" w:space="0" w:color="auto"/>
              <w:right w:val="dotted" w:sz="4" w:space="0" w:color="auto"/>
            </w:tcBorders>
          </w:tcPr>
          <w:p w14:paraId="72ECC38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16" w:type="dxa"/>
            <w:tcBorders>
              <w:bottom w:val="dotted" w:sz="4" w:space="0" w:color="auto"/>
            </w:tcBorders>
            <w:vAlign w:val="center"/>
          </w:tcPr>
          <w:p w14:paraId="0014E97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678" w:type="dxa"/>
            <w:tcBorders>
              <w:left w:val="dotted" w:sz="4" w:space="0" w:color="auto"/>
              <w:bottom w:val="dotted" w:sz="4" w:space="0" w:color="auto"/>
            </w:tcBorders>
            <w:vAlign w:val="center"/>
          </w:tcPr>
          <w:p w14:paraId="3D4CECF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left w:val="dotted" w:sz="4" w:space="0" w:color="auto"/>
              <w:bottom w:val="dotted" w:sz="4" w:space="0" w:color="auto"/>
            </w:tcBorders>
          </w:tcPr>
          <w:p w14:paraId="4B2BBA2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r w:rsidR="00E049CB" w:rsidRPr="005E6B7C" w14:paraId="774EFE58" w14:textId="77777777" w:rsidTr="000B7F16">
        <w:trPr>
          <w:jc w:val="center"/>
        </w:trPr>
        <w:tc>
          <w:tcPr>
            <w:tcW w:w="456" w:type="dxa"/>
            <w:tcBorders>
              <w:bottom w:val="dotted" w:sz="4" w:space="0" w:color="auto"/>
              <w:right w:val="dotted" w:sz="4" w:space="0" w:color="auto"/>
            </w:tcBorders>
            <w:vAlign w:val="center"/>
            <w:hideMark/>
          </w:tcPr>
          <w:p w14:paraId="5D10016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w:t>
            </w:r>
          </w:p>
        </w:tc>
        <w:tc>
          <w:tcPr>
            <w:tcW w:w="2179" w:type="dxa"/>
            <w:tcBorders>
              <w:bottom w:val="dotted" w:sz="4" w:space="0" w:color="auto"/>
            </w:tcBorders>
            <w:vAlign w:val="center"/>
            <w:hideMark/>
          </w:tcPr>
          <w:p w14:paraId="4A12DBC1"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23" w:type="dxa"/>
            <w:tcBorders>
              <w:left w:val="dotted" w:sz="4" w:space="0" w:color="auto"/>
              <w:bottom w:val="dotted" w:sz="4" w:space="0" w:color="auto"/>
              <w:right w:val="dotted" w:sz="4" w:space="0" w:color="auto"/>
            </w:tcBorders>
            <w:vAlign w:val="center"/>
            <w:hideMark/>
          </w:tcPr>
          <w:p w14:paraId="5085674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26.03</w:t>
            </w:r>
          </w:p>
        </w:tc>
        <w:tc>
          <w:tcPr>
            <w:tcW w:w="1104" w:type="dxa"/>
            <w:tcBorders>
              <w:bottom w:val="dotted" w:sz="4" w:space="0" w:color="auto"/>
              <w:right w:val="dotted" w:sz="4" w:space="0" w:color="auto"/>
            </w:tcBorders>
            <w:vAlign w:val="center"/>
            <w:hideMark/>
          </w:tcPr>
          <w:p w14:paraId="28D926A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657.4546</w:t>
            </w:r>
          </w:p>
        </w:tc>
        <w:tc>
          <w:tcPr>
            <w:tcW w:w="973" w:type="dxa"/>
            <w:tcBorders>
              <w:bottom w:val="dotted" w:sz="4" w:space="0" w:color="auto"/>
              <w:right w:val="dotted" w:sz="4" w:space="0" w:color="auto"/>
            </w:tcBorders>
            <w:vAlign w:val="center"/>
            <w:hideMark/>
          </w:tcPr>
          <w:p w14:paraId="2DABBBA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tcBorders>
              <w:bottom w:val="dotted" w:sz="4" w:space="0" w:color="auto"/>
            </w:tcBorders>
            <w:vAlign w:val="center"/>
            <w:hideMark/>
          </w:tcPr>
          <w:p w14:paraId="304B460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479" w:type="dxa"/>
            <w:tcBorders>
              <w:left w:val="dotted" w:sz="4" w:space="0" w:color="auto"/>
              <w:bottom w:val="dotted" w:sz="4" w:space="0" w:color="auto"/>
              <w:right w:val="dotted" w:sz="4" w:space="0" w:color="auto"/>
            </w:tcBorders>
          </w:tcPr>
          <w:p w14:paraId="52CAF34E" w14:textId="77777777" w:rsidR="00E049CB" w:rsidRPr="005E6B7C" w:rsidRDefault="00E049CB" w:rsidP="008C0D47">
            <w:pPr>
              <w:tabs>
                <w:tab w:val="left" w:pos="270"/>
                <w:tab w:val="left" w:pos="540"/>
                <w:tab w:val="left" w:pos="9270"/>
              </w:tabs>
              <w:ind w:right="-20"/>
              <w:jc w:val="center"/>
              <w:rPr>
                <w:rFonts w:asciiTheme="majorHAnsi" w:eastAsia="Cambria" w:hAnsiTheme="majorHAnsi" w:cstheme="majorHAnsi"/>
                <w:color w:val="000000" w:themeColor="text1"/>
                <w:kern w:val="24"/>
                <w:sz w:val="16"/>
                <w:szCs w:val="16"/>
                <w:lang w:eastAsia="ja-JP"/>
              </w:rPr>
            </w:pPr>
          </w:p>
        </w:tc>
        <w:tc>
          <w:tcPr>
            <w:tcW w:w="716" w:type="dxa"/>
            <w:tcBorders>
              <w:bottom w:val="dotted" w:sz="4" w:space="0" w:color="auto"/>
            </w:tcBorders>
            <w:vAlign w:val="center"/>
          </w:tcPr>
          <w:p w14:paraId="4EE4D2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Cambria" w:hAnsiTheme="majorHAnsi" w:cstheme="majorHAnsi"/>
                <w:color w:val="000000" w:themeColor="text1"/>
                <w:kern w:val="24"/>
                <w:sz w:val="16"/>
                <w:szCs w:val="16"/>
                <w:lang w:eastAsia="ja-JP"/>
              </w:rPr>
              <w:t>10</w:t>
            </w:r>
          </w:p>
        </w:tc>
        <w:tc>
          <w:tcPr>
            <w:tcW w:w="678" w:type="dxa"/>
            <w:tcBorders>
              <w:left w:val="dotted" w:sz="4" w:space="0" w:color="auto"/>
              <w:bottom w:val="dotted" w:sz="4" w:space="0" w:color="auto"/>
            </w:tcBorders>
            <w:vAlign w:val="center"/>
          </w:tcPr>
          <w:p w14:paraId="3B7E79E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left w:val="dotted" w:sz="4" w:space="0" w:color="auto"/>
              <w:bottom w:val="dotted" w:sz="4" w:space="0" w:color="auto"/>
            </w:tcBorders>
          </w:tcPr>
          <w:p w14:paraId="7E17EF9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r w:rsidR="00E049CB" w:rsidRPr="005E6B7C" w14:paraId="18E9CD91" w14:textId="77777777" w:rsidTr="000B7F16">
        <w:trPr>
          <w:jc w:val="center"/>
        </w:trPr>
        <w:tc>
          <w:tcPr>
            <w:tcW w:w="456" w:type="dxa"/>
            <w:tcBorders>
              <w:right w:val="dotted" w:sz="4" w:space="0" w:color="auto"/>
            </w:tcBorders>
            <w:vAlign w:val="center"/>
            <w:hideMark/>
          </w:tcPr>
          <w:p w14:paraId="2C80604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w:t>
            </w:r>
          </w:p>
        </w:tc>
        <w:tc>
          <w:tcPr>
            <w:tcW w:w="2179" w:type="dxa"/>
            <w:vAlign w:val="center"/>
            <w:hideMark/>
          </w:tcPr>
          <w:p w14:paraId="53FAED7E"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23" w:type="dxa"/>
            <w:tcBorders>
              <w:left w:val="dotted" w:sz="4" w:space="0" w:color="auto"/>
              <w:right w:val="dotted" w:sz="4" w:space="0" w:color="auto"/>
            </w:tcBorders>
            <w:vAlign w:val="center"/>
            <w:hideMark/>
          </w:tcPr>
          <w:p w14:paraId="5C75E93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27.66</w:t>
            </w:r>
          </w:p>
        </w:tc>
        <w:tc>
          <w:tcPr>
            <w:tcW w:w="1104" w:type="dxa"/>
            <w:tcBorders>
              <w:right w:val="dotted" w:sz="4" w:space="0" w:color="auto"/>
            </w:tcBorders>
            <w:vAlign w:val="center"/>
            <w:hideMark/>
          </w:tcPr>
          <w:p w14:paraId="3280D92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301.2197</w:t>
            </w:r>
          </w:p>
        </w:tc>
        <w:tc>
          <w:tcPr>
            <w:tcW w:w="973" w:type="dxa"/>
            <w:tcBorders>
              <w:right w:val="dotted" w:sz="4" w:space="0" w:color="auto"/>
            </w:tcBorders>
            <w:vAlign w:val="center"/>
            <w:hideMark/>
          </w:tcPr>
          <w:p w14:paraId="1417251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52" w:type="dxa"/>
            <w:vAlign w:val="center"/>
            <w:hideMark/>
          </w:tcPr>
          <w:p w14:paraId="56F6326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479" w:type="dxa"/>
            <w:tcBorders>
              <w:left w:val="dotted" w:sz="4" w:space="0" w:color="auto"/>
              <w:right w:val="dotted" w:sz="4" w:space="0" w:color="auto"/>
            </w:tcBorders>
          </w:tcPr>
          <w:p w14:paraId="3DF9685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16" w:type="dxa"/>
          </w:tcPr>
          <w:p w14:paraId="2424F5A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678" w:type="dxa"/>
            <w:tcBorders>
              <w:left w:val="dotted" w:sz="4" w:space="0" w:color="auto"/>
            </w:tcBorders>
          </w:tcPr>
          <w:p w14:paraId="38EFC60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764" w:type="dxa"/>
            <w:tcBorders>
              <w:left w:val="dotted" w:sz="4" w:space="0" w:color="auto"/>
            </w:tcBorders>
          </w:tcPr>
          <w:p w14:paraId="618DD32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bl>
    <w:bookmarkEnd w:id="12"/>
    <w:p w14:paraId="5C800413" w14:textId="77777777" w:rsidR="00E049CB" w:rsidRPr="005E6B7C" w:rsidRDefault="00E049CB" w:rsidP="008C0D47">
      <w:pPr>
        <w:tabs>
          <w:tab w:val="left" w:pos="270"/>
          <w:tab w:val="left" w:pos="540"/>
          <w:tab w:val="left" w:pos="9270"/>
        </w:tabs>
        <w:spacing w:before="120"/>
        <w:ind w:right="-20" w:firstLine="284"/>
        <w:jc w:val="both"/>
        <w:rPr>
          <w:rFonts w:asciiTheme="majorHAnsi" w:eastAsia="Yu Mincho" w:hAnsiTheme="majorHAnsi" w:cstheme="majorHAnsi"/>
          <w:i/>
          <w:color w:val="000000" w:themeColor="text1"/>
          <w:sz w:val="18"/>
          <w:szCs w:val="18"/>
          <w:lang w:val="pt-BR" w:eastAsia="ja-JP"/>
        </w:rPr>
      </w:pPr>
      <w:r w:rsidRPr="005E6B7C">
        <w:rPr>
          <w:rFonts w:asciiTheme="majorHAnsi" w:eastAsia="Yu Mincho" w:hAnsiTheme="majorHAnsi" w:cstheme="majorHAnsi"/>
          <w:i/>
          <w:color w:val="000000" w:themeColor="text1"/>
          <w:sz w:val="18"/>
          <w:szCs w:val="18"/>
          <w:vertAlign w:val="superscript"/>
          <w:lang w:val="pt-BR" w:eastAsia="ja-JP"/>
        </w:rPr>
        <w:t>a</w:t>
      </w:r>
      <w:r w:rsidRPr="005E6B7C">
        <w:rPr>
          <w:rFonts w:asciiTheme="majorHAnsi" w:eastAsia="Yu Mincho" w:hAnsiTheme="majorHAnsi" w:cstheme="majorHAnsi"/>
          <w:i/>
          <w:color w:val="000000" w:themeColor="text1"/>
          <w:sz w:val="18"/>
          <w:szCs w:val="18"/>
          <w:lang w:val="pt-BR" w:eastAsia="ja-JP"/>
        </w:rPr>
        <w:t>[M + Cl]</w:t>
      </w:r>
      <w:r w:rsidRPr="005E6B7C">
        <w:rPr>
          <w:rFonts w:asciiTheme="majorHAnsi" w:eastAsia="Yu Mincho" w:hAnsiTheme="majorHAnsi" w:cstheme="majorHAnsi"/>
          <w:i/>
          <w:color w:val="000000" w:themeColor="text1"/>
          <w:sz w:val="18"/>
          <w:szCs w:val="18"/>
          <w:vertAlign w:val="superscript"/>
          <w:lang w:val="pt-BR" w:eastAsia="ja-JP"/>
        </w:rPr>
        <w:t>−</w:t>
      </w:r>
      <w:r w:rsidRPr="005E6B7C">
        <w:rPr>
          <w:rFonts w:asciiTheme="majorHAnsi" w:eastAsia="Yu Mincho" w:hAnsiTheme="majorHAnsi" w:cstheme="majorHAnsi"/>
          <w:i/>
          <w:color w:val="000000" w:themeColor="text1"/>
          <w:sz w:val="18"/>
          <w:szCs w:val="18"/>
          <w:lang w:val="pt-BR" w:eastAsia="ja-JP"/>
        </w:rPr>
        <w:t xml:space="preserve"> ; </w:t>
      </w:r>
      <w:r w:rsidRPr="005E6B7C">
        <w:rPr>
          <w:rFonts w:asciiTheme="majorHAnsi" w:eastAsia="Yu Mincho" w:hAnsiTheme="majorHAnsi" w:cstheme="majorHAnsi"/>
          <w:i/>
          <w:color w:val="000000" w:themeColor="text1"/>
          <w:sz w:val="18"/>
          <w:szCs w:val="18"/>
          <w:vertAlign w:val="superscript"/>
          <w:lang w:val="pt-BR" w:eastAsia="ja-JP"/>
        </w:rPr>
        <w:t>b</w:t>
      </w:r>
      <w:r w:rsidRPr="005E6B7C">
        <w:rPr>
          <w:rFonts w:asciiTheme="majorHAnsi" w:eastAsia="Yu Mincho" w:hAnsiTheme="majorHAnsi" w:cstheme="majorHAnsi"/>
          <w:i/>
          <w:color w:val="000000" w:themeColor="text1"/>
          <w:sz w:val="18"/>
          <w:szCs w:val="18"/>
          <w:lang w:val="pt-BR" w:eastAsia="ja-JP"/>
        </w:rPr>
        <w:t>[M + OH]</w:t>
      </w:r>
      <w:r w:rsidRPr="005E6B7C">
        <w:rPr>
          <w:rFonts w:asciiTheme="majorHAnsi" w:eastAsia="Yu Mincho" w:hAnsiTheme="majorHAnsi" w:cstheme="majorHAnsi"/>
          <w:i/>
          <w:color w:val="000000" w:themeColor="text1"/>
          <w:sz w:val="18"/>
          <w:szCs w:val="18"/>
          <w:vertAlign w:val="superscript"/>
          <w:lang w:val="pt-BR" w:eastAsia="ja-JP"/>
        </w:rPr>
        <w:t>−</w:t>
      </w:r>
      <w:r w:rsidRPr="005E6B7C">
        <w:rPr>
          <w:rFonts w:asciiTheme="majorHAnsi" w:eastAsia="Yu Mincho" w:hAnsiTheme="majorHAnsi" w:cstheme="majorHAnsi"/>
          <w:i/>
          <w:color w:val="000000" w:themeColor="text1"/>
          <w:sz w:val="18"/>
          <w:szCs w:val="18"/>
          <w:lang w:val="pt-BR" w:eastAsia="ja-JP"/>
        </w:rPr>
        <w:t xml:space="preserve"> ;</w:t>
      </w:r>
      <w:r w:rsidRPr="005E6B7C">
        <w:rPr>
          <w:rFonts w:asciiTheme="majorHAnsi" w:eastAsia="Yu Mincho" w:hAnsiTheme="majorHAnsi" w:cstheme="majorHAnsi"/>
          <w:i/>
          <w:color w:val="000000" w:themeColor="text1"/>
          <w:sz w:val="18"/>
          <w:szCs w:val="18"/>
          <w:vertAlign w:val="superscript"/>
          <w:lang w:val="pt-BR" w:eastAsia="ja-JP"/>
        </w:rPr>
        <w:t xml:space="preserve"> c</w:t>
      </w:r>
      <w:r w:rsidRPr="005E6B7C">
        <w:rPr>
          <w:rFonts w:asciiTheme="majorHAnsi" w:eastAsia="Yu Mincho" w:hAnsiTheme="majorHAnsi" w:cstheme="majorHAnsi"/>
          <w:i/>
          <w:color w:val="000000" w:themeColor="text1"/>
          <w:sz w:val="18"/>
          <w:szCs w:val="18"/>
          <w:lang w:val="pt-BR" w:eastAsia="ja-JP"/>
        </w:rPr>
        <w:t>[M + Cl+H</w:t>
      </w:r>
      <w:r w:rsidRPr="005E6B7C">
        <w:rPr>
          <w:rFonts w:asciiTheme="majorHAnsi" w:eastAsia="Yu Mincho" w:hAnsiTheme="majorHAnsi" w:cstheme="majorHAnsi"/>
          <w:i/>
          <w:color w:val="000000" w:themeColor="text1"/>
          <w:sz w:val="18"/>
          <w:szCs w:val="18"/>
          <w:vertAlign w:val="subscript"/>
          <w:lang w:val="pt-BR" w:eastAsia="ja-JP"/>
        </w:rPr>
        <w:t>2</w:t>
      </w:r>
      <w:r w:rsidRPr="005E6B7C">
        <w:rPr>
          <w:rFonts w:asciiTheme="majorHAnsi" w:eastAsia="Yu Mincho" w:hAnsiTheme="majorHAnsi" w:cstheme="majorHAnsi"/>
          <w:i/>
          <w:color w:val="000000" w:themeColor="text1"/>
          <w:sz w:val="18"/>
          <w:szCs w:val="18"/>
          <w:lang w:val="pt-BR" w:eastAsia="ja-JP"/>
        </w:rPr>
        <w:t>O]</w:t>
      </w:r>
      <w:r w:rsidRPr="005E6B7C">
        <w:rPr>
          <w:rFonts w:asciiTheme="majorHAnsi" w:eastAsia="Yu Mincho" w:hAnsiTheme="majorHAnsi" w:cstheme="majorHAnsi"/>
          <w:i/>
          <w:color w:val="000000" w:themeColor="text1"/>
          <w:sz w:val="18"/>
          <w:szCs w:val="18"/>
          <w:vertAlign w:val="superscript"/>
          <w:lang w:val="pt-BR" w:eastAsia="ja-JP"/>
        </w:rPr>
        <w:t>−</w:t>
      </w:r>
      <w:r w:rsidR="00B666AE" w:rsidRPr="005E6B7C">
        <w:rPr>
          <w:rFonts w:asciiTheme="majorHAnsi" w:eastAsia="Yu Mincho" w:hAnsiTheme="majorHAnsi" w:cstheme="majorHAnsi"/>
          <w:i/>
          <w:color w:val="000000" w:themeColor="text1"/>
          <w:sz w:val="18"/>
          <w:szCs w:val="18"/>
          <w:lang w:val="pt-BR" w:eastAsia="ja-JP"/>
        </w:rPr>
        <w:t>.</w:t>
      </w:r>
      <w:r w:rsidRPr="005E6B7C">
        <w:rPr>
          <w:rFonts w:asciiTheme="majorHAnsi" w:eastAsia="Yu Mincho" w:hAnsiTheme="majorHAnsi" w:cstheme="majorHAnsi"/>
          <w:i/>
          <w:color w:val="000000" w:themeColor="text1"/>
          <w:sz w:val="18"/>
          <w:szCs w:val="18"/>
          <w:lang w:val="pt-BR" w:eastAsia="ja-JP"/>
        </w:rPr>
        <w:t xml:space="preserve">  </w:t>
      </w:r>
    </w:p>
    <w:p w14:paraId="362922EC" w14:textId="77777777" w:rsidR="000B7F16" w:rsidRPr="005E6B7C" w:rsidRDefault="000B7F16"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val="pt-BR" w:eastAsia="ja-JP"/>
        </w:rPr>
      </w:pPr>
    </w:p>
    <w:p w14:paraId="632D7F4A" w14:textId="77777777" w:rsidR="00C8462C" w:rsidRPr="005E6B7C" w:rsidRDefault="00C8462C" w:rsidP="008C0D47">
      <w:pPr>
        <w:tabs>
          <w:tab w:val="left" w:pos="270"/>
          <w:tab w:val="left" w:pos="540"/>
          <w:tab w:val="left" w:pos="9270"/>
        </w:tabs>
        <w:ind w:right="-20" w:firstLine="284"/>
        <w:jc w:val="both"/>
        <w:rPr>
          <w:rFonts w:asciiTheme="majorHAnsi" w:eastAsia="Yu Mincho" w:hAnsiTheme="majorHAnsi" w:cstheme="majorHAnsi"/>
          <w:color w:val="000000" w:themeColor="text1"/>
          <w:sz w:val="22"/>
          <w:szCs w:val="22"/>
          <w:lang w:val="pt-BR" w:eastAsia="ja-JP"/>
        </w:rPr>
        <w:sectPr w:rsidR="00C8462C" w:rsidRPr="005E6B7C" w:rsidSect="002206BB">
          <w:type w:val="continuous"/>
          <w:pgSz w:w="10773" w:h="15309" w:code="9"/>
          <w:pgMar w:top="907" w:right="851" w:bottom="1418" w:left="851" w:header="397" w:footer="851" w:gutter="0"/>
          <w:cols w:space="284"/>
          <w:docGrid w:linePitch="360"/>
        </w:sectPr>
      </w:pPr>
    </w:p>
    <w:p w14:paraId="637925A1" w14:textId="77777777" w:rsidR="00C8462C"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methanolic extract of </w:t>
      </w:r>
      <w:r w:rsidRPr="005E6B7C">
        <w:rPr>
          <w:rFonts w:asciiTheme="majorHAnsi" w:eastAsia="Yu Mincho" w:hAnsiTheme="majorHAnsi" w:cstheme="majorHAnsi"/>
          <w:i/>
          <w:iCs/>
          <w:color w:val="000000" w:themeColor="text1"/>
          <w:sz w:val="22"/>
          <w:szCs w:val="22"/>
          <w:lang w:eastAsia="ja-JP"/>
        </w:rPr>
        <w:t>P. angulata</w:t>
      </w:r>
      <w:r w:rsidRPr="005E6B7C">
        <w:rPr>
          <w:rFonts w:asciiTheme="majorHAnsi" w:eastAsia="Yu Mincho" w:hAnsiTheme="majorHAnsi" w:cstheme="majorHAnsi"/>
          <w:color w:val="000000" w:themeColor="text1"/>
          <w:sz w:val="22"/>
          <w:szCs w:val="22"/>
          <w:lang w:eastAsia="ja-JP"/>
        </w:rPr>
        <w:t xml:space="preserve"> was sequentially fractionated using chloroform and EtOAc to afford solvent-partitioned extracts. Subsequent phytochemical investigations were carried out through an integrated separation strategy employing multiple chromatographic </w:t>
      </w:r>
      <w:r w:rsidRPr="005E6B7C">
        <w:rPr>
          <w:rFonts w:asciiTheme="majorHAnsi" w:eastAsia="Yu Mincho" w:hAnsiTheme="majorHAnsi" w:cstheme="majorHAnsi"/>
          <w:color w:val="000000" w:themeColor="text1"/>
          <w:sz w:val="22"/>
          <w:szCs w:val="22"/>
          <w:lang w:eastAsia="ja-JP"/>
        </w:rPr>
        <w:t xml:space="preserve">methods, including repeated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column chromatography, RP-C</w:t>
      </w:r>
      <w:r w:rsidRPr="005E6B7C">
        <w:rPr>
          <w:rFonts w:asciiTheme="majorHAnsi" w:eastAsia="Yu Mincho" w:hAnsiTheme="majorHAnsi" w:cstheme="majorHAnsi"/>
          <w:color w:val="000000" w:themeColor="text1"/>
          <w:sz w:val="22"/>
          <w:szCs w:val="22"/>
          <w:vertAlign w:val="subscript"/>
          <w:lang w:eastAsia="ja-JP"/>
        </w:rPr>
        <w:t>18</w:t>
      </w:r>
      <w:r w:rsidRPr="005E6B7C">
        <w:rPr>
          <w:rFonts w:asciiTheme="majorHAnsi" w:eastAsia="Yu Mincho" w:hAnsiTheme="majorHAnsi" w:cstheme="majorHAnsi"/>
          <w:color w:val="000000" w:themeColor="text1"/>
          <w:sz w:val="22"/>
          <w:szCs w:val="22"/>
          <w:lang w:eastAsia="ja-JP"/>
        </w:rPr>
        <w:t xml:space="preserve"> chromatography, Sephadex LH-20 gel filtration, and preparative high-performance liquid chromatography (prep-HPLC). This systematic approach led to the isolation of three compounds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w:t>
      </w:r>
    </w:p>
    <w:p w14:paraId="39A572F8" w14:textId="77777777" w:rsidR="00C8462C" w:rsidRPr="005E6B7C" w:rsidRDefault="00C8462C" w:rsidP="008C0D47">
      <w:pPr>
        <w:tabs>
          <w:tab w:val="left" w:pos="270"/>
          <w:tab w:val="left" w:pos="540"/>
          <w:tab w:val="left" w:pos="9270"/>
        </w:tabs>
        <w:ind w:right="-20" w:firstLine="284"/>
        <w:jc w:val="both"/>
        <w:rPr>
          <w:rFonts w:asciiTheme="majorHAnsi" w:eastAsia="Yu Mincho" w:hAnsiTheme="majorHAnsi" w:cstheme="majorHAnsi"/>
          <w:color w:val="000000" w:themeColor="text1"/>
          <w:sz w:val="22"/>
          <w:szCs w:val="22"/>
          <w:lang w:eastAsia="ja-JP"/>
        </w:rPr>
        <w:sectPr w:rsidR="00C8462C" w:rsidRPr="005E6B7C" w:rsidSect="00C8462C">
          <w:type w:val="continuous"/>
          <w:pgSz w:w="10773" w:h="15309" w:code="9"/>
          <w:pgMar w:top="907" w:right="851" w:bottom="1418" w:left="851" w:header="397" w:footer="851" w:gutter="0"/>
          <w:cols w:num="2" w:space="284"/>
          <w:docGrid w:linePitch="360"/>
        </w:sectPr>
      </w:pPr>
    </w:p>
    <w:p w14:paraId="1B387A00" w14:textId="77777777" w:rsidR="00E049CB" w:rsidRPr="005E6B7C" w:rsidRDefault="002F483D" w:rsidP="008C0D47">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object w:dxaOrig="8678" w:dyaOrig="2733" w14:anchorId="22BCBAF4">
          <v:shape id="_x0000_i1026" type="#_x0000_t75" style="width:380.1pt;height:119.45pt" o:ole="">
            <v:imagedata r:id="rId20" o:title=""/>
          </v:shape>
          <o:OLEObject Type="Embed" ProgID="ChemDraw.Document.6.0" ShapeID="_x0000_i1026" DrawAspect="Content" ObjectID="_1836572948" r:id="rId21"/>
        </w:object>
      </w:r>
    </w:p>
    <w:p w14:paraId="60AD06AC" w14:textId="77777777" w:rsidR="00E049CB" w:rsidRPr="005E6B7C" w:rsidRDefault="00517F81"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2.</w:t>
      </w:r>
      <w:r w:rsidR="00E049CB" w:rsidRPr="005E6B7C">
        <w:rPr>
          <w:rFonts w:asciiTheme="majorHAnsi" w:eastAsia="Yu Mincho" w:hAnsiTheme="majorHAnsi" w:cstheme="majorHAnsi"/>
          <w:color w:val="000000" w:themeColor="text1"/>
          <w:sz w:val="18"/>
          <w:szCs w:val="18"/>
          <w:lang w:eastAsia="ja-JP"/>
        </w:rPr>
        <w:t xml:space="preserve"> Chemical structures of compounds isolated from the fruits of </w:t>
      </w:r>
      <w:r w:rsidR="00E049CB" w:rsidRPr="005E6B7C">
        <w:rPr>
          <w:rFonts w:asciiTheme="majorHAnsi" w:eastAsia="Yu Mincho" w:hAnsiTheme="majorHAnsi" w:cstheme="majorHAnsi"/>
          <w:i/>
          <w:iCs/>
          <w:color w:val="000000" w:themeColor="text1"/>
          <w:sz w:val="18"/>
          <w:szCs w:val="18"/>
          <w:lang w:eastAsia="ja-JP"/>
        </w:rPr>
        <w:t>P. angulata</w:t>
      </w:r>
      <w:r w:rsidR="00E049CB" w:rsidRPr="005E6B7C">
        <w:rPr>
          <w:rFonts w:asciiTheme="majorHAnsi" w:eastAsia="Yu Mincho" w:hAnsiTheme="majorHAnsi" w:cstheme="majorHAnsi"/>
          <w:color w:val="000000" w:themeColor="text1"/>
          <w:sz w:val="18"/>
          <w:szCs w:val="18"/>
          <w:lang w:eastAsia="ja-JP"/>
        </w:rPr>
        <w:t>.</w:t>
      </w:r>
    </w:p>
    <w:p w14:paraId="68E5E8EC" w14:textId="77777777" w:rsidR="00C8462C" w:rsidRPr="005E6B7C" w:rsidRDefault="00C8462C"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572589EA" w14:textId="77777777" w:rsidR="002F483D" w:rsidRPr="005E6B7C" w:rsidRDefault="002F483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F483D" w:rsidRPr="005E6B7C" w:rsidSect="002206BB">
          <w:type w:val="continuous"/>
          <w:pgSz w:w="10773" w:h="15309" w:code="9"/>
          <w:pgMar w:top="907" w:right="851" w:bottom="1418" w:left="851" w:header="397" w:footer="851" w:gutter="0"/>
          <w:cols w:space="284"/>
          <w:docGrid w:linePitch="360"/>
        </w:sectPr>
      </w:pPr>
    </w:p>
    <w:p w14:paraId="5628AA3A" w14:textId="2D04902D" w:rsidR="002F483D"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obtained as a white amorphous powder. It corresponded to peak 18 with a retention time of 21.85 min. The molecular formula was determined to be C</w:t>
      </w:r>
      <w:r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30</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9</w:t>
      </w:r>
      <w:r w:rsidRPr="005E6B7C">
        <w:rPr>
          <w:rFonts w:asciiTheme="majorHAnsi" w:eastAsia="Yu Mincho" w:hAnsiTheme="majorHAnsi" w:cstheme="majorHAnsi"/>
          <w:color w:val="000000" w:themeColor="text1"/>
          <w:sz w:val="22"/>
          <w:szCs w:val="22"/>
          <w:lang w:eastAsia="ja-JP"/>
        </w:rPr>
        <w:t xml:space="preserve"> based on the HRESI-MS ion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561.1573 ([M+</w:t>
      </w:r>
      <w:r w:rsidR="00C65EEC"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lang w:eastAsia="ja-JP"/>
        </w:rPr>
        <w:t>]⁻, calcd for C</w:t>
      </w:r>
      <w:r w:rsidR="007A051F"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H</w:t>
      </w:r>
      <w:r w:rsidR="007A051F" w:rsidRPr="005E6B7C">
        <w:rPr>
          <w:rFonts w:asciiTheme="majorHAnsi" w:eastAsia="Yu Mincho" w:hAnsiTheme="majorHAnsi" w:cstheme="majorHAnsi"/>
          <w:color w:val="000000" w:themeColor="text1"/>
          <w:sz w:val="22"/>
          <w:szCs w:val="22"/>
          <w:vertAlign w:val="subscript"/>
          <w:lang w:eastAsia="ja-JP"/>
        </w:rPr>
        <w:t>33</w:t>
      </w:r>
      <w:r w:rsidRPr="005E6B7C">
        <w:rPr>
          <w:rFonts w:asciiTheme="majorHAnsi" w:eastAsia="Yu Mincho" w:hAnsiTheme="majorHAnsi" w:cstheme="majorHAnsi"/>
          <w:color w:val="000000" w:themeColor="text1"/>
          <w:sz w:val="22"/>
          <w:szCs w:val="22"/>
          <w:lang w:eastAsia="ja-JP"/>
        </w:rPr>
        <w:t>O</w:t>
      </w:r>
      <w:r w:rsidR="007A051F" w:rsidRPr="005E6B7C">
        <w:rPr>
          <w:rFonts w:asciiTheme="majorHAnsi" w:eastAsia="Yu Mincho" w:hAnsiTheme="majorHAnsi" w:cstheme="majorHAnsi"/>
          <w:color w:val="000000" w:themeColor="text1"/>
          <w:sz w:val="22"/>
          <w:szCs w:val="22"/>
          <w:vertAlign w:val="subscript"/>
          <w:lang w:eastAsia="ja-JP"/>
        </w:rPr>
        <w:t>12</w:t>
      </w:r>
      <w:r w:rsidR="00C65EEC"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lang w:eastAsia="ja-JP"/>
        </w:rPr>
        <w:t>⁻, 561.15</w:t>
      </w:r>
      <w:r w:rsidR="00C65EEC" w:rsidRPr="005E6B7C">
        <w:rPr>
          <w:rFonts w:asciiTheme="majorHAnsi" w:eastAsia="Yu Mincho" w:hAnsiTheme="majorHAnsi" w:cstheme="majorHAnsi"/>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3). The NMR spectroscopic data of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were typical of physalin-type withanolides, which are major constituents of the genus </w:t>
      </w:r>
      <w:r w:rsidRPr="005E6B7C">
        <w:rPr>
          <w:rFonts w:asciiTheme="majorHAnsi" w:eastAsia="Yu Mincho" w:hAnsiTheme="majorHAnsi" w:cstheme="majorHAnsi"/>
          <w:i/>
          <w:iCs/>
          <w:color w:val="000000" w:themeColor="text1"/>
          <w:sz w:val="22"/>
          <w:szCs w:val="22"/>
          <w:lang w:eastAsia="ja-JP"/>
        </w:rPr>
        <w:t>Physalis</w:t>
      </w:r>
      <w:r w:rsidRPr="005E6B7C">
        <w:rPr>
          <w:rFonts w:asciiTheme="majorHAnsi" w:eastAsia="Yu Mincho" w:hAnsiTheme="majorHAnsi" w:cstheme="majorHAnsi"/>
          <w:color w:val="000000" w:themeColor="text1"/>
          <w:sz w:val="22"/>
          <w:szCs w:val="22"/>
          <w:lang w:eastAsia="ja-JP"/>
        </w:rPr>
        <w:t>. The ¹H NMR (CDCl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spectrum of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showed signals for three singlet methyl groups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1.52 (s, H-19), 1.29 (s, H-28), and 1.99 (s, H-21), each integrating for three protons; one oxygenated methine proton; three olefinic protons; and two geminally coupled protons of an oxygenated methylene. The </w:t>
      </w:r>
      <w:r w:rsidR="007F1237"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spectrum of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displayed 28 carbon signals, which, in combination with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HSQC analysis, were assigned to four carbonyl carbons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166.7, 172.3, 208.1, and 205.7. The 16,24-cyclo-13,14-seco-steroidal skeleton was assigned based on the characteristic A/B steroidal ring system and a lactone ring between C-22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77.1) and C-26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167.0), together with the presence of both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γ</w:t>
      </w:r>
      <w:r w:rsidRPr="005E6B7C">
        <w:rPr>
          <w:rFonts w:asciiTheme="majorHAnsi" w:eastAsia="Yu Mincho" w:hAnsiTheme="majorHAnsi" w:cstheme="majorHAnsi"/>
          <w:color w:val="000000" w:themeColor="text1"/>
          <w:sz w:val="22"/>
          <w:szCs w:val="22"/>
          <w:lang w:eastAsia="ja-JP"/>
        </w:rPr>
        <w:t>-lactone moieties. An intramolecular ether bridge between C-14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107.1) and C-27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60.8), along with a conjugated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-unsaturated carbonyl system, further supported its identification as a physalin-type framework</w:t>
      </w:r>
      <w:r w:rsidRPr="005E6B7C">
        <w:rPr>
          <w:rFonts w:asciiTheme="majorHAnsi" w:eastAsia="SimSun" w:hAnsiTheme="majorHAnsi" w:cstheme="majorHAnsi"/>
          <w:color w:val="000000" w:themeColor="text1"/>
          <w:sz w:val="22"/>
          <w:szCs w:val="22"/>
          <w:lang w:val="de-DE" w:eastAsia="zh-CN"/>
        </w:rPr>
        <w:t>.</w:t>
      </w:r>
      <w:r w:rsidRPr="005E6B7C">
        <w:rPr>
          <w:rFonts w:asciiTheme="majorHAnsi" w:eastAsia="Yu Mincho" w:hAnsiTheme="majorHAnsi" w:cstheme="majorHAnsi"/>
          <w:color w:val="000000" w:themeColor="text1"/>
          <w:sz w:val="22"/>
          <w:szCs w:val="22"/>
          <w:lang w:eastAsia="ja-JP"/>
        </w:rPr>
        <w:t xml:space="preserve">  Moreover, the carbonyl signal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210 was assigned to the C-1 ketone, forming an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-unsaturated enone system with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125.5) and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~139.9), whereas the signals </w:t>
      </w:r>
      <w:r w:rsidRPr="005E6B7C">
        <w:rPr>
          <w:rFonts w:asciiTheme="majorHAnsi" w:eastAsia="Yu Mincho" w:hAnsiTheme="majorHAnsi" w:cstheme="majorHAnsi"/>
          <w:color w:val="000000" w:themeColor="text1"/>
          <w:sz w:val="22"/>
          <w:szCs w:val="22"/>
          <w:lang w:eastAsia="ja-JP"/>
        </w:rPr>
        <w:t xml:space="preserve">corresponding to C-18 and C-26 were attributed to lactone carbonyls. The resonance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107.1 confirmed the presence of the </w:t>
      </w:r>
      <w:r w:rsidRPr="005E6B7C">
        <w:rPr>
          <w:rFonts w:asciiTheme="majorHAnsi" w:eastAsia="Yu Mincho" w:hAnsiTheme="majorHAnsi" w:cstheme="majorHAnsi"/>
          <w:color w:val="000000" w:themeColor="text1"/>
          <w:spacing w:val="2"/>
          <w:sz w:val="22"/>
          <w:szCs w:val="22"/>
          <w:lang w:eastAsia="ja-JP"/>
        </w:rPr>
        <w:t xml:space="preserve">characteristic C-14 acetal carbon of physalins, and the cleavage of the C-13/C-14 bond supported the 13,14-seco feature. These structural assignments of </w:t>
      </w:r>
      <w:r w:rsidRPr="005E6B7C">
        <w:rPr>
          <w:rFonts w:asciiTheme="majorHAnsi" w:eastAsia="Yu Mincho" w:hAnsiTheme="majorHAnsi" w:cstheme="majorHAnsi"/>
          <w:b/>
          <w:bCs/>
          <w:color w:val="000000" w:themeColor="text1"/>
          <w:spacing w:val="2"/>
          <w:sz w:val="22"/>
          <w:szCs w:val="22"/>
          <w:lang w:eastAsia="ja-JP"/>
        </w:rPr>
        <w:t>1</w:t>
      </w:r>
      <w:r w:rsidRPr="005E6B7C">
        <w:rPr>
          <w:rFonts w:asciiTheme="majorHAnsi" w:eastAsia="Yu Mincho" w:hAnsiTheme="majorHAnsi" w:cstheme="majorHAnsi"/>
          <w:color w:val="000000" w:themeColor="text1"/>
          <w:spacing w:val="2"/>
          <w:sz w:val="22"/>
          <w:szCs w:val="22"/>
          <w:lang w:eastAsia="ja-JP"/>
        </w:rPr>
        <w:t xml:space="preserve"> were further confirmed by key HMBC correlations. The HMBC correlations from H-27 to C-14 and C-25 confirmed the presence of an ether bridge between C-14 and C-27. Additionally, key HMBC cross-peaks from H-2 to C-4 and C-10, from H-3 to C-1 and C-5, and from H-6 to C-8 and C-10 further supported the proposed carbon framework. Other key HMBC correlations are shown in </w:t>
      </w:r>
      <w:r w:rsidR="00517F81" w:rsidRPr="005E6B7C">
        <w:rPr>
          <w:rFonts w:asciiTheme="majorHAnsi" w:eastAsia="Yu Mincho" w:hAnsiTheme="majorHAnsi" w:cstheme="majorHAnsi"/>
          <w:color w:val="000000" w:themeColor="text1"/>
          <w:spacing w:val="2"/>
          <w:sz w:val="22"/>
          <w:szCs w:val="22"/>
          <w:lang w:eastAsia="ja-JP"/>
        </w:rPr>
        <w:t xml:space="preserve">Fig. </w:t>
      </w:r>
      <w:r w:rsidRPr="005E6B7C">
        <w:rPr>
          <w:rFonts w:asciiTheme="majorHAnsi" w:eastAsia="Yu Mincho" w:hAnsiTheme="majorHAnsi" w:cstheme="majorHAnsi"/>
          <w:color w:val="000000" w:themeColor="text1"/>
          <w:spacing w:val="2"/>
          <w:sz w:val="22"/>
          <w:szCs w:val="22"/>
          <w:lang w:eastAsia="ja-JP"/>
        </w:rPr>
        <w:t xml:space="preserve">2. Therefore, on the basis of comprehensive analysis of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 xml:space="preserve">H NMR, </w:t>
      </w:r>
      <w:r w:rsidRPr="005E6B7C">
        <w:rPr>
          <w:rFonts w:asciiTheme="majorHAnsi" w:eastAsia="Yu Mincho" w:hAnsiTheme="majorHAnsi" w:cstheme="majorHAnsi"/>
          <w:color w:val="000000" w:themeColor="text1"/>
          <w:spacing w:val="2"/>
          <w:sz w:val="22"/>
          <w:szCs w:val="22"/>
          <w:vertAlign w:val="superscript"/>
          <w:lang w:eastAsia="ja-JP"/>
        </w:rPr>
        <w:t>13</w:t>
      </w:r>
      <w:r w:rsidRPr="005E6B7C">
        <w:rPr>
          <w:rFonts w:asciiTheme="majorHAnsi" w:eastAsia="Yu Mincho" w:hAnsiTheme="majorHAnsi" w:cstheme="majorHAnsi"/>
          <w:color w:val="000000" w:themeColor="text1"/>
          <w:spacing w:val="2"/>
          <w:sz w:val="22"/>
          <w:szCs w:val="22"/>
          <w:lang w:eastAsia="ja-JP"/>
        </w:rPr>
        <w:t xml:space="preserve">C NMR,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H–</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 xml:space="preserve">H COSY,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H–</w:t>
      </w:r>
      <w:r w:rsidRPr="005E6B7C">
        <w:rPr>
          <w:rFonts w:asciiTheme="majorHAnsi" w:eastAsia="Yu Mincho" w:hAnsiTheme="majorHAnsi" w:cstheme="majorHAnsi"/>
          <w:color w:val="000000" w:themeColor="text1"/>
          <w:spacing w:val="2"/>
          <w:sz w:val="22"/>
          <w:szCs w:val="22"/>
          <w:vertAlign w:val="superscript"/>
          <w:lang w:eastAsia="ja-JP"/>
        </w:rPr>
        <w:t>13</w:t>
      </w:r>
      <w:r w:rsidRPr="005E6B7C">
        <w:rPr>
          <w:rFonts w:asciiTheme="majorHAnsi" w:eastAsia="Yu Mincho" w:hAnsiTheme="majorHAnsi" w:cstheme="majorHAnsi"/>
          <w:color w:val="000000" w:themeColor="text1"/>
          <w:spacing w:val="2"/>
          <w:sz w:val="22"/>
          <w:szCs w:val="22"/>
          <w:lang w:eastAsia="ja-JP"/>
        </w:rPr>
        <w:t xml:space="preserve">C HSQC, and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H–</w:t>
      </w:r>
      <w:r w:rsidRPr="005E6B7C">
        <w:rPr>
          <w:rFonts w:asciiTheme="majorHAnsi" w:eastAsia="Yu Mincho" w:hAnsiTheme="majorHAnsi" w:cstheme="majorHAnsi"/>
          <w:color w:val="000000" w:themeColor="text1"/>
          <w:spacing w:val="2"/>
          <w:sz w:val="22"/>
          <w:szCs w:val="22"/>
          <w:vertAlign w:val="superscript"/>
          <w:lang w:eastAsia="ja-JP"/>
        </w:rPr>
        <w:t>13</w:t>
      </w:r>
      <w:r w:rsidRPr="005E6B7C">
        <w:rPr>
          <w:rFonts w:asciiTheme="majorHAnsi" w:eastAsia="Yu Mincho" w:hAnsiTheme="majorHAnsi" w:cstheme="majorHAnsi"/>
          <w:color w:val="000000" w:themeColor="text1"/>
          <w:spacing w:val="2"/>
          <w:sz w:val="22"/>
          <w:szCs w:val="22"/>
          <w:lang w:eastAsia="ja-JP"/>
        </w:rPr>
        <w:t xml:space="preserve">C HMBC data, together with comparison with reported literature, compound </w:t>
      </w:r>
      <w:r w:rsidRPr="005E6B7C">
        <w:rPr>
          <w:rFonts w:asciiTheme="majorHAnsi" w:eastAsia="Yu Mincho" w:hAnsiTheme="majorHAnsi" w:cstheme="majorHAnsi"/>
          <w:b/>
          <w:bCs/>
          <w:color w:val="000000" w:themeColor="text1"/>
          <w:spacing w:val="2"/>
          <w:sz w:val="22"/>
          <w:szCs w:val="22"/>
          <w:lang w:eastAsia="ja-JP"/>
        </w:rPr>
        <w:t>1</w:t>
      </w:r>
      <w:r w:rsidRPr="005E6B7C">
        <w:rPr>
          <w:rFonts w:asciiTheme="majorHAnsi" w:eastAsia="Yu Mincho" w:hAnsiTheme="majorHAnsi" w:cstheme="majorHAnsi"/>
          <w:color w:val="000000" w:themeColor="text1"/>
          <w:spacing w:val="2"/>
          <w:sz w:val="22"/>
          <w:szCs w:val="22"/>
          <w:lang w:eastAsia="ja-JP"/>
        </w:rPr>
        <w:t xml:space="preserve"> was identified as physalin G </w:t>
      </w:r>
      <w:r w:rsidRPr="005E6B7C">
        <w:rPr>
          <w:rFonts w:asciiTheme="majorHAnsi" w:eastAsia="Yu Mincho" w:hAnsiTheme="majorHAnsi" w:cstheme="majorHAnsi"/>
          <w:color w:val="000000" w:themeColor="text1"/>
          <w:spacing w:val="2"/>
          <w:sz w:val="22"/>
          <w:szCs w:val="22"/>
          <w:lang w:eastAsia="ja-JP"/>
        </w:rPr>
        <w:fldChar w:fldCharType="begin"/>
      </w:r>
      <w:r w:rsidRPr="005E6B7C">
        <w:rPr>
          <w:rFonts w:asciiTheme="majorHAnsi" w:eastAsia="Yu Mincho" w:hAnsiTheme="majorHAnsi" w:cstheme="majorHAnsi"/>
          <w:color w:val="000000" w:themeColor="text1"/>
          <w:spacing w:val="2"/>
          <w:sz w:val="22"/>
          <w:szCs w:val="22"/>
          <w:lang w:eastAsia="ja-JP"/>
        </w:rPr>
        <w:instrText xml:space="preserve"> ADDIN EN.CITE &lt;EndNote&gt;&lt;Cite&gt;&lt;Author&gt;Row&lt;/Author&gt;&lt;Year&gt;1980&lt;/Year&gt;&lt;RecNum&gt;326&lt;/RecNum&gt;&lt;DisplayText&gt;[18]&lt;/DisplayText&gt;&lt;record&gt;&lt;rec-number&gt;326&lt;/rec-number&gt;&lt;foreign-keys&gt;&lt;key app="EN" db-id="wfttda02r0awahede5wvps9saaxwfxsexte9" timestamp="1770727941"&gt;326&lt;/key&gt;&lt;/foreign-keys&gt;&lt;ref-type name="Journal Article"&gt;17&lt;/ref-type&gt;&lt;contributors&gt;&lt;authors&gt;&lt;author&gt;Row, L Ramachandra&lt;/author&gt;&lt;author&gt;Reddy, K Sambi&lt;/author&gt;&lt;author&gt;Sarma, N Subrahmanya&lt;/author&gt;&lt;author&gt;Matsuura, Teruo&lt;/author&gt;&lt;author&gt;Nakashima, Ruka&lt;/author&gt;&lt;/authors&gt;&lt;/contributors&gt;&lt;titles&gt;&lt;title&gt;New physalins from Physalis angulata and Physalis lancifolia. Structure and reactions of physalins D, I, G and K&lt;/title&gt;&lt;secondary-title&gt;Phytochemistry&lt;/secondary-title&gt;&lt;/titles&gt;&lt;periodical&gt;&lt;full-title&gt;Phytochemistry&lt;/full-title&gt;&lt;/periodical&gt;&lt;pages&gt;1175-1181&lt;/pages&gt;&lt;volume&gt;19&lt;/volume&gt;&lt;number&gt;6&lt;/number&gt;&lt;dates&gt;&lt;year&gt;1980&lt;/year&gt;&lt;/dates&gt;&lt;isbn&gt;0031-9422&lt;/isbn&gt;&lt;urls&gt;&lt;/urls&gt;&lt;/record&gt;&lt;/Cite&gt;&lt;/EndNote&gt;</w:instrText>
      </w:r>
      <w:r w:rsidRPr="005E6B7C">
        <w:rPr>
          <w:rFonts w:asciiTheme="majorHAnsi" w:eastAsia="Yu Mincho" w:hAnsiTheme="majorHAnsi" w:cstheme="majorHAnsi"/>
          <w:color w:val="000000" w:themeColor="text1"/>
          <w:spacing w:val="2"/>
          <w:sz w:val="22"/>
          <w:szCs w:val="22"/>
          <w:lang w:eastAsia="ja-JP"/>
        </w:rPr>
        <w:fldChar w:fldCharType="separate"/>
      </w:r>
      <w:r w:rsidRPr="005E6B7C">
        <w:rPr>
          <w:rFonts w:asciiTheme="majorHAnsi" w:eastAsia="Yu Mincho" w:hAnsiTheme="majorHAnsi" w:cstheme="majorHAnsi"/>
          <w:noProof/>
          <w:color w:val="000000" w:themeColor="text1"/>
          <w:spacing w:val="2"/>
          <w:sz w:val="22"/>
          <w:szCs w:val="22"/>
          <w:lang w:eastAsia="ja-JP"/>
        </w:rPr>
        <w:t>[18]</w:t>
      </w:r>
      <w:r w:rsidRPr="005E6B7C">
        <w:rPr>
          <w:rFonts w:asciiTheme="majorHAnsi" w:eastAsia="Yu Mincho" w:hAnsiTheme="majorHAnsi" w:cstheme="majorHAnsi"/>
          <w:color w:val="000000" w:themeColor="text1"/>
          <w:spacing w:val="2"/>
          <w:sz w:val="22"/>
          <w:szCs w:val="22"/>
          <w:lang w:eastAsia="ja-JP"/>
        </w:rPr>
        <w:fldChar w:fldCharType="end"/>
      </w:r>
      <w:r w:rsidRPr="005E6B7C">
        <w:rPr>
          <w:rFonts w:asciiTheme="majorHAnsi" w:eastAsia="Yu Mincho" w:hAnsiTheme="majorHAnsi" w:cstheme="majorHAnsi"/>
          <w:color w:val="000000" w:themeColor="text1"/>
          <w:spacing w:val="2"/>
          <w:sz w:val="22"/>
          <w:szCs w:val="22"/>
          <w:lang w:eastAsia="ja-JP"/>
        </w:rPr>
        <w:t xml:space="preserve">. The relative configuration of </w:t>
      </w:r>
      <w:r w:rsidRPr="005E6B7C">
        <w:rPr>
          <w:rFonts w:asciiTheme="majorHAnsi" w:eastAsia="Yu Mincho" w:hAnsiTheme="majorHAnsi" w:cstheme="majorHAnsi"/>
          <w:b/>
          <w:bCs/>
          <w:color w:val="000000" w:themeColor="text1"/>
          <w:spacing w:val="2"/>
          <w:sz w:val="22"/>
          <w:szCs w:val="22"/>
          <w:lang w:eastAsia="ja-JP"/>
        </w:rPr>
        <w:t>1</w:t>
      </w:r>
      <w:r w:rsidRPr="005E6B7C">
        <w:rPr>
          <w:rFonts w:asciiTheme="majorHAnsi" w:eastAsia="Yu Mincho" w:hAnsiTheme="majorHAnsi" w:cstheme="majorHAnsi"/>
          <w:color w:val="000000" w:themeColor="text1"/>
          <w:spacing w:val="2"/>
          <w:sz w:val="22"/>
          <w:szCs w:val="22"/>
          <w:lang w:eastAsia="ja-JP"/>
        </w:rPr>
        <w:t xml:space="preserve"> was tentatively assigned based on comparison of NMR data with literature values of physalin G. The absolute configuration was not determined in the present study due to the lack of CD or X-ray analysis. Similarly, compounds </w:t>
      </w:r>
      <w:r w:rsidRPr="005E6B7C">
        <w:rPr>
          <w:rFonts w:asciiTheme="majorHAnsi" w:eastAsia="Yu Mincho" w:hAnsiTheme="majorHAnsi" w:cstheme="majorHAnsi"/>
          <w:b/>
          <w:bCs/>
          <w:color w:val="000000" w:themeColor="text1"/>
          <w:spacing w:val="2"/>
          <w:sz w:val="22"/>
          <w:szCs w:val="22"/>
          <w:lang w:eastAsia="ja-JP"/>
        </w:rPr>
        <w:t>2</w:t>
      </w:r>
      <w:r w:rsidRPr="005E6B7C">
        <w:rPr>
          <w:rFonts w:asciiTheme="majorHAnsi" w:eastAsia="Yu Mincho" w:hAnsiTheme="majorHAnsi" w:cstheme="majorHAnsi"/>
          <w:color w:val="000000" w:themeColor="text1"/>
          <w:spacing w:val="2"/>
          <w:sz w:val="22"/>
          <w:szCs w:val="22"/>
          <w:lang w:eastAsia="ja-JP"/>
        </w:rPr>
        <w:t xml:space="preserve"> and </w:t>
      </w:r>
      <w:r w:rsidRPr="005E6B7C">
        <w:rPr>
          <w:rFonts w:asciiTheme="majorHAnsi" w:eastAsia="Yu Mincho" w:hAnsiTheme="majorHAnsi" w:cstheme="majorHAnsi"/>
          <w:b/>
          <w:bCs/>
          <w:color w:val="000000" w:themeColor="text1"/>
          <w:spacing w:val="2"/>
          <w:sz w:val="22"/>
          <w:szCs w:val="22"/>
          <w:lang w:eastAsia="ja-JP"/>
        </w:rPr>
        <w:t>3</w:t>
      </w:r>
      <w:r w:rsidRPr="005E6B7C">
        <w:rPr>
          <w:rFonts w:asciiTheme="majorHAnsi" w:eastAsia="Yu Mincho" w:hAnsiTheme="majorHAnsi" w:cstheme="majorHAnsi"/>
          <w:color w:val="000000" w:themeColor="text1"/>
          <w:spacing w:val="2"/>
          <w:sz w:val="22"/>
          <w:szCs w:val="22"/>
          <w:lang w:eastAsia="ja-JP"/>
        </w:rPr>
        <w:t xml:space="preserve"> were identified as physalins D and B, respectively, based on the same analytical approach. The detailed NMR data of compounds are presented in Table 2. The isolation and structural elucidation of the compounds were validated and used for the chemical profiling of </w:t>
      </w:r>
      <w:r w:rsidRPr="005E6B7C">
        <w:rPr>
          <w:rFonts w:asciiTheme="majorHAnsi" w:eastAsia="Yu Mincho" w:hAnsiTheme="majorHAnsi" w:cstheme="majorHAnsi"/>
          <w:i/>
          <w:iCs/>
          <w:color w:val="000000" w:themeColor="text1"/>
          <w:spacing w:val="2"/>
          <w:sz w:val="22"/>
          <w:szCs w:val="22"/>
          <w:lang w:eastAsia="ja-JP"/>
        </w:rPr>
        <w:t>P. angulata</w:t>
      </w:r>
      <w:r w:rsidRPr="005E6B7C">
        <w:rPr>
          <w:rFonts w:asciiTheme="majorHAnsi" w:eastAsia="Yu Mincho" w:hAnsiTheme="majorHAnsi" w:cstheme="majorHAnsi"/>
          <w:color w:val="000000" w:themeColor="text1"/>
          <w:spacing w:val="2"/>
          <w:sz w:val="22"/>
          <w:szCs w:val="22"/>
          <w:lang w:eastAsia="ja-JP"/>
        </w:rPr>
        <w:t>.</w:t>
      </w:r>
    </w:p>
    <w:p w14:paraId="71175333" w14:textId="77777777" w:rsidR="002F483D" w:rsidRPr="005E6B7C" w:rsidRDefault="002F483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F483D" w:rsidRPr="005E6B7C" w:rsidSect="002F483D">
          <w:type w:val="continuous"/>
          <w:pgSz w:w="10773" w:h="15309" w:code="9"/>
          <w:pgMar w:top="907" w:right="851" w:bottom="1418" w:left="851" w:header="397" w:footer="851" w:gutter="0"/>
          <w:cols w:num="2" w:space="284"/>
          <w:docGrid w:linePitch="360"/>
        </w:sectPr>
      </w:pPr>
    </w:p>
    <w:p w14:paraId="26DFCD74" w14:textId="4F8FDC70" w:rsidR="00E049CB" w:rsidRPr="005E6B7C" w:rsidRDefault="00E049CB" w:rsidP="008C0D47">
      <w:pPr>
        <w:tabs>
          <w:tab w:val="left" w:pos="270"/>
          <w:tab w:val="left" w:pos="540"/>
          <w:tab w:val="left" w:pos="9270"/>
        </w:tabs>
        <w:spacing w:before="120" w:after="120" w:line="240" w:lineRule="exact"/>
        <w:ind w:firstLine="284"/>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2. </w:t>
      </w:r>
      <w:r w:rsidRPr="005E6B7C">
        <w:rPr>
          <w:rFonts w:asciiTheme="majorHAnsi" w:eastAsia="Yu Mincho" w:hAnsiTheme="majorHAnsi" w:cstheme="majorHAnsi"/>
          <w:color w:val="000000" w:themeColor="text1"/>
          <w:sz w:val="18"/>
          <w:szCs w:val="18"/>
          <w:lang w:eastAsia="ja-JP"/>
        </w:rPr>
        <w:t xml:space="preserve">NMR data of compounds </w:t>
      </w:r>
      <w:r w:rsidRPr="005E6B7C">
        <w:rPr>
          <w:rFonts w:asciiTheme="majorHAnsi" w:eastAsia="Yu Mincho" w:hAnsiTheme="majorHAnsi" w:cstheme="majorHAnsi"/>
          <w:b/>
          <w:bCs/>
          <w:color w:val="000000" w:themeColor="text1"/>
          <w:sz w:val="18"/>
          <w:szCs w:val="18"/>
          <w:lang w:eastAsia="ja-JP"/>
        </w:rPr>
        <w:t>1</w:t>
      </w:r>
      <w:r w:rsidR="0055782F"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3</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7"/>
        <w:gridCol w:w="751"/>
        <w:gridCol w:w="1867"/>
        <w:gridCol w:w="826"/>
        <w:gridCol w:w="1766"/>
        <w:gridCol w:w="1264"/>
        <w:gridCol w:w="1851"/>
      </w:tblGrid>
      <w:tr w:rsidR="00CB397E" w:rsidRPr="005E6B7C" w14:paraId="6A8E435C" w14:textId="77777777" w:rsidTr="0055782F">
        <w:trPr>
          <w:tblHeader/>
          <w:jc w:val="center"/>
        </w:trPr>
        <w:tc>
          <w:tcPr>
            <w:tcW w:w="747" w:type="dxa"/>
            <w:vMerge w:val="restart"/>
            <w:vAlign w:val="center"/>
          </w:tcPr>
          <w:p w14:paraId="535D89E8" w14:textId="063F039E"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No.</w:t>
            </w:r>
          </w:p>
        </w:tc>
        <w:tc>
          <w:tcPr>
            <w:tcW w:w="2618" w:type="dxa"/>
            <w:gridSpan w:val="2"/>
            <w:vAlign w:val="center"/>
          </w:tcPr>
          <w:p w14:paraId="4633B043" w14:textId="5932BC3D"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1</w:t>
            </w:r>
          </w:p>
        </w:tc>
        <w:tc>
          <w:tcPr>
            <w:tcW w:w="2592" w:type="dxa"/>
            <w:gridSpan w:val="2"/>
            <w:vAlign w:val="center"/>
          </w:tcPr>
          <w:p w14:paraId="6F4EBF8E" w14:textId="5A76714A"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2</w:t>
            </w:r>
          </w:p>
        </w:tc>
        <w:tc>
          <w:tcPr>
            <w:tcW w:w="3115" w:type="dxa"/>
            <w:gridSpan w:val="2"/>
            <w:vAlign w:val="center"/>
          </w:tcPr>
          <w:p w14:paraId="11E3C877" w14:textId="7274C8F9"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3</w:t>
            </w:r>
          </w:p>
        </w:tc>
      </w:tr>
      <w:tr w:rsidR="00CB397E" w:rsidRPr="005E6B7C" w14:paraId="04F7320B" w14:textId="77777777" w:rsidTr="003B14F8">
        <w:trPr>
          <w:tblHeader/>
          <w:jc w:val="center"/>
        </w:trPr>
        <w:tc>
          <w:tcPr>
            <w:tcW w:w="747" w:type="dxa"/>
            <w:vMerge/>
            <w:vAlign w:val="center"/>
            <w:hideMark/>
          </w:tcPr>
          <w:p w14:paraId="72D9B3C7" w14:textId="41B635E9"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p>
        </w:tc>
        <w:tc>
          <w:tcPr>
            <w:tcW w:w="751" w:type="dxa"/>
            <w:vAlign w:val="center"/>
          </w:tcPr>
          <w:p w14:paraId="24D2D4ED"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b/>
                <w:color w:val="000000" w:themeColor="text1"/>
                <w:sz w:val="18"/>
                <w:szCs w:val="18"/>
                <w:vertAlign w:val="subscript"/>
                <w:lang w:eastAsia="ja-JP"/>
              </w:rPr>
              <w:t>C</w:t>
            </w:r>
            <w:r w:rsidRPr="005E6B7C">
              <w:rPr>
                <w:rFonts w:asciiTheme="majorHAnsi" w:eastAsia="Yu Mincho" w:hAnsiTheme="majorHAnsi" w:cstheme="majorHAnsi"/>
                <w:b/>
                <w:color w:val="000000" w:themeColor="text1"/>
                <w:sz w:val="18"/>
                <w:szCs w:val="18"/>
                <w:vertAlign w:val="superscript"/>
                <w:lang w:eastAsia="ja-JP"/>
              </w:rPr>
              <w:t>a,b</w:t>
            </w:r>
          </w:p>
        </w:tc>
        <w:tc>
          <w:tcPr>
            <w:tcW w:w="1867" w:type="dxa"/>
            <w:vAlign w:val="center"/>
          </w:tcPr>
          <w:p w14:paraId="473F56D9"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a,c</w:t>
            </w:r>
            <w:r w:rsidRPr="005E6B7C">
              <w:rPr>
                <w:rFonts w:asciiTheme="majorHAnsi" w:eastAsia="Yu Mincho" w:hAnsiTheme="majorHAnsi" w:cstheme="majorHAnsi"/>
                <w:color w:val="000000" w:themeColor="text1"/>
                <w:sz w:val="18"/>
                <w:szCs w:val="18"/>
                <w:lang w:eastAsia="ja-JP"/>
              </w:rPr>
              <w:t xml:space="preserve"> (mult., </w:t>
            </w:r>
            <w:r w:rsidRPr="005E6B7C">
              <w:rPr>
                <w:rFonts w:asciiTheme="majorHAnsi" w:eastAsia="Yu Mincho" w:hAnsiTheme="majorHAnsi" w:cstheme="majorHAnsi"/>
                <w:i/>
                <w:color w:val="000000" w:themeColor="text1"/>
                <w:sz w:val="18"/>
                <w:szCs w:val="18"/>
                <w:lang w:eastAsia="ja-JP"/>
              </w:rPr>
              <w:t>J</w:t>
            </w:r>
            <w:r w:rsidRPr="005E6B7C">
              <w:rPr>
                <w:rFonts w:asciiTheme="majorHAnsi" w:eastAsia="Yu Mincho" w:hAnsiTheme="majorHAnsi" w:cstheme="majorHAnsi"/>
                <w:color w:val="000000" w:themeColor="text1"/>
                <w:sz w:val="18"/>
                <w:szCs w:val="18"/>
                <w:lang w:eastAsia="ja-JP"/>
              </w:rPr>
              <w:t xml:space="preserve"> in Hz)</w:t>
            </w:r>
          </w:p>
        </w:tc>
        <w:tc>
          <w:tcPr>
            <w:tcW w:w="826" w:type="dxa"/>
            <w:vAlign w:val="center"/>
          </w:tcPr>
          <w:p w14:paraId="63F398FF"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b/>
                <w:color w:val="000000" w:themeColor="text1"/>
                <w:sz w:val="18"/>
                <w:szCs w:val="18"/>
                <w:vertAlign w:val="subscript"/>
                <w:lang w:eastAsia="ja-JP"/>
              </w:rPr>
              <w:t>C</w:t>
            </w:r>
            <w:r w:rsidRPr="005E6B7C">
              <w:rPr>
                <w:rFonts w:asciiTheme="majorHAnsi" w:eastAsia="Yu Mincho" w:hAnsiTheme="majorHAnsi" w:cstheme="majorHAnsi"/>
                <w:b/>
                <w:color w:val="000000" w:themeColor="text1"/>
                <w:sz w:val="18"/>
                <w:szCs w:val="18"/>
                <w:vertAlign w:val="superscript"/>
                <w:lang w:eastAsia="ja-JP"/>
              </w:rPr>
              <w:t>a,b</w:t>
            </w:r>
          </w:p>
        </w:tc>
        <w:tc>
          <w:tcPr>
            <w:tcW w:w="1766" w:type="dxa"/>
            <w:vAlign w:val="center"/>
          </w:tcPr>
          <w:p w14:paraId="13416A7F"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a,c</w:t>
            </w:r>
            <w:r w:rsidRPr="005E6B7C">
              <w:rPr>
                <w:rFonts w:asciiTheme="majorHAnsi" w:eastAsia="Yu Mincho" w:hAnsiTheme="majorHAnsi" w:cstheme="majorHAnsi"/>
                <w:color w:val="000000" w:themeColor="text1"/>
                <w:sz w:val="18"/>
                <w:szCs w:val="18"/>
                <w:lang w:eastAsia="ja-JP"/>
              </w:rPr>
              <w:t xml:space="preserve"> (mult., </w:t>
            </w:r>
            <w:r w:rsidRPr="005E6B7C">
              <w:rPr>
                <w:rFonts w:asciiTheme="majorHAnsi" w:eastAsia="Yu Mincho" w:hAnsiTheme="majorHAnsi" w:cstheme="majorHAnsi"/>
                <w:i/>
                <w:color w:val="000000" w:themeColor="text1"/>
                <w:sz w:val="18"/>
                <w:szCs w:val="18"/>
                <w:lang w:eastAsia="ja-JP"/>
              </w:rPr>
              <w:t>J</w:t>
            </w:r>
            <w:r w:rsidRPr="005E6B7C">
              <w:rPr>
                <w:rFonts w:asciiTheme="majorHAnsi" w:eastAsia="Yu Mincho" w:hAnsiTheme="majorHAnsi" w:cstheme="majorHAnsi"/>
                <w:color w:val="000000" w:themeColor="text1"/>
                <w:sz w:val="18"/>
                <w:szCs w:val="18"/>
                <w:lang w:eastAsia="ja-JP"/>
              </w:rPr>
              <w:t xml:space="preserve"> in Hz)</w:t>
            </w:r>
          </w:p>
        </w:tc>
        <w:tc>
          <w:tcPr>
            <w:tcW w:w="1264" w:type="dxa"/>
            <w:vAlign w:val="center"/>
          </w:tcPr>
          <w:p w14:paraId="4F9F4747"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b/>
                <w:color w:val="000000" w:themeColor="text1"/>
                <w:sz w:val="18"/>
                <w:szCs w:val="18"/>
                <w:vertAlign w:val="subscript"/>
                <w:lang w:eastAsia="ja-JP"/>
              </w:rPr>
              <w:t>C</w:t>
            </w:r>
            <w:r w:rsidRPr="005E6B7C">
              <w:rPr>
                <w:rFonts w:asciiTheme="majorHAnsi" w:eastAsia="Yu Mincho" w:hAnsiTheme="majorHAnsi" w:cstheme="majorHAnsi"/>
                <w:b/>
                <w:color w:val="000000" w:themeColor="text1"/>
                <w:sz w:val="18"/>
                <w:szCs w:val="18"/>
                <w:vertAlign w:val="superscript"/>
                <w:lang w:eastAsia="ja-JP"/>
              </w:rPr>
              <w:t>a,b</w:t>
            </w:r>
          </w:p>
        </w:tc>
        <w:tc>
          <w:tcPr>
            <w:tcW w:w="1851" w:type="dxa"/>
            <w:vAlign w:val="center"/>
          </w:tcPr>
          <w:p w14:paraId="2C7E5107" w14:textId="77777777" w:rsidR="00CB397E" w:rsidRPr="005E6B7C" w:rsidRDefault="00CB397E"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δ</w:t>
            </w:r>
            <w:r w:rsidRPr="005E6B7C">
              <w:rPr>
                <w:rFonts w:asciiTheme="majorHAnsi" w:eastAsia="Yu Mincho" w:hAnsiTheme="majorHAnsi" w:cstheme="majorHAnsi"/>
                <w:color w:val="000000" w:themeColor="text1"/>
                <w:sz w:val="18"/>
                <w:szCs w:val="18"/>
                <w:vertAlign w:val="subscript"/>
                <w:lang w:eastAsia="ja-JP"/>
              </w:rPr>
              <w:t>H</w:t>
            </w:r>
            <w:r w:rsidRPr="005E6B7C">
              <w:rPr>
                <w:rFonts w:asciiTheme="majorHAnsi" w:eastAsia="Yu Mincho" w:hAnsiTheme="majorHAnsi" w:cstheme="majorHAnsi"/>
                <w:color w:val="000000" w:themeColor="text1"/>
                <w:sz w:val="18"/>
                <w:szCs w:val="18"/>
                <w:vertAlign w:val="superscript"/>
                <w:lang w:eastAsia="ja-JP"/>
              </w:rPr>
              <w:t>a,c</w:t>
            </w:r>
            <w:r w:rsidRPr="005E6B7C">
              <w:rPr>
                <w:rFonts w:asciiTheme="majorHAnsi" w:eastAsia="Yu Mincho" w:hAnsiTheme="majorHAnsi" w:cstheme="majorHAnsi"/>
                <w:color w:val="000000" w:themeColor="text1"/>
                <w:sz w:val="18"/>
                <w:szCs w:val="18"/>
                <w:lang w:eastAsia="ja-JP"/>
              </w:rPr>
              <w:t xml:space="preserve"> (mult., </w:t>
            </w:r>
            <w:r w:rsidRPr="005E6B7C">
              <w:rPr>
                <w:rFonts w:asciiTheme="majorHAnsi" w:eastAsia="Yu Mincho" w:hAnsiTheme="majorHAnsi" w:cstheme="majorHAnsi"/>
                <w:i/>
                <w:color w:val="000000" w:themeColor="text1"/>
                <w:sz w:val="18"/>
                <w:szCs w:val="18"/>
                <w:lang w:eastAsia="ja-JP"/>
              </w:rPr>
              <w:t>J</w:t>
            </w:r>
            <w:r w:rsidRPr="005E6B7C">
              <w:rPr>
                <w:rFonts w:asciiTheme="majorHAnsi" w:eastAsia="Yu Mincho" w:hAnsiTheme="majorHAnsi" w:cstheme="majorHAnsi"/>
                <w:color w:val="000000" w:themeColor="text1"/>
                <w:sz w:val="18"/>
                <w:szCs w:val="18"/>
                <w:lang w:eastAsia="ja-JP"/>
              </w:rPr>
              <w:t xml:space="preserve"> in Hz)</w:t>
            </w:r>
          </w:p>
        </w:tc>
      </w:tr>
      <w:tr w:rsidR="00E049CB" w:rsidRPr="005E6B7C" w14:paraId="39C01AE6" w14:textId="77777777" w:rsidTr="003B14F8">
        <w:trPr>
          <w:jc w:val="center"/>
        </w:trPr>
        <w:tc>
          <w:tcPr>
            <w:tcW w:w="747" w:type="dxa"/>
            <w:hideMark/>
          </w:tcPr>
          <w:p w14:paraId="13541C4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751" w:type="dxa"/>
          </w:tcPr>
          <w:p w14:paraId="1CCC83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210.7</w:t>
            </w:r>
          </w:p>
        </w:tc>
        <w:tc>
          <w:tcPr>
            <w:tcW w:w="1867" w:type="dxa"/>
          </w:tcPr>
          <w:p w14:paraId="6CDF192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45D3D23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207.3</w:t>
            </w:r>
          </w:p>
        </w:tc>
        <w:tc>
          <w:tcPr>
            <w:tcW w:w="1766" w:type="dxa"/>
          </w:tcPr>
          <w:p w14:paraId="6A346F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78B5EEA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205.7</w:t>
            </w:r>
          </w:p>
        </w:tc>
        <w:tc>
          <w:tcPr>
            <w:tcW w:w="1851" w:type="dxa"/>
          </w:tcPr>
          <w:p w14:paraId="7691283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AA020F6" w14:textId="77777777" w:rsidTr="003B14F8">
        <w:trPr>
          <w:jc w:val="center"/>
        </w:trPr>
        <w:tc>
          <w:tcPr>
            <w:tcW w:w="747" w:type="dxa"/>
            <w:hideMark/>
          </w:tcPr>
          <w:p w14:paraId="19D4B27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751" w:type="dxa"/>
          </w:tcPr>
          <w:p w14:paraId="0FCF289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125.5</w:t>
            </w:r>
          </w:p>
        </w:tc>
        <w:tc>
          <w:tcPr>
            <w:tcW w:w="1867" w:type="dxa"/>
          </w:tcPr>
          <w:p w14:paraId="19550CE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5.92 (d, 10.0)</w:t>
            </w:r>
          </w:p>
        </w:tc>
        <w:tc>
          <w:tcPr>
            <w:tcW w:w="826" w:type="dxa"/>
          </w:tcPr>
          <w:p w14:paraId="6EDC26B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127.9</w:t>
            </w:r>
          </w:p>
        </w:tc>
        <w:tc>
          <w:tcPr>
            <w:tcW w:w="1766" w:type="dxa"/>
          </w:tcPr>
          <w:p w14:paraId="0EC755C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5.84 (dd, 2.0, 10,0)</w:t>
            </w:r>
          </w:p>
        </w:tc>
        <w:tc>
          <w:tcPr>
            <w:tcW w:w="1264" w:type="dxa"/>
          </w:tcPr>
          <w:p w14:paraId="1031F4B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127.4</w:t>
            </w:r>
          </w:p>
        </w:tc>
        <w:tc>
          <w:tcPr>
            <w:tcW w:w="1851" w:type="dxa"/>
          </w:tcPr>
          <w:p w14:paraId="67866A1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5.91 (dd, 2.0, 10,0)</w:t>
            </w:r>
          </w:p>
        </w:tc>
      </w:tr>
      <w:tr w:rsidR="00E049CB" w:rsidRPr="005E6B7C" w14:paraId="218D454B" w14:textId="77777777" w:rsidTr="003B14F8">
        <w:trPr>
          <w:jc w:val="center"/>
        </w:trPr>
        <w:tc>
          <w:tcPr>
            <w:tcW w:w="747" w:type="dxa"/>
            <w:hideMark/>
          </w:tcPr>
          <w:p w14:paraId="5C1D50D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751" w:type="dxa"/>
          </w:tcPr>
          <w:p w14:paraId="6BB308E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139.9</w:t>
            </w:r>
          </w:p>
        </w:tc>
        <w:tc>
          <w:tcPr>
            <w:tcW w:w="1867" w:type="dxa"/>
          </w:tcPr>
          <w:p w14:paraId="4E69FDC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6.88 (dd, 6.0, 10.0)</w:t>
            </w:r>
          </w:p>
        </w:tc>
        <w:tc>
          <w:tcPr>
            <w:tcW w:w="826" w:type="dxa"/>
          </w:tcPr>
          <w:p w14:paraId="5339B66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144.0</w:t>
            </w:r>
          </w:p>
        </w:tc>
        <w:tc>
          <w:tcPr>
            <w:tcW w:w="1766" w:type="dxa"/>
          </w:tcPr>
          <w:p w14:paraId="6817519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6.67 (m)</w:t>
            </w:r>
          </w:p>
        </w:tc>
        <w:tc>
          <w:tcPr>
            <w:tcW w:w="1264" w:type="dxa"/>
          </w:tcPr>
          <w:p w14:paraId="61A2660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146.2</w:t>
            </w:r>
          </w:p>
        </w:tc>
        <w:tc>
          <w:tcPr>
            <w:tcW w:w="1851" w:type="dxa"/>
          </w:tcPr>
          <w:p w14:paraId="2E30CF4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6.78 (ddd, 2.5, 5.0, 10.0)</w:t>
            </w:r>
          </w:p>
        </w:tc>
      </w:tr>
      <w:tr w:rsidR="00E049CB" w:rsidRPr="005E6B7C" w14:paraId="12D57934" w14:textId="77777777" w:rsidTr="003B14F8">
        <w:trPr>
          <w:jc w:val="center"/>
        </w:trPr>
        <w:tc>
          <w:tcPr>
            <w:tcW w:w="747" w:type="dxa"/>
            <w:hideMark/>
          </w:tcPr>
          <w:p w14:paraId="43A807F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751" w:type="dxa"/>
          </w:tcPr>
          <w:p w14:paraId="20457D2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119.4</w:t>
            </w:r>
          </w:p>
        </w:tc>
        <w:tc>
          <w:tcPr>
            <w:tcW w:w="1867" w:type="dxa"/>
          </w:tcPr>
          <w:p w14:paraId="24DED10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6.08 (d, 5.5)</w:t>
            </w:r>
          </w:p>
        </w:tc>
        <w:tc>
          <w:tcPr>
            <w:tcW w:w="826" w:type="dxa"/>
          </w:tcPr>
          <w:p w14:paraId="1306CD0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35.6</w:t>
            </w:r>
          </w:p>
        </w:tc>
        <w:tc>
          <w:tcPr>
            <w:tcW w:w="1766" w:type="dxa"/>
          </w:tcPr>
          <w:p w14:paraId="06F4F95D" w14:textId="0FA4A0A5" w:rsidR="00E049CB"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3.26 (d, 20.0)/</w:t>
            </w:r>
            <w:r w:rsidR="00E049CB" w:rsidRPr="005E6B7C">
              <w:rPr>
                <w:rFonts w:asciiTheme="majorHAnsi" w:eastAsia="Yu Mincho" w:hAnsiTheme="majorHAnsi" w:cstheme="majorHAnsi"/>
                <w:color w:val="000000" w:themeColor="text1"/>
                <w:sz w:val="18"/>
                <w:szCs w:val="18"/>
                <w:lang w:eastAsia="ja-JP"/>
              </w:rPr>
              <w:t>2.06*</w:t>
            </w:r>
          </w:p>
        </w:tc>
        <w:tc>
          <w:tcPr>
            <w:tcW w:w="1264" w:type="dxa"/>
          </w:tcPr>
          <w:p w14:paraId="7F0F1A8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32.7</w:t>
            </w:r>
          </w:p>
        </w:tc>
        <w:tc>
          <w:tcPr>
            <w:tcW w:w="1851" w:type="dxa"/>
          </w:tcPr>
          <w:p w14:paraId="0178D023" w14:textId="4686C4A0" w:rsidR="00E049CB"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2.86 (d, 4.5)/</w:t>
            </w:r>
            <w:r w:rsidR="00E049CB" w:rsidRPr="005E6B7C">
              <w:rPr>
                <w:rFonts w:asciiTheme="majorHAnsi" w:eastAsia="Yu Mincho" w:hAnsiTheme="majorHAnsi" w:cstheme="majorHAnsi"/>
                <w:color w:val="000000" w:themeColor="text1"/>
                <w:sz w:val="18"/>
                <w:szCs w:val="18"/>
                <w:lang w:eastAsia="ja-JP"/>
              </w:rPr>
              <w:t>3.27*</w:t>
            </w:r>
          </w:p>
        </w:tc>
      </w:tr>
      <w:tr w:rsidR="00E049CB" w:rsidRPr="005E6B7C" w14:paraId="48764857" w14:textId="77777777" w:rsidTr="003B14F8">
        <w:trPr>
          <w:jc w:val="center"/>
        </w:trPr>
        <w:tc>
          <w:tcPr>
            <w:tcW w:w="747" w:type="dxa"/>
            <w:hideMark/>
          </w:tcPr>
          <w:p w14:paraId="229772F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751" w:type="dxa"/>
          </w:tcPr>
          <w:p w14:paraId="27235AF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156.4</w:t>
            </w:r>
          </w:p>
        </w:tc>
        <w:tc>
          <w:tcPr>
            <w:tcW w:w="1867" w:type="dxa"/>
          </w:tcPr>
          <w:p w14:paraId="1265B2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6278D9A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77.8</w:t>
            </w:r>
          </w:p>
        </w:tc>
        <w:tc>
          <w:tcPr>
            <w:tcW w:w="1766" w:type="dxa"/>
          </w:tcPr>
          <w:p w14:paraId="514232B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73A09F9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134.0</w:t>
            </w:r>
          </w:p>
        </w:tc>
        <w:tc>
          <w:tcPr>
            <w:tcW w:w="1851" w:type="dxa"/>
          </w:tcPr>
          <w:p w14:paraId="741799D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40571D3" w14:textId="77777777" w:rsidTr="003B14F8">
        <w:trPr>
          <w:jc w:val="center"/>
        </w:trPr>
        <w:tc>
          <w:tcPr>
            <w:tcW w:w="747" w:type="dxa"/>
            <w:hideMark/>
          </w:tcPr>
          <w:p w14:paraId="7CC20D1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751" w:type="dxa"/>
          </w:tcPr>
          <w:p w14:paraId="3B7D233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71.4</w:t>
            </w:r>
          </w:p>
        </w:tc>
        <w:tc>
          <w:tcPr>
            <w:tcW w:w="1867" w:type="dxa"/>
          </w:tcPr>
          <w:p w14:paraId="4ABDCCF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4.53*</w:t>
            </w:r>
          </w:p>
        </w:tc>
        <w:tc>
          <w:tcPr>
            <w:tcW w:w="826" w:type="dxa"/>
          </w:tcPr>
          <w:p w14:paraId="6E6D694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73.6</w:t>
            </w:r>
          </w:p>
        </w:tc>
        <w:tc>
          <w:tcPr>
            <w:tcW w:w="1766" w:type="dxa"/>
          </w:tcPr>
          <w:p w14:paraId="766D06E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3.64 (br s)</w:t>
            </w:r>
          </w:p>
        </w:tc>
        <w:tc>
          <w:tcPr>
            <w:tcW w:w="1264" w:type="dxa"/>
          </w:tcPr>
          <w:p w14:paraId="4FAE058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124.5</w:t>
            </w:r>
          </w:p>
        </w:tc>
        <w:tc>
          <w:tcPr>
            <w:tcW w:w="1851" w:type="dxa"/>
          </w:tcPr>
          <w:p w14:paraId="621829B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5.58 (d, 6.5)</w:t>
            </w:r>
          </w:p>
        </w:tc>
      </w:tr>
      <w:tr w:rsidR="00E049CB" w:rsidRPr="005E6B7C" w14:paraId="2BE5D275" w14:textId="77777777" w:rsidTr="003B14F8">
        <w:trPr>
          <w:jc w:val="center"/>
        </w:trPr>
        <w:tc>
          <w:tcPr>
            <w:tcW w:w="747" w:type="dxa"/>
            <w:hideMark/>
          </w:tcPr>
          <w:p w14:paraId="6FECA0C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7</w:t>
            </w:r>
          </w:p>
        </w:tc>
        <w:tc>
          <w:tcPr>
            <w:tcW w:w="751" w:type="dxa"/>
          </w:tcPr>
          <w:p w14:paraId="63E0555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25.7</w:t>
            </w:r>
          </w:p>
        </w:tc>
        <w:tc>
          <w:tcPr>
            <w:tcW w:w="1867" w:type="dxa"/>
          </w:tcPr>
          <w:p w14:paraId="3037F32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2.38*/1.53*</w:t>
            </w:r>
          </w:p>
        </w:tc>
        <w:tc>
          <w:tcPr>
            <w:tcW w:w="826" w:type="dxa"/>
          </w:tcPr>
          <w:p w14:paraId="6D78109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26.7</w:t>
            </w:r>
          </w:p>
        </w:tc>
        <w:tc>
          <w:tcPr>
            <w:tcW w:w="1766" w:type="dxa"/>
          </w:tcPr>
          <w:p w14:paraId="32220AA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2.08*/ 2.00*</w:t>
            </w:r>
          </w:p>
        </w:tc>
        <w:tc>
          <w:tcPr>
            <w:tcW w:w="1264" w:type="dxa"/>
          </w:tcPr>
          <w:p w14:paraId="5EFFD51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24.2</w:t>
            </w:r>
          </w:p>
        </w:tc>
        <w:tc>
          <w:tcPr>
            <w:tcW w:w="1851" w:type="dxa"/>
          </w:tcPr>
          <w:p w14:paraId="179E3862" w14:textId="66626436" w:rsidR="00E049CB" w:rsidRPr="005E6B7C" w:rsidRDefault="00E049CB" w:rsidP="0055782F">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2.19*/2.37 (m)</w:t>
            </w:r>
          </w:p>
        </w:tc>
      </w:tr>
      <w:tr w:rsidR="00E049CB" w:rsidRPr="005E6B7C" w14:paraId="068A5CEE" w14:textId="77777777" w:rsidTr="003B14F8">
        <w:trPr>
          <w:jc w:val="center"/>
        </w:trPr>
        <w:tc>
          <w:tcPr>
            <w:tcW w:w="747" w:type="dxa"/>
            <w:hideMark/>
          </w:tcPr>
          <w:p w14:paraId="2AC7979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751" w:type="dxa"/>
          </w:tcPr>
          <w:p w14:paraId="460F417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38.6</w:t>
            </w:r>
          </w:p>
        </w:tc>
        <w:tc>
          <w:tcPr>
            <w:tcW w:w="1867" w:type="dxa"/>
          </w:tcPr>
          <w:p w14:paraId="524F424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2.69 (t, 8.5)</w:t>
            </w:r>
          </w:p>
        </w:tc>
        <w:tc>
          <w:tcPr>
            <w:tcW w:w="826" w:type="dxa"/>
          </w:tcPr>
          <w:p w14:paraId="45AD912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38.8</w:t>
            </w:r>
          </w:p>
        </w:tc>
        <w:tc>
          <w:tcPr>
            <w:tcW w:w="1766" w:type="dxa"/>
          </w:tcPr>
          <w:p w14:paraId="2EA6615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2.43 (dt, 3.5, 12.5)</w:t>
            </w:r>
          </w:p>
        </w:tc>
        <w:tc>
          <w:tcPr>
            <w:tcW w:w="1264" w:type="dxa"/>
          </w:tcPr>
          <w:p w14:paraId="3FF0BD6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40.0</w:t>
            </w:r>
          </w:p>
        </w:tc>
        <w:tc>
          <w:tcPr>
            <w:tcW w:w="1851" w:type="dxa"/>
          </w:tcPr>
          <w:p w14:paraId="119E720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2.20*</w:t>
            </w:r>
          </w:p>
        </w:tc>
      </w:tr>
      <w:tr w:rsidR="00E049CB" w:rsidRPr="005E6B7C" w14:paraId="27690142" w14:textId="77777777" w:rsidTr="003B14F8">
        <w:trPr>
          <w:jc w:val="center"/>
        </w:trPr>
        <w:tc>
          <w:tcPr>
            <w:tcW w:w="747" w:type="dxa"/>
            <w:hideMark/>
          </w:tcPr>
          <w:p w14:paraId="051BC1C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751" w:type="dxa"/>
          </w:tcPr>
          <w:p w14:paraId="14E57BF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36.0</w:t>
            </w:r>
          </w:p>
        </w:tc>
        <w:tc>
          <w:tcPr>
            <w:tcW w:w="1867" w:type="dxa"/>
          </w:tcPr>
          <w:p w14:paraId="42D1343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2.96 (dd, 8.5, 10.5)</w:t>
            </w:r>
          </w:p>
        </w:tc>
        <w:tc>
          <w:tcPr>
            <w:tcW w:w="826" w:type="dxa"/>
          </w:tcPr>
          <w:p w14:paraId="6ECD872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30.8</w:t>
            </w:r>
          </w:p>
        </w:tc>
        <w:tc>
          <w:tcPr>
            <w:tcW w:w="1766" w:type="dxa"/>
          </w:tcPr>
          <w:p w14:paraId="5DC8086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3.04 (dd, 8.5, 11.0)</w:t>
            </w:r>
          </w:p>
        </w:tc>
        <w:tc>
          <w:tcPr>
            <w:tcW w:w="1264" w:type="dxa"/>
          </w:tcPr>
          <w:p w14:paraId="5DF7AB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33.2</w:t>
            </w:r>
          </w:p>
        </w:tc>
        <w:tc>
          <w:tcPr>
            <w:tcW w:w="1851" w:type="dxa"/>
          </w:tcPr>
          <w:p w14:paraId="017CAF9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2.92 (m)</w:t>
            </w:r>
          </w:p>
        </w:tc>
      </w:tr>
      <w:tr w:rsidR="00E049CB" w:rsidRPr="005E6B7C" w14:paraId="0EB87C07" w14:textId="77777777" w:rsidTr="003B14F8">
        <w:trPr>
          <w:jc w:val="center"/>
        </w:trPr>
        <w:tc>
          <w:tcPr>
            <w:tcW w:w="747" w:type="dxa"/>
            <w:hideMark/>
          </w:tcPr>
          <w:p w14:paraId="02620CC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751" w:type="dxa"/>
          </w:tcPr>
          <w:p w14:paraId="0692194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54.1</w:t>
            </w:r>
          </w:p>
        </w:tc>
        <w:tc>
          <w:tcPr>
            <w:tcW w:w="1867" w:type="dxa"/>
          </w:tcPr>
          <w:p w14:paraId="2DE0CA9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23C808F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54.9</w:t>
            </w:r>
          </w:p>
        </w:tc>
        <w:tc>
          <w:tcPr>
            <w:tcW w:w="1766" w:type="dxa"/>
          </w:tcPr>
          <w:p w14:paraId="4C0D2BC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305513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52.7</w:t>
            </w:r>
          </w:p>
        </w:tc>
        <w:tc>
          <w:tcPr>
            <w:tcW w:w="1851" w:type="dxa"/>
          </w:tcPr>
          <w:p w14:paraId="4AD2A95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7BB25C34" w14:textId="77777777" w:rsidTr="003B14F8">
        <w:trPr>
          <w:jc w:val="center"/>
        </w:trPr>
        <w:tc>
          <w:tcPr>
            <w:tcW w:w="747" w:type="dxa"/>
            <w:hideMark/>
          </w:tcPr>
          <w:p w14:paraId="567ADC3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751" w:type="dxa"/>
          </w:tcPr>
          <w:p w14:paraId="425E918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24.3</w:t>
            </w:r>
          </w:p>
        </w:tc>
        <w:tc>
          <w:tcPr>
            <w:tcW w:w="1867" w:type="dxa"/>
          </w:tcPr>
          <w:p w14:paraId="6DE55826" w14:textId="77777777" w:rsidR="0055782F"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2.36*</w:t>
            </w:r>
          </w:p>
          <w:p w14:paraId="4102C62F" w14:textId="2C4F00FB"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1.26*</w:t>
            </w:r>
          </w:p>
        </w:tc>
        <w:tc>
          <w:tcPr>
            <w:tcW w:w="826" w:type="dxa"/>
          </w:tcPr>
          <w:p w14:paraId="2279CB7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25.5</w:t>
            </w:r>
          </w:p>
        </w:tc>
        <w:tc>
          <w:tcPr>
            <w:tcW w:w="1766" w:type="dxa"/>
          </w:tcPr>
          <w:p w14:paraId="3D2468FA" w14:textId="77777777" w:rsidR="0055782F"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1.16 (</w:t>
            </w:r>
            <w:r w:rsidR="0055782F" w:rsidRPr="005E6B7C">
              <w:rPr>
                <w:rFonts w:asciiTheme="majorHAnsi" w:eastAsia="Yu Mincho" w:hAnsiTheme="majorHAnsi" w:cstheme="majorHAnsi"/>
                <w:color w:val="000000" w:themeColor="text1"/>
                <w:sz w:val="18"/>
                <w:szCs w:val="18"/>
                <w:lang w:eastAsia="ja-JP"/>
              </w:rPr>
              <w:t>m)</w:t>
            </w:r>
          </w:p>
          <w:p w14:paraId="3580997C" w14:textId="16BBC940"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1.86 (t, 16.5)</w:t>
            </w:r>
          </w:p>
        </w:tc>
        <w:tc>
          <w:tcPr>
            <w:tcW w:w="1264" w:type="dxa"/>
          </w:tcPr>
          <w:p w14:paraId="218CF56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24.8</w:t>
            </w:r>
          </w:p>
        </w:tc>
        <w:tc>
          <w:tcPr>
            <w:tcW w:w="1851" w:type="dxa"/>
          </w:tcPr>
          <w:p w14:paraId="4666C5DE" w14:textId="77777777" w:rsidR="0055782F"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1.22*</w:t>
            </w:r>
          </w:p>
          <w:p w14:paraId="37B02619" w14:textId="2FAE224E"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2.03 (d, 2.0)</w:t>
            </w:r>
          </w:p>
        </w:tc>
      </w:tr>
      <w:tr w:rsidR="00E049CB" w:rsidRPr="005E6B7C" w14:paraId="0892B0A7" w14:textId="77777777" w:rsidTr="003B14F8">
        <w:trPr>
          <w:jc w:val="center"/>
        </w:trPr>
        <w:tc>
          <w:tcPr>
            <w:tcW w:w="747" w:type="dxa"/>
            <w:hideMark/>
          </w:tcPr>
          <w:p w14:paraId="04882F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751" w:type="dxa"/>
          </w:tcPr>
          <w:p w14:paraId="77A271E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32.9</w:t>
            </w:r>
          </w:p>
        </w:tc>
        <w:tc>
          <w:tcPr>
            <w:tcW w:w="1867" w:type="dxa"/>
          </w:tcPr>
          <w:p w14:paraId="2DF7B116" w14:textId="62C46592"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2.06 </w:t>
            </w:r>
            <w:r w:rsidR="0055782F"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brs</w:t>
            </w:r>
            <w:r w:rsidR="0055782F" w:rsidRPr="005E6B7C">
              <w:rPr>
                <w:rFonts w:asciiTheme="majorHAnsi" w:eastAsia="Yu Mincho" w:hAnsiTheme="majorHAnsi" w:cstheme="majorHAnsi"/>
                <w:color w:val="000000" w:themeColor="text1"/>
                <w:sz w:val="18"/>
                <w:szCs w:val="18"/>
                <w:lang w:eastAsia="ja-JP"/>
              </w:rPr>
              <w:t>)</w:t>
            </w:r>
          </w:p>
        </w:tc>
        <w:tc>
          <w:tcPr>
            <w:tcW w:w="826" w:type="dxa"/>
          </w:tcPr>
          <w:p w14:paraId="125165A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26.0</w:t>
            </w:r>
          </w:p>
        </w:tc>
        <w:tc>
          <w:tcPr>
            <w:tcW w:w="1766" w:type="dxa"/>
          </w:tcPr>
          <w:p w14:paraId="1B01A8B8" w14:textId="77777777" w:rsidR="0055782F"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1.00 (dd, 10.0, 16.5)</w:t>
            </w:r>
          </w:p>
          <w:p w14:paraId="57B53DD0" w14:textId="29256789"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2.34*</w:t>
            </w:r>
          </w:p>
        </w:tc>
        <w:tc>
          <w:tcPr>
            <w:tcW w:w="1264" w:type="dxa"/>
          </w:tcPr>
          <w:p w14:paraId="5F112A5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25.8</w:t>
            </w:r>
          </w:p>
        </w:tc>
        <w:tc>
          <w:tcPr>
            <w:tcW w:w="1851" w:type="dxa"/>
          </w:tcPr>
          <w:p w14:paraId="61E17372" w14:textId="77777777" w:rsidR="0055782F" w:rsidRPr="005E6B7C" w:rsidRDefault="00E049CB" w:rsidP="0055782F">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1.60 </w:t>
            </w:r>
            <w:r w:rsidR="0055782F" w:rsidRPr="005E6B7C">
              <w:rPr>
                <w:rFonts w:asciiTheme="majorHAnsi" w:eastAsia="Yu Mincho" w:hAnsiTheme="majorHAnsi" w:cstheme="majorHAnsi"/>
                <w:color w:val="000000" w:themeColor="text1"/>
                <w:sz w:val="18"/>
                <w:szCs w:val="18"/>
                <w:lang w:eastAsia="ja-JP"/>
              </w:rPr>
              <w:t>(m)</w:t>
            </w:r>
          </w:p>
          <w:p w14:paraId="3092BE13" w14:textId="7172F301" w:rsidR="00E049CB" w:rsidRPr="005E6B7C" w:rsidRDefault="00E049CB" w:rsidP="0055782F">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2.40 (m)</w:t>
            </w:r>
          </w:p>
        </w:tc>
      </w:tr>
      <w:tr w:rsidR="00E049CB" w:rsidRPr="005E6B7C" w14:paraId="5B7494A8" w14:textId="77777777" w:rsidTr="003B14F8">
        <w:trPr>
          <w:jc w:val="center"/>
        </w:trPr>
        <w:tc>
          <w:tcPr>
            <w:tcW w:w="747" w:type="dxa"/>
            <w:hideMark/>
          </w:tcPr>
          <w:p w14:paraId="7E8FB0A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w:t>
            </w:r>
          </w:p>
        </w:tc>
        <w:tc>
          <w:tcPr>
            <w:tcW w:w="751" w:type="dxa"/>
          </w:tcPr>
          <w:p w14:paraId="697933D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79.7</w:t>
            </w:r>
          </w:p>
        </w:tc>
        <w:tc>
          <w:tcPr>
            <w:tcW w:w="1867" w:type="dxa"/>
          </w:tcPr>
          <w:p w14:paraId="69C7717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235997D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80.0</w:t>
            </w:r>
          </w:p>
        </w:tc>
        <w:tc>
          <w:tcPr>
            <w:tcW w:w="1766" w:type="dxa"/>
          </w:tcPr>
          <w:p w14:paraId="3F22B4E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3182B25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79.67</w:t>
            </w:r>
          </w:p>
        </w:tc>
        <w:tc>
          <w:tcPr>
            <w:tcW w:w="1851" w:type="dxa"/>
          </w:tcPr>
          <w:p w14:paraId="7DFFDAA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D2D4F02" w14:textId="77777777" w:rsidTr="003B14F8">
        <w:trPr>
          <w:jc w:val="center"/>
        </w:trPr>
        <w:tc>
          <w:tcPr>
            <w:tcW w:w="747" w:type="dxa"/>
            <w:hideMark/>
          </w:tcPr>
          <w:p w14:paraId="2277D64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w:t>
            </w:r>
          </w:p>
        </w:tc>
        <w:tc>
          <w:tcPr>
            <w:tcW w:w="751" w:type="dxa"/>
          </w:tcPr>
          <w:p w14:paraId="6A638B0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107.1</w:t>
            </w:r>
          </w:p>
        </w:tc>
        <w:tc>
          <w:tcPr>
            <w:tcW w:w="1867" w:type="dxa"/>
          </w:tcPr>
          <w:p w14:paraId="07D9585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381F08C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108.0</w:t>
            </w:r>
          </w:p>
        </w:tc>
        <w:tc>
          <w:tcPr>
            <w:tcW w:w="1766" w:type="dxa"/>
          </w:tcPr>
          <w:p w14:paraId="19A087D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3E88433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107.5</w:t>
            </w:r>
          </w:p>
        </w:tc>
        <w:tc>
          <w:tcPr>
            <w:tcW w:w="1851" w:type="dxa"/>
          </w:tcPr>
          <w:p w14:paraId="0C881F8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9C0619A" w14:textId="77777777" w:rsidTr="003B14F8">
        <w:trPr>
          <w:jc w:val="center"/>
        </w:trPr>
        <w:tc>
          <w:tcPr>
            <w:tcW w:w="747" w:type="dxa"/>
            <w:hideMark/>
          </w:tcPr>
          <w:p w14:paraId="2E3CF3F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w:t>
            </w:r>
          </w:p>
        </w:tc>
        <w:tc>
          <w:tcPr>
            <w:tcW w:w="751" w:type="dxa"/>
          </w:tcPr>
          <w:p w14:paraId="736733D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208.2</w:t>
            </w:r>
          </w:p>
        </w:tc>
        <w:tc>
          <w:tcPr>
            <w:tcW w:w="1867" w:type="dxa"/>
          </w:tcPr>
          <w:p w14:paraId="593C063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6EC80AE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208.9</w:t>
            </w:r>
          </w:p>
        </w:tc>
        <w:tc>
          <w:tcPr>
            <w:tcW w:w="1766" w:type="dxa"/>
          </w:tcPr>
          <w:p w14:paraId="0B5646D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07E8453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208.1</w:t>
            </w:r>
          </w:p>
        </w:tc>
        <w:tc>
          <w:tcPr>
            <w:tcW w:w="1851" w:type="dxa"/>
          </w:tcPr>
          <w:p w14:paraId="74B39D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06926A93" w14:textId="77777777" w:rsidTr="003B14F8">
        <w:trPr>
          <w:jc w:val="center"/>
        </w:trPr>
        <w:tc>
          <w:tcPr>
            <w:tcW w:w="747" w:type="dxa"/>
            <w:hideMark/>
          </w:tcPr>
          <w:p w14:paraId="546D2C6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751" w:type="dxa"/>
          </w:tcPr>
          <w:p w14:paraId="7B4E6FD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55.6</w:t>
            </w:r>
          </w:p>
        </w:tc>
        <w:tc>
          <w:tcPr>
            <w:tcW w:w="1867" w:type="dxa"/>
          </w:tcPr>
          <w:p w14:paraId="0B25A34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2.29 (br s)</w:t>
            </w:r>
          </w:p>
        </w:tc>
        <w:tc>
          <w:tcPr>
            <w:tcW w:w="826" w:type="dxa"/>
          </w:tcPr>
          <w:p w14:paraId="3DF5FE1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55.9</w:t>
            </w:r>
          </w:p>
        </w:tc>
        <w:tc>
          <w:tcPr>
            <w:tcW w:w="1766" w:type="dxa"/>
          </w:tcPr>
          <w:p w14:paraId="21207DC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2.32*</w:t>
            </w:r>
          </w:p>
        </w:tc>
        <w:tc>
          <w:tcPr>
            <w:tcW w:w="1264" w:type="dxa"/>
          </w:tcPr>
          <w:p w14:paraId="768656E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56.4</w:t>
            </w:r>
          </w:p>
        </w:tc>
        <w:tc>
          <w:tcPr>
            <w:tcW w:w="1851" w:type="dxa"/>
          </w:tcPr>
          <w:p w14:paraId="1AC159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2.22 (br s)</w:t>
            </w:r>
          </w:p>
        </w:tc>
      </w:tr>
      <w:tr w:rsidR="00E049CB" w:rsidRPr="005E6B7C" w14:paraId="0BFC7F2E" w14:textId="77777777" w:rsidTr="003B14F8">
        <w:trPr>
          <w:jc w:val="center"/>
        </w:trPr>
        <w:tc>
          <w:tcPr>
            <w:tcW w:w="747" w:type="dxa"/>
            <w:hideMark/>
          </w:tcPr>
          <w:p w14:paraId="3A0F474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w:t>
            </w:r>
          </w:p>
        </w:tc>
        <w:tc>
          <w:tcPr>
            <w:tcW w:w="751" w:type="dxa"/>
          </w:tcPr>
          <w:p w14:paraId="772EE36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81.1</w:t>
            </w:r>
          </w:p>
        </w:tc>
        <w:tc>
          <w:tcPr>
            <w:tcW w:w="1867" w:type="dxa"/>
          </w:tcPr>
          <w:p w14:paraId="5CD7F55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63EBC02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81.2</w:t>
            </w:r>
          </w:p>
        </w:tc>
        <w:tc>
          <w:tcPr>
            <w:tcW w:w="1766" w:type="dxa"/>
          </w:tcPr>
          <w:p w14:paraId="663879A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1FA0E14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80.3</w:t>
            </w:r>
          </w:p>
        </w:tc>
        <w:tc>
          <w:tcPr>
            <w:tcW w:w="1851" w:type="dxa"/>
          </w:tcPr>
          <w:p w14:paraId="79F01FA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45F2BCFE" w14:textId="77777777" w:rsidTr="003B14F8">
        <w:trPr>
          <w:jc w:val="center"/>
        </w:trPr>
        <w:tc>
          <w:tcPr>
            <w:tcW w:w="747" w:type="dxa"/>
            <w:hideMark/>
          </w:tcPr>
          <w:p w14:paraId="70A7ABE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w:t>
            </w:r>
          </w:p>
        </w:tc>
        <w:tc>
          <w:tcPr>
            <w:tcW w:w="751" w:type="dxa"/>
          </w:tcPr>
          <w:p w14:paraId="6B7A8C7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172.3</w:t>
            </w:r>
          </w:p>
        </w:tc>
        <w:tc>
          <w:tcPr>
            <w:tcW w:w="1867" w:type="dxa"/>
          </w:tcPr>
          <w:p w14:paraId="576C940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7B7739F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173.1</w:t>
            </w:r>
          </w:p>
        </w:tc>
        <w:tc>
          <w:tcPr>
            <w:tcW w:w="1766" w:type="dxa"/>
          </w:tcPr>
          <w:p w14:paraId="27F8854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041D39F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172.3</w:t>
            </w:r>
          </w:p>
        </w:tc>
        <w:tc>
          <w:tcPr>
            <w:tcW w:w="1851" w:type="dxa"/>
          </w:tcPr>
          <w:p w14:paraId="7045EF1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D419955" w14:textId="77777777" w:rsidTr="003B14F8">
        <w:trPr>
          <w:jc w:val="center"/>
        </w:trPr>
        <w:tc>
          <w:tcPr>
            <w:tcW w:w="747" w:type="dxa"/>
            <w:hideMark/>
          </w:tcPr>
          <w:p w14:paraId="0C49428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w:t>
            </w:r>
          </w:p>
        </w:tc>
        <w:tc>
          <w:tcPr>
            <w:tcW w:w="751" w:type="dxa"/>
          </w:tcPr>
          <w:p w14:paraId="718AF2B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w:t>
            </w:r>
          </w:p>
        </w:tc>
        <w:tc>
          <w:tcPr>
            <w:tcW w:w="1867" w:type="dxa"/>
          </w:tcPr>
          <w:p w14:paraId="7A8F1C7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1.52 (s)</w:t>
            </w:r>
          </w:p>
        </w:tc>
        <w:tc>
          <w:tcPr>
            <w:tcW w:w="826" w:type="dxa"/>
          </w:tcPr>
          <w:p w14:paraId="5F44F3E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14.2</w:t>
            </w:r>
          </w:p>
        </w:tc>
        <w:tc>
          <w:tcPr>
            <w:tcW w:w="1766" w:type="dxa"/>
          </w:tcPr>
          <w:p w14:paraId="734DAE9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 (s)</w:t>
            </w:r>
          </w:p>
        </w:tc>
        <w:tc>
          <w:tcPr>
            <w:tcW w:w="1264" w:type="dxa"/>
          </w:tcPr>
          <w:p w14:paraId="062F061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17.9</w:t>
            </w:r>
          </w:p>
        </w:tc>
        <w:tc>
          <w:tcPr>
            <w:tcW w:w="1851" w:type="dxa"/>
          </w:tcPr>
          <w:p w14:paraId="550934F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1.22 (s)</w:t>
            </w:r>
          </w:p>
        </w:tc>
      </w:tr>
      <w:tr w:rsidR="00E049CB" w:rsidRPr="005E6B7C" w14:paraId="637BB241" w14:textId="77777777" w:rsidTr="003B14F8">
        <w:trPr>
          <w:jc w:val="center"/>
        </w:trPr>
        <w:tc>
          <w:tcPr>
            <w:tcW w:w="747" w:type="dxa"/>
            <w:hideMark/>
          </w:tcPr>
          <w:p w14:paraId="38A4352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751" w:type="dxa"/>
          </w:tcPr>
          <w:p w14:paraId="0E98333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80.6</w:t>
            </w:r>
          </w:p>
        </w:tc>
        <w:tc>
          <w:tcPr>
            <w:tcW w:w="1867" w:type="dxa"/>
          </w:tcPr>
          <w:p w14:paraId="7FF1D69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7BC14FB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81.4</w:t>
            </w:r>
          </w:p>
        </w:tc>
        <w:tc>
          <w:tcPr>
            <w:tcW w:w="1766" w:type="dxa"/>
          </w:tcPr>
          <w:p w14:paraId="421D088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6EDE3C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81.0</w:t>
            </w:r>
          </w:p>
        </w:tc>
        <w:tc>
          <w:tcPr>
            <w:tcW w:w="1851" w:type="dxa"/>
          </w:tcPr>
          <w:p w14:paraId="5EBF145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70CA2784" w14:textId="77777777" w:rsidTr="003B14F8">
        <w:trPr>
          <w:jc w:val="center"/>
        </w:trPr>
        <w:tc>
          <w:tcPr>
            <w:tcW w:w="747" w:type="dxa"/>
            <w:hideMark/>
          </w:tcPr>
          <w:p w14:paraId="1B725C5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w:t>
            </w:r>
          </w:p>
        </w:tc>
        <w:tc>
          <w:tcPr>
            <w:tcW w:w="751" w:type="dxa"/>
          </w:tcPr>
          <w:p w14:paraId="0D4DC26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21.6</w:t>
            </w:r>
          </w:p>
        </w:tc>
        <w:tc>
          <w:tcPr>
            <w:tcW w:w="1867" w:type="dxa"/>
          </w:tcPr>
          <w:p w14:paraId="7B2713B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1.99 (s)</w:t>
            </w:r>
          </w:p>
        </w:tc>
        <w:tc>
          <w:tcPr>
            <w:tcW w:w="826" w:type="dxa"/>
          </w:tcPr>
          <w:p w14:paraId="252B9BA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21.8</w:t>
            </w:r>
          </w:p>
        </w:tc>
        <w:tc>
          <w:tcPr>
            <w:tcW w:w="1766" w:type="dxa"/>
          </w:tcPr>
          <w:p w14:paraId="14FF6FF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1.99 (s)</w:t>
            </w:r>
          </w:p>
        </w:tc>
        <w:tc>
          <w:tcPr>
            <w:tcW w:w="1264" w:type="dxa"/>
          </w:tcPr>
          <w:p w14:paraId="267670A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21.5</w:t>
            </w:r>
          </w:p>
        </w:tc>
        <w:tc>
          <w:tcPr>
            <w:tcW w:w="1851" w:type="dxa"/>
          </w:tcPr>
          <w:p w14:paraId="28CD8DE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1.97 (s)</w:t>
            </w:r>
          </w:p>
        </w:tc>
      </w:tr>
      <w:tr w:rsidR="00E049CB" w:rsidRPr="005E6B7C" w14:paraId="4DB82425" w14:textId="77777777" w:rsidTr="003B14F8">
        <w:trPr>
          <w:jc w:val="center"/>
        </w:trPr>
        <w:tc>
          <w:tcPr>
            <w:tcW w:w="747" w:type="dxa"/>
            <w:hideMark/>
          </w:tcPr>
          <w:p w14:paraId="165AE72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w:t>
            </w:r>
          </w:p>
        </w:tc>
        <w:tc>
          <w:tcPr>
            <w:tcW w:w="751" w:type="dxa"/>
          </w:tcPr>
          <w:p w14:paraId="38632B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77.1</w:t>
            </w:r>
          </w:p>
        </w:tc>
        <w:tc>
          <w:tcPr>
            <w:tcW w:w="1867" w:type="dxa"/>
          </w:tcPr>
          <w:p w14:paraId="4F9AB0A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4.53*</w:t>
            </w:r>
          </w:p>
        </w:tc>
        <w:tc>
          <w:tcPr>
            <w:tcW w:w="826" w:type="dxa"/>
          </w:tcPr>
          <w:p w14:paraId="7C7784D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77.8</w:t>
            </w:r>
          </w:p>
        </w:tc>
        <w:tc>
          <w:tcPr>
            <w:tcW w:w="1766" w:type="dxa"/>
          </w:tcPr>
          <w:p w14:paraId="102F9F8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4.58 (br s)</w:t>
            </w:r>
          </w:p>
        </w:tc>
        <w:tc>
          <w:tcPr>
            <w:tcW w:w="1264" w:type="dxa"/>
          </w:tcPr>
          <w:p w14:paraId="0E07776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76.9</w:t>
            </w:r>
          </w:p>
        </w:tc>
        <w:tc>
          <w:tcPr>
            <w:tcW w:w="1851" w:type="dxa"/>
          </w:tcPr>
          <w:p w14:paraId="4F7B715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4.55 (d, 2.0)</w:t>
            </w:r>
          </w:p>
        </w:tc>
      </w:tr>
      <w:tr w:rsidR="00E049CB" w:rsidRPr="005E6B7C" w14:paraId="10D31C0E" w14:textId="77777777" w:rsidTr="003B14F8">
        <w:trPr>
          <w:jc w:val="center"/>
        </w:trPr>
        <w:tc>
          <w:tcPr>
            <w:tcW w:w="747" w:type="dxa"/>
            <w:hideMark/>
          </w:tcPr>
          <w:p w14:paraId="2C4F7DD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w:t>
            </w:r>
          </w:p>
        </w:tc>
        <w:tc>
          <w:tcPr>
            <w:tcW w:w="751" w:type="dxa"/>
          </w:tcPr>
          <w:p w14:paraId="009BE8F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31.4</w:t>
            </w:r>
          </w:p>
        </w:tc>
        <w:tc>
          <w:tcPr>
            <w:tcW w:w="1867" w:type="dxa"/>
          </w:tcPr>
          <w:p w14:paraId="784429BB" w14:textId="2DB95D9F"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2.49 </w:t>
            </w:r>
            <w:r w:rsidR="0055782F"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br</w:t>
            </w:r>
            <w:r w:rsidR="0055782F"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s</w:t>
            </w:r>
            <w:r w:rsidR="0055782F"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/1.56*</w:t>
            </w:r>
          </w:p>
        </w:tc>
        <w:tc>
          <w:tcPr>
            <w:tcW w:w="826" w:type="dxa"/>
          </w:tcPr>
          <w:p w14:paraId="6A01F6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33.0</w:t>
            </w:r>
          </w:p>
        </w:tc>
        <w:tc>
          <w:tcPr>
            <w:tcW w:w="1766" w:type="dxa"/>
          </w:tcPr>
          <w:p w14:paraId="6855A79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 2.13 (dd, 3.0, 14.5)</w:t>
            </w:r>
          </w:p>
        </w:tc>
        <w:tc>
          <w:tcPr>
            <w:tcW w:w="1264" w:type="dxa"/>
          </w:tcPr>
          <w:p w14:paraId="390B99E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33.1</w:t>
            </w:r>
          </w:p>
        </w:tc>
        <w:tc>
          <w:tcPr>
            <w:tcW w:w="1851" w:type="dxa"/>
          </w:tcPr>
          <w:p w14:paraId="0D1C46C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2.04 (m)</w:t>
            </w:r>
          </w:p>
        </w:tc>
      </w:tr>
      <w:tr w:rsidR="00E049CB" w:rsidRPr="005E6B7C" w14:paraId="650C6169" w14:textId="77777777" w:rsidTr="003B14F8">
        <w:trPr>
          <w:jc w:val="center"/>
        </w:trPr>
        <w:tc>
          <w:tcPr>
            <w:tcW w:w="747" w:type="dxa"/>
            <w:hideMark/>
          </w:tcPr>
          <w:p w14:paraId="0DE7F29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w:t>
            </w:r>
          </w:p>
        </w:tc>
        <w:tc>
          <w:tcPr>
            <w:tcW w:w="751" w:type="dxa"/>
          </w:tcPr>
          <w:p w14:paraId="1651885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31.0</w:t>
            </w:r>
          </w:p>
        </w:tc>
        <w:tc>
          <w:tcPr>
            <w:tcW w:w="1867" w:type="dxa"/>
          </w:tcPr>
          <w:p w14:paraId="50E7EEA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6CBC863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31.3</w:t>
            </w:r>
          </w:p>
        </w:tc>
        <w:tc>
          <w:tcPr>
            <w:tcW w:w="1766" w:type="dxa"/>
          </w:tcPr>
          <w:p w14:paraId="1774DEB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7991E9E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31.1</w:t>
            </w:r>
          </w:p>
        </w:tc>
        <w:tc>
          <w:tcPr>
            <w:tcW w:w="1851" w:type="dxa"/>
          </w:tcPr>
          <w:p w14:paraId="6DC621D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50E67DA9" w14:textId="77777777" w:rsidTr="003B14F8">
        <w:trPr>
          <w:jc w:val="center"/>
        </w:trPr>
        <w:tc>
          <w:tcPr>
            <w:tcW w:w="747" w:type="dxa"/>
            <w:hideMark/>
          </w:tcPr>
          <w:p w14:paraId="2701D72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w:t>
            </w:r>
          </w:p>
        </w:tc>
        <w:tc>
          <w:tcPr>
            <w:tcW w:w="751" w:type="dxa"/>
          </w:tcPr>
          <w:p w14:paraId="0CA8D7F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50.9</w:t>
            </w:r>
          </w:p>
        </w:tc>
        <w:tc>
          <w:tcPr>
            <w:tcW w:w="1867" w:type="dxa"/>
          </w:tcPr>
          <w:p w14:paraId="44726A9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2.45 (br d, 3.0)</w:t>
            </w:r>
          </w:p>
        </w:tc>
        <w:tc>
          <w:tcPr>
            <w:tcW w:w="826" w:type="dxa"/>
          </w:tcPr>
          <w:p w14:paraId="7470C5E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51.0</w:t>
            </w:r>
          </w:p>
        </w:tc>
        <w:tc>
          <w:tcPr>
            <w:tcW w:w="1766" w:type="dxa"/>
          </w:tcPr>
          <w:p w14:paraId="25640F1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2.58 (d, 4.0)</w:t>
            </w:r>
          </w:p>
        </w:tc>
        <w:tc>
          <w:tcPr>
            <w:tcW w:w="1264" w:type="dxa"/>
          </w:tcPr>
          <w:p w14:paraId="0AA3FB2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51.0</w:t>
            </w:r>
          </w:p>
        </w:tc>
        <w:tc>
          <w:tcPr>
            <w:tcW w:w="1851" w:type="dxa"/>
          </w:tcPr>
          <w:p w14:paraId="4FE64B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2.45 (d, 4.0)</w:t>
            </w:r>
          </w:p>
        </w:tc>
      </w:tr>
      <w:tr w:rsidR="00E049CB" w:rsidRPr="005E6B7C" w14:paraId="6C723133" w14:textId="77777777" w:rsidTr="003B14F8">
        <w:trPr>
          <w:jc w:val="center"/>
        </w:trPr>
        <w:tc>
          <w:tcPr>
            <w:tcW w:w="747" w:type="dxa"/>
            <w:hideMark/>
          </w:tcPr>
          <w:p w14:paraId="356FA9C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w:t>
            </w:r>
          </w:p>
        </w:tc>
        <w:tc>
          <w:tcPr>
            <w:tcW w:w="751" w:type="dxa"/>
          </w:tcPr>
          <w:p w14:paraId="17D18BB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167.0</w:t>
            </w:r>
          </w:p>
        </w:tc>
        <w:tc>
          <w:tcPr>
            <w:tcW w:w="1867" w:type="dxa"/>
          </w:tcPr>
          <w:p w14:paraId="5CE9C37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826" w:type="dxa"/>
          </w:tcPr>
          <w:p w14:paraId="0EFBCFB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168.6</w:t>
            </w:r>
          </w:p>
        </w:tc>
        <w:tc>
          <w:tcPr>
            <w:tcW w:w="1766" w:type="dxa"/>
          </w:tcPr>
          <w:p w14:paraId="6D5BACF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1264" w:type="dxa"/>
          </w:tcPr>
          <w:p w14:paraId="7108512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166.7</w:t>
            </w:r>
          </w:p>
        </w:tc>
        <w:tc>
          <w:tcPr>
            <w:tcW w:w="1851" w:type="dxa"/>
          </w:tcPr>
          <w:p w14:paraId="671D5C7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8D9CF80" w14:textId="77777777" w:rsidTr="003B14F8">
        <w:trPr>
          <w:jc w:val="center"/>
        </w:trPr>
        <w:tc>
          <w:tcPr>
            <w:tcW w:w="747" w:type="dxa"/>
            <w:hideMark/>
          </w:tcPr>
          <w:p w14:paraId="73D6732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w:t>
            </w:r>
          </w:p>
        </w:tc>
        <w:tc>
          <w:tcPr>
            <w:tcW w:w="751" w:type="dxa"/>
          </w:tcPr>
          <w:p w14:paraId="050C824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60.8</w:t>
            </w:r>
          </w:p>
        </w:tc>
        <w:tc>
          <w:tcPr>
            <w:tcW w:w="1867" w:type="dxa"/>
          </w:tcPr>
          <w:p w14:paraId="4BEF8370" w14:textId="338AC94F" w:rsidR="00E049CB"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3.79 (d, 13.0)/</w:t>
            </w:r>
            <w:r w:rsidR="00E049CB" w:rsidRPr="005E6B7C">
              <w:rPr>
                <w:rFonts w:asciiTheme="majorHAnsi" w:eastAsia="Yu Mincho" w:hAnsiTheme="majorHAnsi" w:cstheme="majorHAnsi"/>
                <w:color w:val="000000" w:themeColor="text1"/>
                <w:sz w:val="18"/>
                <w:szCs w:val="18"/>
                <w:lang w:eastAsia="ja-JP"/>
              </w:rPr>
              <w:t>4.51 (d, 4.5)</w:t>
            </w:r>
          </w:p>
        </w:tc>
        <w:tc>
          <w:tcPr>
            <w:tcW w:w="826" w:type="dxa"/>
          </w:tcPr>
          <w:p w14:paraId="3E9233C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61.0</w:t>
            </w:r>
          </w:p>
        </w:tc>
        <w:tc>
          <w:tcPr>
            <w:tcW w:w="1766" w:type="dxa"/>
          </w:tcPr>
          <w:p w14:paraId="09D86BAD" w14:textId="10247CE3" w:rsidR="00E049CB"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3.78 (d, 13.5)/</w:t>
            </w:r>
            <w:r w:rsidR="00E049CB" w:rsidRPr="005E6B7C">
              <w:rPr>
                <w:rFonts w:asciiTheme="majorHAnsi" w:eastAsia="Yu Mincho" w:hAnsiTheme="majorHAnsi" w:cstheme="majorHAnsi"/>
                <w:color w:val="000000" w:themeColor="text1"/>
                <w:sz w:val="18"/>
                <w:szCs w:val="18"/>
                <w:lang w:eastAsia="ja-JP"/>
              </w:rPr>
              <w:t>4.47 (dd, 4.5, 13.5)</w:t>
            </w:r>
          </w:p>
        </w:tc>
        <w:tc>
          <w:tcPr>
            <w:tcW w:w="1264" w:type="dxa"/>
          </w:tcPr>
          <w:p w14:paraId="4EA7894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60.7</w:t>
            </w:r>
          </w:p>
        </w:tc>
        <w:tc>
          <w:tcPr>
            <w:tcW w:w="1851" w:type="dxa"/>
          </w:tcPr>
          <w:p w14:paraId="0C4AB3A1" w14:textId="7DD29C86" w:rsidR="00E049CB" w:rsidRPr="005E6B7C" w:rsidRDefault="0055782F"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3.79 (d, 13.5)/</w:t>
            </w:r>
            <w:r w:rsidR="00E049CB" w:rsidRPr="005E6B7C">
              <w:rPr>
                <w:rFonts w:asciiTheme="majorHAnsi" w:eastAsia="Yu Mincho" w:hAnsiTheme="majorHAnsi" w:cstheme="majorHAnsi"/>
                <w:color w:val="000000" w:themeColor="text1"/>
                <w:sz w:val="18"/>
                <w:szCs w:val="18"/>
                <w:lang w:eastAsia="ja-JP"/>
              </w:rPr>
              <w:t>4.51 (dd, 4.5, 13.5)</w:t>
            </w:r>
          </w:p>
        </w:tc>
      </w:tr>
      <w:tr w:rsidR="00E049CB" w:rsidRPr="005E6B7C" w14:paraId="69278AB2" w14:textId="77777777" w:rsidTr="003B14F8">
        <w:trPr>
          <w:jc w:val="center"/>
        </w:trPr>
        <w:tc>
          <w:tcPr>
            <w:tcW w:w="747" w:type="dxa"/>
            <w:hideMark/>
          </w:tcPr>
          <w:p w14:paraId="46FA3B3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w:t>
            </w:r>
          </w:p>
        </w:tc>
        <w:tc>
          <w:tcPr>
            <w:tcW w:w="751" w:type="dxa"/>
          </w:tcPr>
          <w:p w14:paraId="08BD8A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26.5</w:t>
            </w:r>
          </w:p>
        </w:tc>
        <w:tc>
          <w:tcPr>
            <w:tcW w:w="1867" w:type="dxa"/>
          </w:tcPr>
          <w:p w14:paraId="6A788B6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 (s)</w:t>
            </w:r>
          </w:p>
        </w:tc>
        <w:tc>
          <w:tcPr>
            <w:tcW w:w="826" w:type="dxa"/>
          </w:tcPr>
          <w:p w14:paraId="2D88BB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26.3</w:t>
            </w:r>
          </w:p>
        </w:tc>
        <w:tc>
          <w:tcPr>
            <w:tcW w:w="1766" w:type="dxa"/>
          </w:tcPr>
          <w:p w14:paraId="719D12F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 (s)</w:t>
            </w:r>
          </w:p>
        </w:tc>
        <w:tc>
          <w:tcPr>
            <w:tcW w:w="1264" w:type="dxa"/>
          </w:tcPr>
          <w:p w14:paraId="31EE42B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26.5</w:t>
            </w:r>
          </w:p>
        </w:tc>
        <w:tc>
          <w:tcPr>
            <w:tcW w:w="1851" w:type="dxa"/>
          </w:tcPr>
          <w:p w14:paraId="1C83036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 (s)</w:t>
            </w:r>
          </w:p>
        </w:tc>
      </w:tr>
    </w:tbl>
    <w:p w14:paraId="0ECE5D35" w14:textId="43EC0D4F" w:rsidR="00E049CB" w:rsidRPr="005E6B7C" w:rsidRDefault="003B14F8" w:rsidP="003B14F8">
      <w:pPr>
        <w:tabs>
          <w:tab w:val="left" w:pos="270"/>
          <w:tab w:val="left" w:pos="540"/>
          <w:tab w:val="left" w:pos="9270"/>
        </w:tabs>
        <w:spacing w:before="120" w:after="180"/>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18"/>
          <w:szCs w:val="18"/>
          <w:lang w:eastAsia="ja-JP"/>
        </w:rPr>
        <w:t>Data was identified based on 1D and 2D NMR experiments (500 MHz, CDCl</w:t>
      </w:r>
      <w:r w:rsidRPr="005E6B7C">
        <w:rPr>
          <w:rFonts w:asciiTheme="majorHAnsi" w:eastAsia="Yu Mincho" w:hAnsiTheme="majorHAnsi" w:cstheme="majorHAnsi"/>
          <w:i/>
          <w:color w:val="000000" w:themeColor="text1"/>
          <w:sz w:val="18"/>
          <w:szCs w:val="18"/>
          <w:vertAlign w:val="subscript"/>
          <w:lang w:eastAsia="ja-JP"/>
        </w:rPr>
        <w:t>3</w:t>
      </w:r>
      <w:r w:rsidRPr="005E6B7C">
        <w:rPr>
          <w:rFonts w:asciiTheme="majorHAnsi" w:eastAsia="Yu Mincho" w:hAnsiTheme="majorHAnsi" w:cstheme="majorHAnsi"/>
          <w:i/>
          <w:color w:val="000000" w:themeColor="text1"/>
          <w:sz w:val="18"/>
          <w:szCs w:val="18"/>
          <w:lang w:eastAsia="ja-JP"/>
        </w:rPr>
        <w:t>). *Overlap</w:t>
      </w:r>
      <w:r w:rsidR="0055782F" w:rsidRPr="005E6B7C">
        <w:rPr>
          <w:rFonts w:asciiTheme="majorHAnsi" w:eastAsia="Yu Mincho" w:hAnsiTheme="majorHAnsi" w:cstheme="majorHAnsi"/>
          <w:i/>
          <w:color w:val="000000" w:themeColor="text1"/>
          <w:sz w:val="18"/>
          <w:szCs w:val="18"/>
          <w:lang w:eastAsia="ja-JP"/>
        </w:rPr>
        <w:t>ped</w:t>
      </w:r>
      <w:r w:rsidRPr="005E6B7C">
        <w:rPr>
          <w:rFonts w:asciiTheme="majorHAnsi" w:eastAsia="Yu Mincho" w:hAnsiTheme="majorHAnsi" w:cstheme="majorHAnsi"/>
          <w:i/>
          <w:color w:val="000000" w:themeColor="text1"/>
          <w:sz w:val="18"/>
          <w:szCs w:val="18"/>
          <w:lang w:eastAsia="ja-JP"/>
        </w:rPr>
        <w:t xml:space="preserve"> signals</w:t>
      </w:r>
      <w:r w:rsidR="0055782F" w:rsidRPr="005E6B7C">
        <w:rPr>
          <w:rFonts w:asciiTheme="majorHAnsi" w:eastAsia="Yu Mincho" w:hAnsiTheme="majorHAnsi" w:cstheme="majorHAnsi"/>
          <w:i/>
          <w:color w:val="000000" w:themeColor="text1"/>
          <w:sz w:val="18"/>
          <w:szCs w:val="18"/>
          <w:lang w:eastAsia="ja-JP"/>
        </w:rPr>
        <w:t>.</w:t>
      </w:r>
    </w:p>
    <w:p w14:paraId="1DDA8483" w14:textId="77777777" w:rsidR="002F483D" w:rsidRPr="005E6B7C" w:rsidRDefault="002F483D" w:rsidP="008C0D47">
      <w:pPr>
        <w:tabs>
          <w:tab w:val="left" w:pos="270"/>
          <w:tab w:val="left" w:pos="540"/>
          <w:tab w:val="left" w:pos="9270"/>
        </w:tabs>
        <w:ind w:right="-20"/>
        <w:rPr>
          <w:rFonts w:asciiTheme="majorHAnsi" w:eastAsia="Yu Mincho" w:hAnsiTheme="majorHAnsi" w:cstheme="majorHAnsi"/>
          <w:b/>
          <w:bCs/>
          <w:color w:val="000000" w:themeColor="text1"/>
          <w:sz w:val="18"/>
          <w:szCs w:val="18"/>
          <w:lang w:eastAsia="ja-JP"/>
        </w:rPr>
        <w:sectPr w:rsidR="002F483D" w:rsidRPr="005E6B7C" w:rsidSect="002206BB">
          <w:type w:val="continuous"/>
          <w:pgSz w:w="10773" w:h="15309" w:code="9"/>
          <w:pgMar w:top="907" w:right="851" w:bottom="1418" w:left="851" w:header="397" w:footer="851" w:gutter="0"/>
          <w:cols w:space="284"/>
          <w:docGrid w:linePitch="360"/>
        </w:sectPr>
      </w:pPr>
    </w:p>
    <w:p w14:paraId="631A494A" w14:textId="77777777" w:rsidR="00E37467" w:rsidRPr="005E6B7C" w:rsidRDefault="00E37467"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3D5CEC38" wp14:editId="30DF086C">
            <wp:extent cx="2463800" cy="2551271"/>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saturation sat="0"/>
                              </a14:imgEffect>
                            </a14:imgLayer>
                          </a14:imgProps>
                        </a:ext>
                      </a:extLst>
                    </a:blip>
                    <a:srcRect l="39253" t="27217" r="38373" b="29680"/>
                    <a:stretch/>
                  </pic:blipFill>
                  <pic:spPr bwMode="auto">
                    <a:xfrm>
                      <a:off x="0" y="0"/>
                      <a:ext cx="2471682" cy="2559433"/>
                    </a:xfrm>
                    <a:prstGeom prst="rect">
                      <a:avLst/>
                    </a:prstGeom>
                    <a:ln>
                      <a:noFill/>
                    </a:ln>
                    <a:extLst>
                      <a:ext uri="{53640926-AAD7-44D8-BBD7-CCE9431645EC}">
                        <a14:shadowObscured xmlns:a14="http://schemas.microsoft.com/office/drawing/2010/main"/>
                      </a:ext>
                    </a:extLst>
                  </pic:spPr>
                </pic:pic>
              </a:graphicData>
            </a:graphic>
          </wp:inline>
        </w:drawing>
      </w:r>
    </w:p>
    <w:p w14:paraId="027A8277" w14:textId="77777777"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3.</w:t>
      </w:r>
      <w:r w:rsidR="00E049CB" w:rsidRPr="005E6B7C">
        <w:rPr>
          <w:rFonts w:asciiTheme="majorHAnsi" w:eastAsia="Yu Mincho" w:hAnsiTheme="majorHAnsi" w:cstheme="majorHAnsi"/>
          <w:color w:val="000000" w:themeColor="text1"/>
          <w:sz w:val="18"/>
          <w:szCs w:val="18"/>
          <w:lang w:eastAsia="ja-JP"/>
        </w:rPr>
        <w:t xml:space="preserve"> Important HMBC cross-peaks of compound </w:t>
      </w:r>
      <w:r w:rsidR="00E049CB" w:rsidRPr="005E6B7C">
        <w:rPr>
          <w:rFonts w:asciiTheme="majorHAnsi" w:eastAsia="Yu Mincho" w:hAnsiTheme="majorHAnsi" w:cstheme="majorHAnsi"/>
          <w:b/>
          <w:bCs/>
          <w:color w:val="000000" w:themeColor="text1"/>
          <w:sz w:val="18"/>
          <w:szCs w:val="18"/>
          <w:lang w:eastAsia="ja-JP"/>
        </w:rPr>
        <w:t>1</w:t>
      </w:r>
    </w:p>
    <w:p w14:paraId="30EBB5E5" w14:textId="77777777" w:rsidR="00E37467" w:rsidRPr="005E6B7C" w:rsidRDefault="00E37467"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5DADE18B" w14:textId="3A9498C1"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Elucidating the mechanisms by which bioactive compounds suppress key pro-inflammatory mediators, including IL-12p40, IL-6, and TNF-</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 provides critical insights into molecular pathways that may be exploited for the development of novel anti-inflammatory strategies in disease prevention and health </w:t>
      </w:r>
      <w:r w:rsidRPr="005E6B7C">
        <w:rPr>
          <w:rFonts w:asciiTheme="majorHAnsi" w:eastAsia="Yu Mincho" w:hAnsiTheme="majorHAnsi" w:cstheme="majorHAnsi"/>
          <w:color w:val="000000" w:themeColor="text1"/>
          <w:sz w:val="22"/>
          <w:szCs w:val="22"/>
          <w:lang w:eastAsia="ja-JP"/>
        </w:rPr>
        <w:t xml:space="preserve">promotion. Consistent with this,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exhibited potent anti-inflammatory activity against IL-12p40, IL-6, and TNF-</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of 1.17 ± 0.02, 7.52 ± 0.03, and 2.93 ± 0.05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 respectively, compared with the positive control Adezmapimod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5.00 ± 0.01, 3.50 ± 0.01, and 7.20 ± 0.01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respectively). In contrast, the remaining compounds were inactive. </w:t>
      </w:r>
      <w:r w:rsidRPr="005E6B7C">
        <w:rPr>
          <w:rFonts w:asciiTheme="majorHAnsi" w:eastAsia="Times New Roman" w:hAnsiTheme="majorHAnsi" w:cstheme="majorHAnsi"/>
          <w:color w:val="000000" w:themeColor="text1"/>
          <w:sz w:val="22"/>
          <w:szCs w:val="22"/>
          <w:lang w:eastAsia="ko-KR"/>
        </w:rPr>
        <w:t>The strong inhibition of IL-12p40 and TNF-</w:t>
      </w:r>
      <w:r w:rsidRPr="005E6B7C">
        <w:rPr>
          <w:rFonts w:asciiTheme="majorHAnsi" w:eastAsia="Times New Roman" w:hAnsiTheme="majorHAnsi" w:cstheme="majorHAnsi"/>
          <w:i/>
          <w:color w:val="000000" w:themeColor="text1"/>
          <w:sz w:val="22"/>
          <w:szCs w:val="22"/>
          <w:lang w:eastAsia="ko-KR"/>
        </w:rPr>
        <w:t>α</w:t>
      </w:r>
      <w:r w:rsidRPr="005E6B7C">
        <w:rPr>
          <w:rFonts w:asciiTheme="majorHAnsi" w:eastAsia="Times New Roman" w:hAnsiTheme="majorHAnsi" w:cstheme="majorHAnsi"/>
          <w:color w:val="000000" w:themeColor="text1"/>
          <w:sz w:val="22"/>
          <w:szCs w:val="22"/>
          <w:lang w:eastAsia="ko-KR"/>
        </w:rPr>
        <w:t xml:space="preserve"> production suggests that compound </w:t>
      </w:r>
      <w:r w:rsidRPr="005E6B7C">
        <w:rPr>
          <w:rFonts w:asciiTheme="majorHAnsi" w:eastAsia="Times New Roman" w:hAnsiTheme="majorHAnsi" w:cstheme="majorHAnsi"/>
          <w:b/>
          <w:bCs/>
          <w:color w:val="000000" w:themeColor="text1"/>
          <w:sz w:val="22"/>
          <w:szCs w:val="22"/>
          <w:lang w:eastAsia="ko-KR"/>
        </w:rPr>
        <w:t>1</w:t>
      </w:r>
      <w:r w:rsidRPr="005E6B7C">
        <w:rPr>
          <w:rFonts w:asciiTheme="majorHAnsi" w:eastAsia="Times New Roman" w:hAnsiTheme="majorHAnsi" w:cstheme="majorHAnsi"/>
          <w:color w:val="000000" w:themeColor="text1"/>
          <w:sz w:val="22"/>
          <w:szCs w:val="22"/>
          <w:lang w:eastAsia="ko-KR"/>
        </w:rPr>
        <w:t xml:space="preserve"> may interfere with upstream signaling events in LPS-activated BMDCs. Given that these cytokines are primarily regulated by NF-</w:t>
      </w:r>
      <w:r w:rsidRPr="005E6B7C">
        <w:rPr>
          <w:rFonts w:asciiTheme="majorHAnsi" w:eastAsia="Times New Roman" w:hAnsiTheme="majorHAnsi" w:cstheme="majorHAnsi"/>
          <w:i/>
          <w:color w:val="000000" w:themeColor="text1"/>
          <w:sz w:val="22"/>
          <w:szCs w:val="22"/>
          <w:lang w:eastAsia="ko-KR"/>
        </w:rPr>
        <w:t>κ</w:t>
      </w:r>
      <w:r w:rsidRPr="005E6B7C">
        <w:rPr>
          <w:rFonts w:asciiTheme="majorHAnsi" w:eastAsia="Times New Roman" w:hAnsiTheme="majorHAnsi" w:cstheme="majorHAnsi"/>
          <w:color w:val="000000" w:themeColor="text1"/>
          <w:sz w:val="22"/>
          <w:szCs w:val="22"/>
          <w:lang w:eastAsia="ko-KR"/>
        </w:rPr>
        <w:t xml:space="preserve">B and MAPK pathways, physalin G may suppress phosphorylation of IKK or p38 MAPK, thereby preventing nuclear translocation of NF-κB. The presence of an </w:t>
      </w:r>
      <w:r w:rsidRPr="005E6B7C">
        <w:rPr>
          <w:rFonts w:asciiTheme="majorHAnsi" w:eastAsia="Times New Roman" w:hAnsiTheme="majorHAnsi" w:cstheme="majorHAnsi"/>
          <w:i/>
          <w:color w:val="000000" w:themeColor="text1"/>
          <w:sz w:val="22"/>
          <w:szCs w:val="22"/>
          <w:lang w:eastAsia="ko-KR"/>
        </w:rPr>
        <w:t>α</w:t>
      </w:r>
      <w:r w:rsidRPr="005E6B7C">
        <w:rPr>
          <w:rFonts w:asciiTheme="majorHAnsi" w:eastAsia="Times New Roman" w:hAnsiTheme="majorHAnsi" w:cstheme="majorHAnsi"/>
          <w:color w:val="000000" w:themeColor="text1"/>
          <w:sz w:val="22"/>
          <w:szCs w:val="22"/>
          <w:lang w:eastAsia="ko-KR"/>
        </w:rPr>
        <w:t>,</w:t>
      </w:r>
      <w:r w:rsidRPr="005E6B7C">
        <w:rPr>
          <w:rFonts w:asciiTheme="majorHAnsi" w:eastAsia="Times New Roman" w:hAnsiTheme="majorHAnsi" w:cstheme="majorHAnsi"/>
          <w:i/>
          <w:color w:val="000000" w:themeColor="text1"/>
          <w:sz w:val="22"/>
          <w:szCs w:val="22"/>
          <w:lang w:eastAsia="ko-KR"/>
        </w:rPr>
        <w:t>β</w:t>
      </w:r>
      <w:r w:rsidRPr="005E6B7C">
        <w:rPr>
          <w:rFonts w:asciiTheme="majorHAnsi" w:eastAsia="Times New Roman" w:hAnsiTheme="majorHAnsi" w:cstheme="majorHAnsi"/>
          <w:color w:val="000000" w:themeColor="text1"/>
          <w:sz w:val="22"/>
          <w:szCs w:val="22"/>
          <w:lang w:eastAsia="ko-KR"/>
        </w:rPr>
        <w:t>-unsaturated carbonyl moiety in physalin G could enable covalent interaction with cysteine residues of signaling proteins, a mechanism previously reported for several withanolides. Further mechanistic studies involving Western blot analysis of p-p38, p-IKK, and NF-</w:t>
      </w:r>
      <w:r w:rsidRPr="005E6B7C">
        <w:rPr>
          <w:rFonts w:asciiTheme="majorHAnsi" w:eastAsia="Times New Roman" w:hAnsiTheme="majorHAnsi" w:cstheme="majorHAnsi"/>
          <w:i/>
          <w:color w:val="000000" w:themeColor="text1"/>
          <w:sz w:val="22"/>
          <w:szCs w:val="22"/>
          <w:lang w:eastAsia="ko-KR"/>
        </w:rPr>
        <w:t>κ</w:t>
      </w:r>
      <w:r w:rsidRPr="005E6B7C">
        <w:rPr>
          <w:rFonts w:asciiTheme="majorHAnsi" w:eastAsia="Times New Roman" w:hAnsiTheme="majorHAnsi" w:cstheme="majorHAnsi"/>
          <w:color w:val="000000" w:themeColor="text1"/>
          <w:sz w:val="22"/>
          <w:szCs w:val="22"/>
          <w:lang w:eastAsia="ko-KR"/>
        </w:rPr>
        <w:t>B nuclear translocation would be necessary to confirm this hypothesis.</w:t>
      </w:r>
    </w:p>
    <w:p w14:paraId="72B269AF" w14:textId="77777777" w:rsidR="00E049CB" w:rsidRPr="005E6B7C" w:rsidRDefault="00E049CB" w:rsidP="008C0D47">
      <w:pPr>
        <w:tabs>
          <w:tab w:val="left" w:pos="9270"/>
        </w:tabs>
        <w:spacing w:line="260" w:lineRule="exact"/>
        <w:ind w:firstLine="284"/>
        <w:jc w:val="both"/>
        <w:outlineLvl w:val="0"/>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4. Conclusion</w:t>
      </w:r>
    </w:p>
    <w:p w14:paraId="418D56C2" w14:textId="77777777" w:rsidR="002F483D" w:rsidRPr="005E6B7C" w:rsidRDefault="00E049CB" w:rsidP="008C0D47">
      <w:pPr>
        <w:tabs>
          <w:tab w:val="left" w:pos="9270"/>
        </w:tabs>
        <w:spacing w:line="26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In this study, the methanolic extract of </w:t>
      </w:r>
      <w:r w:rsidRPr="005E6B7C">
        <w:rPr>
          <w:rFonts w:asciiTheme="majorHAnsi" w:eastAsia="Yu Mincho" w:hAnsiTheme="majorHAnsi" w:cstheme="majorHAnsi"/>
          <w:i/>
          <w:iCs/>
          <w:color w:val="000000" w:themeColor="text1"/>
          <w:spacing w:val="4"/>
          <w:sz w:val="22"/>
          <w:szCs w:val="22"/>
          <w:lang w:eastAsia="ja-JP"/>
        </w:rPr>
        <w:t xml:space="preserve">P. </w:t>
      </w:r>
      <w:r w:rsidRPr="005E6B7C">
        <w:rPr>
          <w:rFonts w:asciiTheme="majorHAnsi" w:eastAsia="Yu Mincho" w:hAnsiTheme="majorHAnsi" w:cstheme="majorHAnsi"/>
          <w:i/>
          <w:iCs/>
          <w:color w:val="000000" w:themeColor="text1"/>
          <w:spacing w:val="4"/>
          <w:sz w:val="22"/>
          <w:szCs w:val="22"/>
          <w:lang w:eastAsia="ja-JP"/>
        </w:rPr>
        <w:lastRenderedPageBreak/>
        <w:t>angulata</w:t>
      </w:r>
      <w:r w:rsidRPr="005E6B7C">
        <w:rPr>
          <w:rFonts w:asciiTheme="majorHAnsi" w:eastAsia="Yu Mincho" w:hAnsiTheme="majorHAnsi" w:cstheme="majorHAnsi"/>
          <w:color w:val="000000" w:themeColor="text1"/>
          <w:spacing w:val="4"/>
          <w:sz w:val="22"/>
          <w:szCs w:val="22"/>
          <w:lang w:eastAsia="ja-JP"/>
        </w:rPr>
        <w:t xml:space="preserve"> collected in Vietnam was chemically characterized for the first time using HR-QTOF-MS, enabling rapid profiling of its major constituents. Several secondary metabolites (</w:t>
      </w:r>
      <w:r w:rsidRPr="005E6B7C">
        <w:rPr>
          <w:rFonts w:asciiTheme="majorHAnsi" w:eastAsia="Yu Mincho" w:hAnsiTheme="majorHAnsi" w:cstheme="majorHAnsi"/>
          <w:b/>
          <w:bCs/>
          <w:color w:val="000000" w:themeColor="text1"/>
          <w:spacing w:val="4"/>
          <w:sz w:val="22"/>
          <w:szCs w:val="22"/>
          <w:lang w:eastAsia="ja-JP"/>
        </w:rPr>
        <w:t>1–3</w:t>
      </w:r>
      <w:r w:rsidRPr="005E6B7C">
        <w:rPr>
          <w:rFonts w:asciiTheme="majorHAnsi" w:eastAsia="Yu Mincho" w:hAnsiTheme="majorHAnsi" w:cstheme="majorHAnsi"/>
          <w:color w:val="000000" w:themeColor="text1"/>
          <w:spacing w:val="4"/>
          <w:sz w:val="22"/>
          <w:szCs w:val="22"/>
          <w:lang w:eastAsia="ja-JP"/>
        </w:rPr>
        <w:t xml:space="preserve">) were identified and validated. Biological evaluation showed that compound </w:t>
      </w:r>
      <w:r w:rsidRPr="005E6B7C">
        <w:rPr>
          <w:rFonts w:asciiTheme="majorHAnsi" w:eastAsia="Yu Mincho" w:hAnsiTheme="majorHAnsi" w:cstheme="majorHAnsi"/>
          <w:b/>
          <w:bCs/>
          <w:color w:val="000000" w:themeColor="text1"/>
          <w:spacing w:val="4"/>
          <w:sz w:val="22"/>
          <w:szCs w:val="22"/>
          <w:lang w:eastAsia="ja-JP"/>
        </w:rPr>
        <w:t>1</w:t>
      </w:r>
      <w:r w:rsidRPr="005E6B7C">
        <w:rPr>
          <w:rFonts w:asciiTheme="majorHAnsi" w:eastAsia="Yu Mincho" w:hAnsiTheme="majorHAnsi" w:cstheme="majorHAnsi"/>
          <w:color w:val="000000" w:themeColor="text1"/>
          <w:spacing w:val="4"/>
          <w:sz w:val="22"/>
          <w:szCs w:val="22"/>
          <w:lang w:eastAsia="ja-JP"/>
        </w:rPr>
        <w:t xml:space="preserve"> significantly inhibited LPS-induced production of IL-12p40, IL-6, and TNF-</w:t>
      </w:r>
      <w:r w:rsidRPr="005E6B7C">
        <w:rPr>
          <w:rFonts w:asciiTheme="majorHAnsi" w:eastAsia="Yu Mincho" w:hAnsiTheme="majorHAnsi" w:cstheme="majorHAnsi"/>
          <w:i/>
          <w:color w:val="000000" w:themeColor="text1"/>
          <w:spacing w:val="4"/>
          <w:sz w:val="22"/>
          <w:szCs w:val="22"/>
          <w:lang w:eastAsia="ja-JP"/>
        </w:rPr>
        <w:t>α</w:t>
      </w:r>
      <w:r w:rsidRPr="005E6B7C">
        <w:rPr>
          <w:rFonts w:asciiTheme="majorHAnsi" w:eastAsia="Yu Mincho" w:hAnsiTheme="majorHAnsi" w:cstheme="majorHAnsi"/>
          <w:color w:val="000000" w:themeColor="text1"/>
          <w:spacing w:val="4"/>
          <w:sz w:val="22"/>
          <w:szCs w:val="22"/>
          <w:lang w:eastAsia="ja-JP"/>
        </w:rPr>
        <w:t xml:space="preserve"> in bone marrow–derived dendritic cells, indicating notable anti-inflammatory activity. These findings support </w:t>
      </w:r>
      <w:r w:rsidRPr="005E6B7C">
        <w:rPr>
          <w:rFonts w:asciiTheme="majorHAnsi" w:eastAsia="Yu Mincho" w:hAnsiTheme="majorHAnsi" w:cstheme="majorHAnsi"/>
          <w:color w:val="000000" w:themeColor="text1"/>
          <w:spacing w:val="4"/>
          <w:sz w:val="22"/>
          <w:szCs w:val="22"/>
          <w:lang w:eastAsia="ja-JP"/>
        </w:rPr>
        <w:t xml:space="preserve">the traditional medicinal use of </w:t>
      </w:r>
      <w:r w:rsidRPr="005E6B7C">
        <w:rPr>
          <w:rFonts w:asciiTheme="majorHAnsi" w:eastAsia="Yu Mincho" w:hAnsiTheme="majorHAnsi" w:cstheme="majorHAnsi"/>
          <w:i/>
          <w:iCs/>
          <w:color w:val="000000" w:themeColor="text1"/>
          <w:spacing w:val="4"/>
          <w:sz w:val="22"/>
          <w:szCs w:val="22"/>
          <w:lang w:eastAsia="ja-JP"/>
        </w:rPr>
        <w:t>P. angulata</w:t>
      </w:r>
      <w:r w:rsidRPr="005E6B7C">
        <w:rPr>
          <w:rFonts w:asciiTheme="majorHAnsi" w:eastAsia="Yu Mincho" w:hAnsiTheme="majorHAnsi" w:cstheme="majorHAnsi"/>
          <w:color w:val="000000" w:themeColor="text1"/>
          <w:spacing w:val="4"/>
          <w:sz w:val="22"/>
          <w:szCs w:val="22"/>
          <w:lang w:eastAsia="ja-JP"/>
        </w:rPr>
        <w:t xml:space="preserve"> and provide a basis for further pharmacological investigation. However, this study was limited to </w:t>
      </w:r>
      <w:r w:rsidR="00894500" w:rsidRPr="005E6B7C">
        <w:rPr>
          <w:rFonts w:asciiTheme="majorHAnsi" w:eastAsia="Yu Mincho" w:hAnsiTheme="majorHAnsi" w:cstheme="majorHAnsi"/>
          <w:i/>
          <w:iCs/>
          <w:color w:val="000000" w:themeColor="text1"/>
          <w:spacing w:val="4"/>
          <w:sz w:val="22"/>
          <w:szCs w:val="22"/>
          <w:lang w:eastAsia="ja-JP"/>
        </w:rPr>
        <w:t>in vitro</w:t>
      </w:r>
      <w:r w:rsidRPr="005E6B7C">
        <w:rPr>
          <w:rFonts w:asciiTheme="majorHAnsi" w:eastAsia="Yu Mincho" w:hAnsiTheme="majorHAnsi" w:cstheme="majorHAnsi"/>
          <w:color w:val="000000" w:themeColor="text1"/>
          <w:spacing w:val="4"/>
          <w:sz w:val="22"/>
          <w:szCs w:val="22"/>
          <w:lang w:eastAsia="ja-JP"/>
        </w:rPr>
        <w:t xml:space="preserve"> assays, and additional </w:t>
      </w:r>
      <w:r w:rsidR="00894500" w:rsidRPr="005E6B7C">
        <w:rPr>
          <w:rFonts w:asciiTheme="majorHAnsi" w:eastAsia="Yu Mincho" w:hAnsiTheme="majorHAnsi" w:cstheme="majorHAnsi"/>
          <w:i/>
          <w:iCs/>
          <w:color w:val="000000" w:themeColor="text1"/>
          <w:spacing w:val="4"/>
          <w:sz w:val="22"/>
          <w:szCs w:val="22"/>
          <w:lang w:eastAsia="ja-JP"/>
        </w:rPr>
        <w:t>in vivo</w:t>
      </w:r>
      <w:r w:rsidRPr="005E6B7C">
        <w:rPr>
          <w:rFonts w:asciiTheme="majorHAnsi" w:eastAsia="Yu Mincho" w:hAnsiTheme="majorHAnsi" w:cstheme="majorHAnsi"/>
          <w:color w:val="000000" w:themeColor="text1"/>
          <w:spacing w:val="4"/>
          <w:sz w:val="22"/>
          <w:szCs w:val="22"/>
          <w:lang w:eastAsia="ja-JP"/>
        </w:rPr>
        <w:t xml:space="preserve"> studies are required to confirm the therapeutic potential. Moreover, further calibration and quantitative validation of the LC–MS method are necessary to improve accuracy and reproducibility for future applications.</w:t>
      </w:r>
    </w:p>
    <w:p w14:paraId="664637CD" w14:textId="77777777" w:rsidR="002F483D" w:rsidRPr="005E6B7C" w:rsidRDefault="002F483D" w:rsidP="008C0D47">
      <w:pPr>
        <w:tabs>
          <w:tab w:val="left" w:pos="9270"/>
        </w:tabs>
        <w:spacing w:line="260" w:lineRule="exact"/>
        <w:ind w:firstLine="284"/>
        <w:jc w:val="both"/>
        <w:rPr>
          <w:rFonts w:asciiTheme="majorHAnsi" w:eastAsia="Yu Mincho" w:hAnsiTheme="majorHAnsi" w:cstheme="majorHAnsi"/>
          <w:color w:val="000000" w:themeColor="text1"/>
          <w:spacing w:val="4"/>
          <w:sz w:val="22"/>
          <w:szCs w:val="22"/>
          <w:lang w:eastAsia="ja-JP"/>
        </w:rPr>
        <w:sectPr w:rsidR="002F483D" w:rsidRPr="005E6B7C" w:rsidSect="002F483D">
          <w:type w:val="continuous"/>
          <w:pgSz w:w="10773" w:h="15309" w:code="9"/>
          <w:pgMar w:top="907" w:right="851" w:bottom="1418" w:left="851" w:header="397" w:footer="851" w:gutter="0"/>
          <w:cols w:num="2" w:space="284"/>
          <w:docGrid w:linePitch="360"/>
        </w:sectPr>
      </w:pPr>
    </w:p>
    <w:p w14:paraId="2ED79FD2" w14:textId="77777777" w:rsidR="00E37467" w:rsidRPr="005E6B7C" w:rsidRDefault="00E37467"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p>
    <w:p w14:paraId="211B07CB" w14:textId="77777777" w:rsidR="00E049CB" w:rsidRPr="005E6B7C" w:rsidRDefault="00E049CB" w:rsidP="008C0D47">
      <w:pPr>
        <w:tabs>
          <w:tab w:val="left" w:pos="270"/>
          <w:tab w:val="left" w:pos="540"/>
          <w:tab w:val="left" w:pos="9270"/>
        </w:tabs>
        <w:spacing w:after="120"/>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References</w:t>
      </w:r>
    </w:p>
    <w:p w14:paraId="2506BBAF" w14:textId="4FF32E20"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 Sholehah D. N., Hariyanto S., Purnobasuki H. (2021), Fruit Development of groundcherry (</w:t>
      </w:r>
      <w:r w:rsidRPr="005E6B7C">
        <w:rPr>
          <w:rFonts w:asciiTheme="majorHAnsi" w:eastAsia="Yu Mincho" w:hAnsiTheme="majorHAnsi" w:cstheme="majorHAnsi"/>
          <w:i/>
          <w:noProof/>
          <w:color w:val="000000" w:themeColor="text1"/>
          <w:sz w:val="18"/>
          <w:szCs w:val="18"/>
          <w:lang w:eastAsia="ja-JP"/>
        </w:rPr>
        <w:t>Physalis angulate</w:t>
      </w:r>
      <w:r w:rsidRPr="005E6B7C">
        <w:rPr>
          <w:rFonts w:asciiTheme="majorHAnsi" w:eastAsia="Yu Mincho" w:hAnsiTheme="majorHAnsi" w:cstheme="majorHAnsi"/>
          <w:noProof/>
          <w:color w:val="000000" w:themeColor="text1"/>
          <w:sz w:val="18"/>
          <w:szCs w:val="18"/>
          <w:lang w:eastAsia="ja-JP"/>
        </w:rPr>
        <w:t xml:space="preserve"> L.) in dryland</w:t>
      </w:r>
      <w:r w:rsidRPr="005E6B7C">
        <w:rPr>
          <w:rFonts w:asciiTheme="majorHAnsi" w:eastAsia="Yu Mincho" w:hAnsiTheme="majorHAnsi" w:cstheme="majorHAnsi"/>
          <w:i/>
          <w:noProof/>
          <w:color w:val="000000" w:themeColor="text1"/>
          <w:sz w:val="18"/>
          <w:szCs w:val="18"/>
          <w:lang w:eastAsia="ja-JP"/>
        </w:rPr>
        <w:t>. Australian Journal of Crop Science</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15(8), 1186-2693.</w:t>
      </w:r>
    </w:p>
    <w:p w14:paraId="0E5AE040"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 xml:space="preserve">. Novitasari A., Rohmawaty E., Rosdianto A. M. (2024), </w:t>
      </w:r>
      <w:r w:rsidRPr="005E6B7C">
        <w:rPr>
          <w:rFonts w:asciiTheme="majorHAnsi" w:eastAsia="Yu Mincho" w:hAnsiTheme="majorHAnsi" w:cstheme="majorHAnsi"/>
          <w:i/>
          <w:noProof/>
          <w:color w:val="000000" w:themeColor="text1"/>
          <w:sz w:val="18"/>
          <w:szCs w:val="18"/>
          <w:lang w:eastAsia="ja-JP"/>
        </w:rPr>
        <w:t>Physalis angulata</w:t>
      </w:r>
      <w:r w:rsidRPr="005E6B7C">
        <w:rPr>
          <w:rFonts w:asciiTheme="majorHAnsi" w:eastAsia="Yu Mincho" w:hAnsiTheme="majorHAnsi" w:cstheme="majorHAnsi"/>
          <w:noProof/>
          <w:color w:val="000000" w:themeColor="text1"/>
          <w:sz w:val="18"/>
          <w:szCs w:val="18"/>
          <w:lang w:eastAsia="ja-JP"/>
        </w:rPr>
        <w:t xml:space="preserve"> Linn. as a medicinal plant</w:t>
      </w:r>
      <w:r w:rsidRPr="005E6B7C">
        <w:rPr>
          <w:rFonts w:asciiTheme="majorHAnsi" w:eastAsia="Yu Mincho" w:hAnsiTheme="majorHAnsi" w:cstheme="majorHAnsi"/>
          <w:i/>
          <w:noProof/>
          <w:color w:val="000000" w:themeColor="text1"/>
          <w:sz w:val="18"/>
          <w:szCs w:val="18"/>
          <w:lang w:eastAsia="ja-JP"/>
        </w:rPr>
        <w:t>. Biomedical Reports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20(3), 1-16.</w:t>
      </w:r>
    </w:p>
    <w:p w14:paraId="4F59A927"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Ramakrishna Pillai J., Wali A. F., Menezes G. A., Rehman M. U., Wani T. A., Arafah A., Zargar S., Mir T. M. (2022), Chemical composition analysis, cytotoxic, antimicrobial and antioxidant activities of</w:t>
      </w:r>
      <w:r w:rsidRPr="005E6B7C">
        <w:rPr>
          <w:rFonts w:asciiTheme="majorHAnsi" w:eastAsia="Yu Mincho" w:hAnsiTheme="majorHAnsi" w:cstheme="majorHAnsi"/>
          <w:i/>
          <w:noProof/>
          <w:color w:val="000000" w:themeColor="text1"/>
          <w:sz w:val="18"/>
          <w:szCs w:val="18"/>
          <w:lang w:eastAsia="ja-JP"/>
        </w:rPr>
        <w:t xml:space="preserve"> Physalis angulata</w:t>
      </w:r>
      <w:r w:rsidRPr="005E6B7C">
        <w:rPr>
          <w:rFonts w:asciiTheme="majorHAnsi" w:eastAsia="Yu Mincho" w:hAnsiTheme="majorHAnsi" w:cstheme="majorHAnsi"/>
          <w:noProof/>
          <w:color w:val="000000" w:themeColor="text1"/>
          <w:sz w:val="18"/>
          <w:szCs w:val="18"/>
          <w:lang w:eastAsia="ja-JP"/>
        </w:rPr>
        <w:t xml:space="preserve"> L.: A comparative study of leaves and fruit</w:t>
      </w:r>
      <w:r w:rsidRPr="005E6B7C">
        <w:rPr>
          <w:rFonts w:asciiTheme="majorHAnsi" w:eastAsia="Yu Mincho" w:hAnsiTheme="majorHAnsi" w:cstheme="majorHAnsi"/>
          <w:i/>
          <w:noProof/>
          <w:color w:val="000000" w:themeColor="text1"/>
          <w:sz w:val="18"/>
          <w:szCs w:val="18"/>
          <w:lang w:eastAsia="ja-JP"/>
        </w:rPr>
        <w:t>. Molecules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27(5), 1480.</w:t>
      </w:r>
    </w:p>
    <w:p w14:paraId="3DBB15F5" w14:textId="303E122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 Damu A. G., Kuo P.</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C., Su C.</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R., Kuo T.</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H., Chen T.</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H., Bastow K. F., Lee K.</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H., Wu T.</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S. (2007), Isolation, structures, and structure− cytotoxic activity relationships of withanolides and physalins from Physalis angulata</w:t>
      </w:r>
      <w:r w:rsidRPr="005E6B7C">
        <w:rPr>
          <w:rFonts w:asciiTheme="majorHAnsi" w:eastAsia="Yu Mincho" w:hAnsiTheme="majorHAnsi" w:cstheme="majorHAnsi"/>
          <w:i/>
          <w:noProof/>
          <w:color w:val="000000" w:themeColor="text1"/>
          <w:sz w:val="18"/>
          <w:szCs w:val="18"/>
          <w:lang w:eastAsia="ja-JP"/>
        </w:rPr>
        <w:t xml:space="preserve">. Journal of </w:t>
      </w:r>
      <w:r w:rsidR="00144E48" w:rsidRPr="005E6B7C">
        <w:rPr>
          <w:rFonts w:asciiTheme="majorHAnsi" w:eastAsia="Yu Mincho" w:hAnsiTheme="majorHAnsi" w:cstheme="majorHAnsi"/>
          <w:i/>
          <w:noProof/>
          <w:color w:val="000000" w:themeColor="text1"/>
          <w:sz w:val="18"/>
          <w:szCs w:val="18"/>
          <w:lang w:eastAsia="ja-JP"/>
        </w:rPr>
        <w:t>N</w:t>
      </w:r>
      <w:r w:rsidRPr="005E6B7C">
        <w:rPr>
          <w:rFonts w:asciiTheme="majorHAnsi" w:eastAsia="Yu Mincho" w:hAnsiTheme="majorHAnsi" w:cstheme="majorHAnsi"/>
          <w:i/>
          <w:noProof/>
          <w:color w:val="000000" w:themeColor="text1"/>
          <w:sz w:val="18"/>
          <w:szCs w:val="18"/>
          <w:lang w:eastAsia="ja-JP"/>
        </w:rPr>
        <w:t xml:space="preserve">atural </w:t>
      </w:r>
      <w:r w:rsidR="00144E48" w:rsidRPr="005E6B7C">
        <w:rPr>
          <w:rFonts w:asciiTheme="majorHAnsi" w:eastAsia="Yu Mincho" w:hAnsiTheme="majorHAnsi" w:cstheme="majorHAnsi"/>
          <w:i/>
          <w:noProof/>
          <w:color w:val="000000" w:themeColor="text1"/>
          <w:sz w:val="18"/>
          <w:szCs w:val="18"/>
          <w:lang w:eastAsia="ja-JP"/>
        </w:rPr>
        <w:t>P</w:t>
      </w:r>
      <w:r w:rsidRPr="005E6B7C">
        <w:rPr>
          <w:rFonts w:asciiTheme="majorHAnsi" w:eastAsia="Yu Mincho" w:hAnsiTheme="majorHAnsi" w:cstheme="majorHAnsi"/>
          <w:i/>
          <w:noProof/>
          <w:color w:val="000000" w:themeColor="text1"/>
          <w:sz w:val="18"/>
          <w:szCs w:val="18"/>
          <w:lang w:eastAsia="ja-JP"/>
        </w:rPr>
        <w:t>roducts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70(7), 1146-1152.</w:t>
      </w:r>
    </w:p>
    <w:p w14:paraId="4D463B35"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 Huang M., He J.</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X., Hu H.</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X., Zhang K., Wang X.</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N., Zhao B.</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B., Lou H.</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X., Ren D.</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M., Shen T. (2020), Withanolides from the genus Physalis: a review on their phytochemical and pharmacological aspects</w:t>
      </w:r>
      <w:r w:rsidRPr="005E6B7C">
        <w:rPr>
          <w:rFonts w:asciiTheme="majorHAnsi" w:eastAsia="Yu Mincho" w:hAnsiTheme="majorHAnsi" w:cstheme="majorHAnsi"/>
          <w:i/>
          <w:noProof/>
          <w:color w:val="000000" w:themeColor="text1"/>
          <w:sz w:val="18"/>
          <w:szCs w:val="18"/>
          <w:lang w:eastAsia="ja-JP"/>
        </w:rPr>
        <w:t>. Journal of Pharmacy and Pharmacology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72(5), 649-669.</w:t>
      </w:r>
    </w:p>
    <w:p w14:paraId="1A5A4CFA"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b/>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 xml:space="preserve">. Han Y. K., Vinh L. B., Lee K. S., Lee M. K., Lee K. Y. (2025), Aurantiosides A–D: New Furofuran Lignan Glucosides with Neuroprotective Activity from </w:t>
      </w:r>
      <w:r w:rsidRPr="005E6B7C">
        <w:rPr>
          <w:rFonts w:asciiTheme="majorHAnsi" w:eastAsia="Yu Mincho" w:hAnsiTheme="majorHAnsi" w:cstheme="majorHAnsi"/>
          <w:i/>
          <w:noProof/>
          <w:color w:val="000000" w:themeColor="text1"/>
          <w:sz w:val="18"/>
          <w:szCs w:val="18"/>
          <w:lang w:eastAsia="ja-JP"/>
        </w:rPr>
        <w:t>Osmanthus fragrans</w:t>
      </w:r>
      <w:r w:rsidRPr="005E6B7C">
        <w:rPr>
          <w:rFonts w:asciiTheme="majorHAnsi" w:eastAsia="Yu Mincho" w:hAnsiTheme="majorHAnsi" w:cstheme="majorHAnsi"/>
          <w:noProof/>
          <w:color w:val="000000" w:themeColor="text1"/>
          <w:sz w:val="18"/>
          <w:szCs w:val="18"/>
          <w:lang w:eastAsia="ja-JP"/>
        </w:rPr>
        <w:t xml:space="preserve"> var. </w:t>
      </w:r>
      <w:r w:rsidRPr="005E6B7C">
        <w:rPr>
          <w:rFonts w:asciiTheme="majorHAnsi" w:eastAsia="Yu Mincho" w:hAnsiTheme="majorHAnsi" w:cstheme="majorHAnsi"/>
          <w:i/>
          <w:noProof/>
          <w:color w:val="000000" w:themeColor="text1"/>
          <w:sz w:val="18"/>
          <w:szCs w:val="18"/>
          <w:lang w:eastAsia="ja-JP"/>
        </w:rPr>
        <w:t>aurantiacus</w:t>
      </w:r>
      <w:r w:rsidRPr="005E6B7C">
        <w:rPr>
          <w:rFonts w:asciiTheme="majorHAnsi" w:eastAsia="Yu Mincho" w:hAnsiTheme="majorHAnsi" w:cstheme="majorHAnsi"/>
          <w:noProof/>
          <w:color w:val="000000" w:themeColor="text1"/>
          <w:sz w:val="18"/>
          <w:szCs w:val="18"/>
          <w:lang w:eastAsia="ja-JP"/>
        </w:rPr>
        <w:t xml:space="preserve"> Enabled via a MS/MS-Based Molecular Networking Strategy</w:t>
      </w:r>
      <w:r w:rsidRPr="005E6B7C">
        <w:rPr>
          <w:rFonts w:asciiTheme="majorHAnsi" w:eastAsia="Yu Mincho" w:hAnsiTheme="majorHAnsi" w:cstheme="majorHAnsi"/>
          <w:i/>
          <w:noProof/>
          <w:color w:val="000000" w:themeColor="text1"/>
          <w:sz w:val="18"/>
          <w:szCs w:val="18"/>
          <w:lang w:eastAsia="ja-JP"/>
        </w:rPr>
        <w:t>. ACS Omega</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p>
    <w:p w14:paraId="1547DBCE"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 xml:space="preserve">. Vinh L. B., Heo M., Phong N. V., Ali I., Koh Y. S., Kim Y. H., Yang S. Y. (2020), Bioactive compounds from </w:t>
      </w:r>
      <w:r w:rsidRPr="005E6B7C">
        <w:rPr>
          <w:rFonts w:asciiTheme="majorHAnsi" w:eastAsia="Yu Mincho" w:hAnsiTheme="majorHAnsi" w:cstheme="majorHAnsi"/>
          <w:i/>
          <w:noProof/>
          <w:color w:val="000000" w:themeColor="text1"/>
          <w:sz w:val="18"/>
          <w:szCs w:val="18"/>
          <w:lang w:eastAsia="ja-JP"/>
        </w:rPr>
        <w:t>Polygala tenuifolia</w:t>
      </w:r>
      <w:r w:rsidRPr="005E6B7C">
        <w:rPr>
          <w:rFonts w:asciiTheme="majorHAnsi" w:eastAsia="Yu Mincho" w:hAnsiTheme="majorHAnsi" w:cstheme="majorHAnsi"/>
          <w:noProof/>
          <w:color w:val="000000" w:themeColor="text1"/>
          <w:sz w:val="18"/>
          <w:szCs w:val="18"/>
          <w:lang w:eastAsia="ja-JP"/>
        </w:rPr>
        <w:t xml:space="preserve"> and their inhibitory effects on lipopolysaccharide-stimulated pro-inflammatory cytokine production in bone marrow-derived dendritic cells</w:t>
      </w:r>
      <w:r w:rsidRPr="005E6B7C">
        <w:rPr>
          <w:rFonts w:asciiTheme="majorHAnsi" w:eastAsia="Yu Mincho" w:hAnsiTheme="majorHAnsi" w:cstheme="majorHAnsi"/>
          <w:i/>
          <w:noProof/>
          <w:color w:val="000000" w:themeColor="text1"/>
          <w:sz w:val="18"/>
          <w:szCs w:val="18"/>
          <w:lang w:eastAsia="ja-JP"/>
        </w:rPr>
        <w:t>. Plants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9(9), 1240.</w:t>
      </w:r>
    </w:p>
    <w:p w14:paraId="00C81E2B"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 Wang M., Simon J. E., Aviles I. F., He K., Zheng Q.</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Y., Tadmor Y. (2003), Analysis of antioxidative phenolic compounds in artichoke (Cynara scolymus L.)</w:t>
      </w:r>
      <w:r w:rsidRPr="005E6B7C">
        <w:rPr>
          <w:rFonts w:asciiTheme="majorHAnsi" w:eastAsia="Yu Mincho" w:hAnsiTheme="majorHAnsi" w:cstheme="majorHAnsi"/>
          <w:i/>
          <w:noProof/>
          <w:color w:val="000000" w:themeColor="text1"/>
          <w:sz w:val="18"/>
          <w:szCs w:val="18"/>
          <w:lang w:eastAsia="ja-JP"/>
        </w:rPr>
        <w:t>. Journal of Agricultural and Food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51(3), 601-608.</w:t>
      </w:r>
    </w:p>
    <w:p w14:paraId="183A112B"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 Chang C.</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J., Floss H. G., Steck W. (1977), Carbon-13 magnetic resonance spectroscopy of coumarins. Carbon-13-proton long-range couplings</w:t>
      </w:r>
      <w:r w:rsidRPr="005E6B7C">
        <w:rPr>
          <w:rFonts w:asciiTheme="majorHAnsi" w:eastAsia="Yu Mincho" w:hAnsiTheme="majorHAnsi" w:cstheme="majorHAnsi"/>
          <w:i/>
          <w:noProof/>
          <w:color w:val="000000" w:themeColor="text1"/>
          <w:sz w:val="18"/>
          <w:szCs w:val="18"/>
          <w:lang w:eastAsia="ja-JP"/>
        </w:rPr>
        <w:t>. The Journal of Organic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42(8), 1337-1340.</w:t>
      </w:r>
    </w:p>
    <w:p w14:paraId="06B16549"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 Pyo M.</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K., Koo Y.</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K., YunChoi H.</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S. (2002), Anti-platelet effect of the phenolic constituents isolated from the leaves of </w:t>
      </w:r>
      <w:r w:rsidRPr="005E6B7C">
        <w:rPr>
          <w:rFonts w:asciiTheme="majorHAnsi" w:eastAsia="Yu Mincho" w:hAnsiTheme="majorHAnsi" w:cstheme="majorHAnsi"/>
          <w:i/>
          <w:noProof/>
          <w:color w:val="000000" w:themeColor="text1"/>
          <w:sz w:val="18"/>
          <w:szCs w:val="18"/>
          <w:lang w:eastAsia="ja-JP"/>
        </w:rPr>
        <w:t>Magnolia obovata. Natural Product Sciences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8(4), 147-151.</w:t>
      </w:r>
    </w:p>
    <w:p w14:paraId="5E874525"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 xml:space="preserve">. Yoshimitsu H., Nishida M., Hashimoto F., Tanaka M., Sakata Y., Okawa M., Nohara T. (2007), Chromone and flavonol glycosides from </w:t>
      </w:r>
      <w:r w:rsidRPr="005E6B7C">
        <w:rPr>
          <w:rFonts w:asciiTheme="majorHAnsi" w:eastAsia="Yu Mincho" w:hAnsiTheme="majorHAnsi" w:cstheme="majorHAnsi"/>
          <w:i/>
          <w:noProof/>
          <w:color w:val="000000" w:themeColor="text1"/>
          <w:sz w:val="18"/>
          <w:szCs w:val="18"/>
          <w:lang w:eastAsia="ja-JP"/>
        </w:rPr>
        <w:t>Delphinium hybridum</w:t>
      </w:r>
      <w:r w:rsidRPr="005E6B7C">
        <w:rPr>
          <w:rFonts w:asciiTheme="majorHAnsi" w:eastAsia="Yu Mincho" w:hAnsiTheme="majorHAnsi" w:cstheme="majorHAnsi"/>
          <w:noProof/>
          <w:color w:val="000000" w:themeColor="text1"/>
          <w:sz w:val="18"/>
          <w:szCs w:val="18"/>
          <w:lang w:eastAsia="ja-JP"/>
        </w:rPr>
        <w:t xml:space="preserve"> cv.“Belladonna Casablanca”</w:t>
      </w:r>
      <w:r w:rsidRPr="005E6B7C">
        <w:rPr>
          <w:rFonts w:asciiTheme="majorHAnsi" w:eastAsia="Yu Mincho" w:hAnsiTheme="majorHAnsi" w:cstheme="majorHAnsi"/>
          <w:i/>
          <w:noProof/>
          <w:color w:val="000000" w:themeColor="text1"/>
          <w:sz w:val="18"/>
          <w:szCs w:val="18"/>
          <w:lang w:eastAsia="ja-JP"/>
        </w:rPr>
        <w:t>. Journal of Natural Medicines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61(3), 334-338.</w:t>
      </w:r>
    </w:p>
    <w:p w14:paraId="067497AA"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 Beck M.</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A., Häberlein H. (1999), Flavonol glycosides from </w:t>
      </w:r>
      <w:r w:rsidRPr="005E6B7C">
        <w:rPr>
          <w:rFonts w:asciiTheme="majorHAnsi" w:eastAsia="Yu Mincho" w:hAnsiTheme="majorHAnsi" w:cstheme="majorHAnsi"/>
          <w:i/>
          <w:noProof/>
          <w:color w:val="000000" w:themeColor="text1"/>
          <w:sz w:val="18"/>
          <w:szCs w:val="18"/>
          <w:lang w:eastAsia="ja-JP"/>
        </w:rPr>
        <w:t>Eschscholtzia californica. Phytochemistry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50(2), 329-332.</w:t>
      </w:r>
    </w:p>
    <w:p w14:paraId="41EB1040"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 Januário A., Filho E. R., Pietro R., Kashima S., Sato D., França S. (2002), Antimycobacterial physalins from P</w:t>
      </w:r>
      <w:r w:rsidRPr="005E6B7C">
        <w:rPr>
          <w:rFonts w:asciiTheme="majorHAnsi" w:eastAsia="Yu Mincho" w:hAnsiTheme="majorHAnsi" w:cstheme="majorHAnsi"/>
          <w:i/>
          <w:noProof/>
          <w:color w:val="000000" w:themeColor="text1"/>
          <w:sz w:val="18"/>
          <w:szCs w:val="18"/>
          <w:lang w:eastAsia="ja-JP"/>
        </w:rPr>
        <w:t>hysalis angulata</w:t>
      </w:r>
      <w:r w:rsidRPr="005E6B7C">
        <w:rPr>
          <w:rFonts w:asciiTheme="majorHAnsi" w:eastAsia="Yu Mincho" w:hAnsiTheme="majorHAnsi" w:cstheme="majorHAnsi"/>
          <w:noProof/>
          <w:color w:val="000000" w:themeColor="text1"/>
          <w:sz w:val="18"/>
          <w:szCs w:val="18"/>
          <w:lang w:eastAsia="ja-JP"/>
        </w:rPr>
        <w:t xml:space="preserve"> L.(Solanaceae)</w:t>
      </w:r>
      <w:r w:rsidRPr="005E6B7C">
        <w:rPr>
          <w:rFonts w:asciiTheme="majorHAnsi" w:eastAsia="Yu Mincho" w:hAnsiTheme="majorHAnsi" w:cstheme="majorHAnsi"/>
          <w:i/>
          <w:noProof/>
          <w:color w:val="000000" w:themeColor="text1"/>
          <w:sz w:val="18"/>
          <w:szCs w:val="18"/>
          <w:lang w:eastAsia="ja-JP"/>
        </w:rPr>
        <w:t>. Phytotherapy Research: An International Journal Devoted to Pharmacological and Toxicological Evaluation of Natural Product Derivatives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16(5), 445-448.</w:t>
      </w:r>
    </w:p>
    <w:p w14:paraId="71DB49A1"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 xml:space="preserve">. Nagafuji S., Okabe H., Akahane H., Abe F. (2004), Trypanocidal constituents in plants 4. Withanolides from the aerial parts of </w:t>
      </w:r>
      <w:r w:rsidRPr="005E6B7C">
        <w:rPr>
          <w:rFonts w:asciiTheme="majorHAnsi" w:eastAsia="Yu Mincho" w:hAnsiTheme="majorHAnsi" w:cstheme="majorHAnsi"/>
          <w:i/>
          <w:noProof/>
          <w:color w:val="000000" w:themeColor="text1"/>
          <w:sz w:val="18"/>
          <w:szCs w:val="18"/>
          <w:lang w:eastAsia="ja-JP"/>
        </w:rPr>
        <w:t>Physalis angulata. Biological and Pharmaceutical Bulletin</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27(2), 193-197.</w:t>
      </w:r>
    </w:p>
    <w:p w14:paraId="04A4924A"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 Yang Z., Tong K.</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X., Lv Q.</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Y., Xie S.</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Z., Wu J.</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P., Han J., Zou Z.</w:t>
      </w:r>
      <w:r w:rsidR="0044085B"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M. (2025), Structural elucidation of anti-inflammatory withanolides from </w:t>
      </w:r>
      <w:r w:rsidRPr="005E6B7C">
        <w:rPr>
          <w:rFonts w:asciiTheme="majorHAnsi" w:eastAsia="Yu Mincho" w:hAnsiTheme="majorHAnsi" w:cstheme="majorHAnsi"/>
          <w:i/>
          <w:noProof/>
          <w:color w:val="000000" w:themeColor="text1"/>
          <w:sz w:val="18"/>
          <w:szCs w:val="18"/>
          <w:lang w:eastAsia="ja-JP"/>
        </w:rPr>
        <w:t>Physalis minima. Journal of</w:t>
      </w:r>
      <w:r w:rsidR="0044085B" w:rsidRPr="005E6B7C">
        <w:rPr>
          <w:rFonts w:asciiTheme="majorHAnsi" w:eastAsia="Yu Mincho" w:hAnsiTheme="majorHAnsi" w:cstheme="majorHAnsi"/>
          <w:i/>
          <w:noProof/>
          <w:color w:val="000000" w:themeColor="text1"/>
          <w:sz w:val="18"/>
          <w:szCs w:val="18"/>
          <w:lang w:eastAsia="ja-JP"/>
        </w:rPr>
        <w:t xml:space="preserve"> Asian Natural </w:t>
      </w:r>
      <w:r w:rsidRPr="005E6B7C">
        <w:rPr>
          <w:rFonts w:asciiTheme="majorHAnsi" w:eastAsia="Yu Mincho" w:hAnsiTheme="majorHAnsi" w:cstheme="majorHAnsi"/>
          <w:i/>
          <w:noProof/>
          <w:color w:val="000000" w:themeColor="text1"/>
          <w:sz w:val="18"/>
          <w:szCs w:val="18"/>
          <w:lang w:eastAsia="ja-JP"/>
        </w:rPr>
        <w:t xml:space="preserve">Products </w:t>
      </w:r>
      <w:r w:rsidR="0044085B" w:rsidRPr="005E6B7C">
        <w:rPr>
          <w:rFonts w:asciiTheme="majorHAnsi" w:eastAsia="Yu Mincho" w:hAnsiTheme="majorHAnsi" w:cstheme="majorHAnsi"/>
          <w:i/>
          <w:noProof/>
          <w:color w:val="000000" w:themeColor="text1"/>
          <w:sz w:val="18"/>
          <w:szCs w:val="18"/>
          <w:lang w:eastAsia="ja-JP"/>
        </w:rPr>
        <w:t>Rese</w:t>
      </w:r>
      <w:r w:rsidRPr="005E6B7C">
        <w:rPr>
          <w:rFonts w:asciiTheme="majorHAnsi" w:eastAsia="Yu Mincho" w:hAnsiTheme="majorHAnsi" w:cstheme="majorHAnsi"/>
          <w:i/>
          <w:noProof/>
          <w:color w:val="000000" w:themeColor="text1"/>
          <w:sz w:val="18"/>
          <w:szCs w:val="18"/>
          <w:lang w:eastAsia="ja-JP"/>
        </w:rPr>
        <w:t>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1-10.</w:t>
      </w:r>
    </w:p>
    <w:p w14:paraId="388CCA78"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Clarkson C., Stærk D., Hansen S. H., Jaroszewski J. W. (2005), Hyphenation of </w:t>
      </w:r>
      <w:r w:rsidR="0044085B" w:rsidRPr="005E6B7C">
        <w:rPr>
          <w:rFonts w:asciiTheme="majorHAnsi" w:eastAsia="Yu Mincho" w:hAnsiTheme="majorHAnsi" w:cstheme="majorHAnsi"/>
          <w:noProof/>
          <w:color w:val="000000" w:themeColor="text1"/>
          <w:sz w:val="18"/>
          <w:szCs w:val="18"/>
          <w:lang w:eastAsia="ja-JP"/>
        </w:rPr>
        <w:t>solid-phase extraction with liquid chromatography and nuclear magnetic re</w:t>
      </w:r>
      <w:r w:rsidRPr="005E6B7C">
        <w:rPr>
          <w:rFonts w:asciiTheme="majorHAnsi" w:eastAsia="Yu Mincho" w:hAnsiTheme="majorHAnsi" w:cstheme="majorHAnsi"/>
          <w:noProof/>
          <w:color w:val="000000" w:themeColor="text1"/>
          <w:sz w:val="18"/>
          <w:szCs w:val="18"/>
          <w:lang w:eastAsia="ja-JP"/>
        </w:rPr>
        <w:t xml:space="preserve">sonance: Application of HPLC-DAD-SPE-NMR to </w:t>
      </w:r>
      <w:r w:rsidR="0044085B" w:rsidRPr="005E6B7C">
        <w:rPr>
          <w:rFonts w:asciiTheme="majorHAnsi" w:eastAsia="Yu Mincho" w:hAnsiTheme="majorHAnsi" w:cstheme="majorHAnsi"/>
          <w:noProof/>
          <w:color w:val="000000" w:themeColor="text1"/>
          <w:sz w:val="18"/>
          <w:szCs w:val="18"/>
          <w:lang w:eastAsia="ja-JP"/>
        </w:rPr>
        <w:t>identification of co</w:t>
      </w:r>
      <w:r w:rsidRPr="005E6B7C">
        <w:rPr>
          <w:rFonts w:asciiTheme="majorHAnsi" w:eastAsia="Yu Mincho" w:hAnsiTheme="majorHAnsi" w:cstheme="majorHAnsi"/>
          <w:noProof/>
          <w:color w:val="000000" w:themeColor="text1"/>
          <w:sz w:val="18"/>
          <w:szCs w:val="18"/>
          <w:lang w:eastAsia="ja-JP"/>
        </w:rPr>
        <w:t xml:space="preserve">nstituents of </w:t>
      </w:r>
      <w:r w:rsidRPr="005E6B7C">
        <w:rPr>
          <w:rFonts w:asciiTheme="majorHAnsi" w:eastAsia="Yu Mincho" w:hAnsiTheme="majorHAnsi" w:cstheme="majorHAnsi"/>
          <w:i/>
          <w:noProof/>
          <w:color w:val="000000" w:themeColor="text1"/>
          <w:sz w:val="18"/>
          <w:szCs w:val="18"/>
          <w:lang w:eastAsia="ja-JP"/>
        </w:rPr>
        <w:t>Kanahia l aniflora. Analytical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77(11), 3547-3553.</w:t>
      </w:r>
    </w:p>
    <w:p w14:paraId="0C40302B"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Prasad K. R., Swain B. (2008), Stereoselective total synthesis of (+)-pinellic acid from l-(+)-tartaric acid</w:t>
      </w:r>
      <w:r w:rsidRPr="005E6B7C">
        <w:rPr>
          <w:rFonts w:asciiTheme="majorHAnsi" w:eastAsia="Yu Mincho" w:hAnsiTheme="majorHAnsi" w:cstheme="majorHAnsi"/>
          <w:i/>
          <w:noProof/>
          <w:color w:val="000000" w:themeColor="text1"/>
          <w:sz w:val="18"/>
          <w:szCs w:val="18"/>
          <w:lang w:eastAsia="ja-JP"/>
        </w:rPr>
        <w:t>. Tetrahedron: asymmetry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19(9), 1134-1138.</w:t>
      </w:r>
    </w:p>
    <w:p w14:paraId="15849B8B" w14:textId="77777777" w:rsidR="00E049CB" w:rsidRPr="005E6B7C" w:rsidRDefault="00E049CB" w:rsidP="008C0D47">
      <w:pPr>
        <w:tabs>
          <w:tab w:val="left" w:pos="270"/>
          <w:tab w:val="left" w:pos="540"/>
          <w:tab w:val="left" w:pos="9270"/>
        </w:tabs>
        <w:spacing w:line="22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 xml:space="preserve">. Row L. R., Reddy K. S., Sarma N. S., Matsuura T., Nakashima R. (1980), New physalins from </w:t>
      </w:r>
      <w:r w:rsidRPr="005E6B7C">
        <w:rPr>
          <w:rFonts w:asciiTheme="majorHAnsi" w:eastAsia="Yu Mincho" w:hAnsiTheme="majorHAnsi" w:cstheme="majorHAnsi"/>
          <w:i/>
          <w:noProof/>
          <w:color w:val="000000" w:themeColor="text1"/>
          <w:sz w:val="18"/>
          <w:szCs w:val="18"/>
          <w:lang w:eastAsia="ja-JP"/>
        </w:rPr>
        <w:t>Physalis angulata</w:t>
      </w:r>
      <w:r w:rsidRPr="005E6B7C">
        <w:rPr>
          <w:rFonts w:asciiTheme="majorHAnsi" w:eastAsia="Yu Mincho" w:hAnsiTheme="majorHAnsi" w:cstheme="majorHAnsi"/>
          <w:noProof/>
          <w:color w:val="000000" w:themeColor="text1"/>
          <w:sz w:val="18"/>
          <w:szCs w:val="18"/>
          <w:lang w:eastAsia="ja-JP"/>
        </w:rPr>
        <w:t xml:space="preserve"> and </w:t>
      </w:r>
      <w:r w:rsidRPr="005E6B7C">
        <w:rPr>
          <w:rFonts w:asciiTheme="majorHAnsi" w:eastAsia="Yu Mincho" w:hAnsiTheme="majorHAnsi" w:cstheme="majorHAnsi"/>
          <w:i/>
          <w:noProof/>
          <w:color w:val="000000" w:themeColor="text1"/>
          <w:sz w:val="18"/>
          <w:szCs w:val="18"/>
          <w:lang w:eastAsia="ja-JP"/>
        </w:rPr>
        <w:t>Physalis lancifolia</w:t>
      </w:r>
      <w:r w:rsidRPr="005E6B7C">
        <w:rPr>
          <w:rFonts w:asciiTheme="majorHAnsi" w:eastAsia="Yu Mincho" w:hAnsiTheme="majorHAnsi" w:cstheme="majorHAnsi"/>
          <w:noProof/>
          <w:color w:val="000000" w:themeColor="text1"/>
          <w:sz w:val="18"/>
          <w:szCs w:val="18"/>
          <w:lang w:eastAsia="ja-JP"/>
        </w:rPr>
        <w:t>. Structure and reactions of physalins D, I, G and K</w:t>
      </w:r>
      <w:r w:rsidRPr="005E6B7C">
        <w:rPr>
          <w:rFonts w:asciiTheme="majorHAnsi" w:eastAsia="Yu Mincho" w:hAnsiTheme="majorHAnsi" w:cstheme="majorHAnsi"/>
          <w:i/>
          <w:noProof/>
          <w:color w:val="000000" w:themeColor="text1"/>
          <w:sz w:val="18"/>
          <w:szCs w:val="18"/>
          <w:lang w:eastAsia="ja-JP"/>
        </w:rPr>
        <w:t>. Phytochemistry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19(6), 1175-1181.</w:t>
      </w:r>
    </w:p>
    <w:p w14:paraId="1B4FE6A2" w14:textId="77777777" w:rsidR="00E37467"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fldChar w:fldCharType="end"/>
      </w:r>
      <w:r w:rsidR="00E37467" w:rsidRPr="005E6B7C">
        <w:rPr>
          <w:rFonts w:asciiTheme="majorHAnsi" w:eastAsia="Yu Mincho" w:hAnsiTheme="majorHAnsi" w:cstheme="majorHAnsi"/>
          <w:color w:val="000000" w:themeColor="text1"/>
          <w:sz w:val="18"/>
          <w:szCs w:val="18"/>
          <w:lang w:eastAsia="ja-JP"/>
        </w:rPr>
        <w:br w:type="page"/>
      </w:r>
    </w:p>
    <w:p w14:paraId="634FA519" w14:textId="77777777" w:rsidR="00367819" w:rsidRPr="005E6B7C" w:rsidRDefault="00367819"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FC534C" w:rsidRPr="005E6B7C">
        <w:rPr>
          <w:rFonts w:asciiTheme="majorHAnsi" w:eastAsia="Yu Mincho" w:hAnsiTheme="majorHAnsi" w:cstheme="majorHAnsi"/>
          <w:b/>
          <w:bCs/>
          <w:i/>
          <w:color w:val="000000" w:themeColor="text1"/>
          <w:sz w:val="26"/>
          <w:szCs w:val="26"/>
          <w:lang w:eastAsia="ja-JP"/>
        </w:rPr>
        <w:t xml:space="preserve"> 36 - 41</w:t>
      </w:r>
      <w:r w:rsidRPr="005E6B7C">
        <w:rPr>
          <w:rFonts w:asciiTheme="majorHAnsi" w:eastAsia="Yu Mincho" w:hAnsiTheme="majorHAnsi" w:cstheme="majorHAnsi"/>
          <w:b/>
          <w:bCs/>
          <w:i/>
          <w:color w:val="000000" w:themeColor="text1"/>
          <w:sz w:val="26"/>
          <w:szCs w:val="26"/>
          <w:lang w:eastAsia="ja-JP"/>
        </w:rPr>
        <w:t>)</w:t>
      </w:r>
    </w:p>
    <w:p w14:paraId="017D9E88" w14:textId="77777777" w:rsidR="00367819" w:rsidRPr="005E6B7C" w:rsidRDefault="00367819" w:rsidP="008C0D47">
      <w:pPr>
        <w:tabs>
          <w:tab w:val="left" w:pos="270"/>
          <w:tab w:val="left" w:pos="9270"/>
        </w:tabs>
        <w:ind w:right="-20"/>
        <w:jc w:val="both"/>
        <w:rPr>
          <w:rFonts w:asciiTheme="majorHAnsi" w:eastAsia="Yu Mincho" w:hAnsiTheme="majorHAnsi" w:cstheme="majorHAnsi"/>
          <w:color w:val="000000" w:themeColor="text1"/>
          <w:sz w:val="28"/>
          <w:szCs w:val="22"/>
          <w:lang w:eastAsia="ja-JP"/>
        </w:rPr>
      </w:pPr>
    </w:p>
    <w:p w14:paraId="4B3770D7" w14:textId="77777777" w:rsidR="00B666AE" w:rsidRPr="005E6B7C" w:rsidRDefault="00E049CB" w:rsidP="008C0D47">
      <w:pPr>
        <w:tabs>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PHENOLIC CONSTITUENTS FROM THE ETHYL ACETATE EXTRACT </w:t>
      </w:r>
    </w:p>
    <w:p w14:paraId="28F0D31B" w14:textId="588F12CE" w:rsidR="00B666AE" w:rsidRPr="005E6B7C" w:rsidRDefault="00E049CB" w:rsidP="008C0D47">
      <w:pPr>
        <w:tabs>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OF </w:t>
      </w:r>
      <w:r w:rsidRPr="005E6B7C">
        <w:rPr>
          <w:rFonts w:asciiTheme="majorHAnsi" w:eastAsia="Yu Mincho" w:hAnsiTheme="majorHAnsi" w:cstheme="majorHAnsi"/>
          <w:b/>
          <w:i/>
          <w:iCs/>
          <w:color w:val="000000" w:themeColor="text1"/>
          <w:sz w:val="26"/>
          <w:szCs w:val="26"/>
          <w:lang w:eastAsia="ja-JP"/>
        </w:rPr>
        <w:t>CAMELLIA FLAVA</w:t>
      </w:r>
      <w:r w:rsidRPr="005E6B7C">
        <w:rPr>
          <w:rFonts w:asciiTheme="majorHAnsi" w:eastAsia="Yu Mincho" w:hAnsiTheme="majorHAnsi" w:cstheme="majorHAnsi"/>
          <w:b/>
          <w:color w:val="000000" w:themeColor="text1"/>
          <w:sz w:val="26"/>
          <w:szCs w:val="26"/>
          <w:lang w:eastAsia="ja-JP"/>
        </w:rPr>
        <w:t xml:space="preserve"> </w:t>
      </w:r>
      <w:r w:rsidR="002D1E5A" w:rsidRPr="005E6B7C">
        <w:rPr>
          <w:rFonts w:asciiTheme="majorHAnsi" w:eastAsia="Yu Mincho" w:hAnsiTheme="majorHAnsi" w:cstheme="majorHAnsi"/>
          <w:b/>
          <w:color w:val="000000" w:themeColor="text1"/>
          <w:sz w:val="26"/>
          <w:szCs w:val="26"/>
          <w:lang w:eastAsia="ja-JP"/>
        </w:rPr>
        <w:t xml:space="preserve">FLOWERS </w:t>
      </w:r>
      <w:r w:rsidRPr="005E6B7C">
        <w:rPr>
          <w:rFonts w:asciiTheme="majorHAnsi" w:eastAsia="Yu Mincho" w:hAnsiTheme="majorHAnsi" w:cstheme="majorHAnsi"/>
          <w:b/>
          <w:color w:val="000000" w:themeColor="text1"/>
          <w:sz w:val="26"/>
          <w:szCs w:val="26"/>
          <w:lang w:eastAsia="ja-JP"/>
        </w:rPr>
        <w:t xml:space="preserve">(THEACEAE) </w:t>
      </w:r>
    </w:p>
    <w:p w14:paraId="39DF806F" w14:textId="77777777" w:rsidR="00E049CB" w:rsidRPr="005E6B7C" w:rsidRDefault="00E049CB" w:rsidP="008C0D47">
      <w:pPr>
        <w:tabs>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COLLECTED IN PHU THO PROVINCE</w:t>
      </w:r>
    </w:p>
    <w:p w14:paraId="4E4F030E" w14:textId="77777777" w:rsidR="00E049CB" w:rsidRPr="005E6B7C" w:rsidRDefault="00E049CB" w:rsidP="008C0D47">
      <w:pPr>
        <w:tabs>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Do Thi Thuy</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Duong Hong Anh</w:t>
      </w:r>
      <w:r w:rsidRPr="005E6B7C">
        <w:rPr>
          <w:rFonts w:asciiTheme="majorHAnsi" w:eastAsia="Yu Mincho" w:hAnsiTheme="majorHAnsi" w:cstheme="majorHAnsi"/>
          <w:b/>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 Tran The Bach</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 Do Van Hieu</w:t>
      </w:r>
      <w:r w:rsidRPr="005E6B7C">
        <w:rPr>
          <w:rFonts w:asciiTheme="majorHAnsi" w:eastAsia="Yu Mincho" w:hAnsiTheme="majorHAnsi" w:cstheme="majorHAnsi"/>
          <w:b/>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 Do Duc Nhuan</w:t>
      </w:r>
      <w:r w:rsidRPr="005E6B7C">
        <w:rPr>
          <w:rFonts w:asciiTheme="majorHAnsi" w:eastAsia="Yu Mincho" w:hAnsiTheme="majorHAnsi" w:cstheme="majorHAnsi"/>
          <w:b/>
          <w:i/>
          <w:iCs/>
          <w:color w:val="000000" w:themeColor="text1"/>
          <w:sz w:val="22"/>
          <w:szCs w:val="22"/>
          <w:vertAlign w:val="superscript"/>
          <w:lang w:eastAsia="ja-JP"/>
        </w:rPr>
        <w:t>4</w:t>
      </w:r>
      <w:r w:rsidRPr="005E6B7C">
        <w:rPr>
          <w:rFonts w:asciiTheme="majorHAnsi" w:eastAsia="Yu Mincho" w:hAnsiTheme="majorHAnsi" w:cstheme="majorHAnsi"/>
          <w:b/>
          <w:i/>
          <w:iCs/>
          <w:color w:val="000000" w:themeColor="text1"/>
          <w:sz w:val="22"/>
          <w:szCs w:val="22"/>
          <w:lang w:eastAsia="ja-JP"/>
        </w:rPr>
        <w:t xml:space="preserve">, </w:t>
      </w:r>
      <w:r w:rsidR="00923607" w:rsidRPr="005E6B7C">
        <w:rPr>
          <w:rFonts w:asciiTheme="majorHAnsi" w:eastAsia="Yu Mincho" w:hAnsiTheme="majorHAnsi" w:cstheme="majorHAnsi"/>
          <w:b/>
          <w:i/>
          <w:iCs/>
          <w:color w:val="000000" w:themeColor="text1"/>
          <w:sz w:val="22"/>
          <w:szCs w:val="22"/>
          <w:lang w:eastAsia="ja-JP"/>
        </w:rPr>
        <w:br/>
      </w:r>
      <w:r w:rsidRPr="005E6B7C">
        <w:rPr>
          <w:rFonts w:asciiTheme="majorHAnsi" w:eastAsia="Yu Mincho" w:hAnsiTheme="majorHAnsi" w:cstheme="majorHAnsi"/>
          <w:b/>
          <w:i/>
          <w:iCs/>
          <w:color w:val="000000" w:themeColor="text1"/>
          <w:sz w:val="22"/>
          <w:szCs w:val="22"/>
          <w:lang w:eastAsia="ja-JP"/>
        </w:rPr>
        <w:t>Than Kieu My</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Tran Minh Ngoc</w:t>
      </w:r>
      <w:r w:rsidRPr="005E6B7C">
        <w:rPr>
          <w:rFonts w:asciiTheme="majorHAnsi" w:eastAsia="Yu Mincho" w:hAnsiTheme="majorHAnsi" w:cstheme="majorHAnsi"/>
          <w:b/>
          <w:i/>
          <w:iCs/>
          <w:color w:val="000000" w:themeColor="text1"/>
          <w:sz w:val="22"/>
          <w:szCs w:val="22"/>
          <w:vertAlign w:val="superscript"/>
          <w:lang w:eastAsia="ja-JP"/>
        </w:rPr>
        <w:t>5</w:t>
      </w:r>
      <w:r w:rsidRPr="005E6B7C">
        <w:rPr>
          <w:rFonts w:asciiTheme="majorHAnsi" w:eastAsia="Yu Mincho" w:hAnsiTheme="majorHAnsi" w:cstheme="majorHAnsi"/>
          <w:b/>
          <w:i/>
          <w:iCs/>
          <w:color w:val="000000" w:themeColor="text1"/>
          <w:sz w:val="22"/>
          <w:szCs w:val="22"/>
          <w:lang w:eastAsia="ja-JP"/>
        </w:rPr>
        <w:t>, Nguyen Thanh Cong</w:t>
      </w:r>
      <w:r w:rsidRPr="005E6B7C">
        <w:rPr>
          <w:rFonts w:asciiTheme="majorHAnsi" w:eastAsia="Yu Mincho" w:hAnsiTheme="majorHAnsi" w:cstheme="majorHAnsi"/>
          <w:b/>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 Le Nguyen Thanh</w:t>
      </w:r>
      <w:r w:rsidRPr="005E6B7C">
        <w:rPr>
          <w:rFonts w:asciiTheme="majorHAnsi" w:eastAsia="Yu Mincho" w:hAnsiTheme="majorHAnsi" w:cstheme="majorHAnsi"/>
          <w:b/>
          <w:i/>
          <w:iCs/>
          <w:color w:val="000000" w:themeColor="text1"/>
          <w:sz w:val="22"/>
          <w:szCs w:val="22"/>
          <w:vertAlign w:val="superscript"/>
          <w:lang w:eastAsia="ja-JP"/>
        </w:rPr>
        <w:t>5,</w:t>
      </w:r>
      <w:r w:rsidRPr="005E6B7C">
        <w:rPr>
          <w:rFonts w:asciiTheme="majorHAnsi" w:eastAsia="Yu Mincho" w:hAnsiTheme="majorHAnsi" w:cstheme="majorHAnsi"/>
          <w:b/>
          <w:i/>
          <w:iCs/>
          <w:color w:val="000000" w:themeColor="text1"/>
          <w:sz w:val="22"/>
          <w:szCs w:val="22"/>
          <w:lang w:eastAsia="ja-JP"/>
        </w:rPr>
        <w:t>*</w:t>
      </w:r>
    </w:p>
    <w:p w14:paraId="48351D08" w14:textId="77777777" w:rsidR="00E049CB" w:rsidRPr="005E6B7C" w:rsidRDefault="00E049CB" w:rsidP="008C0D47">
      <w:pPr>
        <w:tabs>
          <w:tab w:val="left" w:pos="9270"/>
        </w:tabs>
        <w:autoSpaceDE w:val="0"/>
        <w:autoSpaceDN w:val="0"/>
        <w:adjustRightInd w:val="0"/>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1</w:t>
      </w:r>
      <w:r w:rsidRPr="005E6B7C">
        <w:rPr>
          <w:rFonts w:asciiTheme="majorHAnsi" w:eastAsia="Yu Mincho" w:hAnsiTheme="majorHAnsi" w:cstheme="majorHAnsi"/>
          <w:i/>
          <w:snapToGrid w:val="0"/>
          <w:color w:val="000000" w:themeColor="text1"/>
          <w:sz w:val="22"/>
          <w:szCs w:val="22"/>
          <w:lang w:eastAsia="ja-JP"/>
        </w:rPr>
        <w:t>Department of Pharmacognosy, Faculty of Pharmacognosy and Traditional Medicine, Hanoi University of Pharmacy, Hanoi, Vietnam;</w:t>
      </w:r>
    </w:p>
    <w:p w14:paraId="38A799CB" w14:textId="6E5CBAD9" w:rsidR="00E049CB" w:rsidRPr="005E6B7C" w:rsidRDefault="00E049CB" w:rsidP="008C0D47">
      <w:pPr>
        <w:tabs>
          <w:tab w:val="left" w:pos="9270"/>
        </w:tabs>
        <w:autoSpaceDE w:val="0"/>
        <w:autoSpaceDN w:val="0"/>
        <w:adjustRightInd w:val="0"/>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Faculty of Pharmacy, Dai Nam University, Hanoi, Vietnam</w:t>
      </w:r>
      <w:r w:rsidR="00266B26" w:rsidRPr="005E6B7C">
        <w:rPr>
          <w:rFonts w:asciiTheme="majorHAnsi" w:eastAsia="Yu Mincho" w:hAnsiTheme="majorHAnsi" w:cstheme="majorHAnsi"/>
          <w:i/>
          <w:color w:val="000000" w:themeColor="text1"/>
          <w:sz w:val="22"/>
          <w:szCs w:val="22"/>
          <w:lang w:eastAsia="ja-JP"/>
        </w:rPr>
        <w:t>;</w:t>
      </w:r>
    </w:p>
    <w:p w14:paraId="10C3CB14" w14:textId="7678F90F" w:rsidR="00E049CB" w:rsidRPr="005E6B7C" w:rsidRDefault="00E049CB" w:rsidP="008C0D47">
      <w:pPr>
        <w:tabs>
          <w:tab w:val="left" w:pos="9270"/>
        </w:tabs>
        <w:autoSpaceDE w:val="0"/>
        <w:autoSpaceDN w:val="0"/>
        <w:adjustRightInd w:val="0"/>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3</w:t>
      </w:r>
      <w:r w:rsidRPr="005E6B7C">
        <w:rPr>
          <w:rFonts w:asciiTheme="majorHAnsi" w:eastAsia="Yu Mincho" w:hAnsiTheme="majorHAnsi" w:cstheme="majorHAnsi"/>
          <w:i/>
          <w:iCs/>
          <w:color w:val="000000" w:themeColor="text1"/>
          <w:sz w:val="22"/>
          <w:szCs w:val="22"/>
          <w:lang w:eastAsia="ja-JP"/>
        </w:rPr>
        <w:t>Institute of Biology, Vietnam Academy of Science and Technology</w:t>
      </w:r>
      <w:r w:rsidR="00266B26" w:rsidRPr="005E6B7C">
        <w:rPr>
          <w:rFonts w:asciiTheme="majorHAnsi" w:eastAsia="Yu Mincho" w:hAnsiTheme="majorHAnsi" w:cstheme="majorHAnsi"/>
          <w:i/>
          <w:iCs/>
          <w:color w:val="000000" w:themeColor="text1"/>
          <w:sz w:val="22"/>
          <w:szCs w:val="22"/>
          <w:lang w:eastAsia="ja-JP"/>
        </w:rPr>
        <w:t>;</w:t>
      </w:r>
    </w:p>
    <w:p w14:paraId="425278EF" w14:textId="1D320A92" w:rsidR="00E049CB" w:rsidRPr="005E6B7C" w:rsidRDefault="00E049CB" w:rsidP="008C0D47">
      <w:pPr>
        <w:tabs>
          <w:tab w:val="left" w:pos="9270"/>
        </w:tabs>
        <w:autoSpaceDE w:val="0"/>
        <w:autoSpaceDN w:val="0"/>
        <w:adjustRightInd w:val="0"/>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4</w:t>
      </w:r>
      <w:r w:rsidRPr="005E6B7C">
        <w:rPr>
          <w:rFonts w:asciiTheme="majorHAnsi" w:eastAsia="Yu Mincho" w:hAnsiTheme="majorHAnsi" w:cstheme="majorHAnsi"/>
          <w:i/>
          <w:iCs/>
          <w:color w:val="000000" w:themeColor="text1"/>
          <w:sz w:val="22"/>
          <w:szCs w:val="22"/>
          <w:lang w:eastAsia="ja-JP"/>
        </w:rPr>
        <w:t xml:space="preserve">Biopharm Hoa Binh JSC, Hoa Binh </w:t>
      </w:r>
      <w:r w:rsidR="00266B26" w:rsidRPr="005E6B7C">
        <w:rPr>
          <w:rFonts w:asciiTheme="majorHAnsi" w:eastAsia="Yu Mincho" w:hAnsiTheme="majorHAnsi" w:cstheme="majorHAnsi"/>
          <w:i/>
          <w:iCs/>
          <w:color w:val="000000" w:themeColor="text1"/>
          <w:sz w:val="22"/>
          <w:szCs w:val="22"/>
          <w:lang w:eastAsia="ja-JP"/>
        </w:rPr>
        <w:t>Ward</w:t>
      </w:r>
      <w:r w:rsidRPr="005E6B7C">
        <w:rPr>
          <w:rFonts w:asciiTheme="majorHAnsi" w:eastAsia="Yu Mincho" w:hAnsiTheme="majorHAnsi" w:cstheme="majorHAnsi"/>
          <w:i/>
          <w:iCs/>
          <w:color w:val="000000" w:themeColor="text1"/>
          <w:sz w:val="22"/>
          <w:szCs w:val="22"/>
          <w:lang w:eastAsia="ja-JP"/>
        </w:rPr>
        <w:t>, Phu Tho</w:t>
      </w:r>
      <w:r w:rsidR="00266B26" w:rsidRPr="005E6B7C">
        <w:rPr>
          <w:rFonts w:asciiTheme="majorHAnsi" w:eastAsia="Yu Mincho" w:hAnsiTheme="majorHAnsi" w:cstheme="majorHAnsi"/>
          <w:i/>
          <w:iCs/>
          <w:color w:val="000000" w:themeColor="text1"/>
          <w:sz w:val="22"/>
          <w:szCs w:val="22"/>
          <w:lang w:eastAsia="ja-JP"/>
        </w:rPr>
        <w:t>, Vietnam;</w:t>
      </w:r>
    </w:p>
    <w:p w14:paraId="70F64B47" w14:textId="3E64AB54" w:rsidR="004275A4" w:rsidRPr="005E6B7C" w:rsidRDefault="004275A4" w:rsidP="008C0D47">
      <w:pPr>
        <w:tabs>
          <w:tab w:val="left" w:pos="9270"/>
        </w:tabs>
        <w:autoSpaceDE w:val="0"/>
        <w:autoSpaceDN w:val="0"/>
        <w:adjustRightInd w:val="0"/>
        <w:ind w:right="-20"/>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5</w:t>
      </w:r>
      <w:r w:rsidRPr="005E6B7C">
        <w:rPr>
          <w:rFonts w:asciiTheme="majorHAnsi" w:eastAsia="Yu Mincho" w:hAnsiTheme="majorHAnsi" w:cstheme="majorHAnsi"/>
          <w:i/>
          <w:iCs/>
          <w:color w:val="000000" w:themeColor="text1"/>
          <w:sz w:val="22"/>
          <w:szCs w:val="22"/>
          <w:lang w:eastAsia="ja-JP"/>
        </w:rPr>
        <w:t>National Institute of Medi</w:t>
      </w:r>
      <w:r w:rsidR="00B115A7" w:rsidRPr="005E6B7C">
        <w:rPr>
          <w:rFonts w:asciiTheme="majorHAnsi" w:eastAsia="Yu Mincho" w:hAnsiTheme="majorHAnsi" w:cstheme="majorHAnsi"/>
          <w:i/>
          <w:iCs/>
          <w:color w:val="000000" w:themeColor="text1"/>
          <w:sz w:val="22"/>
          <w:szCs w:val="22"/>
          <w:lang w:eastAsia="ja-JP"/>
        </w:rPr>
        <w:t>cinal</w:t>
      </w:r>
      <w:r w:rsidRPr="005E6B7C">
        <w:rPr>
          <w:rFonts w:asciiTheme="majorHAnsi" w:eastAsia="Yu Mincho" w:hAnsiTheme="majorHAnsi" w:cstheme="majorHAnsi"/>
          <w:i/>
          <w:iCs/>
          <w:color w:val="000000" w:themeColor="text1"/>
          <w:sz w:val="22"/>
          <w:szCs w:val="22"/>
          <w:lang w:eastAsia="ja-JP"/>
        </w:rPr>
        <w:t xml:space="preserve"> Materials (NIMM), Hanoi 11018, Vietnam</w:t>
      </w:r>
    </w:p>
    <w:p w14:paraId="33B2D68F" w14:textId="77777777" w:rsidR="00E049CB" w:rsidRPr="005E6B7C" w:rsidRDefault="00E049CB" w:rsidP="008C0D47">
      <w:pPr>
        <w:tabs>
          <w:tab w:val="left" w:pos="9270"/>
        </w:tabs>
        <w:autoSpaceDE w:val="0"/>
        <w:autoSpaceDN w:val="0"/>
        <w:adjustRightInd w:val="0"/>
        <w:ind w:right="-20"/>
        <w:jc w:val="center"/>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shd w:val="clear" w:color="auto" w:fill="FFFFFF"/>
          <w:lang w:eastAsia="ja-JP"/>
        </w:rPr>
        <w:t xml:space="preserve">*Corresponding authors: </w:t>
      </w:r>
      <w:r w:rsidR="00B666AE" w:rsidRPr="005E6B7C">
        <w:rPr>
          <w:rFonts w:asciiTheme="majorHAnsi" w:eastAsia="Times New Roman" w:hAnsiTheme="majorHAnsi" w:cstheme="majorHAnsi"/>
          <w:bCs/>
          <w:color w:val="000000" w:themeColor="text1"/>
          <w:sz w:val="22"/>
          <w:szCs w:val="22"/>
          <w:lang w:eastAsia="ja-JP"/>
        </w:rPr>
        <w:t>congnt@</w:t>
      </w:r>
      <w:r w:rsidRPr="005E6B7C">
        <w:rPr>
          <w:rFonts w:asciiTheme="majorHAnsi" w:eastAsia="Times New Roman" w:hAnsiTheme="majorHAnsi" w:cstheme="majorHAnsi"/>
          <w:bCs/>
          <w:color w:val="000000" w:themeColor="text1"/>
          <w:sz w:val="22"/>
          <w:szCs w:val="22"/>
          <w:lang w:eastAsia="ja-JP"/>
        </w:rPr>
        <w:t xml:space="preserve">dainam.edu.vn </w:t>
      </w:r>
      <w:r w:rsidRPr="005E6B7C">
        <w:rPr>
          <w:rFonts w:asciiTheme="majorHAnsi" w:eastAsia="Times New Roman" w:hAnsiTheme="majorHAnsi" w:cstheme="majorHAnsi"/>
          <w:color w:val="000000" w:themeColor="text1"/>
          <w:sz w:val="22"/>
          <w:szCs w:val="22"/>
          <w:lang w:eastAsia="ja-JP"/>
        </w:rPr>
        <w:t xml:space="preserve">and </w:t>
      </w:r>
      <w:r w:rsidR="00B666AE" w:rsidRPr="005E6B7C">
        <w:rPr>
          <w:rFonts w:asciiTheme="majorHAnsi" w:eastAsia="Times New Roman" w:hAnsiTheme="majorHAnsi" w:cstheme="majorHAnsi"/>
          <w:color w:val="000000" w:themeColor="text1"/>
          <w:sz w:val="22"/>
          <w:szCs w:val="22"/>
          <w:shd w:val="clear" w:color="auto" w:fill="FFFFFF"/>
          <w:lang w:eastAsia="ja-JP"/>
        </w:rPr>
        <w:t>lethanh7676@gmail.com</w:t>
      </w:r>
    </w:p>
    <w:p w14:paraId="6EDDF7D9" w14:textId="77777777" w:rsidR="00221F08" w:rsidRPr="005E6B7C" w:rsidRDefault="00221F08"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 xml:space="preserve">Received </w:t>
      </w:r>
      <w:r w:rsidR="00223B62" w:rsidRPr="005E6B7C">
        <w:rPr>
          <w:rFonts w:asciiTheme="majorHAnsi" w:eastAsia="Yu Mincho" w:hAnsiTheme="majorHAnsi" w:cstheme="majorHAnsi"/>
          <w:color w:val="000000" w:themeColor="text1"/>
          <w:sz w:val="20"/>
          <w:szCs w:val="20"/>
          <w:lang w:eastAsia="ja-JP"/>
        </w:rPr>
        <w:t>February</w:t>
      </w:r>
      <w:r w:rsidRPr="005E6B7C">
        <w:rPr>
          <w:rFonts w:asciiTheme="majorHAnsi" w:eastAsia="Yu Mincho" w:hAnsiTheme="majorHAnsi" w:cstheme="majorHAnsi"/>
          <w:color w:val="000000" w:themeColor="text1"/>
          <w:sz w:val="20"/>
          <w:szCs w:val="20"/>
          <w:lang w:eastAsia="ja-JP"/>
        </w:rPr>
        <w:t xml:space="preserve"> </w:t>
      </w:r>
      <w:r w:rsidR="00223B62" w:rsidRPr="005E6B7C">
        <w:rPr>
          <w:rFonts w:asciiTheme="majorHAnsi" w:eastAsia="Yu Mincho" w:hAnsiTheme="majorHAnsi" w:cstheme="majorHAnsi"/>
          <w:color w:val="000000" w:themeColor="text1"/>
          <w:sz w:val="20"/>
          <w:szCs w:val="20"/>
          <w:lang w:eastAsia="ja-JP"/>
        </w:rPr>
        <w:t>26</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w:t>
      </w:r>
      <w:r w:rsidR="00223B62" w:rsidRPr="005E6B7C">
        <w:rPr>
          <w:rFonts w:asciiTheme="majorHAnsi" w:eastAsia="Yu Mincho" w:hAnsiTheme="majorHAnsi" w:cstheme="majorHAnsi"/>
          <w:color w:val="000000" w:themeColor="text1"/>
          <w:sz w:val="20"/>
          <w:szCs w:val="20"/>
          <w:lang w:eastAsia="ja-JP"/>
        </w:rPr>
        <w:t>6</w:t>
      </w:r>
      <w:r w:rsidRPr="005E6B7C">
        <w:rPr>
          <w:rFonts w:asciiTheme="majorHAnsi" w:eastAsia="Yu Mincho" w:hAnsiTheme="majorHAnsi" w:cstheme="majorHAnsi"/>
          <w:color w:val="000000" w:themeColor="text1"/>
          <w:sz w:val="20"/>
          <w:szCs w:val="20"/>
          <w:lang w:eastAsia="ja-JP"/>
        </w:rPr>
        <w:t xml:space="preserve">                Accepted </w:t>
      </w:r>
      <w:r w:rsidR="00223B62" w:rsidRPr="005E6B7C">
        <w:rPr>
          <w:rFonts w:asciiTheme="majorHAnsi" w:eastAsia="Yu Mincho" w:hAnsiTheme="majorHAnsi" w:cstheme="majorHAnsi"/>
          <w:color w:val="000000" w:themeColor="text1"/>
          <w:sz w:val="20"/>
          <w:szCs w:val="20"/>
          <w:lang w:eastAsia="ja-JP"/>
        </w:rPr>
        <w:t>March</w:t>
      </w:r>
      <w:r w:rsidRPr="005E6B7C">
        <w:rPr>
          <w:rFonts w:asciiTheme="majorHAnsi" w:eastAsia="Yu Mincho" w:hAnsiTheme="majorHAnsi" w:cstheme="majorHAnsi"/>
          <w:color w:val="000000" w:themeColor="text1"/>
          <w:sz w:val="20"/>
          <w:szCs w:val="20"/>
          <w:lang w:eastAsia="ja-JP"/>
        </w:rPr>
        <w:t xml:space="preserve"> </w:t>
      </w:r>
      <w:r w:rsidR="00223B62" w:rsidRPr="005E6B7C">
        <w:rPr>
          <w:rFonts w:asciiTheme="majorHAnsi" w:eastAsia="Yu Mincho" w:hAnsiTheme="majorHAnsi" w:cstheme="majorHAnsi"/>
          <w:color w:val="000000" w:themeColor="text1"/>
          <w:sz w:val="20"/>
          <w:szCs w:val="20"/>
          <w:lang w:eastAsia="ja-JP"/>
        </w:rPr>
        <w:t>11</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547A401C" w14:textId="77777777" w:rsidR="00E049CB" w:rsidRPr="005E6B7C" w:rsidRDefault="00E049CB" w:rsidP="008C0D47">
      <w:pPr>
        <w:tabs>
          <w:tab w:val="left" w:pos="27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70FA4ACF" w14:textId="5657E1C5" w:rsidR="00E049CB" w:rsidRPr="005E6B7C" w:rsidRDefault="00E049CB" w:rsidP="008C0D47">
      <w:pPr>
        <w:tabs>
          <w:tab w:val="left" w:pos="9270"/>
        </w:tabs>
        <w:ind w:firstLine="284"/>
        <w:jc w:val="both"/>
        <w:rPr>
          <w:rFonts w:asciiTheme="majorHAnsi" w:eastAsia="Calibri"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Camellia flava</w:t>
      </w:r>
      <w:r w:rsidRPr="005E6B7C">
        <w:rPr>
          <w:rFonts w:asciiTheme="majorHAnsi" w:eastAsia="Yu Mincho" w:hAnsiTheme="majorHAnsi" w:cstheme="majorHAnsi"/>
          <w:color w:val="000000" w:themeColor="text1"/>
          <w:sz w:val="18"/>
          <w:szCs w:val="18"/>
          <w:lang w:eastAsia="ja-JP"/>
        </w:rPr>
        <w:t xml:space="preserve"> (Pitard) Sealy is one of the yellow camellia species belonging to the genus </w:t>
      </w:r>
      <w:r w:rsidRPr="005E6B7C">
        <w:rPr>
          <w:rFonts w:asciiTheme="majorHAnsi" w:eastAsia="Yu Mincho" w:hAnsiTheme="majorHAnsi" w:cstheme="majorHAnsi"/>
          <w:i/>
          <w:iCs/>
          <w:color w:val="000000" w:themeColor="text1"/>
          <w:sz w:val="18"/>
          <w:szCs w:val="18"/>
          <w:lang w:eastAsia="ja-JP"/>
        </w:rPr>
        <w:t>Camellia</w:t>
      </w:r>
      <w:r w:rsidRPr="005E6B7C">
        <w:rPr>
          <w:rFonts w:asciiTheme="majorHAnsi" w:eastAsia="Yu Mincho" w:hAnsiTheme="majorHAnsi" w:cstheme="majorHAnsi"/>
          <w:color w:val="000000" w:themeColor="text1"/>
          <w:sz w:val="18"/>
          <w:szCs w:val="18"/>
          <w:lang w:eastAsia="ja-JP"/>
        </w:rPr>
        <w:t xml:space="preserve"> (family Theaceae), which is widely distributed in Vietnam. Phytochemical investigation of the ethyl </w:t>
      </w:r>
      <w:r w:rsidR="002D1E5A" w:rsidRPr="005E6B7C">
        <w:rPr>
          <w:rFonts w:asciiTheme="majorHAnsi" w:eastAsia="Yu Mincho" w:hAnsiTheme="majorHAnsi" w:cstheme="majorHAnsi"/>
          <w:color w:val="000000" w:themeColor="text1"/>
          <w:sz w:val="18"/>
          <w:szCs w:val="18"/>
          <w:lang w:eastAsia="ja-JP"/>
        </w:rPr>
        <w:t>acetate</w:t>
      </w:r>
      <w:r w:rsidR="002D1E5A"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extract of </w:t>
      </w:r>
      <w:r w:rsidRPr="005E6B7C">
        <w:rPr>
          <w:rFonts w:asciiTheme="majorHAnsi" w:eastAsia="Yu Mincho" w:hAnsiTheme="majorHAnsi" w:cstheme="majorHAnsi"/>
          <w:i/>
          <w:iCs/>
          <w:color w:val="000000" w:themeColor="text1"/>
          <w:sz w:val="18"/>
          <w:szCs w:val="18"/>
          <w:lang w:eastAsia="ja-JP"/>
        </w:rPr>
        <w:t>C. flava</w:t>
      </w:r>
      <w:r w:rsidRPr="005E6B7C">
        <w:rPr>
          <w:rFonts w:asciiTheme="majorHAnsi" w:eastAsia="Yu Mincho" w:hAnsiTheme="majorHAnsi" w:cstheme="majorHAnsi"/>
          <w:color w:val="000000" w:themeColor="text1"/>
          <w:sz w:val="18"/>
          <w:szCs w:val="18"/>
          <w:lang w:eastAsia="ja-JP"/>
        </w:rPr>
        <w:t xml:space="preserve"> flowers collected in Phu Tho province led to the identification of eight phenolic compounds, including 3</w:t>
      </w:r>
      <w:r w:rsidRPr="005E6B7C">
        <w:rPr>
          <w:rFonts w:asciiTheme="majorHAnsi" w:eastAsia="Yu Mincho" w:hAnsiTheme="majorHAnsi" w:cstheme="majorHAnsi"/>
          <w:bCs/>
          <w:color w:val="000000" w:themeColor="text1"/>
          <w:sz w:val="18"/>
          <w:szCs w:val="18"/>
          <w:lang w:eastAsia="ja-JP"/>
        </w:rPr>
        <w:t>,3',4'-tri-</w:t>
      </w:r>
      <w:r w:rsidRPr="005E6B7C">
        <w:rPr>
          <w:rFonts w:asciiTheme="majorHAnsi" w:eastAsia="Yu Mincho" w:hAnsiTheme="majorHAnsi" w:cstheme="majorHAnsi"/>
          <w:bCs/>
          <w:i/>
          <w:iCs/>
          <w:color w:val="000000" w:themeColor="text1"/>
          <w:sz w:val="18"/>
          <w:szCs w:val="18"/>
          <w:lang w:eastAsia="ja-JP"/>
        </w:rPr>
        <w:t>O</w:t>
      </w:r>
      <w:r w:rsidRPr="005E6B7C">
        <w:rPr>
          <w:rFonts w:asciiTheme="majorHAnsi" w:eastAsia="Yu Mincho" w:hAnsiTheme="majorHAnsi" w:cstheme="majorHAnsi"/>
          <w:bCs/>
          <w:color w:val="000000" w:themeColor="text1"/>
          <w:sz w:val="18"/>
          <w:szCs w:val="18"/>
          <w:lang w:eastAsia="ja-JP"/>
        </w:rPr>
        <w:t>-methyl ellagic acid</w:t>
      </w:r>
      <w:r w:rsidRPr="005E6B7C">
        <w:rPr>
          <w:rFonts w:asciiTheme="majorHAnsi" w:eastAsia="Times New Roman" w:hAnsiTheme="majorHAnsi" w:cstheme="majorHAnsi"/>
          <w:iCs/>
          <w:color w:val="000000" w:themeColor="text1"/>
          <w:sz w:val="18"/>
          <w:szCs w:val="18"/>
          <w:lang w:eastAsia="ja-JP"/>
        </w:rPr>
        <w:t xml:space="preserve"> (</w:t>
      </w:r>
      <w:r w:rsidRPr="005E6B7C">
        <w:rPr>
          <w:rFonts w:asciiTheme="majorHAnsi" w:eastAsia="Times New Roman" w:hAnsiTheme="majorHAnsi" w:cstheme="majorHAnsi"/>
          <w:b/>
          <w:iCs/>
          <w:color w:val="000000" w:themeColor="text1"/>
          <w:sz w:val="18"/>
          <w:szCs w:val="18"/>
          <w:lang w:eastAsia="ja-JP"/>
        </w:rPr>
        <w:t>1</w:t>
      </w:r>
      <w:r w:rsidRPr="005E6B7C">
        <w:rPr>
          <w:rFonts w:asciiTheme="majorHAnsi" w:eastAsia="Times New Roman"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val="en-GB" w:eastAsia="ja-JP"/>
        </w:rPr>
        <w:t xml:space="preserve">, </w:t>
      </w:r>
      <w:r w:rsidRPr="005E6B7C">
        <w:rPr>
          <w:rFonts w:asciiTheme="majorHAnsi" w:eastAsia="Times New Roman" w:hAnsiTheme="majorHAnsi" w:cstheme="majorHAnsi"/>
          <w:color w:val="000000" w:themeColor="text1"/>
          <w:sz w:val="18"/>
          <w:szCs w:val="18"/>
          <w:lang w:eastAsia="ja-JP"/>
        </w:rPr>
        <w:t>pinoresinol (</w:t>
      </w:r>
      <w:r w:rsidRPr="005E6B7C">
        <w:rPr>
          <w:rFonts w:asciiTheme="majorHAnsi" w:eastAsia="Times New Roman" w:hAnsiTheme="majorHAnsi" w:cstheme="majorHAnsi"/>
          <w:b/>
          <w:color w:val="000000" w:themeColor="text1"/>
          <w:sz w:val="18"/>
          <w:szCs w:val="18"/>
          <w:lang w:eastAsia="ja-JP"/>
        </w:rPr>
        <w:t>2</w:t>
      </w:r>
      <w:r w:rsidRPr="005E6B7C">
        <w:rPr>
          <w:rFonts w:asciiTheme="majorHAnsi" w:eastAsia="Times New Roman" w:hAnsiTheme="majorHAnsi" w:cstheme="majorHAnsi"/>
          <w:color w:val="000000" w:themeColor="text1"/>
          <w:sz w:val="18"/>
          <w:szCs w:val="18"/>
          <w:lang w:eastAsia="ja-JP"/>
        </w:rPr>
        <w:t xml:space="preserve">), </w:t>
      </w:r>
      <w:r w:rsidR="007B291D" w:rsidRPr="005E6B7C">
        <w:rPr>
          <w:rFonts w:asciiTheme="majorHAnsi" w:eastAsia="Times New Roman" w:hAnsiTheme="majorHAnsi" w:cstheme="majorHAnsi"/>
          <w:color w:val="FF0000"/>
          <w:sz w:val="18"/>
          <w:szCs w:val="18"/>
          <w:lang w:eastAsia="ja-JP"/>
        </w:rPr>
        <w:t xml:space="preserve">quercetin </w:t>
      </w:r>
      <w:r w:rsidRPr="005E6B7C">
        <w:rPr>
          <w:rFonts w:asciiTheme="majorHAnsi" w:eastAsia="Times New Roman" w:hAnsiTheme="majorHAnsi" w:cstheme="majorHAnsi"/>
          <w:color w:val="FF0000"/>
          <w:sz w:val="18"/>
          <w:szCs w:val="18"/>
          <w:lang w:eastAsia="ja-JP"/>
        </w:rPr>
        <w:t>(</w:t>
      </w:r>
      <w:r w:rsidRPr="005E6B7C">
        <w:rPr>
          <w:rFonts w:asciiTheme="majorHAnsi" w:eastAsia="Times New Roman" w:hAnsiTheme="majorHAnsi" w:cstheme="majorHAnsi"/>
          <w:b/>
          <w:color w:val="FF0000"/>
          <w:sz w:val="18"/>
          <w:szCs w:val="18"/>
          <w:lang w:eastAsia="ja-JP"/>
        </w:rPr>
        <w:t>3</w:t>
      </w:r>
      <w:r w:rsidRPr="005E6B7C">
        <w:rPr>
          <w:rFonts w:asciiTheme="majorHAnsi" w:eastAsia="Times New Roman" w:hAnsiTheme="majorHAnsi" w:cstheme="majorHAnsi"/>
          <w:color w:val="FF0000"/>
          <w:sz w:val="18"/>
          <w:szCs w:val="18"/>
          <w:lang w:eastAsia="ja-JP"/>
        </w:rPr>
        <w:t xml:space="preserve">), </w:t>
      </w:r>
      <w:r w:rsidR="007B291D" w:rsidRPr="005E6B7C">
        <w:rPr>
          <w:rFonts w:asciiTheme="majorHAnsi" w:eastAsia="Times New Roman" w:hAnsiTheme="majorHAnsi" w:cstheme="majorHAnsi"/>
          <w:color w:val="FF0000"/>
          <w:sz w:val="18"/>
          <w:szCs w:val="18"/>
          <w:lang w:eastAsia="ja-JP"/>
        </w:rPr>
        <w:t xml:space="preserve">kaempferol </w:t>
      </w:r>
      <w:r w:rsidRPr="005E6B7C">
        <w:rPr>
          <w:rFonts w:asciiTheme="majorHAnsi" w:eastAsia="Times New Roman" w:hAnsiTheme="majorHAnsi" w:cstheme="majorHAnsi"/>
          <w:color w:val="FF0000"/>
          <w:sz w:val="18"/>
          <w:szCs w:val="18"/>
          <w:lang w:eastAsia="ja-JP"/>
        </w:rPr>
        <w:t>(</w:t>
      </w:r>
      <w:r w:rsidRPr="005E6B7C">
        <w:rPr>
          <w:rFonts w:asciiTheme="majorHAnsi" w:eastAsia="Times New Roman" w:hAnsiTheme="majorHAnsi" w:cstheme="majorHAnsi"/>
          <w:b/>
          <w:color w:val="FF0000"/>
          <w:sz w:val="18"/>
          <w:szCs w:val="18"/>
          <w:lang w:eastAsia="ja-JP"/>
        </w:rPr>
        <w:t>4</w:t>
      </w:r>
      <w:r w:rsidRPr="005E6B7C">
        <w:rPr>
          <w:rFonts w:asciiTheme="majorHAnsi" w:eastAsia="Times New Roman" w:hAnsiTheme="majorHAnsi" w:cstheme="majorHAnsi"/>
          <w:color w:val="FF0000"/>
          <w:sz w:val="18"/>
          <w:szCs w:val="18"/>
          <w:lang w:eastAsia="ja-JP"/>
        </w:rPr>
        <w:t>),</w:t>
      </w:r>
      <w:r w:rsidRPr="005E6B7C">
        <w:rPr>
          <w:rFonts w:asciiTheme="majorHAnsi" w:eastAsia="Times New Roman" w:hAnsiTheme="majorHAnsi" w:cstheme="majorHAnsi"/>
          <w:color w:val="000000" w:themeColor="text1"/>
          <w:sz w:val="18"/>
          <w:szCs w:val="18"/>
          <w:lang w:eastAsia="ja-JP"/>
        </w:rPr>
        <w:t xml:space="preserve"> tyrosol (</w:t>
      </w:r>
      <w:r w:rsidRPr="005E6B7C">
        <w:rPr>
          <w:rFonts w:asciiTheme="majorHAnsi" w:eastAsia="Times New Roman" w:hAnsiTheme="majorHAnsi" w:cstheme="majorHAnsi"/>
          <w:b/>
          <w:color w:val="000000" w:themeColor="text1"/>
          <w:sz w:val="18"/>
          <w:szCs w:val="18"/>
          <w:lang w:eastAsia="ja-JP"/>
        </w:rPr>
        <w:t>5</w:t>
      </w:r>
      <w:r w:rsidRPr="005E6B7C">
        <w:rPr>
          <w:rFonts w:asciiTheme="majorHAnsi" w:eastAsia="Times New Roman" w:hAnsiTheme="majorHAnsi" w:cstheme="majorHAnsi"/>
          <w:color w:val="000000" w:themeColor="text1"/>
          <w:sz w:val="18"/>
          <w:szCs w:val="18"/>
          <w:lang w:eastAsia="ja-JP"/>
        </w:rPr>
        <w:t>), caffeic acid</w:t>
      </w:r>
      <w:r w:rsidRPr="005E6B7C">
        <w:rPr>
          <w:rFonts w:asciiTheme="majorHAnsi" w:eastAsia="Yu Mincho" w:hAnsiTheme="majorHAnsi" w:cstheme="majorHAnsi"/>
          <w:color w:val="000000" w:themeColor="text1"/>
          <w:sz w:val="18"/>
          <w:szCs w:val="18"/>
          <w:lang w:val="en-GB" w:eastAsia="ja-JP"/>
        </w:rPr>
        <w:t xml:space="preserve"> (</w:t>
      </w:r>
      <w:r w:rsidRPr="005E6B7C">
        <w:rPr>
          <w:rFonts w:asciiTheme="majorHAnsi" w:eastAsia="Yu Mincho" w:hAnsiTheme="majorHAnsi" w:cstheme="majorHAnsi"/>
          <w:b/>
          <w:color w:val="000000" w:themeColor="text1"/>
          <w:sz w:val="18"/>
          <w:szCs w:val="18"/>
          <w:lang w:val="en-GB" w:eastAsia="ja-JP"/>
        </w:rPr>
        <w:t>6</w:t>
      </w:r>
      <w:r w:rsidRPr="005E6B7C">
        <w:rPr>
          <w:rFonts w:asciiTheme="majorHAnsi" w:eastAsia="Yu Mincho" w:hAnsiTheme="majorHAnsi" w:cstheme="majorHAnsi"/>
          <w:color w:val="000000" w:themeColor="text1"/>
          <w:sz w:val="18"/>
          <w:szCs w:val="18"/>
          <w:lang w:val="en-GB" w:eastAsia="ja-JP"/>
        </w:rPr>
        <w:t>), protocatechuic acid (</w:t>
      </w:r>
      <w:r w:rsidRPr="005E6B7C">
        <w:rPr>
          <w:rFonts w:asciiTheme="majorHAnsi" w:eastAsia="Yu Mincho" w:hAnsiTheme="majorHAnsi" w:cstheme="majorHAnsi"/>
          <w:b/>
          <w:color w:val="000000" w:themeColor="text1"/>
          <w:sz w:val="18"/>
          <w:szCs w:val="18"/>
          <w:lang w:val="en-GB" w:eastAsia="ja-JP"/>
        </w:rPr>
        <w:t>7</w:t>
      </w:r>
      <w:r w:rsidRPr="005E6B7C">
        <w:rPr>
          <w:rFonts w:asciiTheme="majorHAnsi" w:eastAsia="Yu Mincho" w:hAnsiTheme="majorHAnsi" w:cstheme="majorHAnsi"/>
          <w:color w:val="000000" w:themeColor="text1"/>
          <w:sz w:val="18"/>
          <w:szCs w:val="18"/>
          <w:lang w:val="en-GB" w:eastAsia="ja-JP"/>
        </w:rPr>
        <w:t>), and gallic acid (</w:t>
      </w:r>
      <w:r w:rsidRPr="005E6B7C">
        <w:rPr>
          <w:rFonts w:asciiTheme="majorHAnsi" w:eastAsia="Yu Mincho" w:hAnsiTheme="majorHAnsi" w:cstheme="majorHAnsi"/>
          <w:b/>
          <w:color w:val="000000" w:themeColor="text1"/>
          <w:sz w:val="18"/>
          <w:szCs w:val="18"/>
          <w:lang w:val="en-GB" w:eastAsia="ja-JP"/>
        </w:rPr>
        <w:t>8</w:t>
      </w:r>
      <w:r w:rsidRPr="005E6B7C">
        <w:rPr>
          <w:rFonts w:asciiTheme="majorHAnsi" w:eastAsia="Yu Mincho" w:hAnsiTheme="majorHAnsi" w:cstheme="majorHAnsi"/>
          <w:color w:val="000000" w:themeColor="text1"/>
          <w:sz w:val="18"/>
          <w:szCs w:val="18"/>
          <w:lang w:val="en-GB" w:eastAsia="ja-JP"/>
        </w:rPr>
        <w:t>)</w:t>
      </w:r>
      <w:r w:rsidRPr="005E6B7C">
        <w:rPr>
          <w:rFonts w:asciiTheme="majorHAnsi" w:eastAsia="Yu Mincho" w:hAnsiTheme="majorHAnsi" w:cstheme="majorHAnsi"/>
          <w:color w:val="000000" w:themeColor="text1"/>
          <w:sz w:val="18"/>
          <w:szCs w:val="18"/>
          <w:lang w:eastAsia="ja-JP"/>
        </w:rPr>
        <w:t xml:space="preserve">. The structures of the isolated compounds were determined by NMR and MS spectroscopic analyses and comparison with the reported data. This study represents the first report of compounds </w:t>
      </w:r>
      <w:r w:rsidRPr="005E6B7C">
        <w:rPr>
          <w:rFonts w:asciiTheme="majorHAnsi" w:eastAsia="Yu Mincho" w:hAnsiTheme="majorHAnsi" w:cstheme="majorHAnsi"/>
          <w:color w:val="000000" w:themeColor="text1"/>
          <w:sz w:val="18"/>
          <w:szCs w:val="18"/>
          <w:lang w:eastAsia="ko-KR"/>
        </w:rPr>
        <w:t>(</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eastAsia="ko-KR"/>
        </w:rPr>
        <w:t>–</w:t>
      </w:r>
      <w:r w:rsidRPr="005E6B7C">
        <w:rPr>
          <w:rFonts w:asciiTheme="majorHAnsi" w:eastAsia="Yu Mincho" w:hAnsiTheme="majorHAnsi" w:cstheme="majorHAnsi"/>
          <w:b/>
          <w:bCs/>
          <w:color w:val="000000" w:themeColor="text1"/>
          <w:sz w:val="18"/>
          <w:szCs w:val="18"/>
          <w:lang w:eastAsia="ja-JP"/>
        </w:rPr>
        <w:t>8</w:t>
      </w:r>
      <w:r w:rsidRPr="005E6B7C">
        <w:rPr>
          <w:rFonts w:asciiTheme="majorHAnsi" w:eastAsia="Yu Mincho" w:hAnsiTheme="majorHAnsi" w:cstheme="majorHAnsi"/>
          <w:b/>
          <w:bCs/>
          <w:color w:val="000000" w:themeColor="text1"/>
          <w:sz w:val="18"/>
          <w:szCs w:val="18"/>
          <w:lang w:eastAsia="ko-KR"/>
        </w:rPr>
        <w:t>)</w:t>
      </w:r>
      <w:r w:rsidRPr="005E6B7C">
        <w:rPr>
          <w:rFonts w:asciiTheme="majorHAnsi" w:eastAsia="Yu Mincho" w:hAnsiTheme="majorHAnsi" w:cstheme="majorHAnsi"/>
          <w:color w:val="000000" w:themeColor="text1"/>
          <w:sz w:val="18"/>
          <w:szCs w:val="18"/>
          <w:lang w:eastAsia="ja-JP"/>
        </w:rPr>
        <w:t xml:space="preserve"> from the flowers of </w:t>
      </w:r>
      <w:r w:rsidRPr="005E6B7C">
        <w:rPr>
          <w:rFonts w:asciiTheme="majorHAnsi" w:eastAsia="Yu Mincho" w:hAnsiTheme="majorHAnsi" w:cstheme="majorHAnsi"/>
          <w:i/>
          <w:iCs/>
          <w:color w:val="000000" w:themeColor="text1"/>
          <w:sz w:val="18"/>
          <w:szCs w:val="18"/>
          <w:lang w:eastAsia="ja-JP"/>
        </w:rPr>
        <w:t>C</w:t>
      </w:r>
      <w:r w:rsidRPr="005E6B7C">
        <w:rPr>
          <w:rFonts w:asciiTheme="majorHAnsi" w:eastAsia="Yu Mincho" w:hAnsiTheme="majorHAnsi" w:cstheme="majorHAnsi"/>
          <w:i/>
          <w:iCs/>
          <w:color w:val="000000" w:themeColor="text1"/>
          <w:sz w:val="18"/>
          <w:szCs w:val="18"/>
          <w:lang w:eastAsia="ko-KR"/>
        </w:rPr>
        <w:t>.</w:t>
      </w:r>
      <w:r w:rsidRPr="005E6B7C">
        <w:rPr>
          <w:rFonts w:asciiTheme="majorHAnsi" w:eastAsia="Yu Mincho" w:hAnsiTheme="majorHAnsi" w:cstheme="majorHAnsi"/>
          <w:i/>
          <w:iCs/>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ko-KR"/>
        </w:rPr>
        <w:t>flava</w:t>
      </w:r>
      <w:r w:rsidRPr="005E6B7C">
        <w:rPr>
          <w:rFonts w:asciiTheme="majorHAnsi" w:eastAsia="Yu Mincho" w:hAnsiTheme="majorHAnsi" w:cstheme="majorHAnsi"/>
          <w:color w:val="000000" w:themeColor="text1"/>
          <w:sz w:val="18"/>
          <w:szCs w:val="18"/>
          <w:lang w:eastAsia="ja-JP"/>
        </w:rPr>
        <w:t>.</w:t>
      </w:r>
    </w:p>
    <w:p w14:paraId="4D14E2D5" w14:textId="77777777" w:rsidR="00E049CB" w:rsidRPr="005E6B7C" w:rsidRDefault="00E049CB" w:rsidP="008C0D47">
      <w:pPr>
        <w:tabs>
          <w:tab w:val="left" w:pos="9270"/>
        </w:tabs>
        <w:ind w:firstLine="284"/>
        <w:jc w:val="both"/>
        <w:rPr>
          <w:rFonts w:asciiTheme="majorHAnsi" w:eastAsia="Yu Mincho" w:hAnsiTheme="majorHAnsi" w:cstheme="majorHAnsi"/>
          <w:bCs/>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eastAsia="ja-JP"/>
        </w:rPr>
        <w:t>Keywords:</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Camellia flava; Camellia cucphuongensis; Flavonoid; Lignan; Phenolic</w:t>
      </w:r>
      <w:r w:rsidRPr="005E6B7C">
        <w:rPr>
          <w:rFonts w:asciiTheme="majorHAnsi" w:eastAsia="Calibri" w:hAnsiTheme="majorHAnsi" w:cstheme="majorHAnsi"/>
          <w:iCs/>
          <w:color w:val="000000" w:themeColor="text1"/>
          <w:sz w:val="18"/>
          <w:szCs w:val="18"/>
          <w:lang w:eastAsia="ja-JP"/>
        </w:rPr>
        <w:t>.</w:t>
      </w:r>
    </w:p>
    <w:p w14:paraId="354ED421" w14:textId="77777777" w:rsidR="00F5234A" w:rsidRPr="005E6B7C" w:rsidRDefault="00F5234A" w:rsidP="008C0D47">
      <w:pPr>
        <w:tabs>
          <w:tab w:val="left" w:pos="270"/>
          <w:tab w:val="left" w:pos="9270"/>
        </w:tabs>
        <w:ind w:right="-20"/>
        <w:contextualSpacing/>
        <w:jc w:val="both"/>
        <w:rPr>
          <w:rFonts w:asciiTheme="majorHAnsi" w:eastAsia="Yu Mincho" w:hAnsiTheme="majorHAnsi" w:cstheme="majorHAnsi"/>
          <w:b/>
          <w:bCs/>
          <w:color w:val="000000" w:themeColor="text1"/>
          <w:sz w:val="22"/>
          <w:szCs w:val="22"/>
          <w:lang w:eastAsia="ja-JP"/>
        </w:rPr>
      </w:pPr>
    </w:p>
    <w:p w14:paraId="2C2CCC28" w14:textId="77777777" w:rsidR="00FC534C" w:rsidRPr="005E6B7C" w:rsidRDefault="00FC534C" w:rsidP="008C0D47">
      <w:pPr>
        <w:tabs>
          <w:tab w:val="left" w:pos="270"/>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eastAsia="ja-JP"/>
        </w:rPr>
        <w:sectPr w:rsidR="00FC534C" w:rsidRPr="005E6B7C" w:rsidSect="002206BB">
          <w:type w:val="continuous"/>
          <w:pgSz w:w="10773" w:h="15309" w:code="9"/>
          <w:pgMar w:top="907" w:right="851" w:bottom="1418" w:left="851" w:header="397" w:footer="851" w:gutter="0"/>
          <w:cols w:space="284"/>
          <w:docGrid w:linePitch="360"/>
        </w:sectPr>
      </w:pPr>
    </w:p>
    <w:p w14:paraId="4DA0F006" w14:textId="77777777" w:rsidR="00E049CB" w:rsidRPr="005E6B7C" w:rsidRDefault="00B666AE" w:rsidP="008C0D47">
      <w:pPr>
        <w:tabs>
          <w:tab w:val="left" w:pos="270"/>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val="de-DE" w:eastAsia="ja-JP"/>
        </w:rPr>
      </w:pPr>
      <w:r w:rsidRPr="005E6B7C">
        <w:rPr>
          <w:rFonts w:asciiTheme="majorHAnsi" w:eastAsia="Yu Mincho" w:hAnsiTheme="majorHAnsi" w:cstheme="majorHAnsi"/>
          <w:b/>
          <w:bCs/>
          <w:color w:val="000000" w:themeColor="text1"/>
          <w:sz w:val="22"/>
          <w:szCs w:val="22"/>
          <w:lang w:eastAsia="ja-JP"/>
        </w:rPr>
        <w:t xml:space="preserve">1. </w:t>
      </w:r>
      <w:r w:rsidR="00E049CB" w:rsidRPr="005E6B7C">
        <w:rPr>
          <w:rFonts w:asciiTheme="majorHAnsi" w:eastAsia="Yu Mincho" w:hAnsiTheme="majorHAnsi" w:cstheme="majorHAnsi"/>
          <w:b/>
          <w:bCs/>
          <w:color w:val="000000" w:themeColor="text1"/>
          <w:sz w:val="22"/>
          <w:szCs w:val="22"/>
          <w:lang w:eastAsia="ja-JP"/>
        </w:rPr>
        <w:t>Introduction</w:t>
      </w:r>
    </w:p>
    <w:p w14:paraId="3224F9B0" w14:textId="0DCC9A76" w:rsidR="00E049CB" w:rsidRPr="005E6B7C" w:rsidRDefault="00E049CB"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Yellow Camellias, belonging to the genus </w:t>
      </w:r>
      <w:r w:rsidRPr="005E6B7C">
        <w:rPr>
          <w:rFonts w:asciiTheme="majorHAnsi" w:eastAsia="Times New Roman" w:hAnsiTheme="majorHAnsi" w:cstheme="majorHAnsi"/>
          <w:i/>
          <w:iCs/>
          <w:color w:val="000000" w:themeColor="text1"/>
          <w:sz w:val="22"/>
          <w:szCs w:val="22"/>
        </w:rPr>
        <w:t>Camellia</w:t>
      </w:r>
      <w:r w:rsidRPr="005E6B7C">
        <w:rPr>
          <w:rFonts w:asciiTheme="majorHAnsi" w:eastAsia="Times New Roman" w:hAnsiTheme="majorHAnsi" w:cstheme="majorHAnsi"/>
          <w:color w:val="000000" w:themeColor="text1"/>
          <w:sz w:val="22"/>
          <w:szCs w:val="22"/>
        </w:rPr>
        <w:t xml:space="preserve"> L. (family Theaceae), represent a distinct group of plants characterized by their unique yellow flowers. Unlike the traditional green tea </w:t>
      </w:r>
      <w:r w:rsidRPr="005E6B7C">
        <w:rPr>
          <w:rFonts w:asciiTheme="majorHAnsi" w:eastAsia="Times New Roman" w:hAnsiTheme="majorHAnsi" w:cstheme="majorHAnsi"/>
          <w:i/>
          <w:iCs/>
          <w:color w:val="000000" w:themeColor="text1"/>
          <w:sz w:val="22"/>
          <w:szCs w:val="22"/>
        </w:rPr>
        <w:t>Camellia sinensis</w:t>
      </w:r>
      <w:r w:rsidRPr="005E6B7C">
        <w:rPr>
          <w:rFonts w:asciiTheme="majorHAnsi" w:eastAsia="Times New Roman" w:hAnsiTheme="majorHAnsi" w:cstheme="majorHAnsi"/>
          <w:color w:val="000000" w:themeColor="text1"/>
          <w:sz w:val="22"/>
          <w:szCs w:val="22"/>
        </w:rPr>
        <w:t xml:space="preserve">, yellow Camellias have remained </w:t>
      </w:r>
      <w:r w:rsidR="002D1E5A" w:rsidRPr="005E6B7C">
        <w:rPr>
          <w:rFonts w:asciiTheme="majorHAnsi" w:eastAsia="Times New Roman" w:hAnsiTheme="majorHAnsi" w:cstheme="majorHAnsi"/>
          <w:color w:val="000000" w:themeColor="text1"/>
          <w:sz w:val="22"/>
          <w:szCs w:val="22"/>
        </w:rPr>
        <w:t>poorly studied</w:t>
      </w:r>
      <w:r w:rsidR="002D1E5A"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rPr>
        <w:t xml:space="preserve">until recent decades, when their exceptional ornamental value and potential medicinal properties began attracting scientific attention [1]. The genus </w:t>
      </w:r>
      <w:r w:rsidRPr="005E6B7C">
        <w:rPr>
          <w:rFonts w:asciiTheme="majorHAnsi" w:eastAsia="Times New Roman" w:hAnsiTheme="majorHAnsi" w:cstheme="majorHAnsi"/>
          <w:i/>
          <w:iCs/>
          <w:color w:val="000000" w:themeColor="text1"/>
          <w:sz w:val="22"/>
          <w:szCs w:val="22"/>
        </w:rPr>
        <w:t>Camellia</w:t>
      </w:r>
      <w:r w:rsidRPr="005E6B7C">
        <w:rPr>
          <w:rFonts w:asciiTheme="majorHAnsi" w:eastAsia="Times New Roman" w:hAnsiTheme="majorHAnsi" w:cstheme="majorHAnsi"/>
          <w:color w:val="000000" w:themeColor="text1"/>
          <w:sz w:val="22"/>
          <w:szCs w:val="22"/>
        </w:rPr>
        <w:t xml:space="preserve"> comprises approximately 300 accepted species, with about 97 species distributed in China and 95 species and 2 varieties recorded in Vietnam. Among these, around 69 yellow </w:t>
      </w:r>
      <w:r w:rsidRPr="005E6B7C">
        <w:rPr>
          <w:rFonts w:asciiTheme="majorHAnsi" w:eastAsia="Times New Roman" w:hAnsiTheme="majorHAnsi" w:cstheme="majorHAnsi"/>
          <w:i/>
          <w:iCs/>
          <w:color w:val="000000" w:themeColor="text1"/>
          <w:sz w:val="22"/>
          <w:szCs w:val="22"/>
        </w:rPr>
        <w:t>Camellia</w:t>
      </w:r>
      <w:r w:rsidRPr="005E6B7C">
        <w:rPr>
          <w:rFonts w:asciiTheme="majorHAnsi" w:eastAsia="Times New Roman" w:hAnsiTheme="majorHAnsi" w:cstheme="majorHAnsi"/>
          <w:color w:val="000000" w:themeColor="text1"/>
          <w:sz w:val="22"/>
          <w:szCs w:val="22"/>
        </w:rPr>
        <w:t xml:space="preserve"> species have been described, of which over 50 species are found in Vietnam [2]. In recent years, phytochemical studies have revealed that yellow Camellias contain diverse classes of bioactive compounds comparable to those found in </w:t>
      </w:r>
      <w:r w:rsidRPr="005E6B7C">
        <w:rPr>
          <w:rFonts w:asciiTheme="majorHAnsi" w:eastAsia="Times New Roman" w:hAnsiTheme="majorHAnsi" w:cstheme="majorHAnsi"/>
          <w:i/>
          <w:iCs/>
          <w:color w:val="000000" w:themeColor="text1"/>
          <w:sz w:val="22"/>
          <w:szCs w:val="22"/>
        </w:rPr>
        <w:t>C. sinensis</w:t>
      </w:r>
      <w:r w:rsidRPr="005E6B7C">
        <w:rPr>
          <w:rFonts w:asciiTheme="majorHAnsi" w:eastAsia="Times New Roman" w:hAnsiTheme="majorHAnsi" w:cstheme="majorHAnsi"/>
          <w:color w:val="000000" w:themeColor="text1"/>
          <w:sz w:val="22"/>
          <w:szCs w:val="22"/>
        </w:rPr>
        <w:t xml:space="preserve">, including flavonoids, phenolic compounds, saponins, triterpenoids, phytosterols, essential oils, polysaccharides, and amino acids [1]. However, chemical investigations have focused primarily on a few species like </w:t>
      </w:r>
      <w:r w:rsidRPr="005E6B7C">
        <w:rPr>
          <w:rFonts w:asciiTheme="majorHAnsi" w:eastAsia="Times New Roman" w:hAnsiTheme="majorHAnsi" w:cstheme="majorHAnsi"/>
          <w:i/>
          <w:iCs/>
          <w:color w:val="000000" w:themeColor="text1"/>
          <w:sz w:val="22"/>
          <w:szCs w:val="22"/>
        </w:rPr>
        <w:t xml:space="preserve">C. nitidissima, </w:t>
      </w:r>
      <w:r w:rsidRPr="005E6B7C">
        <w:rPr>
          <w:rFonts w:asciiTheme="majorHAnsi" w:eastAsia="Times New Roman" w:hAnsiTheme="majorHAnsi" w:cstheme="majorHAnsi"/>
          <w:i/>
          <w:iCs/>
          <w:color w:val="000000" w:themeColor="text1"/>
          <w:sz w:val="22"/>
          <w:szCs w:val="22"/>
          <w:lang w:val="vi-VN"/>
        </w:rPr>
        <w:t>C. chrysantha</w:t>
      </w:r>
      <w:r w:rsidRPr="005E6B7C">
        <w:rPr>
          <w:rFonts w:asciiTheme="majorHAnsi" w:eastAsia="Times New Roman" w:hAnsiTheme="majorHAnsi" w:cstheme="majorHAnsi"/>
          <w:iCs/>
          <w:color w:val="000000" w:themeColor="text1"/>
          <w:sz w:val="22"/>
          <w:szCs w:val="22"/>
        </w:rPr>
        <w:t>,</w:t>
      </w:r>
      <w:r w:rsidRPr="005E6B7C">
        <w:rPr>
          <w:rFonts w:asciiTheme="majorHAnsi" w:eastAsia="Times New Roman" w:hAnsiTheme="majorHAnsi" w:cstheme="majorHAnsi"/>
          <w:i/>
          <w:iCs/>
          <w:color w:val="000000" w:themeColor="text1"/>
          <w:sz w:val="22"/>
          <w:szCs w:val="22"/>
          <w:lang w:val="vi-VN"/>
        </w:rPr>
        <w:t xml:space="preserve"> </w:t>
      </w:r>
      <w:r w:rsidRPr="005E6B7C">
        <w:rPr>
          <w:rFonts w:asciiTheme="majorHAnsi" w:eastAsia="Times New Roman" w:hAnsiTheme="majorHAnsi" w:cstheme="majorHAnsi"/>
          <w:iCs/>
          <w:color w:val="000000" w:themeColor="text1"/>
          <w:sz w:val="22"/>
          <w:szCs w:val="22"/>
        </w:rPr>
        <w:t>and</w:t>
      </w:r>
      <w:r w:rsidRPr="005E6B7C">
        <w:rPr>
          <w:rFonts w:asciiTheme="majorHAnsi" w:eastAsia="Times New Roman" w:hAnsiTheme="majorHAnsi" w:cstheme="majorHAnsi"/>
          <w:i/>
          <w:iCs/>
          <w:color w:val="000000" w:themeColor="text1"/>
          <w:sz w:val="22"/>
          <w:szCs w:val="22"/>
        </w:rPr>
        <w:t xml:space="preserve"> </w:t>
      </w:r>
      <w:r w:rsidRPr="005E6B7C">
        <w:rPr>
          <w:rFonts w:asciiTheme="majorHAnsi" w:eastAsia="Times New Roman" w:hAnsiTheme="majorHAnsi" w:cstheme="majorHAnsi"/>
          <w:i/>
          <w:iCs/>
          <w:color w:val="000000" w:themeColor="text1"/>
          <w:sz w:val="22"/>
          <w:szCs w:val="22"/>
          <w:lang w:val="vi-VN"/>
        </w:rPr>
        <w:t>C. bugiamapensis</w:t>
      </w:r>
      <w:r w:rsidRPr="005E6B7C">
        <w:rPr>
          <w:rFonts w:asciiTheme="majorHAnsi" w:eastAsia="Times New Roman" w:hAnsiTheme="majorHAnsi" w:cstheme="majorHAnsi"/>
          <w:color w:val="000000" w:themeColor="text1"/>
          <w:sz w:val="22"/>
          <w:szCs w:val="22"/>
        </w:rPr>
        <w:t xml:space="preserve">, with </w:t>
      </w:r>
      <w:r w:rsidRPr="005E6B7C">
        <w:rPr>
          <w:rFonts w:asciiTheme="majorHAnsi" w:eastAsia="Times New Roman" w:hAnsiTheme="majorHAnsi" w:cstheme="majorHAnsi"/>
          <w:i/>
          <w:iCs/>
          <w:color w:val="000000" w:themeColor="text1"/>
          <w:sz w:val="22"/>
          <w:szCs w:val="22"/>
        </w:rPr>
        <w:t>C. nitidissima</w:t>
      </w:r>
      <w:r w:rsidRPr="005E6B7C">
        <w:rPr>
          <w:rFonts w:asciiTheme="majorHAnsi" w:eastAsia="Times New Roman" w:hAnsiTheme="majorHAnsi" w:cstheme="majorHAnsi"/>
          <w:color w:val="000000" w:themeColor="text1"/>
          <w:sz w:val="22"/>
          <w:szCs w:val="22"/>
        </w:rPr>
        <w:t xml:space="preserve"> receiving the most intensive research attention [1],[3]. These studies have demonstrated that extracts and isolated compounds from yellow Camellias possess a wide </w:t>
      </w:r>
      <w:r w:rsidRPr="005E6B7C">
        <w:rPr>
          <w:rFonts w:asciiTheme="majorHAnsi" w:eastAsia="Times New Roman" w:hAnsiTheme="majorHAnsi" w:cstheme="majorHAnsi"/>
          <w:color w:val="000000" w:themeColor="text1"/>
          <w:sz w:val="22"/>
          <w:szCs w:val="22"/>
        </w:rPr>
        <w:t xml:space="preserve">spectrum of biological activities, including antioxidant, anticancer, hypolipidemic, hypoglycemic, hepatoprotective, neuroprotective, and antidepressant effects [3]. </w:t>
      </w:r>
    </w:p>
    <w:p w14:paraId="4F8B90CE"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Camellia flava</w:t>
      </w:r>
      <w:r w:rsidRPr="005E6B7C">
        <w:rPr>
          <w:rFonts w:asciiTheme="majorHAnsi" w:eastAsia="Yu Mincho" w:hAnsiTheme="majorHAnsi" w:cstheme="majorHAnsi"/>
          <w:color w:val="000000" w:themeColor="text1"/>
          <w:sz w:val="22"/>
          <w:szCs w:val="22"/>
          <w:lang w:eastAsia="ja-JP"/>
        </w:rPr>
        <w:t xml:space="preserve"> (Pitard) Sealy (synonym: </w:t>
      </w:r>
      <w:r w:rsidRPr="005E6B7C">
        <w:rPr>
          <w:rFonts w:asciiTheme="majorHAnsi" w:eastAsia="Yu Mincho" w:hAnsiTheme="majorHAnsi" w:cstheme="majorHAnsi"/>
          <w:i/>
          <w:iCs/>
          <w:color w:val="000000" w:themeColor="text1"/>
          <w:sz w:val="22"/>
          <w:szCs w:val="22"/>
          <w:lang w:eastAsia="ja-JP"/>
        </w:rPr>
        <w:t>Camellia cucphuongensis</w:t>
      </w:r>
      <w:r w:rsidRPr="005E6B7C">
        <w:rPr>
          <w:rFonts w:asciiTheme="majorHAnsi" w:eastAsia="Yu Mincho" w:hAnsiTheme="majorHAnsi" w:cstheme="majorHAnsi"/>
          <w:color w:val="000000" w:themeColor="text1"/>
          <w:sz w:val="22"/>
          <w:szCs w:val="22"/>
          <w:lang w:eastAsia="ja-JP"/>
        </w:rPr>
        <w:t xml:space="preserve"> Ninh &amp; Rosmann), one of the yellow </w:t>
      </w:r>
      <w:r w:rsidRPr="005E6B7C">
        <w:rPr>
          <w:rFonts w:asciiTheme="majorHAnsi" w:eastAsia="Yu Mincho" w:hAnsiTheme="majorHAnsi" w:cstheme="majorHAnsi"/>
          <w:i/>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species, is mainly distributed in Ninh Binh and Phu Tho provinces. However, research on this species remains limited. Nguyen et al. have studied the anti-diabetic and hypolipidemic effects of </w:t>
      </w:r>
      <w:r w:rsidRPr="005E6B7C">
        <w:rPr>
          <w:rFonts w:asciiTheme="majorHAnsi" w:eastAsia="Yu Mincho" w:hAnsiTheme="majorHAnsi" w:cstheme="majorHAnsi"/>
          <w:i/>
          <w:iCs/>
          <w:color w:val="000000" w:themeColor="text1"/>
          <w:sz w:val="22"/>
          <w:szCs w:val="22"/>
          <w:lang w:eastAsia="ja-JP"/>
        </w:rPr>
        <w:t>C. flava</w:t>
      </w:r>
      <w:r w:rsidRPr="005E6B7C">
        <w:rPr>
          <w:rFonts w:asciiTheme="majorHAnsi" w:eastAsia="Yu Mincho" w:hAnsiTheme="majorHAnsi" w:cstheme="majorHAnsi"/>
          <w:color w:val="000000" w:themeColor="text1"/>
          <w:sz w:val="22"/>
          <w:szCs w:val="22"/>
          <w:lang w:eastAsia="ja-JP"/>
        </w:rPr>
        <w:t xml:space="preserve"> flower and leaves extracts [4],[5],[6],[7]. The high concentration of polyphenols, total flavonoids, and antioxidant capacity of </w:t>
      </w:r>
      <w:r w:rsidRPr="005E6B7C">
        <w:rPr>
          <w:rFonts w:asciiTheme="majorHAnsi" w:eastAsia="Yu Mincho" w:hAnsiTheme="majorHAnsi" w:cstheme="majorHAnsi"/>
          <w:i/>
          <w:iCs/>
          <w:color w:val="000000" w:themeColor="text1"/>
          <w:sz w:val="22"/>
          <w:szCs w:val="22"/>
          <w:lang w:eastAsia="ja-JP"/>
        </w:rPr>
        <w:t>C. flava</w:t>
      </w:r>
      <w:r w:rsidRPr="005E6B7C">
        <w:rPr>
          <w:rFonts w:asciiTheme="majorHAnsi" w:eastAsia="Yu Mincho" w:hAnsiTheme="majorHAnsi" w:cstheme="majorHAnsi"/>
          <w:color w:val="000000" w:themeColor="text1"/>
          <w:sz w:val="22"/>
          <w:szCs w:val="22"/>
          <w:lang w:eastAsia="ja-JP"/>
        </w:rPr>
        <w:t xml:space="preserve"> leaves were also reported by this group [8]. However, only one isolation study of </w:t>
      </w:r>
      <w:r w:rsidRPr="005E6B7C">
        <w:rPr>
          <w:rFonts w:asciiTheme="majorHAnsi" w:eastAsia="Yu Mincho" w:hAnsiTheme="majorHAnsi" w:cstheme="majorHAnsi"/>
          <w:i/>
          <w:iCs/>
          <w:color w:val="000000" w:themeColor="text1"/>
          <w:sz w:val="22"/>
          <w:szCs w:val="22"/>
          <w:lang w:eastAsia="ja-JP"/>
        </w:rPr>
        <w:t>C. flava</w:t>
      </w:r>
      <w:r w:rsidRPr="005E6B7C">
        <w:rPr>
          <w:rFonts w:asciiTheme="majorHAnsi" w:eastAsia="Yu Mincho" w:hAnsiTheme="majorHAnsi" w:cstheme="majorHAnsi"/>
          <w:color w:val="000000" w:themeColor="text1"/>
          <w:sz w:val="22"/>
          <w:szCs w:val="22"/>
          <w:lang w:eastAsia="ja-JP"/>
        </w:rPr>
        <w:t xml:space="preserve"> leaves has been reported by Do et al., which identified phenolic compounds including </w:t>
      </w:r>
      <w:r w:rsidRPr="005E6B7C">
        <w:rPr>
          <w:rFonts w:asciiTheme="majorHAnsi" w:eastAsia="Yu Mincho" w:hAnsiTheme="majorHAnsi" w:cstheme="majorHAnsi"/>
          <w:color w:val="000000" w:themeColor="text1"/>
          <w:sz w:val="22"/>
          <w:szCs w:val="22"/>
          <w:lang w:val="vi-VN" w:eastAsia="ja-JP"/>
        </w:rPr>
        <w:t>kaempferol, gallic</w:t>
      </w:r>
      <w:r w:rsidRPr="005E6B7C">
        <w:rPr>
          <w:rFonts w:asciiTheme="majorHAnsi" w:eastAsia="Yu Mincho" w:hAnsiTheme="majorHAnsi" w:cstheme="majorHAnsi"/>
          <w:color w:val="000000" w:themeColor="text1"/>
          <w:sz w:val="22"/>
          <w:szCs w:val="22"/>
          <w:lang w:eastAsia="ja-JP"/>
        </w:rPr>
        <w:t xml:space="preserve"> acid</w:t>
      </w:r>
      <w:r w:rsidRPr="005E6B7C">
        <w:rPr>
          <w:rFonts w:asciiTheme="majorHAnsi" w:eastAsia="Yu Mincho" w:hAnsiTheme="majorHAnsi" w:cstheme="majorHAnsi"/>
          <w:color w:val="000000" w:themeColor="text1"/>
          <w:sz w:val="22"/>
          <w:szCs w:val="22"/>
          <w:lang w:val="vi-VN" w:eastAsia="ja-JP"/>
        </w:rPr>
        <w:t xml:space="preserve">, astragalin, </w:t>
      </w:r>
      <w:r w:rsidRPr="005E6B7C">
        <w:rPr>
          <w:rFonts w:asciiTheme="majorHAnsi" w:eastAsia="Yu Mincho" w:hAnsiTheme="majorHAnsi" w:cstheme="majorHAnsi"/>
          <w:color w:val="000000" w:themeColor="text1"/>
          <w:sz w:val="22"/>
          <w:szCs w:val="22"/>
          <w:lang w:eastAsia="ja-JP"/>
        </w:rPr>
        <w:t>and</w:t>
      </w:r>
      <w:r w:rsidRPr="005E6B7C">
        <w:rPr>
          <w:rFonts w:asciiTheme="majorHAnsi" w:eastAsia="Yu Mincho" w:hAnsiTheme="majorHAnsi" w:cstheme="majorHAnsi"/>
          <w:color w:val="000000" w:themeColor="text1"/>
          <w:sz w:val="22"/>
          <w:szCs w:val="22"/>
          <w:lang w:val="vi-VN" w:eastAsia="ja-JP"/>
        </w:rPr>
        <w:t xml:space="preserve"> vanillin</w:t>
      </w:r>
      <w:r w:rsidRPr="005E6B7C">
        <w:rPr>
          <w:rFonts w:asciiTheme="majorHAnsi" w:eastAsia="Yu Mincho" w:hAnsiTheme="majorHAnsi" w:cstheme="majorHAnsi"/>
          <w:color w:val="000000" w:themeColor="text1"/>
          <w:sz w:val="22"/>
          <w:szCs w:val="22"/>
          <w:lang w:eastAsia="ja-JP"/>
        </w:rPr>
        <w:t xml:space="preserve"> [9]. As part of our efforts to discover bioactive compounds from medicinal plants, in this current study, we aimed to isolate and structurally elucidate chemical constituents from the ethyl acetate extract of unexplored </w:t>
      </w:r>
      <w:r w:rsidRPr="005E6B7C">
        <w:rPr>
          <w:rFonts w:asciiTheme="majorHAnsi" w:eastAsia="Yu Mincho" w:hAnsiTheme="majorHAnsi" w:cstheme="majorHAnsi"/>
          <w:i/>
          <w:color w:val="000000" w:themeColor="text1"/>
          <w:sz w:val="22"/>
          <w:szCs w:val="22"/>
          <w:lang w:eastAsia="ja-JP"/>
        </w:rPr>
        <w:t>C. flava</w:t>
      </w:r>
      <w:r w:rsidRPr="005E6B7C">
        <w:rPr>
          <w:rFonts w:asciiTheme="majorHAnsi" w:eastAsia="Yu Mincho" w:hAnsiTheme="majorHAnsi" w:cstheme="majorHAnsi"/>
          <w:color w:val="000000" w:themeColor="text1"/>
          <w:sz w:val="22"/>
          <w:szCs w:val="22"/>
          <w:lang w:eastAsia="ja-JP"/>
        </w:rPr>
        <w:t xml:space="preserve"> flowers collected in Phu Tho province.</w:t>
      </w:r>
    </w:p>
    <w:p w14:paraId="383F0DB2" w14:textId="2D50C449"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 xml:space="preserve">2. </w:t>
      </w:r>
      <w:r w:rsidRPr="005E6B7C">
        <w:rPr>
          <w:rFonts w:asciiTheme="majorHAnsi" w:eastAsia="Yu Mincho" w:hAnsiTheme="majorHAnsi" w:cstheme="majorHAnsi"/>
          <w:b/>
          <w:bCs/>
          <w:color w:val="000000" w:themeColor="text1"/>
          <w:sz w:val="22"/>
          <w:szCs w:val="22"/>
          <w:lang w:eastAsia="ja-JP"/>
        </w:rPr>
        <w:t xml:space="preserve">Materials and </w:t>
      </w:r>
      <w:r w:rsidR="00495674" w:rsidRPr="005E6B7C">
        <w:rPr>
          <w:rFonts w:asciiTheme="majorHAnsi" w:eastAsia="Yu Mincho" w:hAnsiTheme="majorHAnsi" w:cstheme="majorHAnsi"/>
          <w:b/>
          <w:bCs/>
          <w:color w:val="000000" w:themeColor="text1"/>
          <w:sz w:val="22"/>
          <w:szCs w:val="22"/>
          <w:lang w:eastAsia="ja-JP"/>
        </w:rPr>
        <w:t>M</w:t>
      </w:r>
      <w:r w:rsidRPr="005E6B7C">
        <w:rPr>
          <w:rFonts w:asciiTheme="majorHAnsi" w:eastAsia="Yu Mincho" w:hAnsiTheme="majorHAnsi" w:cstheme="majorHAnsi"/>
          <w:b/>
          <w:bCs/>
          <w:color w:val="000000" w:themeColor="text1"/>
          <w:sz w:val="22"/>
          <w:szCs w:val="22"/>
          <w:lang w:eastAsia="ja-JP"/>
        </w:rPr>
        <w:t>ethods</w:t>
      </w:r>
    </w:p>
    <w:p w14:paraId="65FD3DDA"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2.1. Materials</w:t>
      </w:r>
    </w:p>
    <w:p w14:paraId="3F3ACC61" w14:textId="66D11833"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Flowers of </w:t>
      </w:r>
      <w:r w:rsidRPr="005E6B7C">
        <w:rPr>
          <w:rFonts w:asciiTheme="majorHAnsi" w:eastAsia="Yu Mincho" w:hAnsiTheme="majorHAnsi" w:cstheme="majorHAnsi"/>
          <w:i/>
          <w:iCs/>
          <w:color w:val="000000" w:themeColor="text1"/>
          <w:sz w:val="22"/>
          <w:szCs w:val="22"/>
          <w:lang w:eastAsia="ja-JP"/>
        </w:rPr>
        <w:t>Camellia flava</w:t>
      </w:r>
      <w:r w:rsidRPr="005E6B7C">
        <w:rPr>
          <w:rFonts w:asciiTheme="majorHAnsi" w:eastAsia="Yu Mincho" w:hAnsiTheme="majorHAnsi" w:cstheme="majorHAnsi"/>
          <w:color w:val="000000" w:themeColor="text1"/>
          <w:sz w:val="22"/>
          <w:szCs w:val="22"/>
          <w:lang w:eastAsia="ja-JP"/>
        </w:rPr>
        <w:t xml:space="preserve"> (Pitard) Sealy (Theaceae) were provided by Biopharm Hoa Binh Joint Stock Company in </w:t>
      </w:r>
      <w:r w:rsidR="00495674" w:rsidRPr="005E6B7C">
        <w:rPr>
          <w:rFonts w:asciiTheme="majorHAnsi" w:eastAsia="Yu Mincho" w:hAnsiTheme="majorHAnsi" w:cstheme="majorHAnsi"/>
          <w:color w:val="000000" w:themeColor="text1"/>
          <w:sz w:val="22"/>
          <w:szCs w:val="22"/>
          <w:lang w:eastAsia="ja-JP"/>
        </w:rPr>
        <w:t>Hoa Binh ward</w:t>
      </w:r>
      <w:r w:rsidRPr="005E6B7C">
        <w:rPr>
          <w:rFonts w:asciiTheme="majorHAnsi" w:eastAsia="Yu Mincho" w:hAnsiTheme="majorHAnsi" w:cstheme="majorHAnsi"/>
          <w:color w:val="000000" w:themeColor="text1"/>
          <w:sz w:val="22"/>
          <w:szCs w:val="22"/>
          <w:lang w:eastAsia="ja-JP"/>
        </w:rPr>
        <w:t xml:space="preserve">, Phu Tho </w:t>
      </w:r>
      <w:r w:rsidRPr="005E6B7C">
        <w:rPr>
          <w:rFonts w:asciiTheme="majorHAnsi" w:eastAsia="Yu Mincho" w:hAnsiTheme="majorHAnsi" w:cstheme="majorHAnsi"/>
          <w:color w:val="000000" w:themeColor="text1"/>
          <w:sz w:val="22"/>
          <w:szCs w:val="22"/>
          <w:lang w:eastAsia="ja-JP"/>
        </w:rPr>
        <w:lastRenderedPageBreak/>
        <w:t>province, in October 2024. The plant material was identified by Prof. Tran The Bach, Institute of Biology, Vietnam Academy of Science and Technology (VAST). The voucher specimen (</w:t>
      </w:r>
      <w:r w:rsidRPr="005E6B7C">
        <w:rPr>
          <w:rFonts w:asciiTheme="majorHAnsi" w:eastAsia="Yu Mincho" w:hAnsiTheme="majorHAnsi" w:cstheme="majorHAnsi"/>
          <w:bCs/>
          <w:color w:val="000000" w:themeColor="text1"/>
          <w:sz w:val="22"/>
          <w:szCs w:val="22"/>
          <w:lang w:val="vi-VN" w:eastAsia="ja-JP"/>
        </w:rPr>
        <w:t>Cong21102024</w:t>
      </w:r>
      <w:r w:rsidRPr="005E6B7C">
        <w:rPr>
          <w:rFonts w:asciiTheme="majorHAnsi" w:eastAsia="Yu Mincho" w:hAnsiTheme="majorHAnsi" w:cstheme="majorHAnsi"/>
          <w:color w:val="000000" w:themeColor="text1"/>
          <w:sz w:val="22"/>
          <w:szCs w:val="22"/>
          <w:lang w:eastAsia="ja-JP"/>
        </w:rPr>
        <w:t>) was deposited at the Institute of Biology (VAST).</w:t>
      </w:r>
    </w:p>
    <w:p w14:paraId="4DBF8C90"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2.2. </w:t>
      </w:r>
      <w:r w:rsidRPr="005E6B7C">
        <w:rPr>
          <w:rFonts w:asciiTheme="majorHAnsi" w:eastAsia="Yu Mincho" w:hAnsiTheme="majorHAnsi" w:cstheme="majorHAnsi"/>
          <w:i/>
          <w:iCs/>
          <w:color w:val="000000" w:themeColor="text1"/>
          <w:sz w:val="22"/>
          <w:szCs w:val="22"/>
          <w:lang w:eastAsia="ja-JP"/>
        </w:rPr>
        <w:t>General experimental procedures</w:t>
      </w:r>
    </w:p>
    <w:p w14:paraId="48805CA9" w14:textId="4C1C9BFF"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Solvents and chemicals used for extraction and isolation were of analytical grade. The stationary phases for column chromatography included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(240–430 mesh, Merck), reversed-phase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(RP-18 YMC), and Sephadex LH-20 (Sigma). Thin-layer chromatography was performed on pre</w:t>
      </w:r>
      <w:r w:rsidR="009D0AA6"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coated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plates (Merck 60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Visualization was carried out under a UV lamp at 254 nm or by spraying with 10% sulfuric acid reagent followed by heating. Nuclear magnetic resonance (NMR) spectra were recorded on Bruker 600 MHz and Bruker AM500 FT-NMR spectrometers. Mass spectra (ESI-MS) were measured using an Agilent 1260 LC/MS system.</w:t>
      </w:r>
    </w:p>
    <w:p w14:paraId="7F6F8BE5"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2.3. </w:t>
      </w:r>
      <w:r w:rsidRPr="005E6B7C">
        <w:rPr>
          <w:rFonts w:asciiTheme="majorHAnsi" w:eastAsia="Yu Mincho" w:hAnsiTheme="majorHAnsi" w:cstheme="majorHAnsi"/>
          <w:i/>
          <w:iCs/>
          <w:color w:val="000000" w:themeColor="text1"/>
          <w:sz w:val="22"/>
          <w:szCs w:val="22"/>
          <w:lang w:eastAsia="ja-JP"/>
        </w:rPr>
        <w:t>Extraction and isolation</w:t>
      </w:r>
    </w:p>
    <w:p w14:paraId="7556BB7C" w14:textId="0884C0B5" w:rsidR="00E049CB" w:rsidRPr="005E6B7C" w:rsidRDefault="00E049CB"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The dried flower powder (2.6 kg) was macerated with 70% EtOH at room temperature for 24 hours (13 L </w:t>
      </w:r>
      <w:r w:rsidR="00463456" w:rsidRPr="005E6B7C">
        <w:rPr>
          <w:rFonts w:asciiTheme="majorHAnsi" w:eastAsia="Yu Mincho" w:hAnsiTheme="majorHAnsi" w:cstheme="majorHAnsi"/>
          <w:color w:val="000000" w:themeColor="text1"/>
          <w:sz w:val="22"/>
          <w:szCs w:val="22"/>
          <w:lang w:eastAsia="ja-JP"/>
        </w:rPr>
        <w:sym w:font="Symbol" w:char="F0B4"/>
      </w:r>
      <w:r w:rsidR="00463456"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Times New Roman" w:hAnsiTheme="majorHAnsi" w:cstheme="majorHAnsi"/>
          <w:color w:val="000000" w:themeColor="text1"/>
          <w:sz w:val="22"/>
          <w:szCs w:val="22"/>
        </w:rPr>
        <w:t xml:space="preserve">4 times). The combined EtOH extracts were concentrated under reduced pressure to afford an EtOH residue (1.167 kg). This residue was dissolved in 500 mL of distilled water and successively partitioned with </w:t>
      </w:r>
      <w:r w:rsidRPr="005E6B7C">
        <w:rPr>
          <w:rFonts w:asciiTheme="majorHAnsi" w:eastAsia="Times New Roman" w:hAnsiTheme="majorHAnsi" w:cstheme="majorHAnsi"/>
          <w:i/>
          <w:color w:val="000000" w:themeColor="text1"/>
          <w:sz w:val="22"/>
          <w:szCs w:val="22"/>
        </w:rPr>
        <w:t>n</w:t>
      </w:r>
      <w:r w:rsidRPr="005E6B7C">
        <w:rPr>
          <w:rFonts w:asciiTheme="majorHAnsi" w:eastAsia="Times New Roman" w:hAnsiTheme="majorHAnsi" w:cstheme="majorHAnsi"/>
          <w:color w:val="000000" w:themeColor="text1"/>
          <w:sz w:val="22"/>
          <w:szCs w:val="22"/>
        </w:rPr>
        <w:t>-hexane and ethyl acetate (EtOAc). Removal of the solvent from the EtOAc fraction yielded an EtOAc residue (98.5 g).</w:t>
      </w:r>
    </w:p>
    <w:p w14:paraId="30F8D92D" w14:textId="77777777" w:rsidR="003B14F8" w:rsidRPr="005E6B7C" w:rsidRDefault="003B14F8" w:rsidP="003B14F8">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The EtOAc residue was subjected to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column chromatography (CC), and eluted with a gradient of </w:t>
      </w:r>
      <w:r w:rsidRPr="005E6B7C">
        <w:rPr>
          <w:rFonts w:asciiTheme="majorHAnsi" w:eastAsia="Times New Roman" w:hAnsiTheme="majorHAnsi" w:cstheme="majorHAnsi"/>
          <w:i/>
          <w:color w:val="000000" w:themeColor="text1"/>
          <w:sz w:val="22"/>
          <w:szCs w:val="22"/>
        </w:rPr>
        <w:t>n</w:t>
      </w:r>
      <w:r w:rsidRPr="005E6B7C">
        <w:rPr>
          <w:rFonts w:asciiTheme="majorHAnsi" w:eastAsia="Times New Roman" w:hAnsiTheme="majorHAnsi" w:cstheme="majorHAnsi"/>
          <w:color w:val="000000" w:themeColor="text1"/>
          <w:sz w:val="22"/>
          <w:szCs w:val="22"/>
        </w:rPr>
        <w:t xml:space="preserve">-hexane–EtOAc (0–100%) to afford nine fractions E1–E9. Fraction E6 (269 mg) was separated by Sephadex LH-20 CC, eluted with MeOH, yielding 7 fractions (E6A–E6G). Fraction E6A (53 mg) was purified by reversed-phase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eluting with acetone–water (3:1, v/v) to obtain </w:t>
      </w:r>
      <w:r w:rsidRPr="005E6B7C">
        <w:rPr>
          <w:rFonts w:asciiTheme="majorHAnsi" w:eastAsia="Times New Roman" w:hAnsiTheme="majorHAnsi" w:cstheme="majorHAnsi"/>
          <w:b/>
          <w:color w:val="000000" w:themeColor="text1"/>
          <w:sz w:val="22"/>
          <w:szCs w:val="22"/>
        </w:rPr>
        <w:t>4</w:t>
      </w:r>
      <w:r w:rsidRPr="005E6B7C">
        <w:rPr>
          <w:rFonts w:asciiTheme="majorHAnsi" w:eastAsia="Times New Roman" w:hAnsiTheme="majorHAnsi" w:cstheme="majorHAnsi"/>
          <w:color w:val="000000" w:themeColor="text1"/>
          <w:sz w:val="22"/>
          <w:szCs w:val="22"/>
        </w:rPr>
        <w:t xml:space="preserve"> (5.5 mg). Fraction E6D (46 mg) was purified by reversed-phase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and eluted with acetone–water (2:1, v/v) to obtain </w:t>
      </w:r>
      <w:r w:rsidRPr="005E6B7C">
        <w:rPr>
          <w:rFonts w:asciiTheme="majorHAnsi" w:eastAsia="Times New Roman" w:hAnsiTheme="majorHAnsi" w:cstheme="majorHAnsi"/>
          <w:b/>
          <w:color w:val="000000" w:themeColor="text1"/>
          <w:sz w:val="22"/>
          <w:szCs w:val="22"/>
        </w:rPr>
        <w:t>5</w:t>
      </w:r>
      <w:r w:rsidRPr="005E6B7C">
        <w:rPr>
          <w:rFonts w:asciiTheme="majorHAnsi" w:eastAsia="Times New Roman" w:hAnsiTheme="majorHAnsi" w:cstheme="majorHAnsi"/>
          <w:color w:val="000000" w:themeColor="text1"/>
          <w:sz w:val="22"/>
          <w:szCs w:val="22"/>
        </w:rPr>
        <w:t xml:space="preserve"> (3.4 mg). Fraction E7 (1.45 g) was separated on a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column, eluting with </w:t>
      </w:r>
      <w:r w:rsidRPr="005E6B7C">
        <w:rPr>
          <w:rFonts w:asciiTheme="majorHAnsi" w:eastAsia="Times New Roman" w:hAnsiTheme="majorHAnsi" w:cstheme="majorHAnsi"/>
          <w:i/>
          <w:color w:val="000000" w:themeColor="text1"/>
          <w:sz w:val="22"/>
          <w:szCs w:val="22"/>
        </w:rPr>
        <w:t>n</w:t>
      </w:r>
      <w:r w:rsidRPr="005E6B7C">
        <w:rPr>
          <w:rFonts w:asciiTheme="majorHAnsi" w:eastAsia="Times New Roman" w:hAnsiTheme="majorHAnsi" w:cstheme="majorHAnsi"/>
          <w:color w:val="000000" w:themeColor="text1"/>
          <w:sz w:val="22"/>
          <w:szCs w:val="22"/>
        </w:rPr>
        <w:t xml:space="preserve">-hexane–acetone (8:2, v/v) to afford 10 fractions (E7A–E7K). Fraction E7D (53 mg) was purified by reversed-phase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eluting with acetone–water (2:1, v/v) to give </w:t>
      </w:r>
      <w:r w:rsidRPr="005E6B7C">
        <w:rPr>
          <w:rFonts w:asciiTheme="majorHAnsi" w:eastAsia="Times New Roman" w:hAnsiTheme="majorHAnsi" w:cstheme="majorHAnsi"/>
          <w:b/>
          <w:color w:val="000000" w:themeColor="text1"/>
          <w:sz w:val="22"/>
          <w:szCs w:val="22"/>
        </w:rPr>
        <w:t>7</w:t>
      </w:r>
      <w:r w:rsidRPr="005E6B7C">
        <w:rPr>
          <w:rFonts w:asciiTheme="majorHAnsi" w:eastAsia="Times New Roman" w:hAnsiTheme="majorHAnsi" w:cstheme="majorHAnsi"/>
          <w:color w:val="000000" w:themeColor="text1"/>
          <w:sz w:val="22"/>
          <w:szCs w:val="22"/>
        </w:rPr>
        <w:t xml:space="preserve"> (4.5 mg). Fraction E7K (112 mg) was chromatographed by reversed-phase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using acetone–water (2:1, </w:t>
      </w:r>
      <w:r w:rsidRPr="005E6B7C">
        <w:rPr>
          <w:rFonts w:asciiTheme="majorHAnsi" w:eastAsia="Times New Roman" w:hAnsiTheme="majorHAnsi" w:cstheme="majorHAnsi"/>
          <w:i/>
          <w:color w:val="000000" w:themeColor="text1"/>
          <w:sz w:val="22"/>
          <w:szCs w:val="22"/>
        </w:rPr>
        <w:t>v/v</w:t>
      </w:r>
      <w:r w:rsidRPr="005E6B7C">
        <w:rPr>
          <w:rFonts w:asciiTheme="majorHAnsi" w:eastAsia="Times New Roman" w:hAnsiTheme="majorHAnsi" w:cstheme="majorHAnsi"/>
          <w:color w:val="000000" w:themeColor="text1"/>
          <w:sz w:val="22"/>
          <w:szCs w:val="22"/>
        </w:rPr>
        <w:t xml:space="preserve">) as eluent to afford </w:t>
      </w:r>
      <w:r w:rsidRPr="005E6B7C">
        <w:rPr>
          <w:rFonts w:asciiTheme="majorHAnsi" w:eastAsia="Times New Roman" w:hAnsiTheme="majorHAnsi" w:cstheme="majorHAnsi"/>
          <w:b/>
          <w:color w:val="000000" w:themeColor="text1"/>
          <w:sz w:val="22"/>
          <w:szCs w:val="22"/>
        </w:rPr>
        <w:t>3</w:t>
      </w:r>
      <w:r w:rsidRPr="005E6B7C">
        <w:rPr>
          <w:rFonts w:asciiTheme="majorHAnsi" w:eastAsia="Times New Roman" w:hAnsiTheme="majorHAnsi" w:cstheme="majorHAnsi"/>
          <w:color w:val="000000" w:themeColor="text1"/>
          <w:sz w:val="22"/>
          <w:szCs w:val="22"/>
        </w:rPr>
        <w:t xml:space="preserve"> (3.4 mg). Fraction E7F (36 mg) was separated by reversed-phase </w:t>
      </w:r>
      <w:r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eluting with acetone–water (2:1, v/v) to yield </w:t>
      </w:r>
      <w:r w:rsidRPr="005E6B7C">
        <w:rPr>
          <w:rFonts w:asciiTheme="majorHAnsi" w:eastAsia="Times New Roman" w:hAnsiTheme="majorHAnsi" w:cstheme="majorHAnsi"/>
          <w:b/>
          <w:color w:val="000000" w:themeColor="text1"/>
          <w:sz w:val="22"/>
          <w:szCs w:val="22"/>
        </w:rPr>
        <w:t>6</w:t>
      </w:r>
      <w:r w:rsidRPr="005E6B7C">
        <w:rPr>
          <w:rFonts w:asciiTheme="majorHAnsi" w:eastAsia="Times New Roman" w:hAnsiTheme="majorHAnsi" w:cstheme="majorHAnsi"/>
          <w:color w:val="000000" w:themeColor="text1"/>
          <w:sz w:val="22"/>
          <w:szCs w:val="22"/>
        </w:rPr>
        <w:t xml:space="preserve"> (2.4 mg).</w:t>
      </w:r>
    </w:p>
    <w:p w14:paraId="55B06ACA" w14:textId="77777777"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Fraction E8 (1.69 g) was separated on a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eluting with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-hexane–acetone (8:2, v/v) to afford 9 fractions (E8A–E8I).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(5.6 mg) was obtained by recrystallization in MeOH from fraction E8A. Fraction E8G (245 mg) was purified by reversed-phase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eluting with acetone–water (2:1, v/v) to obtain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(4.5 mg). Fraction E8I (123 mg) was purified by reversed-phase </w:t>
      </w:r>
      <w:r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and eluted with MeOH–water (2:1, </w:t>
      </w:r>
      <w:r w:rsidRPr="005E6B7C">
        <w:rPr>
          <w:rFonts w:asciiTheme="majorHAnsi" w:eastAsia="Yu Mincho" w:hAnsiTheme="majorHAnsi" w:cstheme="majorHAnsi"/>
          <w:i/>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to give </w:t>
      </w:r>
      <w:r w:rsidRPr="005E6B7C">
        <w:rPr>
          <w:rFonts w:asciiTheme="majorHAnsi" w:eastAsia="Yu Mincho" w:hAnsiTheme="majorHAnsi" w:cstheme="majorHAnsi"/>
          <w:b/>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t xml:space="preserve"> (6.5 mg).</w:t>
      </w:r>
    </w:p>
    <w:p w14:paraId="6BFDA03F" w14:textId="6DDA3A1E"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3,3',4'-Tri-</w:t>
      </w:r>
      <w:r w:rsidRPr="005E6B7C">
        <w:rPr>
          <w:rFonts w:asciiTheme="majorHAnsi" w:eastAsia="Yu Mincho" w:hAnsiTheme="majorHAnsi" w:cstheme="majorHAnsi"/>
          <w:b/>
          <w:i/>
          <w:iCs/>
          <w:color w:val="000000" w:themeColor="text1"/>
          <w:sz w:val="22"/>
          <w:szCs w:val="22"/>
          <w:lang w:eastAsia="ja-JP"/>
        </w:rPr>
        <w:t>O</w:t>
      </w:r>
      <w:r w:rsidRPr="005E6B7C">
        <w:rPr>
          <w:rFonts w:asciiTheme="majorHAnsi" w:eastAsia="Yu Mincho" w:hAnsiTheme="majorHAnsi" w:cstheme="majorHAnsi"/>
          <w:b/>
          <w:i/>
          <w:color w:val="000000" w:themeColor="text1"/>
          <w:sz w:val="22"/>
          <w:szCs w:val="22"/>
          <w:lang w:eastAsia="ja-JP"/>
        </w:rPr>
        <w:t>-methyl ellagic acid (1):</w:t>
      </w:r>
      <w:r w:rsidRPr="005E6B7C">
        <w:rPr>
          <w:rFonts w:asciiTheme="majorHAnsi" w:eastAsia="Yu Mincho" w:hAnsiTheme="majorHAnsi" w:cstheme="majorHAnsi"/>
          <w:color w:val="000000" w:themeColor="text1"/>
          <w:sz w:val="22"/>
          <w:szCs w:val="22"/>
          <w:lang w:eastAsia="ja-JP"/>
        </w:rPr>
        <w:t xml:space="preserve"> White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345 [M+H]</w:t>
      </w:r>
      <w:r w:rsidRPr="005E6B7C">
        <w:rPr>
          <w:rFonts w:asciiTheme="majorHAnsi" w:eastAsia="Yu Mincho" w:hAnsiTheme="majorHAnsi" w:cstheme="majorHAnsi"/>
          <w:color w:val="000000" w:themeColor="text1"/>
          <w:spacing w:val="-4"/>
          <w:sz w:val="22"/>
          <w:szCs w:val="22"/>
          <w:vertAlign w:val="superscript"/>
          <w:lang w:eastAsia="ja-JP"/>
        </w:rPr>
        <w:t>+</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DMSO-</w:t>
      </w:r>
      <w:r w:rsidRPr="005E6B7C">
        <w:rPr>
          <w:rFonts w:asciiTheme="majorHAnsi" w:eastAsia="Yu Mincho" w:hAnsiTheme="majorHAnsi" w:cstheme="majorHAnsi"/>
          <w:i/>
          <w:color w:val="000000" w:themeColor="text1"/>
          <w:sz w:val="22"/>
          <w:szCs w:val="22"/>
          <w:lang w:eastAsia="ja-JP"/>
        </w:rPr>
        <w:t>d</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DMSO-</w:t>
      </w:r>
      <w:r w:rsidRPr="005E6B7C">
        <w:rPr>
          <w:rFonts w:asciiTheme="majorHAnsi" w:eastAsia="Yu Mincho" w:hAnsiTheme="majorHAnsi" w:cstheme="majorHAnsi"/>
          <w:i/>
          <w:color w:val="000000" w:themeColor="text1"/>
          <w:sz w:val="22"/>
          <w:szCs w:val="22"/>
          <w:lang w:eastAsia="ja-JP"/>
        </w:rPr>
        <w:t>d</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w:t>
      </w:r>
      <w:r w:rsidR="00463456"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ee Table 1.</w:t>
      </w:r>
    </w:p>
    <w:p w14:paraId="7BF97B0F" w14:textId="77777777"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Pinoresinol (2):</w:t>
      </w:r>
      <w:r w:rsidRPr="005E6B7C">
        <w:rPr>
          <w:rFonts w:asciiTheme="majorHAnsi" w:eastAsia="Yu Mincho" w:hAnsiTheme="majorHAnsi" w:cstheme="majorHAnsi"/>
          <w:color w:val="000000" w:themeColor="text1"/>
          <w:sz w:val="22"/>
          <w:szCs w:val="22"/>
          <w:lang w:eastAsia="ja-JP"/>
        </w:rPr>
        <w:t xml:space="preserve"> White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357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1.</w:t>
      </w:r>
    </w:p>
    <w:p w14:paraId="2CF2D720" w14:textId="5A54047E"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Quercetin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Pale yellow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303.1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00463456" w:rsidRPr="005E6B7C">
        <w:rPr>
          <w:rFonts w:asciiTheme="majorHAnsi" w:eastAsia="Yu Mincho" w:hAnsiTheme="majorHAnsi" w:cstheme="majorHAnsi"/>
          <w:color w:val="000000" w:themeColor="text1"/>
          <w:sz w:val="22"/>
          <w:szCs w:val="22"/>
          <w:lang w:eastAsia="ja-JP"/>
        </w:rPr>
        <w:t>see</w:t>
      </w:r>
      <w:r w:rsidRPr="005E6B7C">
        <w:rPr>
          <w:rFonts w:asciiTheme="majorHAnsi" w:eastAsia="Yu Mincho" w:hAnsiTheme="majorHAnsi" w:cstheme="majorHAnsi"/>
          <w:color w:val="000000" w:themeColor="text1"/>
          <w:sz w:val="22"/>
          <w:szCs w:val="22"/>
          <w:lang w:eastAsia="ja-JP"/>
        </w:rPr>
        <w:t xml:space="preserve"> Table 2.</w:t>
      </w:r>
    </w:p>
    <w:p w14:paraId="7B33B705" w14:textId="440D152E"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val="vi-VN" w:eastAsia="ja-JP"/>
        </w:rPr>
        <w:t>Kaempferol (</w:t>
      </w:r>
      <w:r w:rsidRPr="005E6B7C">
        <w:rPr>
          <w:rFonts w:asciiTheme="majorHAnsi" w:eastAsia="Yu Mincho" w:hAnsiTheme="majorHAnsi" w:cstheme="majorHAnsi"/>
          <w:b/>
          <w:i/>
          <w:color w:val="000000" w:themeColor="text1"/>
          <w:sz w:val="22"/>
          <w:szCs w:val="22"/>
          <w:lang w:eastAsia="ja-JP"/>
        </w:rPr>
        <w:t>4</w:t>
      </w:r>
      <w:r w:rsidRPr="005E6B7C">
        <w:rPr>
          <w:rFonts w:asciiTheme="majorHAnsi" w:eastAsia="Yu Mincho" w:hAnsiTheme="majorHAnsi" w:cstheme="majorHAnsi"/>
          <w:b/>
          <w:i/>
          <w:color w:val="000000" w:themeColor="text1"/>
          <w:sz w:val="22"/>
          <w:szCs w:val="22"/>
          <w:lang w:val="vi-VN" w:eastAsia="ja-JP"/>
        </w:rPr>
        <w:t>):</w:t>
      </w:r>
      <w:r w:rsidRPr="005E6B7C">
        <w:rPr>
          <w:rFonts w:asciiTheme="majorHAnsi" w:eastAsia="Yu Mincho" w:hAnsiTheme="majorHAnsi" w:cstheme="majorHAnsi"/>
          <w:b/>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Pale yellow solid</w:t>
      </w:r>
      <w:r w:rsidRPr="005E6B7C">
        <w:rPr>
          <w:rFonts w:asciiTheme="majorHAnsi" w:eastAsia="Yu Mincho" w:hAnsiTheme="majorHAnsi" w:cstheme="majorHAnsi"/>
          <w:color w:val="000000" w:themeColor="text1"/>
          <w:sz w:val="22"/>
          <w:szCs w:val="22"/>
          <w:lang w:val="vi-VN" w:eastAsia="ja-JP"/>
        </w:rPr>
        <w:t>. ESI</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MS </w:t>
      </w:r>
      <w:r w:rsidRPr="005E6B7C">
        <w:rPr>
          <w:rFonts w:asciiTheme="majorHAnsi" w:eastAsia="Yu Mincho" w:hAnsiTheme="majorHAnsi" w:cstheme="majorHAnsi"/>
          <w:i/>
          <w:color w:val="000000" w:themeColor="text1"/>
          <w:sz w:val="22"/>
          <w:szCs w:val="22"/>
          <w:lang w:val="vi-VN" w:eastAsia="ja-JP"/>
        </w:rPr>
        <w:t>m/z</w:t>
      </w:r>
      <w:r w:rsidRPr="005E6B7C">
        <w:rPr>
          <w:rFonts w:asciiTheme="majorHAnsi" w:eastAsia="Yu Mincho" w:hAnsiTheme="majorHAnsi" w:cstheme="majorHAnsi"/>
          <w:color w:val="000000" w:themeColor="text1"/>
          <w:sz w:val="22"/>
          <w:szCs w:val="22"/>
          <w:lang w:val="vi-VN" w:eastAsia="ja-JP"/>
        </w:rPr>
        <w:t xml:space="preserve"> 287</w:t>
      </w:r>
      <w:r w:rsidRPr="005E6B7C">
        <w:rPr>
          <w:rFonts w:asciiTheme="majorHAnsi" w:eastAsia="Yu Mincho" w:hAnsiTheme="majorHAnsi" w:cstheme="majorHAnsi"/>
          <w:color w:val="000000" w:themeColor="text1"/>
          <w:sz w:val="22"/>
          <w:szCs w:val="22"/>
          <w:lang w:eastAsia="ja-JP"/>
        </w:rPr>
        <w:t>.1</w:t>
      </w:r>
      <w:r w:rsidRPr="005E6B7C">
        <w:rPr>
          <w:rFonts w:asciiTheme="majorHAnsi" w:eastAsia="Yu Mincho" w:hAnsiTheme="majorHAnsi" w:cstheme="majorHAnsi"/>
          <w:color w:val="000000" w:themeColor="text1"/>
          <w:sz w:val="22"/>
          <w:szCs w:val="22"/>
          <w:lang w:val="vi-VN" w:eastAsia="ja-JP"/>
        </w:rPr>
        <w:t xml:space="preserve"> [M+H]</w:t>
      </w:r>
      <w:r w:rsidRPr="005E6B7C">
        <w:rPr>
          <w:rFonts w:asciiTheme="majorHAnsi" w:eastAsia="Yu Mincho" w:hAnsiTheme="majorHAnsi" w:cstheme="majorHAnsi"/>
          <w:color w:val="000000" w:themeColor="text1"/>
          <w:sz w:val="22"/>
          <w:szCs w:val="22"/>
          <w:vertAlign w:val="superscript"/>
          <w:lang w:val="vi-VN" w:eastAsia="ja-JP"/>
        </w:rPr>
        <w:t>+</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00463456" w:rsidRPr="005E6B7C">
        <w:rPr>
          <w:rFonts w:asciiTheme="majorHAnsi" w:eastAsia="Yu Mincho" w:hAnsiTheme="majorHAnsi" w:cstheme="majorHAnsi"/>
          <w:color w:val="000000" w:themeColor="text1"/>
          <w:sz w:val="22"/>
          <w:szCs w:val="22"/>
          <w:lang w:eastAsia="ja-JP"/>
        </w:rPr>
        <w:t>see</w:t>
      </w:r>
      <w:r w:rsidRPr="005E6B7C">
        <w:rPr>
          <w:rFonts w:asciiTheme="majorHAnsi" w:eastAsia="Yu Mincho" w:hAnsiTheme="majorHAnsi" w:cstheme="majorHAnsi"/>
          <w:color w:val="000000" w:themeColor="text1"/>
          <w:sz w:val="22"/>
          <w:szCs w:val="22"/>
          <w:lang w:eastAsia="ja-JP"/>
        </w:rPr>
        <w:t xml:space="preserve"> Table 2.</w:t>
      </w:r>
    </w:p>
    <w:p w14:paraId="0A013733" w14:textId="569DE199"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Tyrosol (5):</w:t>
      </w:r>
      <w:r w:rsidRPr="005E6B7C">
        <w:rPr>
          <w:rFonts w:asciiTheme="majorHAnsi" w:eastAsia="Yu Mincho" w:hAnsiTheme="majorHAnsi" w:cstheme="majorHAnsi"/>
          <w:color w:val="000000" w:themeColor="text1"/>
          <w:sz w:val="22"/>
          <w:szCs w:val="22"/>
          <w:lang w:eastAsia="ja-JP"/>
        </w:rPr>
        <w:t xml:space="preserve"> White solid</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DMSO-</w:t>
      </w:r>
      <w:r w:rsidRPr="005E6B7C">
        <w:rPr>
          <w:rFonts w:asciiTheme="majorHAnsi" w:eastAsia="Yu Mincho" w:hAnsiTheme="majorHAnsi" w:cstheme="majorHAnsi"/>
          <w:i/>
          <w:color w:val="000000" w:themeColor="text1"/>
          <w:sz w:val="22"/>
          <w:szCs w:val="22"/>
          <w:lang w:eastAsia="ja-JP"/>
        </w:rPr>
        <w:t>d</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DMSO-</w:t>
      </w:r>
      <w:r w:rsidRPr="005E6B7C">
        <w:rPr>
          <w:rFonts w:asciiTheme="majorHAnsi" w:eastAsia="Yu Mincho" w:hAnsiTheme="majorHAnsi" w:cstheme="majorHAnsi"/>
          <w:i/>
          <w:color w:val="000000" w:themeColor="text1"/>
          <w:sz w:val="22"/>
          <w:szCs w:val="22"/>
          <w:lang w:eastAsia="ja-JP"/>
        </w:rPr>
        <w:t>d</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 </w:t>
      </w:r>
      <w:r w:rsidR="00463456" w:rsidRPr="005E6B7C">
        <w:rPr>
          <w:rFonts w:asciiTheme="majorHAnsi" w:eastAsia="Yu Mincho" w:hAnsiTheme="majorHAnsi" w:cstheme="majorHAnsi"/>
          <w:color w:val="000000" w:themeColor="text1"/>
          <w:sz w:val="22"/>
          <w:szCs w:val="22"/>
          <w:lang w:eastAsia="ja-JP"/>
        </w:rPr>
        <w:t>see</w:t>
      </w:r>
      <w:r w:rsidRPr="005E6B7C">
        <w:rPr>
          <w:rFonts w:asciiTheme="majorHAnsi" w:eastAsia="Yu Mincho" w:hAnsiTheme="majorHAnsi" w:cstheme="majorHAnsi"/>
          <w:color w:val="000000" w:themeColor="text1"/>
          <w:sz w:val="22"/>
          <w:szCs w:val="22"/>
          <w:lang w:eastAsia="ja-JP"/>
        </w:rPr>
        <w:t xml:space="preserve"> Table 3.</w:t>
      </w:r>
    </w:p>
    <w:p w14:paraId="6BAF6715" w14:textId="77777777"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b/>
          <w:i/>
          <w:color w:val="000000" w:themeColor="text1"/>
          <w:sz w:val="22"/>
          <w:szCs w:val="22"/>
          <w:lang w:eastAsia="ja-JP"/>
        </w:rPr>
        <w:t>Caffeic acid (6):</w:t>
      </w:r>
      <w:r w:rsidRPr="005E6B7C">
        <w:rPr>
          <w:rFonts w:asciiTheme="majorHAnsi" w:eastAsia="Yu Mincho" w:hAnsiTheme="majorHAnsi" w:cstheme="majorHAnsi"/>
          <w:color w:val="000000" w:themeColor="text1"/>
          <w:sz w:val="22"/>
          <w:szCs w:val="22"/>
          <w:lang w:eastAsia="ja-JP"/>
        </w:rPr>
        <w:t xml:space="preserve"> Pale yellow solid</w:t>
      </w:r>
      <w:r w:rsidRPr="005E6B7C">
        <w:rPr>
          <w:rFonts w:asciiTheme="majorHAnsi" w:eastAsia="Yu Mincho" w:hAnsiTheme="majorHAnsi" w:cstheme="majorHAnsi"/>
          <w:color w:val="000000" w:themeColor="text1"/>
          <w:sz w:val="22"/>
          <w:szCs w:val="22"/>
          <w:lang w:val="vi-VN" w:eastAsia="ja-JP"/>
        </w:rPr>
        <w:t>. ESI</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MS </w:t>
      </w:r>
      <w:r w:rsidRPr="005E6B7C">
        <w:rPr>
          <w:rFonts w:asciiTheme="majorHAnsi" w:eastAsia="Yu Mincho" w:hAnsiTheme="majorHAnsi" w:cstheme="majorHAnsi"/>
          <w:i/>
          <w:color w:val="000000" w:themeColor="text1"/>
          <w:sz w:val="22"/>
          <w:szCs w:val="22"/>
          <w:lang w:val="vi-VN" w:eastAsia="ja-JP"/>
        </w:rPr>
        <w:t>m/z</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179.1</w:t>
      </w:r>
      <w:r w:rsidRPr="005E6B7C">
        <w:rPr>
          <w:rFonts w:asciiTheme="majorHAnsi" w:eastAsia="Yu Mincho" w:hAnsiTheme="majorHAnsi" w:cstheme="majorHAnsi"/>
          <w:color w:val="000000" w:themeColor="text1"/>
          <w:sz w:val="22"/>
          <w:szCs w:val="22"/>
          <w:lang w:val="vi-VN" w:eastAsia="ja-JP"/>
        </w:rPr>
        <w:t xml:space="preserve"> [M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(500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See Table 3.</w:t>
      </w:r>
    </w:p>
    <w:p w14:paraId="43127C60" w14:textId="20F53007"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b/>
          <w:i/>
          <w:color w:val="000000" w:themeColor="text1"/>
          <w:sz w:val="22"/>
          <w:szCs w:val="22"/>
          <w:lang w:val="vi-VN" w:eastAsia="ja-JP"/>
        </w:rPr>
        <w:t>Protocatechuic acid (7):</w:t>
      </w:r>
      <w:r w:rsidRPr="005E6B7C">
        <w:rPr>
          <w:rFonts w:asciiTheme="majorHAnsi" w:eastAsia="Yu Mincho" w:hAnsiTheme="majorHAnsi" w:cstheme="majorHAnsi"/>
          <w:color w:val="000000" w:themeColor="text1"/>
          <w:sz w:val="22"/>
          <w:szCs w:val="22"/>
          <w:lang w:val="vi-VN" w:eastAsia="ja-JP"/>
        </w:rPr>
        <w:t xml:space="preserve"> Brown solid. </w:t>
      </w:r>
      <w:r w:rsidRPr="005E6B7C">
        <w:rPr>
          <w:rFonts w:asciiTheme="majorHAnsi" w:eastAsia="Yu Mincho" w:hAnsiTheme="majorHAnsi" w:cstheme="majorHAnsi"/>
          <w:color w:val="000000" w:themeColor="text1"/>
          <w:sz w:val="22"/>
          <w:szCs w:val="22"/>
          <w:vertAlign w:val="superscript"/>
          <w:lang w:val="vi-VN" w:eastAsia="ja-JP"/>
        </w:rPr>
        <w:t>1</w:t>
      </w:r>
      <w:r w:rsidRPr="005E6B7C">
        <w:rPr>
          <w:rFonts w:asciiTheme="majorHAnsi" w:eastAsia="Yu Mincho" w:hAnsiTheme="majorHAnsi" w:cstheme="majorHAnsi"/>
          <w:color w:val="000000" w:themeColor="text1"/>
          <w:sz w:val="22"/>
          <w:szCs w:val="22"/>
          <w:lang w:val="vi-VN" w:eastAsia="ja-JP"/>
        </w:rPr>
        <w:t>H</w:t>
      </w:r>
      <w:r w:rsidR="003113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NMR (600 MHz, CD</w:t>
      </w:r>
      <w:r w:rsidRPr="005E6B7C">
        <w:rPr>
          <w:rFonts w:asciiTheme="majorHAnsi" w:eastAsia="Yu Mincho" w:hAnsiTheme="majorHAnsi" w:cstheme="majorHAnsi"/>
          <w:color w:val="000000" w:themeColor="text1"/>
          <w:sz w:val="22"/>
          <w:szCs w:val="22"/>
          <w:vertAlign w:val="subscript"/>
          <w:lang w:val="vi-VN" w:eastAsia="ja-JP"/>
        </w:rPr>
        <w:t>3</w:t>
      </w:r>
      <w:r w:rsidRPr="005E6B7C">
        <w:rPr>
          <w:rFonts w:asciiTheme="majorHAnsi" w:eastAsia="Yu Mincho" w:hAnsiTheme="majorHAnsi" w:cstheme="majorHAnsi"/>
          <w:color w:val="000000" w:themeColor="text1"/>
          <w:sz w:val="22"/>
          <w:szCs w:val="22"/>
          <w:lang w:val="vi-VN"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t xml:space="preserve">(ppm): 7.44 (1H, br s, H-2), 7.42 (1H, d, </w:t>
      </w:r>
      <w:r w:rsidRPr="005E6B7C">
        <w:rPr>
          <w:rFonts w:asciiTheme="majorHAnsi" w:eastAsia="Yu Mincho" w:hAnsiTheme="majorHAnsi" w:cstheme="majorHAnsi"/>
          <w:i/>
          <w:color w:val="000000" w:themeColor="text1"/>
          <w:sz w:val="22"/>
          <w:szCs w:val="22"/>
          <w:lang w:val="vi-VN" w:eastAsia="ja-JP"/>
        </w:rPr>
        <w:t xml:space="preserve">J </w:t>
      </w:r>
      <w:r w:rsidRPr="005E6B7C">
        <w:rPr>
          <w:rFonts w:asciiTheme="majorHAnsi" w:eastAsia="Yu Mincho" w:hAnsiTheme="majorHAnsi" w:cstheme="majorHAnsi"/>
          <w:color w:val="000000" w:themeColor="text1"/>
          <w:sz w:val="22"/>
          <w:szCs w:val="22"/>
          <w:lang w:val="vi-VN" w:eastAsia="ja-JP"/>
        </w:rPr>
        <w:t xml:space="preserve">= 8.4 Hz, H-6), 6.79 (1H, d, </w:t>
      </w:r>
      <w:r w:rsidRPr="005E6B7C">
        <w:rPr>
          <w:rFonts w:asciiTheme="majorHAnsi" w:eastAsia="Yu Mincho" w:hAnsiTheme="majorHAnsi" w:cstheme="majorHAnsi"/>
          <w:i/>
          <w:color w:val="000000" w:themeColor="text1"/>
          <w:sz w:val="22"/>
          <w:szCs w:val="22"/>
          <w:lang w:val="vi-VN" w:eastAsia="ja-JP"/>
        </w:rPr>
        <w:t xml:space="preserve">J </w:t>
      </w:r>
      <w:r w:rsidRPr="005E6B7C">
        <w:rPr>
          <w:rFonts w:asciiTheme="majorHAnsi" w:eastAsia="Yu Mincho" w:hAnsiTheme="majorHAnsi" w:cstheme="majorHAnsi"/>
          <w:color w:val="000000" w:themeColor="text1"/>
          <w:sz w:val="22"/>
          <w:szCs w:val="22"/>
          <w:lang w:val="vi-VN" w:eastAsia="ja-JP"/>
        </w:rPr>
        <w:t xml:space="preserve">= 8.4 Hz, H-5). </w:t>
      </w:r>
      <w:r w:rsidRPr="005E6B7C">
        <w:rPr>
          <w:rFonts w:asciiTheme="majorHAnsi" w:eastAsia="Yu Mincho" w:hAnsiTheme="majorHAnsi" w:cstheme="majorHAnsi"/>
          <w:color w:val="000000" w:themeColor="text1"/>
          <w:sz w:val="22"/>
          <w:szCs w:val="22"/>
          <w:vertAlign w:val="superscript"/>
          <w:lang w:val="vi-VN" w:eastAsia="ja-JP"/>
        </w:rPr>
        <w:t>13</w:t>
      </w:r>
      <w:r w:rsidRPr="005E6B7C">
        <w:rPr>
          <w:rFonts w:asciiTheme="majorHAnsi" w:eastAsia="Yu Mincho" w:hAnsiTheme="majorHAnsi" w:cstheme="majorHAnsi"/>
          <w:color w:val="000000" w:themeColor="text1"/>
          <w:sz w:val="22"/>
          <w:szCs w:val="22"/>
          <w:lang w:val="vi-VN" w:eastAsia="ja-JP"/>
        </w:rPr>
        <w:t>C</w:t>
      </w:r>
      <w:r w:rsidR="003113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NMR (125 MHz, CD</w:t>
      </w:r>
      <w:r w:rsidRPr="005E6B7C">
        <w:rPr>
          <w:rFonts w:asciiTheme="majorHAnsi" w:eastAsia="Yu Mincho" w:hAnsiTheme="majorHAnsi" w:cstheme="majorHAnsi"/>
          <w:color w:val="000000" w:themeColor="text1"/>
          <w:sz w:val="22"/>
          <w:szCs w:val="22"/>
          <w:vertAlign w:val="subscript"/>
          <w:lang w:val="vi-VN" w:eastAsia="ja-JP"/>
        </w:rPr>
        <w:t>3</w:t>
      </w:r>
      <w:r w:rsidRPr="005E6B7C">
        <w:rPr>
          <w:rFonts w:asciiTheme="majorHAnsi" w:eastAsia="Yu Mincho" w:hAnsiTheme="majorHAnsi" w:cstheme="majorHAnsi"/>
          <w:color w:val="000000" w:themeColor="text1"/>
          <w:sz w:val="22"/>
          <w:szCs w:val="22"/>
          <w:lang w:val="vi-VN"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t>(ppm): 169.5 (COOH), 149.7 (C-4), 144.0 (C-3), 123.3 (C-1), 121.6 (C-6), 116.5 (C-5), 114.6 (C-2).</w:t>
      </w:r>
    </w:p>
    <w:p w14:paraId="373A5082" w14:textId="015DE97C" w:rsidR="003B14F8" w:rsidRPr="005E6B7C" w:rsidRDefault="003B14F8" w:rsidP="003B14F8">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Gallic acid (8):</w:t>
      </w:r>
      <w:r w:rsidRPr="005E6B7C">
        <w:rPr>
          <w:rFonts w:asciiTheme="majorHAnsi" w:eastAsia="Yu Mincho" w:hAnsiTheme="majorHAnsi" w:cstheme="majorHAnsi"/>
          <w:color w:val="000000" w:themeColor="text1"/>
          <w:sz w:val="22"/>
          <w:szCs w:val="22"/>
          <w:lang w:eastAsia="ja-JP"/>
        </w:rPr>
        <w:t xml:space="preserve"> Yellow solid.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003113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Pr="005E6B7C">
        <w:rPr>
          <w:rFonts w:asciiTheme="majorHAnsi" w:eastAsia="Yu Mincho" w:hAnsiTheme="majorHAnsi" w:cstheme="majorHAnsi"/>
          <w:i/>
          <w:color w:val="000000" w:themeColor="text1"/>
          <w:sz w:val="22"/>
          <w:szCs w:val="22"/>
          <w:lang w:eastAsia="ja-JP"/>
        </w:rPr>
        <w:t xml:space="preserve">δ </w:t>
      </w:r>
      <w:r w:rsidRPr="005E6B7C">
        <w:rPr>
          <w:rFonts w:asciiTheme="majorHAnsi" w:eastAsia="Yu Mincho" w:hAnsiTheme="majorHAnsi" w:cstheme="majorHAnsi"/>
          <w:color w:val="000000" w:themeColor="text1"/>
          <w:sz w:val="22"/>
          <w:szCs w:val="22"/>
          <w:lang w:eastAsia="ja-JP"/>
        </w:rPr>
        <w:t xml:space="preserve">(ppm): 7.07 (2H, s, H-2, H-6).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w:t>
      </w:r>
      <w:r w:rsidR="003113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Pr="005E6B7C">
        <w:rPr>
          <w:rFonts w:asciiTheme="majorHAnsi" w:eastAsia="Yu Mincho" w:hAnsiTheme="majorHAnsi" w:cstheme="majorHAnsi"/>
          <w:i/>
          <w:color w:val="000000" w:themeColor="text1"/>
          <w:sz w:val="22"/>
          <w:szCs w:val="22"/>
          <w:lang w:eastAsia="ja-JP"/>
        </w:rPr>
        <w:t xml:space="preserve">δ </w:t>
      </w:r>
      <w:r w:rsidRPr="005E6B7C">
        <w:rPr>
          <w:rFonts w:asciiTheme="majorHAnsi" w:eastAsia="Yu Mincho" w:hAnsiTheme="majorHAnsi" w:cstheme="majorHAnsi"/>
          <w:color w:val="000000" w:themeColor="text1"/>
          <w:sz w:val="22"/>
          <w:szCs w:val="22"/>
          <w:lang w:eastAsia="ja-JP"/>
        </w:rPr>
        <w:t>(ppm): 170.3 (COOH), 146.3 (C-4), 139.6 (C-3, C-5), 110.3 (C-2, C-6), 121.9 (C-1).</w:t>
      </w:r>
    </w:p>
    <w:p w14:paraId="532F58B4" w14:textId="047D264D" w:rsidR="003B14F8" w:rsidRPr="005E6B7C" w:rsidRDefault="003B14F8" w:rsidP="003B14F8">
      <w:pPr>
        <w:numPr>
          <w:ilvl w:val="0"/>
          <w:numId w:val="25"/>
        </w:numPr>
        <w:tabs>
          <w:tab w:val="left" w:pos="567"/>
          <w:tab w:val="left" w:pos="9270"/>
        </w:tabs>
        <w:spacing w:line="240" w:lineRule="exact"/>
        <w:ind w:left="0"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Results and Discussion</w:t>
      </w:r>
    </w:p>
    <w:p w14:paraId="0B97B340" w14:textId="3207E654" w:rsidR="00FC534C" w:rsidRPr="005E6B7C" w:rsidRDefault="003B14F8" w:rsidP="008C0D47">
      <w:pPr>
        <w:tabs>
          <w:tab w:val="left" w:pos="27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Compound </w:t>
      </w:r>
      <w:r w:rsidRPr="005E6B7C">
        <w:rPr>
          <w:rFonts w:asciiTheme="majorHAnsi" w:eastAsia="Yu Mincho" w:hAnsiTheme="majorHAnsi" w:cstheme="majorHAnsi"/>
          <w:b/>
          <w:color w:val="000000" w:themeColor="text1"/>
          <w:spacing w:val="4"/>
          <w:sz w:val="22"/>
          <w:szCs w:val="22"/>
          <w:lang w:eastAsia="ja-JP"/>
        </w:rPr>
        <w:t>1</w:t>
      </w:r>
      <w:r w:rsidRPr="005E6B7C">
        <w:rPr>
          <w:rFonts w:asciiTheme="majorHAnsi" w:eastAsia="Yu Mincho" w:hAnsiTheme="majorHAnsi" w:cstheme="majorHAnsi"/>
          <w:color w:val="000000" w:themeColor="text1"/>
          <w:spacing w:val="4"/>
          <w:sz w:val="22"/>
          <w:szCs w:val="22"/>
          <w:lang w:eastAsia="ja-JP"/>
        </w:rPr>
        <w:t xml:space="preserve"> was isolated as a white solid. The </w:t>
      </w:r>
      <w:r w:rsidRPr="005E6B7C">
        <w:rPr>
          <w:rFonts w:asciiTheme="majorHAnsi" w:eastAsia="Yu Mincho" w:hAnsiTheme="majorHAnsi" w:cstheme="majorHAnsi"/>
          <w:color w:val="000000" w:themeColor="text1"/>
          <w:spacing w:val="4"/>
          <w:sz w:val="22"/>
          <w:szCs w:val="22"/>
          <w:vertAlign w:val="superscript"/>
          <w:lang w:eastAsia="ja-JP"/>
        </w:rPr>
        <w:t>1</w:t>
      </w:r>
      <w:r w:rsidRPr="005E6B7C">
        <w:rPr>
          <w:rFonts w:asciiTheme="majorHAnsi" w:eastAsia="Yu Mincho" w:hAnsiTheme="majorHAnsi" w:cstheme="majorHAnsi"/>
          <w:color w:val="000000" w:themeColor="text1"/>
          <w:spacing w:val="4"/>
          <w:sz w:val="22"/>
          <w:szCs w:val="22"/>
          <w:lang w:eastAsia="ja-JP"/>
        </w:rPr>
        <w:t>H</w:t>
      </w:r>
      <w:r w:rsidR="0031133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NMR spectrum showed two signals in the aromatic region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7.49 (s, H-5) and 7.57 (s, H-5'); 3 methoxy group signals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H</w:t>
      </w:r>
      <w:r w:rsidRPr="005E6B7C">
        <w:rPr>
          <w:rFonts w:asciiTheme="majorHAnsi" w:eastAsia="Yu Mincho" w:hAnsiTheme="majorHAnsi" w:cstheme="majorHAnsi"/>
          <w:color w:val="000000" w:themeColor="text1"/>
          <w:spacing w:val="4"/>
          <w:sz w:val="22"/>
          <w:szCs w:val="22"/>
          <w:lang w:eastAsia="ja-JP"/>
        </w:rPr>
        <w:t xml:space="preserve"> 4.05 (3H, s), 4.03 (3H, s), and 3.98 (3H, s). The </w:t>
      </w:r>
      <w:r w:rsidRPr="005E6B7C">
        <w:rPr>
          <w:rFonts w:asciiTheme="majorHAnsi" w:eastAsia="Yu Mincho" w:hAnsiTheme="majorHAnsi" w:cstheme="majorHAnsi"/>
          <w:color w:val="000000" w:themeColor="text1"/>
          <w:spacing w:val="4"/>
          <w:sz w:val="22"/>
          <w:szCs w:val="22"/>
          <w:vertAlign w:val="superscript"/>
          <w:lang w:eastAsia="ja-JP"/>
        </w:rPr>
        <w:t>13</w:t>
      </w:r>
      <w:r w:rsidRPr="005E6B7C">
        <w:rPr>
          <w:rFonts w:asciiTheme="majorHAnsi" w:eastAsia="Yu Mincho" w:hAnsiTheme="majorHAnsi" w:cstheme="majorHAnsi"/>
          <w:color w:val="000000" w:themeColor="text1"/>
          <w:spacing w:val="4"/>
          <w:sz w:val="22"/>
          <w:szCs w:val="22"/>
          <w:lang w:eastAsia="ja-JP"/>
        </w:rPr>
        <w:t xml:space="preserve">C-NMR spectrum revealed the signals of 17 carbons, including </w:t>
      </w:r>
      <w:r w:rsidR="009D0AA6" w:rsidRPr="005E6B7C">
        <w:rPr>
          <w:rFonts w:asciiTheme="majorHAnsi" w:eastAsia="Yu Mincho" w:hAnsiTheme="majorHAnsi" w:cstheme="majorHAnsi"/>
          <w:color w:val="000000" w:themeColor="text1"/>
          <w:spacing w:val="4"/>
          <w:sz w:val="22"/>
          <w:szCs w:val="22"/>
          <w:lang w:eastAsia="ja-JP"/>
        </w:rPr>
        <w:t>two</w:t>
      </w:r>
      <w:r w:rsidRPr="005E6B7C">
        <w:rPr>
          <w:rFonts w:asciiTheme="majorHAnsi" w:eastAsia="Yu Mincho" w:hAnsiTheme="majorHAnsi" w:cstheme="majorHAnsi"/>
          <w:color w:val="000000" w:themeColor="text1"/>
          <w:spacing w:val="4"/>
          <w:sz w:val="22"/>
          <w:szCs w:val="22"/>
          <w:lang w:eastAsia="ja-JP"/>
        </w:rPr>
        <w:t xml:space="preserve"> carboxyl </w:t>
      </w:r>
      <w:r w:rsidR="009D0AA6" w:rsidRPr="005E6B7C">
        <w:rPr>
          <w:rFonts w:asciiTheme="majorHAnsi" w:eastAsia="Yu Mincho" w:hAnsiTheme="majorHAnsi" w:cstheme="majorHAnsi"/>
          <w:color w:val="000000" w:themeColor="text1"/>
          <w:spacing w:val="4"/>
          <w:sz w:val="22"/>
          <w:szCs w:val="22"/>
          <w:lang w:eastAsia="ja-JP"/>
        </w:rPr>
        <w:t>carbon</w:t>
      </w:r>
      <w:r w:rsidR="009D0AA6" w:rsidRPr="005E6B7C">
        <w:rPr>
          <w:rFonts w:asciiTheme="majorHAnsi" w:eastAsia="Yu Mincho" w:hAnsiTheme="majorHAnsi" w:cstheme="majorHAnsi"/>
          <w:color w:val="000000" w:themeColor="text1"/>
          <w:spacing w:val="4"/>
          <w:sz w:val="22"/>
          <w:szCs w:val="22"/>
          <w:lang w:val="vi-VN" w:eastAsia="ja-JP"/>
        </w:rPr>
        <w:t xml:space="preserve"> signals </w:t>
      </w:r>
      <w:r w:rsidRPr="005E6B7C">
        <w:rPr>
          <w:rFonts w:asciiTheme="majorHAnsi" w:eastAsia="Yu Mincho" w:hAnsiTheme="majorHAnsi" w:cstheme="majorHAnsi"/>
          <w:color w:val="000000" w:themeColor="text1"/>
          <w:spacing w:val="4"/>
          <w:sz w:val="22"/>
          <w:szCs w:val="22"/>
          <w:lang w:eastAsia="ja-JP"/>
        </w:rPr>
        <w:t xml:space="preserve">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158.5 (C-7') and 158.4 (C-7); 12 aromatic carbons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153.8, 152.9, 141.9, 141.0, 140.8, </w:t>
      </w:r>
      <w:r w:rsidR="00E049CB" w:rsidRPr="005E6B7C">
        <w:rPr>
          <w:rFonts w:asciiTheme="majorHAnsi" w:eastAsia="Yu Mincho" w:hAnsiTheme="majorHAnsi" w:cstheme="majorHAnsi"/>
          <w:color w:val="000000" w:themeColor="text1"/>
          <w:spacing w:val="4"/>
          <w:sz w:val="22"/>
          <w:szCs w:val="22"/>
          <w:lang w:eastAsia="ja-JP"/>
        </w:rPr>
        <w:t xml:space="preserve">140.3, 113.4, 112.5, 111.8, 111.8, 111.0, and 107.5 and 3 methoxy group signals at </w:t>
      </w:r>
      <w:r w:rsidR="00E049CB" w:rsidRPr="005E6B7C">
        <w:rPr>
          <w:rFonts w:asciiTheme="majorHAnsi" w:eastAsia="Yu Mincho" w:hAnsiTheme="majorHAnsi" w:cstheme="majorHAnsi"/>
          <w:i/>
          <w:color w:val="000000" w:themeColor="text1"/>
          <w:spacing w:val="4"/>
          <w:sz w:val="22"/>
          <w:szCs w:val="22"/>
          <w:lang w:eastAsia="ja-JP"/>
        </w:rPr>
        <w:t>δ</w:t>
      </w:r>
      <w:r w:rsidR="00E049CB" w:rsidRPr="005E6B7C">
        <w:rPr>
          <w:rFonts w:asciiTheme="majorHAnsi" w:eastAsia="Yu Mincho" w:hAnsiTheme="majorHAnsi" w:cstheme="majorHAnsi"/>
          <w:color w:val="000000" w:themeColor="text1"/>
          <w:spacing w:val="4"/>
          <w:sz w:val="22"/>
          <w:szCs w:val="22"/>
          <w:vertAlign w:val="subscript"/>
          <w:lang w:eastAsia="ja-JP"/>
        </w:rPr>
        <w:t>C</w:t>
      </w:r>
      <w:r w:rsidR="00E049CB" w:rsidRPr="005E6B7C">
        <w:rPr>
          <w:rFonts w:asciiTheme="majorHAnsi" w:eastAsia="Yu Mincho" w:hAnsiTheme="majorHAnsi" w:cstheme="majorHAnsi"/>
          <w:color w:val="000000" w:themeColor="text1"/>
          <w:spacing w:val="4"/>
          <w:sz w:val="22"/>
          <w:szCs w:val="22"/>
          <w:lang w:eastAsia="ja-JP"/>
        </w:rPr>
        <w:t xml:space="preserve"> 61.3, 61.0, and 56.7. The ESI-MS spectrum exhibited a molecular ion at </w:t>
      </w:r>
      <w:r w:rsidR="00E049CB" w:rsidRPr="005E6B7C">
        <w:rPr>
          <w:rFonts w:asciiTheme="majorHAnsi" w:eastAsia="Yu Mincho" w:hAnsiTheme="majorHAnsi" w:cstheme="majorHAnsi"/>
          <w:i/>
          <w:color w:val="000000" w:themeColor="text1"/>
          <w:spacing w:val="4"/>
          <w:sz w:val="22"/>
          <w:szCs w:val="22"/>
          <w:lang w:eastAsia="ja-JP"/>
        </w:rPr>
        <w:t>m/z</w:t>
      </w:r>
      <w:r w:rsidR="00E049CB" w:rsidRPr="005E6B7C">
        <w:rPr>
          <w:rFonts w:asciiTheme="majorHAnsi" w:eastAsia="Yu Mincho" w:hAnsiTheme="majorHAnsi" w:cstheme="majorHAnsi"/>
          <w:color w:val="000000" w:themeColor="text1"/>
          <w:spacing w:val="4"/>
          <w:sz w:val="22"/>
          <w:szCs w:val="22"/>
          <w:lang w:eastAsia="ja-JP"/>
        </w:rPr>
        <w:t xml:space="preserve"> 345 [M+H]</w:t>
      </w:r>
      <w:r w:rsidR="00E049CB" w:rsidRPr="005E6B7C">
        <w:rPr>
          <w:rFonts w:asciiTheme="majorHAnsi" w:eastAsia="Yu Mincho" w:hAnsiTheme="majorHAnsi" w:cstheme="majorHAnsi"/>
          <w:color w:val="000000" w:themeColor="text1"/>
          <w:spacing w:val="4"/>
          <w:sz w:val="22"/>
          <w:szCs w:val="22"/>
          <w:vertAlign w:val="superscript"/>
          <w:lang w:eastAsia="ja-JP"/>
        </w:rPr>
        <w:t>+</w:t>
      </w:r>
      <w:r w:rsidR="00E049CB" w:rsidRPr="005E6B7C">
        <w:rPr>
          <w:rFonts w:asciiTheme="majorHAnsi" w:eastAsia="Yu Mincho" w:hAnsiTheme="majorHAnsi" w:cstheme="majorHAnsi"/>
          <w:color w:val="000000" w:themeColor="text1"/>
          <w:spacing w:val="4"/>
          <w:sz w:val="22"/>
          <w:szCs w:val="22"/>
          <w:lang w:eastAsia="ja-JP"/>
        </w:rPr>
        <w:t xml:space="preserve">, so the </w:t>
      </w:r>
      <w:r w:rsidR="00E049CB" w:rsidRPr="005E6B7C">
        <w:rPr>
          <w:rFonts w:asciiTheme="majorHAnsi" w:eastAsia="Yu Mincho" w:hAnsiTheme="majorHAnsi" w:cstheme="majorHAnsi"/>
          <w:color w:val="000000" w:themeColor="text1"/>
          <w:spacing w:val="4"/>
          <w:sz w:val="22"/>
          <w:szCs w:val="22"/>
          <w:lang w:eastAsia="ja-JP"/>
        </w:rPr>
        <w:lastRenderedPageBreak/>
        <w:t xml:space="preserve">molecular formula of </w:t>
      </w:r>
      <w:r w:rsidR="00E049CB" w:rsidRPr="005E6B7C">
        <w:rPr>
          <w:rFonts w:asciiTheme="majorHAnsi" w:eastAsia="Yu Mincho" w:hAnsiTheme="majorHAnsi" w:cstheme="majorHAnsi"/>
          <w:b/>
          <w:color w:val="000000" w:themeColor="text1"/>
          <w:spacing w:val="4"/>
          <w:sz w:val="22"/>
          <w:szCs w:val="22"/>
          <w:lang w:eastAsia="ja-JP"/>
        </w:rPr>
        <w:t>1</w:t>
      </w:r>
      <w:r w:rsidR="00E049CB" w:rsidRPr="005E6B7C">
        <w:rPr>
          <w:rFonts w:asciiTheme="majorHAnsi" w:eastAsia="Yu Mincho" w:hAnsiTheme="majorHAnsi" w:cstheme="majorHAnsi"/>
          <w:color w:val="000000" w:themeColor="text1"/>
          <w:spacing w:val="4"/>
          <w:sz w:val="22"/>
          <w:szCs w:val="22"/>
          <w:lang w:eastAsia="ja-JP"/>
        </w:rPr>
        <w:t xml:space="preserve"> was determined as C</w:t>
      </w:r>
      <w:r w:rsidR="00E049CB" w:rsidRPr="005E6B7C">
        <w:rPr>
          <w:rFonts w:asciiTheme="majorHAnsi" w:eastAsia="Yu Mincho" w:hAnsiTheme="majorHAnsi" w:cstheme="majorHAnsi"/>
          <w:color w:val="000000" w:themeColor="text1"/>
          <w:spacing w:val="4"/>
          <w:sz w:val="22"/>
          <w:szCs w:val="22"/>
          <w:vertAlign w:val="subscript"/>
          <w:lang w:eastAsia="ja-JP"/>
        </w:rPr>
        <w:t>17</w:t>
      </w:r>
      <w:r w:rsidR="00E049CB" w:rsidRPr="005E6B7C">
        <w:rPr>
          <w:rFonts w:asciiTheme="majorHAnsi" w:eastAsia="Yu Mincho" w:hAnsiTheme="majorHAnsi" w:cstheme="majorHAnsi"/>
          <w:color w:val="000000" w:themeColor="text1"/>
          <w:spacing w:val="4"/>
          <w:sz w:val="22"/>
          <w:szCs w:val="22"/>
          <w:lang w:eastAsia="ja-JP"/>
        </w:rPr>
        <w:t>H</w:t>
      </w:r>
      <w:r w:rsidR="00E049CB" w:rsidRPr="005E6B7C">
        <w:rPr>
          <w:rFonts w:asciiTheme="majorHAnsi" w:eastAsia="Yu Mincho" w:hAnsiTheme="majorHAnsi" w:cstheme="majorHAnsi"/>
          <w:color w:val="000000" w:themeColor="text1"/>
          <w:spacing w:val="4"/>
          <w:sz w:val="22"/>
          <w:szCs w:val="22"/>
          <w:vertAlign w:val="subscript"/>
          <w:lang w:eastAsia="ja-JP"/>
        </w:rPr>
        <w:t>12</w:t>
      </w:r>
      <w:r w:rsidR="00E049CB" w:rsidRPr="005E6B7C">
        <w:rPr>
          <w:rFonts w:asciiTheme="majorHAnsi" w:eastAsia="Yu Mincho" w:hAnsiTheme="majorHAnsi" w:cstheme="majorHAnsi"/>
          <w:color w:val="000000" w:themeColor="text1"/>
          <w:spacing w:val="4"/>
          <w:sz w:val="22"/>
          <w:szCs w:val="22"/>
          <w:lang w:eastAsia="ja-JP"/>
        </w:rPr>
        <w:t>O</w:t>
      </w:r>
      <w:r w:rsidR="00E049CB" w:rsidRPr="005E6B7C">
        <w:rPr>
          <w:rFonts w:asciiTheme="majorHAnsi" w:eastAsia="Yu Mincho" w:hAnsiTheme="majorHAnsi" w:cstheme="majorHAnsi"/>
          <w:color w:val="000000" w:themeColor="text1"/>
          <w:spacing w:val="4"/>
          <w:sz w:val="22"/>
          <w:szCs w:val="22"/>
          <w:vertAlign w:val="subscript"/>
          <w:lang w:eastAsia="ja-JP"/>
        </w:rPr>
        <w:t>8</w:t>
      </w:r>
      <w:r w:rsidR="00E049CB" w:rsidRPr="005E6B7C">
        <w:rPr>
          <w:rFonts w:asciiTheme="majorHAnsi" w:eastAsia="Yu Mincho" w:hAnsiTheme="majorHAnsi" w:cstheme="majorHAnsi"/>
          <w:color w:val="000000" w:themeColor="text1"/>
          <w:spacing w:val="4"/>
          <w:sz w:val="22"/>
          <w:szCs w:val="22"/>
          <w:lang w:eastAsia="ja-JP"/>
        </w:rPr>
        <w:t xml:space="preserve">. From NMR and MS data, compound </w:t>
      </w:r>
      <w:r w:rsidR="00E049CB" w:rsidRPr="005E6B7C">
        <w:rPr>
          <w:rFonts w:asciiTheme="majorHAnsi" w:eastAsia="Yu Mincho" w:hAnsiTheme="majorHAnsi" w:cstheme="majorHAnsi"/>
          <w:b/>
          <w:color w:val="000000" w:themeColor="text1"/>
          <w:spacing w:val="4"/>
          <w:sz w:val="22"/>
          <w:szCs w:val="22"/>
          <w:lang w:eastAsia="ja-JP"/>
        </w:rPr>
        <w:t>1</w:t>
      </w:r>
      <w:r w:rsidR="00E049CB" w:rsidRPr="005E6B7C">
        <w:rPr>
          <w:rFonts w:asciiTheme="majorHAnsi" w:eastAsia="Yu Mincho" w:hAnsiTheme="majorHAnsi" w:cstheme="majorHAnsi"/>
          <w:color w:val="000000" w:themeColor="text1"/>
          <w:spacing w:val="4"/>
          <w:sz w:val="22"/>
          <w:szCs w:val="22"/>
          <w:lang w:eastAsia="ja-JP"/>
        </w:rPr>
        <w:t xml:space="preserve"> was determined as 3,3',4'-tri-</w:t>
      </w:r>
      <w:r w:rsidR="00E049CB" w:rsidRPr="005E6B7C">
        <w:rPr>
          <w:rFonts w:asciiTheme="majorHAnsi" w:eastAsia="Yu Mincho" w:hAnsiTheme="majorHAnsi" w:cstheme="majorHAnsi"/>
          <w:i/>
          <w:iCs/>
          <w:color w:val="000000" w:themeColor="text1"/>
          <w:spacing w:val="4"/>
          <w:sz w:val="22"/>
          <w:szCs w:val="22"/>
          <w:lang w:eastAsia="ja-JP"/>
        </w:rPr>
        <w:t>O</w:t>
      </w:r>
      <w:r w:rsidR="00E049CB" w:rsidRPr="005E6B7C">
        <w:rPr>
          <w:rFonts w:asciiTheme="majorHAnsi" w:eastAsia="Yu Mincho" w:hAnsiTheme="majorHAnsi" w:cstheme="majorHAnsi"/>
          <w:color w:val="000000" w:themeColor="text1"/>
          <w:spacing w:val="4"/>
          <w:sz w:val="22"/>
          <w:szCs w:val="22"/>
          <w:lang w:eastAsia="ja-JP"/>
        </w:rPr>
        <w:t>-methyl ellagic acid [10].</w:t>
      </w:r>
    </w:p>
    <w:p w14:paraId="55C4424A" w14:textId="77777777" w:rsidR="00FC534C" w:rsidRPr="005E6B7C" w:rsidRDefault="00FC534C"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C534C" w:rsidRPr="005E6B7C" w:rsidSect="00FC534C">
          <w:type w:val="continuous"/>
          <w:pgSz w:w="10773" w:h="15309" w:code="9"/>
          <w:pgMar w:top="907" w:right="851" w:bottom="1418" w:left="851" w:header="397" w:footer="851" w:gutter="0"/>
          <w:cols w:num="2" w:space="284"/>
          <w:docGrid w:linePitch="360"/>
        </w:sectPr>
      </w:pPr>
    </w:p>
    <w:p w14:paraId="652FF8E2"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22"/>
          <w:szCs w:val="22"/>
          <w:lang w:eastAsia="ja-JP"/>
        </w:rPr>
      </w:pPr>
    </w:p>
    <w:p w14:paraId="7C6BD46F" w14:textId="6F7F7BDA" w:rsidR="00E049CB" w:rsidRPr="005E6B7C" w:rsidRDefault="00E51A17" w:rsidP="008C0D47">
      <w:pPr>
        <w:tabs>
          <w:tab w:val="left" w:pos="270"/>
          <w:tab w:val="left" w:pos="9270"/>
        </w:tabs>
        <w:ind w:right="-20"/>
        <w:jc w:val="center"/>
        <w:rPr>
          <w:rFonts w:asciiTheme="majorHAnsi" w:eastAsia="Calibri" w:hAnsiTheme="majorHAnsi" w:cstheme="majorHAnsi"/>
          <w:b/>
          <w:noProof/>
          <w:color w:val="000000" w:themeColor="text1"/>
          <w:kern w:val="2"/>
          <w:sz w:val="22"/>
          <w:szCs w:val="22"/>
          <w14:ligatures w14:val="standardContextual"/>
        </w:rPr>
      </w:pPr>
      <w:r w:rsidRPr="005E6B7C">
        <w:rPr>
          <w:rFonts w:eastAsia="Calibri"/>
          <w:b/>
          <w:color w:val="000000" w:themeColor="text1"/>
          <w:sz w:val="22"/>
          <w:szCs w:val="22"/>
        </w:rPr>
        <w:object w:dxaOrig="8740" w:dyaOrig="5380" w14:anchorId="1D841753">
          <v:shape id="_x0000_i1027" type="#_x0000_t75" style="width:364.9pt;height:225.4pt" o:ole="">
            <v:imagedata r:id="rId24" o:title=""/>
          </v:shape>
          <o:OLEObject Type="Embed" ProgID="ChemDraw.Document.6.0" ShapeID="_x0000_i1027" DrawAspect="Content" ObjectID="_1836572949" r:id="rId25"/>
        </w:object>
      </w:r>
    </w:p>
    <w:p w14:paraId="4FC19A76" w14:textId="77777777" w:rsidR="00E049CB" w:rsidRPr="005E6B7C" w:rsidRDefault="00517F81" w:rsidP="008C0D47">
      <w:pPr>
        <w:tabs>
          <w:tab w:val="left" w:pos="270"/>
          <w:tab w:val="left" w:pos="9270"/>
        </w:tabs>
        <w:spacing w:before="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 xml:space="preserve">Fig. </w:t>
      </w:r>
      <w:r w:rsidR="00E049CB" w:rsidRPr="005E6B7C">
        <w:rPr>
          <w:rFonts w:asciiTheme="majorHAnsi" w:eastAsia="Calibri" w:hAnsiTheme="majorHAnsi" w:cstheme="majorHAnsi"/>
          <w:b/>
          <w:color w:val="000000" w:themeColor="text1"/>
          <w:kern w:val="2"/>
          <w:sz w:val="18"/>
          <w:szCs w:val="18"/>
          <w14:ligatures w14:val="standardContextual"/>
        </w:rPr>
        <w:t xml:space="preserve">1. </w:t>
      </w:r>
      <w:r w:rsidR="00E049CB" w:rsidRPr="005E6B7C">
        <w:rPr>
          <w:rFonts w:asciiTheme="majorHAnsi" w:eastAsia="Calibri" w:hAnsiTheme="majorHAnsi" w:cstheme="majorHAnsi"/>
          <w:color w:val="000000" w:themeColor="text1"/>
          <w:kern w:val="2"/>
          <w:sz w:val="18"/>
          <w:szCs w:val="18"/>
          <w14:ligatures w14:val="standardContextual"/>
        </w:rPr>
        <w:t xml:space="preserve">Chemical structures of isolated compounds </w:t>
      </w:r>
      <w:r w:rsidR="00E049CB" w:rsidRPr="005E6B7C">
        <w:rPr>
          <w:rFonts w:asciiTheme="majorHAnsi" w:eastAsia="Calibri" w:hAnsiTheme="majorHAnsi" w:cstheme="majorHAnsi"/>
          <w:b/>
          <w:bCs/>
          <w:color w:val="000000" w:themeColor="text1"/>
          <w:kern w:val="2"/>
          <w:sz w:val="18"/>
          <w:szCs w:val="18"/>
          <w14:ligatures w14:val="standardContextual"/>
        </w:rPr>
        <w:t>1</w:t>
      </w:r>
      <w:r w:rsidR="00E049CB" w:rsidRPr="005E6B7C">
        <w:rPr>
          <w:rFonts w:asciiTheme="majorHAnsi" w:eastAsia="Calibri" w:hAnsiTheme="majorHAnsi" w:cstheme="majorHAnsi"/>
          <w:color w:val="000000" w:themeColor="text1"/>
          <w:kern w:val="2"/>
          <w:sz w:val="18"/>
          <w:szCs w:val="18"/>
          <w14:ligatures w14:val="standardContextual"/>
        </w:rPr>
        <w:sym w:font="Symbol" w:char="F02D"/>
      </w:r>
      <w:r w:rsidR="00E049CB" w:rsidRPr="005E6B7C">
        <w:rPr>
          <w:rFonts w:asciiTheme="majorHAnsi" w:eastAsia="Calibri" w:hAnsiTheme="majorHAnsi" w:cstheme="majorHAnsi"/>
          <w:b/>
          <w:bCs/>
          <w:color w:val="000000" w:themeColor="text1"/>
          <w:kern w:val="2"/>
          <w:sz w:val="18"/>
          <w:szCs w:val="18"/>
          <w14:ligatures w14:val="standardContextual"/>
        </w:rPr>
        <w:t>8</w:t>
      </w:r>
    </w:p>
    <w:p w14:paraId="514F8FAF" w14:textId="77777777" w:rsidR="00F5234A" w:rsidRPr="005E6B7C" w:rsidRDefault="00F5234A" w:rsidP="008C0D47">
      <w:pPr>
        <w:tabs>
          <w:tab w:val="left" w:pos="270"/>
          <w:tab w:val="left" w:pos="9270"/>
        </w:tabs>
        <w:ind w:right="-20"/>
        <w:jc w:val="both"/>
        <w:rPr>
          <w:rFonts w:asciiTheme="majorHAnsi" w:eastAsia="Times New Roman" w:hAnsiTheme="majorHAnsi" w:cstheme="majorHAnsi"/>
          <w:color w:val="000000" w:themeColor="text1"/>
          <w:sz w:val="22"/>
          <w:szCs w:val="22"/>
        </w:rPr>
      </w:pPr>
    </w:p>
    <w:p w14:paraId="74481F36" w14:textId="77777777" w:rsidR="00FC534C" w:rsidRPr="005E6B7C" w:rsidRDefault="00FC534C"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sectPr w:rsidR="00FC534C" w:rsidRPr="005E6B7C" w:rsidSect="002206BB">
          <w:type w:val="continuous"/>
          <w:pgSz w:w="10773" w:h="15309" w:code="9"/>
          <w:pgMar w:top="907" w:right="851" w:bottom="1418" w:left="851" w:header="397" w:footer="851" w:gutter="0"/>
          <w:cols w:space="284"/>
          <w:docGrid w:linePitch="360"/>
        </w:sectPr>
      </w:pPr>
    </w:p>
    <w:p w14:paraId="0DE25760" w14:textId="77777777" w:rsidR="00FC534C" w:rsidRPr="005E6B7C" w:rsidRDefault="00E049CB"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pacing w:val="4"/>
          <w:sz w:val="22"/>
          <w:szCs w:val="22"/>
        </w:rPr>
      </w:pPr>
      <w:r w:rsidRPr="005E6B7C">
        <w:rPr>
          <w:rFonts w:asciiTheme="majorHAnsi" w:eastAsia="Times New Roman" w:hAnsiTheme="majorHAnsi" w:cstheme="majorHAnsi"/>
          <w:color w:val="000000" w:themeColor="text1"/>
          <w:spacing w:val="4"/>
          <w:sz w:val="22"/>
          <w:szCs w:val="22"/>
        </w:rPr>
        <w:t xml:space="preserve">Compound </w:t>
      </w:r>
      <w:r w:rsidRPr="005E6B7C">
        <w:rPr>
          <w:rFonts w:asciiTheme="majorHAnsi" w:eastAsia="Times New Roman" w:hAnsiTheme="majorHAnsi" w:cstheme="majorHAnsi"/>
          <w:b/>
          <w:bCs/>
          <w:color w:val="000000" w:themeColor="text1"/>
          <w:spacing w:val="4"/>
          <w:sz w:val="22"/>
          <w:szCs w:val="22"/>
        </w:rPr>
        <w:t>2</w:t>
      </w:r>
      <w:r w:rsidRPr="005E6B7C">
        <w:rPr>
          <w:rFonts w:asciiTheme="majorHAnsi" w:eastAsia="Times New Roman" w:hAnsiTheme="majorHAnsi" w:cstheme="majorHAnsi"/>
          <w:color w:val="000000" w:themeColor="text1"/>
          <w:spacing w:val="4"/>
          <w:sz w:val="22"/>
          <w:szCs w:val="22"/>
        </w:rPr>
        <w:t xml:space="preserve"> was obtained as a white powder. The negative ESI-MS spectrum displayed an ion </w:t>
      </w:r>
      <w:r w:rsidRPr="005E6B7C">
        <w:rPr>
          <w:rFonts w:asciiTheme="majorHAnsi" w:eastAsia="Times New Roman" w:hAnsiTheme="majorHAnsi" w:cstheme="majorHAnsi"/>
          <w:i/>
          <w:color w:val="000000" w:themeColor="text1"/>
          <w:spacing w:val="4"/>
          <w:sz w:val="22"/>
          <w:szCs w:val="22"/>
        </w:rPr>
        <w:t>m/z</w:t>
      </w:r>
      <w:r w:rsidRPr="005E6B7C">
        <w:rPr>
          <w:rFonts w:asciiTheme="majorHAnsi" w:eastAsia="Times New Roman" w:hAnsiTheme="majorHAnsi" w:cstheme="majorHAnsi"/>
          <w:color w:val="000000" w:themeColor="text1"/>
          <w:spacing w:val="4"/>
          <w:sz w:val="22"/>
          <w:szCs w:val="22"/>
        </w:rPr>
        <w:t xml:space="preserve"> 357 [M−H]</w:t>
      </w:r>
      <w:r w:rsidRPr="005E6B7C">
        <w:rPr>
          <w:rFonts w:asciiTheme="majorHAnsi" w:eastAsia="Times New Roman" w:hAnsiTheme="majorHAnsi" w:cstheme="majorHAnsi"/>
          <w:color w:val="000000" w:themeColor="text1"/>
          <w:spacing w:val="4"/>
          <w:sz w:val="22"/>
          <w:szCs w:val="22"/>
          <w:vertAlign w:val="superscript"/>
        </w:rPr>
        <w:t>−</w:t>
      </w:r>
      <w:r w:rsidRPr="005E6B7C">
        <w:rPr>
          <w:rFonts w:asciiTheme="majorHAnsi" w:eastAsia="Times New Roman" w:hAnsiTheme="majorHAnsi" w:cstheme="majorHAnsi"/>
          <w:color w:val="000000" w:themeColor="text1"/>
          <w:spacing w:val="4"/>
          <w:sz w:val="22"/>
          <w:szCs w:val="22"/>
        </w:rPr>
        <w:t>, which combined with the NMR data, suggested the molecular formula C</w:t>
      </w:r>
      <w:r w:rsidRPr="005E6B7C">
        <w:rPr>
          <w:rFonts w:asciiTheme="majorHAnsi" w:eastAsia="Times New Roman" w:hAnsiTheme="majorHAnsi" w:cstheme="majorHAnsi"/>
          <w:color w:val="000000" w:themeColor="text1"/>
          <w:spacing w:val="4"/>
          <w:sz w:val="22"/>
          <w:szCs w:val="22"/>
          <w:vertAlign w:val="subscript"/>
        </w:rPr>
        <w:t>20</w:t>
      </w:r>
      <w:r w:rsidRPr="005E6B7C">
        <w:rPr>
          <w:rFonts w:asciiTheme="majorHAnsi" w:eastAsia="Times New Roman" w:hAnsiTheme="majorHAnsi" w:cstheme="majorHAnsi"/>
          <w:color w:val="000000" w:themeColor="text1"/>
          <w:spacing w:val="4"/>
          <w:sz w:val="22"/>
          <w:szCs w:val="22"/>
        </w:rPr>
        <w:t>H</w:t>
      </w:r>
      <w:r w:rsidRPr="005E6B7C">
        <w:rPr>
          <w:rFonts w:asciiTheme="majorHAnsi" w:eastAsia="Times New Roman" w:hAnsiTheme="majorHAnsi" w:cstheme="majorHAnsi"/>
          <w:color w:val="000000" w:themeColor="text1"/>
          <w:spacing w:val="4"/>
          <w:sz w:val="22"/>
          <w:szCs w:val="22"/>
          <w:vertAlign w:val="subscript"/>
        </w:rPr>
        <w:t>22</w:t>
      </w:r>
      <w:r w:rsidRPr="005E6B7C">
        <w:rPr>
          <w:rFonts w:asciiTheme="majorHAnsi" w:eastAsia="Times New Roman" w:hAnsiTheme="majorHAnsi" w:cstheme="majorHAnsi"/>
          <w:color w:val="000000" w:themeColor="text1"/>
          <w:spacing w:val="4"/>
          <w:sz w:val="22"/>
          <w:szCs w:val="22"/>
        </w:rPr>
        <w:t>O</w:t>
      </w:r>
      <w:r w:rsidRPr="005E6B7C">
        <w:rPr>
          <w:rFonts w:asciiTheme="majorHAnsi" w:eastAsia="Times New Roman" w:hAnsiTheme="majorHAnsi" w:cstheme="majorHAnsi"/>
          <w:color w:val="000000" w:themeColor="text1"/>
          <w:spacing w:val="4"/>
          <w:sz w:val="22"/>
          <w:szCs w:val="22"/>
          <w:vertAlign w:val="subscript"/>
        </w:rPr>
        <w:t>6</w:t>
      </w:r>
      <w:r w:rsidRPr="005E6B7C">
        <w:rPr>
          <w:rFonts w:asciiTheme="majorHAnsi" w:eastAsia="Times New Roman" w:hAnsiTheme="majorHAnsi" w:cstheme="majorHAnsi"/>
          <w:color w:val="000000" w:themeColor="text1"/>
          <w:spacing w:val="4"/>
          <w:sz w:val="22"/>
          <w:szCs w:val="22"/>
        </w:rPr>
        <w:t xml:space="preserve">​. The molecular formula indicated </w:t>
      </w:r>
      <w:r w:rsidR="0044085B" w:rsidRPr="005E6B7C">
        <w:rPr>
          <w:rFonts w:asciiTheme="majorHAnsi" w:eastAsia="Times New Roman" w:hAnsiTheme="majorHAnsi" w:cstheme="majorHAnsi"/>
          <w:color w:val="000000" w:themeColor="text1"/>
          <w:spacing w:val="4"/>
          <w:sz w:val="22"/>
          <w:szCs w:val="22"/>
        </w:rPr>
        <w:t xml:space="preserve">that </w:t>
      </w:r>
      <w:r w:rsidRPr="005E6B7C">
        <w:rPr>
          <w:rFonts w:asciiTheme="majorHAnsi" w:eastAsia="Times New Roman" w:hAnsiTheme="majorHAnsi" w:cstheme="majorHAnsi"/>
          <w:b/>
          <w:color w:val="000000" w:themeColor="text1"/>
          <w:spacing w:val="4"/>
          <w:sz w:val="22"/>
          <w:szCs w:val="22"/>
        </w:rPr>
        <w:t>1</w:t>
      </w:r>
      <w:r w:rsidRPr="005E6B7C">
        <w:rPr>
          <w:rFonts w:asciiTheme="majorHAnsi" w:eastAsia="Times New Roman" w:hAnsiTheme="majorHAnsi" w:cstheme="majorHAnsi"/>
          <w:color w:val="000000" w:themeColor="text1"/>
          <w:spacing w:val="4"/>
          <w:sz w:val="22"/>
          <w:szCs w:val="22"/>
        </w:rPr>
        <w:t xml:space="preserve"> has a symmetrical structure with the duplication of NMR signals. The </w:t>
      </w:r>
      <w:r w:rsidRPr="005E6B7C">
        <w:rPr>
          <w:rFonts w:asciiTheme="majorHAnsi" w:eastAsia="Times New Roman" w:hAnsiTheme="majorHAnsi" w:cstheme="majorHAnsi"/>
          <w:color w:val="000000" w:themeColor="text1"/>
          <w:spacing w:val="4"/>
          <w:sz w:val="22"/>
          <w:szCs w:val="22"/>
          <w:vertAlign w:val="superscript"/>
        </w:rPr>
        <w:t>1</w:t>
      </w:r>
      <w:r w:rsidRPr="005E6B7C">
        <w:rPr>
          <w:rFonts w:asciiTheme="majorHAnsi" w:eastAsia="Times New Roman" w:hAnsiTheme="majorHAnsi" w:cstheme="majorHAnsi"/>
          <w:color w:val="000000" w:themeColor="text1"/>
          <w:spacing w:val="4"/>
          <w:sz w:val="22"/>
          <w:szCs w:val="22"/>
        </w:rPr>
        <w:t xml:space="preserve">H-NMR spectrum showed the presence of 22 protons, including six protons belonging to two ABX aromatic ring systems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6.98 (2H, d, </w:t>
      </w:r>
      <w:r w:rsidRPr="005E6B7C">
        <w:rPr>
          <w:rFonts w:asciiTheme="majorHAnsi" w:eastAsia="Times New Roman" w:hAnsiTheme="majorHAnsi" w:cstheme="majorHAnsi"/>
          <w:i/>
          <w:iCs/>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1.8 Hz, H-2, H-2'), 6.83 (2H, dd, </w:t>
      </w:r>
      <w:r w:rsidRPr="005E6B7C">
        <w:rPr>
          <w:rFonts w:asciiTheme="majorHAnsi" w:eastAsia="Times New Roman" w:hAnsiTheme="majorHAnsi" w:cstheme="majorHAnsi"/>
          <w:i/>
          <w:iCs/>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8.4, 1.8 Hz, H-6, H-6'), and 6.78 (2H, d, </w:t>
      </w:r>
      <w:r w:rsidRPr="005E6B7C">
        <w:rPr>
          <w:rFonts w:asciiTheme="majorHAnsi" w:eastAsia="Times New Roman" w:hAnsiTheme="majorHAnsi" w:cstheme="majorHAnsi"/>
          <w:i/>
          <w:iCs/>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8.0 Hz, H-5, H-5'); two oxymethine protons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4.67 (2H, d, </w:t>
      </w:r>
      <w:r w:rsidRPr="005E6B7C">
        <w:rPr>
          <w:rFonts w:asciiTheme="majorHAnsi" w:eastAsia="Times New Roman" w:hAnsiTheme="majorHAnsi" w:cstheme="majorHAnsi"/>
          <w:i/>
          <w:iCs/>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4.2 Hz, H-7, H-7'); four protons of two oxymethylene groups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4.20 (2H, m, Ha-</w:t>
      </w:r>
      <w:r w:rsidRPr="005E6B7C">
        <w:rPr>
          <w:rFonts w:asciiTheme="majorHAnsi" w:eastAsia="Times New Roman" w:hAnsiTheme="majorHAnsi" w:cstheme="majorHAnsi"/>
          <w:color w:val="000000" w:themeColor="text1"/>
          <w:spacing w:val="4"/>
          <w:sz w:val="22"/>
          <w:szCs w:val="22"/>
        </w:rPr>
        <w:t xml:space="preserve">9, Ha-9') and 3.80 (2H, m, Hb-9, Hb-9'); two methoxy groups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3.84 (6H, s, 3-OMe, 3'-OMe); and two methine protons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3.08 (2H, m, H-8, H-8'). The </w:t>
      </w:r>
      <w:r w:rsidRPr="005E6B7C">
        <w:rPr>
          <w:rFonts w:asciiTheme="majorHAnsi" w:eastAsia="Times New Roman" w:hAnsiTheme="majorHAnsi" w:cstheme="majorHAnsi"/>
          <w:color w:val="000000" w:themeColor="text1"/>
          <w:spacing w:val="4"/>
          <w:sz w:val="22"/>
          <w:szCs w:val="22"/>
          <w:vertAlign w:val="superscript"/>
        </w:rPr>
        <w:t>13</w:t>
      </w:r>
      <w:r w:rsidRPr="005E6B7C">
        <w:rPr>
          <w:rFonts w:asciiTheme="majorHAnsi" w:eastAsia="Times New Roman" w:hAnsiTheme="majorHAnsi" w:cstheme="majorHAnsi"/>
          <w:color w:val="000000" w:themeColor="text1"/>
          <w:spacing w:val="4"/>
          <w:sz w:val="22"/>
          <w:szCs w:val="22"/>
        </w:rPr>
        <w:t xml:space="preserve">C-NMR spectrum exhibited 10 signals for 20 carbons, including 12 aromatic carbon signals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C</w:t>
      </w:r>
      <w:r w:rsidRPr="005E6B7C">
        <w:rPr>
          <w:rFonts w:asciiTheme="majorHAnsi" w:eastAsia="Times New Roman" w:hAnsiTheme="majorHAnsi" w:cstheme="majorHAnsi"/>
          <w:color w:val="000000" w:themeColor="text1"/>
          <w:spacing w:val="4"/>
          <w:sz w:val="22"/>
          <w:szCs w:val="22"/>
        </w:rPr>
        <w:t xml:space="preserve">​ 133.8 (C-1, C-1'), 111.0 (C-2, C-2'), 149.1 (C-3, C-3'), 147.3 (C-4, C-4'), 116.1 (C-5, C-5'), and 120.1 (C-6, C-6'); two oxymethine carbons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C</w:t>
      </w:r>
      <w:r w:rsidRPr="005E6B7C">
        <w:rPr>
          <w:rFonts w:asciiTheme="majorHAnsi" w:eastAsia="Times New Roman" w:hAnsiTheme="majorHAnsi" w:cstheme="majorHAnsi"/>
          <w:color w:val="000000" w:themeColor="text1"/>
          <w:spacing w:val="4"/>
          <w:sz w:val="22"/>
          <w:szCs w:val="22"/>
        </w:rPr>
        <w:t xml:space="preserve"> 87.5 (C-7, C-7'); two oxymethylene carbons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C</w:t>
      </w:r>
      <w:r w:rsidRPr="005E6B7C">
        <w:rPr>
          <w:rFonts w:asciiTheme="majorHAnsi" w:eastAsia="Times New Roman" w:hAnsiTheme="majorHAnsi" w:cstheme="majorHAnsi"/>
          <w:color w:val="000000" w:themeColor="text1"/>
          <w:spacing w:val="4"/>
          <w:sz w:val="22"/>
          <w:szCs w:val="22"/>
        </w:rPr>
        <w:t xml:space="preserve"> 72.6 (C-9, C-9'); two methoxy carbons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C</w:t>
      </w:r>
      <w:r w:rsidRPr="005E6B7C">
        <w:rPr>
          <w:rFonts w:asciiTheme="majorHAnsi" w:eastAsia="Times New Roman" w:hAnsiTheme="majorHAnsi" w:cstheme="majorHAnsi"/>
          <w:color w:val="000000" w:themeColor="text1"/>
          <w:spacing w:val="4"/>
          <w:sz w:val="22"/>
          <w:szCs w:val="22"/>
        </w:rPr>
        <w:t xml:space="preserve"> 56.5 (3-OMe, 3'-OMe); and two methine carbons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C</w:t>
      </w:r>
      <w:r w:rsidRPr="005E6B7C">
        <w:rPr>
          <w:rFonts w:asciiTheme="majorHAnsi" w:eastAsia="Times New Roman" w:hAnsiTheme="majorHAnsi" w:cstheme="majorHAnsi"/>
          <w:color w:val="000000" w:themeColor="text1"/>
          <w:spacing w:val="4"/>
          <w:sz w:val="22"/>
          <w:szCs w:val="22"/>
        </w:rPr>
        <w:t xml:space="preserve">​ 55.3 (C-8, C-8'). Based on the above spectral data and comparison with the reported literature [11], </w:t>
      </w:r>
      <w:r w:rsidRPr="005E6B7C">
        <w:rPr>
          <w:rFonts w:asciiTheme="majorHAnsi" w:eastAsia="Times New Roman" w:hAnsiTheme="majorHAnsi" w:cstheme="majorHAnsi"/>
          <w:b/>
          <w:bCs/>
          <w:color w:val="000000" w:themeColor="text1"/>
          <w:spacing w:val="4"/>
          <w:sz w:val="22"/>
          <w:szCs w:val="22"/>
        </w:rPr>
        <w:t>2</w:t>
      </w:r>
      <w:r w:rsidRPr="005E6B7C">
        <w:rPr>
          <w:rFonts w:asciiTheme="majorHAnsi" w:eastAsia="Times New Roman" w:hAnsiTheme="majorHAnsi" w:cstheme="majorHAnsi"/>
          <w:color w:val="000000" w:themeColor="text1"/>
          <w:spacing w:val="4"/>
          <w:sz w:val="22"/>
          <w:szCs w:val="22"/>
        </w:rPr>
        <w:t xml:space="preserve"> was identified as pinoresinol.</w:t>
      </w:r>
    </w:p>
    <w:p w14:paraId="3F3EC1FC" w14:textId="77777777" w:rsidR="00FC534C" w:rsidRPr="005E6B7C" w:rsidRDefault="00FC534C"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sectPr w:rsidR="00FC534C" w:rsidRPr="005E6B7C" w:rsidSect="00FC534C">
          <w:type w:val="continuous"/>
          <w:pgSz w:w="10773" w:h="15309" w:code="9"/>
          <w:pgMar w:top="907" w:right="851" w:bottom="1418" w:left="851" w:header="397" w:footer="851" w:gutter="0"/>
          <w:cols w:num="2" w:space="284"/>
          <w:docGrid w:linePitch="360"/>
        </w:sectPr>
      </w:pPr>
    </w:p>
    <w:p w14:paraId="65A4BEA8" w14:textId="77777777" w:rsidR="00E049CB" w:rsidRPr="005E6B7C" w:rsidRDefault="00E049CB" w:rsidP="008C0D47">
      <w:pPr>
        <w:tabs>
          <w:tab w:val="left" w:pos="270"/>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ko-KR"/>
        </w:rPr>
        <w:t xml:space="preserve"> and </w:t>
      </w:r>
      <w:r w:rsidRPr="005E6B7C">
        <w:rPr>
          <w:rFonts w:asciiTheme="majorHAnsi" w:eastAsia="Yu Mincho" w:hAnsiTheme="majorHAnsi" w:cstheme="majorHAnsi"/>
          <w:color w:val="000000" w:themeColor="text1"/>
          <w:sz w:val="18"/>
          <w:szCs w:val="18"/>
          <w:vertAlign w:val="superscript"/>
          <w:lang w:eastAsia="ko-KR"/>
        </w:rPr>
        <w:t>13</w:t>
      </w:r>
      <w:r w:rsidRPr="005E6B7C">
        <w:rPr>
          <w:rFonts w:asciiTheme="majorHAnsi" w:eastAsia="Yu Mincho" w:hAnsiTheme="majorHAnsi" w:cstheme="majorHAnsi"/>
          <w:color w:val="000000" w:themeColor="text1"/>
          <w:sz w:val="18"/>
          <w:szCs w:val="18"/>
          <w:lang w:eastAsia="ko-KR"/>
        </w:rPr>
        <w:t>C</w:t>
      </w:r>
      <w:r w:rsidR="0044085B" w:rsidRPr="005E6B7C">
        <w:rPr>
          <w:rFonts w:asciiTheme="majorHAnsi" w:eastAsia="Yu Mincho" w:hAnsiTheme="majorHAnsi" w:cstheme="majorHAnsi"/>
          <w:color w:val="000000" w:themeColor="text1"/>
          <w:sz w:val="18"/>
          <w:szCs w:val="18"/>
          <w:lang w:eastAsia="ko-KR"/>
        </w:rPr>
        <w:t>-</w:t>
      </w:r>
      <w:r w:rsidRPr="005E6B7C">
        <w:rPr>
          <w:rFonts w:asciiTheme="majorHAnsi" w:eastAsia="Yu Mincho" w:hAnsiTheme="majorHAnsi" w:cstheme="majorHAnsi"/>
          <w:color w:val="000000" w:themeColor="text1"/>
          <w:sz w:val="18"/>
          <w:szCs w:val="18"/>
          <w:lang w:eastAsia="ko-KR"/>
        </w:rPr>
        <w:t xml:space="preserve">NMR </w:t>
      </w:r>
      <w:r w:rsidRPr="005E6B7C">
        <w:rPr>
          <w:rFonts w:asciiTheme="majorHAnsi" w:eastAsia="Yu Mincho" w:hAnsiTheme="majorHAnsi" w:cstheme="majorHAnsi"/>
          <w:color w:val="000000" w:themeColor="text1"/>
          <w:sz w:val="18"/>
          <w:szCs w:val="18"/>
          <w:lang w:eastAsia="ja-JP"/>
        </w:rPr>
        <w:t xml:space="preserve"> data of compounds </w:t>
      </w:r>
      <w:r w:rsidRPr="005E6B7C">
        <w:rPr>
          <w:rFonts w:asciiTheme="majorHAnsi" w:eastAsia="Yu Mincho" w:hAnsiTheme="majorHAnsi" w:cstheme="majorHAnsi"/>
          <w:b/>
          <w:bCs/>
          <w:color w:val="000000" w:themeColor="text1"/>
          <w:sz w:val="18"/>
          <w:szCs w:val="18"/>
          <w:lang w:eastAsia="ja-JP"/>
        </w:rPr>
        <w:t xml:space="preserve">1 </w:t>
      </w:r>
      <w:r w:rsidRPr="005E6B7C">
        <w:rPr>
          <w:rFonts w:asciiTheme="majorHAnsi" w:eastAsia="Yu Mincho" w:hAnsiTheme="majorHAnsi" w:cstheme="majorHAnsi"/>
          <w:color w:val="000000" w:themeColor="text1"/>
          <w:sz w:val="18"/>
          <w:szCs w:val="18"/>
          <w:lang w:eastAsia="ja-JP"/>
        </w:rPr>
        <w:t>and</w:t>
      </w:r>
      <w:r w:rsidRPr="005E6B7C">
        <w:rPr>
          <w:rFonts w:asciiTheme="majorHAnsi" w:eastAsia="Yu Mincho" w:hAnsiTheme="majorHAnsi" w:cstheme="majorHAnsi"/>
          <w:b/>
          <w:bCs/>
          <w:color w:val="000000" w:themeColor="text1"/>
          <w:sz w:val="18"/>
          <w:szCs w:val="18"/>
          <w:lang w:eastAsia="ja-JP"/>
        </w:rPr>
        <w:t xml:space="preserve"> 2</w:t>
      </w:r>
    </w:p>
    <w:tbl>
      <w:tblPr>
        <w:tblStyle w:val="TableGridLight12"/>
        <w:tblW w:w="907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1"/>
        <w:gridCol w:w="1713"/>
        <w:gridCol w:w="980"/>
        <w:gridCol w:w="993"/>
        <w:gridCol w:w="869"/>
        <w:gridCol w:w="1824"/>
        <w:gridCol w:w="974"/>
        <w:gridCol w:w="869"/>
      </w:tblGrid>
      <w:tr w:rsidR="006623AD" w:rsidRPr="005E6B7C" w14:paraId="563733E1" w14:textId="77777777" w:rsidTr="00311337">
        <w:trPr>
          <w:tblHeader/>
          <w:jc w:val="center"/>
        </w:trPr>
        <w:tc>
          <w:tcPr>
            <w:tcW w:w="851" w:type="dxa"/>
            <w:vMerge w:val="restart"/>
            <w:vAlign w:val="center"/>
            <w:hideMark/>
          </w:tcPr>
          <w:p w14:paraId="7C331243"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Pos.</w:t>
            </w:r>
          </w:p>
        </w:tc>
        <w:tc>
          <w:tcPr>
            <w:tcW w:w="2693" w:type="dxa"/>
            <w:gridSpan w:val="2"/>
            <w:vAlign w:val="center"/>
            <w:hideMark/>
          </w:tcPr>
          <w:p w14:paraId="4E508F5F" w14:textId="33A0AB3F"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1</w:t>
            </w:r>
          </w:p>
        </w:tc>
        <w:tc>
          <w:tcPr>
            <w:tcW w:w="993" w:type="dxa"/>
            <w:vMerge w:val="restart"/>
            <w:vAlign w:val="center"/>
          </w:tcPr>
          <w:p w14:paraId="0399133F" w14:textId="3CC8A72B"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a,d</w:t>
            </w:r>
            <w:r w:rsidRPr="005E6B7C">
              <w:rPr>
                <w:rFonts w:asciiTheme="majorHAnsi" w:eastAsia="Times New Roman" w:hAnsiTheme="majorHAnsi" w:cstheme="majorHAnsi"/>
                <w:b/>
                <w:bCs/>
                <w:color w:val="000000" w:themeColor="text1"/>
                <w:sz w:val="18"/>
                <w:szCs w:val="18"/>
                <w:lang w:eastAsia="ja-JP"/>
              </w:rPr>
              <w:t xml:space="preserve"> [10]</w:t>
            </w:r>
          </w:p>
        </w:tc>
        <w:tc>
          <w:tcPr>
            <w:tcW w:w="869" w:type="dxa"/>
            <w:vMerge w:val="restart"/>
            <w:vAlign w:val="center"/>
          </w:tcPr>
          <w:p w14:paraId="2284024C"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Pos.</w:t>
            </w:r>
          </w:p>
        </w:tc>
        <w:tc>
          <w:tcPr>
            <w:tcW w:w="2798" w:type="dxa"/>
            <w:gridSpan w:val="2"/>
            <w:vAlign w:val="center"/>
          </w:tcPr>
          <w:p w14:paraId="3D58F01B" w14:textId="162E933B"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2</w:t>
            </w:r>
          </w:p>
        </w:tc>
        <w:tc>
          <w:tcPr>
            <w:tcW w:w="869" w:type="dxa"/>
            <w:vMerge w:val="restart"/>
            <w:vAlign w:val="center"/>
          </w:tcPr>
          <w:p w14:paraId="18001520" w14:textId="18DFADCB"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e,c</w:t>
            </w:r>
            <w:r w:rsidRPr="005E6B7C">
              <w:rPr>
                <w:rFonts w:asciiTheme="majorHAnsi" w:eastAsia="Times New Roman" w:hAnsiTheme="majorHAnsi" w:cstheme="majorHAnsi"/>
                <w:b/>
                <w:bCs/>
                <w:color w:val="000000" w:themeColor="text1"/>
                <w:sz w:val="18"/>
                <w:szCs w:val="18"/>
                <w:lang w:eastAsia="ja-JP"/>
              </w:rPr>
              <w:t xml:space="preserve"> [11]</w:t>
            </w:r>
          </w:p>
        </w:tc>
      </w:tr>
      <w:tr w:rsidR="006623AD" w:rsidRPr="005E6B7C" w14:paraId="3B614EE1" w14:textId="77777777" w:rsidTr="00311337">
        <w:trPr>
          <w:tblHeader/>
          <w:jc w:val="center"/>
        </w:trPr>
        <w:tc>
          <w:tcPr>
            <w:tcW w:w="851" w:type="dxa"/>
            <w:vMerge/>
            <w:vAlign w:val="center"/>
          </w:tcPr>
          <w:p w14:paraId="1ECE34FA"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p>
        </w:tc>
        <w:tc>
          <w:tcPr>
            <w:tcW w:w="1713" w:type="dxa"/>
            <w:vAlign w:val="center"/>
            <w:hideMark/>
          </w:tcPr>
          <w:p w14:paraId="67D3266C" w14:textId="19E64960"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H</w:t>
            </w:r>
            <w:r w:rsidRPr="005E6B7C">
              <w:rPr>
                <w:rFonts w:asciiTheme="majorHAnsi" w:eastAsia="Times New Roman" w:hAnsiTheme="majorHAnsi" w:cstheme="majorHAnsi"/>
                <w:b/>
                <w:bCs/>
                <w:color w:val="000000" w:themeColor="text1"/>
                <w:sz w:val="18"/>
                <w:szCs w:val="18"/>
                <w:vertAlign w:val="superscript"/>
                <w:lang w:eastAsia="ja-JP"/>
              </w:rPr>
              <w:t>a,b</w:t>
            </w:r>
            <w:r w:rsidRPr="005E6B7C">
              <w:rPr>
                <w:rFonts w:asciiTheme="majorHAnsi" w:eastAsia="Times New Roman" w:hAnsiTheme="majorHAnsi" w:cstheme="majorHAnsi"/>
                <w:b/>
                <w:bCs/>
                <w:color w:val="000000" w:themeColor="text1"/>
                <w:sz w:val="18"/>
                <w:szCs w:val="18"/>
                <w:lang w:eastAsia="ja-JP"/>
              </w:rPr>
              <w:t xml:space="preserve"> mult. (</w:t>
            </w:r>
            <w:r w:rsidRPr="005E6B7C">
              <w:rPr>
                <w:rFonts w:asciiTheme="majorHAnsi" w:eastAsia="Times New Roman" w:hAnsiTheme="majorHAnsi" w:cstheme="majorHAnsi"/>
                <w:b/>
                <w:bCs/>
                <w:i/>
                <w:iCs/>
                <w:color w:val="000000" w:themeColor="text1"/>
                <w:sz w:val="18"/>
                <w:szCs w:val="18"/>
                <w:lang w:eastAsia="ja-JP"/>
              </w:rPr>
              <w:t>J</w:t>
            </w:r>
            <w:r w:rsidRPr="005E6B7C">
              <w:rPr>
                <w:rFonts w:asciiTheme="majorHAnsi" w:eastAsia="Times New Roman" w:hAnsiTheme="majorHAnsi" w:cstheme="majorHAnsi"/>
                <w:b/>
                <w:bCs/>
                <w:color w:val="000000" w:themeColor="text1"/>
                <w:sz w:val="18"/>
                <w:szCs w:val="18"/>
                <w:lang w:eastAsia="ja-JP"/>
              </w:rPr>
              <w:t xml:space="preserve"> in Hz)</w:t>
            </w:r>
          </w:p>
        </w:tc>
        <w:tc>
          <w:tcPr>
            <w:tcW w:w="980" w:type="dxa"/>
            <w:vAlign w:val="center"/>
            <w:hideMark/>
          </w:tcPr>
          <w:p w14:paraId="2A75E1A4"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993" w:type="dxa"/>
            <w:vMerge/>
          </w:tcPr>
          <w:p w14:paraId="075E1358" w14:textId="063B5AB5"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p>
        </w:tc>
        <w:tc>
          <w:tcPr>
            <w:tcW w:w="869" w:type="dxa"/>
            <w:vMerge/>
            <w:vAlign w:val="center"/>
          </w:tcPr>
          <w:p w14:paraId="3F18C460"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p>
        </w:tc>
        <w:tc>
          <w:tcPr>
            <w:tcW w:w="1824" w:type="dxa"/>
            <w:vAlign w:val="center"/>
          </w:tcPr>
          <w:p w14:paraId="34327390"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H</w:t>
            </w:r>
            <w:r w:rsidRPr="005E6B7C">
              <w:rPr>
                <w:rFonts w:asciiTheme="majorHAnsi" w:eastAsia="Times New Roman" w:hAnsiTheme="majorHAnsi" w:cstheme="majorHAnsi"/>
                <w:b/>
                <w:bCs/>
                <w:color w:val="000000" w:themeColor="text1"/>
                <w:sz w:val="18"/>
                <w:szCs w:val="18"/>
                <w:vertAlign w:val="superscript"/>
                <w:lang w:eastAsia="ja-JP"/>
              </w:rPr>
              <w:t>e,b</w:t>
            </w:r>
            <w:r w:rsidRPr="005E6B7C">
              <w:rPr>
                <w:rFonts w:asciiTheme="majorHAnsi" w:eastAsia="Times New Roman" w:hAnsiTheme="majorHAnsi" w:cstheme="majorHAnsi"/>
                <w:b/>
                <w:bCs/>
                <w:color w:val="000000" w:themeColor="text1"/>
                <w:sz w:val="18"/>
                <w:szCs w:val="18"/>
                <w:lang w:eastAsia="ja-JP"/>
              </w:rPr>
              <w:t>, mult. (</w:t>
            </w:r>
            <w:r w:rsidRPr="005E6B7C">
              <w:rPr>
                <w:rFonts w:asciiTheme="majorHAnsi" w:eastAsia="Times New Roman" w:hAnsiTheme="majorHAnsi" w:cstheme="majorHAnsi"/>
                <w:b/>
                <w:bCs/>
                <w:i/>
                <w:iCs/>
                <w:color w:val="000000" w:themeColor="text1"/>
                <w:sz w:val="18"/>
                <w:szCs w:val="18"/>
                <w:lang w:eastAsia="ja-JP"/>
              </w:rPr>
              <w:t>J</w:t>
            </w:r>
            <w:r w:rsidRPr="005E6B7C">
              <w:rPr>
                <w:rFonts w:asciiTheme="majorHAnsi" w:eastAsia="Times New Roman" w:hAnsiTheme="majorHAnsi" w:cstheme="majorHAnsi"/>
                <w:b/>
                <w:bCs/>
                <w:color w:val="000000" w:themeColor="text1"/>
                <w:sz w:val="18"/>
                <w:szCs w:val="18"/>
                <w:lang w:eastAsia="ja-JP"/>
              </w:rPr>
              <w:t xml:space="preserve"> in Hz)</w:t>
            </w:r>
          </w:p>
        </w:tc>
        <w:tc>
          <w:tcPr>
            <w:tcW w:w="974" w:type="dxa"/>
            <w:vAlign w:val="center"/>
          </w:tcPr>
          <w:p w14:paraId="0E88293E" w14:textId="77777777"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e,c</w:t>
            </w:r>
          </w:p>
        </w:tc>
        <w:tc>
          <w:tcPr>
            <w:tcW w:w="869" w:type="dxa"/>
            <w:vMerge/>
            <w:vAlign w:val="center"/>
          </w:tcPr>
          <w:p w14:paraId="18A2DF68" w14:textId="5C415FBA" w:rsidR="006623AD" w:rsidRPr="005E6B7C" w:rsidRDefault="006623AD" w:rsidP="003115FB">
            <w:pPr>
              <w:tabs>
                <w:tab w:val="left" w:pos="270"/>
                <w:tab w:val="left" w:pos="9270"/>
              </w:tabs>
              <w:suppressAutoHyphens w:val="0"/>
              <w:ind w:right="-20"/>
              <w:jc w:val="center"/>
              <w:rPr>
                <w:rFonts w:asciiTheme="majorHAnsi" w:eastAsia="Times New Roman" w:hAnsiTheme="majorHAnsi" w:cstheme="majorHAnsi"/>
                <w:b/>
                <w:bCs/>
                <w:i/>
                <w:iCs/>
                <w:color w:val="000000" w:themeColor="text1"/>
                <w:sz w:val="18"/>
                <w:szCs w:val="18"/>
                <w:lang w:eastAsia="ja-JP"/>
              </w:rPr>
            </w:pPr>
          </w:p>
        </w:tc>
      </w:tr>
      <w:tr w:rsidR="003B14F8" w:rsidRPr="005E6B7C" w14:paraId="41BBB1FA" w14:textId="77777777" w:rsidTr="00311337">
        <w:trPr>
          <w:jc w:val="center"/>
        </w:trPr>
        <w:tc>
          <w:tcPr>
            <w:tcW w:w="851" w:type="dxa"/>
            <w:vAlign w:val="center"/>
          </w:tcPr>
          <w:p w14:paraId="1F1BED20" w14:textId="6D7EFAE6"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p>
        </w:tc>
        <w:tc>
          <w:tcPr>
            <w:tcW w:w="1713" w:type="dxa"/>
            <w:vAlign w:val="center"/>
          </w:tcPr>
          <w:p w14:paraId="0D64A0DF"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687C3FFC" w14:textId="4096546B"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111.0</w:t>
            </w:r>
          </w:p>
        </w:tc>
        <w:tc>
          <w:tcPr>
            <w:tcW w:w="993" w:type="dxa"/>
            <w:vAlign w:val="center"/>
          </w:tcPr>
          <w:p w14:paraId="01AF9080" w14:textId="1C86028F"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111.2</w:t>
            </w:r>
          </w:p>
        </w:tc>
        <w:tc>
          <w:tcPr>
            <w:tcW w:w="869" w:type="dxa"/>
            <w:vAlign w:val="center"/>
          </w:tcPr>
          <w:p w14:paraId="47472BD5" w14:textId="5BD8423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1, 1</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1069601A"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p>
        </w:tc>
        <w:tc>
          <w:tcPr>
            <w:tcW w:w="974" w:type="dxa"/>
            <w:vAlign w:val="center"/>
          </w:tcPr>
          <w:p w14:paraId="35988822" w14:textId="24363C2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133.8</w:t>
            </w:r>
          </w:p>
        </w:tc>
        <w:tc>
          <w:tcPr>
            <w:tcW w:w="869" w:type="dxa"/>
            <w:vAlign w:val="center"/>
          </w:tcPr>
          <w:p w14:paraId="37AB4D27" w14:textId="7C37A76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133.8</w:t>
            </w:r>
          </w:p>
        </w:tc>
      </w:tr>
      <w:tr w:rsidR="003B14F8" w:rsidRPr="005E6B7C" w14:paraId="47B94CDE" w14:textId="77777777" w:rsidTr="00311337">
        <w:trPr>
          <w:jc w:val="center"/>
        </w:trPr>
        <w:tc>
          <w:tcPr>
            <w:tcW w:w="851" w:type="dxa"/>
            <w:vAlign w:val="center"/>
          </w:tcPr>
          <w:p w14:paraId="58A7915F" w14:textId="6E02836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w:t>
            </w:r>
          </w:p>
        </w:tc>
        <w:tc>
          <w:tcPr>
            <w:tcW w:w="1713" w:type="dxa"/>
            <w:vAlign w:val="center"/>
          </w:tcPr>
          <w:p w14:paraId="2F80C347"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79D0457E" w14:textId="4504DE8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141.0</w:t>
            </w:r>
          </w:p>
        </w:tc>
        <w:tc>
          <w:tcPr>
            <w:tcW w:w="993" w:type="dxa"/>
            <w:vAlign w:val="center"/>
          </w:tcPr>
          <w:p w14:paraId="4606F6A6" w14:textId="51BF673F"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140.9</w:t>
            </w:r>
          </w:p>
        </w:tc>
        <w:tc>
          <w:tcPr>
            <w:tcW w:w="869" w:type="dxa"/>
            <w:vAlign w:val="center"/>
          </w:tcPr>
          <w:p w14:paraId="14310C28" w14:textId="175FBFF4"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2, 2</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38AC29CE" w14:textId="5966E2B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Yu Mincho" w:hAnsiTheme="majorHAnsi" w:cstheme="majorHAnsi"/>
                <w:color w:val="000000" w:themeColor="text1"/>
                <w:sz w:val="18"/>
                <w:szCs w:val="18"/>
                <w:lang w:eastAsia="ja-JP"/>
              </w:rPr>
              <w:t>6.98, d (1</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8)</w:t>
            </w:r>
          </w:p>
        </w:tc>
        <w:tc>
          <w:tcPr>
            <w:tcW w:w="974" w:type="dxa"/>
            <w:vAlign w:val="center"/>
          </w:tcPr>
          <w:p w14:paraId="3FCCA46B" w14:textId="5C55161E"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111.0</w:t>
            </w:r>
          </w:p>
        </w:tc>
        <w:tc>
          <w:tcPr>
            <w:tcW w:w="869" w:type="dxa"/>
            <w:vAlign w:val="center"/>
          </w:tcPr>
          <w:p w14:paraId="28CC7BE2" w14:textId="3D9DE1D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111.9</w:t>
            </w:r>
          </w:p>
        </w:tc>
      </w:tr>
      <w:tr w:rsidR="003B14F8" w:rsidRPr="005E6B7C" w14:paraId="5415BAFC" w14:textId="77777777" w:rsidTr="00311337">
        <w:trPr>
          <w:jc w:val="center"/>
        </w:trPr>
        <w:tc>
          <w:tcPr>
            <w:tcW w:w="851" w:type="dxa"/>
            <w:vAlign w:val="center"/>
          </w:tcPr>
          <w:p w14:paraId="2AC6AA3B" w14:textId="5520D61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w:t>
            </w:r>
          </w:p>
        </w:tc>
        <w:tc>
          <w:tcPr>
            <w:tcW w:w="1713" w:type="dxa"/>
            <w:vAlign w:val="center"/>
          </w:tcPr>
          <w:p w14:paraId="227D5B26"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3E1E7FBF" w14:textId="2CD4199B"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140.3</w:t>
            </w:r>
          </w:p>
        </w:tc>
        <w:tc>
          <w:tcPr>
            <w:tcW w:w="993" w:type="dxa"/>
            <w:vAlign w:val="center"/>
          </w:tcPr>
          <w:p w14:paraId="33178C0B" w14:textId="3E90519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140.2</w:t>
            </w:r>
          </w:p>
        </w:tc>
        <w:tc>
          <w:tcPr>
            <w:tcW w:w="869" w:type="dxa"/>
            <w:vAlign w:val="center"/>
          </w:tcPr>
          <w:p w14:paraId="29644AAE" w14:textId="675D18DC"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3, 3</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0791B009"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74" w:type="dxa"/>
            <w:vAlign w:val="center"/>
          </w:tcPr>
          <w:p w14:paraId="7B1AECEF" w14:textId="1761D8F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149.1</w:t>
            </w:r>
          </w:p>
        </w:tc>
        <w:tc>
          <w:tcPr>
            <w:tcW w:w="869" w:type="dxa"/>
            <w:vAlign w:val="center"/>
          </w:tcPr>
          <w:p w14:paraId="53007858" w14:textId="792079F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149.1</w:t>
            </w:r>
          </w:p>
        </w:tc>
      </w:tr>
      <w:tr w:rsidR="003B14F8" w:rsidRPr="005E6B7C" w14:paraId="0B629E91" w14:textId="77777777" w:rsidTr="00311337">
        <w:trPr>
          <w:jc w:val="center"/>
        </w:trPr>
        <w:tc>
          <w:tcPr>
            <w:tcW w:w="851" w:type="dxa"/>
            <w:vAlign w:val="center"/>
          </w:tcPr>
          <w:p w14:paraId="60B3286A" w14:textId="4E85FD2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p>
        </w:tc>
        <w:tc>
          <w:tcPr>
            <w:tcW w:w="1713" w:type="dxa"/>
            <w:vAlign w:val="center"/>
          </w:tcPr>
          <w:p w14:paraId="542266AA"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46C960C6" w14:textId="64D9FEB6"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152.9</w:t>
            </w:r>
          </w:p>
        </w:tc>
        <w:tc>
          <w:tcPr>
            <w:tcW w:w="993" w:type="dxa"/>
            <w:vAlign w:val="center"/>
          </w:tcPr>
          <w:p w14:paraId="36925DAD" w14:textId="11E1991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152.6</w:t>
            </w:r>
          </w:p>
        </w:tc>
        <w:tc>
          <w:tcPr>
            <w:tcW w:w="869" w:type="dxa"/>
            <w:vAlign w:val="center"/>
          </w:tcPr>
          <w:p w14:paraId="28209635" w14:textId="1425947C"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4, 4</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052F395D"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p>
        </w:tc>
        <w:tc>
          <w:tcPr>
            <w:tcW w:w="974" w:type="dxa"/>
            <w:vAlign w:val="center"/>
          </w:tcPr>
          <w:p w14:paraId="7FB84A8C" w14:textId="18D3213F"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147.3</w:t>
            </w:r>
          </w:p>
        </w:tc>
        <w:tc>
          <w:tcPr>
            <w:tcW w:w="869" w:type="dxa"/>
            <w:vAlign w:val="center"/>
          </w:tcPr>
          <w:p w14:paraId="5C10CBAD" w14:textId="3A6E69A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147.2</w:t>
            </w:r>
          </w:p>
        </w:tc>
      </w:tr>
      <w:tr w:rsidR="003B14F8" w:rsidRPr="005E6B7C" w14:paraId="70374972" w14:textId="77777777" w:rsidTr="00311337">
        <w:trPr>
          <w:jc w:val="center"/>
        </w:trPr>
        <w:tc>
          <w:tcPr>
            <w:tcW w:w="851" w:type="dxa"/>
            <w:vAlign w:val="center"/>
          </w:tcPr>
          <w:p w14:paraId="6169D7AC" w14:textId="2D10CB43"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w:t>
            </w:r>
          </w:p>
        </w:tc>
        <w:tc>
          <w:tcPr>
            <w:tcW w:w="1713" w:type="dxa"/>
            <w:vAlign w:val="center"/>
          </w:tcPr>
          <w:p w14:paraId="3483C7C3" w14:textId="1328C5F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7.49, s</w:t>
            </w:r>
          </w:p>
        </w:tc>
        <w:tc>
          <w:tcPr>
            <w:tcW w:w="980" w:type="dxa"/>
            <w:vAlign w:val="center"/>
          </w:tcPr>
          <w:p w14:paraId="3E935B5B" w14:textId="738CD4F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111.8</w:t>
            </w:r>
          </w:p>
        </w:tc>
        <w:tc>
          <w:tcPr>
            <w:tcW w:w="993" w:type="dxa"/>
            <w:vAlign w:val="center"/>
          </w:tcPr>
          <w:p w14:paraId="362491E5" w14:textId="4D11267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111.6</w:t>
            </w:r>
          </w:p>
        </w:tc>
        <w:tc>
          <w:tcPr>
            <w:tcW w:w="869" w:type="dxa"/>
            <w:vAlign w:val="center"/>
          </w:tcPr>
          <w:p w14:paraId="33FDBDE2" w14:textId="66B9B48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5, 5</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286A49B7" w14:textId="0FA0B76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6.78, d (8.4)</w:t>
            </w:r>
          </w:p>
        </w:tc>
        <w:tc>
          <w:tcPr>
            <w:tcW w:w="974" w:type="dxa"/>
            <w:vAlign w:val="center"/>
          </w:tcPr>
          <w:p w14:paraId="109AB751" w14:textId="7C60DB84"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ko-KR"/>
              </w:rPr>
              <w:t>116.1</w:t>
            </w:r>
          </w:p>
        </w:tc>
        <w:tc>
          <w:tcPr>
            <w:tcW w:w="869" w:type="dxa"/>
            <w:vAlign w:val="center"/>
          </w:tcPr>
          <w:p w14:paraId="1A775CFE" w14:textId="63A29D0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ko-KR"/>
              </w:rPr>
              <w:t>116.1</w:t>
            </w:r>
          </w:p>
        </w:tc>
      </w:tr>
      <w:tr w:rsidR="003B14F8" w:rsidRPr="005E6B7C" w14:paraId="3A0207F4" w14:textId="77777777" w:rsidTr="00311337">
        <w:trPr>
          <w:jc w:val="center"/>
        </w:trPr>
        <w:tc>
          <w:tcPr>
            <w:tcW w:w="851" w:type="dxa"/>
            <w:vAlign w:val="center"/>
          </w:tcPr>
          <w:p w14:paraId="14099E11" w14:textId="0F690F94"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w:t>
            </w:r>
          </w:p>
        </w:tc>
        <w:tc>
          <w:tcPr>
            <w:tcW w:w="1713" w:type="dxa"/>
            <w:vAlign w:val="center"/>
          </w:tcPr>
          <w:p w14:paraId="5001AB32"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6B117FC4" w14:textId="01DC7BF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112.5</w:t>
            </w:r>
          </w:p>
        </w:tc>
        <w:tc>
          <w:tcPr>
            <w:tcW w:w="993" w:type="dxa"/>
            <w:vAlign w:val="center"/>
          </w:tcPr>
          <w:p w14:paraId="195F83E8" w14:textId="0134099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112.5</w:t>
            </w:r>
          </w:p>
        </w:tc>
        <w:tc>
          <w:tcPr>
            <w:tcW w:w="869" w:type="dxa"/>
            <w:vAlign w:val="center"/>
          </w:tcPr>
          <w:p w14:paraId="00541EF2" w14:textId="4BF1F283"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6, 6</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3633DE37" w14:textId="18372E5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6.83, dd (8.4</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1</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8)</w:t>
            </w:r>
          </w:p>
        </w:tc>
        <w:tc>
          <w:tcPr>
            <w:tcW w:w="974" w:type="dxa"/>
            <w:vAlign w:val="center"/>
          </w:tcPr>
          <w:p w14:paraId="7EE0B593" w14:textId="5A5BA04C"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120.1</w:t>
            </w:r>
          </w:p>
        </w:tc>
        <w:tc>
          <w:tcPr>
            <w:tcW w:w="869" w:type="dxa"/>
            <w:vAlign w:val="center"/>
          </w:tcPr>
          <w:p w14:paraId="0DA2CF94" w14:textId="036C920E"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120.0</w:t>
            </w:r>
          </w:p>
        </w:tc>
      </w:tr>
      <w:tr w:rsidR="003B14F8" w:rsidRPr="005E6B7C" w14:paraId="1A96C924" w14:textId="77777777" w:rsidTr="00311337">
        <w:trPr>
          <w:jc w:val="center"/>
        </w:trPr>
        <w:tc>
          <w:tcPr>
            <w:tcW w:w="851" w:type="dxa"/>
            <w:vAlign w:val="center"/>
          </w:tcPr>
          <w:p w14:paraId="7AF7F567" w14:textId="69C18DB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w:t>
            </w:r>
          </w:p>
        </w:tc>
        <w:tc>
          <w:tcPr>
            <w:tcW w:w="1713" w:type="dxa"/>
            <w:vAlign w:val="center"/>
          </w:tcPr>
          <w:p w14:paraId="158E617D"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123EAFA3" w14:textId="39A48F0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158.4</w:t>
            </w:r>
          </w:p>
        </w:tc>
        <w:tc>
          <w:tcPr>
            <w:tcW w:w="993" w:type="dxa"/>
            <w:vAlign w:val="center"/>
          </w:tcPr>
          <w:p w14:paraId="09E4AEAD" w14:textId="73B0ECA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158.3</w:t>
            </w:r>
          </w:p>
        </w:tc>
        <w:tc>
          <w:tcPr>
            <w:tcW w:w="869" w:type="dxa"/>
            <w:vAlign w:val="center"/>
          </w:tcPr>
          <w:p w14:paraId="250DC7A4" w14:textId="7F13EBE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7, 7</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1CB0992D" w14:textId="362EBEA6"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Yu Mincho" w:hAnsiTheme="majorHAnsi" w:cstheme="majorHAnsi"/>
                <w:color w:val="000000" w:themeColor="text1"/>
                <w:sz w:val="18"/>
                <w:szCs w:val="18"/>
                <w:lang w:eastAsia="ja-JP"/>
              </w:rPr>
              <w:t>4.73, d, (4.2)</w:t>
            </w:r>
          </w:p>
        </w:tc>
        <w:tc>
          <w:tcPr>
            <w:tcW w:w="974" w:type="dxa"/>
            <w:vAlign w:val="center"/>
          </w:tcPr>
          <w:p w14:paraId="3DF10879" w14:textId="5C376CD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87.5</w:t>
            </w:r>
          </w:p>
        </w:tc>
        <w:tc>
          <w:tcPr>
            <w:tcW w:w="869" w:type="dxa"/>
            <w:vAlign w:val="center"/>
          </w:tcPr>
          <w:p w14:paraId="62DEDB7A" w14:textId="0971498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87.4</w:t>
            </w:r>
          </w:p>
        </w:tc>
      </w:tr>
      <w:tr w:rsidR="003B14F8" w:rsidRPr="005E6B7C" w14:paraId="006C2FB9" w14:textId="77777777" w:rsidTr="00311337">
        <w:trPr>
          <w:jc w:val="center"/>
        </w:trPr>
        <w:tc>
          <w:tcPr>
            <w:tcW w:w="851" w:type="dxa"/>
            <w:vAlign w:val="center"/>
          </w:tcPr>
          <w:p w14:paraId="25AF1A2F" w14:textId="3DAC92C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498C4814"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25B5FA4A" w14:textId="18171AD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111.8</w:t>
            </w:r>
          </w:p>
        </w:tc>
        <w:tc>
          <w:tcPr>
            <w:tcW w:w="993" w:type="dxa"/>
            <w:vAlign w:val="center"/>
          </w:tcPr>
          <w:p w14:paraId="514FA640" w14:textId="661B635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111.9</w:t>
            </w:r>
          </w:p>
        </w:tc>
        <w:tc>
          <w:tcPr>
            <w:tcW w:w="869" w:type="dxa"/>
            <w:vAlign w:val="center"/>
          </w:tcPr>
          <w:p w14:paraId="77A9B605" w14:textId="685691A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8, 8</w:t>
            </w:r>
            <w:r w:rsidRPr="005E6B7C">
              <w:rPr>
                <w:rFonts w:asciiTheme="majorHAnsi" w:eastAsia="Yu Mincho" w:hAnsiTheme="majorHAnsi" w:cstheme="majorHAnsi"/>
                <w:color w:val="000000" w:themeColor="text1"/>
                <w:sz w:val="18"/>
                <w:szCs w:val="18"/>
                <w:lang w:eastAsia="ja-JP"/>
              </w:rPr>
              <w:t>'</w:t>
            </w:r>
          </w:p>
        </w:tc>
        <w:tc>
          <w:tcPr>
            <w:tcW w:w="1824" w:type="dxa"/>
            <w:vAlign w:val="center"/>
          </w:tcPr>
          <w:p w14:paraId="44B8D6AD" w14:textId="74D4DF4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3.16, m</w:t>
            </w:r>
          </w:p>
        </w:tc>
        <w:tc>
          <w:tcPr>
            <w:tcW w:w="974" w:type="dxa"/>
            <w:vAlign w:val="center"/>
          </w:tcPr>
          <w:p w14:paraId="0210843E" w14:textId="43104B1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55.3</w:t>
            </w:r>
          </w:p>
        </w:tc>
        <w:tc>
          <w:tcPr>
            <w:tcW w:w="869" w:type="dxa"/>
            <w:vAlign w:val="center"/>
          </w:tcPr>
          <w:p w14:paraId="4EADE662" w14:textId="0A926EA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55.3</w:t>
            </w:r>
          </w:p>
        </w:tc>
      </w:tr>
      <w:tr w:rsidR="003B14F8" w:rsidRPr="005E6B7C" w14:paraId="79691472" w14:textId="77777777" w:rsidTr="00311337">
        <w:trPr>
          <w:jc w:val="center"/>
        </w:trPr>
        <w:tc>
          <w:tcPr>
            <w:tcW w:w="851" w:type="dxa"/>
            <w:vAlign w:val="center"/>
          </w:tcPr>
          <w:p w14:paraId="516F88D3" w14:textId="31207C8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3EE0DE78"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53C38266" w14:textId="63C78A93"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141.4</w:t>
            </w:r>
          </w:p>
        </w:tc>
        <w:tc>
          <w:tcPr>
            <w:tcW w:w="993" w:type="dxa"/>
            <w:vAlign w:val="center"/>
          </w:tcPr>
          <w:p w14:paraId="0E6E76F9" w14:textId="45FF6D4E"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141.5</w:t>
            </w:r>
          </w:p>
        </w:tc>
        <w:tc>
          <w:tcPr>
            <w:tcW w:w="869" w:type="dxa"/>
            <w:vMerge w:val="restart"/>
            <w:vAlign w:val="center"/>
          </w:tcPr>
          <w:p w14:paraId="3ED6E1DC" w14:textId="70B6671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9, 9</w:t>
            </w:r>
            <w:r w:rsidRPr="005E6B7C">
              <w:rPr>
                <w:rFonts w:asciiTheme="majorHAnsi" w:eastAsia="Yu Mincho" w:hAnsiTheme="majorHAnsi" w:cstheme="majorHAnsi"/>
                <w:color w:val="000000" w:themeColor="text1"/>
                <w:sz w:val="18"/>
                <w:szCs w:val="18"/>
                <w:lang w:eastAsia="ja-JP"/>
              </w:rPr>
              <w:t>'</w:t>
            </w:r>
          </w:p>
        </w:tc>
        <w:tc>
          <w:tcPr>
            <w:tcW w:w="1824" w:type="dxa"/>
            <w:vMerge w:val="restart"/>
            <w:vAlign w:val="center"/>
          </w:tcPr>
          <w:p w14:paraId="54A37FA0" w14:textId="612D210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4.25, m/3.85, m</w:t>
            </w:r>
          </w:p>
        </w:tc>
        <w:tc>
          <w:tcPr>
            <w:tcW w:w="974" w:type="dxa"/>
            <w:vMerge w:val="restart"/>
            <w:vAlign w:val="center"/>
          </w:tcPr>
          <w:p w14:paraId="1F63FAA3" w14:textId="2172CB2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72.6</w:t>
            </w:r>
          </w:p>
        </w:tc>
        <w:tc>
          <w:tcPr>
            <w:tcW w:w="869" w:type="dxa"/>
            <w:vMerge w:val="restart"/>
            <w:vAlign w:val="center"/>
          </w:tcPr>
          <w:p w14:paraId="59930D10" w14:textId="3FF0CB5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72.6</w:t>
            </w:r>
          </w:p>
        </w:tc>
      </w:tr>
      <w:tr w:rsidR="003B14F8" w:rsidRPr="005E6B7C" w14:paraId="6808E784" w14:textId="77777777" w:rsidTr="00311337">
        <w:trPr>
          <w:jc w:val="center"/>
        </w:trPr>
        <w:tc>
          <w:tcPr>
            <w:tcW w:w="851" w:type="dxa"/>
            <w:vAlign w:val="center"/>
          </w:tcPr>
          <w:p w14:paraId="4F42605C" w14:textId="48543DBF"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40778882"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44BCA9F5" w14:textId="211827EC"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140.8</w:t>
            </w:r>
          </w:p>
        </w:tc>
        <w:tc>
          <w:tcPr>
            <w:tcW w:w="993" w:type="dxa"/>
            <w:vAlign w:val="center"/>
          </w:tcPr>
          <w:p w14:paraId="14D107D4" w14:textId="0BCF276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140.8</w:t>
            </w:r>
          </w:p>
        </w:tc>
        <w:tc>
          <w:tcPr>
            <w:tcW w:w="869" w:type="dxa"/>
            <w:vMerge/>
            <w:vAlign w:val="center"/>
          </w:tcPr>
          <w:p w14:paraId="3226121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Merge/>
            <w:vAlign w:val="center"/>
          </w:tcPr>
          <w:p w14:paraId="79915139"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74" w:type="dxa"/>
            <w:vMerge/>
            <w:vAlign w:val="center"/>
          </w:tcPr>
          <w:p w14:paraId="56E5F97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vMerge/>
            <w:vAlign w:val="center"/>
          </w:tcPr>
          <w:p w14:paraId="4FA0D49A"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r>
      <w:tr w:rsidR="003B14F8" w:rsidRPr="005E6B7C" w14:paraId="5D349198" w14:textId="77777777" w:rsidTr="00311337">
        <w:trPr>
          <w:jc w:val="center"/>
        </w:trPr>
        <w:tc>
          <w:tcPr>
            <w:tcW w:w="851" w:type="dxa"/>
            <w:vAlign w:val="center"/>
          </w:tcPr>
          <w:p w14:paraId="38A6AF69" w14:textId="524DD0A3"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6DA41DA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4C1310BF" w14:textId="420E22C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153.8</w:t>
            </w:r>
          </w:p>
        </w:tc>
        <w:tc>
          <w:tcPr>
            <w:tcW w:w="993" w:type="dxa"/>
            <w:vAlign w:val="center"/>
          </w:tcPr>
          <w:p w14:paraId="12765152" w14:textId="0206938B"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153.8</w:t>
            </w:r>
          </w:p>
        </w:tc>
        <w:tc>
          <w:tcPr>
            <w:tcW w:w="869" w:type="dxa"/>
            <w:vAlign w:val="center"/>
          </w:tcPr>
          <w:p w14:paraId="601A79C6" w14:textId="0C5A57D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3-OMe</w:t>
            </w:r>
          </w:p>
        </w:tc>
        <w:tc>
          <w:tcPr>
            <w:tcW w:w="1824" w:type="dxa"/>
            <w:vAlign w:val="center"/>
          </w:tcPr>
          <w:p w14:paraId="72BE899A" w14:textId="5637251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Times New Roman" w:hAnsiTheme="majorHAnsi" w:cstheme="majorHAnsi"/>
                <w:color w:val="000000" w:themeColor="text1"/>
                <w:sz w:val="18"/>
                <w:szCs w:val="18"/>
                <w:lang w:eastAsia="ja-JP"/>
              </w:rPr>
              <w:t>3.87, s</w:t>
            </w:r>
          </w:p>
        </w:tc>
        <w:tc>
          <w:tcPr>
            <w:tcW w:w="974" w:type="dxa"/>
            <w:vAlign w:val="center"/>
          </w:tcPr>
          <w:p w14:paraId="12B1CFA3" w14:textId="533A3F2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ko-KR"/>
              </w:rPr>
              <w:t>56.5</w:t>
            </w:r>
          </w:p>
        </w:tc>
        <w:tc>
          <w:tcPr>
            <w:tcW w:w="869" w:type="dxa"/>
            <w:vAlign w:val="center"/>
          </w:tcPr>
          <w:p w14:paraId="4A7748E7" w14:textId="1C07A639"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ko-KR"/>
              </w:rPr>
              <w:t>56.4</w:t>
            </w:r>
          </w:p>
        </w:tc>
      </w:tr>
      <w:tr w:rsidR="003B14F8" w:rsidRPr="005E6B7C" w14:paraId="1FA1D375" w14:textId="77777777" w:rsidTr="00311337">
        <w:trPr>
          <w:jc w:val="center"/>
        </w:trPr>
        <w:tc>
          <w:tcPr>
            <w:tcW w:w="851" w:type="dxa"/>
            <w:vAlign w:val="center"/>
          </w:tcPr>
          <w:p w14:paraId="44C25F97" w14:textId="1C7D228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6FDA08DB" w14:textId="583D532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7.57, s</w:t>
            </w:r>
          </w:p>
        </w:tc>
        <w:tc>
          <w:tcPr>
            <w:tcW w:w="980" w:type="dxa"/>
            <w:vAlign w:val="center"/>
          </w:tcPr>
          <w:p w14:paraId="1A92B412" w14:textId="198FD4D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107.5</w:t>
            </w:r>
          </w:p>
        </w:tc>
        <w:tc>
          <w:tcPr>
            <w:tcW w:w="993" w:type="dxa"/>
            <w:vAlign w:val="center"/>
          </w:tcPr>
          <w:p w14:paraId="0912C96B" w14:textId="0992E2D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107.5</w:t>
            </w:r>
          </w:p>
        </w:tc>
        <w:tc>
          <w:tcPr>
            <w:tcW w:w="869" w:type="dxa"/>
            <w:vAlign w:val="center"/>
          </w:tcPr>
          <w:p w14:paraId="30C5CE29"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2F82CEE4"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974" w:type="dxa"/>
            <w:vAlign w:val="center"/>
          </w:tcPr>
          <w:p w14:paraId="4847CC0E"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056C1D04"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r w:rsidR="003B14F8" w:rsidRPr="005E6B7C" w14:paraId="235C40B8" w14:textId="77777777" w:rsidTr="00311337">
        <w:trPr>
          <w:jc w:val="center"/>
        </w:trPr>
        <w:tc>
          <w:tcPr>
            <w:tcW w:w="851" w:type="dxa"/>
            <w:vAlign w:val="center"/>
          </w:tcPr>
          <w:p w14:paraId="1E3A0167" w14:textId="4A306B3E"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lastRenderedPageBreak/>
              <w:t>6</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3254945A"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71CC028E" w14:textId="0EF6DEAB"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113.4</w:t>
            </w:r>
          </w:p>
        </w:tc>
        <w:tc>
          <w:tcPr>
            <w:tcW w:w="993" w:type="dxa"/>
            <w:vAlign w:val="center"/>
          </w:tcPr>
          <w:p w14:paraId="3A8AF4D4" w14:textId="4CF0EAAF"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113.4</w:t>
            </w:r>
          </w:p>
        </w:tc>
        <w:tc>
          <w:tcPr>
            <w:tcW w:w="869" w:type="dxa"/>
            <w:vAlign w:val="center"/>
          </w:tcPr>
          <w:p w14:paraId="7FDF2A93"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2F714722"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74" w:type="dxa"/>
            <w:vAlign w:val="center"/>
          </w:tcPr>
          <w:p w14:paraId="27C2B566"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73B5DFE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r w:rsidR="003B14F8" w:rsidRPr="005E6B7C" w14:paraId="77439B3B" w14:textId="77777777" w:rsidTr="00311337">
        <w:trPr>
          <w:jc w:val="center"/>
        </w:trPr>
        <w:tc>
          <w:tcPr>
            <w:tcW w:w="851" w:type="dxa"/>
            <w:vAlign w:val="center"/>
          </w:tcPr>
          <w:p w14:paraId="252BA08C" w14:textId="2143D29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w:t>
            </w:r>
            <w:r w:rsidRPr="005E6B7C">
              <w:rPr>
                <w:rFonts w:asciiTheme="majorHAnsi" w:eastAsia="Yu Mincho" w:hAnsiTheme="majorHAnsi" w:cstheme="majorHAnsi"/>
                <w:color w:val="000000" w:themeColor="text1"/>
                <w:sz w:val="18"/>
                <w:szCs w:val="18"/>
                <w:lang w:eastAsia="ja-JP"/>
              </w:rPr>
              <w:t>'</w:t>
            </w:r>
          </w:p>
        </w:tc>
        <w:tc>
          <w:tcPr>
            <w:tcW w:w="1713" w:type="dxa"/>
            <w:vAlign w:val="center"/>
          </w:tcPr>
          <w:p w14:paraId="15BADC33"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80" w:type="dxa"/>
            <w:vAlign w:val="center"/>
          </w:tcPr>
          <w:p w14:paraId="3C9E52FD" w14:textId="1E44BABA"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158.7</w:t>
            </w:r>
          </w:p>
        </w:tc>
        <w:tc>
          <w:tcPr>
            <w:tcW w:w="993" w:type="dxa"/>
            <w:vAlign w:val="center"/>
          </w:tcPr>
          <w:p w14:paraId="20E2922C" w14:textId="4A7ADA44"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158.4</w:t>
            </w:r>
          </w:p>
        </w:tc>
        <w:tc>
          <w:tcPr>
            <w:tcW w:w="869" w:type="dxa"/>
            <w:vAlign w:val="center"/>
          </w:tcPr>
          <w:p w14:paraId="2F0E68C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56D7002C"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74" w:type="dxa"/>
            <w:vAlign w:val="center"/>
          </w:tcPr>
          <w:p w14:paraId="112E7C51"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3F63EB38"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r w:rsidR="003B14F8" w:rsidRPr="005E6B7C" w14:paraId="017CF86C" w14:textId="77777777" w:rsidTr="00311337">
        <w:trPr>
          <w:jc w:val="center"/>
        </w:trPr>
        <w:tc>
          <w:tcPr>
            <w:tcW w:w="851" w:type="dxa"/>
            <w:vAlign w:val="center"/>
          </w:tcPr>
          <w:p w14:paraId="77A7291B" w14:textId="324F279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3-OMe</w:t>
            </w:r>
          </w:p>
        </w:tc>
        <w:tc>
          <w:tcPr>
            <w:tcW w:w="1713" w:type="dxa"/>
            <w:vAlign w:val="center"/>
          </w:tcPr>
          <w:p w14:paraId="62E0E89E" w14:textId="1CE1B2F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4.05, s,</w:t>
            </w:r>
          </w:p>
        </w:tc>
        <w:tc>
          <w:tcPr>
            <w:tcW w:w="980" w:type="dxa"/>
            <w:vAlign w:val="center"/>
          </w:tcPr>
          <w:p w14:paraId="6948E052" w14:textId="5CC98404"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61.0</w:t>
            </w:r>
          </w:p>
        </w:tc>
        <w:tc>
          <w:tcPr>
            <w:tcW w:w="993" w:type="dxa"/>
            <w:vAlign w:val="center"/>
          </w:tcPr>
          <w:p w14:paraId="2BD28B59" w14:textId="0BCD6D82"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61.0</w:t>
            </w:r>
          </w:p>
        </w:tc>
        <w:tc>
          <w:tcPr>
            <w:tcW w:w="869" w:type="dxa"/>
            <w:vAlign w:val="center"/>
          </w:tcPr>
          <w:p w14:paraId="47389BD7"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61BF5E05"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974" w:type="dxa"/>
            <w:vAlign w:val="center"/>
          </w:tcPr>
          <w:p w14:paraId="0586DAA2"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217E3326"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r w:rsidR="003B14F8" w:rsidRPr="005E6B7C" w14:paraId="5355EF1B" w14:textId="77777777" w:rsidTr="00311337">
        <w:trPr>
          <w:jc w:val="center"/>
        </w:trPr>
        <w:tc>
          <w:tcPr>
            <w:tcW w:w="851" w:type="dxa"/>
            <w:vAlign w:val="center"/>
          </w:tcPr>
          <w:p w14:paraId="325302E1" w14:textId="7B92EB8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-OMe</w:t>
            </w:r>
          </w:p>
        </w:tc>
        <w:tc>
          <w:tcPr>
            <w:tcW w:w="1713" w:type="dxa"/>
            <w:vAlign w:val="center"/>
          </w:tcPr>
          <w:p w14:paraId="35A23BB2" w14:textId="36BBC088"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4.03, s</w:t>
            </w:r>
          </w:p>
        </w:tc>
        <w:tc>
          <w:tcPr>
            <w:tcW w:w="980" w:type="dxa"/>
            <w:vAlign w:val="center"/>
          </w:tcPr>
          <w:p w14:paraId="2BD8E55C" w14:textId="3B620E11"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61.3</w:t>
            </w:r>
          </w:p>
        </w:tc>
        <w:tc>
          <w:tcPr>
            <w:tcW w:w="993" w:type="dxa"/>
            <w:vAlign w:val="center"/>
          </w:tcPr>
          <w:p w14:paraId="3AE3B35E" w14:textId="2F9DD14E"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61.3</w:t>
            </w:r>
          </w:p>
        </w:tc>
        <w:tc>
          <w:tcPr>
            <w:tcW w:w="869" w:type="dxa"/>
            <w:vAlign w:val="center"/>
          </w:tcPr>
          <w:p w14:paraId="4C64F8C9"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58A9167A"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p>
        </w:tc>
        <w:tc>
          <w:tcPr>
            <w:tcW w:w="974" w:type="dxa"/>
            <w:vAlign w:val="center"/>
          </w:tcPr>
          <w:p w14:paraId="69D02FE4"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72CA3B68"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r w:rsidR="003B14F8" w:rsidRPr="005E6B7C" w14:paraId="38970B10" w14:textId="77777777" w:rsidTr="00311337">
        <w:trPr>
          <w:jc w:val="center"/>
        </w:trPr>
        <w:tc>
          <w:tcPr>
            <w:tcW w:w="851" w:type="dxa"/>
            <w:vAlign w:val="center"/>
          </w:tcPr>
          <w:p w14:paraId="22C2AF0F" w14:textId="6D92E0CD"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-OMe</w:t>
            </w:r>
          </w:p>
        </w:tc>
        <w:tc>
          <w:tcPr>
            <w:tcW w:w="1713" w:type="dxa"/>
            <w:vAlign w:val="center"/>
          </w:tcPr>
          <w:p w14:paraId="21C29A88" w14:textId="0C2D7780"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ko-KR"/>
              </w:rPr>
              <w:t>3.98, s</w:t>
            </w:r>
          </w:p>
        </w:tc>
        <w:tc>
          <w:tcPr>
            <w:tcW w:w="980" w:type="dxa"/>
            <w:vAlign w:val="center"/>
          </w:tcPr>
          <w:p w14:paraId="41AF2335" w14:textId="1CEAFB4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w:t>
            </w:r>
          </w:p>
        </w:tc>
        <w:tc>
          <w:tcPr>
            <w:tcW w:w="993" w:type="dxa"/>
            <w:vAlign w:val="center"/>
          </w:tcPr>
          <w:p w14:paraId="76E66CE3" w14:textId="5E863405"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w:t>
            </w:r>
          </w:p>
        </w:tc>
        <w:tc>
          <w:tcPr>
            <w:tcW w:w="869" w:type="dxa"/>
            <w:vAlign w:val="center"/>
          </w:tcPr>
          <w:p w14:paraId="00EC28FE"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ja-JP"/>
              </w:rPr>
            </w:pPr>
          </w:p>
        </w:tc>
        <w:tc>
          <w:tcPr>
            <w:tcW w:w="1824" w:type="dxa"/>
            <w:vAlign w:val="center"/>
          </w:tcPr>
          <w:p w14:paraId="7EED5ABB"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vertAlign w:val="superscript"/>
                <w:lang w:eastAsia="ko-KR"/>
              </w:rPr>
            </w:pPr>
          </w:p>
        </w:tc>
        <w:tc>
          <w:tcPr>
            <w:tcW w:w="974" w:type="dxa"/>
            <w:vAlign w:val="center"/>
          </w:tcPr>
          <w:p w14:paraId="72BEBC8E"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c>
          <w:tcPr>
            <w:tcW w:w="869" w:type="dxa"/>
          </w:tcPr>
          <w:p w14:paraId="1A548C4C" w14:textId="77777777" w:rsidR="003B14F8" w:rsidRPr="005E6B7C" w:rsidRDefault="003B14F8" w:rsidP="003B14F8">
            <w:pPr>
              <w:tabs>
                <w:tab w:val="left" w:pos="270"/>
                <w:tab w:val="left" w:pos="9270"/>
              </w:tabs>
              <w:suppressAutoHyphens w:val="0"/>
              <w:ind w:right="-20"/>
              <w:jc w:val="center"/>
              <w:rPr>
                <w:rFonts w:asciiTheme="majorHAnsi" w:eastAsia="Times New Roman" w:hAnsiTheme="majorHAnsi" w:cstheme="majorHAnsi"/>
                <w:color w:val="000000" w:themeColor="text1"/>
                <w:sz w:val="18"/>
                <w:szCs w:val="18"/>
                <w:lang w:eastAsia="ko-KR"/>
              </w:rPr>
            </w:pPr>
          </w:p>
        </w:tc>
      </w:tr>
    </w:tbl>
    <w:p w14:paraId="593F0429" w14:textId="202EA452" w:rsidR="00F5234A" w:rsidRPr="005E6B7C" w:rsidRDefault="003B14F8" w:rsidP="003B14F8">
      <w:pPr>
        <w:tabs>
          <w:tab w:val="left" w:pos="270"/>
          <w:tab w:val="left" w:pos="9270"/>
        </w:tabs>
        <w:spacing w:before="120" w:after="240"/>
        <w:ind w:firstLine="284"/>
        <w:jc w:val="both"/>
        <w:rPr>
          <w:rFonts w:asciiTheme="majorHAnsi" w:eastAsia="Times New Roman" w:hAnsiTheme="majorHAnsi" w:cstheme="majorHAnsi"/>
          <w:i/>
          <w:color w:val="000000" w:themeColor="text1"/>
          <w:sz w:val="18"/>
          <w:szCs w:val="18"/>
          <w:lang w:val="pt-BR"/>
        </w:rPr>
      </w:pPr>
      <w:r w:rsidRPr="005E6B7C">
        <w:rPr>
          <w:rFonts w:asciiTheme="majorHAnsi" w:eastAsia="Times New Roman" w:hAnsiTheme="majorHAnsi" w:cstheme="majorHAnsi"/>
          <w:i/>
          <w:color w:val="000000" w:themeColor="text1"/>
          <w:sz w:val="18"/>
          <w:szCs w:val="18"/>
          <w:vertAlign w:val="superscript"/>
          <w:lang w:val="pt-BR"/>
        </w:rPr>
        <w:t xml:space="preserve">a </w:t>
      </w:r>
      <w:r w:rsidRPr="005E6B7C">
        <w:rPr>
          <w:rFonts w:asciiTheme="majorHAnsi" w:eastAsia="Times New Roman" w:hAnsiTheme="majorHAnsi" w:cstheme="majorHAnsi"/>
          <w:i/>
          <w:color w:val="000000" w:themeColor="text1"/>
          <w:sz w:val="18"/>
          <w:szCs w:val="18"/>
          <w:lang w:val="pt-BR"/>
        </w:rPr>
        <w:t>: DMSO-d</w:t>
      </w:r>
      <w:r w:rsidRPr="005E6B7C">
        <w:rPr>
          <w:rFonts w:asciiTheme="majorHAnsi" w:eastAsia="Times New Roman" w:hAnsiTheme="majorHAnsi" w:cstheme="majorHAnsi"/>
          <w:i/>
          <w:color w:val="000000" w:themeColor="text1"/>
          <w:sz w:val="18"/>
          <w:szCs w:val="18"/>
          <w:vertAlign w:val="subscript"/>
          <w:lang w:val="pt-BR"/>
        </w:rPr>
        <w:t>6</w:t>
      </w:r>
      <w:r w:rsidRPr="005E6B7C">
        <w:rPr>
          <w:rFonts w:asciiTheme="majorHAnsi" w:eastAsia="Times New Roman" w:hAnsiTheme="majorHAnsi" w:cstheme="majorHAnsi"/>
          <w:i/>
          <w:color w:val="000000" w:themeColor="text1"/>
          <w:sz w:val="18"/>
          <w:szCs w:val="18"/>
          <w:lang w:val="pt-BR"/>
        </w:rPr>
        <w:t xml:space="preserve">; </w:t>
      </w:r>
      <w:r w:rsidRPr="005E6B7C">
        <w:rPr>
          <w:rFonts w:asciiTheme="majorHAnsi" w:eastAsia="Times New Roman" w:hAnsiTheme="majorHAnsi" w:cstheme="majorHAnsi"/>
          <w:i/>
          <w:color w:val="000000" w:themeColor="text1"/>
          <w:sz w:val="18"/>
          <w:szCs w:val="18"/>
          <w:vertAlign w:val="superscript"/>
          <w:lang w:val="pt-BR"/>
        </w:rPr>
        <w:t>b</w:t>
      </w:r>
      <w:r w:rsidRPr="005E6B7C">
        <w:rPr>
          <w:rFonts w:asciiTheme="majorHAnsi" w:eastAsia="Times New Roman" w:hAnsiTheme="majorHAnsi" w:cstheme="majorHAnsi"/>
          <w:i/>
          <w:color w:val="000000" w:themeColor="text1"/>
          <w:sz w:val="18"/>
          <w:szCs w:val="18"/>
          <w:lang w:val="pt-BR"/>
        </w:rPr>
        <w:t xml:space="preserve">: 600 MHz, </w:t>
      </w:r>
      <w:r w:rsidRPr="005E6B7C">
        <w:rPr>
          <w:rFonts w:asciiTheme="majorHAnsi" w:eastAsia="Times New Roman" w:hAnsiTheme="majorHAnsi" w:cstheme="majorHAnsi"/>
          <w:i/>
          <w:color w:val="000000" w:themeColor="text1"/>
          <w:sz w:val="18"/>
          <w:szCs w:val="18"/>
          <w:vertAlign w:val="superscript"/>
          <w:lang w:val="pt-BR"/>
        </w:rPr>
        <w:t>c</w:t>
      </w:r>
      <w:r w:rsidRPr="005E6B7C">
        <w:rPr>
          <w:rFonts w:asciiTheme="majorHAnsi" w:eastAsia="Times New Roman" w:hAnsiTheme="majorHAnsi" w:cstheme="majorHAnsi"/>
          <w:i/>
          <w:color w:val="000000" w:themeColor="text1"/>
          <w:sz w:val="18"/>
          <w:szCs w:val="18"/>
          <w:lang w:val="pt-BR"/>
        </w:rPr>
        <w:t xml:space="preserve">: 125 MHz; </w:t>
      </w:r>
      <w:r w:rsidRPr="005E6B7C">
        <w:rPr>
          <w:rFonts w:asciiTheme="majorHAnsi" w:eastAsia="Times New Roman" w:hAnsiTheme="majorHAnsi" w:cstheme="majorHAnsi"/>
          <w:i/>
          <w:color w:val="000000" w:themeColor="text1"/>
          <w:sz w:val="18"/>
          <w:szCs w:val="18"/>
          <w:vertAlign w:val="superscript"/>
          <w:lang w:val="pt-BR"/>
        </w:rPr>
        <w:t>d</w:t>
      </w:r>
      <w:r w:rsidRPr="005E6B7C">
        <w:rPr>
          <w:rFonts w:asciiTheme="majorHAnsi" w:eastAsia="Times New Roman" w:hAnsiTheme="majorHAnsi" w:cstheme="majorHAnsi"/>
          <w:i/>
          <w:color w:val="000000" w:themeColor="text1"/>
          <w:sz w:val="18"/>
          <w:szCs w:val="18"/>
          <w:lang w:val="pt-BR"/>
        </w:rPr>
        <w:t xml:space="preserve">: 100 MHz; </w:t>
      </w:r>
      <w:r w:rsidRPr="005E6B7C">
        <w:rPr>
          <w:rFonts w:asciiTheme="majorHAnsi" w:eastAsia="Times New Roman" w:hAnsiTheme="majorHAnsi" w:cstheme="majorHAnsi"/>
          <w:i/>
          <w:color w:val="000000" w:themeColor="text1"/>
          <w:sz w:val="18"/>
          <w:szCs w:val="18"/>
          <w:vertAlign w:val="superscript"/>
          <w:lang w:val="pt-BR"/>
        </w:rPr>
        <w:t>e</w:t>
      </w:r>
      <w:r w:rsidRPr="005E6B7C">
        <w:rPr>
          <w:rFonts w:asciiTheme="majorHAnsi" w:eastAsia="Times New Roman" w:hAnsiTheme="majorHAnsi" w:cstheme="majorHAnsi"/>
          <w:i/>
          <w:color w:val="000000" w:themeColor="text1"/>
          <w:sz w:val="18"/>
          <w:szCs w:val="18"/>
          <w:lang w:val="pt-BR"/>
        </w:rPr>
        <w:t>: CD</w:t>
      </w:r>
      <w:r w:rsidRPr="005E6B7C">
        <w:rPr>
          <w:rFonts w:asciiTheme="majorHAnsi" w:eastAsia="Times New Roman" w:hAnsiTheme="majorHAnsi" w:cstheme="majorHAnsi"/>
          <w:i/>
          <w:color w:val="000000" w:themeColor="text1"/>
          <w:sz w:val="18"/>
          <w:szCs w:val="18"/>
          <w:vertAlign w:val="subscript"/>
          <w:lang w:val="pt-BR"/>
        </w:rPr>
        <w:t>3</w:t>
      </w:r>
      <w:r w:rsidRPr="005E6B7C">
        <w:rPr>
          <w:rFonts w:asciiTheme="majorHAnsi" w:eastAsia="Times New Roman" w:hAnsiTheme="majorHAnsi" w:cstheme="majorHAnsi"/>
          <w:i/>
          <w:color w:val="000000" w:themeColor="text1"/>
          <w:sz w:val="18"/>
          <w:szCs w:val="18"/>
          <w:lang w:val="pt-BR"/>
        </w:rPr>
        <w:t xml:space="preserve">OD; </w:t>
      </w:r>
    </w:p>
    <w:p w14:paraId="618F6BEA" w14:textId="77777777" w:rsidR="00FC534C" w:rsidRPr="005E6B7C" w:rsidRDefault="00FC534C" w:rsidP="008C0D47">
      <w:pPr>
        <w:tabs>
          <w:tab w:val="left" w:pos="270"/>
          <w:tab w:val="left" w:pos="3119"/>
          <w:tab w:val="left" w:pos="9270"/>
        </w:tabs>
        <w:spacing w:line="240" w:lineRule="exact"/>
        <w:ind w:firstLine="284"/>
        <w:jc w:val="both"/>
        <w:rPr>
          <w:rFonts w:asciiTheme="majorHAnsi" w:eastAsia="Times New Roman" w:hAnsiTheme="majorHAnsi" w:cstheme="majorHAnsi"/>
          <w:color w:val="000000" w:themeColor="text1"/>
          <w:sz w:val="22"/>
          <w:szCs w:val="22"/>
          <w:lang w:val="pt-BR"/>
        </w:rPr>
        <w:sectPr w:rsidR="00FC534C" w:rsidRPr="005E6B7C" w:rsidSect="002206BB">
          <w:type w:val="continuous"/>
          <w:pgSz w:w="10773" w:h="15309" w:code="9"/>
          <w:pgMar w:top="907" w:right="851" w:bottom="1418" w:left="851" w:header="397" w:footer="851" w:gutter="0"/>
          <w:cols w:space="284"/>
          <w:docGrid w:linePitch="360"/>
        </w:sectPr>
      </w:pPr>
    </w:p>
    <w:p w14:paraId="562BD3BD" w14:textId="70B2BA79" w:rsidR="00E049CB" w:rsidRPr="005E6B7C" w:rsidRDefault="00E049CB" w:rsidP="008C0D47">
      <w:pPr>
        <w:tabs>
          <w:tab w:val="left" w:pos="270"/>
          <w:tab w:val="left" w:pos="3119"/>
          <w:tab w:val="left" w:pos="9270"/>
        </w:tabs>
        <w:spacing w:line="246"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Compound </w:t>
      </w:r>
      <w:r w:rsidRPr="005E6B7C">
        <w:rPr>
          <w:rFonts w:asciiTheme="majorHAnsi" w:eastAsia="Times New Roman" w:hAnsiTheme="majorHAnsi" w:cstheme="majorHAnsi"/>
          <w:b/>
          <w:bCs/>
          <w:color w:val="000000" w:themeColor="text1"/>
          <w:sz w:val="22"/>
          <w:szCs w:val="22"/>
        </w:rPr>
        <w:t>3</w:t>
      </w:r>
      <w:r w:rsidRPr="005E6B7C">
        <w:rPr>
          <w:rFonts w:asciiTheme="majorHAnsi" w:eastAsia="Times New Roman" w:hAnsiTheme="majorHAnsi" w:cstheme="majorHAnsi"/>
          <w:color w:val="000000" w:themeColor="text1"/>
          <w:sz w:val="22"/>
          <w:szCs w:val="22"/>
        </w:rPr>
        <w:t xml:space="preserve"> was isolated as a pale yellow solid. The ¹H-NMR spectrum displayed two </w:t>
      </w:r>
      <w:r w:rsidRPr="005E6B7C">
        <w:rPr>
          <w:rFonts w:asciiTheme="majorHAnsi" w:eastAsia="Times New Roman" w:hAnsiTheme="majorHAnsi" w:cstheme="majorHAnsi"/>
          <w:i/>
          <w:color w:val="000000" w:themeColor="text1"/>
          <w:sz w:val="22"/>
          <w:szCs w:val="22"/>
        </w:rPr>
        <w:t>meta</w:t>
      </w:r>
      <w:r w:rsidRPr="005E6B7C">
        <w:rPr>
          <w:rFonts w:asciiTheme="majorHAnsi" w:eastAsia="Times New Roman" w:hAnsiTheme="majorHAnsi" w:cstheme="majorHAnsi"/>
          <w:color w:val="000000" w:themeColor="text1"/>
          <w:sz w:val="22"/>
          <w:szCs w:val="22"/>
        </w:rPr>
        <w:t xml:space="preserve">-coupled aromatic proton signals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6.41 (1H, d, </w:t>
      </w:r>
      <w:r w:rsidRPr="005E6B7C">
        <w:rPr>
          <w:rFonts w:asciiTheme="majorHAnsi" w:eastAsia="Times New Roman" w:hAnsiTheme="majorHAnsi" w:cstheme="majorHAnsi"/>
          <w:i/>
          <w:color w:val="000000" w:themeColor="text1"/>
          <w:sz w:val="22"/>
          <w:szCs w:val="22"/>
        </w:rPr>
        <w:t>J</w:t>
      </w:r>
      <w:r w:rsidRPr="005E6B7C">
        <w:rPr>
          <w:rFonts w:asciiTheme="majorHAnsi" w:eastAsia="Times New Roman" w:hAnsiTheme="majorHAnsi" w:cstheme="majorHAnsi"/>
          <w:color w:val="000000" w:themeColor="text1"/>
          <w:sz w:val="22"/>
          <w:szCs w:val="22"/>
        </w:rPr>
        <w:t xml:space="preserve"> = 2.4 Hz, H-8) and 6.19 (1H, d, </w:t>
      </w:r>
      <w:r w:rsidRPr="005E6B7C">
        <w:rPr>
          <w:rFonts w:asciiTheme="majorHAnsi" w:eastAsia="Times New Roman" w:hAnsiTheme="majorHAnsi" w:cstheme="majorHAnsi"/>
          <w:i/>
          <w:color w:val="000000" w:themeColor="text1"/>
          <w:sz w:val="22"/>
          <w:szCs w:val="22"/>
        </w:rPr>
        <w:t>J =</w:t>
      </w:r>
      <w:r w:rsidRPr="005E6B7C">
        <w:rPr>
          <w:rFonts w:asciiTheme="majorHAnsi" w:eastAsia="Times New Roman" w:hAnsiTheme="majorHAnsi" w:cstheme="majorHAnsi"/>
          <w:color w:val="000000" w:themeColor="text1"/>
          <w:sz w:val="22"/>
          <w:szCs w:val="22"/>
        </w:rPr>
        <w:t xml:space="preserve"> 2.4 Hz, H-6); 3 signals corresponding to an ABX spin system of an aromatic ring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H</w:t>
      </w:r>
      <w:r w:rsidRPr="005E6B7C">
        <w:rPr>
          <w:rFonts w:asciiTheme="majorHAnsi" w:eastAsia="Times New Roman" w:hAnsiTheme="majorHAnsi" w:cstheme="majorHAnsi"/>
          <w:color w:val="000000" w:themeColor="text1"/>
          <w:sz w:val="22"/>
          <w:szCs w:val="22"/>
        </w:rPr>
        <w:t xml:space="preserve"> 7.68 (1H, d, </w:t>
      </w:r>
      <w:r w:rsidRPr="005E6B7C">
        <w:rPr>
          <w:rFonts w:asciiTheme="majorHAnsi" w:eastAsia="Times New Roman" w:hAnsiTheme="majorHAnsi" w:cstheme="majorHAnsi"/>
          <w:i/>
          <w:color w:val="000000" w:themeColor="text1"/>
          <w:sz w:val="22"/>
          <w:szCs w:val="22"/>
        </w:rPr>
        <w:t>J =</w:t>
      </w:r>
      <w:r w:rsidRPr="005E6B7C">
        <w:rPr>
          <w:rFonts w:asciiTheme="majorHAnsi" w:eastAsia="Times New Roman" w:hAnsiTheme="majorHAnsi" w:cstheme="majorHAnsi"/>
          <w:color w:val="000000" w:themeColor="text1"/>
          <w:sz w:val="22"/>
          <w:szCs w:val="22"/>
        </w:rPr>
        <w:t xml:space="preserve"> 2.4 Hz, H-2'), 7.55 (1H, dd, </w:t>
      </w:r>
      <w:r w:rsidRPr="005E6B7C">
        <w:rPr>
          <w:rFonts w:asciiTheme="majorHAnsi" w:eastAsia="Times New Roman" w:hAnsiTheme="majorHAnsi" w:cstheme="majorHAnsi"/>
          <w:i/>
          <w:color w:val="000000" w:themeColor="text1"/>
          <w:sz w:val="22"/>
          <w:szCs w:val="22"/>
        </w:rPr>
        <w:t>J =</w:t>
      </w:r>
      <w:r w:rsidRPr="005E6B7C">
        <w:rPr>
          <w:rFonts w:asciiTheme="majorHAnsi" w:eastAsia="Times New Roman" w:hAnsiTheme="majorHAnsi" w:cstheme="majorHAnsi"/>
          <w:color w:val="000000" w:themeColor="text1"/>
          <w:sz w:val="22"/>
          <w:szCs w:val="22"/>
        </w:rPr>
        <w:t xml:space="preserve"> 2.4, 8.4 Hz, H-6'), and 6.89 (1H, d, </w:t>
      </w:r>
      <w:r w:rsidRPr="005E6B7C">
        <w:rPr>
          <w:rFonts w:asciiTheme="majorHAnsi" w:eastAsia="Times New Roman" w:hAnsiTheme="majorHAnsi" w:cstheme="majorHAnsi"/>
          <w:i/>
          <w:color w:val="000000" w:themeColor="text1"/>
          <w:sz w:val="22"/>
          <w:szCs w:val="22"/>
        </w:rPr>
        <w:t>J =</w:t>
      </w:r>
      <w:r w:rsidRPr="005E6B7C">
        <w:rPr>
          <w:rFonts w:asciiTheme="majorHAnsi" w:eastAsia="Times New Roman" w:hAnsiTheme="majorHAnsi" w:cstheme="majorHAnsi"/>
          <w:color w:val="000000" w:themeColor="text1"/>
          <w:sz w:val="22"/>
          <w:szCs w:val="22"/>
        </w:rPr>
        <w:t xml:space="preserve"> 8.4 Hz, H-5'). The </w:t>
      </w:r>
      <w:r w:rsidRPr="005E6B7C">
        <w:rPr>
          <w:rFonts w:asciiTheme="majorHAnsi" w:eastAsia="Times New Roman" w:hAnsiTheme="majorHAnsi" w:cstheme="majorHAnsi"/>
          <w:color w:val="000000" w:themeColor="text1"/>
          <w:sz w:val="22"/>
          <w:szCs w:val="22"/>
          <w:vertAlign w:val="superscript"/>
        </w:rPr>
        <w:t>13</w:t>
      </w:r>
      <w:r w:rsidRPr="005E6B7C">
        <w:rPr>
          <w:rFonts w:asciiTheme="majorHAnsi" w:eastAsia="Times New Roman" w:hAnsiTheme="majorHAnsi" w:cstheme="majorHAnsi"/>
          <w:color w:val="000000" w:themeColor="text1"/>
          <w:sz w:val="22"/>
          <w:szCs w:val="22"/>
        </w:rPr>
        <w:t xml:space="preserve">C-NMR spectrum showed 15 carbon signals of a flavonoid skeleton, including a carbonyl carbon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175.4 (C-4), oxygenated aromatic carbons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164.1 (C-7), 160.7 (C-5), 156.2 (C-9), 147.7 (C-4'), 146.8 (C-2), 145.1 (C-3'), and 135.7 (C-3), methine carbons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120.0 (C-6'), 115.6(C-5'), 115.0 (C-2’), 98.2 (C-6), and 93.4 (C-8), and non-protonated aromatic carbons at </w:t>
      </w:r>
      <w:r w:rsidRPr="005E6B7C">
        <w:rPr>
          <w:rFonts w:asciiTheme="majorHAnsi" w:eastAsia="Times New Roman" w:hAnsiTheme="majorHAnsi" w:cstheme="majorHAnsi"/>
          <w:i/>
          <w:color w:val="000000" w:themeColor="text1"/>
          <w:sz w:val="22"/>
          <w:szCs w:val="22"/>
        </w:rPr>
        <w:t>δ</w:t>
      </w:r>
      <w:r w:rsidRPr="005E6B7C">
        <w:rPr>
          <w:rFonts w:asciiTheme="majorHAnsi" w:eastAsia="Times New Roman" w:hAnsiTheme="majorHAnsi" w:cstheme="majorHAnsi"/>
          <w:color w:val="000000" w:themeColor="text1"/>
          <w:sz w:val="22"/>
          <w:szCs w:val="22"/>
          <w:vertAlign w:val="subscript"/>
        </w:rPr>
        <w:t>C</w:t>
      </w:r>
      <w:r w:rsidRPr="005E6B7C">
        <w:rPr>
          <w:rFonts w:asciiTheme="majorHAnsi" w:eastAsia="Times New Roman" w:hAnsiTheme="majorHAnsi" w:cstheme="majorHAnsi"/>
          <w:color w:val="000000" w:themeColor="text1"/>
          <w:sz w:val="22"/>
          <w:szCs w:val="22"/>
        </w:rPr>
        <w:t xml:space="preserve"> 121.9 (C-1') and 102.9 (C-10). The ESI-MS of compound </w:t>
      </w:r>
      <w:r w:rsidRPr="005E6B7C">
        <w:rPr>
          <w:rFonts w:asciiTheme="majorHAnsi" w:eastAsia="Times New Roman" w:hAnsiTheme="majorHAnsi" w:cstheme="majorHAnsi"/>
          <w:b/>
          <w:bCs/>
          <w:color w:val="000000" w:themeColor="text1"/>
          <w:sz w:val="22"/>
          <w:szCs w:val="22"/>
        </w:rPr>
        <w:t>3</w:t>
      </w:r>
      <w:r w:rsidRPr="005E6B7C">
        <w:rPr>
          <w:rFonts w:asciiTheme="majorHAnsi" w:eastAsia="Times New Roman" w:hAnsiTheme="majorHAnsi" w:cstheme="majorHAnsi"/>
          <w:color w:val="000000" w:themeColor="text1"/>
          <w:sz w:val="22"/>
          <w:szCs w:val="22"/>
        </w:rPr>
        <w:t xml:space="preserve"> displayed a protonated peak at </w:t>
      </w:r>
      <w:r w:rsidRPr="005E6B7C">
        <w:rPr>
          <w:rFonts w:asciiTheme="majorHAnsi" w:eastAsia="Times New Roman" w:hAnsiTheme="majorHAnsi" w:cstheme="majorHAnsi"/>
          <w:i/>
          <w:color w:val="000000" w:themeColor="text1"/>
          <w:sz w:val="22"/>
          <w:szCs w:val="22"/>
        </w:rPr>
        <w:t>m/z</w:t>
      </w:r>
      <w:r w:rsidRPr="005E6B7C">
        <w:rPr>
          <w:rFonts w:asciiTheme="majorHAnsi" w:eastAsia="Times New Roman" w:hAnsiTheme="majorHAnsi" w:cstheme="majorHAnsi"/>
          <w:color w:val="000000" w:themeColor="text1"/>
          <w:sz w:val="22"/>
          <w:szCs w:val="22"/>
        </w:rPr>
        <w:t xml:space="preserve"> 303.1 [M+H]</w:t>
      </w:r>
      <w:r w:rsidRPr="005E6B7C">
        <w:rPr>
          <w:rFonts w:asciiTheme="majorHAnsi" w:eastAsia="Times New Roman" w:hAnsiTheme="majorHAnsi" w:cstheme="majorHAnsi"/>
          <w:color w:val="000000" w:themeColor="text1"/>
          <w:sz w:val="22"/>
          <w:szCs w:val="22"/>
          <w:vertAlign w:val="superscript"/>
        </w:rPr>
        <w:t>+</w:t>
      </w:r>
      <w:r w:rsidRPr="005E6B7C">
        <w:rPr>
          <w:rFonts w:asciiTheme="majorHAnsi" w:eastAsia="Times New Roman" w:hAnsiTheme="majorHAnsi" w:cstheme="majorHAnsi"/>
          <w:color w:val="000000" w:themeColor="text1"/>
          <w:sz w:val="22"/>
          <w:szCs w:val="22"/>
        </w:rPr>
        <w:t xml:space="preserve">, in combination with the NMR data, suggested the </w:t>
      </w:r>
      <w:r w:rsidRPr="005E6B7C">
        <w:rPr>
          <w:rFonts w:asciiTheme="majorHAnsi" w:eastAsia="Times New Roman" w:hAnsiTheme="majorHAnsi" w:cstheme="majorHAnsi"/>
          <w:color w:val="000000" w:themeColor="text1"/>
          <w:sz w:val="22"/>
          <w:szCs w:val="22"/>
        </w:rPr>
        <w:t xml:space="preserve">molecular formula of </w:t>
      </w:r>
      <w:r w:rsidRPr="005E6B7C">
        <w:rPr>
          <w:rFonts w:asciiTheme="majorHAnsi" w:eastAsia="Times New Roman" w:hAnsiTheme="majorHAnsi" w:cstheme="majorHAnsi"/>
          <w:b/>
          <w:color w:val="000000" w:themeColor="text1"/>
          <w:sz w:val="22"/>
          <w:szCs w:val="22"/>
        </w:rPr>
        <w:t>3</w:t>
      </w:r>
      <w:r w:rsidRPr="005E6B7C">
        <w:rPr>
          <w:rFonts w:asciiTheme="majorHAnsi" w:eastAsia="Times New Roman" w:hAnsiTheme="majorHAnsi" w:cstheme="majorHAnsi"/>
          <w:color w:val="000000" w:themeColor="text1"/>
          <w:sz w:val="22"/>
          <w:szCs w:val="22"/>
        </w:rPr>
        <w:t xml:space="preserve"> as C</w:t>
      </w:r>
      <w:r w:rsidRPr="005E6B7C">
        <w:rPr>
          <w:rFonts w:asciiTheme="majorHAnsi" w:eastAsia="Times New Roman" w:hAnsiTheme="majorHAnsi" w:cstheme="majorHAnsi"/>
          <w:color w:val="000000" w:themeColor="text1"/>
          <w:sz w:val="22"/>
          <w:szCs w:val="22"/>
          <w:vertAlign w:val="subscript"/>
        </w:rPr>
        <w:t>15</w:t>
      </w:r>
      <w:r w:rsidRPr="005E6B7C">
        <w:rPr>
          <w:rFonts w:asciiTheme="majorHAnsi" w:eastAsia="Times New Roman" w:hAnsiTheme="majorHAnsi" w:cstheme="majorHAnsi"/>
          <w:color w:val="000000" w:themeColor="text1"/>
          <w:sz w:val="22"/>
          <w:szCs w:val="22"/>
        </w:rPr>
        <w:t>H</w:t>
      </w:r>
      <w:r w:rsidRPr="005E6B7C">
        <w:rPr>
          <w:rFonts w:asciiTheme="majorHAnsi" w:eastAsia="Times New Roman" w:hAnsiTheme="majorHAnsi" w:cstheme="majorHAnsi"/>
          <w:color w:val="000000" w:themeColor="text1"/>
          <w:sz w:val="22"/>
          <w:szCs w:val="22"/>
          <w:vertAlign w:val="subscript"/>
        </w:rPr>
        <w:t>10</w:t>
      </w:r>
      <w:r w:rsidRPr="005E6B7C">
        <w:rPr>
          <w:rFonts w:asciiTheme="majorHAnsi" w:eastAsia="Times New Roman" w:hAnsiTheme="majorHAnsi" w:cstheme="majorHAnsi"/>
          <w:color w:val="000000" w:themeColor="text1"/>
          <w:sz w:val="22"/>
          <w:szCs w:val="22"/>
        </w:rPr>
        <w:t>O</w:t>
      </w:r>
      <w:r w:rsidRPr="005E6B7C">
        <w:rPr>
          <w:rFonts w:asciiTheme="majorHAnsi" w:eastAsia="Times New Roman" w:hAnsiTheme="majorHAnsi" w:cstheme="majorHAnsi"/>
          <w:color w:val="000000" w:themeColor="text1"/>
          <w:sz w:val="22"/>
          <w:szCs w:val="22"/>
          <w:vertAlign w:val="subscript"/>
        </w:rPr>
        <w:t>7</w:t>
      </w:r>
      <w:r w:rsidRPr="005E6B7C">
        <w:rPr>
          <w:rFonts w:asciiTheme="majorHAnsi" w:eastAsia="Times New Roman" w:hAnsiTheme="majorHAnsi" w:cstheme="majorHAnsi"/>
          <w:color w:val="000000" w:themeColor="text1"/>
          <w:sz w:val="22"/>
          <w:szCs w:val="22"/>
        </w:rPr>
        <w:t xml:space="preserve">. Compound </w:t>
      </w:r>
      <w:r w:rsidRPr="005E6B7C">
        <w:rPr>
          <w:rFonts w:asciiTheme="majorHAnsi" w:eastAsia="Times New Roman" w:hAnsiTheme="majorHAnsi" w:cstheme="majorHAnsi"/>
          <w:b/>
          <w:bCs/>
          <w:color w:val="000000" w:themeColor="text1"/>
          <w:sz w:val="22"/>
          <w:szCs w:val="22"/>
        </w:rPr>
        <w:t>3</w:t>
      </w:r>
      <w:r w:rsidRPr="005E6B7C">
        <w:rPr>
          <w:rFonts w:asciiTheme="majorHAnsi" w:eastAsia="Times New Roman" w:hAnsiTheme="majorHAnsi" w:cstheme="majorHAnsi"/>
          <w:color w:val="000000" w:themeColor="text1"/>
          <w:sz w:val="22"/>
          <w:szCs w:val="22"/>
        </w:rPr>
        <w:t xml:space="preserve"> was identified as quercetin based on comparison of its spectral data with previous literature [12].</w:t>
      </w:r>
    </w:p>
    <w:p w14:paraId="6A66CA6E" w14:textId="77777777" w:rsidR="00FC534C" w:rsidRPr="005E6B7C" w:rsidRDefault="00E049CB" w:rsidP="008C0D47">
      <w:pPr>
        <w:tabs>
          <w:tab w:val="left" w:pos="270"/>
          <w:tab w:val="left" w:pos="9270"/>
        </w:tabs>
        <w:spacing w:line="246" w:lineRule="exact"/>
        <w:ind w:firstLine="284"/>
        <w:jc w:val="both"/>
        <w:rPr>
          <w:rFonts w:asciiTheme="majorHAnsi" w:eastAsia="Times New Roman" w:hAnsiTheme="majorHAnsi" w:cstheme="majorHAnsi"/>
          <w:color w:val="000000" w:themeColor="text1"/>
          <w:spacing w:val="4"/>
          <w:sz w:val="22"/>
          <w:szCs w:val="22"/>
        </w:rPr>
      </w:pPr>
      <w:r w:rsidRPr="005E6B7C">
        <w:rPr>
          <w:rFonts w:asciiTheme="majorHAnsi" w:eastAsia="Times New Roman" w:hAnsiTheme="majorHAnsi" w:cstheme="majorHAnsi"/>
          <w:color w:val="000000" w:themeColor="text1"/>
          <w:spacing w:val="4"/>
          <w:sz w:val="22"/>
          <w:szCs w:val="22"/>
        </w:rPr>
        <w:t xml:space="preserve">Compound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was obtained as a pale yellow solid. The </w:t>
      </w:r>
      <w:r w:rsidRPr="005E6B7C">
        <w:rPr>
          <w:rFonts w:asciiTheme="majorHAnsi" w:eastAsia="Times New Roman" w:hAnsiTheme="majorHAnsi" w:cstheme="majorHAnsi"/>
          <w:color w:val="000000" w:themeColor="text1"/>
          <w:spacing w:val="4"/>
          <w:sz w:val="22"/>
          <w:szCs w:val="22"/>
          <w:vertAlign w:val="superscript"/>
        </w:rPr>
        <w:t>1</w:t>
      </w:r>
      <w:r w:rsidRPr="005E6B7C">
        <w:rPr>
          <w:rFonts w:asciiTheme="majorHAnsi" w:eastAsia="Times New Roman" w:hAnsiTheme="majorHAnsi" w:cstheme="majorHAnsi"/>
          <w:color w:val="000000" w:themeColor="text1"/>
          <w:spacing w:val="4"/>
          <w:sz w:val="22"/>
          <w:szCs w:val="22"/>
        </w:rPr>
        <w:t xml:space="preserve">H-NMR spectrum of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also showed characteristic signals of a flavonoid, with two </w:t>
      </w:r>
      <w:r w:rsidRPr="005E6B7C">
        <w:rPr>
          <w:rFonts w:asciiTheme="majorHAnsi" w:eastAsia="Times New Roman" w:hAnsiTheme="majorHAnsi" w:cstheme="majorHAnsi"/>
          <w:i/>
          <w:color w:val="000000" w:themeColor="text1"/>
          <w:spacing w:val="4"/>
          <w:sz w:val="22"/>
          <w:szCs w:val="22"/>
        </w:rPr>
        <w:t>meta</w:t>
      </w:r>
      <w:r w:rsidRPr="005E6B7C">
        <w:rPr>
          <w:rFonts w:asciiTheme="majorHAnsi" w:eastAsia="Times New Roman" w:hAnsiTheme="majorHAnsi" w:cstheme="majorHAnsi"/>
          <w:color w:val="000000" w:themeColor="text1"/>
          <w:spacing w:val="4"/>
          <w:sz w:val="22"/>
          <w:szCs w:val="22"/>
        </w:rPr>
        <w:t xml:space="preserve">-aromatic proton signals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6.40 (1H, d, </w:t>
      </w:r>
      <w:r w:rsidRPr="005E6B7C">
        <w:rPr>
          <w:rFonts w:asciiTheme="majorHAnsi" w:eastAsia="Times New Roman" w:hAnsiTheme="majorHAnsi" w:cstheme="majorHAnsi"/>
          <w:i/>
          <w:color w:val="000000" w:themeColor="text1"/>
          <w:spacing w:val="4"/>
          <w:sz w:val="22"/>
          <w:szCs w:val="22"/>
        </w:rPr>
        <w:t>J =</w:t>
      </w:r>
      <w:r w:rsidRPr="005E6B7C">
        <w:rPr>
          <w:rFonts w:asciiTheme="majorHAnsi" w:eastAsia="Times New Roman" w:hAnsiTheme="majorHAnsi" w:cstheme="majorHAnsi"/>
          <w:color w:val="000000" w:themeColor="text1"/>
          <w:spacing w:val="4"/>
          <w:sz w:val="22"/>
          <w:szCs w:val="22"/>
        </w:rPr>
        <w:t xml:space="preserve"> 2.0 Hz, H-8) and 6.20 (1H, d, </w:t>
      </w:r>
      <w:r w:rsidRPr="005E6B7C">
        <w:rPr>
          <w:rFonts w:asciiTheme="majorHAnsi" w:eastAsia="Times New Roman" w:hAnsiTheme="majorHAnsi" w:cstheme="majorHAnsi"/>
          <w:i/>
          <w:color w:val="000000" w:themeColor="text1"/>
          <w:spacing w:val="4"/>
          <w:sz w:val="22"/>
          <w:szCs w:val="22"/>
        </w:rPr>
        <w:t>J =</w:t>
      </w:r>
      <w:r w:rsidRPr="005E6B7C">
        <w:rPr>
          <w:rFonts w:asciiTheme="majorHAnsi" w:eastAsia="Times New Roman" w:hAnsiTheme="majorHAnsi" w:cstheme="majorHAnsi"/>
          <w:color w:val="000000" w:themeColor="text1"/>
          <w:spacing w:val="4"/>
          <w:sz w:val="22"/>
          <w:szCs w:val="22"/>
        </w:rPr>
        <w:t xml:space="preserve"> 2.0 Hz, H-6); and signals of a 1,4-disubstituted benzene ring at </w:t>
      </w:r>
      <w:r w:rsidRPr="005E6B7C">
        <w:rPr>
          <w:rFonts w:asciiTheme="majorHAnsi" w:eastAsia="Times New Roman" w:hAnsiTheme="majorHAnsi" w:cstheme="majorHAnsi"/>
          <w:i/>
          <w:color w:val="000000" w:themeColor="text1"/>
          <w:spacing w:val="4"/>
          <w:sz w:val="22"/>
          <w:szCs w:val="22"/>
        </w:rPr>
        <w:t>δ</w:t>
      </w:r>
      <w:r w:rsidRPr="005E6B7C">
        <w:rPr>
          <w:rFonts w:asciiTheme="majorHAnsi" w:eastAsia="Times New Roman" w:hAnsiTheme="majorHAnsi" w:cstheme="majorHAnsi"/>
          <w:color w:val="000000" w:themeColor="text1"/>
          <w:spacing w:val="4"/>
          <w:sz w:val="22"/>
          <w:szCs w:val="22"/>
          <w:vertAlign w:val="subscript"/>
        </w:rPr>
        <w:t>H</w:t>
      </w:r>
      <w:r w:rsidRPr="005E6B7C">
        <w:rPr>
          <w:rFonts w:asciiTheme="majorHAnsi" w:eastAsia="Times New Roman" w:hAnsiTheme="majorHAnsi" w:cstheme="majorHAnsi"/>
          <w:color w:val="000000" w:themeColor="text1"/>
          <w:spacing w:val="4"/>
          <w:sz w:val="22"/>
          <w:szCs w:val="22"/>
        </w:rPr>
        <w:t xml:space="preserve">​ 8.01 (2H, d, </w:t>
      </w:r>
      <w:r w:rsidRPr="005E6B7C">
        <w:rPr>
          <w:rFonts w:asciiTheme="majorHAnsi" w:eastAsia="Times New Roman" w:hAnsiTheme="majorHAnsi" w:cstheme="majorHAnsi"/>
          <w:i/>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8.5 Hz, H-2', H-6') and 6.92 (2H, d, </w:t>
      </w:r>
      <w:r w:rsidRPr="005E6B7C">
        <w:rPr>
          <w:rFonts w:asciiTheme="majorHAnsi" w:eastAsia="Times New Roman" w:hAnsiTheme="majorHAnsi" w:cstheme="majorHAnsi"/>
          <w:i/>
          <w:color w:val="000000" w:themeColor="text1"/>
          <w:spacing w:val="4"/>
          <w:sz w:val="22"/>
          <w:szCs w:val="22"/>
        </w:rPr>
        <w:t>J</w:t>
      </w:r>
      <w:r w:rsidRPr="005E6B7C">
        <w:rPr>
          <w:rFonts w:asciiTheme="majorHAnsi" w:eastAsia="Times New Roman" w:hAnsiTheme="majorHAnsi" w:cstheme="majorHAnsi"/>
          <w:color w:val="000000" w:themeColor="text1"/>
          <w:spacing w:val="4"/>
          <w:sz w:val="22"/>
          <w:szCs w:val="22"/>
        </w:rPr>
        <w:t xml:space="preserve"> = 8.5 Hz, H-3', H-5'). The </w:t>
      </w:r>
      <w:r w:rsidRPr="005E6B7C">
        <w:rPr>
          <w:rFonts w:asciiTheme="majorHAnsi" w:eastAsia="Times New Roman" w:hAnsiTheme="majorHAnsi" w:cstheme="majorHAnsi"/>
          <w:color w:val="000000" w:themeColor="text1"/>
          <w:spacing w:val="4"/>
          <w:sz w:val="22"/>
          <w:szCs w:val="22"/>
          <w:vertAlign w:val="superscript"/>
        </w:rPr>
        <w:t>13</w:t>
      </w:r>
      <w:r w:rsidRPr="005E6B7C">
        <w:rPr>
          <w:rFonts w:asciiTheme="majorHAnsi" w:eastAsia="Times New Roman" w:hAnsiTheme="majorHAnsi" w:cstheme="majorHAnsi"/>
          <w:color w:val="000000" w:themeColor="text1"/>
          <w:spacing w:val="4"/>
          <w:sz w:val="22"/>
          <w:szCs w:val="22"/>
        </w:rPr>
        <w:t xml:space="preserve">C-NMR spectrum of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showed signals for 15 carbons of a flavonoid skeleton. The ESI-MS of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exhibited an ion at </w:t>
      </w:r>
      <w:r w:rsidRPr="005E6B7C">
        <w:rPr>
          <w:rFonts w:asciiTheme="majorHAnsi" w:eastAsia="Times New Roman" w:hAnsiTheme="majorHAnsi" w:cstheme="majorHAnsi"/>
          <w:i/>
          <w:color w:val="000000" w:themeColor="text1"/>
          <w:spacing w:val="4"/>
          <w:sz w:val="22"/>
          <w:szCs w:val="22"/>
        </w:rPr>
        <w:t>m/z</w:t>
      </w:r>
      <w:r w:rsidRPr="005E6B7C">
        <w:rPr>
          <w:rFonts w:asciiTheme="majorHAnsi" w:eastAsia="Times New Roman" w:hAnsiTheme="majorHAnsi" w:cstheme="majorHAnsi"/>
          <w:color w:val="000000" w:themeColor="text1"/>
          <w:spacing w:val="4"/>
          <w:sz w:val="22"/>
          <w:szCs w:val="22"/>
        </w:rPr>
        <w:t xml:space="preserve"> 287.1 [M+H]</w:t>
      </w:r>
      <w:r w:rsidRPr="005E6B7C">
        <w:rPr>
          <w:rFonts w:asciiTheme="majorHAnsi" w:eastAsia="Times New Roman" w:hAnsiTheme="majorHAnsi" w:cstheme="majorHAnsi"/>
          <w:color w:val="000000" w:themeColor="text1"/>
          <w:spacing w:val="4"/>
          <w:sz w:val="22"/>
          <w:szCs w:val="22"/>
          <w:vertAlign w:val="superscript"/>
        </w:rPr>
        <w:t>+</w:t>
      </w:r>
      <w:r w:rsidRPr="005E6B7C">
        <w:rPr>
          <w:rFonts w:asciiTheme="majorHAnsi" w:eastAsia="Times New Roman" w:hAnsiTheme="majorHAnsi" w:cstheme="majorHAnsi"/>
          <w:color w:val="000000" w:themeColor="text1"/>
          <w:spacing w:val="4"/>
          <w:sz w:val="22"/>
          <w:szCs w:val="22"/>
        </w:rPr>
        <w:t>, which suggested the molecular formula C</w:t>
      </w:r>
      <w:r w:rsidRPr="005E6B7C">
        <w:rPr>
          <w:rFonts w:asciiTheme="majorHAnsi" w:eastAsia="Times New Roman" w:hAnsiTheme="majorHAnsi" w:cstheme="majorHAnsi"/>
          <w:color w:val="000000" w:themeColor="text1"/>
          <w:spacing w:val="4"/>
          <w:sz w:val="22"/>
          <w:szCs w:val="22"/>
          <w:vertAlign w:val="subscript"/>
        </w:rPr>
        <w:t>15</w:t>
      </w:r>
      <w:r w:rsidRPr="005E6B7C">
        <w:rPr>
          <w:rFonts w:asciiTheme="majorHAnsi" w:eastAsia="Times New Roman" w:hAnsiTheme="majorHAnsi" w:cstheme="majorHAnsi"/>
          <w:color w:val="000000" w:themeColor="text1"/>
          <w:spacing w:val="4"/>
          <w:sz w:val="22"/>
          <w:szCs w:val="22"/>
        </w:rPr>
        <w:t>H</w:t>
      </w:r>
      <w:r w:rsidRPr="005E6B7C">
        <w:rPr>
          <w:rFonts w:asciiTheme="majorHAnsi" w:eastAsia="Times New Roman" w:hAnsiTheme="majorHAnsi" w:cstheme="majorHAnsi"/>
          <w:color w:val="000000" w:themeColor="text1"/>
          <w:spacing w:val="4"/>
          <w:sz w:val="22"/>
          <w:szCs w:val="22"/>
          <w:vertAlign w:val="subscript"/>
        </w:rPr>
        <w:t>10</w:t>
      </w:r>
      <w:r w:rsidRPr="005E6B7C">
        <w:rPr>
          <w:rFonts w:asciiTheme="majorHAnsi" w:eastAsia="Times New Roman" w:hAnsiTheme="majorHAnsi" w:cstheme="majorHAnsi"/>
          <w:color w:val="000000" w:themeColor="text1"/>
          <w:spacing w:val="4"/>
          <w:sz w:val="22"/>
          <w:szCs w:val="22"/>
        </w:rPr>
        <w:t>O</w:t>
      </w:r>
      <w:r w:rsidRPr="005E6B7C">
        <w:rPr>
          <w:rFonts w:asciiTheme="majorHAnsi" w:eastAsia="Times New Roman" w:hAnsiTheme="majorHAnsi" w:cstheme="majorHAnsi"/>
          <w:color w:val="000000" w:themeColor="text1"/>
          <w:spacing w:val="4"/>
          <w:sz w:val="22"/>
          <w:szCs w:val="22"/>
          <w:vertAlign w:val="subscript"/>
        </w:rPr>
        <w:t>6</w:t>
      </w:r>
      <w:r w:rsidRPr="005E6B7C">
        <w:rPr>
          <w:rFonts w:asciiTheme="majorHAnsi" w:eastAsia="Times New Roman" w:hAnsiTheme="majorHAnsi" w:cstheme="majorHAnsi"/>
          <w:color w:val="000000" w:themeColor="text1"/>
          <w:spacing w:val="4"/>
          <w:sz w:val="22"/>
          <w:szCs w:val="22"/>
        </w:rPr>
        <w:t xml:space="preserve">​. Compound </w:t>
      </w:r>
      <w:r w:rsidRPr="005E6B7C">
        <w:rPr>
          <w:rFonts w:asciiTheme="majorHAnsi" w:eastAsia="Times New Roman" w:hAnsiTheme="majorHAnsi" w:cstheme="majorHAnsi"/>
          <w:b/>
          <w:bCs/>
          <w:color w:val="000000" w:themeColor="text1"/>
          <w:spacing w:val="4"/>
          <w:sz w:val="22"/>
          <w:szCs w:val="22"/>
        </w:rPr>
        <w:t>4</w:t>
      </w:r>
      <w:r w:rsidRPr="005E6B7C">
        <w:rPr>
          <w:rFonts w:asciiTheme="majorHAnsi" w:eastAsia="Times New Roman" w:hAnsiTheme="majorHAnsi" w:cstheme="majorHAnsi"/>
          <w:color w:val="000000" w:themeColor="text1"/>
          <w:spacing w:val="4"/>
          <w:sz w:val="22"/>
          <w:szCs w:val="22"/>
        </w:rPr>
        <w:t xml:space="preserve"> was determined as kaempferol (</w:t>
      </w:r>
      <w:r w:rsidR="00517F81" w:rsidRPr="005E6B7C">
        <w:rPr>
          <w:rFonts w:asciiTheme="majorHAnsi" w:eastAsia="Times New Roman" w:hAnsiTheme="majorHAnsi" w:cstheme="majorHAnsi"/>
          <w:color w:val="000000" w:themeColor="text1"/>
          <w:spacing w:val="4"/>
          <w:sz w:val="22"/>
          <w:szCs w:val="22"/>
        </w:rPr>
        <w:t xml:space="preserve">Fig. </w:t>
      </w:r>
      <w:r w:rsidRPr="005E6B7C">
        <w:rPr>
          <w:rFonts w:asciiTheme="majorHAnsi" w:eastAsia="Times New Roman" w:hAnsiTheme="majorHAnsi" w:cstheme="majorHAnsi"/>
          <w:color w:val="000000" w:themeColor="text1"/>
          <w:spacing w:val="4"/>
          <w:sz w:val="22"/>
          <w:szCs w:val="22"/>
        </w:rPr>
        <w:t>1) based on the agreement with the reported spectral data [13].</w:t>
      </w:r>
    </w:p>
    <w:p w14:paraId="0470D6D3" w14:textId="77777777" w:rsidR="00FC534C" w:rsidRPr="005E6B7C" w:rsidRDefault="00FC534C" w:rsidP="008C0D47">
      <w:pPr>
        <w:tabs>
          <w:tab w:val="left" w:pos="270"/>
          <w:tab w:val="left" w:pos="9270"/>
        </w:tabs>
        <w:spacing w:line="240" w:lineRule="exact"/>
        <w:ind w:firstLine="284"/>
        <w:jc w:val="both"/>
        <w:rPr>
          <w:rFonts w:asciiTheme="majorHAnsi" w:eastAsia="Times New Roman" w:hAnsiTheme="majorHAnsi" w:cstheme="majorHAnsi"/>
          <w:color w:val="000000" w:themeColor="text1"/>
          <w:sz w:val="22"/>
          <w:szCs w:val="22"/>
        </w:rPr>
        <w:sectPr w:rsidR="00FC534C" w:rsidRPr="005E6B7C" w:rsidSect="00FC534C">
          <w:type w:val="continuous"/>
          <w:pgSz w:w="10773" w:h="15309" w:code="9"/>
          <w:pgMar w:top="907" w:right="851" w:bottom="1418" w:left="851" w:header="397" w:footer="851" w:gutter="0"/>
          <w:cols w:num="2" w:space="284"/>
          <w:docGrid w:linePitch="360"/>
        </w:sectPr>
      </w:pPr>
    </w:p>
    <w:p w14:paraId="70B9F9DE" w14:textId="77777777" w:rsidR="00E51A17" w:rsidRPr="005E6B7C" w:rsidRDefault="00E51A17" w:rsidP="00E51A17">
      <w:pPr>
        <w:tabs>
          <w:tab w:val="left" w:pos="270"/>
          <w:tab w:val="left" w:pos="9270"/>
        </w:tabs>
        <w:spacing w:before="160" w:after="120"/>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b/>
          <w:color w:val="000000" w:themeColor="text1"/>
          <w:sz w:val="18"/>
          <w:szCs w:val="18"/>
        </w:rPr>
        <w:t>Table 2</w:t>
      </w:r>
      <w:r w:rsidRPr="005E6B7C">
        <w:rPr>
          <w:rFonts w:asciiTheme="majorHAnsi" w:eastAsia="Times New Roman" w:hAnsiTheme="majorHAnsi" w:cstheme="majorHAnsi"/>
          <w:color w:val="000000" w:themeColor="text1"/>
          <w:sz w:val="18"/>
          <w:szCs w:val="18"/>
        </w:rPr>
        <w:t xml:space="preserve">. </w:t>
      </w:r>
      <w:r w:rsidRPr="005E6B7C">
        <w:rPr>
          <w:rFonts w:asciiTheme="majorHAnsi" w:eastAsia="Times New Roman" w:hAnsiTheme="majorHAnsi" w:cstheme="majorHAnsi"/>
          <w:color w:val="000000" w:themeColor="text1"/>
          <w:sz w:val="18"/>
          <w:szCs w:val="18"/>
          <w:vertAlign w:val="superscript"/>
        </w:rPr>
        <w:t>1</w:t>
      </w:r>
      <w:r w:rsidRPr="005E6B7C">
        <w:rPr>
          <w:rFonts w:asciiTheme="majorHAnsi" w:eastAsia="Times New Roman" w:hAnsiTheme="majorHAnsi" w:cstheme="majorHAnsi"/>
          <w:color w:val="000000" w:themeColor="text1"/>
          <w:sz w:val="18"/>
          <w:szCs w:val="18"/>
        </w:rPr>
        <w:t>H-</w:t>
      </w:r>
      <w:r w:rsidRPr="005E6B7C">
        <w:rPr>
          <w:rFonts w:asciiTheme="majorHAnsi" w:eastAsia="Times New Roman" w:hAnsiTheme="majorHAnsi" w:cstheme="majorHAnsi"/>
          <w:color w:val="000000" w:themeColor="text1"/>
          <w:sz w:val="18"/>
          <w:szCs w:val="18"/>
          <w:lang w:eastAsia="ko-KR"/>
        </w:rPr>
        <w:t xml:space="preserve"> and </w:t>
      </w:r>
      <w:r w:rsidRPr="005E6B7C">
        <w:rPr>
          <w:rFonts w:asciiTheme="majorHAnsi" w:eastAsia="Times New Roman" w:hAnsiTheme="majorHAnsi" w:cstheme="majorHAnsi"/>
          <w:color w:val="000000" w:themeColor="text1"/>
          <w:sz w:val="18"/>
          <w:szCs w:val="18"/>
          <w:vertAlign w:val="superscript"/>
          <w:lang w:eastAsia="ko-KR"/>
        </w:rPr>
        <w:t>13</w:t>
      </w:r>
      <w:r w:rsidRPr="005E6B7C">
        <w:rPr>
          <w:rFonts w:asciiTheme="majorHAnsi" w:eastAsia="Times New Roman" w:hAnsiTheme="majorHAnsi" w:cstheme="majorHAnsi"/>
          <w:color w:val="000000" w:themeColor="text1"/>
          <w:sz w:val="18"/>
          <w:szCs w:val="18"/>
          <w:lang w:eastAsia="ko-KR"/>
        </w:rPr>
        <w:t xml:space="preserve">C-NMR </w:t>
      </w:r>
      <w:r w:rsidRPr="005E6B7C">
        <w:rPr>
          <w:rFonts w:asciiTheme="majorHAnsi" w:eastAsia="Times New Roman" w:hAnsiTheme="majorHAnsi" w:cstheme="majorHAnsi"/>
          <w:color w:val="000000" w:themeColor="text1"/>
          <w:sz w:val="18"/>
          <w:szCs w:val="18"/>
        </w:rPr>
        <w:t xml:space="preserve"> data of compounds </w:t>
      </w:r>
      <w:r w:rsidRPr="005E6B7C">
        <w:rPr>
          <w:rFonts w:asciiTheme="majorHAnsi" w:eastAsia="Times New Roman" w:hAnsiTheme="majorHAnsi" w:cstheme="majorHAnsi"/>
          <w:b/>
          <w:bCs/>
          <w:color w:val="000000" w:themeColor="text1"/>
          <w:sz w:val="18"/>
          <w:szCs w:val="18"/>
        </w:rPr>
        <w:t xml:space="preserve">3 </w:t>
      </w:r>
      <w:r w:rsidRPr="005E6B7C">
        <w:rPr>
          <w:rFonts w:asciiTheme="majorHAnsi" w:eastAsia="Times New Roman" w:hAnsiTheme="majorHAnsi" w:cstheme="majorHAnsi"/>
          <w:color w:val="000000" w:themeColor="text1"/>
          <w:sz w:val="18"/>
          <w:szCs w:val="18"/>
        </w:rPr>
        <w:t>and</w:t>
      </w:r>
      <w:r w:rsidRPr="005E6B7C">
        <w:rPr>
          <w:rFonts w:asciiTheme="majorHAnsi" w:eastAsia="Times New Roman" w:hAnsiTheme="majorHAnsi" w:cstheme="majorHAnsi"/>
          <w:b/>
          <w:bCs/>
          <w:color w:val="000000" w:themeColor="text1"/>
          <w:sz w:val="18"/>
          <w:szCs w:val="18"/>
        </w:rPr>
        <w:t xml:space="preserve"> 4</w:t>
      </w:r>
    </w:p>
    <w:tbl>
      <w:tblPr>
        <w:tblStyle w:val="TableGridLight12"/>
        <w:tblW w:w="903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9"/>
        <w:gridCol w:w="2268"/>
        <w:gridCol w:w="850"/>
        <w:gridCol w:w="993"/>
        <w:gridCol w:w="2126"/>
        <w:gridCol w:w="992"/>
        <w:gridCol w:w="851"/>
      </w:tblGrid>
      <w:tr w:rsidR="00E51A17" w:rsidRPr="005E6B7C" w14:paraId="730C5E93" w14:textId="77777777" w:rsidTr="008B4638">
        <w:trPr>
          <w:jc w:val="center"/>
        </w:trPr>
        <w:tc>
          <w:tcPr>
            <w:tcW w:w="959" w:type="dxa"/>
            <w:vMerge w:val="restart"/>
            <w:vAlign w:val="center"/>
            <w:hideMark/>
          </w:tcPr>
          <w:p w14:paraId="29B3B090"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color w:val="000000" w:themeColor="text1"/>
                <w:sz w:val="18"/>
                <w:szCs w:val="18"/>
                <w:lang w:eastAsia="ja-JP"/>
              </w:rPr>
              <w:t>Pos.</w:t>
            </w:r>
          </w:p>
        </w:tc>
        <w:tc>
          <w:tcPr>
            <w:tcW w:w="3118" w:type="dxa"/>
            <w:gridSpan w:val="2"/>
            <w:vAlign w:val="center"/>
            <w:hideMark/>
          </w:tcPr>
          <w:p w14:paraId="6D8941F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color w:val="000000" w:themeColor="text1"/>
                <w:sz w:val="18"/>
                <w:szCs w:val="18"/>
                <w:lang w:eastAsia="ja-JP"/>
              </w:rPr>
              <w:t>3</w:t>
            </w:r>
          </w:p>
        </w:tc>
        <w:tc>
          <w:tcPr>
            <w:tcW w:w="993" w:type="dxa"/>
            <w:vMerge w:val="restart"/>
            <w:vAlign w:val="center"/>
          </w:tcPr>
          <w:p w14:paraId="45B5007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C</w:t>
            </w:r>
            <w:r w:rsidRPr="005E6B7C">
              <w:rPr>
                <w:rFonts w:ascii="Times New Roman" w:eastAsia="Times New Roman" w:hAnsi="Times New Roman"/>
                <w:b/>
                <w:bCs/>
                <w:color w:val="000000" w:themeColor="text1"/>
                <w:sz w:val="18"/>
                <w:szCs w:val="18"/>
                <w:vertAlign w:val="superscript"/>
                <w:lang w:eastAsia="ja-JP"/>
              </w:rPr>
              <w:t>a,c</w:t>
            </w:r>
            <w:r w:rsidRPr="005E6B7C">
              <w:rPr>
                <w:rFonts w:ascii="Times New Roman" w:eastAsia="Times New Roman" w:hAnsi="Times New Roman"/>
                <w:b/>
                <w:bCs/>
                <w:color w:val="000000" w:themeColor="text1"/>
                <w:sz w:val="18"/>
                <w:szCs w:val="18"/>
                <w:lang w:eastAsia="ja-JP"/>
              </w:rPr>
              <w:t xml:space="preserve"> [12]</w:t>
            </w:r>
          </w:p>
        </w:tc>
        <w:tc>
          <w:tcPr>
            <w:tcW w:w="3118" w:type="dxa"/>
            <w:gridSpan w:val="2"/>
            <w:vAlign w:val="center"/>
          </w:tcPr>
          <w:p w14:paraId="4BDFBDC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color w:val="000000" w:themeColor="text1"/>
                <w:sz w:val="18"/>
                <w:szCs w:val="18"/>
                <w:lang w:eastAsia="ja-JP"/>
              </w:rPr>
              <w:t>4</w:t>
            </w:r>
          </w:p>
        </w:tc>
        <w:tc>
          <w:tcPr>
            <w:tcW w:w="851" w:type="dxa"/>
            <w:vMerge w:val="restart"/>
            <w:vAlign w:val="center"/>
          </w:tcPr>
          <w:p w14:paraId="617F7DDC"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C</w:t>
            </w:r>
            <w:r w:rsidRPr="005E6B7C">
              <w:rPr>
                <w:rFonts w:ascii="Times New Roman" w:eastAsia="Times New Roman" w:hAnsi="Times New Roman"/>
                <w:b/>
                <w:bCs/>
                <w:color w:val="000000" w:themeColor="text1"/>
                <w:sz w:val="18"/>
                <w:szCs w:val="18"/>
                <w:lang w:eastAsia="ja-JP"/>
              </w:rPr>
              <w:t xml:space="preserve"> [13]</w:t>
            </w:r>
          </w:p>
        </w:tc>
      </w:tr>
      <w:tr w:rsidR="00E51A17" w:rsidRPr="005E6B7C" w14:paraId="2293344C" w14:textId="77777777" w:rsidTr="008B4638">
        <w:trPr>
          <w:jc w:val="center"/>
        </w:trPr>
        <w:tc>
          <w:tcPr>
            <w:tcW w:w="959" w:type="dxa"/>
            <w:vMerge/>
            <w:vAlign w:val="center"/>
          </w:tcPr>
          <w:p w14:paraId="3C951EB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p>
        </w:tc>
        <w:tc>
          <w:tcPr>
            <w:tcW w:w="2268" w:type="dxa"/>
            <w:vAlign w:val="center"/>
            <w:hideMark/>
          </w:tcPr>
          <w:p w14:paraId="3FC75EB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H</w:t>
            </w:r>
            <w:r w:rsidRPr="005E6B7C">
              <w:rPr>
                <w:rFonts w:ascii="Times New Roman" w:eastAsia="Times New Roman" w:hAnsi="Times New Roman"/>
                <w:b/>
                <w:bCs/>
                <w:color w:val="000000" w:themeColor="text1"/>
                <w:sz w:val="18"/>
                <w:szCs w:val="18"/>
                <w:vertAlign w:val="superscript"/>
                <w:lang w:eastAsia="ja-JP"/>
              </w:rPr>
              <w:t>a,b</w:t>
            </w:r>
            <w:r w:rsidRPr="005E6B7C">
              <w:rPr>
                <w:rFonts w:ascii="Times New Roman" w:eastAsia="Times New Roman" w:hAnsi="Times New Roman"/>
                <w:b/>
                <w:bCs/>
                <w:color w:val="000000" w:themeColor="text1"/>
                <w:sz w:val="18"/>
                <w:szCs w:val="18"/>
                <w:lang w:eastAsia="ja-JP"/>
              </w:rPr>
              <w:t>, mult. (</w:t>
            </w:r>
            <w:r w:rsidRPr="005E6B7C">
              <w:rPr>
                <w:rFonts w:ascii="Times New Roman" w:eastAsia="Times New Roman" w:hAnsi="Times New Roman"/>
                <w:b/>
                <w:bCs/>
                <w:i/>
                <w:iCs/>
                <w:color w:val="000000" w:themeColor="text1"/>
                <w:sz w:val="18"/>
                <w:szCs w:val="18"/>
                <w:lang w:eastAsia="ja-JP"/>
              </w:rPr>
              <w:t>J</w:t>
            </w:r>
            <w:r w:rsidRPr="005E6B7C">
              <w:rPr>
                <w:rFonts w:ascii="Times New Roman" w:eastAsia="Times New Roman" w:hAnsi="Times New Roman"/>
                <w:b/>
                <w:bCs/>
                <w:color w:val="000000" w:themeColor="text1"/>
                <w:sz w:val="18"/>
                <w:szCs w:val="18"/>
                <w:lang w:eastAsia="ja-JP"/>
              </w:rPr>
              <w:t xml:space="preserve"> in Hz)</w:t>
            </w:r>
          </w:p>
        </w:tc>
        <w:tc>
          <w:tcPr>
            <w:tcW w:w="850" w:type="dxa"/>
            <w:vAlign w:val="center"/>
            <w:hideMark/>
          </w:tcPr>
          <w:p w14:paraId="5E897A54"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C</w:t>
            </w:r>
            <w:r w:rsidRPr="005E6B7C">
              <w:rPr>
                <w:rFonts w:ascii="Times New Roman" w:eastAsia="Times New Roman" w:hAnsi="Times New Roman"/>
                <w:b/>
                <w:bCs/>
                <w:color w:val="000000" w:themeColor="text1"/>
                <w:sz w:val="18"/>
                <w:szCs w:val="18"/>
                <w:vertAlign w:val="superscript"/>
                <w:lang w:eastAsia="ja-JP"/>
              </w:rPr>
              <w:t>a,c</w:t>
            </w:r>
          </w:p>
        </w:tc>
        <w:tc>
          <w:tcPr>
            <w:tcW w:w="993" w:type="dxa"/>
            <w:vMerge/>
          </w:tcPr>
          <w:p w14:paraId="5B26DF4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p>
        </w:tc>
        <w:tc>
          <w:tcPr>
            <w:tcW w:w="2126" w:type="dxa"/>
            <w:vAlign w:val="center"/>
          </w:tcPr>
          <w:p w14:paraId="7D507CC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H</w:t>
            </w:r>
            <w:r w:rsidRPr="005E6B7C">
              <w:rPr>
                <w:rFonts w:ascii="Times New Roman" w:eastAsia="Times New Roman" w:hAnsi="Times New Roman"/>
                <w:b/>
                <w:bCs/>
                <w:color w:val="000000" w:themeColor="text1"/>
                <w:sz w:val="18"/>
                <w:szCs w:val="18"/>
                <w:vertAlign w:val="superscript"/>
                <w:lang w:eastAsia="ja-JP"/>
              </w:rPr>
              <w:t>d,e</w:t>
            </w:r>
            <w:r w:rsidRPr="005E6B7C">
              <w:rPr>
                <w:rFonts w:ascii="Times New Roman" w:eastAsia="Times New Roman" w:hAnsi="Times New Roman"/>
                <w:b/>
                <w:bCs/>
                <w:color w:val="000000" w:themeColor="text1"/>
                <w:sz w:val="18"/>
                <w:szCs w:val="18"/>
                <w:lang w:eastAsia="ja-JP"/>
              </w:rPr>
              <w:t>, mult. (</w:t>
            </w:r>
            <w:r w:rsidRPr="005E6B7C">
              <w:rPr>
                <w:rFonts w:ascii="Times New Roman" w:eastAsia="Times New Roman" w:hAnsi="Times New Roman"/>
                <w:b/>
                <w:bCs/>
                <w:i/>
                <w:iCs/>
                <w:color w:val="000000" w:themeColor="text1"/>
                <w:sz w:val="18"/>
                <w:szCs w:val="18"/>
                <w:lang w:eastAsia="ja-JP"/>
              </w:rPr>
              <w:t>J</w:t>
            </w:r>
            <w:r w:rsidRPr="005E6B7C">
              <w:rPr>
                <w:rFonts w:ascii="Times New Roman" w:eastAsia="Times New Roman" w:hAnsi="Times New Roman"/>
                <w:b/>
                <w:bCs/>
                <w:color w:val="000000" w:themeColor="text1"/>
                <w:sz w:val="18"/>
                <w:szCs w:val="18"/>
                <w:lang w:eastAsia="ja-JP"/>
              </w:rPr>
              <w:t xml:space="preserve"> in Hz)</w:t>
            </w:r>
          </w:p>
        </w:tc>
        <w:tc>
          <w:tcPr>
            <w:tcW w:w="992" w:type="dxa"/>
            <w:vAlign w:val="center"/>
          </w:tcPr>
          <w:p w14:paraId="13D0FF1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color w:val="000000" w:themeColor="text1"/>
                <w:sz w:val="18"/>
                <w:szCs w:val="18"/>
                <w:lang w:eastAsia="ja-JP"/>
              </w:rPr>
            </w:pPr>
            <w:r w:rsidRPr="005E6B7C">
              <w:rPr>
                <w:rFonts w:ascii="Times New Roman" w:eastAsia="Times New Roman" w:hAnsi="Times New Roman"/>
                <w:b/>
                <w:bCs/>
                <w:i/>
                <w:iCs/>
                <w:color w:val="000000" w:themeColor="text1"/>
                <w:sz w:val="18"/>
                <w:szCs w:val="18"/>
                <w:lang w:eastAsia="ja-JP"/>
              </w:rPr>
              <w:t>δ</w:t>
            </w:r>
            <w:r w:rsidRPr="005E6B7C">
              <w:rPr>
                <w:rFonts w:ascii="Times New Roman" w:eastAsia="Times New Roman" w:hAnsi="Times New Roman"/>
                <w:b/>
                <w:bCs/>
                <w:color w:val="000000" w:themeColor="text1"/>
                <w:sz w:val="18"/>
                <w:szCs w:val="18"/>
                <w:vertAlign w:val="subscript"/>
                <w:lang w:eastAsia="ja-JP"/>
              </w:rPr>
              <w:t>C</w:t>
            </w:r>
            <w:r w:rsidRPr="005E6B7C">
              <w:rPr>
                <w:rFonts w:ascii="Times New Roman" w:eastAsia="Times New Roman" w:hAnsi="Times New Roman"/>
                <w:b/>
                <w:bCs/>
                <w:color w:val="000000" w:themeColor="text1"/>
                <w:sz w:val="18"/>
                <w:szCs w:val="18"/>
                <w:vertAlign w:val="superscript"/>
                <w:lang w:eastAsia="ja-JP"/>
              </w:rPr>
              <w:t>d,c</w:t>
            </w:r>
          </w:p>
        </w:tc>
        <w:tc>
          <w:tcPr>
            <w:tcW w:w="851" w:type="dxa"/>
            <w:vMerge/>
            <w:vAlign w:val="center"/>
          </w:tcPr>
          <w:p w14:paraId="53D80DB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b/>
                <w:bCs/>
                <w:i/>
                <w:iCs/>
                <w:color w:val="000000" w:themeColor="text1"/>
                <w:sz w:val="18"/>
                <w:szCs w:val="18"/>
                <w:lang w:eastAsia="ja-JP"/>
              </w:rPr>
            </w:pPr>
          </w:p>
        </w:tc>
      </w:tr>
      <w:tr w:rsidR="00E51A17" w:rsidRPr="005E6B7C" w14:paraId="2DFB2A10" w14:textId="77777777" w:rsidTr="008B4638">
        <w:trPr>
          <w:jc w:val="center"/>
        </w:trPr>
        <w:tc>
          <w:tcPr>
            <w:tcW w:w="959" w:type="dxa"/>
            <w:vAlign w:val="center"/>
          </w:tcPr>
          <w:p w14:paraId="044A030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2</w:t>
            </w:r>
          </w:p>
        </w:tc>
        <w:tc>
          <w:tcPr>
            <w:tcW w:w="2268" w:type="dxa"/>
            <w:vAlign w:val="center"/>
          </w:tcPr>
          <w:p w14:paraId="2662FEF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3EDBC78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146.8</w:t>
            </w:r>
          </w:p>
        </w:tc>
        <w:tc>
          <w:tcPr>
            <w:tcW w:w="993" w:type="dxa"/>
            <w:vAlign w:val="center"/>
          </w:tcPr>
          <w:p w14:paraId="1083888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146.8</w:t>
            </w:r>
          </w:p>
        </w:tc>
        <w:tc>
          <w:tcPr>
            <w:tcW w:w="2126" w:type="dxa"/>
            <w:vAlign w:val="center"/>
          </w:tcPr>
          <w:p w14:paraId="211952C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ko-KR"/>
              </w:rPr>
              <w:t>-</w:t>
            </w:r>
          </w:p>
        </w:tc>
        <w:tc>
          <w:tcPr>
            <w:tcW w:w="992" w:type="dxa"/>
            <w:vAlign w:val="center"/>
          </w:tcPr>
          <w:p w14:paraId="63894474"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148.0</w:t>
            </w:r>
          </w:p>
        </w:tc>
        <w:tc>
          <w:tcPr>
            <w:tcW w:w="851" w:type="dxa"/>
            <w:vAlign w:val="center"/>
          </w:tcPr>
          <w:p w14:paraId="2413FDC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148.0</w:t>
            </w:r>
          </w:p>
        </w:tc>
      </w:tr>
      <w:tr w:rsidR="00E51A17" w:rsidRPr="005E6B7C" w14:paraId="175B81B6" w14:textId="77777777" w:rsidTr="008B4638">
        <w:trPr>
          <w:jc w:val="center"/>
        </w:trPr>
        <w:tc>
          <w:tcPr>
            <w:tcW w:w="959" w:type="dxa"/>
            <w:vAlign w:val="center"/>
          </w:tcPr>
          <w:p w14:paraId="178963D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3</w:t>
            </w:r>
          </w:p>
        </w:tc>
        <w:tc>
          <w:tcPr>
            <w:tcW w:w="2268" w:type="dxa"/>
            <w:vAlign w:val="center"/>
          </w:tcPr>
          <w:p w14:paraId="0CC7A8D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62A4038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135.7</w:t>
            </w:r>
          </w:p>
        </w:tc>
        <w:tc>
          <w:tcPr>
            <w:tcW w:w="993" w:type="dxa"/>
            <w:vAlign w:val="center"/>
          </w:tcPr>
          <w:p w14:paraId="49278B2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135.6</w:t>
            </w:r>
          </w:p>
        </w:tc>
        <w:tc>
          <w:tcPr>
            <w:tcW w:w="2126" w:type="dxa"/>
            <w:vAlign w:val="center"/>
          </w:tcPr>
          <w:p w14:paraId="0D12842E"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ko-KR"/>
              </w:rPr>
              <w:t>-</w:t>
            </w:r>
          </w:p>
        </w:tc>
        <w:tc>
          <w:tcPr>
            <w:tcW w:w="992" w:type="dxa"/>
            <w:vAlign w:val="center"/>
          </w:tcPr>
          <w:p w14:paraId="1A659BD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137.1</w:t>
            </w:r>
          </w:p>
        </w:tc>
        <w:tc>
          <w:tcPr>
            <w:tcW w:w="851" w:type="dxa"/>
            <w:vAlign w:val="center"/>
          </w:tcPr>
          <w:p w14:paraId="4718A41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137.1</w:t>
            </w:r>
          </w:p>
        </w:tc>
      </w:tr>
      <w:tr w:rsidR="00E51A17" w:rsidRPr="005E6B7C" w14:paraId="285FA537" w14:textId="77777777" w:rsidTr="008B4638">
        <w:trPr>
          <w:jc w:val="center"/>
        </w:trPr>
        <w:tc>
          <w:tcPr>
            <w:tcW w:w="959" w:type="dxa"/>
            <w:vAlign w:val="center"/>
          </w:tcPr>
          <w:p w14:paraId="2C8BF2E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4</w:t>
            </w:r>
          </w:p>
        </w:tc>
        <w:tc>
          <w:tcPr>
            <w:tcW w:w="2268" w:type="dxa"/>
            <w:vAlign w:val="center"/>
          </w:tcPr>
          <w:p w14:paraId="0FF2E60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746E9CE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175.8</w:t>
            </w:r>
          </w:p>
        </w:tc>
        <w:tc>
          <w:tcPr>
            <w:tcW w:w="993" w:type="dxa"/>
            <w:vAlign w:val="center"/>
          </w:tcPr>
          <w:p w14:paraId="5285993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175.9</w:t>
            </w:r>
          </w:p>
        </w:tc>
        <w:tc>
          <w:tcPr>
            <w:tcW w:w="2126" w:type="dxa"/>
            <w:vAlign w:val="center"/>
          </w:tcPr>
          <w:p w14:paraId="6A53AA6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992" w:type="dxa"/>
            <w:vAlign w:val="center"/>
          </w:tcPr>
          <w:p w14:paraId="26BDCA1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177.3</w:t>
            </w:r>
          </w:p>
        </w:tc>
        <w:tc>
          <w:tcPr>
            <w:tcW w:w="851" w:type="dxa"/>
            <w:vAlign w:val="center"/>
          </w:tcPr>
          <w:p w14:paraId="59FF0B4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177.3</w:t>
            </w:r>
          </w:p>
        </w:tc>
      </w:tr>
      <w:tr w:rsidR="00E51A17" w:rsidRPr="005E6B7C" w14:paraId="2A5876BC" w14:textId="77777777" w:rsidTr="008B4638">
        <w:trPr>
          <w:jc w:val="center"/>
        </w:trPr>
        <w:tc>
          <w:tcPr>
            <w:tcW w:w="959" w:type="dxa"/>
            <w:vAlign w:val="center"/>
          </w:tcPr>
          <w:p w14:paraId="7851F85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5</w:t>
            </w:r>
          </w:p>
        </w:tc>
        <w:tc>
          <w:tcPr>
            <w:tcW w:w="2268" w:type="dxa"/>
            <w:vAlign w:val="center"/>
          </w:tcPr>
          <w:p w14:paraId="7BB0CE6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48EB83F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160.7</w:t>
            </w:r>
          </w:p>
        </w:tc>
        <w:tc>
          <w:tcPr>
            <w:tcW w:w="993" w:type="dxa"/>
            <w:vAlign w:val="center"/>
          </w:tcPr>
          <w:p w14:paraId="0E324AE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160.8</w:t>
            </w:r>
          </w:p>
        </w:tc>
        <w:tc>
          <w:tcPr>
            <w:tcW w:w="2126" w:type="dxa"/>
            <w:vAlign w:val="center"/>
          </w:tcPr>
          <w:p w14:paraId="3A709E9E"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ko-KR"/>
              </w:rPr>
              <w:t>-</w:t>
            </w:r>
          </w:p>
        </w:tc>
        <w:tc>
          <w:tcPr>
            <w:tcW w:w="992" w:type="dxa"/>
            <w:vAlign w:val="center"/>
          </w:tcPr>
          <w:p w14:paraId="0D81E24D"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162.5</w:t>
            </w:r>
          </w:p>
        </w:tc>
        <w:tc>
          <w:tcPr>
            <w:tcW w:w="851" w:type="dxa"/>
            <w:vAlign w:val="center"/>
          </w:tcPr>
          <w:p w14:paraId="4AD361B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162.5</w:t>
            </w:r>
          </w:p>
        </w:tc>
      </w:tr>
      <w:tr w:rsidR="00E51A17" w:rsidRPr="005E6B7C" w14:paraId="570DBCF5" w14:textId="77777777" w:rsidTr="008B4638">
        <w:trPr>
          <w:jc w:val="center"/>
        </w:trPr>
        <w:tc>
          <w:tcPr>
            <w:tcW w:w="959" w:type="dxa"/>
            <w:vAlign w:val="center"/>
          </w:tcPr>
          <w:p w14:paraId="1ECFC83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6</w:t>
            </w:r>
          </w:p>
        </w:tc>
        <w:tc>
          <w:tcPr>
            <w:tcW w:w="2268" w:type="dxa"/>
          </w:tcPr>
          <w:p w14:paraId="243FB4A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6.19, d (2.4)</w:t>
            </w:r>
          </w:p>
        </w:tc>
        <w:tc>
          <w:tcPr>
            <w:tcW w:w="850" w:type="dxa"/>
            <w:vAlign w:val="center"/>
          </w:tcPr>
          <w:p w14:paraId="3B013A2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98.2</w:t>
            </w:r>
          </w:p>
        </w:tc>
        <w:tc>
          <w:tcPr>
            <w:tcW w:w="993" w:type="dxa"/>
            <w:vAlign w:val="center"/>
          </w:tcPr>
          <w:p w14:paraId="39202CA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98.3</w:t>
            </w:r>
          </w:p>
        </w:tc>
        <w:tc>
          <w:tcPr>
            <w:tcW w:w="2126" w:type="dxa"/>
            <w:vAlign w:val="center"/>
          </w:tcPr>
          <w:p w14:paraId="225DD7A4"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eastAsia="ja-JP"/>
              </w:rPr>
              <w:t xml:space="preserve">6.20, d </w:t>
            </w:r>
            <w:r w:rsidRPr="005E6B7C">
              <w:rPr>
                <w:rFonts w:ascii="Times New Roman" w:eastAsia="Yu Mincho" w:hAnsi="Times New Roman"/>
                <w:color w:val="000000" w:themeColor="text1"/>
                <w:sz w:val="18"/>
                <w:szCs w:val="18"/>
                <w:lang w:val="it-IT" w:eastAsia="ja-JP"/>
              </w:rPr>
              <w:t>(2.0)</w:t>
            </w:r>
          </w:p>
        </w:tc>
        <w:tc>
          <w:tcPr>
            <w:tcW w:w="992" w:type="dxa"/>
            <w:vAlign w:val="center"/>
          </w:tcPr>
          <w:p w14:paraId="0526614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ko-KR"/>
              </w:rPr>
              <w:t>99.3</w:t>
            </w:r>
          </w:p>
        </w:tc>
        <w:tc>
          <w:tcPr>
            <w:tcW w:w="851" w:type="dxa"/>
            <w:vAlign w:val="center"/>
          </w:tcPr>
          <w:p w14:paraId="2C6FC60D"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99.3</w:t>
            </w:r>
          </w:p>
        </w:tc>
      </w:tr>
      <w:tr w:rsidR="00E51A17" w:rsidRPr="005E6B7C" w14:paraId="1AC63264" w14:textId="77777777" w:rsidTr="008B4638">
        <w:trPr>
          <w:jc w:val="center"/>
        </w:trPr>
        <w:tc>
          <w:tcPr>
            <w:tcW w:w="959" w:type="dxa"/>
            <w:vAlign w:val="center"/>
          </w:tcPr>
          <w:p w14:paraId="4516F3D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7</w:t>
            </w:r>
          </w:p>
        </w:tc>
        <w:tc>
          <w:tcPr>
            <w:tcW w:w="2268" w:type="dxa"/>
          </w:tcPr>
          <w:p w14:paraId="1C95947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316C66E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164.1</w:t>
            </w:r>
          </w:p>
        </w:tc>
        <w:tc>
          <w:tcPr>
            <w:tcW w:w="993" w:type="dxa"/>
            <w:vAlign w:val="center"/>
          </w:tcPr>
          <w:p w14:paraId="26B47A1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164.2</w:t>
            </w:r>
          </w:p>
        </w:tc>
        <w:tc>
          <w:tcPr>
            <w:tcW w:w="2126" w:type="dxa"/>
            <w:vAlign w:val="center"/>
          </w:tcPr>
          <w:p w14:paraId="74BBC95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p>
        </w:tc>
        <w:tc>
          <w:tcPr>
            <w:tcW w:w="992" w:type="dxa"/>
            <w:vAlign w:val="center"/>
          </w:tcPr>
          <w:p w14:paraId="63274540"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165.5</w:t>
            </w:r>
          </w:p>
        </w:tc>
        <w:tc>
          <w:tcPr>
            <w:tcW w:w="851" w:type="dxa"/>
            <w:vAlign w:val="center"/>
          </w:tcPr>
          <w:p w14:paraId="749888D4"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165.6</w:t>
            </w:r>
          </w:p>
        </w:tc>
      </w:tr>
      <w:tr w:rsidR="00E51A17" w:rsidRPr="005E6B7C" w14:paraId="0C5664B2" w14:textId="77777777" w:rsidTr="008B4638">
        <w:trPr>
          <w:jc w:val="center"/>
        </w:trPr>
        <w:tc>
          <w:tcPr>
            <w:tcW w:w="959" w:type="dxa"/>
            <w:vAlign w:val="center"/>
          </w:tcPr>
          <w:p w14:paraId="4087E61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8</w:t>
            </w:r>
          </w:p>
        </w:tc>
        <w:tc>
          <w:tcPr>
            <w:tcW w:w="2268" w:type="dxa"/>
          </w:tcPr>
          <w:p w14:paraId="3892F04D"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6.41, d (2.4)</w:t>
            </w:r>
          </w:p>
        </w:tc>
        <w:tc>
          <w:tcPr>
            <w:tcW w:w="850" w:type="dxa"/>
            <w:vAlign w:val="center"/>
          </w:tcPr>
          <w:p w14:paraId="78197BA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93.4</w:t>
            </w:r>
          </w:p>
        </w:tc>
        <w:tc>
          <w:tcPr>
            <w:tcW w:w="993" w:type="dxa"/>
            <w:vAlign w:val="center"/>
          </w:tcPr>
          <w:p w14:paraId="04AACDE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93.4</w:t>
            </w:r>
          </w:p>
        </w:tc>
        <w:tc>
          <w:tcPr>
            <w:tcW w:w="2126" w:type="dxa"/>
            <w:vAlign w:val="center"/>
          </w:tcPr>
          <w:p w14:paraId="27A8FA6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vertAlign w:val="superscript"/>
                <w:lang w:eastAsia="ko-KR"/>
              </w:rPr>
            </w:pPr>
            <w:r w:rsidRPr="005E6B7C">
              <w:rPr>
                <w:rFonts w:ascii="Times New Roman" w:eastAsia="Yu Mincho" w:hAnsi="Times New Roman"/>
                <w:color w:val="000000" w:themeColor="text1"/>
                <w:sz w:val="18"/>
                <w:szCs w:val="18"/>
                <w:lang w:eastAsia="ja-JP"/>
              </w:rPr>
              <w:t xml:space="preserve">6.40, d </w:t>
            </w:r>
            <w:r w:rsidRPr="005E6B7C">
              <w:rPr>
                <w:rFonts w:ascii="Times New Roman" w:eastAsia="Yu Mincho" w:hAnsi="Times New Roman"/>
                <w:color w:val="000000" w:themeColor="text1"/>
                <w:sz w:val="18"/>
                <w:szCs w:val="18"/>
                <w:lang w:val="it-IT" w:eastAsia="ja-JP"/>
              </w:rPr>
              <w:t>(2.0)</w:t>
            </w:r>
          </w:p>
        </w:tc>
        <w:tc>
          <w:tcPr>
            <w:tcW w:w="992" w:type="dxa"/>
            <w:vAlign w:val="center"/>
          </w:tcPr>
          <w:p w14:paraId="189ABD60"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94.5</w:t>
            </w:r>
          </w:p>
        </w:tc>
        <w:tc>
          <w:tcPr>
            <w:tcW w:w="851" w:type="dxa"/>
            <w:vAlign w:val="center"/>
          </w:tcPr>
          <w:p w14:paraId="035FC6B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94.4</w:t>
            </w:r>
          </w:p>
        </w:tc>
      </w:tr>
      <w:tr w:rsidR="00E51A17" w:rsidRPr="005E6B7C" w14:paraId="1C44E441" w14:textId="77777777" w:rsidTr="008B4638">
        <w:trPr>
          <w:jc w:val="center"/>
        </w:trPr>
        <w:tc>
          <w:tcPr>
            <w:tcW w:w="959" w:type="dxa"/>
            <w:vAlign w:val="center"/>
          </w:tcPr>
          <w:p w14:paraId="6961C5D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9</w:t>
            </w:r>
          </w:p>
        </w:tc>
        <w:tc>
          <w:tcPr>
            <w:tcW w:w="2268" w:type="dxa"/>
          </w:tcPr>
          <w:p w14:paraId="66EEFC3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794F2F5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156.2</w:t>
            </w:r>
          </w:p>
        </w:tc>
        <w:tc>
          <w:tcPr>
            <w:tcW w:w="993" w:type="dxa"/>
            <w:vAlign w:val="center"/>
          </w:tcPr>
          <w:p w14:paraId="6DD7D02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156.2</w:t>
            </w:r>
          </w:p>
        </w:tc>
        <w:tc>
          <w:tcPr>
            <w:tcW w:w="2126" w:type="dxa"/>
            <w:vAlign w:val="center"/>
          </w:tcPr>
          <w:p w14:paraId="0B59672D" w14:textId="77777777" w:rsidR="00E51A17" w:rsidRPr="005E6B7C" w:rsidRDefault="00E51A17" w:rsidP="008B4638">
            <w:pPr>
              <w:tabs>
                <w:tab w:val="left" w:pos="270"/>
                <w:tab w:val="left" w:pos="9270"/>
              </w:tabs>
              <w:suppressAutoHyphens w:val="0"/>
              <w:ind w:right="-20"/>
              <w:jc w:val="center"/>
              <w:rPr>
                <w:rFonts w:ascii="Times New Roman" w:eastAsia="Yu Mincho" w:hAnsi="Times New Roman"/>
                <w:color w:val="000000" w:themeColor="text1"/>
                <w:sz w:val="18"/>
                <w:szCs w:val="18"/>
                <w:lang w:eastAsia="ja-JP"/>
              </w:rPr>
            </w:pPr>
            <w:r w:rsidRPr="005E6B7C">
              <w:rPr>
                <w:rFonts w:ascii="Times New Roman" w:eastAsia="Yu Mincho" w:hAnsi="Times New Roman"/>
                <w:color w:val="000000" w:themeColor="text1"/>
                <w:sz w:val="18"/>
                <w:szCs w:val="18"/>
                <w:lang w:eastAsia="ja-JP"/>
              </w:rPr>
              <w:t>-</w:t>
            </w:r>
          </w:p>
        </w:tc>
        <w:tc>
          <w:tcPr>
            <w:tcW w:w="992" w:type="dxa"/>
            <w:vAlign w:val="center"/>
          </w:tcPr>
          <w:p w14:paraId="7FD7D85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158.2</w:t>
            </w:r>
          </w:p>
        </w:tc>
        <w:tc>
          <w:tcPr>
            <w:tcW w:w="851" w:type="dxa"/>
            <w:vAlign w:val="center"/>
          </w:tcPr>
          <w:p w14:paraId="1692E41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158.2</w:t>
            </w:r>
          </w:p>
        </w:tc>
      </w:tr>
      <w:tr w:rsidR="00E51A17" w:rsidRPr="005E6B7C" w14:paraId="290E65D0" w14:textId="77777777" w:rsidTr="008B4638">
        <w:trPr>
          <w:jc w:val="center"/>
        </w:trPr>
        <w:tc>
          <w:tcPr>
            <w:tcW w:w="959" w:type="dxa"/>
            <w:vAlign w:val="center"/>
          </w:tcPr>
          <w:p w14:paraId="19F5574D"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10</w:t>
            </w:r>
          </w:p>
        </w:tc>
        <w:tc>
          <w:tcPr>
            <w:tcW w:w="2268" w:type="dxa"/>
          </w:tcPr>
          <w:p w14:paraId="7422D59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77694A5C"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102.9</w:t>
            </w:r>
          </w:p>
        </w:tc>
        <w:tc>
          <w:tcPr>
            <w:tcW w:w="993" w:type="dxa"/>
            <w:vAlign w:val="center"/>
          </w:tcPr>
          <w:p w14:paraId="1D56AE5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102.0</w:t>
            </w:r>
          </w:p>
        </w:tc>
        <w:tc>
          <w:tcPr>
            <w:tcW w:w="2126" w:type="dxa"/>
            <w:vAlign w:val="center"/>
          </w:tcPr>
          <w:p w14:paraId="216A6638" w14:textId="77777777" w:rsidR="00E51A17" w:rsidRPr="005E6B7C" w:rsidRDefault="00E51A17" w:rsidP="008B4638">
            <w:pPr>
              <w:tabs>
                <w:tab w:val="left" w:pos="270"/>
                <w:tab w:val="left" w:pos="9270"/>
              </w:tabs>
              <w:suppressAutoHyphens w:val="0"/>
              <w:ind w:right="-20"/>
              <w:jc w:val="center"/>
              <w:rPr>
                <w:rFonts w:ascii="Times New Roman" w:eastAsia="Yu Mincho" w:hAnsi="Times New Roman"/>
                <w:color w:val="000000" w:themeColor="text1"/>
                <w:sz w:val="18"/>
                <w:szCs w:val="18"/>
                <w:lang w:eastAsia="ja-JP"/>
              </w:rPr>
            </w:pPr>
            <w:r w:rsidRPr="005E6B7C">
              <w:rPr>
                <w:rFonts w:ascii="Times New Roman" w:eastAsia="Yu Mincho" w:hAnsi="Times New Roman"/>
                <w:color w:val="000000" w:themeColor="text1"/>
                <w:sz w:val="18"/>
                <w:szCs w:val="18"/>
                <w:lang w:eastAsia="ja-JP"/>
              </w:rPr>
              <w:t>-</w:t>
            </w:r>
          </w:p>
        </w:tc>
        <w:tc>
          <w:tcPr>
            <w:tcW w:w="992" w:type="dxa"/>
            <w:vAlign w:val="center"/>
          </w:tcPr>
          <w:p w14:paraId="09E03170"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104.5</w:t>
            </w:r>
          </w:p>
        </w:tc>
        <w:tc>
          <w:tcPr>
            <w:tcW w:w="851" w:type="dxa"/>
            <w:vAlign w:val="center"/>
          </w:tcPr>
          <w:p w14:paraId="78D546E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104.5</w:t>
            </w:r>
          </w:p>
        </w:tc>
      </w:tr>
      <w:tr w:rsidR="00E51A17" w:rsidRPr="005E6B7C" w14:paraId="7C4007EB" w14:textId="77777777" w:rsidTr="008B4638">
        <w:trPr>
          <w:jc w:val="center"/>
        </w:trPr>
        <w:tc>
          <w:tcPr>
            <w:tcW w:w="959" w:type="dxa"/>
            <w:vAlign w:val="center"/>
          </w:tcPr>
          <w:p w14:paraId="2864982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w:t>
            </w:r>
            <w:r w:rsidRPr="005E6B7C">
              <w:rPr>
                <w:rFonts w:ascii="Times New Roman" w:eastAsia="Yu Mincho" w:hAnsi="Times New Roman"/>
                <w:color w:val="000000" w:themeColor="text1"/>
                <w:sz w:val="18"/>
                <w:szCs w:val="18"/>
                <w:lang w:eastAsia="ja-JP"/>
              </w:rPr>
              <w:t>'</w:t>
            </w:r>
          </w:p>
        </w:tc>
        <w:tc>
          <w:tcPr>
            <w:tcW w:w="2268" w:type="dxa"/>
          </w:tcPr>
          <w:p w14:paraId="362D135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7A4BB2E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121.9</w:t>
            </w:r>
          </w:p>
        </w:tc>
        <w:tc>
          <w:tcPr>
            <w:tcW w:w="993" w:type="dxa"/>
            <w:vAlign w:val="center"/>
          </w:tcPr>
          <w:p w14:paraId="451BB1B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122.1</w:t>
            </w:r>
          </w:p>
        </w:tc>
        <w:tc>
          <w:tcPr>
            <w:tcW w:w="2126" w:type="dxa"/>
            <w:vAlign w:val="center"/>
          </w:tcPr>
          <w:p w14:paraId="527CC8B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992" w:type="dxa"/>
            <w:vAlign w:val="center"/>
          </w:tcPr>
          <w:p w14:paraId="182CE029"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123.7</w:t>
            </w:r>
          </w:p>
        </w:tc>
        <w:tc>
          <w:tcPr>
            <w:tcW w:w="851" w:type="dxa"/>
            <w:vAlign w:val="center"/>
          </w:tcPr>
          <w:p w14:paraId="0CA049E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123.7</w:t>
            </w:r>
          </w:p>
        </w:tc>
      </w:tr>
      <w:tr w:rsidR="00E51A17" w:rsidRPr="005E6B7C" w14:paraId="1624EA77" w14:textId="77777777" w:rsidTr="008B4638">
        <w:trPr>
          <w:jc w:val="center"/>
        </w:trPr>
        <w:tc>
          <w:tcPr>
            <w:tcW w:w="959" w:type="dxa"/>
            <w:vAlign w:val="center"/>
          </w:tcPr>
          <w:p w14:paraId="3F7CBCE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2</w:t>
            </w:r>
            <w:r w:rsidRPr="005E6B7C">
              <w:rPr>
                <w:rFonts w:ascii="Times New Roman" w:eastAsia="Yu Mincho" w:hAnsi="Times New Roman"/>
                <w:color w:val="000000" w:themeColor="text1"/>
                <w:sz w:val="18"/>
                <w:szCs w:val="18"/>
                <w:lang w:eastAsia="ja-JP"/>
              </w:rPr>
              <w:t>'</w:t>
            </w:r>
          </w:p>
        </w:tc>
        <w:tc>
          <w:tcPr>
            <w:tcW w:w="2268" w:type="dxa"/>
          </w:tcPr>
          <w:p w14:paraId="2F66DCF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7.68, d (2.4)</w:t>
            </w:r>
          </w:p>
        </w:tc>
        <w:tc>
          <w:tcPr>
            <w:tcW w:w="850" w:type="dxa"/>
            <w:vAlign w:val="center"/>
          </w:tcPr>
          <w:p w14:paraId="1838497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115.0</w:t>
            </w:r>
          </w:p>
        </w:tc>
        <w:tc>
          <w:tcPr>
            <w:tcW w:w="993" w:type="dxa"/>
            <w:vAlign w:val="center"/>
          </w:tcPr>
          <w:p w14:paraId="42677AF4"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115.0</w:t>
            </w:r>
          </w:p>
        </w:tc>
        <w:tc>
          <w:tcPr>
            <w:tcW w:w="2126" w:type="dxa"/>
            <w:vAlign w:val="center"/>
          </w:tcPr>
          <w:p w14:paraId="16E4ADD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eastAsia="ja-JP"/>
              </w:rPr>
              <w:t>8.01</w:t>
            </w:r>
            <w:r w:rsidRPr="005E6B7C">
              <w:rPr>
                <w:rFonts w:ascii="Times New Roman" w:eastAsia="Yu Mincho" w:hAnsi="Times New Roman"/>
                <w:color w:val="000000" w:themeColor="text1"/>
                <w:sz w:val="18"/>
                <w:szCs w:val="18"/>
                <w:lang w:val="vi-VN" w:eastAsia="ja-JP"/>
              </w:rPr>
              <w:t xml:space="preserve">, d </w:t>
            </w:r>
            <w:r w:rsidRPr="005E6B7C">
              <w:rPr>
                <w:rFonts w:ascii="Times New Roman" w:eastAsia="Yu Mincho" w:hAnsi="Times New Roman"/>
                <w:color w:val="000000" w:themeColor="text1"/>
                <w:sz w:val="18"/>
                <w:szCs w:val="18"/>
                <w:lang w:eastAsia="ja-JP"/>
              </w:rPr>
              <w:t>(8.5)</w:t>
            </w:r>
          </w:p>
        </w:tc>
        <w:tc>
          <w:tcPr>
            <w:tcW w:w="992" w:type="dxa"/>
            <w:vAlign w:val="center"/>
          </w:tcPr>
          <w:p w14:paraId="5DEF059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130.7</w:t>
            </w:r>
          </w:p>
        </w:tc>
        <w:tc>
          <w:tcPr>
            <w:tcW w:w="851" w:type="dxa"/>
            <w:vAlign w:val="center"/>
          </w:tcPr>
          <w:p w14:paraId="35B5AFC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130.7</w:t>
            </w:r>
          </w:p>
        </w:tc>
      </w:tr>
      <w:tr w:rsidR="00E51A17" w:rsidRPr="005E6B7C" w14:paraId="52CC2176" w14:textId="77777777" w:rsidTr="008B4638">
        <w:trPr>
          <w:jc w:val="center"/>
        </w:trPr>
        <w:tc>
          <w:tcPr>
            <w:tcW w:w="959" w:type="dxa"/>
            <w:vAlign w:val="center"/>
          </w:tcPr>
          <w:p w14:paraId="21439F2A"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3</w:t>
            </w:r>
            <w:r w:rsidRPr="005E6B7C">
              <w:rPr>
                <w:rFonts w:ascii="Times New Roman" w:eastAsia="Yu Mincho" w:hAnsi="Times New Roman"/>
                <w:color w:val="000000" w:themeColor="text1"/>
                <w:sz w:val="18"/>
                <w:szCs w:val="18"/>
                <w:lang w:eastAsia="ja-JP"/>
              </w:rPr>
              <w:t>'</w:t>
            </w:r>
          </w:p>
        </w:tc>
        <w:tc>
          <w:tcPr>
            <w:tcW w:w="2268" w:type="dxa"/>
          </w:tcPr>
          <w:p w14:paraId="3A3DD01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7066022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145.1</w:t>
            </w:r>
          </w:p>
        </w:tc>
        <w:tc>
          <w:tcPr>
            <w:tcW w:w="993" w:type="dxa"/>
            <w:vAlign w:val="center"/>
          </w:tcPr>
          <w:p w14:paraId="146CE07E"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145.1</w:t>
            </w:r>
          </w:p>
        </w:tc>
        <w:tc>
          <w:tcPr>
            <w:tcW w:w="2126" w:type="dxa"/>
            <w:vAlign w:val="center"/>
          </w:tcPr>
          <w:p w14:paraId="2FED0B4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eastAsia="ja-JP"/>
              </w:rPr>
              <w:t>6.92</w:t>
            </w:r>
            <w:r w:rsidRPr="005E6B7C">
              <w:rPr>
                <w:rFonts w:ascii="Times New Roman" w:eastAsia="Yu Mincho" w:hAnsi="Times New Roman"/>
                <w:color w:val="000000" w:themeColor="text1"/>
                <w:sz w:val="18"/>
                <w:szCs w:val="18"/>
                <w:lang w:val="vi-VN" w:eastAsia="ja-JP"/>
              </w:rPr>
              <w:t>, d</w:t>
            </w:r>
            <w:r w:rsidRPr="005E6B7C">
              <w:rPr>
                <w:rFonts w:ascii="Times New Roman" w:eastAsia="Yu Mincho" w:hAnsi="Times New Roman"/>
                <w:color w:val="000000" w:themeColor="text1"/>
                <w:sz w:val="18"/>
                <w:szCs w:val="18"/>
                <w:lang w:eastAsia="ja-JP"/>
              </w:rPr>
              <w:t xml:space="preserve"> (8.5)</w:t>
            </w:r>
          </w:p>
        </w:tc>
        <w:tc>
          <w:tcPr>
            <w:tcW w:w="992" w:type="dxa"/>
            <w:vAlign w:val="center"/>
          </w:tcPr>
          <w:p w14:paraId="33D683E7"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116.3</w:t>
            </w:r>
          </w:p>
        </w:tc>
        <w:tc>
          <w:tcPr>
            <w:tcW w:w="851" w:type="dxa"/>
            <w:vAlign w:val="center"/>
          </w:tcPr>
          <w:p w14:paraId="478EF7F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116.3</w:t>
            </w:r>
          </w:p>
        </w:tc>
      </w:tr>
      <w:tr w:rsidR="00E51A17" w:rsidRPr="005E6B7C" w14:paraId="4ED832A3" w14:textId="77777777" w:rsidTr="008B4638">
        <w:trPr>
          <w:jc w:val="center"/>
        </w:trPr>
        <w:tc>
          <w:tcPr>
            <w:tcW w:w="959" w:type="dxa"/>
            <w:vAlign w:val="center"/>
          </w:tcPr>
          <w:p w14:paraId="7C2C9E6E"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4</w:t>
            </w:r>
            <w:r w:rsidRPr="005E6B7C">
              <w:rPr>
                <w:rFonts w:ascii="Times New Roman" w:eastAsia="Yu Mincho" w:hAnsi="Times New Roman"/>
                <w:color w:val="000000" w:themeColor="text1"/>
                <w:sz w:val="18"/>
                <w:szCs w:val="18"/>
                <w:lang w:eastAsia="ja-JP"/>
              </w:rPr>
              <w:t>'</w:t>
            </w:r>
          </w:p>
        </w:tc>
        <w:tc>
          <w:tcPr>
            <w:tcW w:w="2268" w:type="dxa"/>
          </w:tcPr>
          <w:p w14:paraId="56C6D7BF"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850" w:type="dxa"/>
            <w:vAlign w:val="center"/>
          </w:tcPr>
          <w:p w14:paraId="254FA8E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147.7</w:t>
            </w:r>
          </w:p>
        </w:tc>
        <w:tc>
          <w:tcPr>
            <w:tcW w:w="993" w:type="dxa"/>
            <w:vAlign w:val="center"/>
          </w:tcPr>
          <w:p w14:paraId="7C0FA30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147.8</w:t>
            </w:r>
          </w:p>
        </w:tc>
        <w:tc>
          <w:tcPr>
            <w:tcW w:w="2126" w:type="dxa"/>
            <w:vAlign w:val="center"/>
          </w:tcPr>
          <w:p w14:paraId="7EEEEA3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w:t>
            </w:r>
          </w:p>
        </w:tc>
        <w:tc>
          <w:tcPr>
            <w:tcW w:w="992" w:type="dxa"/>
            <w:vAlign w:val="center"/>
          </w:tcPr>
          <w:p w14:paraId="2E9CE8C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160.5</w:t>
            </w:r>
          </w:p>
        </w:tc>
        <w:tc>
          <w:tcPr>
            <w:tcW w:w="851" w:type="dxa"/>
            <w:vAlign w:val="center"/>
          </w:tcPr>
          <w:p w14:paraId="549AB9D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160.5</w:t>
            </w:r>
          </w:p>
        </w:tc>
      </w:tr>
      <w:tr w:rsidR="00E51A17" w:rsidRPr="005E6B7C" w14:paraId="2DB64F69" w14:textId="77777777" w:rsidTr="008B4638">
        <w:trPr>
          <w:jc w:val="center"/>
        </w:trPr>
        <w:tc>
          <w:tcPr>
            <w:tcW w:w="959" w:type="dxa"/>
            <w:vAlign w:val="center"/>
          </w:tcPr>
          <w:p w14:paraId="571B86A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5</w:t>
            </w:r>
            <w:r w:rsidRPr="005E6B7C">
              <w:rPr>
                <w:rFonts w:ascii="Times New Roman" w:eastAsia="Yu Mincho" w:hAnsi="Times New Roman"/>
                <w:color w:val="000000" w:themeColor="text1"/>
                <w:sz w:val="18"/>
                <w:szCs w:val="18"/>
                <w:lang w:eastAsia="ja-JP"/>
              </w:rPr>
              <w:t>'</w:t>
            </w:r>
          </w:p>
        </w:tc>
        <w:tc>
          <w:tcPr>
            <w:tcW w:w="2268" w:type="dxa"/>
          </w:tcPr>
          <w:p w14:paraId="5608D283"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6.89, d (8.4)</w:t>
            </w:r>
          </w:p>
        </w:tc>
        <w:tc>
          <w:tcPr>
            <w:tcW w:w="850" w:type="dxa"/>
            <w:vAlign w:val="center"/>
          </w:tcPr>
          <w:p w14:paraId="2B80C761"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115.6</w:t>
            </w:r>
          </w:p>
        </w:tc>
        <w:tc>
          <w:tcPr>
            <w:tcW w:w="993" w:type="dxa"/>
            <w:vAlign w:val="center"/>
          </w:tcPr>
          <w:p w14:paraId="066D9B4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115.7</w:t>
            </w:r>
          </w:p>
        </w:tc>
        <w:tc>
          <w:tcPr>
            <w:tcW w:w="2126" w:type="dxa"/>
            <w:vAlign w:val="center"/>
          </w:tcPr>
          <w:p w14:paraId="35EA876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vertAlign w:val="superscript"/>
                <w:lang w:eastAsia="ko-KR"/>
              </w:rPr>
            </w:pPr>
            <w:r w:rsidRPr="005E6B7C">
              <w:rPr>
                <w:rFonts w:ascii="Times New Roman" w:eastAsia="Yu Mincho" w:hAnsi="Times New Roman"/>
                <w:color w:val="000000" w:themeColor="text1"/>
                <w:sz w:val="18"/>
                <w:szCs w:val="18"/>
                <w:lang w:eastAsia="ja-JP"/>
              </w:rPr>
              <w:t>6.92</w:t>
            </w:r>
            <w:r w:rsidRPr="005E6B7C">
              <w:rPr>
                <w:rFonts w:ascii="Times New Roman" w:eastAsia="Yu Mincho" w:hAnsi="Times New Roman"/>
                <w:color w:val="000000" w:themeColor="text1"/>
                <w:sz w:val="18"/>
                <w:szCs w:val="18"/>
                <w:lang w:val="vi-VN" w:eastAsia="ja-JP"/>
              </w:rPr>
              <w:t xml:space="preserve">, d </w:t>
            </w:r>
            <w:r w:rsidRPr="005E6B7C">
              <w:rPr>
                <w:rFonts w:ascii="Times New Roman" w:eastAsia="Yu Mincho" w:hAnsi="Times New Roman"/>
                <w:color w:val="000000" w:themeColor="text1"/>
                <w:sz w:val="18"/>
                <w:szCs w:val="18"/>
                <w:lang w:eastAsia="ja-JP"/>
              </w:rPr>
              <w:t>(8.5)</w:t>
            </w:r>
          </w:p>
        </w:tc>
        <w:tc>
          <w:tcPr>
            <w:tcW w:w="992" w:type="dxa"/>
            <w:vAlign w:val="center"/>
          </w:tcPr>
          <w:p w14:paraId="01592C0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ko-KR"/>
              </w:rPr>
              <w:t>116.3</w:t>
            </w:r>
          </w:p>
        </w:tc>
        <w:tc>
          <w:tcPr>
            <w:tcW w:w="851" w:type="dxa"/>
            <w:vAlign w:val="center"/>
          </w:tcPr>
          <w:p w14:paraId="54FA9F1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ko-KR"/>
              </w:rPr>
              <w:t>116.3</w:t>
            </w:r>
          </w:p>
        </w:tc>
      </w:tr>
      <w:tr w:rsidR="00E51A17" w:rsidRPr="005E6B7C" w14:paraId="0C1A24D9" w14:textId="77777777" w:rsidTr="008B4638">
        <w:trPr>
          <w:jc w:val="center"/>
        </w:trPr>
        <w:tc>
          <w:tcPr>
            <w:tcW w:w="959" w:type="dxa"/>
            <w:vAlign w:val="center"/>
          </w:tcPr>
          <w:p w14:paraId="46113F7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6</w:t>
            </w:r>
            <w:r w:rsidRPr="005E6B7C">
              <w:rPr>
                <w:rFonts w:ascii="Times New Roman" w:eastAsia="Yu Mincho" w:hAnsi="Times New Roman"/>
                <w:color w:val="000000" w:themeColor="text1"/>
                <w:sz w:val="18"/>
                <w:szCs w:val="18"/>
                <w:lang w:eastAsia="ja-JP"/>
              </w:rPr>
              <w:t>'</w:t>
            </w:r>
          </w:p>
        </w:tc>
        <w:tc>
          <w:tcPr>
            <w:tcW w:w="2268" w:type="dxa"/>
          </w:tcPr>
          <w:p w14:paraId="1EBCADA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7.55, dd (2.4, 8.4)</w:t>
            </w:r>
          </w:p>
        </w:tc>
        <w:tc>
          <w:tcPr>
            <w:tcW w:w="850" w:type="dxa"/>
            <w:vAlign w:val="center"/>
          </w:tcPr>
          <w:p w14:paraId="475E5E9E"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120.0</w:t>
            </w:r>
          </w:p>
        </w:tc>
        <w:tc>
          <w:tcPr>
            <w:tcW w:w="993" w:type="dxa"/>
            <w:vAlign w:val="center"/>
          </w:tcPr>
          <w:p w14:paraId="0A60BEC6"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120.0</w:t>
            </w:r>
          </w:p>
        </w:tc>
        <w:tc>
          <w:tcPr>
            <w:tcW w:w="2126" w:type="dxa"/>
            <w:vAlign w:val="center"/>
          </w:tcPr>
          <w:p w14:paraId="3C837092"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Yu Mincho" w:hAnsi="Times New Roman"/>
                <w:color w:val="000000" w:themeColor="text1"/>
                <w:sz w:val="18"/>
                <w:szCs w:val="18"/>
                <w:lang w:eastAsia="ja-JP"/>
              </w:rPr>
              <w:t>8.01</w:t>
            </w:r>
            <w:r w:rsidRPr="005E6B7C">
              <w:rPr>
                <w:rFonts w:ascii="Times New Roman" w:eastAsia="Yu Mincho" w:hAnsi="Times New Roman"/>
                <w:color w:val="000000" w:themeColor="text1"/>
                <w:sz w:val="18"/>
                <w:szCs w:val="18"/>
                <w:lang w:val="vi-VN" w:eastAsia="ja-JP"/>
              </w:rPr>
              <w:t>, d</w:t>
            </w:r>
            <w:r w:rsidRPr="005E6B7C">
              <w:rPr>
                <w:rFonts w:ascii="Times New Roman" w:eastAsia="Yu Mincho" w:hAnsi="Times New Roman"/>
                <w:color w:val="000000" w:themeColor="text1"/>
                <w:sz w:val="18"/>
                <w:szCs w:val="18"/>
                <w:lang w:eastAsia="ja-JP"/>
              </w:rPr>
              <w:t xml:space="preserve"> (8.5)</w:t>
            </w:r>
          </w:p>
        </w:tc>
        <w:tc>
          <w:tcPr>
            <w:tcW w:w="992" w:type="dxa"/>
            <w:vAlign w:val="center"/>
          </w:tcPr>
          <w:p w14:paraId="19826530"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130.7</w:t>
            </w:r>
          </w:p>
        </w:tc>
        <w:tc>
          <w:tcPr>
            <w:tcW w:w="851" w:type="dxa"/>
            <w:vAlign w:val="center"/>
          </w:tcPr>
          <w:p w14:paraId="3A70953D"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r w:rsidRPr="005E6B7C">
              <w:rPr>
                <w:rFonts w:ascii="Times New Roman" w:eastAsia="Times New Roman" w:hAnsi="Times New Roman"/>
                <w:color w:val="000000" w:themeColor="text1"/>
                <w:sz w:val="18"/>
                <w:szCs w:val="18"/>
                <w:lang w:eastAsia="ja-JP"/>
              </w:rPr>
              <w:t>130.7</w:t>
            </w:r>
          </w:p>
        </w:tc>
      </w:tr>
      <w:tr w:rsidR="00E51A17" w:rsidRPr="005E6B7C" w14:paraId="47EE47A8" w14:textId="77777777" w:rsidTr="008B4638">
        <w:trPr>
          <w:jc w:val="center"/>
        </w:trPr>
        <w:tc>
          <w:tcPr>
            <w:tcW w:w="959" w:type="dxa"/>
            <w:vAlign w:val="center"/>
          </w:tcPr>
          <w:p w14:paraId="62044A9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Times New Roman" w:hAnsi="Times New Roman"/>
                <w:color w:val="000000" w:themeColor="text1"/>
                <w:sz w:val="18"/>
                <w:szCs w:val="18"/>
                <w:lang w:eastAsia="ja-JP"/>
              </w:rPr>
              <w:t>5-OH</w:t>
            </w:r>
          </w:p>
        </w:tc>
        <w:tc>
          <w:tcPr>
            <w:tcW w:w="2268" w:type="dxa"/>
            <w:vAlign w:val="center"/>
          </w:tcPr>
          <w:p w14:paraId="59AE275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r w:rsidRPr="005E6B7C">
              <w:rPr>
                <w:rFonts w:ascii="Times New Roman" w:eastAsia="Yu Mincho" w:hAnsi="Times New Roman"/>
                <w:color w:val="000000" w:themeColor="text1"/>
                <w:sz w:val="18"/>
                <w:szCs w:val="18"/>
                <w:lang w:val="it-IT" w:eastAsia="ja-JP"/>
              </w:rPr>
              <w:t>12.48, s</w:t>
            </w:r>
          </w:p>
        </w:tc>
        <w:tc>
          <w:tcPr>
            <w:tcW w:w="850" w:type="dxa"/>
            <w:vAlign w:val="center"/>
          </w:tcPr>
          <w:p w14:paraId="0928466B" w14:textId="77777777" w:rsidR="00E51A17" w:rsidRPr="005E6B7C" w:rsidRDefault="00E51A17" w:rsidP="008B4638">
            <w:pPr>
              <w:tabs>
                <w:tab w:val="left" w:pos="270"/>
                <w:tab w:val="left" w:pos="9270"/>
              </w:tabs>
              <w:suppressAutoHyphens w:val="0"/>
              <w:ind w:right="-20"/>
              <w:jc w:val="center"/>
              <w:rPr>
                <w:rFonts w:ascii="Times New Roman" w:eastAsia="Yu Mincho" w:hAnsi="Times New Roman"/>
                <w:color w:val="000000" w:themeColor="text1"/>
                <w:sz w:val="18"/>
                <w:szCs w:val="18"/>
                <w:lang w:eastAsia="ja-JP"/>
              </w:rPr>
            </w:pPr>
          </w:p>
        </w:tc>
        <w:tc>
          <w:tcPr>
            <w:tcW w:w="993" w:type="dxa"/>
            <w:vAlign w:val="center"/>
          </w:tcPr>
          <w:p w14:paraId="69223C7A" w14:textId="77777777" w:rsidR="00E51A17" w:rsidRPr="005E6B7C" w:rsidRDefault="00E51A17" w:rsidP="008B4638">
            <w:pPr>
              <w:tabs>
                <w:tab w:val="left" w:pos="270"/>
                <w:tab w:val="left" w:pos="9270"/>
              </w:tabs>
              <w:suppressAutoHyphens w:val="0"/>
              <w:ind w:right="-20"/>
              <w:jc w:val="center"/>
              <w:rPr>
                <w:rFonts w:ascii="Times New Roman" w:eastAsia="Yu Mincho" w:hAnsi="Times New Roman"/>
                <w:color w:val="000000" w:themeColor="text1"/>
                <w:sz w:val="18"/>
                <w:szCs w:val="18"/>
                <w:lang w:eastAsia="ja-JP"/>
              </w:rPr>
            </w:pPr>
          </w:p>
        </w:tc>
        <w:tc>
          <w:tcPr>
            <w:tcW w:w="2126" w:type="dxa"/>
            <w:vAlign w:val="center"/>
          </w:tcPr>
          <w:p w14:paraId="61770AB5"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ko-KR"/>
              </w:rPr>
            </w:pPr>
          </w:p>
        </w:tc>
        <w:tc>
          <w:tcPr>
            <w:tcW w:w="992" w:type="dxa"/>
            <w:vAlign w:val="center"/>
          </w:tcPr>
          <w:p w14:paraId="2EE29B4B"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p>
        </w:tc>
        <w:tc>
          <w:tcPr>
            <w:tcW w:w="851" w:type="dxa"/>
            <w:vAlign w:val="center"/>
          </w:tcPr>
          <w:p w14:paraId="466C6868" w14:textId="77777777" w:rsidR="00E51A17" w:rsidRPr="005E6B7C" w:rsidRDefault="00E51A17" w:rsidP="008B4638">
            <w:pPr>
              <w:tabs>
                <w:tab w:val="left" w:pos="270"/>
                <w:tab w:val="left" w:pos="9270"/>
              </w:tabs>
              <w:suppressAutoHyphens w:val="0"/>
              <w:ind w:right="-20"/>
              <w:jc w:val="center"/>
              <w:rPr>
                <w:rFonts w:ascii="Times New Roman" w:eastAsia="Times New Roman" w:hAnsi="Times New Roman"/>
                <w:color w:val="000000" w:themeColor="text1"/>
                <w:sz w:val="18"/>
                <w:szCs w:val="18"/>
                <w:lang w:eastAsia="ja-JP"/>
              </w:rPr>
            </w:pPr>
          </w:p>
        </w:tc>
      </w:tr>
    </w:tbl>
    <w:p w14:paraId="1B3FC4C3" w14:textId="77777777" w:rsidR="00E51A17" w:rsidRPr="005E6B7C" w:rsidRDefault="00E51A17" w:rsidP="00E51A17">
      <w:pPr>
        <w:tabs>
          <w:tab w:val="left" w:pos="270"/>
          <w:tab w:val="left" w:pos="9270"/>
        </w:tabs>
        <w:spacing w:before="120"/>
        <w:ind w:firstLine="284"/>
        <w:rPr>
          <w:rFonts w:asciiTheme="majorHAnsi" w:eastAsia="Yu Mincho" w:hAnsiTheme="majorHAnsi" w:cstheme="majorHAnsi"/>
          <w:color w:val="000000" w:themeColor="text1"/>
          <w:sz w:val="18"/>
          <w:szCs w:val="18"/>
          <w:lang w:val="pt-BR" w:eastAsia="ja-JP"/>
        </w:rPr>
      </w:pPr>
      <w:r w:rsidRPr="005E6B7C">
        <w:rPr>
          <w:rFonts w:asciiTheme="majorHAnsi" w:eastAsia="Yu Mincho" w:hAnsiTheme="majorHAnsi" w:cstheme="majorHAnsi"/>
          <w:color w:val="000000" w:themeColor="text1"/>
          <w:sz w:val="18"/>
          <w:szCs w:val="18"/>
          <w:vertAlign w:val="superscript"/>
          <w:lang w:val="pt-BR" w:eastAsia="ja-JP"/>
        </w:rPr>
        <w:t xml:space="preserve">a </w:t>
      </w:r>
      <w:r w:rsidRPr="005E6B7C">
        <w:rPr>
          <w:rFonts w:asciiTheme="majorHAnsi" w:eastAsia="Yu Mincho" w:hAnsiTheme="majorHAnsi" w:cstheme="majorHAnsi"/>
          <w:color w:val="000000" w:themeColor="text1"/>
          <w:sz w:val="18"/>
          <w:szCs w:val="18"/>
          <w:lang w:val="pt-BR" w:eastAsia="ja-JP"/>
        </w:rPr>
        <w:t>: DMSO-</w:t>
      </w:r>
      <w:r w:rsidRPr="005E6B7C">
        <w:rPr>
          <w:rFonts w:asciiTheme="majorHAnsi" w:eastAsia="Yu Mincho" w:hAnsiTheme="majorHAnsi" w:cstheme="majorHAnsi"/>
          <w:i/>
          <w:color w:val="000000" w:themeColor="text1"/>
          <w:sz w:val="18"/>
          <w:szCs w:val="18"/>
          <w:lang w:val="pt-BR" w:eastAsia="ja-JP"/>
        </w:rPr>
        <w:t>d</w:t>
      </w:r>
      <w:r w:rsidRPr="005E6B7C">
        <w:rPr>
          <w:rFonts w:asciiTheme="majorHAnsi" w:eastAsia="Yu Mincho" w:hAnsiTheme="majorHAnsi" w:cstheme="majorHAnsi"/>
          <w:color w:val="000000" w:themeColor="text1"/>
          <w:sz w:val="18"/>
          <w:szCs w:val="18"/>
          <w:vertAlign w:val="subscript"/>
          <w:lang w:val="pt-BR" w:eastAsia="ja-JP"/>
        </w:rPr>
        <w:t>6</w:t>
      </w:r>
      <w:r w:rsidRPr="005E6B7C">
        <w:rPr>
          <w:rFonts w:asciiTheme="majorHAnsi" w:eastAsia="Yu Mincho" w:hAnsiTheme="majorHAnsi" w:cstheme="majorHAnsi"/>
          <w:color w:val="000000" w:themeColor="text1"/>
          <w:sz w:val="18"/>
          <w:szCs w:val="18"/>
          <w:lang w:val="pt-BR" w:eastAsia="ja-JP"/>
        </w:rPr>
        <w:t xml:space="preserve">; </w:t>
      </w:r>
      <w:r w:rsidRPr="005E6B7C">
        <w:rPr>
          <w:rFonts w:asciiTheme="majorHAnsi" w:eastAsia="Yu Mincho" w:hAnsiTheme="majorHAnsi" w:cstheme="majorHAnsi"/>
          <w:color w:val="000000" w:themeColor="text1"/>
          <w:sz w:val="18"/>
          <w:szCs w:val="18"/>
          <w:vertAlign w:val="superscript"/>
          <w:lang w:val="pt-BR" w:eastAsia="ja-JP"/>
        </w:rPr>
        <w:t>b</w:t>
      </w:r>
      <w:r w:rsidRPr="005E6B7C">
        <w:rPr>
          <w:rFonts w:asciiTheme="majorHAnsi" w:eastAsia="Yu Mincho" w:hAnsiTheme="majorHAnsi" w:cstheme="majorHAnsi"/>
          <w:color w:val="000000" w:themeColor="text1"/>
          <w:sz w:val="18"/>
          <w:szCs w:val="18"/>
          <w:lang w:val="pt-BR" w:eastAsia="ja-JP"/>
        </w:rPr>
        <w:t xml:space="preserve">: 600 MHz, </w:t>
      </w:r>
      <w:r w:rsidRPr="005E6B7C">
        <w:rPr>
          <w:rFonts w:asciiTheme="majorHAnsi" w:eastAsia="Yu Mincho" w:hAnsiTheme="majorHAnsi" w:cstheme="majorHAnsi"/>
          <w:color w:val="000000" w:themeColor="text1"/>
          <w:sz w:val="18"/>
          <w:szCs w:val="18"/>
          <w:vertAlign w:val="superscript"/>
          <w:lang w:val="pt-BR" w:eastAsia="ja-JP"/>
        </w:rPr>
        <w:t>c</w:t>
      </w:r>
      <w:r w:rsidRPr="005E6B7C">
        <w:rPr>
          <w:rFonts w:asciiTheme="majorHAnsi" w:eastAsia="Yu Mincho" w:hAnsiTheme="majorHAnsi" w:cstheme="majorHAnsi"/>
          <w:color w:val="000000" w:themeColor="text1"/>
          <w:sz w:val="18"/>
          <w:szCs w:val="18"/>
          <w:lang w:val="pt-BR" w:eastAsia="ja-JP"/>
        </w:rPr>
        <w:t xml:space="preserve">: 125 MHz; </w:t>
      </w:r>
      <w:r w:rsidRPr="005E6B7C">
        <w:rPr>
          <w:rFonts w:asciiTheme="majorHAnsi" w:eastAsia="Yu Mincho" w:hAnsiTheme="majorHAnsi" w:cstheme="majorHAnsi"/>
          <w:color w:val="000000" w:themeColor="text1"/>
          <w:sz w:val="18"/>
          <w:szCs w:val="18"/>
          <w:vertAlign w:val="superscript"/>
          <w:lang w:val="pt-BR" w:eastAsia="ja-JP"/>
        </w:rPr>
        <w:t>d</w:t>
      </w:r>
      <w:r w:rsidRPr="005E6B7C">
        <w:rPr>
          <w:rFonts w:asciiTheme="majorHAnsi" w:eastAsia="Yu Mincho" w:hAnsiTheme="majorHAnsi" w:cstheme="majorHAnsi"/>
          <w:color w:val="000000" w:themeColor="text1"/>
          <w:sz w:val="18"/>
          <w:szCs w:val="18"/>
          <w:lang w:val="pt-BR" w:eastAsia="ja-JP"/>
        </w:rPr>
        <w:t>: CD</w:t>
      </w:r>
      <w:r w:rsidRPr="005E6B7C">
        <w:rPr>
          <w:rFonts w:asciiTheme="majorHAnsi" w:eastAsia="Yu Mincho" w:hAnsiTheme="majorHAnsi" w:cstheme="majorHAnsi"/>
          <w:color w:val="000000" w:themeColor="text1"/>
          <w:sz w:val="18"/>
          <w:szCs w:val="18"/>
          <w:vertAlign w:val="subscript"/>
          <w:lang w:val="pt-BR" w:eastAsia="ja-JP"/>
        </w:rPr>
        <w:t>3</w:t>
      </w:r>
      <w:r w:rsidRPr="005E6B7C">
        <w:rPr>
          <w:rFonts w:asciiTheme="majorHAnsi" w:eastAsia="Yu Mincho" w:hAnsiTheme="majorHAnsi" w:cstheme="majorHAnsi"/>
          <w:color w:val="000000" w:themeColor="text1"/>
          <w:sz w:val="18"/>
          <w:szCs w:val="18"/>
          <w:lang w:val="pt-BR" w:eastAsia="ja-JP"/>
        </w:rPr>
        <w:t xml:space="preserve">OD; </w:t>
      </w:r>
      <w:r w:rsidRPr="005E6B7C">
        <w:rPr>
          <w:rFonts w:asciiTheme="majorHAnsi" w:eastAsia="Yu Mincho" w:hAnsiTheme="majorHAnsi" w:cstheme="majorHAnsi"/>
          <w:color w:val="000000" w:themeColor="text1"/>
          <w:sz w:val="18"/>
          <w:szCs w:val="18"/>
          <w:vertAlign w:val="superscript"/>
          <w:lang w:val="pt-BR" w:eastAsia="ja-JP"/>
        </w:rPr>
        <w:t>e</w:t>
      </w:r>
      <w:r w:rsidRPr="005E6B7C">
        <w:rPr>
          <w:rFonts w:asciiTheme="majorHAnsi" w:eastAsia="Yu Mincho" w:hAnsiTheme="majorHAnsi" w:cstheme="majorHAnsi"/>
          <w:color w:val="000000" w:themeColor="text1"/>
          <w:sz w:val="18"/>
          <w:szCs w:val="18"/>
          <w:lang w:val="pt-BR" w:eastAsia="ja-JP"/>
        </w:rPr>
        <w:t>: 500 MHz.</w:t>
      </w:r>
    </w:p>
    <w:p w14:paraId="55157D30" w14:textId="77777777" w:rsidR="00F5234A" w:rsidRPr="005E6B7C" w:rsidRDefault="00F5234A" w:rsidP="008C0D47">
      <w:pPr>
        <w:tabs>
          <w:tab w:val="left" w:pos="270"/>
          <w:tab w:val="left" w:pos="9270"/>
        </w:tabs>
        <w:ind w:right="-20"/>
        <w:jc w:val="both"/>
        <w:rPr>
          <w:rFonts w:asciiTheme="majorHAnsi" w:eastAsia="Yu Mincho" w:hAnsiTheme="majorHAnsi" w:cstheme="majorHAnsi"/>
          <w:color w:val="000000" w:themeColor="text1"/>
          <w:sz w:val="22"/>
          <w:szCs w:val="22"/>
          <w:lang w:val="pt-BR" w:eastAsia="ja-JP"/>
        </w:rPr>
      </w:pPr>
    </w:p>
    <w:p w14:paraId="34707999" w14:textId="77777777" w:rsidR="00FC534C" w:rsidRPr="005E6B7C" w:rsidRDefault="00FC534C"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z w:val="22"/>
          <w:szCs w:val="22"/>
          <w:lang w:val="pt-BR" w:eastAsia="ja-JP"/>
        </w:rPr>
        <w:sectPr w:rsidR="00FC534C" w:rsidRPr="005E6B7C" w:rsidSect="002206BB">
          <w:type w:val="continuous"/>
          <w:pgSz w:w="10773" w:h="15309" w:code="9"/>
          <w:pgMar w:top="907" w:right="851" w:bottom="1418" w:left="851" w:header="397" w:footer="851" w:gutter="0"/>
          <w:cols w:space="284"/>
          <w:docGrid w:linePitch="360"/>
        </w:sectPr>
      </w:pPr>
    </w:p>
    <w:p w14:paraId="59F5B048" w14:textId="77777777" w:rsidR="00E049CB" w:rsidRPr="005E6B7C" w:rsidRDefault="00E049CB" w:rsidP="008C0D47">
      <w:pPr>
        <w:tabs>
          <w:tab w:val="left" w:pos="27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was obtained as a white solid.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spectrum showed signals of an A</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B</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system of an aromatic ring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6.78 (2H,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8.4 Hz, H-3, H-5), 7.08 (2H,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8.4 Hz, H-2, H-6), and two methylene groups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2.80 (2H, t,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 6.6 Hz, H-7), 3.82 (2H, t,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6.6 Hz, H-8).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spectrum showed signals for 8 carbons, with 6 signals for the aromatic ring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 xml:space="preserve">131.0 (C-1), 130.9 (C-2, C-6), 116.1 (C-3, C-5), and 156.78 (C-4), an oxymethylene group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64.8 (C-8), </w:t>
      </w:r>
      <w:r w:rsidRPr="005E6B7C">
        <w:rPr>
          <w:rFonts w:asciiTheme="majorHAnsi" w:eastAsia="Yu Mincho" w:hAnsiTheme="majorHAnsi" w:cstheme="majorHAnsi"/>
          <w:color w:val="000000" w:themeColor="text1"/>
          <w:sz w:val="22"/>
          <w:szCs w:val="22"/>
          <w:lang w:eastAsia="ja-JP"/>
        </w:rPr>
        <w:lastRenderedPageBreak/>
        <w:t xml:space="preserve">and a methylene group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39.4 (C-7). Compound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was identified as tyrosol based on comparison of its spectral data with the reference literature [14].</w:t>
      </w:r>
    </w:p>
    <w:p w14:paraId="4178A1DB" w14:textId="77777777" w:rsidR="00E049CB" w:rsidRPr="005E6B7C" w:rsidRDefault="00E049CB" w:rsidP="008C0D47">
      <w:pPr>
        <w:tabs>
          <w:tab w:val="left" w:pos="270"/>
          <w:tab w:val="left" w:pos="9270"/>
        </w:tabs>
        <w:spacing w:line="240" w:lineRule="exact"/>
        <w:ind w:right="-23" w:firstLine="284"/>
        <w:jc w:val="both"/>
        <w:rPr>
          <w:rFonts w:asciiTheme="majorHAnsi" w:eastAsia="Times New Roman" w:hAnsiTheme="majorHAnsi" w:cstheme="majorHAnsi"/>
          <w:color w:val="000000" w:themeColor="text1"/>
          <w:spacing w:val="8"/>
          <w:sz w:val="22"/>
          <w:szCs w:val="22"/>
        </w:rPr>
      </w:pPr>
      <w:r w:rsidRPr="005E6B7C">
        <w:rPr>
          <w:rFonts w:asciiTheme="majorHAnsi" w:eastAsia="Times New Roman" w:hAnsiTheme="majorHAnsi" w:cstheme="majorHAnsi"/>
          <w:color w:val="000000" w:themeColor="text1"/>
          <w:spacing w:val="8"/>
          <w:sz w:val="22"/>
          <w:szCs w:val="22"/>
        </w:rPr>
        <w:t xml:space="preserve">Compound </w:t>
      </w:r>
      <w:r w:rsidRPr="005E6B7C">
        <w:rPr>
          <w:rFonts w:asciiTheme="majorHAnsi" w:eastAsia="Times New Roman" w:hAnsiTheme="majorHAnsi" w:cstheme="majorHAnsi"/>
          <w:b/>
          <w:color w:val="000000" w:themeColor="text1"/>
          <w:spacing w:val="8"/>
          <w:sz w:val="22"/>
          <w:szCs w:val="22"/>
        </w:rPr>
        <w:t>6</w:t>
      </w:r>
      <w:r w:rsidRPr="005E6B7C">
        <w:rPr>
          <w:rFonts w:asciiTheme="majorHAnsi" w:eastAsia="Times New Roman" w:hAnsiTheme="majorHAnsi" w:cstheme="majorHAnsi"/>
          <w:color w:val="000000" w:themeColor="text1"/>
          <w:spacing w:val="8"/>
          <w:sz w:val="22"/>
          <w:szCs w:val="22"/>
        </w:rPr>
        <w:t xml:space="preserve"> was isolated as a pale yellow powder. The </w:t>
      </w:r>
      <w:r w:rsidRPr="005E6B7C">
        <w:rPr>
          <w:rFonts w:asciiTheme="majorHAnsi" w:eastAsia="Times New Roman" w:hAnsiTheme="majorHAnsi" w:cstheme="majorHAnsi"/>
          <w:color w:val="000000" w:themeColor="text1"/>
          <w:spacing w:val="8"/>
          <w:sz w:val="22"/>
          <w:szCs w:val="22"/>
          <w:vertAlign w:val="superscript"/>
        </w:rPr>
        <w:t>1</w:t>
      </w:r>
      <w:r w:rsidRPr="005E6B7C">
        <w:rPr>
          <w:rFonts w:asciiTheme="majorHAnsi" w:eastAsia="Times New Roman" w:hAnsiTheme="majorHAnsi" w:cstheme="majorHAnsi"/>
          <w:color w:val="000000" w:themeColor="text1"/>
          <w:spacing w:val="8"/>
          <w:sz w:val="22"/>
          <w:szCs w:val="22"/>
        </w:rPr>
        <w:t xml:space="preserve">H-NMR spectrum of </w:t>
      </w:r>
      <w:r w:rsidRPr="005E6B7C">
        <w:rPr>
          <w:rFonts w:asciiTheme="majorHAnsi" w:eastAsia="Times New Roman" w:hAnsiTheme="majorHAnsi" w:cstheme="majorHAnsi"/>
          <w:b/>
          <w:color w:val="000000" w:themeColor="text1"/>
          <w:spacing w:val="8"/>
          <w:sz w:val="22"/>
          <w:szCs w:val="22"/>
        </w:rPr>
        <w:t>6</w:t>
      </w:r>
      <w:r w:rsidRPr="005E6B7C">
        <w:rPr>
          <w:rFonts w:asciiTheme="majorHAnsi" w:eastAsia="Times New Roman" w:hAnsiTheme="majorHAnsi" w:cstheme="majorHAnsi"/>
          <w:color w:val="000000" w:themeColor="text1"/>
          <w:spacing w:val="8"/>
          <w:sz w:val="22"/>
          <w:szCs w:val="22"/>
        </w:rPr>
        <w:t xml:space="preserve"> showed the presence of an ABX system with three protons at </w:t>
      </w:r>
      <w:r w:rsidRPr="005E6B7C">
        <w:rPr>
          <w:rFonts w:asciiTheme="majorHAnsi" w:eastAsia="Times New Roman" w:hAnsiTheme="majorHAnsi" w:cstheme="majorHAnsi"/>
          <w:i/>
          <w:color w:val="000000" w:themeColor="text1"/>
          <w:spacing w:val="8"/>
          <w:sz w:val="22"/>
          <w:szCs w:val="22"/>
        </w:rPr>
        <w:t>δ</w:t>
      </w:r>
      <w:r w:rsidRPr="005E6B7C">
        <w:rPr>
          <w:rFonts w:asciiTheme="majorHAnsi" w:eastAsia="Times New Roman" w:hAnsiTheme="majorHAnsi" w:cstheme="majorHAnsi"/>
          <w:color w:val="000000" w:themeColor="text1"/>
          <w:spacing w:val="8"/>
          <w:sz w:val="22"/>
          <w:szCs w:val="22"/>
          <w:vertAlign w:val="subscript"/>
        </w:rPr>
        <w:t>H</w:t>
      </w:r>
      <w:r w:rsidRPr="005E6B7C">
        <w:rPr>
          <w:rFonts w:asciiTheme="majorHAnsi" w:eastAsia="Times New Roman" w:hAnsiTheme="majorHAnsi" w:cstheme="majorHAnsi"/>
          <w:color w:val="000000" w:themeColor="text1"/>
          <w:spacing w:val="8"/>
          <w:sz w:val="22"/>
          <w:szCs w:val="22"/>
        </w:rPr>
        <w:t xml:space="preserve"> 7.05 (1H, d, </w:t>
      </w:r>
      <w:r w:rsidRPr="005E6B7C">
        <w:rPr>
          <w:rFonts w:asciiTheme="majorHAnsi" w:eastAsia="Times New Roman" w:hAnsiTheme="majorHAnsi" w:cstheme="majorHAnsi"/>
          <w:i/>
          <w:color w:val="000000" w:themeColor="text1"/>
          <w:spacing w:val="8"/>
          <w:sz w:val="22"/>
          <w:szCs w:val="22"/>
        </w:rPr>
        <w:t>J</w:t>
      </w:r>
      <w:r w:rsidRPr="005E6B7C">
        <w:rPr>
          <w:rFonts w:asciiTheme="majorHAnsi" w:eastAsia="Times New Roman" w:hAnsiTheme="majorHAnsi" w:cstheme="majorHAnsi"/>
          <w:color w:val="000000" w:themeColor="text1"/>
          <w:spacing w:val="8"/>
          <w:sz w:val="22"/>
          <w:szCs w:val="22"/>
        </w:rPr>
        <w:t xml:space="preserve"> = 2.0 Hz, H-2), 6.94 (1H, dd, </w:t>
      </w:r>
      <w:r w:rsidRPr="005E6B7C">
        <w:rPr>
          <w:rFonts w:asciiTheme="majorHAnsi" w:eastAsia="Times New Roman" w:hAnsiTheme="majorHAnsi" w:cstheme="majorHAnsi"/>
          <w:i/>
          <w:color w:val="000000" w:themeColor="text1"/>
          <w:spacing w:val="8"/>
          <w:sz w:val="22"/>
          <w:szCs w:val="22"/>
        </w:rPr>
        <w:t>J</w:t>
      </w:r>
      <w:r w:rsidRPr="005E6B7C">
        <w:rPr>
          <w:rFonts w:asciiTheme="majorHAnsi" w:eastAsia="Times New Roman" w:hAnsiTheme="majorHAnsi" w:cstheme="majorHAnsi"/>
          <w:color w:val="000000" w:themeColor="text1"/>
          <w:spacing w:val="8"/>
          <w:sz w:val="22"/>
          <w:szCs w:val="22"/>
        </w:rPr>
        <w:t xml:space="preserve"> = 2.0, 8.5 Hz, H-6), and 6.79 (1H, d, </w:t>
      </w:r>
      <w:r w:rsidRPr="005E6B7C">
        <w:rPr>
          <w:rFonts w:asciiTheme="majorHAnsi" w:eastAsia="Times New Roman" w:hAnsiTheme="majorHAnsi" w:cstheme="majorHAnsi"/>
          <w:i/>
          <w:color w:val="000000" w:themeColor="text1"/>
          <w:spacing w:val="8"/>
          <w:sz w:val="22"/>
          <w:szCs w:val="22"/>
        </w:rPr>
        <w:t>J</w:t>
      </w:r>
      <w:r w:rsidRPr="005E6B7C">
        <w:rPr>
          <w:rFonts w:asciiTheme="majorHAnsi" w:eastAsia="Times New Roman" w:hAnsiTheme="majorHAnsi" w:cstheme="majorHAnsi"/>
          <w:color w:val="000000" w:themeColor="text1"/>
          <w:spacing w:val="8"/>
          <w:sz w:val="22"/>
          <w:szCs w:val="22"/>
        </w:rPr>
        <w:t xml:space="preserve"> = 8.5 Hz, H-5). In addition, there were two </w:t>
      </w:r>
      <w:r w:rsidRPr="005E6B7C">
        <w:rPr>
          <w:rFonts w:asciiTheme="majorHAnsi" w:eastAsia="Times New Roman" w:hAnsiTheme="majorHAnsi" w:cstheme="majorHAnsi"/>
          <w:i/>
          <w:color w:val="000000" w:themeColor="text1"/>
          <w:spacing w:val="8"/>
          <w:sz w:val="22"/>
          <w:szCs w:val="22"/>
        </w:rPr>
        <w:t>trans</w:t>
      </w:r>
      <w:r w:rsidRPr="005E6B7C">
        <w:rPr>
          <w:rFonts w:asciiTheme="majorHAnsi" w:eastAsia="Times New Roman" w:hAnsiTheme="majorHAnsi" w:cstheme="majorHAnsi"/>
          <w:color w:val="000000" w:themeColor="text1"/>
          <w:spacing w:val="8"/>
          <w:sz w:val="22"/>
          <w:szCs w:val="22"/>
        </w:rPr>
        <w:t xml:space="preserve"> olefinic protons at </w:t>
      </w:r>
      <w:r w:rsidRPr="005E6B7C">
        <w:rPr>
          <w:rFonts w:asciiTheme="majorHAnsi" w:eastAsia="Times New Roman" w:hAnsiTheme="majorHAnsi" w:cstheme="majorHAnsi"/>
          <w:i/>
          <w:color w:val="000000" w:themeColor="text1"/>
          <w:spacing w:val="8"/>
          <w:sz w:val="22"/>
          <w:szCs w:val="22"/>
        </w:rPr>
        <w:t>δ</w:t>
      </w:r>
      <w:r w:rsidRPr="005E6B7C">
        <w:rPr>
          <w:rFonts w:asciiTheme="majorHAnsi" w:eastAsia="Times New Roman" w:hAnsiTheme="majorHAnsi" w:cstheme="majorHAnsi"/>
          <w:color w:val="000000" w:themeColor="text1"/>
          <w:spacing w:val="8"/>
          <w:sz w:val="22"/>
          <w:szCs w:val="22"/>
          <w:vertAlign w:val="subscript"/>
        </w:rPr>
        <w:t>H</w:t>
      </w:r>
      <w:r w:rsidRPr="005E6B7C">
        <w:rPr>
          <w:rFonts w:asciiTheme="majorHAnsi" w:eastAsia="Times New Roman" w:hAnsiTheme="majorHAnsi" w:cstheme="majorHAnsi"/>
          <w:color w:val="000000" w:themeColor="text1"/>
          <w:spacing w:val="8"/>
          <w:sz w:val="22"/>
          <w:szCs w:val="22"/>
        </w:rPr>
        <w:t xml:space="preserve"> 7.53 (1H, d, </w:t>
      </w:r>
      <w:r w:rsidRPr="005E6B7C">
        <w:rPr>
          <w:rFonts w:asciiTheme="majorHAnsi" w:eastAsia="Times New Roman" w:hAnsiTheme="majorHAnsi" w:cstheme="majorHAnsi"/>
          <w:i/>
          <w:color w:val="000000" w:themeColor="text1"/>
          <w:spacing w:val="8"/>
          <w:sz w:val="22"/>
          <w:szCs w:val="22"/>
        </w:rPr>
        <w:t>J</w:t>
      </w:r>
      <w:r w:rsidRPr="005E6B7C">
        <w:rPr>
          <w:rFonts w:asciiTheme="majorHAnsi" w:eastAsia="Times New Roman" w:hAnsiTheme="majorHAnsi" w:cstheme="majorHAnsi"/>
          <w:color w:val="000000" w:themeColor="text1"/>
          <w:spacing w:val="8"/>
          <w:sz w:val="22"/>
          <w:szCs w:val="22"/>
        </w:rPr>
        <w:t xml:space="preserve"> = 15.5 Hz, H-7) and 6.25 (1H, d, </w:t>
      </w:r>
      <w:r w:rsidRPr="005E6B7C">
        <w:rPr>
          <w:rFonts w:asciiTheme="majorHAnsi" w:eastAsia="Times New Roman" w:hAnsiTheme="majorHAnsi" w:cstheme="majorHAnsi"/>
          <w:i/>
          <w:color w:val="000000" w:themeColor="text1"/>
          <w:spacing w:val="8"/>
          <w:sz w:val="22"/>
          <w:szCs w:val="22"/>
        </w:rPr>
        <w:t>J</w:t>
      </w:r>
      <w:r w:rsidRPr="005E6B7C">
        <w:rPr>
          <w:rFonts w:asciiTheme="majorHAnsi" w:eastAsia="Times New Roman" w:hAnsiTheme="majorHAnsi" w:cstheme="majorHAnsi"/>
          <w:color w:val="000000" w:themeColor="text1"/>
          <w:spacing w:val="8"/>
          <w:sz w:val="22"/>
          <w:szCs w:val="22"/>
        </w:rPr>
        <w:t xml:space="preserve"> = 15.5 Hz, H-8). The </w:t>
      </w:r>
      <w:r w:rsidRPr="005E6B7C">
        <w:rPr>
          <w:rFonts w:asciiTheme="majorHAnsi" w:eastAsia="Times New Roman" w:hAnsiTheme="majorHAnsi" w:cstheme="majorHAnsi"/>
          <w:color w:val="000000" w:themeColor="text1"/>
          <w:spacing w:val="8"/>
          <w:sz w:val="22"/>
          <w:szCs w:val="22"/>
          <w:vertAlign w:val="superscript"/>
        </w:rPr>
        <w:t>13</w:t>
      </w:r>
      <w:r w:rsidRPr="005E6B7C">
        <w:rPr>
          <w:rFonts w:asciiTheme="majorHAnsi" w:eastAsia="Times New Roman" w:hAnsiTheme="majorHAnsi" w:cstheme="majorHAnsi"/>
          <w:color w:val="000000" w:themeColor="text1"/>
          <w:spacing w:val="8"/>
          <w:sz w:val="22"/>
          <w:szCs w:val="22"/>
        </w:rPr>
        <w:t xml:space="preserve">C-NMR spectrum of </w:t>
      </w:r>
      <w:r w:rsidRPr="005E6B7C">
        <w:rPr>
          <w:rFonts w:asciiTheme="majorHAnsi" w:eastAsia="Times New Roman" w:hAnsiTheme="majorHAnsi" w:cstheme="majorHAnsi"/>
          <w:b/>
          <w:color w:val="000000" w:themeColor="text1"/>
          <w:spacing w:val="8"/>
          <w:sz w:val="22"/>
          <w:szCs w:val="22"/>
        </w:rPr>
        <w:t>6</w:t>
      </w:r>
      <w:r w:rsidRPr="005E6B7C">
        <w:rPr>
          <w:rFonts w:asciiTheme="majorHAnsi" w:eastAsia="Times New Roman" w:hAnsiTheme="majorHAnsi" w:cstheme="majorHAnsi"/>
          <w:color w:val="000000" w:themeColor="text1"/>
          <w:spacing w:val="8"/>
          <w:sz w:val="22"/>
          <w:szCs w:val="22"/>
        </w:rPr>
        <w:t xml:space="preserve"> showed </w:t>
      </w:r>
      <w:r w:rsidRPr="005E6B7C">
        <w:rPr>
          <w:rFonts w:asciiTheme="majorHAnsi" w:eastAsia="Times New Roman" w:hAnsiTheme="majorHAnsi" w:cstheme="majorHAnsi"/>
          <w:color w:val="000000" w:themeColor="text1"/>
          <w:spacing w:val="8"/>
          <w:sz w:val="22"/>
          <w:szCs w:val="22"/>
        </w:rPr>
        <w:t xml:space="preserve">signals for 9 carbons, with 6 signals for an aromatic ring at </w:t>
      </w:r>
      <w:r w:rsidRPr="005E6B7C">
        <w:rPr>
          <w:rFonts w:asciiTheme="majorHAnsi" w:eastAsia="Times New Roman" w:hAnsiTheme="majorHAnsi" w:cstheme="majorHAnsi"/>
          <w:i/>
          <w:color w:val="000000" w:themeColor="text1"/>
          <w:spacing w:val="8"/>
          <w:sz w:val="22"/>
          <w:szCs w:val="22"/>
        </w:rPr>
        <w:t>δ</w:t>
      </w:r>
      <w:r w:rsidRPr="005E6B7C">
        <w:rPr>
          <w:rFonts w:asciiTheme="majorHAnsi" w:eastAsia="Times New Roman" w:hAnsiTheme="majorHAnsi" w:cstheme="majorHAnsi"/>
          <w:color w:val="000000" w:themeColor="text1"/>
          <w:spacing w:val="8"/>
          <w:sz w:val="22"/>
          <w:szCs w:val="22"/>
          <w:vertAlign w:val="subscript"/>
        </w:rPr>
        <w:t>C</w:t>
      </w:r>
      <w:r w:rsidRPr="005E6B7C">
        <w:rPr>
          <w:rFonts w:asciiTheme="majorHAnsi" w:eastAsia="Times New Roman" w:hAnsiTheme="majorHAnsi" w:cstheme="majorHAnsi"/>
          <w:color w:val="000000" w:themeColor="text1"/>
          <w:spacing w:val="8"/>
          <w:sz w:val="22"/>
          <w:szCs w:val="22"/>
        </w:rPr>
        <w:t xml:space="preserve"> 149.4 (C-3), 146.8 (C-4), 127.9 (C-1), 122.8 (C-6), 115.9 (C-2), and 115.1 (C-5), two olefinic carbons at </w:t>
      </w:r>
      <w:r w:rsidRPr="005E6B7C">
        <w:rPr>
          <w:rFonts w:asciiTheme="majorHAnsi" w:eastAsia="Times New Roman" w:hAnsiTheme="majorHAnsi" w:cstheme="majorHAnsi"/>
          <w:i/>
          <w:color w:val="000000" w:themeColor="text1"/>
          <w:spacing w:val="8"/>
          <w:sz w:val="22"/>
          <w:szCs w:val="22"/>
        </w:rPr>
        <w:t>δ</w:t>
      </w:r>
      <w:r w:rsidRPr="005E6B7C">
        <w:rPr>
          <w:rFonts w:asciiTheme="majorHAnsi" w:eastAsia="Times New Roman" w:hAnsiTheme="majorHAnsi" w:cstheme="majorHAnsi"/>
          <w:color w:val="000000" w:themeColor="text1"/>
          <w:spacing w:val="8"/>
          <w:sz w:val="22"/>
          <w:szCs w:val="22"/>
          <w:vertAlign w:val="subscript"/>
        </w:rPr>
        <w:t>C</w:t>
      </w:r>
      <w:r w:rsidRPr="005E6B7C">
        <w:rPr>
          <w:rFonts w:asciiTheme="majorHAnsi" w:eastAsia="Times New Roman" w:hAnsiTheme="majorHAnsi" w:cstheme="majorHAnsi"/>
          <w:color w:val="000000" w:themeColor="text1"/>
          <w:spacing w:val="8"/>
          <w:sz w:val="22"/>
          <w:szCs w:val="22"/>
        </w:rPr>
        <w:t xml:space="preserve"> 146.8 (C-7) and 116.5 (C-8), and one carboxylic acid group at </w:t>
      </w:r>
      <w:r w:rsidRPr="005E6B7C">
        <w:rPr>
          <w:rFonts w:asciiTheme="majorHAnsi" w:eastAsia="Times New Roman" w:hAnsiTheme="majorHAnsi" w:cstheme="majorHAnsi"/>
          <w:i/>
          <w:color w:val="000000" w:themeColor="text1"/>
          <w:spacing w:val="8"/>
          <w:sz w:val="22"/>
          <w:szCs w:val="22"/>
        </w:rPr>
        <w:t>δ</w:t>
      </w:r>
      <w:r w:rsidRPr="005E6B7C">
        <w:rPr>
          <w:rFonts w:asciiTheme="majorHAnsi" w:eastAsia="Times New Roman" w:hAnsiTheme="majorHAnsi" w:cstheme="majorHAnsi"/>
          <w:color w:val="000000" w:themeColor="text1"/>
          <w:spacing w:val="8"/>
          <w:sz w:val="22"/>
          <w:szCs w:val="22"/>
          <w:vertAlign w:val="subscript"/>
        </w:rPr>
        <w:t>C</w:t>
      </w:r>
      <w:r w:rsidRPr="005E6B7C">
        <w:rPr>
          <w:rFonts w:asciiTheme="majorHAnsi" w:eastAsia="Times New Roman" w:hAnsiTheme="majorHAnsi" w:cstheme="majorHAnsi"/>
          <w:color w:val="000000" w:themeColor="text1"/>
          <w:spacing w:val="8"/>
          <w:sz w:val="22"/>
          <w:szCs w:val="22"/>
        </w:rPr>
        <w:t xml:space="preserve"> 171.3 (COOH). Based on the above spectral data and comparison with reference literature, </w:t>
      </w:r>
      <w:r w:rsidRPr="005E6B7C">
        <w:rPr>
          <w:rFonts w:asciiTheme="majorHAnsi" w:eastAsia="Times New Roman" w:hAnsiTheme="majorHAnsi" w:cstheme="majorHAnsi"/>
          <w:b/>
          <w:color w:val="000000" w:themeColor="text1"/>
          <w:spacing w:val="8"/>
          <w:sz w:val="22"/>
          <w:szCs w:val="22"/>
        </w:rPr>
        <w:t>6</w:t>
      </w:r>
      <w:r w:rsidRPr="005E6B7C">
        <w:rPr>
          <w:rFonts w:asciiTheme="majorHAnsi" w:eastAsia="Times New Roman" w:hAnsiTheme="majorHAnsi" w:cstheme="majorHAnsi"/>
          <w:color w:val="000000" w:themeColor="text1"/>
          <w:spacing w:val="8"/>
          <w:sz w:val="22"/>
          <w:szCs w:val="22"/>
        </w:rPr>
        <w:t xml:space="preserve"> was identified as caffeic acid [15].</w:t>
      </w:r>
    </w:p>
    <w:p w14:paraId="4BE63762" w14:textId="77777777" w:rsidR="00FC534C" w:rsidRPr="005E6B7C" w:rsidRDefault="00E049CB" w:rsidP="008C0D47">
      <w:pPr>
        <w:tabs>
          <w:tab w:val="left" w:pos="270"/>
          <w:tab w:val="left" w:pos="9270"/>
        </w:tabs>
        <w:spacing w:line="240" w:lineRule="exact"/>
        <w:ind w:right="-23"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Compounds </w:t>
      </w:r>
      <w:r w:rsidRPr="005E6B7C">
        <w:rPr>
          <w:rFonts w:asciiTheme="majorHAnsi" w:eastAsia="Times New Roman" w:hAnsiTheme="majorHAnsi" w:cstheme="majorHAnsi"/>
          <w:b/>
          <w:bCs/>
          <w:color w:val="000000" w:themeColor="text1"/>
          <w:sz w:val="22"/>
          <w:szCs w:val="22"/>
        </w:rPr>
        <w:t>7</w:t>
      </w:r>
      <w:r w:rsidRPr="005E6B7C">
        <w:rPr>
          <w:rFonts w:asciiTheme="majorHAnsi" w:eastAsia="Times New Roman" w:hAnsiTheme="majorHAnsi" w:cstheme="majorHAnsi"/>
          <w:color w:val="000000" w:themeColor="text1"/>
          <w:sz w:val="22"/>
          <w:szCs w:val="22"/>
        </w:rPr>
        <w:t xml:space="preserve"> and </w:t>
      </w:r>
      <w:r w:rsidRPr="005E6B7C">
        <w:rPr>
          <w:rFonts w:asciiTheme="majorHAnsi" w:eastAsia="Times New Roman" w:hAnsiTheme="majorHAnsi" w:cstheme="majorHAnsi"/>
          <w:b/>
          <w:bCs/>
          <w:color w:val="000000" w:themeColor="text1"/>
          <w:sz w:val="22"/>
          <w:szCs w:val="22"/>
        </w:rPr>
        <w:t>8</w:t>
      </w:r>
      <w:r w:rsidRPr="005E6B7C">
        <w:rPr>
          <w:rFonts w:asciiTheme="majorHAnsi" w:eastAsia="Times New Roman" w:hAnsiTheme="majorHAnsi" w:cstheme="majorHAnsi"/>
          <w:color w:val="000000" w:themeColor="text1"/>
          <w:sz w:val="22"/>
          <w:szCs w:val="22"/>
        </w:rPr>
        <w:t xml:space="preserve"> were identified as protocatechuic acid [16] and gallic acid [9], respectively, based on the comparison of NMR data with those in the previous literature.</w:t>
      </w:r>
    </w:p>
    <w:p w14:paraId="59E788DC" w14:textId="77777777" w:rsidR="00FC534C" w:rsidRPr="005E6B7C" w:rsidRDefault="00FC534C" w:rsidP="008C0D47">
      <w:pPr>
        <w:tabs>
          <w:tab w:val="left" w:pos="270"/>
          <w:tab w:val="left" w:pos="9270"/>
        </w:tabs>
        <w:spacing w:line="240" w:lineRule="exact"/>
        <w:ind w:right="-23" w:firstLine="284"/>
        <w:jc w:val="both"/>
        <w:rPr>
          <w:rFonts w:asciiTheme="majorHAnsi" w:eastAsia="Times New Roman" w:hAnsiTheme="majorHAnsi" w:cstheme="majorHAnsi"/>
          <w:color w:val="000000" w:themeColor="text1"/>
          <w:sz w:val="22"/>
          <w:szCs w:val="22"/>
        </w:rPr>
        <w:sectPr w:rsidR="00FC534C" w:rsidRPr="005E6B7C" w:rsidSect="00FC534C">
          <w:type w:val="continuous"/>
          <w:pgSz w:w="10773" w:h="15309" w:code="9"/>
          <w:pgMar w:top="907" w:right="851" w:bottom="1418" w:left="851" w:header="397" w:footer="851" w:gutter="0"/>
          <w:cols w:num="2" w:space="284"/>
          <w:docGrid w:linePitch="360"/>
        </w:sectPr>
      </w:pPr>
    </w:p>
    <w:p w14:paraId="227A4D18" w14:textId="77777777" w:rsidR="00E049CB" w:rsidRPr="005E6B7C" w:rsidRDefault="00E049CB" w:rsidP="008C0D47">
      <w:pPr>
        <w:tabs>
          <w:tab w:val="left" w:pos="270"/>
          <w:tab w:val="left" w:pos="9270"/>
        </w:tabs>
        <w:spacing w:before="120"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3</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ko-KR"/>
        </w:rPr>
        <w:t xml:space="preserve"> and </w:t>
      </w:r>
      <w:r w:rsidRPr="005E6B7C">
        <w:rPr>
          <w:rFonts w:asciiTheme="majorHAnsi" w:eastAsia="Yu Mincho" w:hAnsiTheme="majorHAnsi" w:cstheme="majorHAnsi"/>
          <w:color w:val="000000" w:themeColor="text1"/>
          <w:sz w:val="18"/>
          <w:szCs w:val="18"/>
          <w:vertAlign w:val="superscript"/>
          <w:lang w:eastAsia="ko-KR"/>
        </w:rPr>
        <w:t>13</w:t>
      </w:r>
      <w:r w:rsidRPr="005E6B7C">
        <w:rPr>
          <w:rFonts w:asciiTheme="majorHAnsi" w:eastAsia="Yu Mincho" w:hAnsiTheme="majorHAnsi" w:cstheme="majorHAnsi"/>
          <w:color w:val="000000" w:themeColor="text1"/>
          <w:sz w:val="18"/>
          <w:szCs w:val="18"/>
          <w:lang w:eastAsia="ko-KR"/>
        </w:rPr>
        <w:t>C</w:t>
      </w:r>
      <w:r w:rsidR="0044085B" w:rsidRPr="005E6B7C">
        <w:rPr>
          <w:rFonts w:asciiTheme="majorHAnsi" w:eastAsia="Yu Mincho" w:hAnsiTheme="majorHAnsi" w:cstheme="majorHAnsi"/>
          <w:color w:val="000000" w:themeColor="text1"/>
          <w:sz w:val="18"/>
          <w:szCs w:val="18"/>
          <w:lang w:eastAsia="ko-KR"/>
        </w:rPr>
        <w:t>-</w:t>
      </w:r>
      <w:r w:rsidRPr="005E6B7C">
        <w:rPr>
          <w:rFonts w:asciiTheme="majorHAnsi" w:eastAsia="Yu Mincho" w:hAnsiTheme="majorHAnsi" w:cstheme="majorHAnsi"/>
          <w:color w:val="000000" w:themeColor="text1"/>
          <w:sz w:val="18"/>
          <w:szCs w:val="18"/>
          <w:lang w:eastAsia="ko-KR"/>
        </w:rPr>
        <w:t xml:space="preserve">NMR </w:t>
      </w:r>
      <w:r w:rsidRPr="005E6B7C">
        <w:rPr>
          <w:rFonts w:asciiTheme="majorHAnsi" w:eastAsia="Yu Mincho" w:hAnsiTheme="majorHAnsi" w:cstheme="majorHAnsi"/>
          <w:color w:val="000000" w:themeColor="text1"/>
          <w:sz w:val="18"/>
          <w:szCs w:val="18"/>
          <w:lang w:eastAsia="ja-JP"/>
        </w:rPr>
        <w:t xml:space="preserve"> data of compounds </w:t>
      </w:r>
      <w:r w:rsidRPr="005E6B7C">
        <w:rPr>
          <w:rFonts w:asciiTheme="majorHAnsi" w:eastAsia="Yu Mincho" w:hAnsiTheme="majorHAnsi" w:cstheme="majorHAnsi"/>
          <w:b/>
          <w:bCs/>
          <w:color w:val="000000" w:themeColor="text1"/>
          <w:sz w:val="18"/>
          <w:szCs w:val="18"/>
          <w:lang w:eastAsia="ja-JP"/>
        </w:rPr>
        <w:t xml:space="preserve">5 </w:t>
      </w:r>
      <w:r w:rsidRPr="005E6B7C">
        <w:rPr>
          <w:rFonts w:asciiTheme="majorHAnsi" w:eastAsia="Yu Mincho" w:hAnsiTheme="majorHAnsi" w:cstheme="majorHAnsi"/>
          <w:color w:val="000000" w:themeColor="text1"/>
          <w:sz w:val="18"/>
          <w:szCs w:val="18"/>
          <w:lang w:eastAsia="ja-JP"/>
        </w:rPr>
        <w:t>and</w:t>
      </w:r>
      <w:r w:rsidRPr="005E6B7C">
        <w:rPr>
          <w:rFonts w:asciiTheme="majorHAnsi" w:eastAsia="Yu Mincho" w:hAnsiTheme="majorHAnsi" w:cstheme="majorHAnsi"/>
          <w:b/>
          <w:bCs/>
          <w:color w:val="000000" w:themeColor="text1"/>
          <w:sz w:val="18"/>
          <w:szCs w:val="18"/>
          <w:lang w:eastAsia="ja-JP"/>
        </w:rPr>
        <w:t xml:space="preserve"> 6</w:t>
      </w:r>
    </w:p>
    <w:tbl>
      <w:tblPr>
        <w:tblStyle w:val="TableGridLight12"/>
        <w:tblW w:w="903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9"/>
        <w:gridCol w:w="2013"/>
        <w:gridCol w:w="992"/>
        <w:gridCol w:w="964"/>
        <w:gridCol w:w="2155"/>
        <w:gridCol w:w="992"/>
        <w:gridCol w:w="964"/>
      </w:tblGrid>
      <w:tr w:rsidR="006623AD" w:rsidRPr="005E6B7C" w14:paraId="49E9C424" w14:textId="77777777" w:rsidTr="006623AD">
        <w:trPr>
          <w:jc w:val="center"/>
        </w:trPr>
        <w:tc>
          <w:tcPr>
            <w:tcW w:w="959" w:type="dxa"/>
            <w:vMerge w:val="restart"/>
            <w:vAlign w:val="center"/>
            <w:hideMark/>
          </w:tcPr>
          <w:p w14:paraId="48EC5E25" w14:textId="77777777"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Pos.</w:t>
            </w:r>
          </w:p>
        </w:tc>
        <w:tc>
          <w:tcPr>
            <w:tcW w:w="3005" w:type="dxa"/>
            <w:gridSpan w:val="2"/>
            <w:vAlign w:val="center"/>
            <w:hideMark/>
          </w:tcPr>
          <w:p w14:paraId="2EE495C6" w14:textId="1FA74966"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5</w:t>
            </w:r>
          </w:p>
        </w:tc>
        <w:tc>
          <w:tcPr>
            <w:tcW w:w="964" w:type="dxa"/>
            <w:vMerge w:val="restart"/>
            <w:vAlign w:val="center"/>
          </w:tcPr>
          <w:p w14:paraId="125288BA" w14:textId="3D377566" w:rsidR="006623AD" w:rsidRPr="005E6B7C" w:rsidRDefault="006623AD" w:rsidP="006623AD">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eastAsia="ja-JP"/>
              </w:rPr>
              <w:t>C</w:t>
            </w:r>
            <w:r w:rsidRPr="005E6B7C">
              <w:rPr>
                <w:rFonts w:asciiTheme="majorHAnsi" w:eastAsia="Times New Roman" w:hAnsiTheme="majorHAnsi" w:cstheme="majorHAnsi"/>
                <w:b/>
                <w:color w:val="000000" w:themeColor="text1"/>
                <w:sz w:val="18"/>
                <w:szCs w:val="18"/>
                <w:vertAlign w:val="superscript"/>
                <w:lang w:eastAsia="ja-JP"/>
              </w:rPr>
              <w:t>a,c</w:t>
            </w:r>
            <w:r w:rsidRPr="005E6B7C">
              <w:rPr>
                <w:rFonts w:asciiTheme="majorHAnsi" w:eastAsia="Times New Roman" w:hAnsiTheme="majorHAnsi" w:cstheme="majorHAnsi"/>
                <w:b/>
                <w:color w:val="000000" w:themeColor="text1"/>
                <w:sz w:val="18"/>
                <w:szCs w:val="18"/>
                <w:lang w:eastAsia="ja-JP"/>
              </w:rPr>
              <w:t xml:space="preserve"> </w:t>
            </w:r>
            <w:r w:rsidRPr="005E6B7C">
              <w:rPr>
                <w:rFonts w:asciiTheme="majorHAnsi" w:eastAsia="Times New Roman" w:hAnsiTheme="majorHAnsi" w:cstheme="majorHAnsi"/>
                <w:color w:val="000000" w:themeColor="text1"/>
                <w:sz w:val="18"/>
                <w:szCs w:val="18"/>
                <w:lang w:eastAsia="ja-JP"/>
              </w:rPr>
              <w:t>[14]</w:t>
            </w:r>
          </w:p>
        </w:tc>
        <w:tc>
          <w:tcPr>
            <w:tcW w:w="3147" w:type="dxa"/>
            <w:gridSpan w:val="2"/>
            <w:vAlign w:val="center"/>
          </w:tcPr>
          <w:p w14:paraId="0353F91A" w14:textId="5B645CEB"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6</w:t>
            </w:r>
          </w:p>
        </w:tc>
        <w:tc>
          <w:tcPr>
            <w:tcW w:w="964" w:type="dxa"/>
            <w:vMerge w:val="restart"/>
            <w:vAlign w:val="center"/>
          </w:tcPr>
          <w:p w14:paraId="47881065" w14:textId="34F2425A" w:rsidR="006623AD" w:rsidRPr="005E6B7C" w:rsidRDefault="006623AD" w:rsidP="006623AD">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eastAsia="ja-JP"/>
              </w:rPr>
              <w:t>C</w:t>
            </w:r>
            <w:r w:rsidRPr="005E6B7C">
              <w:rPr>
                <w:rFonts w:asciiTheme="majorHAnsi" w:eastAsia="Times New Roman" w:hAnsiTheme="majorHAnsi" w:cstheme="majorHAnsi"/>
                <w:b/>
                <w:color w:val="000000" w:themeColor="text1"/>
                <w:sz w:val="18"/>
                <w:szCs w:val="18"/>
                <w:vertAlign w:val="superscript"/>
                <w:lang w:eastAsia="ja-JP"/>
              </w:rPr>
              <w:t>a,c</w:t>
            </w:r>
            <w:r w:rsidRPr="005E6B7C">
              <w:rPr>
                <w:rFonts w:asciiTheme="majorHAnsi" w:eastAsia="Times New Roman" w:hAnsiTheme="majorHAnsi" w:cstheme="majorHAnsi"/>
                <w:b/>
                <w:color w:val="000000" w:themeColor="text1"/>
                <w:sz w:val="18"/>
                <w:szCs w:val="18"/>
                <w:lang w:eastAsia="ja-JP"/>
              </w:rPr>
              <w:t xml:space="preserve"> </w:t>
            </w:r>
            <w:r w:rsidRPr="005E6B7C">
              <w:rPr>
                <w:rFonts w:asciiTheme="majorHAnsi" w:eastAsia="Times New Roman" w:hAnsiTheme="majorHAnsi" w:cstheme="majorHAnsi"/>
                <w:color w:val="000000" w:themeColor="text1"/>
                <w:sz w:val="18"/>
                <w:szCs w:val="18"/>
                <w:lang w:eastAsia="ja-JP"/>
              </w:rPr>
              <w:t>[15]</w:t>
            </w:r>
          </w:p>
        </w:tc>
      </w:tr>
      <w:tr w:rsidR="006623AD" w:rsidRPr="005E6B7C" w14:paraId="5757A32E" w14:textId="77777777" w:rsidTr="006623AD">
        <w:trPr>
          <w:jc w:val="center"/>
        </w:trPr>
        <w:tc>
          <w:tcPr>
            <w:tcW w:w="959" w:type="dxa"/>
            <w:vMerge/>
            <w:vAlign w:val="center"/>
          </w:tcPr>
          <w:p w14:paraId="28167491" w14:textId="77777777"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p>
        </w:tc>
        <w:tc>
          <w:tcPr>
            <w:tcW w:w="2013" w:type="dxa"/>
            <w:vAlign w:val="center"/>
            <w:hideMark/>
          </w:tcPr>
          <w:p w14:paraId="0082B034" w14:textId="1A3280DA"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eastAsia="ja-JP"/>
              </w:rPr>
              <w:t>H</w:t>
            </w:r>
            <w:r w:rsidRPr="005E6B7C">
              <w:rPr>
                <w:rFonts w:asciiTheme="majorHAnsi" w:eastAsia="Times New Roman" w:hAnsiTheme="majorHAnsi" w:cstheme="majorHAnsi"/>
                <w:b/>
                <w:color w:val="000000" w:themeColor="text1"/>
                <w:sz w:val="18"/>
                <w:szCs w:val="18"/>
                <w:vertAlign w:val="superscript"/>
                <w:lang w:eastAsia="ja-JP"/>
              </w:rPr>
              <w:t>a,b</w:t>
            </w:r>
            <w:r w:rsidRPr="005E6B7C">
              <w:rPr>
                <w:rFonts w:asciiTheme="majorHAnsi" w:eastAsia="Times New Roman"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z w:val="18"/>
                <w:szCs w:val="18"/>
                <w:vertAlign w:val="subscript"/>
                <w:lang w:eastAsia="ja-JP"/>
              </w:rPr>
              <w:t xml:space="preserve"> </w:t>
            </w:r>
            <w:r w:rsidRPr="005E6B7C">
              <w:rPr>
                <w:rFonts w:asciiTheme="majorHAnsi" w:eastAsia="Times New Roman" w:hAnsiTheme="majorHAnsi" w:cstheme="majorHAnsi"/>
                <w:color w:val="000000" w:themeColor="text1"/>
                <w:sz w:val="18"/>
                <w:szCs w:val="18"/>
                <w:lang w:eastAsia="ja-JP"/>
              </w:rPr>
              <w:t>mult. (</w:t>
            </w:r>
            <w:r w:rsidRPr="005E6B7C">
              <w:rPr>
                <w:rFonts w:asciiTheme="majorHAnsi" w:eastAsia="Times New Roman" w:hAnsiTheme="majorHAnsi" w:cstheme="majorHAnsi"/>
                <w:i/>
                <w:iCs/>
                <w:color w:val="000000" w:themeColor="text1"/>
                <w:sz w:val="18"/>
                <w:szCs w:val="18"/>
                <w:lang w:eastAsia="ja-JP"/>
              </w:rPr>
              <w:t>J</w:t>
            </w:r>
            <w:r w:rsidRPr="005E6B7C">
              <w:rPr>
                <w:rFonts w:asciiTheme="majorHAnsi" w:eastAsia="Times New Roman" w:hAnsiTheme="majorHAnsi" w:cstheme="majorHAnsi"/>
                <w:color w:val="000000" w:themeColor="text1"/>
                <w:sz w:val="18"/>
                <w:szCs w:val="18"/>
                <w:lang w:eastAsia="ja-JP"/>
              </w:rPr>
              <w:t xml:space="preserve"> in Hz)</w:t>
            </w:r>
          </w:p>
        </w:tc>
        <w:tc>
          <w:tcPr>
            <w:tcW w:w="992" w:type="dxa"/>
            <w:vAlign w:val="center"/>
            <w:hideMark/>
          </w:tcPr>
          <w:p w14:paraId="30AE5FFB" w14:textId="77777777"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eastAsia="ja-JP"/>
              </w:rPr>
              <w:t>C</w:t>
            </w:r>
            <w:r w:rsidRPr="005E6B7C">
              <w:rPr>
                <w:rFonts w:asciiTheme="majorHAnsi" w:eastAsia="Times New Roman" w:hAnsiTheme="majorHAnsi" w:cstheme="majorHAnsi"/>
                <w:b/>
                <w:color w:val="000000" w:themeColor="text1"/>
                <w:sz w:val="18"/>
                <w:szCs w:val="18"/>
                <w:vertAlign w:val="superscript"/>
                <w:lang w:eastAsia="ja-JP"/>
              </w:rPr>
              <w:t>a,c</w:t>
            </w:r>
          </w:p>
        </w:tc>
        <w:tc>
          <w:tcPr>
            <w:tcW w:w="964" w:type="dxa"/>
            <w:vMerge/>
          </w:tcPr>
          <w:p w14:paraId="2CA4F6A7" w14:textId="66B0335E"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p>
        </w:tc>
        <w:tc>
          <w:tcPr>
            <w:tcW w:w="2155" w:type="dxa"/>
            <w:vAlign w:val="center"/>
          </w:tcPr>
          <w:p w14:paraId="4F973B2C" w14:textId="02A9E62B"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val="pt-BR"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val="pt-BR" w:eastAsia="ja-JP"/>
              </w:rPr>
              <w:t>H</w:t>
            </w:r>
            <w:r w:rsidRPr="005E6B7C">
              <w:rPr>
                <w:rFonts w:asciiTheme="majorHAnsi" w:eastAsia="Times New Roman" w:hAnsiTheme="majorHAnsi" w:cstheme="majorHAnsi"/>
                <w:b/>
                <w:color w:val="000000" w:themeColor="text1"/>
                <w:sz w:val="18"/>
                <w:szCs w:val="18"/>
                <w:vertAlign w:val="superscript"/>
                <w:lang w:val="pt-BR" w:eastAsia="ja-JP"/>
              </w:rPr>
              <w:t>a,d</w:t>
            </w:r>
            <w:r w:rsidRPr="005E6B7C">
              <w:rPr>
                <w:rFonts w:asciiTheme="majorHAnsi" w:eastAsia="Times New Roman" w:hAnsiTheme="majorHAnsi" w:cstheme="majorHAnsi"/>
                <w:color w:val="000000" w:themeColor="text1"/>
                <w:sz w:val="18"/>
                <w:szCs w:val="18"/>
                <w:lang w:val="pt-BR" w:eastAsia="ja-JP"/>
              </w:rPr>
              <w:t>,</w:t>
            </w:r>
            <w:r w:rsidRPr="005E6B7C">
              <w:rPr>
                <w:rFonts w:asciiTheme="majorHAnsi" w:eastAsia="Times New Roman" w:hAnsiTheme="majorHAnsi" w:cstheme="majorHAnsi"/>
                <w:color w:val="000000" w:themeColor="text1"/>
                <w:sz w:val="18"/>
                <w:szCs w:val="18"/>
                <w:vertAlign w:val="subscript"/>
                <w:lang w:val="pt-BR" w:eastAsia="ja-JP"/>
              </w:rPr>
              <w:t xml:space="preserve"> </w:t>
            </w:r>
            <w:r w:rsidRPr="005E6B7C">
              <w:rPr>
                <w:rFonts w:asciiTheme="majorHAnsi" w:eastAsia="Times New Roman" w:hAnsiTheme="majorHAnsi" w:cstheme="majorHAnsi"/>
                <w:color w:val="000000" w:themeColor="text1"/>
                <w:sz w:val="18"/>
                <w:szCs w:val="18"/>
                <w:lang w:val="pt-BR" w:eastAsia="ja-JP"/>
              </w:rPr>
              <w:t>mult. (</w:t>
            </w:r>
            <w:r w:rsidRPr="005E6B7C">
              <w:rPr>
                <w:rFonts w:asciiTheme="majorHAnsi" w:eastAsia="Times New Roman" w:hAnsiTheme="majorHAnsi" w:cstheme="majorHAnsi"/>
                <w:i/>
                <w:iCs/>
                <w:color w:val="000000" w:themeColor="text1"/>
                <w:sz w:val="18"/>
                <w:szCs w:val="18"/>
                <w:lang w:val="pt-BR" w:eastAsia="ja-JP"/>
              </w:rPr>
              <w:t>J</w:t>
            </w:r>
            <w:r w:rsidRPr="005E6B7C">
              <w:rPr>
                <w:rFonts w:asciiTheme="majorHAnsi" w:eastAsia="Times New Roman" w:hAnsiTheme="majorHAnsi" w:cstheme="majorHAnsi"/>
                <w:color w:val="000000" w:themeColor="text1"/>
                <w:sz w:val="18"/>
                <w:szCs w:val="18"/>
                <w:lang w:val="pt-BR" w:eastAsia="ja-JP"/>
              </w:rPr>
              <w:t xml:space="preserve"> in Hz)</w:t>
            </w:r>
          </w:p>
        </w:tc>
        <w:tc>
          <w:tcPr>
            <w:tcW w:w="992" w:type="dxa"/>
            <w:vAlign w:val="center"/>
          </w:tcPr>
          <w:p w14:paraId="77C5E8A6" w14:textId="77777777"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i/>
                <w:iCs/>
                <w:color w:val="000000" w:themeColor="text1"/>
                <w:sz w:val="18"/>
                <w:szCs w:val="18"/>
                <w:lang w:eastAsia="ja-JP"/>
              </w:rPr>
              <w:t>δ</w:t>
            </w:r>
            <w:r w:rsidRPr="005E6B7C">
              <w:rPr>
                <w:rFonts w:asciiTheme="majorHAnsi" w:eastAsia="Times New Roman" w:hAnsiTheme="majorHAnsi" w:cstheme="majorHAnsi"/>
                <w:b/>
                <w:color w:val="000000" w:themeColor="text1"/>
                <w:sz w:val="18"/>
                <w:szCs w:val="18"/>
                <w:vertAlign w:val="subscript"/>
                <w:lang w:eastAsia="ja-JP"/>
              </w:rPr>
              <w:t>C</w:t>
            </w:r>
            <w:r w:rsidRPr="005E6B7C">
              <w:rPr>
                <w:rFonts w:asciiTheme="majorHAnsi" w:eastAsia="Times New Roman" w:hAnsiTheme="majorHAnsi" w:cstheme="majorHAnsi"/>
                <w:b/>
                <w:color w:val="000000" w:themeColor="text1"/>
                <w:sz w:val="18"/>
                <w:szCs w:val="18"/>
                <w:vertAlign w:val="superscript"/>
                <w:lang w:eastAsia="ja-JP"/>
              </w:rPr>
              <w:t>a,c</w:t>
            </w:r>
          </w:p>
        </w:tc>
        <w:tc>
          <w:tcPr>
            <w:tcW w:w="964" w:type="dxa"/>
            <w:vMerge/>
          </w:tcPr>
          <w:p w14:paraId="7E7B32C5" w14:textId="3C505FDF" w:rsidR="006623AD" w:rsidRPr="005E6B7C" w:rsidRDefault="006623AD" w:rsidP="008C0D47">
            <w:pPr>
              <w:tabs>
                <w:tab w:val="left" w:pos="270"/>
                <w:tab w:val="left" w:pos="9270"/>
              </w:tabs>
              <w:suppressAutoHyphens w:val="0"/>
              <w:spacing w:line="240" w:lineRule="exact"/>
              <w:ind w:right="-20"/>
              <w:jc w:val="center"/>
              <w:rPr>
                <w:rFonts w:asciiTheme="majorHAnsi" w:eastAsia="Times New Roman" w:hAnsiTheme="majorHAnsi" w:cstheme="majorHAnsi"/>
                <w:b/>
                <w:i/>
                <w:iCs/>
                <w:color w:val="000000" w:themeColor="text1"/>
                <w:sz w:val="18"/>
                <w:szCs w:val="18"/>
                <w:lang w:eastAsia="ja-JP"/>
              </w:rPr>
            </w:pPr>
          </w:p>
        </w:tc>
      </w:tr>
      <w:tr w:rsidR="00E049CB" w:rsidRPr="005E6B7C" w14:paraId="1D146636" w14:textId="77777777" w:rsidTr="006623AD">
        <w:trPr>
          <w:jc w:val="center"/>
        </w:trPr>
        <w:tc>
          <w:tcPr>
            <w:tcW w:w="959" w:type="dxa"/>
            <w:vAlign w:val="center"/>
          </w:tcPr>
          <w:p w14:paraId="581C000A"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p>
        </w:tc>
        <w:tc>
          <w:tcPr>
            <w:tcW w:w="2013" w:type="dxa"/>
            <w:vAlign w:val="center"/>
          </w:tcPr>
          <w:p w14:paraId="453A61CA" w14:textId="77777777"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992" w:type="dxa"/>
            <w:vAlign w:val="center"/>
          </w:tcPr>
          <w:p w14:paraId="6BC65A4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131.0</w:t>
            </w:r>
          </w:p>
        </w:tc>
        <w:tc>
          <w:tcPr>
            <w:tcW w:w="964" w:type="dxa"/>
            <w:vAlign w:val="center"/>
          </w:tcPr>
          <w:p w14:paraId="33820BBE"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131.0</w:t>
            </w:r>
          </w:p>
        </w:tc>
        <w:tc>
          <w:tcPr>
            <w:tcW w:w="2155" w:type="dxa"/>
            <w:vAlign w:val="center"/>
          </w:tcPr>
          <w:p w14:paraId="1F094979"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vertAlign w:val="superscript"/>
                <w:lang w:eastAsia="ko-KR"/>
              </w:rPr>
            </w:pPr>
          </w:p>
        </w:tc>
        <w:tc>
          <w:tcPr>
            <w:tcW w:w="992" w:type="dxa"/>
            <w:vAlign w:val="center"/>
          </w:tcPr>
          <w:p w14:paraId="42546B71"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127.9</w:t>
            </w:r>
          </w:p>
        </w:tc>
        <w:tc>
          <w:tcPr>
            <w:tcW w:w="964" w:type="dxa"/>
            <w:vAlign w:val="center"/>
          </w:tcPr>
          <w:p w14:paraId="3BAAA8A4"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126.4</w:t>
            </w:r>
          </w:p>
        </w:tc>
      </w:tr>
      <w:tr w:rsidR="00E049CB" w:rsidRPr="005E6B7C" w14:paraId="7083ABC1" w14:textId="77777777" w:rsidTr="006623AD">
        <w:trPr>
          <w:jc w:val="center"/>
        </w:trPr>
        <w:tc>
          <w:tcPr>
            <w:tcW w:w="959" w:type="dxa"/>
            <w:vAlign w:val="center"/>
          </w:tcPr>
          <w:p w14:paraId="32A1D5CC"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w:t>
            </w:r>
          </w:p>
        </w:tc>
        <w:tc>
          <w:tcPr>
            <w:tcW w:w="2013" w:type="dxa"/>
            <w:vAlign w:val="center"/>
          </w:tcPr>
          <w:p w14:paraId="0593C516" w14:textId="5F686E63"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7.08, d </w:t>
            </w:r>
            <w:r w:rsidR="006623AD"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8.4</w:t>
            </w:r>
            <w:r w:rsidR="006623AD" w:rsidRPr="005E6B7C">
              <w:rPr>
                <w:rFonts w:asciiTheme="majorHAnsi" w:eastAsia="Yu Mincho" w:hAnsiTheme="majorHAnsi" w:cstheme="majorHAnsi"/>
                <w:color w:val="000000" w:themeColor="text1"/>
                <w:sz w:val="18"/>
                <w:szCs w:val="18"/>
                <w:lang w:eastAsia="ja-JP"/>
              </w:rPr>
              <w:t>)</w:t>
            </w:r>
          </w:p>
        </w:tc>
        <w:tc>
          <w:tcPr>
            <w:tcW w:w="992" w:type="dxa"/>
            <w:vAlign w:val="center"/>
          </w:tcPr>
          <w:p w14:paraId="10FC858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130.9</w:t>
            </w:r>
          </w:p>
        </w:tc>
        <w:tc>
          <w:tcPr>
            <w:tcW w:w="964" w:type="dxa"/>
            <w:vAlign w:val="center"/>
          </w:tcPr>
          <w:p w14:paraId="429B7026"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130.9</w:t>
            </w:r>
          </w:p>
        </w:tc>
        <w:tc>
          <w:tcPr>
            <w:tcW w:w="2155" w:type="dxa"/>
            <w:vAlign w:val="center"/>
          </w:tcPr>
          <w:p w14:paraId="602A2F0E" w14:textId="6E6FEB3D" w:rsidR="00E049CB" w:rsidRPr="005E6B7C" w:rsidRDefault="00E049CB" w:rsidP="00526C1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Yu Mincho" w:hAnsiTheme="majorHAnsi" w:cstheme="majorHAnsi"/>
                <w:color w:val="000000" w:themeColor="text1"/>
                <w:sz w:val="18"/>
                <w:szCs w:val="18"/>
                <w:lang w:eastAsia="ja-JP"/>
              </w:rPr>
              <w:t>7</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05, </w:t>
            </w:r>
            <w:r w:rsidR="00526C1D" w:rsidRPr="005E6B7C">
              <w:rPr>
                <w:rFonts w:asciiTheme="majorHAnsi" w:eastAsia="Yu Mincho" w:hAnsiTheme="majorHAnsi" w:cstheme="majorHAnsi"/>
                <w:color w:val="000000" w:themeColor="text1"/>
                <w:sz w:val="18"/>
                <w:szCs w:val="18"/>
                <w:lang w:eastAsia="ja-JP"/>
              </w:rPr>
              <w:t>d (2.0)</w:t>
            </w:r>
          </w:p>
        </w:tc>
        <w:tc>
          <w:tcPr>
            <w:tcW w:w="992" w:type="dxa"/>
            <w:vAlign w:val="center"/>
          </w:tcPr>
          <w:p w14:paraId="4D5C1057"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115.9</w:t>
            </w:r>
          </w:p>
        </w:tc>
        <w:tc>
          <w:tcPr>
            <w:tcW w:w="964" w:type="dxa"/>
            <w:vAlign w:val="center"/>
          </w:tcPr>
          <w:p w14:paraId="5FEBB4CB"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113.7</w:t>
            </w:r>
          </w:p>
        </w:tc>
      </w:tr>
      <w:tr w:rsidR="00E049CB" w:rsidRPr="005E6B7C" w14:paraId="24AFC40E" w14:textId="77777777" w:rsidTr="006623AD">
        <w:trPr>
          <w:jc w:val="center"/>
        </w:trPr>
        <w:tc>
          <w:tcPr>
            <w:tcW w:w="959" w:type="dxa"/>
            <w:vAlign w:val="center"/>
          </w:tcPr>
          <w:p w14:paraId="06610D6B"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w:t>
            </w:r>
          </w:p>
        </w:tc>
        <w:tc>
          <w:tcPr>
            <w:tcW w:w="2013" w:type="dxa"/>
            <w:vAlign w:val="center"/>
          </w:tcPr>
          <w:p w14:paraId="544C708D" w14:textId="586E8C8A"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6.78, </w:t>
            </w:r>
            <w:r w:rsidR="006623AD" w:rsidRPr="005E6B7C">
              <w:rPr>
                <w:rFonts w:asciiTheme="majorHAnsi" w:eastAsia="Yu Mincho" w:hAnsiTheme="majorHAnsi" w:cstheme="majorHAnsi"/>
                <w:color w:val="000000" w:themeColor="text1"/>
                <w:sz w:val="18"/>
                <w:szCs w:val="18"/>
                <w:lang w:eastAsia="ja-JP"/>
              </w:rPr>
              <w:t>d (8.4)</w:t>
            </w:r>
          </w:p>
        </w:tc>
        <w:tc>
          <w:tcPr>
            <w:tcW w:w="992" w:type="dxa"/>
            <w:vAlign w:val="center"/>
          </w:tcPr>
          <w:p w14:paraId="1386B149"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116.1</w:t>
            </w:r>
          </w:p>
        </w:tc>
        <w:tc>
          <w:tcPr>
            <w:tcW w:w="964" w:type="dxa"/>
            <w:vAlign w:val="center"/>
          </w:tcPr>
          <w:p w14:paraId="314BEBC0"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116.1</w:t>
            </w:r>
          </w:p>
        </w:tc>
        <w:tc>
          <w:tcPr>
            <w:tcW w:w="2155" w:type="dxa"/>
            <w:vAlign w:val="center"/>
          </w:tcPr>
          <w:p w14:paraId="48A0015C"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vertAlign w:val="superscript"/>
                <w:lang w:eastAsia="ko-KR"/>
              </w:rPr>
            </w:pPr>
          </w:p>
        </w:tc>
        <w:tc>
          <w:tcPr>
            <w:tcW w:w="992" w:type="dxa"/>
            <w:vAlign w:val="center"/>
          </w:tcPr>
          <w:p w14:paraId="3D6113BE"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149.4</w:t>
            </w:r>
          </w:p>
        </w:tc>
        <w:tc>
          <w:tcPr>
            <w:tcW w:w="964" w:type="dxa"/>
            <w:vAlign w:val="center"/>
          </w:tcPr>
          <w:p w14:paraId="503F3A63"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145.6</w:t>
            </w:r>
          </w:p>
        </w:tc>
      </w:tr>
      <w:tr w:rsidR="00E049CB" w:rsidRPr="005E6B7C" w14:paraId="0A4E8BF4" w14:textId="77777777" w:rsidTr="006623AD">
        <w:trPr>
          <w:jc w:val="center"/>
        </w:trPr>
        <w:tc>
          <w:tcPr>
            <w:tcW w:w="959" w:type="dxa"/>
            <w:vAlign w:val="center"/>
          </w:tcPr>
          <w:p w14:paraId="060109A2"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p>
        </w:tc>
        <w:tc>
          <w:tcPr>
            <w:tcW w:w="2013" w:type="dxa"/>
            <w:vAlign w:val="center"/>
          </w:tcPr>
          <w:p w14:paraId="70DB3655" w14:textId="77777777"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992" w:type="dxa"/>
            <w:vAlign w:val="center"/>
          </w:tcPr>
          <w:p w14:paraId="24C05AB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156.8</w:t>
            </w:r>
          </w:p>
        </w:tc>
        <w:tc>
          <w:tcPr>
            <w:tcW w:w="964" w:type="dxa"/>
            <w:vAlign w:val="center"/>
          </w:tcPr>
          <w:p w14:paraId="0264A71A"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156.8</w:t>
            </w:r>
          </w:p>
        </w:tc>
        <w:tc>
          <w:tcPr>
            <w:tcW w:w="2155" w:type="dxa"/>
            <w:vAlign w:val="center"/>
          </w:tcPr>
          <w:p w14:paraId="6A6B3FA6"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992" w:type="dxa"/>
            <w:vAlign w:val="center"/>
          </w:tcPr>
          <w:p w14:paraId="2F75ADC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146.8</w:t>
            </w:r>
          </w:p>
        </w:tc>
        <w:tc>
          <w:tcPr>
            <w:tcW w:w="964" w:type="dxa"/>
            <w:vAlign w:val="center"/>
          </w:tcPr>
          <w:p w14:paraId="5098A06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145.4</w:t>
            </w:r>
          </w:p>
        </w:tc>
      </w:tr>
      <w:tr w:rsidR="00E049CB" w:rsidRPr="005E6B7C" w14:paraId="2B02899D" w14:textId="77777777" w:rsidTr="006623AD">
        <w:trPr>
          <w:jc w:val="center"/>
        </w:trPr>
        <w:tc>
          <w:tcPr>
            <w:tcW w:w="959" w:type="dxa"/>
            <w:vAlign w:val="center"/>
          </w:tcPr>
          <w:p w14:paraId="025BBEC6"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w:t>
            </w:r>
          </w:p>
        </w:tc>
        <w:tc>
          <w:tcPr>
            <w:tcW w:w="2013" w:type="dxa"/>
            <w:vAlign w:val="center"/>
          </w:tcPr>
          <w:p w14:paraId="14B26F13" w14:textId="3043E63C"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6.78, </w:t>
            </w:r>
            <w:r w:rsidR="006623AD" w:rsidRPr="005E6B7C">
              <w:rPr>
                <w:rFonts w:asciiTheme="majorHAnsi" w:eastAsia="Yu Mincho" w:hAnsiTheme="majorHAnsi" w:cstheme="majorHAnsi"/>
                <w:color w:val="000000" w:themeColor="text1"/>
                <w:sz w:val="18"/>
                <w:szCs w:val="18"/>
                <w:lang w:eastAsia="ja-JP"/>
              </w:rPr>
              <w:t>d (8.4)</w:t>
            </w:r>
          </w:p>
        </w:tc>
        <w:tc>
          <w:tcPr>
            <w:tcW w:w="992" w:type="dxa"/>
            <w:vAlign w:val="center"/>
          </w:tcPr>
          <w:p w14:paraId="1C5BE7C6"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116.1</w:t>
            </w:r>
          </w:p>
        </w:tc>
        <w:tc>
          <w:tcPr>
            <w:tcW w:w="964" w:type="dxa"/>
            <w:vAlign w:val="center"/>
          </w:tcPr>
          <w:p w14:paraId="0CD7666F"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116.1</w:t>
            </w:r>
          </w:p>
        </w:tc>
        <w:tc>
          <w:tcPr>
            <w:tcW w:w="2155" w:type="dxa"/>
            <w:vAlign w:val="center"/>
          </w:tcPr>
          <w:p w14:paraId="3E815916" w14:textId="1DDE0176" w:rsidR="00E049CB" w:rsidRPr="005E6B7C" w:rsidRDefault="00E049CB" w:rsidP="00526C1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79, </w:t>
            </w:r>
            <w:r w:rsidR="00526C1D" w:rsidRPr="005E6B7C">
              <w:rPr>
                <w:rFonts w:asciiTheme="majorHAnsi" w:eastAsia="Yu Mincho" w:hAnsiTheme="majorHAnsi" w:cstheme="majorHAnsi"/>
                <w:color w:val="000000" w:themeColor="text1"/>
                <w:sz w:val="18"/>
                <w:szCs w:val="18"/>
                <w:lang w:eastAsia="ja-JP"/>
              </w:rPr>
              <w:t>d (8.5)</w:t>
            </w:r>
          </w:p>
        </w:tc>
        <w:tc>
          <w:tcPr>
            <w:tcW w:w="992" w:type="dxa"/>
            <w:vAlign w:val="center"/>
          </w:tcPr>
          <w:p w14:paraId="034373A4"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115.1</w:t>
            </w:r>
          </w:p>
        </w:tc>
        <w:tc>
          <w:tcPr>
            <w:tcW w:w="964" w:type="dxa"/>
            <w:vAlign w:val="center"/>
          </w:tcPr>
          <w:p w14:paraId="4DB81B77"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115.1</w:t>
            </w:r>
          </w:p>
        </w:tc>
      </w:tr>
      <w:tr w:rsidR="00E049CB" w:rsidRPr="005E6B7C" w14:paraId="42EBDA01" w14:textId="77777777" w:rsidTr="006623AD">
        <w:trPr>
          <w:jc w:val="center"/>
        </w:trPr>
        <w:tc>
          <w:tcPr>
            <w:tcW w:w="959" w:type="dxa"/>
            <w:vAlign w:val="center"/>
          </w:tcPr>
          <w:p w14:paraId="1B660D4D"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w:t>
            </w:r>
          </w:p>
        </w:tc>
        <w:tc>
          <w:tcPr>
            <w:tcW w:w="2013" w:type="dxa"/>
            <w:vAlign w:val="center"/>
          </w:tcPr>
          <w:p w14:paraId="3518FE77" w14:textId="7DF927D7"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7.08, </w:t>
            </w:r>
            <w:r w:rsidR="006623AD" w:rsidRPr="005E6B7C">
              <w:rPr>
                <w:rFonts w:asciiTheme="majorHAnsi" w:eastAsia="Yu Mincho" w:hAnsiTheme="majorHAnsi" w:cstheme="majorHAnsi"/>
                <w:color w:val="000000" w:themeColor="text1"/>
                <w:sz w:val="18"/>
                <w:szCs w:val="18"/>
                <w:lang w:eastAsia="ja-JP"/>
              </w:rPr>
              <w:t>d (8.4)</w:t>
            </w:r>
          </w:p>
        </w:tc>
        <w:tc>
          <w:tcPr>
            <w:tcW w:w="992" w:type="dxa"/>
            <w:vAlign w:val="center"/>
          </w:tcPr>
          <w:p w14:paraId="1AE6FD9D"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130.9</w:t>
            </w:r>
          </w:p>
        </w:tc>
        <w:tc>
          <w:tcPr>
            <w:tcW w:w="964" w:type="dxa"/>
            <w:vAlign w:val="center"/>
          </w:tcPr>
          <w:p w14:paraId="2A9C367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130.9</w:t>
            </w:r>
          </w:p>
        </w:tc>
        <w:tc>
          <w:tcPr>
            <w:tcW w:w="2155" w:type="dxa"/>
            <w:vAlign w:val="center"/>
          </w:tcPr>
          <w:p w14:paraId="45E2698B" w14:textId="04064018" w:rsidR="00E049CB" w:rsidRPr="005E6B7C" w:rsidRDefault="00E049CB" w:rsidP="00526C1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val="vi-VN" w:eastAsia="ja-JP"/>
              </w:rPr>
              <w:t>.</w:t>
            </w:r>
            <w:r w:rsidR="00526C1D" w:rsidRPr="005E6B7C">
              <w:rPr>
                <w:rFonts w:asciiTheme="majorHAnsi" w:eastAsia="Yu Mincho" w:hAnsiTheme="majorHAnsi" w:cstheme="majorHAnsi"/>
                <w:color w:val="000000" w:themeColor="text1"/>
                <w:sz w:val="18"/>
                <w:szCs w:val="18"/>
                <w:lang w:eastAsia="ja-JP"/>
              </w:rPr>
              <w:t>94, dd (2.0, 8.5)</w:t>
            </w:r>
          </w:p>
        </w:tc>
        <w:tc>
          <w:tcPr>
            <w:tcW w:w="992" w:type="dxa"/>
            <w:vAlign w:val="center"/>
          </w:tcPr>
          <w:p w14:paraId="19F7CC12"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ko-KR"/>
              </w:rPr>
              <w:t>122.8</w:t>
            </w:r>
          </w:p>
        </w:tc>
        <w:tc>
          <w:tcPr>
            <w:tcW w:w="964" w:type="dxa"/>
            <w:vAlign w:val="center"/>
          </w:tcPr>
          <w:p w14:paraId="525C887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ko-KR"/>
              </w:rPr>
              <w:t>121.4</w:t>
            </w:r>
          </w:p>
        </w:tc>
      </w:tr>
      <w:tr w:rsidR="00E049CB" w:rsidRPr="005E6B7C" w14:paraId="72E407BB" w14:textId="77777777" w:rsidTr="006623AD">
        <w:trPr>
          <w:jc w:val="center"/>
        </w:trPr>
        <w:tc>
          <w:tcPr>
            <w:tcW w:w="959" w:type="dxa"/>
            <w:vAlign w:val="center"/>
          </w:tcPr>
          <w:p w14:paraId="6D17289C"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w:t>
            </w:r>
          </w:p>
        </w:tc>
        <w:tc>
          <w:tcPr>
            <w:tcW w:w="2013" w:type="dxa"/>
            <w:vAlign w:val="center"/>
          </w:tcPr>
          <w:p w14:paraId="2C7DD71E" w14:textId="696902AA"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80, </w:t>
            </w:r>
            <w:r w:rsidR="006623AD" w:rsidRPr="005E6B7C">
              <w:rPr>
                <w:rFonts w:asciiTheme="majorHAnsi" w:eastAsia="Yu Mincho" w:hAnsiTheme="majorHAnsi" w:cstheme="majorHAnsi"/>
                <w:color w:val="000000" w:themeColor="text1"/>
                <w:sz w:val="18"/>
                <w:szCs w:val="18"/>
                <w:lang w:eastAsia="ja-JP"/>
              </w:rPr>
              <w:t>t (6.6)</w:t>
            </w:r>
          </w:p>
        </w:tc>
        <w:tc>
          <w:tcPr>
            <w:tcW w:w="992" w:type="dxa"/>
            <w:vAlign w:val="center"/>
          </w:tcPr>
          <w:p w14:paraId="72B269D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39.4</w:t>
            </w:r>
          </w:p>
        </w:tc>
        <w:tc>
          <w:tcPr>
            <w:tcW w:w="964" w:type="dxa"/>
            <w:vAlign w:val="center"/>
          </w:tcPr>
          <w:p w14:paraId="41937C67"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39.4</w:t>
            </w:r>
          </w:p>
        </w:tc>
        <w:tc>
          <w:tcPr>
            <w:tcW w:w="2155" w:type="dxa"/>
            <w:vAlign w:val="center"/>
          </w:tcPr>
          <w:p w14:paraId="52185BDA" w14:textId="69A31948"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r w:rsidRPr="005E6B7C">
              <w:rPr>
                <w:rFonts w:asciiTheme="majorHAnsi" w:eastAsia="Yu Mincho" w:hAnsiTheme="majorHAnsi" w:cstheme="majorHAnsi"/>
                <w:color w:val="000000" w:themeColor="text1"/>
                <w:sz w:val="18"/>
                <w:szCs w:val="18"/>
                <w:lang w:val="vi-VN" w:eastAsia="ja-JP"/>
              </w:rPr>
              <w:t>.</w:t>
            </w:r>
            <w:r w:rsidR="00526C1D" w:rsidRPr="005E6B7C">
              <w:rPr>
                <w:rFonts w:asciiTheme="majorHAnsi" w:eastAsia="Yu Mincho" w:hAnsiTheme="majorHAnsi" w:cstheme="majorHAnsi"/>
                <w:color w:val="000000" w:themeColor="text1"/>
                <w:sz w:val="18"/>
                <w:szCs w:val="18"/>
                <w:lang w:eastAsia="ja-JP"/>
              </w:rPr>
              <w:t>53, d</w:t>
            </w:r>
            <w:r w:rsidRPr="005E6B7C">
              <w:rPr>
                <w:rFonts w:asciiTheme="majorHAnsi" w:eastAsia="Yu Mincho" w:hAnsiTheme="majorHAnsi" w:cstheme="majorHAnsi"/>
                <w:color w:val="000000" w:themeColor="text1"/>
                <w:sz w:val="18"/>
                <w:szCs w:val="18"/>
                <w:lang w:eastAsia="ja-JP"/>
              </w:rPr>
              <w:t xml:space="preserve"> </w:t>
            </w:r>
            <w:r w:rsidR="00526C1D"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15.5</w:t>
            </w:r>
            <w:r w:rsidR="00526C1D" w:rsidRPr="005E6B7C">
              <w:rPr>
                <w:rFonts w:asciiTheme="majorHAnsi" w:eastAsia="Yu Mincho" w:hAnsiTheme="majorHAnsi" w:cstheme="majorHAnsi"/>
                <w:color w:val="000000" w:themeColor="text1"/>
                <w:sz w:val="18"/>
                <w:szCs w:val="18"/>
                <w:lang w:eastAsia="ja-JP"/>
              </w:rPr>
              <w:t>)</w:t>
            </w:r>
          </w:p>
        </w:tc>
        <w:tc>
          <w:tcPr>
            <w:tcW w:w="992" w:type="dxa"/>
            <w:vAlign w:val="center"/>
          </w:tcPr>
          <w:p w14:paraId="0B888B4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146.8</w:t>
            </w:r>
          </w:p>
        </w:tc>
        <w:tc>
          <w:tcPr>
            <w:tcW w:w="964" w:type="dxa"/>
            <w:vAlign w:val="center"/>
          </w:tcPr>
          <w:p w14:paraId="10539E13"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148.1</w:t>
            </w:r>
          </w:p>
        </w:tc>
      </w:tr>
      <w:tr w:rsidR="00E049CB" w:rsidRPr="005E6B7C" w14:paraId="21219FF7" w14:textId="77777777" w:rsidTr="006623AD">
        <w:trPr>
          <w:jc w:val="center"/>
        </w:trPr>
        <w:tc>
          <w:tcPr>
            <w:tcW w:w="959" w:type="dxa"/>
            <w:vAlign w:val="center"/>
          </w:tcPr>
          <w:p w14:paraId="3109800E"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w:t>
            </w:r>
          </w:p>
        </w:tc>
        <w:tc>
          <w:tcPr>
            <w:tcW w:w="2013" w:type="dxa"/>
            <w:vAlign w:val="center"/>
          </w:tcPr>
          <w:p w14:paraId="54825AF2" w14:textId="545D8789"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82, </w:t>
            </w:r>
            <w:r w:rsidR="006623AD" w:rsidRPr="005E6B7C">
              <w:rPr>
                <w:rFonts w:asciiTheme="majorHAnsi" w:eastAsia="Yu Mincho" w:hAnsiTheme="majorHAnsi" w:cstheme="majorHAnsi"/>
                <w:color w:val="000000" w:themeColor="text1"/>
                <w:sz w:val="18"/>
                <w:szCs w:val="18"/>
                <w:lang w:eastAsia="ja-JP"/>
              </w:rPr>
              <w:t>t (6.6)</w:t>
            </w:r>
          </w:p>
        </w:tc>
        <w:tc>
          <w:tcPr>
            <w:tcW w:w="992" w:type="dxa"/>
            <w:vAlign w:val="center"/>
          </w:tcPr>
          <w:p w14:paraId="27E7E928"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64.8</w:t>
            </w:r>
          </w:p>
        </w:tc>
        <w:tc>
          <w:tcPr>
            <w:tcW w:w="964" w:type="dxa"/>
            <w:vAlign w:val="center"/>
          </w:tcPr>
          <w:p w14:paraId="06E864F3"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64.6</w:t>
            </w:r>
          </w:p>
        </w:tc>
        <w:tc>
          <w:tcPr>
            <w:tcW w:w="2155" w:type="dxa"/>
            <w:vAlign w:val="center"/>
          </w:tcPr>
          <w:p w14:paraId="1C756159" w14:textId="086AB302"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vertAlign w:val="superscript"/>
                <w:lang w:eastAsia="ko-KR"/>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color w:val="000000" w:themeColor="text1"/>
                <w:sz w:val="18"/>
                <w:szCs w:val="18"/>
                <w:lang w:val="vi-VN" w:eastAsia="ja-JP"/>
              </w:rPr>
              <w:t>.</w:t>
            </w:r>
            <w:r w:rsidR="00526C1D" w:rsidRPr="005E6B7C">
              <w:rPr>
                <w:rFonts w:asciiTheme="majorHAnsi" w:eastAsia="Yu Mincho" w:hAnsiTheme="majorHAnsi" w:cstheme="majorHAnsi"/>
                <w:color w:val="000000" w:themeColor="text1"/>
                <w:sz w:val="18"/>
                <w:szCs w:val="18"/>
                <w:lang w:eastAsia="ja-JP"/>
              </w:rPr>
              <w:t>25, d</w:t>
            </w:r>
            <w:r w:rsidRPr="005E6B7C">
              <w:rPr>
                <w:rFonts w:asciiTheme="majorHAnsi" w:eastAsia="Yu Mincho" w:hAnsiTheme="majorHAnsi" w:cstheme="majorHAnsi"/>
                <w:color w:val="000000" w:themeColor="text1"/>
                <w:sz w:val="18"/>
                <w:szCs w:val="18"/>
                <w:lang w:eastAsia="ja-JP"/>
              </w:rPr>
              <w:t xml:space="preserve"> </w:t>
            </w:r>
            <w:r w:rsidR="00526C1D"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15.5</w:t>
            </w:r>
            <w:r w:rsidR="00526C1D" w:rsidRPr="005E6B7C">
              <w:rPr>
                <w:rFonts w:asciiTheme="majorHAnsi" w:eastAsia="Yu Mincho" w:hAnsiTheme="majorHAnsi" w:cstheme="majorHAnsi"/>
                <w:color w:val="000000" w:themeColor="text1"/>
                <w:sz w:val="18"/>
                <w:szCs w:val="18"/>
                <w:lang w:eastAsia="ja-JP"/>
              </w:rPr>
              <w:t>)</w:t>
            </w:r>
          </w:p>
        </w:tc>
        <w:tc>
          <w:tcPr>
            <w:tcW w:w="992" w:type="dxa"/>
            <w:vAlign w:val="center"/>
          </w:tcPr>
          <w:p w14:paraId="5E24471B"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ko-KR"/>
              </w:rPr>
            </w:pPr>
            <w:r w:rsidRPr="005E6B7C">
              <w:rPr>
                <w:rFonts w:asciiTheme="majorHAnsi" w:eastAsia="Times New Roman" w:hAnsiTheme="majorHAnsi" w:cstheme="majorHAnsi"/>
                <w:color w:val="000000" w:themeColor="text1"/>
                <w:sz w:val="18"/>
                <w:szCs w:val="18"/>
                <w:lang w:eastAsia="ja-JP"/>
              </w:rPr>
              <w:t>116.5</w:t>
            </w:r>
          </w:p>
        </w:tc>
        <w:tc>
          <w:tcPr>
            <w:tcW w:w="964" w:type="dxa"/>
            <w:vAlign w:val="center"/>
          </w:tcPr>
          <w:p w14:paraId="30C8C45B"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114.8</w:t>
            </w:r>
          </w:p>
        </w:tc>
      </w:tr>
      <w:tr w:rsidR="00E049CB" w:rsidRPr="005E6B7C" w14:paraId="0E77330E" w14:textId="77777777" w:rsidTr="006623AD">
        <w:trPr>
          <w:jc w:val="center"/>
        </w:trPr>
        <w:tc>
          <w:tcPr>
            <w:tcW w:w="959" w:type="dxa"/>
            <w:vAlign w:val="center"/>
          </w:tcPr>
          <w:p w14:paraId="2202967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w:t>
            </w:r>
          </w:p>
        </w:tc>
        <w:tc>
          <w:tcPr>
            <w:tcW w:w="2013" w:type="dxa"/>
            <w:vAlign w:val="center"/>
          </w:tcPr>
          <w:p w14:paraId="5852C42B" w14:textId="77777777" w:rsidR="00E049CB" w:rsidRPr="005E6B7C" w:rsidRDefault="00E049CB" w:rsidP="006623AD">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992" w:type="dxa"/>
            <w:vAlign w:val="center"/>
          </w:tcPr>
          <w:p w14:paraId="7A3C9244"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964" w:type="dxa"/>
            <w:vAlign w:val="center"/>
          </w:tcPr>
          <w:p w14:paraId="00C42315"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p>
        </w:tc>
        <w:tc>
          <w:tcPr>
            <w:tcW w:w="2155" w:type="dxa"/>
            <w:vAlign w:val="center"/>
          </w:tcPr>
          <w:p w14:paraId="7F829126"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92" w:type="dxa"/>
            <w:vAlign w:val="center"/>
          </w:tcPr>
          <w:p w14:paraId="4F076BAC"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171.3</w:t>
            </w:r>
          </w:p>
        </w:tc>
        <w:tc>
          <w:tcPr>
            <w:tcW w:w="964" w:type="dxa"/>
            <w:vAlign w:val="center"/>
          </w:tcPr>
          <w:p w14:paraId="6ABA7714" w14:textId="77777777" w:rsidR="00E049CB" w:rsidRPr="005E6B7C" w:rsidRDefault="00E049CB" w:rsidP="008C0D47">
            <w:pPr>
              <w:tabs>
                <w:tab w:val="left" w:pos="270"/>
                <w:tab w:val="left" w:pos="9270"/>
              </w:tabs>
              <w:suppressAutoHyphens w:val="0"/>
              <w:spacing w:line="24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169.6</w:t>
            </w:r>
          </w:p>
        </w:tc>
      </w:tr>
    </w:tbl>
    <w:p w14:paraId="0DEE4C12" w14:textId="3F57BE25" w:rsidR="00E049CB" w:rsidRPr="005E6B7C" w:rsidRDefault="00E049CB" w:rsidP="008C0D47">
      <w:pPr>
        <w:tabs>
          <w:tab w:val="left" w:pos="270"/>
          <w:tab w:val="left" w:pos="9270"/>
        </w:tabs>
        <w:spacing w:before="120"/>
        <w:ind w:right="-20" w:firstLine="284"/>
        <w:jc w:val="both"/>
        <w:rPr>
          <w:rFonts w:asciiTheme="majorHAnsi" w:eastAsia="Times New Roman" w:hAnsiTheme="majorHAnsi" w:cstheme="majorHAnsi"/>
          <w:i/>
          <w:color w:val="000000" w:themeColor="text1"/>
          <w:sz w:val="18"/>
          <w:szCs w:val="18"/>
          <w:lang w:val="pt-BR" w:eastAsia="ja-JP"/>
        </w:rPr>
      </w:pPr>
      <w:r w:rsidRPr="005E6B7C">
        <w:rPr>
          <w:rFonts w:asciiTheme="majorHAnsi" w:eastAsia="Yu Mincho" w:hAnsiTheme="majorHAnsi" w:cstheme="majorHAnsi"/>
          <w:i/>
          <w:color w:val="000000" w:themeColor="text1"/>
          <w:sz w:val="18"/>
          <w:szCs w:val="18"/>
          <w:vertAlign w:val="superscript"/>
          <w:lang w:val="pt-BR" w:eastAsia="ja-JP"/>
        </w:rPr>
        <w:t xml:space="preserve">a </w:t>
      </w:r>
      <w:r w:rsidRPr="005E6B7C">
        <w:rPr>
          <w:rFonts w:asciiTheme="majorHAnsi" w:eastAsia="Yu Mincho" w:hAnsiTheme="majorHAnsi" w:cstheme="majorHAnsi"/>
          <w:i/>
          <w:color w:val="000000" w:themeColor="text1"/>
          <w:sz w:val="18"/>
          <w:szCs w:val="18"/>
          <w:lang w:val="pt-BR" w:eastAsia="ja-JP"/>
        </w:rPr>
        <w:t>: CD</w:t>
      </w:r>
      <w:r w:rsidRPr="005E6B7C">
        <w:rPr>
          <w:rFonts w:asciiTheme="majorHAnsi" w:eastAsia="Yu Mincho" w:hAnsiTheme="majorHAnsi" w:cstheme="majorHAnsi"/>
          <w:i/>
          <w:color w:val="000000" w:themeColor="text1"/>
          <w:sz w:val="18"/>
          <w:szCs w:val="18"/>
          <w:vertAlign w:val="subscript"/>
          <w:lang w:val="pt-BR" w:eastAsia="ja-JP"/>
        </w:rPr>
        <w:t>3</w:t>
      </w:r>
      <w:r w:rsidRPr="005E6B7C">
        <w:rPr>
          <w:rFonts w:asciiTheme="majorHAnsi" w:eastAsia="Yu Mincho" w:hAnsiTheme="majorHAnsi" w:cstheme="majorHAnsi"/>
          <w:i/>
          <w:color w:val="000000" w:themeColor="text1"/>
          <w:sz w:val="18"/>
          <w:szCs w:val="18"/>
          <w:lang w:val="pt-BR" w:eastAsia="ja-JP"/>
        </w:rPr>
        <w:t xml:space="preserve">OD; </w:t>
      </w:r>
      <w:r w:rsidRPr="005E6B7C">
        <w:rPr>
          <w:rFonts w:asciiTheme="majorHAnsi" w:eastAsia="Yu Mincho" w:hAnsiTheme="majorHAnsi" w:cstheme="majorHAnsi"/>
          <w:i/>
          <w:color w:val="000000" w:themeColor="text1"/>
          <w:sz w:val="18"/>
          <w:szCs w:val="18"/>
          <w:vertAlign w:val="superscript"/>
          <w:lang w:val="pt-BR" w:eastAsia="ja-JP"/>
        </w:rPr>
        <w:t>b</w:t>
      </w:r>
      <w:r w:rsidRPr="005E6B7C">
        <w:rPr>
          <w:rFonts w:asciiTheme="majorHAnsi" w:eastAsia="Yu Mincho" w:hAnsiTheme="majorHAnsi" w:cstheme="majorHAnsi"/>
          <w:i/>
          <w:color w:val="000000" w:themeColor="text1"/>
          <w:sz w:val="18"/>
          <w:szCs w:val="18"/>
          <w:lang w:val="pt-BR" w:eastAsia="ja-JP"/>
        </w:rPr>
        <w:t xml:space="preserve">: 600 MHz, </w:t>
      </w:r>
      <w:r w:rsidRPr="005E6B7C">
        <w:rPr>
          <w:rFonts w:asciiTheme="majorHAnsi" w:eastAsia="Yu Mincho" w:hAnsiTheme="majorHAnsi" w:cstheme="majorHAnsi"/>
          <w:i/>
          <w:color w:val="000000" w:themeColor="text1"/>
          <w:sz w:val="18"/>
          <w:szCs w:val="18"/>
          <w:vertAlign w:val="superscript"/>
          <w:lang w:val="pt-BR" w:eastAsia="ja-JP"/>
        </w:rPr>
        <w:t>c</w:t>
      </w:r>
      <w:r w:rsidRPr="005E6B7C">
        <w:rPr>
          <w:rFonts w:asciiTheme="majorHAnsi" w:eastAsia="Yu Mincho" w:hAnsiTheme="majorHAnsi" w:cstheme="majorHAnsi"/>
          <w:i/>
          <w:color w:val="000000" w:themeColor="text1"/>
          <w:sz w:val="18"/>
          <w:szCs w:val="18"/>
          <w:lang w:val="pt-BR" w:eastAsia="ja-JP"/>
        </w:rPr>
        <w:t xml:space="preserve">: 125 MHz, </w:t>
      </w:r>
      <w:r w:rsidRPr="005E6B7C">
        <w:rPr>
          <w:rFonts w:asciiTheme="majorHAnsi" w:eastAsia="Yu Mincho" w:hAnsiTheme="majorHAnsi" w:cstheme="majorHAnsi"/>
          <w:i/>
          <w:color w:val="000000" w:themeColor="text1"/>
          <w:sz w:val="18"/>
          <w:szCs w:val="18"/>
          <w:vertAlign w:val="superscript"/>
          <w:lang w:val="pt-BR" w:eastAsia="ja-JP"/>
        </w:rPr>
        <w:t>d</w:t>
      </w:r>
      <w:r w:rsidR="006623AD" w:rsidRPr="005E6B7C">
        <w:rPr>
          <w:rFonts w:asciiTheme="majorHAnsi" w:eastAsia="Yu Mincho" w:hAnsiTheme="majorHAnsi" w:cstheme="majorHAnsi"/>
          <w:i/>
          <w:color w:val="000000" w:themeColor="text1"/>
          <w:sz w:val="18"/>
          <w:szCs w:val="18"/>
          <w:lang w:val="pt-BR" w:eastAsia="ja-JP"/>
        </w:rPr>
        <w:t>: 500 MHz.</w:t>
      </w:r>
    </w:p>
    <w:p w14:paraId="09E919EC" w14:textId="77777777" w:rsidR="00F5234A" w:rsidRPr="005E6B7C" w:rsidRDefault="00F5234A" w:rsidP="008C0D47">
      <w:pPr>
        <w:tabs>
          <w:tab w:val="left" w:pos="270"/>
          <w:tab w:val="left" w:pos="9270"/>
        </w:tabs>
        <w:ind w:right="-20"/>
        <w:jc w:val="both"/>
        <w:rPr>
          <w:rFonts w:asciiTheme="majorHAnsi" w:eastAsia="Yu Mincho" w:hAnsiTheme="majorHAnsi" w:cstheme="majorHAnsi"/>
          <w:color w:val="000000" w:themeColor="text1"/>
          <w:sz w:val="22"/>
          <w:szCs w:val="22"/>
          <w:lang w:val="pt-BR" w:eastAsia="ja-JP"/>
        </w:rPr>
      </w:pPr>
    </w:p>
    <w:p w14:paraId="4E941BDF" w14:textId="77777777" w:rsidR="00FC534C" w:rsidRPr="005E6B7C" w:rsidRDefault="00FC534C"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val="pt-BR" w:eastAsia="ja-JP"/>
        </w:rPr>
        <w:sectPr w:rsidR="00FC534C" w:rsidRPr="005E6B7C" w:rsidSect="002206BB">
          <w:type w:val="continuous"/>
          <w:pgSz w:w="10773" w:h="15309" w:code="9"/>
          <w:pgMar w:top="907" w:right="851" w:bottom="1418" w:left="851" w:header="397" w:footer="851" w:gutter="0"/>
          <w:cols w:space="284"/>
          <w:docGrid w:linePitch="360"/>
        </w:sectPr>
      </w:pPr>
    </w:p>
    <w:p w14:paraId="22FE0923" w14:textId="77777777" w:rsidR="00E049CB" w:rsidRPr="005E6B7C" w:rsidRDefault="00E049CB" w:rsidP="008C0D47">
      <w:pPr>
        <w:tabs>
          <w:tab w:val="left" w:pos="270"/>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Our work represents the first isolation study of </w:t>
      </w:r>
      <w:r w:rsidRPr="005E6B7C">
        <w:rPr>
          <w:rFonts w:asciiTheme="majorHAnsi" w:eastAsia="Yu Mincho" w:hAnsiTheme="majorHAnsi" w:cstheme="majorHAnsi"/>
          <w:i/>
          <w:iCs/>
          <w:color w:val="000000" w:themeColor="text1"/>
          <w:sz w:val="22"/>
          <w:szCs w:val="22"/>
          <w:lang w:eastAsia="ja-JP"/>
        </w:rPr>
        <w:t>C</w:t>
      </w:r>
      <w:r w:rsidRPr="005E6B7C">
        <w:rPr>
          <w:rFonts w:asciiTheme="majorHAnsi" w:eastAsia="Yu Mincho" w:hAnsiTheme="majorHAnsi" w:cstheme="majorHAnsi"/>
          <w:i/>
          <w:iCs/>
          <w:color w:val="000000" w:themeColor="text1"/>
          <w:sz w:val="22"/>
          <w:szCs w:val="22"/>
          <w:lang w:eastAsia="ko-KR"/>
        </w:rPr>
        <w:t>.</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ko-KR"/>
        </w:rPr>
        <w:t>flava</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flowers.</w:t>
      </w:r>
      <w:r w:rsidRPr="005E6B7C">
        <w:rPr>
          <w:rFonts w:asciiTheme="majorHAnsi" w:eastAsia="Times New Roman" w:hAnsiTheme="majorHAnsi" w:cstheme="majorHAnsi"/>
          <w:color w:val="000000" w:themeColor="text1"/>
          <w:sz w:val="22"/>
          <w:szCs w:val="22"/>
          <w:lang w:eastAsia="ja-JP"/>
        </w:rPr>
        <w:t xml:space="preserve"> Several ellagic acids </w:t>
      </w:r>
      <w:r w:rsidRPr="005E6B7C">
        <w:rPr>
          <w:rFonts w:asciiTheme="majorHAnsi" w:eastAsia="Yu Mincho" w:hAnsiTheme="majorHAnsi" w:cstheme="majorHAnsi"/>
          <w:bCs/>
          <w:color w:val="000000" w:themeColor="text1"/>
          <w:sz w:val="22"/>
          <w:szCs w:val="22"/>
          <w:lang w:eastAsia="ja-JP"/>
        </w:rPr>
        <w:t xml:space="preserve">have already been found from </w:t>
      </w:r>
      <w:r w:rsidRPr="005E6B7C">
        <w:rPr>
          <w:rFonts w:asciiTheme="majorHAnsi" w:eastAsia="Yu Mincho" w:hAnsiTheme="majorHAnsi" w:cstheme="majorHAnsi"/>
          <w:bCs/>
          <w:i/>
          <w:color w:val="000000" w:themeColor="text1"/>
          <w:sz w:val="22"/>
          <w:szCs w:val="22"/>
          <w:lang w:eastAsia="ja-JP"/>
        </w:rPr>
        <w:t>Camellia sp</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Times New Roman" w:hAnsiTheme="majorHAnsi" w:cstheme="majorHAnsi"/>
          <w:iCs/>
          <w:color w:val="000000" w:themeColor="text1"/>
          <w:sz w:val="22"/>
          <w:szCs w:val="22"/>
          <w:lang w:eastAsia="ja-JP"/>
        </w:rPr>
        <w:t xml:space="preserve">[1], but  </w:t>
      </w:r>
      <w:r w:rsidRPr="005E6B7C">
        <w:rPr>
          <w:rFonts w:asciiTheme="majorHAnsi" w:eastAsia="Yu Mincho" w:hAnsiTheme="majorHAnsi" w:cstheme="majorHAnsi"/>
          <w:bCs/>
          <w:color w:val="000000" w:themeColor="text1"/>
          <w:sz w:val="22"/>
          <w:szCs w:val="22"/>
          <w:lang w:eastAsia="ja-JP"/>
        </w:rPr>
        <w:t>3,3</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-tri-</w:t>
      </w:r>
      <w:r w:rsidRPr="005E6B7C">
        <w:rPr>
          <w:rFonts w:asciiTheme="majorHAnsi" w:eastAsia="Yu Mincho" w:hAnsiTheme="majorHAnsi" w:cstheme="majorHAnsi"/>
          <w:bCs/>
          <w:i/>
          <w:color w:val="000000" w:themeColor="text1"/>
          <w:sz w:val="22"/>
          <w:szCs w:val="22"/>
          <w:lang w:eastAsia="ja-JP"/>
        </w:rPr>
        <w:t>O</w:t>
      </w:r>
      <w:r w:rsidRPr="005E6B7C">
        <w:rPr>
          <w:rFonts w:asciiTheme="majorHAnsi" w:eastAsia="Yu Mincho" w:hAnsiTheme="majorHAnsi" w:cstheme="majorHAnsi"/>
          <w:bCs/>
          <w:color w:val="000000" w:themeColor="text1"/>
          <w:sz w:val="22"/>
          <w:szCs w:val="22"/>
          <w:lang w:eastAsia="ja-JP"/>
        </w:rPr>
        <w:t>-methyl ellagic acid</w:t>
      </w:r>
      <w:r w:rsidRPr="005E6B7C">
        <w:rPr>
          <w:rFonts w:asciiTheme="majorHAnsi" w:eastAsia="Times New Roman" w:hAnsiTheme="majorHAnsi" w:cstheme="majorHAnsi"/>
          <w:iCs/>
          <w:color w:val="000000" w:themeColor="text1"/>
          <w:sz w:val="22"/>
          <w:szCs w:val="22"/>
          <w:lang w:eastAsia="ja-JP"/>
        </w:rPr>
        <w:t xml:space="preserve"> (</w:t>
      </w:r>
      <w:r w:rsidRPr="005E6B7C">
        <w:rPr>
          <w:rFonts w:asciiTheme="majorHAnsi" w:eastAsia="Times New Roman" w:hAnsiTheme="majorHAnsi" w:cstheme="majorHAnsi"/>
          <w:b/>
          <w:iCs/>
          <w:color w:val="000000" w:themeColor="text1"/>
          <w:sz w:val="22"/>
          <w:szCs w:val="22"/>
          <w:lang w:eastAsia="ja-JP"/>
        </w:rPr>
        <w:t>1</w:t>
      </w:r>
      <w:r w:rsidRPr="005E6B7C">
        <w:rPr>
          <w:rFonts w:asciiTheme="majorHAnsi" w:eastAsia="Times New Roman" w:hAnsiTheme="majorHAnsi" w:cstheme="majorHAnsi"/>
          <w:iCs/>
          <w:color w:val="000000" w:themeColor="text1"/>
          <w:sz w:val="22"/>
          <w:szCs w:val="22"/>
          <w:lang w:eastAsia="ja-JP"/>
        </w:rPr>
        <w:t xml:space="preserve">) was identified in the genus </w:t>
      </w:r>
      <w:r w:rsidRPr="005E6B7C">
        <w:rPr>
          <w:rFonts w:asciiTheme="majorHAnsi" w:eastAsia="Times New Roman" w:hAnsiTheme="majorHAnsi" w:cstheme="majorHAnsi"/>
          <w:i/>
          <w:iCs/>
          <w:color w:val="000000" w:themeColor="text1"/>
          <w:sz w:val="22"/>
          <w:szCs w:val="22"/>
          <w:lang w:eastAsia="ja-JP"/>
        </w:rPr>
        <w:t>Camellia</w:t>
      </w:r>
      <w:r w:rsidRPr="005E6B7C">
        <w:rPr>
          <w:rFonts w:asciiTheme="majorHAnsi" w:eastAsia="Times New Roman" w:hAnsiTheme="majorHAnsi" w:cstheme="majorHAnsi"/>
          <w:iCs/>
          <w:color w:val="000000" w:themeColor="text1"/>
          <w:sz w:val="22"/>
          <w:szCs w:val="22"/>
          <w:lang w:eastAsia="ja-JP"/>
        </w:rPr>
        <w:t xml:space="preserve"> for the first time.  Lignan pinoresinol was isolated from </w:t>
      </w:r>
      <w:r w:rsidRPr="005E6B7C">
        <w:rPr>
          <w:rFonts w:asciiTheme="majorHAnsi" w:eastAsia="Times New Roman" w:hAnsiTheme="majorHAnsi" w:cstheme="majorHAnsi"/>
          <w:i/>
          <w:iCs/>
          <w:color w:val="000000" w:themeColor="text1"/>
          <w:sz w:val="22"/>
          <w:szCs w:val="22"/>
          <w:lang w:eastAsia="ja-JP"/>
        </w:rPr>
        <w:t>C. olifera</w:t>
      </w:r>
      <w:r w:rsidRPr="005E6B7C">
        <w:rPr>
          <w:rFonts w:asciiTheme="majorHAnsi" w:eastAsia="Times New Roman" w:hAnsiTheme="majorHAnsi" w:cstheme="majorHAnsi"/>
          <w:iCs/>
          <w:color w:val="000000" w:themeColor="text1"/>
          <w:sz w:val="22"/>
          <w:szCs w:val="22"/>
          <w:lang w:eastAsia="ja-JP"/>
        </w:rPr>
        <w:t xml:space="preserve"> [17]. Flavonoids quercetin (</w:t>
      </w:r>
      <w:r w:rsidRPr="005E6B7C">
        <w:rPr>
          <w:rFonts w:asciiTheme="majorHAnsi" w:eastAsia="Times New Roman" w:hAnsiTheme="majorHAnsi" w:cstheme="majorHAnsi"/>
          <w:b/>
          <w:iCs/>
          <w:color w:val="000000" w:themeColor="text1"/>
          <w:sz w:val="22"/>
          <w:szCs w:val="22"/>
          <w:lang w:eastAsia="ja-JP"/>
        </w:rPr>
        <w:t>3</w:t>
      </w:r>
      <w:r w:rsidRPr="005E6B7C">
        <w:rPr>
          <w:rFonts w:asciiTheme="majorHAnsi" w:eastAsia="Times New Roman" w:hAnsiTheme="majorHAnsi" w:cstheme="majorHAnsi"/>
          <w:iCs/>
          <w:color w:val="000000" w:themeColor="text1"/>
          <w:sz w:val="22"/>
          <w:szCs w:val="22"/>
          <w:lang w:eastAsia="ja-JP"/>
        </w:rPr>
        <w:t>), kaempferol (</w:t>
      </w:r>
      <w:r w:rsidRPr="005E6B7C">
        <w:rPr>
          <w:rFonts w:asciiTheme="majorHAnsi" w:eastAsia="Times New Roman" w:hAnsiTheme="majorHAnsi" w:cstheme="majorHAnsi"/>
          <w:b/>
          <w:iCs/>
          <w:color w:val="000000" w:themeColor="text1"/>
          <w:sz w:val="22"/>
          <w:szCs w:val="22"/>
          <w:lang w:eastAsia="ja-JP"/>
        </w:rPr>
        <w:t>4</w:t>
      </w:r>
      <w:r w:rsidRPr="005E6B7C">
        <w:rPr>
          <w:rFonts w:asciiTheme="majorHAnsi" w:eastAsia="Times New Roman" w:hAnsiTheme="majorHAnsi" w:cstheme="majorHAnsi"/>
          <w:iCs/>
          <w:color w:val="000000" w:themeColor="text1"/>
          <w:sz w:val="22"/>
          <w:szCs w:val="22"/>
          <w:lang w:eastAsia="ja-JP"/>
        </w:rPr>
        <w:t xml:space="preserve">), and phenolic acids </w:t>
      </w:r>
      <w:r w:rsidRPr="005E6B7C">
        <w:rPr>
          <w:rFonts w:asciiTheme="majorHAnsi" w:eastAsia="Times New Roman" w:hAnsiTheme="majorHAnsi" w:cstheme="majorHAnsi"/>
          <w:b/>
          <w:iCs/>
          <w:color w:val="000000" w:themeColor="text1"/>
          <w:sz w:val="22"/>
          <w:szCs w:val="22"/>
          <w:lang w:eastAsia="ja-JP"/>
        </w:rPr>
        <w:t>5</w:t>
      </w:r>
      <w:r w:rsidRPr="005E6B7C">
        <w:rPr>
          <w:rFonts w:asciiTheme="majorHAnsi" w:eastAsia="Times New Roman" w:hAnsiTheme="majorHAnsi" w:cstheme="majorHAnsi"/>
          <w:iCs/>
          <w:color w:val="000000" w:themeColor="text1"/>
          <w:sz w:val="22"/>
          <w:szCs w:val="22"/>
          <w:lang w:eastAsia="ja-JP"/>
        </w:rPr>
        <w:sym w:font="Symbol" w:char="F02D"/>
      </w:r>
      <w:r w:rsidRPr="005E6B7C">
        <w:rPr>
          <w:rFonts w:asciiTheme="majorHAnsi" w:eastAsia="Times New Roman" w:hAnsiTheme="majorHAnsi" w:cstheme="majorHAnsi"/>
          <w:b/>
          <w:iCs/>
          <w:color w:val="000000" w:themeColor="text1"/>
          <w:sz w:val="22"/>
          <w:szCs w:val="22"/>
          <w:lang w:eastAsia="ja-JP"/>
        </w:rPr>
        <w:t>7</w:t>
      </w:r>
      <w:r w:rsidRPr="005E6B7C">
        <w:rPr>
          <w:rFonts w:asciiTheme="majorHAnsi" w:eastAsia="Times New Roman" w:hAnsiTheme="majorHAnsi" w:cstheme="majorHAnsi"/>
          <w:iCs/>
          <w:color w:val="000000" w:themeColor="text1"/>
          <w:sz w:val="22"/>
          <w:szCs w:val="22"/>
          <w:lang w:eastAsia="ja-JP"/>
        </w:rPr>
        <w:t xml:space="preserve"> were identified from flowers and leaves of many </w:t>
      </w:r>
      <w:r w:rsidRPr="005E6B7C">
        <w:rPr>
          <w:rFonts w:asciiTheme="majorHAnsi" w:eastAsia="Times New Roman" w:hAnsiTheme="majorHAnsi" w:cstheme="majorHAnsi"/>
          <w:i/>
          <w:iCs/>
          <w:color w:val="000000" w:themeColor="text1"/>
          <w:sz w:val="22"/>
          <w:szCs w:val="22"/>
          <w:lang w:eastAsia="ja-JP"/>
        </w:rPr>
        <w:t>Camellia</w:t>
      </w:r>
      <w:r w:rsidRPr="005E6B7C">
        <w:rPr>
          <w:rFonts w:asciiTheme="majorHAnsi" w:eastAsia="Times New Roman" w:hAnsiTheme="majorHAnsi" w:cstheme="majorHAnsi"/>
          <w:iCs/>
          <w:color w:val="000000" w:themeColor="text1"/>
          <w:sz w:val="22"/>
          <w:szCs w:val="22"/>
          <w:lang w:eastAsia="ja-JP"/>
        </w:rPr>
        <w:t xml:space="preserve"> species like </w:t>
      </w:r>
      <w:r w:rsidRPr="005E6B7C">
        <w:rPr>
          <w:rFonts w:asciiTheme="majorHAnsi" w:eastAsia="Times New Roman" w:hAnsiTheme="majorHAnsi" w:cstheme="majorHAnsi"/>
          <w:i/>
          <w:iCs/>
          <w:color w:val="000000" w:themeColor="text1"/>
          <w:sz w:val="22"/>
          <w:szCs w:val="22"/>
          <w:lang w:eastAsia="ja-JP"/>
        </w:rPr>
        <w:t>C. chrysantha</w:t>
      </w:r>
      <w:r w:rsidRPr="005E6B7C">
        <w:rPr>
          <w:rFonts w:asciiTheme="majorHAnsi" w:eastAsia="Times New Roman" w:hAnsiTheme="majorHAnsi" w:cstheme="majorHAnsi"/>
          <w:iCs/>
          <w:color w:val="000000" w:themeColor="text1"/>
          <w:sz w:val="22"/>
          <w:szCs w:val="22"/>
          <w:lang w:eastAsia="ja-JP"/>
        </w:rPr>
        <w:t xml:space="preserve"> [18], </w:t>
      </w:r>
      <w:r w:rsidRPr="005E6B7C">
        <w:rPr>
          <w:rFonts w:asciiTheme="majorHAnsi" w:eastAsia="Times New Roman" w:hAnsiTheme="majorHAnsi" w:cstheme="majorHAnsi"/>
          <w:i/>
          <w:iCs/>
          <w:color w:val="000000" w:themeColor="text1"/>
          <w:sz w:val="22"/>
          <w:szCs w:val="22"/>
          <w:lang w:eastAsia="ja-JP"/>
        </w:rPr>
        <w:t xml:space="preserve">C. flava </w:t>
      </w:r>
      <w:r w:rsidRPr="005E6B7C">
        <w:rPr>
          <w:rFonts w:asciiTheme="majorHAnsi" w:eastAsia="Times New Roman" w:hAnsiTheme="majorHAnsi" w:cstheme="majorHAnsi"/>
          <w:iCs/>
          <w:color w:val="000000" w:themeColor="text1"/>
          <w:sz w:val="22"/>
          <w:szCs w:val="22"/>
          <w:lang w:eastAsia="ja-JP"/>
        </w:rPr>
        <w:t>[9],</w:t>
      </w:r>
      <w:r w:rsidRPr="005E6B7C">
        <w:rPr>
          <w:rFonts w:asciiTheme="majorHAnsi" w:eastAsia="Times New Roman" w:hAnsiTheme="majorHAnsi" w:cstheme="majorHAnsi"/>
          <w:i/>
          <w:iCs/>
          <w:color w:val="000000" w:themeColor="text1"/>
          <w:sz w:val="22"/>
          <w:szCs w:val="22"/>
          <w:lang w:eastAsia="ja-JP"/>
        </w:rPr>
        <w:t xml:space="preserve"> C. olifera </w:t>
      </w:r>
      <w:r w:rsidRPr="005E6B7C">
        <w:rPr>
          <w:rFonts w:asciiTheme="majorHAnsi" w:eastAsia="Times New Roman" w:hAnsiTheme="majorHAnsi" w:cstheme="majorHAnsi"/>
          <w:iCs/>
          <w:color w:val="000000" w:themeColor="text1"/>
          <w:sz w:val="22"/>
          <w:szCs w:val="22"/>
          <w:lang w:eastAsia="ja-JP"/>
        </w:rPr>
        <w:t xml:space="preserve">[19], </w:t>
      </w:r>
      <w:r w:rsidRPr="005E6B7C">
        <w:rPr>
          <w:rFonts w:asciiTheme="majorHAnsi" w:eastAsia="Times New Roman" w:hAnsiTheme="majorHAnsi" w:cstheme="majorHAnsi"/>
          <w:i/>
          <w:iCs/>
          <w:color w:val="000000" w:themeColor="text1"/>
          <w:sz w:val="22"/>
          <w:szCs w:val="22"/>
          <w:lang w:eastAsia="ja-JP"/>
        </w:rPr>
        <w:t xml:space="preserve">C. sinensis </w:t>
      </w:r>
      <w:r w:rsidRPr="005E6B7C">
        <w:rPr>
          <w:rFonts w:asciiTheme="majorHAnsi" w:eastAsia="Times New Roman" w:hAnsiTheme="majorHAnsi" w:cstheme="majorHAnsi"/>
          <w:iCs/>
          <w:color w:val="000000" w:themeColor="text1"/>
          <w:sz w:val="22"/>
          <w:szCs w:val="22"/>
          <w:lang w:eastAsia="ja-JP"/>
        </w:rPr>
        <w:t xml:space="preserve">[20], and </w:t>
      </w:r>
      <w:r w:rsidRPr="005E6B7C">
        <w:rPr>
          <w:rFonts w:asciiTheme="majorHAnsi" w:eastAsia="Times New Roman" w:hAnsiTheme="majorHAnsi" w:cstheme="majorHAnsi"/>
          <w:i/>
          <w:iCs/>
          <w:color w:val="000000" w:themeColor="text1"/>
          <w:sz w:val="22"/>
          <w:szCs w:val="22"/>
          <w:lang w:eastAsia="ja-JP"/>
        </w:rPr>
        <w:t>C. japonica</w:t>
      </w:r>
      <w:r w:rsidRPr="005E6B7C">
        <w:rPr>
          <w:rFonts w:asciiTheme="majorHAnsi" w:eastAsia="Times New Roman" w:hAnsiTheme="majorHAnsi" w:cstheme="majorHAnsi"/>
          <w:iCs/>
          <w:color w:val="000000" w:themeColor="text1"/>
          <w:sz w:val="22"/>
          <w:szCs w:val="22"/>
          <w:lang w:eastAsia="ja-JP"/>
        </w:rPr>
        <w:t xml:space="preserve"> [21]. Tyrosol (</w:t>
      </w:r>
      <w:r w:rsidRPr="005E6B7C">
        <w:rPr>
          <w:rFonts w:asciiTheme="majorHAnsi" w:eastAsia="Times New Roman" w:hAnsiTheme="majorHAnsi" w:cstheme="majorHAnsi"/>
          <w:b/>
          <w:iCs/>
          <w:color w:val="000000" w:themeColor="text1"/>
          <w:sz w:val="22"/>
          <w:szCs w:val="22"/>
          <w:lang w:eastAsia="ja-JP"/>
        </w:rPr>
        <w:t>5</w:t>
      </w:r>
      <w:r w:rsidRPr="005E6B7C">
        <w:rPr>
          <w:rFonts w:asciiTheme="majorHAnsi" w:eastAsia="Times New Roman" w:hAnsiTheme="majorHAnsi" w:cstheme="majorHAnsi"/>
          <w:iCs/>
          <w:color w:val="000000" w:themeColor="text1"/>
          <w:sz w:val="22"/>
          <w:szCs w:val="22"/>
          <w:lang w:eastAsia="ja-JP"/>
        </w:rPr>
        <w:t xml:space="preserve">) was reported from </w:t>
      </w:r>
      <w:r w:rsidRPr="005E6B7C">
        <w:rPr>
          <w:rFonts w:asciiTheme="majorHAnsi" w:eastAsia="Times New Roman" w:hAnsiTheme="majorHAnsi" w:cstheme="majorHAnsi"/>
          <w:i/>
          <w:iCs/>
          <w:color w:val="000000" w:themeColor="text1"/>
          <w:sz w:val="22"/>
          <w:szCs w:val="22"/>
          <w:lang w:eastAsia="ja-JP"/>
        </w:rPr>
        <w:t xml:space="preserve">C. olifera </w:t>
      </w:r>
      <w:r w:rsidRPr="005E6B7C">
        <w:rPr>
          <w:rFonts w:asciiTheme="majorHAnsi" w:eastAsia="Times New Roman" w:hAnsiTheme="majorHAnsi" w:cstheme="majorHAnsi"/>
          <w:iCs/>
          <w:color w:val="000000" w:themeColor="text1"/>
          <w:sz w:val="22"/>
          <w:szCs w:val="22"/>
          <w:lang w:eastAsia="ja-JP"/>
        </w:rPr>
        <w:t xml:space="preserve">[22] and </w:t>
      </w:r>
      <w:r w:rsidRPr="005E6B7C">
        <w:rPr>
          <w:rFonts w:asciiTheme="majorHAnsi" w:eastAsia="Times New Roman" w:hAnsiTheme="majorHAnsi" w:cstheme="majorHAnsi"/>
          <w:i/>
          <w:iCs/>
          <w:color w:val="000000" w:themeColor="text1"/>
          <w:sz w:val="22"/>
          <w:szCs w:val="22"/>
          <w:lang w:eastAsia="ja-JP"/>
        </w:rPr>
        <w:t xml:space="preserve">C. japonica </w:t>
      </w:r>
      <w:r w:rsidRPr="005E6B7C">
        <w:rPr>
          <w:rFonts w:asciiTheme="majorHAnsi" w:eastAsia="Times New Roman" w:hAnsiTheme="majorHAnsi" w:cstheme="majorHAnsi"/>
          <w:iCs/>
          <w:color w:val="000000" w:themeColor="text1"/>
          <w:sz w:val="22"/>
          <w:szCs w:val="22"/>
          <w:lang w:eastAsia="ja-JP"/>
        </w:rPr>
        <w:t xml:space="preserve">[23]. Our chemical study suggested that </w:t>
      </w:r>
      <w:r w:rsidRPr="005E6B7C">
        <w:rPr>
          <w:rFonts w:asciiTheme="majorHAnsi" w:eastAsia="Times New Roman" w:hAnsiTheme="majorHAnsi" w:cstheme="majorHAnsi"/>
          <w:i/>
          <w:iCs/>
          <w:color w:val="000000" w:themeColor="text1"/>
          <w:sz w:val="22"/>
          <w:szCs w:val="22"/>
          <w:lang w:eastAsia="ja-JP"/>
        </w:rPr>
        <w:t>C. flava</w:t>
      </w:r>
      <w:r w:rsidRPr="005E6B7C">
        <w:rPr>
          <w:rFonts w:asciiTheme="majorHAnsi" w:eastAsia="Times New Roman" w:hAnsiTheme="majorHAnsi" w:cstheme="majorHAnsi"/>
          <w:iCs/>
          <w:color w:val="000000" w:themeColor="text1"/>
          <w:sz w:val="22"/>
          <w:szCs w:val="22"/>
          <w:lang w:eastAsia="ja-JP"/>
        </w:rPr>
        <w:t xml:space="preserve"> possibly has a close chemotaxonomic relationship with </w:t>
      </w:r>
      <w:r w:rsidRPr="005E6B7C">
        <w:rPr>
          <w:rFonts w:asciiTheme="majorHAnsi" w:eastAsia="Times New Roman" w:hAnsiTheme="majorHAnsi" w:cstheme="majorHAnsi"/>
          <w:i/>
          <w:iCs/>
          <w:color w:val="000000" w:themeColor="text1"/>
          <w:sz w:val="22"/>
          <w:szCs w:val="22"/>
          <w:lang w:eastAsia="ja-JP"/>
        </w:rPr>
        <w:t xml:space="preserve">C. olifera </w:t>
      </w:r>
      <w:r w:rsidRPr="005E6B7C">
        <w:rPr>
          <w:rFonts w:asciiTheme="majorHAnsi" w:eastAsia="Times New Roman" w:hAnsiTheme="majorHAnsi" w:cstheme="majorHAnsi"/>
          <w:iCs/>
          <w:color w:val="000000" w:themeColor="text1"/>
          <w:sz w:val="22"/>
          <w:szCs w:val="22"/>
          <w:lang w:eastAsia="ja-JP"/>
        </w:rPr>
        <w:t>and</w:t>
      </w:r>
      <w:r w:rsidRPr="005E6B7C">
        <w:rPr>
          <w:rFonts w:asciiTheme="majorHAnsi" w:eastAsia="Times New Roman" w:hAnsiTheme="majorHAnsi" w:cstheme="majorHAnsi"/>
          <w:i/>
          <w:iCs/>
          <w:color w:val="000000" w:themeColor="text1"/>
          <w:sz w:val="22"/>
          <w:szCs w:val="22"/>
          <w:lang w:eastAsia="ja-JP"/>
        </w:rPr>
        <w:t xml:space="preserve"> C. japonica.</w:t>
      </w:r>
      <w:r w:rsidRPr="005E6B7C">
        <w:rPr>
          <w:rFonts w:asciiTheme="majorHAnsi" w:eastAsia="Times New Roman" w:hAnsiTheme="majorHAnsi" w:cstheme="majorHAnsi"/>
          <w:iCs/>
          <w:color w:val="000000" w:themeColor="text1"/>
          <w:sz w:val="22"/>
          <w:szCs w:val="22"/>
          <w:lang w:eastAsia="ja-JP"/>
        </w:rPr>
        <w:t xml:space="preserve"> These phenolic constituents displayed various pharmacological </w:t>
      </w:r>
      <w:r w:rsidRPr="005E6B7C">
        <w:rPr>
          <w:rFonts w:asciiTheme="majorHAnsi" w:eastAsia="Times New Roman" w:hAnsiTheme="majorHAnsi" w:cstheme="majorHAnsi"/>
          <w:iCs/>
          <w:color w:val="000000" w:themeColor="text1"/>
          <w:sz w:val="22"/>
          <w:szCs w:val="22"/>
          <w:lang w:eastAsia="ja-JP"/>
        </w:rPr>
        <w:t>activities such as antioxidant, anti-diabetic, and neuroprotective activities [19],[21],[23],[24],[25].</w:t>
      </w:r>
    </w:p>
    <w:p w14:paraId="06B1565D" w14:textId="77777777" w:rsidR="00E049CB" w:rsidRPr="005E6B7C" w:rsidRDefault="00B666AE" w:rsidP="008C0D47">
      <w:pPr>
        <w:tabs>
          <w:tab w:val="left" w:pos="270"/>
          <w:tab w:val="left" w:pos="9270"/>
        </w:tabs>
        <w:spacing w:line="258" w:lineRule="exact"/>
        <w:ind w:firstLine="284"/>
        <w:contextualSpacing/>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4. </w:t>
      </w:r>
      <w:r w:rsidR="00E049CB" w:rsidRPr="005E6B7C">
        <w:rPr>
          <w:rFonts w:asciiTheme="majorHAnsi" w:eastAsia="Yu Mincho" w:hAnsiTheme="majorHAnsi" w:cstheme="majorHAnsi"/>
          <w:b/>
          <w:bCs/>
          <w:color w:val="000000" w:themeColor="text1"/>
          <w:sz w:val="22"/>
          <w:szCs w:val="22"/>
          <w:lang w:eastAsia="ja-JP"/>
        </w:rPr>
        <w:t xml:space="preserve">Conclusions </w:t>
      </w:r>
    </w:p>
    <w:p w14:paraId="5C4AEEAC" w14:textId="4EB83AD7" w:rsidR="00E049CB" w:rsidRPr="005E6B7C" w:rsidRDefault="00E049CB" w:rsidP="008C0D47">
      <w:pPr>
        <w:tabs>
          <w:tab w:val="left" w:pos="270"/>
          <w:tab w:val="left" w:pos="9270"/>
        </w:tabs>
        <w:spacing w:line="258" w:lineRule="exact"/>
        <w:ind w:firstLine="284"/>
        <w:jc w:val="both"/>
        <w:rPr>
          <w:rFonts w:asciiTheme="majorHAnsi" w:eastAsia="Yu Mincho" w:hAnsiTheme="majorHAnsi" w:cstheme="majorHAnsi"/>
          <w:bCs/>
          <w:iCs/>
          <w:color w:val="000000" w:themeColor="text1"/>
          <w:sz w:val="22"/>
          <w:szCs w:val="22"/>
          <w:lang w:val="de-DE" w:eastAsia="ja-JP"/>
        </w:rPr>
      </w:pPr>
      <w:r w:rsidRPr="005E6B7C">
        <w:rPr>
          <w:rFonts w:asciiTheme="majorHAnsi" w:eastAsia="Yu Mincho" w:hAnsiTheme="majorHAnsi" w:cstheme="majorHAnsi"/>
          <w:color w:val="000000" w:themeColor="text1"/>
          <w:sz w:val="22"/>
          <w:szCs w:val="22"/>
          <w:lang w:eastAsia="ja-JP"/>
        </w:rPr>
        <w:t>Eight phenolic constituents, including 3</w:t>
      </w:r>
      <w:r w:rsidRPr="005E6B7C">
        <w:rPr>
          <w:rFonts w:asciiTheme="majorHAnsi" w:eastAsia="Yu Mincho" w:hAnsiTheme="majorHAnsi" w:cstheme="majorHAnsi"/>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-tri-</w:t>
      </w:r>
      <w:r w:rsidRPr="005E6B7C">
        <w:rPr>
          <w:rFonts w:asciiTheme="majorHAnsi" w:eastAsia="Yu Mincho" w:hAnsiTheme="majorHAnsi" w:cstheme="majorHAnsi"/>
          <w:bCs/>
          <w:i/>
          <w:color w:val="000000" w:themeColor="text1"/>
          <w:sz w:val="22"/>
          <w:szCs w:val="22"/>
          <w:lang w:eastAsia="ja-JP"/>
        </w:rPr>
        <w:t>O</w:t>
      </w:r>
      <w:r w:rsidRPr="005E6B7C">
        <w:rPr>
          <w:rFonts w:asciiTheme="majorHAnsi" w:eastAsia="Yu Mincho" w:hAnsiTheme="majorHAnsi" w:cstheme="majorHAnsi"/>
          <w:bCs/>
          <w:color w:val="000000" w:themeColor="text1"/>
          <w:sz w:val="22"/>
          <w:szCs w:val="22"/>
          <w:lang w:eastAsia="ja-JP"/>
        </w:rPr>
        <w:t>-methyl ellagic acid</w:t>
      </w:r>
      <w:r w:rsidRPr="005E6B7C">
        <w:rPr>
          <w:rFonts w:asciiTheme="majorHAnsi" w:eastAsia="Times New Roman" w:hAnsiTheme="majorHAnsi" w:cstheme="majorHAnsi"/>
          <w:iCs/>
          <w:color w:val="000000" w:themeColor="text1"/>
          <w:sz w:val="22"/>
          <w:szCs w:val="22"/>
          <w:lang w:eastAsia="ja-JP"/>
        </w:rPr>
        <w:t xml:space="preserve"> (</w:t>
      </w:r>
      <w:r w:rsidRPr="005E6B7C">
        <w:rPr>
          <w:rFonts w:asciiTheme="majorHAnsi" w:eastAsia="Times New Roman" w:hAnsiTheme="majorHAnsi" w:cstheme="majorHAnsi"/>
          <w:b/>
          <w:iCs/>
          <w:color w:val="000000" w:themeColor="text1"/>
          <w:sz w:val="22"/>
          <w:szCs w:val="22"/>
          <w:lang w:eastAsia="ja-JP"/>
        </w:rPr>
        <w:t>1</w:t>
      </w:r>
      <w:r w:rsidRPr="005E6B7C">
        <w:rPr>
          <w:rFonts w:asciiTheme="majorHAnsi" w:eastAsia="Times New Roman" w:hAnsiTheme="majorHAnsi" w:cstheme="majorHAns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val="en-GB" w:eastAsia="ja-JP"/>
        </w:rPr>
        <w:t xml:space="preserve">, </w:t>
      </w:r>
      <w:r w:rsidRPr="005E6B7C">
        <w:rPr>
          <w:rFonts w:asciiTheme="majorHAnsi" w:eastAsia="Times New Roman" w:hAnsiTheme="majorHAnsi" w:cstheme="majorHAnsi"/>
          <w:color w:val="000000" w:themeColor="text1"/>
          <w:sz w:val="22"/>
          <w:szCs w:val="22"/>
          <w:lang w:eastAsia="ja-JP"/>
        </w:rPr>
        <w:t>pinoresinol (</w:t>
      </w:r>
      <w:r w:rsidRPr="005E6B7C">
        <w:rPr>
          <w:rFonts w:asciiTheme="majorHAnsi" w:eastAsia="Times New Roman" w:hAnsiTheme="majorHAnsi" w:cstheme="majorHAnsi"/>
          <w:b/>
          <w:color w:val="000000" w:themeColor="text1"/>
          <w:sz w:val="22"/>
          <w:szCs w:val="22"/>
          <w:lang w:eastAsia="ja-JP"/>
        </w:rPr>
        <w:t>2</w:t>
      </w:r>
      <w:r w:rsidRPr="005E6B7C">
        <w:rPr>
          <w:rFonts w:asciiTheme="majorHAnsi" w:eastAsia="Times New Roman" w:hAnsiTheme="majorHAnsi" w:cstheme="majorHAnsi"/>
          <w:color w:val="000000" w:themeColor="text1"/>
          <w:sz w:val="22"/>
          <w:szCs w:val="22"/>
          <w:lang w:eastAsia="ja-JP"/>
        </w:rPr>
        <w:t>), quercetin (</w:t>
      </w:r>
      <w:r w:rsidRPr="005E6B7C">
        <w:rPr>
          <w:rFonts w:asciiTheme="majorHAnsi" w:eastAsia="Times New Roman" w:hAnsiTheme="majorHAnsi" w:cstheme="majorHAnsi"/>
          <w:b/>
          <w:color w:val="000000" w:themeColor="text1"/>
          <w:sz w:val="22"/>
          <w:szCs w:val="22"/>
          <w:lang w:eastAsia="ja-JP"/>
        </w:rPr>
        <w:t>3</w:t>
      </w:r>
      <w:r w:rsidRPr="005E6B7C">
        <w:rPr>
          <w:rFonts w:asciiTheme="majorHAnsi" w:eastAsia="Times New Roman" w:hAnsiTheme="majorHAnsi" w:cstheme="majorHAnsi"/>
          <w:color w:val="000000" w:themeColor="text1"/>
          <w:sz w:val="22"/>
          <w:szCs w:val="22"/>
          <w:lang w:eastAsia="ja-JP"/>
        </w:rPr>
        <w:t>), kaempferol (</w:t>
      </w:r>
      <w:r w:rsidRPr="005E6B7C">
        <w:rPr>
          <w:rFonts w:asciiTheme="majorHAnsi" w:eastAsia="Times New Roman" w:hAnsiTheme="majorHAnsi" w:cstheme="majorHAnsi"/>
          <w:b/>
          <w:color w:val="000000" w:themeColor="text1"/>
          <w:sz w:val="22"/>
          <w:szCs w:val="22"/>
          <w:lang w:eastAsia="ja-JP"/>
        </w:rPr>
        <w:t>4</w:t>
      </w:r>
      <w:r w:rsidRPr="005E6B7C">
        <w:rPr>
          <w:rFonts w:asciiTheme="majorHAnsi" w:eastAsia="Times New Roman" w:hAnsiTheme="majorHAnsi" w:cstheme="majorHAnsi"/>
          <w:color w:val="000000" w:themeColor="text1"/>
          <w:sz w:val="22"/>
          <w:szCs w:val="22"/>
          <w:lang w:eastAsia="ja-JP"/>
        </w:rPr>
        <w:t>), tyrosol (</w:t>
      </w:r>
      <w:r w:rsidRPr="005E6B7C">
        <w:rPr>
          <w:rFonts w:asciiTheme="majorHAnsi" w:eastAsia="Times New Roman" w:hAnsiTheme="majorHAnsi" w:cstheme="majorHAnsi"/>
          <w:b/>
          <w:color w:val="000000" w:themeColor="text1"/>
          <w:sz w:val="22"/>
          <w:szCs w:val="22"/>
          <w:lang w:eastAsia="ja-JP"/>
        </w:rPr>
        <w:t>5</w:t>
      </w:r>
      <w:r w:rsidRPr="005E6B7C">
        <w:rPr>
          <w:rFonts w:asciiTheme="majorHAnsi" w:eastAsia="Times New Roman" w:hAnsiTheme="majorHAnsi" w:cstheme="majorHAnsi"/>
          <w:color w:val="000000" w:themeColor="text1"/>
          <w:sz w:val="22"/>
          <w:szCs w:val="22"/>
          <w:lang w:eastAsia="ja-JP"/>
        </w:rPr>
        <w:t>), caffeic acid</w:t>
      </w:r>
      <w:r w:rsidRPr="005E6B7C">
        <w:rPr>
          <w:rFonts w:asciiTheme="majorHAnsi" w:eastAsia="Yu Mincho" w:hAnsiTheme="majorHAnsi" w:cstheme="majorHAnsi"/>
          <w:color w:val="000000" w:themeColor="text1"/>
          <w:sz w:val="22"/>
          <w:szCs w:val="22"/>
          <w:lang w:val="en-GB" w:eastAsia="ja-JP"/>
        </w:rPr>
        <w:t xml:space="preserve"> (</w:t>
      </w:r>
      <w:r w:rsidRPr="005E6B7C">
        <w:rPr>
          <w:rFonts w:asciiTheme="majorHAnsi" w:eastAsia="Yu Mincho" w:hAnsiTheme="majorHAnsi" w:cstheme="majorHAnsi"/>
          <w:b/>
          <w:color w:val="000000" w:themeColor="text1"/>
          <w:sz w:val="22"/>
          <w:szCs w:val="22"/>
          <w:lang w:val="en-GB" w:eastAsia="ja-JP"/>
        </w:rPr>
        <w:t>6</w:t>
      </w:r>
      <w:r w:rsidRPr="005E6B7C">
        <w:rPr>
          <w:rFonts w:asciiTheme="majorHAnsi" w:eastAsia="Yu Mincho" w:hAnsiTheme="majorHAnsi" w:cstheme="majorHAnsi"/>
          <w:color w:val="000000" w:themeColor="text1"/>
          <w:sz w:val="22"/>
          <w:szCs w:val="22"/>
          <w:lang w:val="en-GB" w:eastAsia="ja-JP"/>
        </w:rPr>
        <w:t>), protocatechuic acid (</w:t>
      </w:r>
      <w:r w:rsidRPr="005E6B7C">
        <w:rPr>
          <w:rFonts w:asciiTheme="majorHAnsi" w:eastAsia="Yu Mincho" w:hAnsiTheme="majorHAnsi" w:cstheme="majorHAnsi"/>
          <w:b/>
          <w:color w:val="000000" w:themeColor="text1"/>
          <w:sz w:val="22"/>
          <w:szCs w:val="22"/>
          <w:lang w:val="en-GB" w:eastAsia="ja-JP"/>
        </w:rPr>
        <w:t>7</w:t>
      </w:r>
      <w:r w:rsidRPr="005E6B7C">
        <w:rPr>
          <w:rFonts w:asciiTheme="majorHAnsi" w:eastAsia="Yu Mincho" w:hAnsiTheme="majorHAnsi" w:cstheme="majorHAnsi"/>
          <w:color w:val="000000" w:themeColor="text1"/>
          <w:sz w:val="22"/>
          <w:szCs w:val="22"/>
          <w:lang w:val="en-GB" w:eastAsia="ja-JP"/>
        </w:rPr>
        <w:t>), and gallic acid (</w:t>
      </w:r>
      <w:r w:rsidRPr="005E6B7C">
        <w:rPr>
          <w:rFonts w:asciiTheme="majorHAnsi" w:eastAsia="Yu Mincho" w:hAnsiTheme="majorHAnsi" w:cstheme="majorHAnsi"/>
          <w:b/>
          <w:color w:val="000000" w:themeColor="text1"/>
          <w:sz w:val="22"/>
          <w:szCs w:val="22"/>
          <w:lang w:val="en-GB" w:eastAsia="ja-JP"/>
        </w:rPr>
        <w:t>8</w:t>
      </w:r>
      <w:r w:rsidRPr="005E6B7C">
        <w:rPr>
          <w:rFonts w:asciiTheme="majorHAnsi" w:eastAsia="Yu Mincho" w:hAnsiTheme="majorHAnsi" w:cstheme="majorHAnsi"/>
          <w:color w:val="000000" w:themeColor="text1"/>
          <w:sz w:val="22"/>
          <w:szCs w:val="22"/>
          <w:lang w:val="en-GB" w:eastAsia="ja-JP"/>
        </w:rPr>
        <w:t xml:space="preserve">), were isolated and characterized from the ethyl acetate extract of </w:t>
      </w:r>
      <w:r w:rsidRPr="005E6B7C">
        <w:rPr>
          <w:rFonts w:asciiTheme="majorHAnsi" w:eastAsia="Yu Mincho" w:hAnsiTheme="majorHAnsi" w:cstheme="majorHAnsi"/>
          <w:i/>
          <w:color w:val="000000" w:themeColor="text1"/>
          <w:sz w:val="22"/>
          <w:szCs w:val="22"/>
          <w:lang w:val="en-GB" w:eastAsia="ja-JP"/>
        </w:rPr>
        <w:t>Camellia flava</w:t>
      </w:r>
      <w:r w:rsidRPr="005E6B7C">
        <w:rPr>
          <w:rFonts w:asciiTheme="majorHAnsi" w:eastAsia="Yu Mincho" w:hAnsiTheme="majorHAnsi" w:cstheme="majorHAnsi"/>
          <w:color w:val="000000" w:themeColor="text1"/>
          <w:sz w:val="22"/>
          <w:szCs w:val="22"/>
          <w:lang w:val="en-GB" w:eastAsia="ja-JP"/>
        </w:rPr>
        <w:t xml:space="preserve"> flowers</w:t>
      </w:r>
      <w:r w:rsidRPr="005E6B7C">
        <w:rPr>
          <w:rFonts w:asciiTheme="majorHAnsi" w:eastAsia="Yu Mincho" w:hAnsiTheme="majorHAnsi" w:cstheme="majorHAnsi"/>
          <w:color w:val="000000" w:themeColor="text1"/>
          <w:sz w:val="22"/>
          <w:szCs w:val="22"/>
          <w:lang w:eastAsia="ja-JP"/>
        </w:rPr>
        <w:t xml:space="preserve">. Compounds </w:t>
      </w:r>
      <w:r w:rsidRPr="005E6B7C">
        <w:rPr>
          <w:rFonts w:asciiTheme="majorHAnsi" w:eastAsia="Yu Mincho" w:hAnsiTheme="majorHAnsi" w:cstheme="majorHAnsi"/>
          <w:b/>
          <w:bCs/>
          <w:color w:val="000000" w:themeColor="text1"/>
          <w:sz w:val="22"/>
          <w:szCs w:val="22"/>
          <w:lang w:eastAsia="ja-JP"/>
        </w:rPr>
        <w:t>2</w:t>
      </w:r>
      <w:r w:rsidR="00A95C51"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3</w:t>
      </w:r>
      <w:r w:rsidR="00A95C51"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and</w:t>
      </w:r>
      <w:r w:rsidRPr="005E6B7C">
        <w:rPr>
          <w:rFonts w:asciiTheme="majorHAnsi" w:eastAsia="Yu Mincho" w:hAnsiTheme="majorHAnsi" w:cstheme="majorHAnsi"/>
          <w:b/>
          <w:bCs/>
          <w:color w:val="000000" w:themeColor="text1"/>
          <w:sz w:val="22"/>
          <w:szCs w:val="22"/>
          <w:lang w:eastAsia="ja-JP"/>
        </w:rPr>
        <w:t xml:space="preserve"> 5</w:t>
      </w:r>
      <w:r w:rsidR="00A95C51" w:rsidRPr="005E6B7C">
        <w:rPr>
          <w:rFonts w:asciiTheme="majorHAnsi" w:eastAsia="Times New Roman" w:hAnsiTheme="majorHAnsi" w:cstheme="majorHAnsi"/>
          <w:iCs/>
          <w:color w:val="000000" w:themeColor="text1"/>
          <w:sz w:val="22"/>
          <w:szCs w:val="22"/>
          <w:lang w:eastAsia="ja-JP"/>
        </w:rPr>
        <w:sym w:font="Symbol" w:char="F02D"/>
      </w:r>
      <w:r w:rsidRPr="005E6B7C">
        <w:rPr>
          <w:rFonts w:asciiTheme="majorHAnsi" w:eastAsia="Yu Mincho" w:hAnsiTheme="majorHAnsi" w:cstheme="majorHAnsi"/>
          <w:b/>
          <w:bCs/>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t xml:space="preserve"> were identified for the first time from </w:t>
      </w:r>
      <w:r w:rsidRPr="005E6B7C">
        <w:rPr>
          <w:rFonts w:asciiTheme="majorHAnsi" w:eastAsia="Yu Mincho" w:hAnsiTheme="majorHAnsi" w:cstheme="majorHAnsi"/>
          <w:bCs/>
          <w:iCs/>
          <w:color w:val="000000" w:themeColor="text1"/>
          <w:sz w:val="22"/>
          <w:szCs w:val="22"/>
          <w:lang w:eastAsia="ja-JP"/>
        </w:rPr>
        <w:t xml:space="preserve">this species, and compound </w:t>
      </w:r>
      <w:r w:rsidRPr="005E6B7C">
        <w:rPr>
          <w:rFonts w:asciiTheme="majorHAnsi" w:eastAsia="Yu Mincho" w:hAnsiTheme="majorHAnsi" w:cstheme="majorHAnsi"/>
          <w:b/>
          <w:bCs/>
          <w:iCs/>
          <w:color w:val="000000" w:themeColor="text1"/>
          <w:sz w:val="22"/>
          <w:szCs w:val="22"/>
          <w:lang w:eastAsia="ja-JP"/>
        </w:rPr>
        <w:t>1</w:t>
      </w:r>
      <w:r w:rsidRPr="005E6B7C">
        <w:rPr>
          <w:rFonts w:asciiTheme="majorHAnsi" w:eastAsia="Yu Mincho" w:hAnsiTheme="majorHAnsi" w:cstheme="majorHAnsi"/>
          <w:bCs/>
          <w:iCs/>
          <w:color w:val="000000" w:themeColor="text1"/>
          <w:sz w:val="22"/>
          <w:szCs w:val="22"/>
          <w:lang w:eastAsia="ja-JP"/>
        </w:rPr>
        <w:t xml:space="preserve"> was first reported from the </w:t>
      </w:r>
      <w:r w:rsidRPr="005E6B7C">
        <w:rPr>
          <w:rFonts w:asciiTheme="majorHAnsi" w:eastAsia="Yu Mincho" w:hAnsiTheme="majorHAnsi" w:cstheme="majorHAnsi"/>
          <w:bCs/>
          <w:i/>
          <w:iCs/>
          <w:color w:val="000000" w:themeColor="text1"/>
          <w:sz w:val="22"/>
          <w:szCs w:val="22"/>
          <w:lang w:eastAsia="ja-JP"/>
        </w:rPr>
        <w:t>Camellia</w:t>
      </w:r>
      <w:r w:rsidRPr="005E6B7C">
        <w:rPr>
          <w:rFonts w:asciiTheme="majorHAnsi" w:eastAsia="Yu Mincho" w:hAnsiTheme="majorHAnsi" w:cstheme="majorHAnsi"/>
          <w:bCs/>
          <w:iCs/>
          <w:color w:val="000000" w:themeColor="text1"/>
          <w:sz w:val="22"/>
          <w:szCs w:val="22"/>
          <w:lang w:eastAsia="ja-JP"/>
        </w:rPr>
        <w:t xml:space="preserve"> genus</w:t>
      </w:r>
      <w:r w:rsidRPr="005E6B7C">
        <w:rPr>
          <w:rFonts w:asciiTheme="majorHAnsi" w:eastAsia="Yu Mincho" w:hAnsiTheme="majorHAnsi" w:cstheme="majorHAnsi"/>
          <w:iCs/>
          <w:color w:val="000000" w:themeColor="text1"/>
          <w:sz w:val="22"/>
          <w:szCs w:val="22"/>
          <w:lang w:eastAsia="ja-JP"/>
        </w:rPr>
        <w:t>.</w:t>
      </w:r>
    </w:p>
    <w:p w14:paraId="41B321DD" w14:textId="77777777" w:rsidR="00FC534C" w:rsidRPr="005E6B7C" w:rsidRDefault="00E049CB" w:rsidP="008C0D47">
      <w:pPr>
        <w:tabs>
          <w:tab w:val="left" w:pos="270"/>
          <w:tab w:val="left" w:pos="9270"/>
        </w:tabs>
        <w:spacing w:line="258" w:lineRule="exact"/>
        <w:ind w:firstLine="284"/>
        <w:jc w:val="both"/>
        <w:rPr>
          <w:rFonts w:asciiTheme="majorHAnsi" w:eastAsia="Yu Mincho" w:hAnsiTheme="majorHAnsi" w:cstheme="majorHAnsi"/>
          <w:color w:val="000000" w:themeColor="text1"/>
          <w:sz w:val="20"/>
          <w:szCs w:val="20"/>
          <w:lang w:val="vi-VN" w:eastAsia="ja-JP"/>
        </w:rPr>
        <w:sectPr w:rsidR="00FC534C" w:rsidRPr="005E6B7C" w:rsidSect="00FC534C">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bCs/>
          <w:color w:val="000000" w:themeColor="text1"/>
          <w:sz w:val="20"/>
          <w:szCs w:val="20"/>
          <w:lang w:eastAsia="ja-JP"/>
        </w:rPr>
        <w:t>Acknowledgements</w:t>
      </w:r>
      <w:r w:rsidR="00B666AE" w:rsidRPr="005E6B7C">
        <w:rPr>
          <w:rFonts w:asciiTheme="majorHAnsi" w:eastAsia="Yu Mincho" w:hAnsiTheme="majorHAnsi" w:cstheme="majorHAnsi"/>
          <w:b/>
          <w:bCs/>
          <w:color w:val="000000" w:themeColor="text1"/>
          <w:sz w:val="20"/>
          <w:szCs w:val="20"/>
          <w:lang w:eastAsia="ja-JP"/>
        </w:rPr>
        <w:t>:</w:t>
      </w:r>
      <w:r w:rsidRPr="005E6B7C">
        <w:rPr>
          <w:rFonts w:asciiTheme="majorHAnsi" w:eastAsia="Yu Mincho" w:hAnsiTheme="majorHAnsi" w:cstheme="majorHAnsi"/>
          <w:b/>
          <w:bCs/>
          <w:color w:val="000000" w:themeColor="text1"/>
          <w:sz w:val="20"/>
          <w:szCs w:val="20"/>
          <w:lang w:eastAsia="ja-JP"/>
        </w:rPr>
        <w:t xml:space="preserve"> </w:t>
      </w:r>
      <w:r w:rsidRPr="005E6B7C">
        <w:rPr>
          <w:rFonts w:asciiTheme="majorHAnsi" w:eastAsia="Yu Mincho" w:hAnsiTheme="majorHAnsi" w:cstheme="majorHAnsi"/>
          <w:bCs/>
          <w:i/>
          <w:iCs/>
          <w:color w:val="000000" w:themeColor="text1"/>
          <w:sz w:val="20"/>
          <w:szCs w:val="20"/>
          <w:lang w:eastAsia="ja-JP"/>
        </w:rPr>
        <w:t>The study was funded by the Department of Science and Technology of Phu Tho Province</w:t>
      </w:r>
      <w:r w:rsidRPr="005E6B7C">
        <w:rPr>
          <w:rFonts w:asciiTheme="majorHAnsi" w:eastAsia="Yu Mincho" w:hAnsiTheme="majorHAnsi" w:cstheme="majorHAnsi"/>
          <w:color w:val="000000" w:themeColor="text1"/>
          <w:sz w:val="20"/>
          <w:szCs w:val="20"/>
          <w:lang w:val="vi-VN" w:eastAsia="ja-JP"/>
        </w:rPr>
        <w:t>.</w:t>
      </w:r>
    </w:p>
    <w:p w14:paraId="1026EBE9" w14:textId="77777777" w:rsidR="00DA00BD" w:rsidRPr="005E6B7C" w:rsidRDefault="00DA00BD" w:rsidP="008C0D47">
      <w:pPr>
        <w:tabs>
          <w:tab w:val="left" w:pos="270"/>
          <w:tab w:val="left" w:pos="360"/>
        </w:tabs>
        <w:ind w:right="-20"/>
        <w:jc w:val="center"/>
        <w:rPr>
          <w:rFonts w:asciiTheme="majorHAnsi" w:eastAsia="Yu Mincho" w:hAnsiTheme="majorHAnsi" w:cstheme="majorHAnsi"/>
          <w:b/>
          <w:color w:val="000000" w:themeColor="text1"/>
          <w:sz w:val="18"/>
          <w:szCs w:val="18"/>
          <w:lang w:eastAsia="ja-JP"/>
        </w:rPr>
      </w:pPr>
    </w:p>
    <w:p w14:paraId="40350E34" w14:textId="77777777" w:rsidR="00E049CB" w:rsidRPr="005E6B7C" w:rsidRDefault="00E049CB" w:rsidP="008C0D47">
      <w:pPr>
        <w:tabs>
          <w:tab w:val="left" w:pos="270"/>
          <w:tab w:val="left" w:pos="360"/>
        </w:tabs>
        <w:spacing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4E6EC272" w14:textId="77777777" w:rsidR="00E049CB" w:rsidRPr="005E6B7C" w:rsidRDefault="00B666AE" w:rsidP="008C0D47">
      <w:pPr>
        <w:tabs>
          <w:tab w:val="left" w:pos="270"/>
          <w:tab w:val="left" w:pos="360"/>
        </w:tabs>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t xml:space="preserve">1. </w:t>
      </w:r>
      <w:r w:rsidR="00E049CB" w:rsidRPr="005E6B7C">
        <w:rPr>
          <w:rFonts w:asciiTheme="majorHAnsi" w:eastAsia="Yu Mincho" w:hAnsiTheme="majorHAnsi" w:cstheme="majorHAnsi"/>
          <w:color w:val="000000" w:themeColor="text1"/>
          <w:sz w:val="18"/>
          <w:szCs w:val="18"/>
          <w:shd w:val="clear" w:color="auto" w:fill="FFFFFF"/>
          <w:lang w:eastAsia="ja-JP"/>
        </w:rPr>
        <w:t>Trinh T. D. (2022), Yellow camellias: a review of chemical constituents and biological activities, </w:t>
      </w:r>
      <w:r w:rsidR="00E049CB" w:rsidRPr="005E6B7C">
        <w:rPr>
          <w:rFonts w:asciiTheme="majorHAnsi" w:eastAsia="Yu Mincho" w:hAnsiTheme="majorHAnsi" w:cstheme="majorHAnsi"/>
          <w:i/>
          <w:iCs/>
          <w:color w:val="000000" w:themeColor="text1"/>
          <w:sz w:val="18"/>
          <w:szCs w:val="18"/>
          <w:shd w:val="clear" w:color="auto" w:fill="FFFFFF"/>
          <w:lang w:eastAsia="ja-JP"/>
        </w:rPr>
        <w:t>Dalat University Journal of Science</w:t>
      </w:r>
      <w:r w:rsidR="00E049CB" w:rsidRPr="005E6B7C">
        <w:rPr>
          <w:rFonts w:asciiTheme="majorHAnsi" w:eastAsia="Yu Mincho" w:hAnsiTheme="majorHAnsi" w:cstheme="majorHAnsi"/>
          <w:iCs/>
          <w:color w:val="000000" w:themeColor="text1"/>
          <w:sz w:val="18"/>
          <w:szCs w:val="18"/>
          <w:shd w:val="clear" w:color="auto" w:fill="FFFFFF"/>
          <w:lang w:eastAsia="ja-JP"/>
        </w:rPr>
        <w:t>,</w:t>
      </w:r>
      <w:r w:rsidR="00E049CB" w:rsidRPr="005E6B7C">
        <w:rPr>
          <w:rFonts w:asciiTheme="majorHAnsi" w:eastAsia="Yu Mincho" w:hAnsiTheme="majorHAnsi" w:cstheme="majorHAnsi"/>
          <w:color w:val="000000" w:themeColor="text1"/>
          <w:sz w:val="18"/>
          <w:szCs w:val="18"/>
          <w:shd w:val="clear" w:color="auto" w:fill="FFFFFF"/>
          <w:lang w:eastAsia="ja-JP"/>
        </w:rPr>
        <w:t xml:space="preserve"> 12(3), 117-144.</w:t>
      </w:r>
    </w:p>
    <w:p w14:paraId="0A267C4A" w14:textId="77777777" w:rsidR="005E0AAD" w:rsidRPr="005E6B7C" w:rsidRDefault="005E0AAD" w:rsidP="008C0D47">
      <w:pPr>
        <w:tabs>
          <w:tab w:val="left" w:pos="270"/>
          <w:tab w:val="left" w:pos="360"/>
        </w:tabs>
        <w:ind w:right="-23"/>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Le N. H. N., Luong V. D., Nguyen V. C., Pham T. T. D., Luu T. T., Pham V. T. (2020), An updated checklist of Theaceae and a new species of </w:t>
      </w:r>
      <w:r w:rsidRPr="005E6B7C">
        <w:rPr>
          <w:rFonts w:asciiTheme="majorHAnsi" w:eastAsia="Yu Mincho" w:hAnsiTheme="majorHAnsi" w:cstheme="majorHAnsi"/>
          <w:i/>
          <w:color w:val="000000" w:themeColor="text1"/>
          <w:sz w:val="18"/>
          <w:szCs w:val="18"/>
          <w:lang w:eastAsia="ja-JP"/>
        </w:rPr>
        <w:t xml:space="preserve">Polyspora </w:t>
      </w:r>
      <w:r w:rsidRPr="005E6B7C">
        <w:rPr>
          <w:rFonts w:asciiTheme="majorHAnsi" w:eastAsia="Yu Mincho" w:hAnsiTheme="majorHAnsi" w:cstheme="majorHAnsi"/>
          <w:color w:val="000000" w:themeColor="text1"/>
          <w:sz w:val="18"/>
          <w:szCs w:val="18"/>
          <w:lang w:eastAsia="ja-JP"/>
        </w:rPr>
        <w:t xml:space="preserve">from Vietnam. </w:t>
      </w:r>
      <w:r w:rsidRPr="005E6B7C">
        <w:rPr>
          <w:rFonts w:asciiTheme="majorHAnsi" w:eastAsia="Yu Mincho" w:hAnsiTheme="majorHAnsi" w:cstheme="majorHAnsi"/>
          <w:i/>
          <w:color w:val="000000" w:themeColor="text1"/>
          <w:sz w:val="18"/>
          <w:szCs w:val="18"/>
          <w:lang w:eastAsia="ja-JP"/>
        </w:rPr>
        <w:t>Taiwania</w:t>
      </w:r>
      <w:r w:rsidR="0044085B"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65(2), 216-227. </w:t>
      </w:r>
    </w:p>
    <w:p w14:paraId="017AD371" w14:textId="421D305A"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3. </w:t>
      </w:r>
      <w:r w:rsidR="00E049CB" w:rsidRPr="005E6B7C">
        <w:rPr>
          <w:rFonts w:asciiTheme="majorHAnsi" w:eastAsia="Yu Mincho" w:hAnsiTheme="majorHAnsi" w:cstheme="majorHAnsi"/>
          <w:color w:val="000000" w:themeColor="text1"/>
          <w:sz w:val="18"/>
          <w:szCs w:val="18"/>
          <w:lang w:eastAsia="ja-JP"/>
        </w:rPr>
        <w:t xml:space="preserve">He D., Li X., Sai X., Wang L., Li S., Xu Y. (2018), </w:t>
      </w:r>
      <w:r w:rsidR="00E049CB" w:rsidRPr="005E6B7C">
        <w:rPr>
          <w:rFonts w:asciiTheme="majorHAnsi" w:eastAsia="Yu Mincho" w:hAnsiTheme="majorHAnsi" w:cstheme="majorHAnsi"/>
          <w:i/>
          <w:iCs/>
          <w:color w:val="000000" w:themeColor="text1"/>
          <w:sz w:val="18"/>
          <w:szCs w:val="18"/>
          <w:lang w:eastAsia="ja-JP"/>
        </w:rPr>
        <w:t xml:space="preserve">Camellia nitidissima </w:t>
      </w:r>
      <w:r w:rsidR="00E049CB" w:rsidRPr="005E6B7C">
        <w:rPr>
          <w:rFonts w:asciiTheme="majorHAnsi" w:eastAsia="Yu Mincho" w:hAnsiTheme="majorHAnsi" w:cstheme="majorHAnsi"/>
          <w:color w:val="000000" w:themeColor="text1"/>
          <w:sz w:val="18"/>
          <w:szCs w:val="18"/>
          <w:lang w:eastAsia="ja-JP"/>
        </w:rPr>
        <w:t xml:space="preserve">C.W. Chi: A review of botany, chemistry, and pharmacology. </w:t>
      </w:r>
      <w:r w:rsidR="00E049CB" w:rsidRPr="005E6B7C">
        <w:rPr>
          <w:rFonts w:asciiTheme="majorHAnsi" w:eastAsia="Yu Mincho" w:hAnsiTheme="majorHAnsi" w:cstheme="majorHAnsi"/>
          <w:i/>
          <w:iCs/>
          <w:color w:val="000000" w:themeColor="text1"/>
          <w:sz w:val="18"/>
          <w:szCs w:val="18"/>
          <w:lang w:eastAsia="ja-JP"/>
        </w:rPr>
        <w:t>Phytochemistry Reviews</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17</w:t>
      </w:r>
      <w:r w:rsidR="00E049CB" w:rsidRPr="005E6B7C">
        <w:rPr>
          <w:rFonts w:asciiTheme="majorHAnsi" w:eastAsia="Yu Mincho" w:hAnsiTheme="majorHAnsi" w:cstheme="majorHAnsi"/>
          <w:color w:val="000000" w:themeColor="text1"/>
          <w:sz w:val="18"/>
          <w:szCs w:val="18"/>
          <w:lang w:eastAsia="ja-JP"/>
        </w:rPr>
        <w:t xml:space="preserve">(2), 327-349. </w:t>
      </w:r>
      <w:r w:rsidR="00E049CB" w:rsidRPr="005E6B7C">
        <w:rPr>
          <w:rFonts w:asciiTheme="majorHAnsi" w:eastAsia="Yu Mincho" w:hAnsiTheme="majorHAnsi" w:cstheme="majorHAnsi"/>
          <w:color w:val="000000" w:themeColor="text1"/>
          <w:sz w:val="18"/>
          <w:szCs w:val="18"/>
          <w:shd w:val="clear" w:color="auto" w:fill="FFFFFF"/>
          <w:lang w:eastAsia="ja-JP"/>
        </w:rPr>
        <w:t xml:space="preserve"> </w:t>
      </w:r>
    </w:p>
    <w:p w14:paraId="600E3E23" w14:textId="0F020CD1"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lastRenderedPageBreak/>
        <w:t xml:space="preserve">4. </w:t>
      </w:r>
      <w:r w:rsidR="00E049CB" w:rsidRPr="005E6B7C">
        <w:rPr>
          <w:rFonts w:asciiTheme="majorHAnsi" w:eastAsia="Yu Mincho" w:hAnsiTheme="majorHAnsi" w:cstheme="majorHAnsi"/>
          <w:color w:val="000000" w:themeColor="text1"/>
          <w:sz w:val="18"/>
          <w:szCs w:val="18"/>
          <w:shd w:val="clear" w:color="auto" w:fill="FFFFFF"/>
          <w:lang w:eastAsia="ja-JP"/>
        </w:rPr>
        <w:t xml:space="preserve">Nhut T. M., My N. H. T., Tuan N. D., Thuy N. H. L. (2024), Chemical composition and potential cytotoxic mechanisms of </w:t>
      </w:r>
      <w:r w:rsidR="00E049CB" w:rsidRPr="005E6B7C">
        <w:rPr>
          <w:rFonts w:asciiTheme="majorHAnsi" w:eastAsia="Yu Mincho" w:hAnsiTheme="majorHAnsi" w:cstheme="majorHAnsi"/>
          <w:i/>
          <w:iCs/>
          <w:color w:val="000000" w:themeColor="text1"/>
          <w:sz w:val="18"/>
          <w:szCs w:val="18"/>
          <w:shd w:val="clear" w:color="auto" w:fill="FFFFFF"/>
          <w:lang w:eastAsia="ja-JP"/>
        </w:rPr>
        <w:t>Camellia flava</w:t>
      </w:r>
      <w:r w:rsidR="00E049CB" w:rsidRPr="005E6B7C">
        <w:rPr>
          <w:rFonts w:asciiTheme="majorHAnsi" w:eastAsia="Yu Mincho" w:hAnsiTheme="majorHAnsi" w:cstheme="majorHAnsi"/>
          <w:color w:val="000000" w:themeColor="text1"/>
          <w:sz w:val="18"/>
          <w:szCs w:val="18"/>
          <w:shd w:val="clear" w:color="auto" w:fill="FFFFFF"/>
          <w:lang w:eastAsia="ja-JP"/>
        </w:rPr>
        <w:t xml:space="preserve"> (Pitard) Sealy leaves. </w:t>
      </w:r>
      <w:r w:rsidR="00E049CB" w:rsidRPr="005E6B7C">
        <w:rPr>
          <w:rFonts w:asciiTheme="majorHAnsi" w:eastAsia="Yu Mincho" w:hAnsiTheme="majorHAnsi" w:cstheme="majorHAnsi"/>
          <w:i/>
          <w:iCs/>
          <w:color w:val="000000" w:themeColor="text1"/>
          <w:sz w:val="18"/>
          <w:szCs w:val="18"/>
          <w:shd w:val="clear" w:color="auto" w:fill="FFFFFF"/>
          <w:lang w:eastAsia="ja-JP"/>
        </w:rPr>
        <w:t>Pharmaceutical Sciences Asia</w:t>
      </w:r>
      <w:r w:rsidR="007A051F" w:rsidRPr="005E6B7C">
        <w:rPr>
          <w:rFonts w:asciiTheme="majorHAnsi" w:eastAsia="Yu Mincho" w:hAnsiTheme="majorHAnsi" w:cstheme="majorHAnsi"/>
          <w:iCs/>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shd w:val="clear" w:color="auto" w:fill="FFFFFF"/>
          <w:lang w:eastAsia="ja-JP"/>
        </w:rPr>
        <w:t>51</w:t>
      </w:r>
      <w:r w:rsidR="00E049CB" w:rsidRPr="005E6B7C">
        <w:rPr>
          <w:rFonts w:asciiTheme="majorHAnsi" w:eastAsia="Yu Mincho" w:hAnsiTheme="majorHAnsi" w:cstheme="majorHAnsi"/>
          <w:color w:val="000000" w:themeColor="text1"/>
          <w:sz w:val="18"/>
          <w:szCs w:val="18"/>
          <w:shd w:val="clear" w:color="auto" w:fill="FFFFFF"/>
          <w:lang w:eastAsia="ja-JP"/>
        </w:rPr>
        <w:t>(3), 282.</w:t>
      </w:r>
    </w:p>
    <w:p w14:paraId="1D72A560" w14:textId="561F0F46"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5. </w:t>
      </w:r>
      <w:r w:rsidR="00E049CB" w:rsidRPr="005E6B7C">
        <w:rPr>
          <w:rFonts w:asciiTheme="majorHAnsi" w:eastAsia="Yu Mincho" w:hAnsiTheme="majorHAnsi" w:cstheme="majorHAnsi"/>
          <w:color w:val="000000" w:themeColor="text1"/>
          <w:sz w:val="18"/>
          <w:szCs w:val="18"/>
          <w:lang w:eastAsia="ja-JP"/>
        </w:rPr>
        <w:t>Nguyen Q. T., Nguyen H. L. T., Ha T. T. P, Khuu M. H., Truong M. N., Truong V. D., Mai H. N. (2023), Evaluate acute toxicity and hypoglycemic effect of Golden Camellia flower extract (</w:t>
      </w:r>
      <w:r w:rsidR="00E049CB" w:rsidRPr="005E6B7C">
        <w:rPr>
          <w:rFonts w:asciiTheme="majorHAnsi" w:eastAsia="Yu Mincho" w:hAnsiTheme="majorHAnsi" w:cstheme="majorHAnsi"/>
          <w:i/>
          <w:color w:val="000000" w:themeColor="text1"/>
          <w:sz w:val="18"/>
          <w:szCs w:val="18"/>
          <w:lang w:eastAsia="ja-JP"/>
        </w:rPr>
        <w:t>Camellia flava</w:t>
      </w:r>
      <w:r w:rsidR="00E049CB" w:rsidRPr="005E6B7C">
        <w:rPr>
          <w:rFonts w:asciiTheme="majorHAnsi" w:eastAsia="Yu Mincho" w:hAnsiTheme="majorHAnsi" w:cstheme="majorHAnsi"/>
          <w:color w:val="000000" w:themeColor="text1"/>
          <w:sz w:val="18"/>
          <w:szCs w:val="18"/>
          <w:lang w:eastAsia="ja-JP"/>
        </w:rPr>
        <w:t xml:space="preserve">) on alloxan-induced diabetic model. </w:t>
      </w:r>
      <w:r w:rsidR="00E049CB" w:rsidRPr="005E6B7C">
        <w:rPr>
          <w:rFonts w:asciiTheme="majorHAnsi" w:eastAsia="Yu Mincho" w:hAnsiTheme="majorHAnsi" w:cstheme="majorHAnsi"/>
          <w:i/>
          <w:iCs/>
          <w:color w:val="000000" w:themeColor="text1"/>
          <w:sz w:val="18"/>
          <w:szCs w:val="18"/>
          <w:lang w:eastAsia="ja-JP"/>
        </w:rPr>
        <w:t>Vietnam Medical Journal</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 xml:space="preserve">527, 316-319. </w:t>
      </w:r>
    </w:p>
    <w:p w14:paraId="523F1EF4" w14:textId="16484D35"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t xml:space="preserve">6. </w:t>
      </w:r>
      <w:r w:rsidR="00E049CB" w:rsidRPr="005E6B7C">
        <w:rPr>
          <w:rFonts w:asciiTheme="majorHAnsi" w:eastAsia="Yu Mincho" w:hAnsiTheme="majorHAnsi" w:cstheme="majorHAnsi"/>
          <w:color w:val="000000" w:themeColor="text1"/>
          <w:sz w:val="18"/>
          <w:szCs w:val="18"/>
          <w:shd w:val="clear" w:color="auto" w:fill="FFFFFF"/>
          <w:lang w:eastAsia="ja-JP"/>
        </w:rPr>
        <w:t xml:space="preserve">Nguyen H. L., Thuy H., Phuong T. T., Nguyen N. P., Nguyen P., Linh N. H., Mai H. N. (2024), Effect of </w:t>
      </w:r>
      <w:r w:rsidR="00E049CB" w:rsidRPr="005E6B7C">
        <w:rPr>
          <w:rFonts w:asciiTheme="majorHAnsi" w:eastAsia="Yu Mincho" w:hAnsiTheme="majorHAnsi" w:cstheme="majorHAnsi"/>
          <w:i/>
          <w:iCs/>
          <w:color w:val="000000" w:themeColor="text1"/>
          <w:sz w:val="18"/>
          <w:szCs w:val="18"/>
          <w:shd w:val="clear" w:color="auto" w:fill="FFFFFF"/>
          <w:lang w:eastAsia="ja-JP"/>
        </w:rPr>
        <w:t>Camellia flava</w:t>
      </w:r>
      <w:r w:rsidR="00E049CB" w:rsidRPr="005E6B7C">
        <w:rPr>
          <w:rFonts w:asciiTheme="majorHAnsi" w:eastAsia="Yu Mincho" w:hAnsiTheme="majorHAnsi" w:cstheme="majorHAnsi"/>
          <w:color w:val="000000" w:themeColor="text1"/>
          <w:sz w:val="18"/>
          <w:szCs w:val="18"/>
          <w:shd w:val="clear" w:color="auto" w:fill="FFFFFF"/>
          <w:lang w:eastAsia="ja-JP"/>
        </w:rPr>
        <w:t xml:space="preserve"> (Pitard) Sealy flower extract on the degeneration of Islets of Langerhans and insulin resistance in alloxan-induced hyperglycemia model on </w:t>
      </w:r>
      <w:r w:rsidR="00E049CB" w:rsidRPr="005E6B7C">
        <w:rPr>
          <w:rFonts w:asciiTheme="majorHAnsi" w:eastAsia="Yu Mincho" w:hAnsiTheme="majorHAnsi" w:cstheme="majorHAnsi"/>
          <w:i/>
          <w:color w:val="000000" w:themeColor="text1"/>
          <w:sz w:val="18"/>
          <w:szCs w:val="18"/>
          <w:shd w:val="clear" w:color="auto" w:fill="FFFFFF"/>
          <w:lang w:eastAsia="ja-JP"/>
        </w:rPr>
        <w:t>Swiss albino</w:t>
      </w:r>
      <w:r w:rsidR="00E049CB" w:rsidRPr="005E6B7C">
        <w:rPr>
          <w:rFonts w:asciiTheme="majorHAnsi" w:eastAsia="Yu Mincho" w:hAnsiTheme="majorHAnsi" w:cstheme="majorHAnsi"/>
          <w:color w:val="000000" w:themeColor="text1"/>
          <w:sz w:val="18"/>
          <w:szCs w:val="18"/>
          <w:shd w:val="clear" w:color="auto" w:fill="FFFFFF"/>
          <w:lang w:eastAsia="ja-JP"/>
        </w:rPr>
        <w:t xml:space="preserve"> mice</w:t>
      </w:r>
      <w:r w:rsidR="00E049CB" w:rsidRPr="005E6B7C">
        <w:rPr>
          <w:rFonts w:asciiTheme="majorHAnsi" w:eastAsia="Yu Mincho" w:hAnsiTheme="majorHAnsi" w:cstheme="majorHAnsi"/>
          <w:i/>
          <w:iCs/>
          <w:color w:val="000000" w:themeColor="text1"/>
          <w:sz w:val="18"/>
          <w:szCs w:val="18"/>
          <w:shd w:val="clear" w:color="auto" w:fill="FFFFFF"/>
          <w:lang w:eastAsia="ja-JP"/>
        </w:rPr>
        <w:t>. Pharmacia</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shd w:val="clear" w:color="auto" w:fill="FFFFFF"/>
          <w:lang w:eastAsia="ja-JP"/>
        </w:rPr>
        <w:t>71, 1–15.</w:t>
      </w:r>
    </w:p>
    <w:p w14:paraId="5A9350A1" w14:textId="08EE0A2F"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iCs/>
          <w:color w:val="000000" w:themeColor="text1"/>
          <w:sz w:val="18"/>
          <w:szCs w:val="18"/>
          <w:lang w:eastAsia="ja-JP"/>
        </w:rPr>
        <w:t xml:space="preserve">7. </w:t>
      </w:r>
      <w:r w:rsidR="00E049CB" w:rsidRPr="005E6B7C">
        <w:rPr>
          <w:rFonts w:asciiTheme="majorHAnsi" w:eastAsia="Yu Mincho" w:hAnsiTheme="majorHAnsi" w:cstheme="majorHAnsi"/>
          <w:iCs/>
          <w:color w:val="000000" w:themeColor="text1"/>
          <w:sz w:val="18"/>
          <w:szCs w:val="18"/>
          <w:lang w:eastAsia="ja-JP"/>
        </w:rPr>
        <w:t xml:space="preserve">Nguyen H. L T., Khuu M. H., Nguyen H. K., Truong M. N., Nguyen T. B., Mai H. N. (2024), Evaluate the ameliorative effect of </w:t>
      </w:r>
      <w:r w:rsidR="00E049CB" w:rsidRPr="005E6B7C">
        <w:rPr>
          <w:rFonts w:asciiTheme="majorHAnsi" w:eastAsia="Yu Mincho" w:hAnsiTheme="majorHAnsi" w:cstheme="majorHAnsi"/>
          <w:i/>
          <w:iCs/>
          <w:color w:val="000000" w:themeColor="text1"/>
          <w:sz w:val="18"/>
          <w:szCs w:val="18"/>
          <w:lang w:eastAsia="ja-JP"/>
        </w:rPr>
        <w:t>Camellia flava</w:t>
      </w:r>
      <w:r w:rsidR="00E049CB" w:rsidRPr="005E6B7C">
        <w:rPr>
          <w:rFonts w:asciiTheme="majorHAnsi" w:eastAsia="Yu Mincho" w:hAnsiTheme="majorHAnsi" w:cstheme="majorHAnsi"/>
          <w:color w:val="000000" w:themeColor="text1"/>
          <w:sz w:val="18"/>
          <w:szCs w:val="18"/>
          <w:lang w:eastAsia="ja-JP"/>
        </w:rPr>
        <w:t xml:space="preserve"> leaf and flower extract on high-fat diet-induced obesity on Swiss albino mice, </w:t>
      </w:r>
      <w:r w:rsidR="00E049CB" w:rsidRPr="005E6B7C">
        <w:rPr>
          <w:rFonts w:asciiTheme="majorHAnsi" w:eastAsia="Yu Mincho" w:hAnsiTheme="majorHAnsi" w:cstheme="majorHAnsi"/>
          <w:i/>
          <w:iCs/>
          <w:color w:val="000000" w:themeColor="text1"/>
          <w:sz w:val="18"/>
          <w:szCs w:val="18"/>
          <w:lang w:eastAsia="ja-JP"/>
        </w:rPr>
        <w:t>Vietnam Medical Journal</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543, 212-216.</w:t>
      </w:r>
    </w:p>
    <w:p w14:paraId="60891018" w14:textId="4717FDDA"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8. </w:t>
      </w:r>
      <w:r w:rsidR="00E049CB" w:rsidRPr="005E6B7C">
        <w:rPr>
          <w:rFonts w:asciiTheme="majorHAnsi" w:eastAsia="Yu Mincho" w:hAnsiTheme="majorHAnsi" w:cstheme="majorHAnsi"/>
          <w:color w:val="000000" w:themeColor="text1"/>
          <w:sz w:val="18"/>
          <w:szCs w:val="18"/>
          <w:lang w:eastAsia="ja-JP"/>
        </w:rPr>
        <w:t xml:space="preserve">Truong M. N. Nguyen-Hoang T. M., Nguyen H. L. T. (2022), Identification, chemical determination and evaluation bioactivities of </w:t>
      </w:r>
      <w:r w:rsidR="00E049CB" w:rsidRPr="005E6B7C">
        <w:rPr>
          <w:rFonts w:asciiTheme="majorHAnsi" w:eastAsia="Yu Mincho" w:hAnsiTheme="majorHAnsi" w:cstheme="majorHAnsi"/>
          <w:i/>
          <w:iCs/>
          <w:color w:val="000000" w:themeColor="text1"/>
          <w:sz w:val="18"/>
          <w:szCs w:val="18"/>
          <w:lang w:eastAsia="ja-JP"/>
        </w:rPr>
        <w:t>Camellia flava</w:t>
      </w:r>
      <w:r w:rsidR="00E049CB" w:rsidRPr="005E6B7C">
        <w:rPr>
          <w:rFonts w:asciiTheme="majorHAnsi" w:eastAsia="Yu Mincho" w:hAnsiTheme="majorHAnsi" w:cstheme="majorHAnsi"/>
          <w:color w:val="000000" w:themeColor="text1"/>
          <w:sz w:val="18"/>
          <w:szCs w:val="18"/>
          <w:lang w:eastAsia="ja-JP"/>
        </w:rPr>
        <w:t xml:space="preserve"> in Tay Nguyen. </w:t>
      </w:r>
      <w:r w:rsidR="00E049CB" w:rsidRPr="005E6B7C">
        <w:rPr>
          <w:rFonts w:asciiTheme="majorHAnsi" w:eastAsia="Yu Mincho" w:hAnsiTheme="majorHAnsi" w:cstheme="majorHAnsi"/>
          <w:i/>
          <w:iCs/>
          <w:color w:val="000000" w:themeColor="text1"/>
          <w:sz w:val="18"/>
          <w:szCs w:val="18"/>
          <w:lang w:eastAsia="ja-JP"/>
        </w:rPr>
        <w:t>Journal of Drug Quality Control</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20, 12–18.</w:t>
      </w:r>
    </w:p>
    <w:p w14:paraId="053B603C" w14:textId="77777777" w:rsidR="005E0AAD"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t>9.</w:t>
      </w:r>
      <w:r w:rsidRPr="005E6B7C">
        <w:rPr>
          <w:rFonts w:asciiTheme="majorHAnsi" w:eastAsia="Yu Mincho" w:hAnsiTheme="majorHAnsi" w:cstheme="majorHAnsi"/>
          <w:color w:val="000000" w:themeColor="text1"/>
          <w:sz w:val="18"/>
          <w:szCs w:val="18"/>
          <w:shd w:val="clear" w:color="auto" w:fill="FFFFFF"/>
          <w:lang w:eastAsia="ja-JP"/>
        </w:rPr>
        <w:t xml:space="preserve"> Pham T. T., Nguyen D. T., Nguyen T. H., Nguyen H. T., Do T. H. (2019), Các hợp chất phenolic từ lá Trà Hoa vàng Cúc Phương (</w:t>
      </w:r>
      <w:r w:rsidRPr="005E6B7C">
        <w:rPr>
          <w:rFonts w:asciiTheme="majorHAnsi" w:eastAsia="Yu Mincho" w:hAnsiTheme="majorHAnsi" w:cstheme="majorHAnsi"/>
          <w:i/>
          <w:color w:val="000000" w:themeColor="text1"/>
          <w:sz w:val="18"/>
          <w:szCs w:val="18"/>
          <w:shd w:val="clear" w:color="auto" w:fill="FFFFFF"/>
          <w:lang w:eastAsia="ja-JP"/>
        </w:rPr>
        <w:t>Camellia cucphuongensis</w:t>
      </w:r>
      <w:r w:rsidRPr="005E6B7C">
        <w:rPr>
          <w:rFonts w:asciiTheme="majorHAnsi" w:eastAsia="Yu Mincho" w:hAnsiTheme="majorHAnsi" w:cstheme="majorHAnsi"/>
          <w:color w:val="000000" w:themeColor="text1"/>
          <w:sz w:val="18"/>
          <w:szCs w:val="18"/>
          <w:shd w:val="clear" w:color="auto" w:fill="FFFFFF"/>
          <w:lang w:eastAsia="ja-JP"/>
        </w:rPr>
        <w:t xml:space="preserve">) [Phenolic compounds from the leaves of </w:t>
      </w:r>
      <w:r w:rsidRPr="005E6B7C">
        <w:rPr>
          <w:rFonts w:asciiTheme="majorHAnsi" w:eastAsia="Yu Mincho" w:hAnsiTheme="majorHAnsi" w:cstheme="majorHAnsi"/>
          <w:i/>
          <w:color w:val="000000" w:themeColor="text1"/>
          <w:sz w:val="18"/>
          <w:szCs w:val="18"/>
          <w:shd w:val="clear" w:color="auto" w:fill="FFFFFF"/>
          <w:lang w:eastAsia="ja-JP"/>
        </w:rPr>
        <w:t>Camellia cucphuongensis</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i/>
          <w:color w:val="000000" w:themeColor="text1"/>
          <w:sz w:val="18"/>
          <w:szCs w:val="18"/>
          <w:shd w:val="clear" w:color="auto" w:fill="FFFFFF"/>
          <w:lang w:eastAsia="ja-JP"/>
        </w:rPr>
        <w:t>Tạp chí Nghiên cứu Dược và Thông tin thuốc</w:t>
      </w:r>
      <w:r w:rsidRPr="005E6B7C">
        <w:rPr>
          <w:rFonts w:asciiTheme="majorHAnsi" w:eastAsia="Yu Mincho" w:hAnsiTheme="majorHAnsi" w:cstheme="majorHAnsi"/>
          <w:color w:val="000000" w:themeColor="text1"/>
          <w:sz w:val="18"/>
          <w:szCs w:val="18"/>
          <w:shd w:val="clear" w:color="auto" w:fill="FFFFFF"/>
          <w:lang w:eastAsia="ja-JP"/>
        </w:rPr>
        <w:t>, 10(4+5+6), 16-20.</w:t>
      </w:r>
    </w:p>
    <w:p w14:paraId="51E78668" w14:textId="0B8BB43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10. </w:t>
      </w:r>
      <w:r w:rsidR="00E049CB" w:rsidRPr="005E6B7C">
        <w:rPr>
          <w:rFonts w:asciiTheme="majorHAnsi" w:eastAsia="Yu Mincho" w:hAnsiTheme="majorHAnsi" w:cstheme="majorHAnsi"/>
          <w:color w:val="000000" w:themeColor="text1"/>
          <w:sz w:val="18"/>
          <w:szCs w:val="18"/>
          <w:lang w:eastAsia="ja-JP"/>
        </w:rPr>
        <w:t>Ndukwe G. I., Zhao Y. (2007), Pharmacological activity of 2,3,8-tri-</w:t>
      </w:r>
      <w:r w:rsidR="00E049CB" w:rsidRPr="005E6B7C">
        <w:rPr>
          <w:rFonts w:asciiTheme="majorHAnsi" w:eastAsia="Yu Mincho" w:hAnsiTheme="majorHAnsi" w:cstheme="majorHAnsi"/>
          <w:i/>
          <w:iCs/>
          <w:color w:val="000000" w:themeColor="text1"/>
          <w:sz w:val="18"/>
          <w:szCs w:val="18"/>
          <w:lang w:eastAsia="ja-JP"/>
        </w:rPr>
        <w:t>O</w:t>
      </w:r>
      <w:r w:rsidR="00E049CB" w:rsidRPr="005E6B7C">
        <w:rPr>
          <w:rFonts w:asciiTheme="majorHAnsi" w:eastAsia="Yu Mincho" w:hAnsiTheme="majorHAnsi" w:cstheme="majorHAnsi"/>
          <w:color w:val="000000" w:themeColor="text1"/>
          <w:sz w:val="18"/>
          <w:szCs w:val="18"/>
          <w:lang w:eastAsia="ja-JP"/>
        </w:rPr>
        <w:t xml:space="preserve">-methyl ellagic acid isolated from the stem bark of </w:t>
      </w:r>
      <w:r w:rsidR="00E049CB" w:rsidRPr="005E6B7C">
        <w:rPr>
          <w:rFonts w:asciiTheme="majorHAnsi" w:eastAsia="Yu Mincho" w:hAnsiTheme="majorHAnsi" w:cstheme="majorHAnsi"/>
          <w:i/>
          <w:color w:val="000000" w:themeColor="text1"/>
          <w:sz w:val="18"/>
          <w:szCs w:val="18"/>
          <w:lang w:eastAsia="ja-JP"/>
        </w:rPr>
        <w:t>Irvingia gabonensis</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
          <w:color w:val="000000" w:themeColor="text1"/>
          <w:sz w:val="18"/>
          <w:szCs w:val="18"/>
          <w:lang w:eastAsia="ja-JP"/>
        </w:rPr>
        <w:t>African Journal of Biotechnology</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6(16),</w:t>
      </w:r>
      <w:r w:rsidR="00E049CB" w:rsidRPr="005E6B7C">
        <w:rPr>
          <w:rFonts w:asciiTheme="majorHAnsi" w:eastAsia="Yu Mincho" w:hAnsiTheme="majorHAnsi" w:cstheme="majorHAnsi"/>
          <w:color w:val="000000" w:themeColor="text1"/>
          <w:sz w:val="18"/>
          <w:szCs w:val="18"/>
          <w:lang w:eastAsia="ja-JP"/>
        </w:rPr>
        <w:t xml:space="preserve"> 1910-1912.</w:t>
      </w:r>
    </w:p>
    <w:p w14:paraId="3A1C2EDB" w14:textId="0D22C60B"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11. </w:t>
      </w:r>
      <w:r w:rsidR="00E049CB" w:rsidRPr="005E6B7C">
        <w:rPr>
          <w:rFonts w:asciiTheme="majorHAnsi" w:eastAsia="Yu Mincho" w:hAnsiTheme="majorHAnsi" w:cstheme="majorHAnsi"/>
          <w:color w:val="000000" w:themeColor="text1"/>
          <w:sz w:val="18"/>
          <w:szCs w:val="18"/>
          <w:lang w:eastAsia="ja-JP"/>
        </w:rPr>
        <w:t xml:space="preserve">Shao P., Dong S., Mu L. T., Han L., Lv C. N., Yuan J. Z., Lu J. C. (2024), Two new anti-inflammatory compounds from the roots and rhizomes of </w:t>
      </w:r>
      <w:r w:rsidR="00E049CB" w:rsidRPr="005E6B7C">
        <w:rPr>
          <w:rFonts w:asciiTheme="majorHAnsi" w:eastAsia="Yu Mincho" w:hAnsiTheme="majorHAnsi" w:cstheme="majorHAnsi"/>
          <w:i/>
          <w:color w:val="000000" w:themeColor="text1"/>
          <w:sz w:val="18"/>
          <w:szCs w:val="18"/>
          <w:lang w:eastAsia="ja-JP"/>
        </w:rPr>
        <w:t>Clematis terniflora</w:t>
      </w:r>
      <w:r w:rsidR="00E049CB" w:rsidRPr="005E6B7C">
        <w:rPr>
          <w:rFonts w:asciiTheme="majorHAnsi" w:eastAsia="Yu Mincho" w:hAnsiTheme="majorHAnsi" w:cstheme="majorHAnsi"/>
          <w:color w:val="000000" w:themeColor="text1"/>
          <w:sz w:val="18"/>
          <w:szCs w:val="18"/>
          <w:lang w:eastAsia="ja-JP"/>
        </w:rPr>
        <w:t xml:space="preserve"> var. </w:t>
      </w:r>
      <w:r w:rsidR="00E049CB" w:rsidRPr="005E6B7C">
        <w:rPr>
          <w:rFonts w:asciiTheme="majorHAnsi" w:eastAsia="Yu Mincho" w:hAnsiTheme="majorHAnsi" w:cstheme="majorHAnsi"/>
          <w:i/>
          <w:color w:val="000000" w:themeColor="text1"/>
          <w:sz w:val="18"/>
          <w:szCs w:val="18"/>
          <w:lang w:eastAsia="ja-JP"/>
        </w:rPr>
        <w:t>manshurica</w:t>
      </w:r>
      <w:r w:rsidR="00E049CB" w:rsidRPr="005E6B7C">
        <w:rPr>
          <w:rFonts w:asciiTheme="majorHAnsi" w:eastAsia="Yu Mincho" w:hAnsiTheme="majorHAnsi" w:cstheme="majorHAnsi"/>
          <w:color w:val="000000" w:themeColor="text1"/>
          <w:sz w:val="18"/>
          <w:szCs w:val="18"/>
          <w:lang w:eastAsia="ja-JP"/>
        </w:rPr>
        <w:t xml:space="preserve"> (Rupr.) Ohwi. </w:t>
      </w:r>
      <w:r w:rsidR="00E049CB" w:rsidRPr="005E6B7C">
        <w:rPr>
          <w:rFonts w:asciiTheme="majorHAnsi" w:eastAsia="Yu Mincho" w:hAnsiTheme="majorHAnsi" w:cstheme="majorHAnsi"/>
          <w:i/>
          <w:iCs/>
          <w:color w:val="000000" w:themeColor="text1"/>
          <w:sz w:val="18"/>
          <w:szCs w:val="18"/>
          <w:lang w:eastAsia="ja-JP"/>
        </w:rPr>
        <w:t>Natural Product Research</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38</w:t>
      </w:r>
      <w:r w:rsidR="00E049CB" w:rsidRPr="005E6B7C">
        <w:rPr>
          <w:rFonts w:asciiTheme="majorHAnsi" w:eastAsia="Yu Mincho" w:hAnsiTheme="majorHAnsi" w:cstheme="majorHAnsi"/>
          <w:color w:val="000000" w:themeColor="text1"/>
          <w:sz w:val="18"/>
          <w:szCs w:val="18"/>
          <w:lang w:eastAsia="ja-JP"/>
        </w:rPr>
        <w:t>(11), 1874-1881.</w:t>
      </w:r>
    </w:p>
    <w:p w14:paraId="663E50B0" w14:textId="13A8AF71"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12. </w:t>
      </w:r>
      <w:r w:rsidR="00E049CB" w:rsidRPr="005E6B7C">
        <w:rPr>
          <w:rFonts w:asciiTheme="majorHAnsi" w:eastAsia="Yu Mincho" w:hAnsiTheme="majorHAnsi" w:cstheme="majorHAnsi"/>
          <w:color w:val="000000" w:themeColor="text1"/>
          <w:sz w:val="18"/>
          <w:szCs w:val="18"/>
          <w:lang w:eastAsia="ja-JP"/>
        </w:rPr>
        <w:t xml:space="preserve">Yang Z., Wang Y., Wang Y., Zhang Y. (2012), Bioassay-guided screening and isolation of </w:t>
      </w:r>
      <w:r w:rsidR="00E049CB" w:rsidRPr="005E6B7C">
        <w:rPr>
          <w:rFonts w:asciiTheme="majorHAnsi" w:eastAsia="Yu Mincho" w:hAnsiTheme="majorHAnsi" w:cstheme="majorHAnsi"/>
          <w:i/>
          <w:color w:val="000000" w:themeColor="text1"/>
          <w:sz w:val="18"/>
          <w:szCs w:val="18"/>
          <w:lang w:eastAsia="ja-JP"/>
        </w:rPr>
        <w:t>α</w:t>
      </w:r>
      <w:r w:rsidR="00E049CB" w:rsidRPr="005E6B7C">
        <w:rPr>
          <w:rFonts w:asciiTheme="majorHAnsi" w:eastAsia="Yu Mincho" w:hAnsiTheme="majorHAnsi" w:cstheme="majorHAnsi"/>
          <w:color w:val="000000" w:themeColor="text1"/>
          <w:sz w:val="18"/>
          <w:szCs w:val="18"/>
          <w:lang w:eastAsia="ja-JP"/>
        </w:rPr>
        <w:t xml:space="preserve">-glucosidase and tyrosinase inhibitors from leaves of </w:t>
      </w:r>
      <w:r w:rsidR="00E049CB" w:rsidRPr="005E6B7C">
        <w:rPr>
          <w:rFonts w:asciiTheme="majorHAnsi" w:eastAsia="Yu Mincho" w:hAnsiTheme="majorHAnsi" w:cstheme="majorHAnsi"/>
          <w:i/>
          <w:color w:val="000000" w:themeColor="text1"/>
          <w:sz w:val="18"/>
          <w:szCs w:val="18"/>
          <w:lang w:eastAsia="ja-JP"/>
        </w:rPr>
        <w:t>Morus alba</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
          <w:iCs/>
          <w:color w:val="000000" w:themeColor="text1"/>
          <w:sz w:val="18"/>
          <w:szCs w:val="18"/>
          <w:lang w:eastAsia="ja-JP"/>
        </w:rPr>
        <w:t xml:space="preserve">Food </w:t>
      </w:r>
      <w:r w:rsidR="009D0AA6" w:rsidRPr="005E6B7C">
        <w:rPr>
          <w:rFonts w:asciiTheme="majorHAnsi" w:eastAsia="Yu Mincho" w:hAnsiTheme="majorHAnsi" w:cstheme="majorHAnsi"/>
          <w:i/>
          <w:iCs/>
          <w:color w:val="000000" w:themeColor="text1"/>
          <w:sz w:val="18"/>
          <w:szCs w:val="18"/>
          <w:lang w:eastAsia="ja-JP"/>
        </w:rPr>
        <w:t>C</w:t>
      </w:r>
      <w:r w:rsidR="00E049CB" w:rsidRPr="005E6B7C">
        <w:rPr>
          <w:rFonts w:asciiTheme="majorHAnsi" w:eastAsia="Yu Mincho" w:hAnsiTheme="majorHAnsi" w:cstheme="majorHAnsi"/>
          <w:i/>
          <w:iCs/>
          <w:color w:val="000000" w:themeColor="text1"/>
          <w:sz w:val="18"/>
          <w:szCs w:val="18"/>
          <w:lang w:eastAsia="ja-JP"/>
        </w:rPr>
        <w:t>hemistry</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FF0000"/>
          <w:sz w:val="18"/>
          <w:szCs w:val="18"/>
          <w:lang w:eastAsia="ja-JP"/>
        </w:rPr>
        <w:t>131</w:t>
      </w:r>
      <w:r w:rsidR="00E049CB" w:rsidRPr="005E6B7C">
        <w:rPr>
          <w:rFonts w:asciiTheme="majorHAnsi" w:eastAsia="Yu Mincho" w:hAnsiTheme="majorHAnsi" w:cstheme="majorHAnsi"/>
          <w:color w:val="000000" w:themeColor="text1"/>
          <w:sz w:val="18"/>
          <w:szCs w:val="18"/>
          <w:lang w:eastAsia="ja-JP"/>
        </w:rPr>
        <w:t>(2), 617-625.</w:t>
      </w:r>
    </w:p>
    <w:p w14:paraId="7FAA5490" w14:textId="0EF50898"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val="fr-FR" w:eastAsia="ja-JP"/>
        </w:rPr>
      </w:pPr>
      <w:r w:rsidRPr="005E6B7C">
        <w:rPr>
          <w:rFonts w:asciiTheme="majorHAnsi" w:eastAsia="Yu Mincho" w:hAnsiTheme="majorHAnsi" w:cstheme="majorHAnsi"/>
          <w:b/>
          <w:bCs/>
          <w:color w:val="000000" w:themeColor="text1"/>
          <w:sz w:val="18"/>
          <w:szCs w:val="18"/>
          <w:lang w:eastAsia="ja-JP"/>
        </w:rPr>
        <w:t xml:space="preserve">13. </w:t>
      </w:r>
      <w:r w:rsidR="00E049CB" w:rsidRPr="005E6B7C">
        <w:rPr>
          <w:rFonts w:asciiTheme="majorHAnsi" w:eastAsia="Yu Mincho" w:hAnsiTheme="majorHAnsi" w:cstheme="majorHAnsi"/>
          <w:color w:val="000000" w:themeColor="text1"/>
          <w:sz w:val="18"/>
          <w:szCs w:val="18"/>
          <w:lang w:eastAsia="ja-JP"/>
        </w:rPr>
        <w:t xml:space="preserve">Li G., Liu Z., Xie J., Jin Y., Wang L., Yang H., He Y., Shen T. (2025), Chemical constituents of </w:t>
      </w:r>
      <w:r w:rsidR="00E049CB" w:rsidRPr="005E6B7C">
        <w:rPr>
          <w:rFonts w:asciiTheme="majorHAnsi" w:eastAsia="Yu Mincho" w:hAnsiTheme="majorHAnsi" w:cstheme="majorHAnsi"/>
          <w:i/>
          <w:color w:val="000000" w:themeColor="text1"/>
          <w:sz w:val="18"/>
          <w:szCs w:val="18"/>
          <w:lang w:eastAsia="ja-JP"/>
        </w:rPr>
        <w:t>Oxytropis ochrocephala</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
          <w:iCs/>
          <w:color w:val="000000" w:themeColor="text1"/>
          <w:sz w:val="18"/>
          <w:szCs w:val="18"/>
          <w:lang w:val="fr-FR" w:eastAsia="ja-JP"/>
        </w:rPr>
        <w:t>Molecules</w:t>
      </w:r>
      <w:r w:rsidR="007A051F" w:rsidRPr="005E6B7C">
        <w:rPr>
          <w:rFonts w:asciiTheme="majorHAnsi" w:eastAsia="Yu Mincho" w:hAnsiTheme="majorHAnsi" w:cstheme="majorHAnsi"/>
          <w:iCs/>
          <w:color w:val="000000" w:themeColor="text1"/>
          <w:sz w:val="18"/>
          <w:szCs w:val="18"/>
          <w:lang w:val="fr-FR" w:eastAsia="ja-JP"/>
        </w:rPr>
        <w:t>,</w:t>
      </w:r>
      <w:r w:rsidR="007A051F" w:rsidRPr="005E6B7C">
        <w:rPr>
          <w:rFonts w:asciiTheme="majorHAnsi" w:eastAsia="Yu Mincho" w:hAnsiTheme="majorHAnsi" w:cstheme="majorHAnsi"/>
          <w:color w:val="000000" w:themeColor="text1"/>
          <w:sz w:val="18"/>
          <w:szCs w:val="18"/>
          <w:lang w:val="fr-FR" w:eastAsia="ja-JP"/>
        </w:rPr>
        <w:t xml:space="preserve"> </w:t>
      </w:r>
      <w:r w:rsidR="00E049CB" w:rsidRPr="005E6B7C">
        <w:rPr>
          <w:rFonts w:asciiTheme="majorHAnsi" w:eastAsia="Yu Mincho" w:hAnsiTheme="majorHAnsi" w:cstheme="majorHAnsi"/>
          <w:iCs/>
          <w:color w:val="000000" w:themeColor="text1"/>
          <w:sz w:val="18"/>
          <w:szCs w:val="18"/>
          <w:lang w:val="fr-FR" w:eastAsia="ja-JP"/>
        </w:rPr>
        <w:t>30</w:t>
      </w:r>
      <w:r w:rsidR="00E049CB" w:rsidRPr="005E6B7C">
        <w:rPr>
          <w:rFonts w:asciiTheme="majorHAnsi" w:eastAsia="Yu Mincho" w:hAnsiTheme="majorHAnsi" w:cstheme="majorHAnsi"/>
          <w:color w:val="000000" w:themeColor="text1"/>
          <w:sz w:val="18"/>
          <w:szCs w:val="18"/>
          <w:lang w:val="fr-FR" w:eastAsia="ja-JP"/>
        </w:rPr>
        <w:t>(12), 2489.</w:t>
      </w:r>
    </w:p>
    <w:p w14:paraId="447B1658" w14:textId="3EEE9100"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val="fr-FR" w:eastAsia="ja-JP"/>
        </w:rPr>
        <w:t xml:space="preserve">14. </w:t>
      </w:r>
      <w:r w:rsidR="00E049CB" w:rsidRPr="005E6B7C">
        <w:rPr>
          <w:rFonts w:asciiTheme="majorHAnsi" w:eastAsia="Yu Mincho" w:hAnsiTheme="majorHAnsi" w:cstheme="majorHAnsi"/>
          <w:color w:val="000000" w:themeColor="text1"/>
          <w:sz w:val="18"/>
          <w:szCs w:val="18"/>
          <w:lang w:val="fr-FR" w:eastAsia="ja-JP"/>
        </w:rPr>
        <w:t xml:space="preserve">Tran A. T., Nguyen B. T., Ho H. T. C., Bui H. D. T., Nguyen M. T. T. (2011). </w:t>
      </w:r>
      <w:r w:rsidR="00E049CB" w:rsidRPr="005E6B7C">
        <w:rPr>
          <w:rFonts w:asciiTheme="majorHAnsi" w:eastAsia="Yu Mincho" w:hAnsiTheme="majorHAnsi" w:cstheme="majorHAnsi"/>
          <w:color w:val="000000" w:themeColor="text1"/>
          <w:sz w:val="18"/>
          <w:szCs w:val="18"/>
          <w:lang w:eastAsia="ja-JP"/>
        </w:rPr>
        <w:t xml:space="preserve">Antioxidative activities and chemical constituents of the ethyl acetate extract from </w:t>
      </w:r>
      <w:r w:rsidR="00E049CB" w:rsidRPr="005E6B7C">
        <w:rPr>
          <w:rFonts w:asciiTheme="majorHAnsi" w:eastAsia="Yu Mincho" w:hAnsiTheme="majorHAnsi" w:cstheme="majorHAnsi"/>
          <w:i/>
          <w:iCs/>
          <w:color w:val="000000" w:themeColor="text1"/>
          <w:sz w:val="18"/>
          <w:szCs w:val="18"/>
          <w:lang w:eastAsia="ja-JP"/>
        </w:rPr>
        <w:t>Jasminum undulatum</w:t>
      </w:r>
      <w:r w:rsidR="00E049CB" w:rsidRPr="005E6B7C">
        <w:rPr>
          <w:rFonts w:asciiTheme="majorHAnsi" w:eastAsia="Yu Mincho" w:hAnsiTheme="majorHAnsi" w:cstheme="majorHAnsi"/>
          <w:color w:val="000000" w:themeColor="text1"/>
          <w:sz w:val="18"/>
          <w:szCs w:val="18"/>
          <w:lang w:eastAsia="ja-JP"/>
        </w:rPr>
        <w:t xml:space="preserve"> Ker-Gawl. </w:t>
      </w:r>
      <w:r w:rsidR="00E049CB" w:rsidRPr="005E6B7C">
        <w:rPr>
          <w:rFonts w:asciiTheme="majorHAnsi" w:eastAsia="Yu Mincho" w:hAnsiTheme="majorHAnsi" w:cstheme="majorHAnsi"/>
          <w:i/>
          <w:iCs/>
          <w:color w:val="000000" w:themeColor="text1"/>
          <w:sz w:val="18"/>
          <w:szCs w:val="18"/>
          <w:lang w:eastAsia="ja-JP"/>
        </w:rPr>
        <w:t>VNUHCM Journal of Science and Technology Development</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14</w:t>
      </w:r>
      <w:r w:rsidR="00E049CB" w:rsidRPr="005E6B7C">
        <w:rPr>
          <w:rFonts w:asciiTheme="majorHAnsi" w:eastAsia="Yu Mincho" w:hAnsiTheme="majorHAnsi" w:cstheme="majorHAnsi"/>
          <w:color w:val="000000" w:themeColor="text1"/>
          <w:sz w:val="18"/>
          <w:szCs w:val="18"/>
          <w:lang w:eastAsia="ja-JP"/>
        </w:rPr>
        <w:t>(2), 50-57.</w:t>
      </w:r>
    </w:p>
    <w:p w14:paraId="4114F587" w14:textId="561243AB"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15. </w:t>
      </w:r>
      <w:r w:rsidR="00E049CB" w:rsidRPr="005E6B7C">
        <w:rPr>
          <w:rFonts w:asciiTheme="majorHAnsi" w:eastAsia="Yu Mincho" w:hAnsiTheme="majorHAnsi" w:cstheme="majorHAnsi"/>
          <w:color w:val="000000" w:themeColor="text1"/>
          <w:sz w:val="18"/>
          <w:szCs w:val="18"/>
          <w:lang w:eastAsia="ja-JP"/>
        </w:rPr>
        <w:t xml:space="preserve">Zhou, X. J., Yan, L. L., Yin, P. P., Shi, L. L., Zhang, J. H., Liu, Y. J.,  Ma, C. (2014). Structural characterisation and antioxidant activity evaluation of phenolic compounds from cold-pressed </w:t>
      </w:r>
      <w:r w:rsidR="00E049CB" w:rsidRPr="005E6B7C">
        <w:rPr>
          <w:rFonts w:asciiTheme="majorHAnsi" w:eastAsia="Yu Mincho" w:hAnsiTheme="majorHAnsi" w:cstheme="majorHAnsi"/>
          <w:i/>
          <w:color w:val="000000" w:themeColor="text1"/>
          <w:sz w:val="18"/>
          <w:szCs w:val="18"/>
          <w:lang w:eastAsia="ja-JP"/>
        </w:rPr>
        <w:t>Perilla frutescens</w:t>
      </w:r>
      <w:r w:rsidR="00E049CB" w:rsidRPr="005E6B7C">
        <w:rPr>
          <w:rFonts w:asciiTheme="majorHAnsi" w:eastAsia="Yu Mincho" w:hAnsiTheme="majorHAnsi" w:cstheme="majorHAnsi"/>
          <w:color w:val="000000" w:themeColor="text1"/>
          <w:sz w:val="18"/>
          <w:szCs w:val="18"/>
          <w:lang w:eastAsia="ja-JP"/>
        </w:rPr>
        <w:t xml:space="preserve"> var. </w:t>
      </w:r>
      <w:r w:rsidR="00E049CB" w:rsidRPr="005E6B7C">
        <w:rPr>
          <w:rFonts w:asciiTheme="majorHAnsi" w:eastAsia="Yu Mincho" w:hAnsiTheme="majorHAnsi" w:cstheme="majorHAnsi"/>
          <w:i/>
          <w:color w:val="000000" w:themeColor="text1"/>
          <w:sz w:val="18"/>
          <w:szCs w:val="18"/>
          <w:lang w:eastAsia="ja-JP"/>
        </w:rPr>
        <w:t>arguta</w:t>
      </w:r>
      <w:r w:rsidR="00E049CB" w:rsidRPr="005E6B7C">
        <w:rPr>
          <w:rFonts w:asciiTheme="majorHAnsi" w:eastAsia="Yu Mincho" w:hAnsiTheme="majorHAnsi" w:cstheme="majorHAnsi"/>
          <w:color w:val="000000" w:themeColor="text1"/>
          <w:sz w:val="18"/>
          <w:szCs w:val="18"/>
          <w:lang w:eastAsia="ja-JP"/>
        </w:rPr>
        <w:t xml:space="preserve"> seed flour. </w:t>
      </w:r>
      <w:r w:rsidR="00E049CB" w:rsidRPr="005E6B7C">
        <w:rPr>
          <w:rFonts w:asciiTheme="majorHAnsi" w:eastAsia="Yu Mincho" w:hAnsiTheme="majorHAnsi" w:cstheme="majorHAnsi"/>
          <w:i/>
          <w:iCs/>
          <w:color w:val="000000" w:themeColor="text1"/>
          <w:sz w:val="18"/>
          <w:szCs w:val="18"/>
          <w:lang w:eastAsia="ja-JP"/>
        </w:rPr>
        <w:t xml:space="preserve">Food </w:t>
      </w:r>
      <w:r w:rsidR="0044085B" w:rsidRPr="005E6B7C">
        <w:rPr>
          <w:rFonts w:asciiTheme="majorHAnsi" w:eastAsia="Yu Mincho" w:hAnsiTheme="majorHAnsi" w:cstheme="majorHAnsi"/>
          <w:i/>
          <w:iCs/>
          <w:color w:val="000000" w:themeColor="text1"/>
          <w:sz w:val="18"/>
          <w:szCs w:val="18"/>
          <w:lang w:eastAsia="ja-JP"/>
        </w:rPr>
        <w:t>C</w:t>
      </w:r>
      <w:r w:rsidR="00E049CB" w:rsidRPr="005E6B7C">
        <w:rPr>
          <w:rFonts w:asciiTheme="majorHAnsi" w:eastAsia="Yu Mincho" w:hAnsiTheme="majorHAnsi" w:cstheme="majorHAnsi"/>
          <w:i/>
          <w:iCs/>
          <w:color w:val="000000" w:themeColor="text1"/>
          <w:sz w:val="18"/>
          <w:szCs w:val="18"/>
          <w:lang w:eastAsia="ja-JP"/>
        </w:rPr>
        <w:t>hemistry</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164</w:t>
      </w:r>
      <w:r w:rsidR="00E049CB" w:rsidRPr="005E6B7C">
        <w:rPr>
          <w:rFonts w:asciiTheme="majorHAnsi" w:eastAsia="Yu Mincho" w:hAnsiTheme="majorHAnsi" w:cstheme="majorHAnsi"/>
          <w:color w:val="000000" w:themeColor="text1"/>
          <w:sz w:val="18"/>
          <w:szCs w:val="18"/>
          <w:lang w:eastAsia="ja-JP"/>
        </w:rPr>
        <w:t>, 150-157.</w:t>
      </w:r>
    </w:p>
    <w:p w14:paraId="5C1C016D" w14:textId="7777777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16. </w:t>
      </w:r>
      <w:r w:rsidR="00E049CB" w:rsidRPr="005E6B7C">
        <w:rPr>
          <w:rFonts w:asciiTheme="majorHAnsi" w:eastAsia="Yu Mincho" w:hAnsiTheme="majorHAnsi" w:cstheme="majorHAnsi"/>
          <w:color w:val="000000" w:themeColor="text1"/>
          <w:sz w:val="18"/>
          <w:szCs w:val="18"/>
          <w:lang w:eastAsia="ja-JP"/>
        </w:rPr>
        <w:t xml:space="preserve">Li H. L., Peng C. Z., Zhan R., Liu Y., Chen Y. G. (2015), Phenolics and triterpenoids from </w:t>
      </w:r>
      <w:r w:rsidR="00E049CB" w:rsidRPr="005E6B7C">
        <w:rPr>
          <w:rFonts w:asciiTheme="majorHAnsi" w:eastAsia="Yu Mincho" w:hAnsiTheme="majorHAnsi" w:cstheme="majorHAnsi"/>
          <w:i/>
          <w:color w:val="000000" w:themeColor="text1"/>
          <w:sz w:val="18"/>
          <w:szCs w:val="18"/>
          <w:lang w:eastAsia="ja-JP"/>
        </w:rPr>
        <w:t>Pterospermum yunnanense</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
          <w:iCs/>
          <w:color w:val="000000" w:themeColor="text1"/>
          <w:sz w:val="18"/>
          <w:szCs w:val="18"/>
          <w:lang w:eastAsia="ja-JP"/>
        </w:rPr>
        <w:t>Chemistry of Natural Compounds</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51</w:t>
      </w:r>
      <w:r w:rsidR="00E049CB" w:rsidRPr="005E6B7C">
        <w:rPr>
          <w:rFonts w:asciiTheme="majorHAnsi" w:eastAsia="Yu Mincho" w:hAnsiTheme="majorHAnsi" w:cstheme="majorHAnsi"/>
          <w:color w:val="000000" w:themeColor="text1"/>
          <w:sz w:val="18"/>
          <w:szCs w:val="18"/>
          <w:lang w:eastAsia="ja-JP"/>
        </w:rPr>
        <w:t>(5), 972-974.</w:t>
      </w:r>
    </w:p>
    <w:p w14:paraId="396F9415" w14:textId="0E03E8F6"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t xml:space="preserve">17. </w:t>
      </w:r>
      <w:r w:rsidR="00E049CB" w:rsidRPr="005E6B7C">
        <w:rPr>
          <w:rFonts w:asciiTheme="majorHAnsi" w:eastAsia="Yu Mincho" w:hAnsiTheme="majorHAnsi" w:cstheme="majorHAnsi"/>
          <w:color w:val="000000" w:themeColor="text1"/>
          <w:sz w:val="18"/>
          <w:szCs w:val="18"/>
          <w:shd w:val="clear" w:color="auto" w:fill="FFFFFF"/>
          <w:lang w:eastAsia="ja-JP"/>
        </w:rPr>
        <w:t xml:space="preserve">Yan Q. W., Zhong R. J., Zhou G. P., Fu H. Z., Zhang T. X. (2015), Chemical constituents from </w:t>
      </w:r>
      <w:r w:rsidR="00E049CB" w:rsidRPr="005E6B7C">
        <w:rPr>
          <w:rFonts w:asciiTheme="majorHAnsi" w:eastAsia="Yu Mincho" w:hAnsiTheme="majorHAnsi" w:cstheme="majorHAnsi"/>
          <w:i/>
          <w:color w:val="000000" w:themeColor="text1"/>
          <w:sz w:val="18"/>
          <w:szCs w:val="18"/>
          <w:shd w:val="clear" w:color="auto" w:fill="FFFFFF"/>
          <w:lang w:eastAsia="ja-JP"/>
        </w:rPr>
        <w:t>Camellia</w:t>
      </w:r>
      <w:r w:rsidR="00E049CB" w:rsidRPr="005E6B7C">
        <w:rPr>
          <w:rFonts w:asciiTheme="majorHAnsi" w:eastAsia="Yu Mincho" w:hAnsiTheme="majorHAnsi" w:cstheme="majorHAnsi"/>
          <w:color w:val="000000" w:themeColor="text1"/>
          <w:sz w:val="18"/>
          <w:szCs w:val="18"/>
          <w:shd w:val="clear" w:color="auto" w:fill="FFFFFF"/>
          <w:lang w:eastAsia="ja-JP"/>
        </w:rPr>
        <w:t xml:space="preserve"> </w:t>
      </w:r>
      <w:r w:rsidR="00E049CB" w:rsidRPr="005E6B7C">
        <w:rPr>
          <w:rFonts w:asciiTheme="majorHAnsi" w:eastAsia="Yu Mincho" w:hAnsiTheme="majorHAnsi" w:cstheme="majorHAnsi"/>
          <w:i/>
          <w:color w:val="000000" w:themeColor="text1"/>
          <w:sz w:val="18"/>
          <w:szCs w:val="18"/>
          <w:shd w:val="clear" w:color="auto" w:fill="FFFFFF"/>
          <w:lang w:eastAsia="ja-JP"/>
        </w:rPr>
        <w:t>olifera</w:t>
      </w:r>
      <w:r w:rsidR="00E049CB" w:rsidRPr="005E6B7C">
        <w:rPr>
          <w:rFonts w:asciiTheme="majorHAnsi" w:eastAsia="Yu Mincho" w:hAnsiTheme="majorHAnsi" w:cstheme="majorHAnsi"/>
          <w:color w:val="000000" w:themeColor="text1"/>
          <w:sz w:val="18"/>
          <w:szCs w:val="18"/>
          <w:shd w:val="clear" w:color="auto" w:fill="FFFFFF"/>
          <w:lang w:eastAsia="ja-JP"/>
        </w:rPr>
        <w:t xml:space="preserve"> stem. </w:t>
      </w:r>
      <w:r w:rsidR="00E049CB" w:rsidRPr="005E6B7C">
        <w:rPr>
          <w:rFonts w:asciiTheme="majorHAnsi" w:eastAsia="Yu Mincho" w:hAnsiTheme="majorHAnsi" w:cstheme="majorHAnsi"/>
          <w:i/>
          <w:iCs/>
          <w:color w:val="000000" w:themeColor="text1"/>
          <w:sz w:val="18"/>
          <w:szCs w:val="18"/>
          <w:shd w:val="clear" w:color="auto" w:fill="FFFFFF"/>
          <w:lang w:eastAsia="ja-JP"/>
        </w:rPr>
        <w:t>Zhongyaocai (Journal of Chinese Medicinal Materials)</w:t>
      </w:r>
      <w:r w:rsidR="007A051F" w:rsidRPr="005E6B7C">
        <w:rPr>
          <w:rFonts w:asciiTheme="majorHAnsi" w:eastAsia="Yu Mincho" w:hAnsiTheme="majorHAnsi" w:cstheme="majorHAnsi"/>
          <w:iCs/>
          <w:color w:val="000000" w:themeColor="text1"/>
          <w:sz w:val="18"/>
          <w:szCs w:val="18"/>
          <w:lang w:eastAsia="ja-JP"/>
        </w:rPr>
        <w:t>,</w:t>
      </w:r>
      <w:r w:rsidR="00E049CB" w:rsidRPr="005E6B7C">
        <w:rPr>
          <w:rFonts w:asciiTheme="majorHAnsi" w:eastAsia="Yu Mincho" w:hAnsiTheme="majorHAnsi" w:cstheme="majorHAnsi"/>
          <w:color w:val="000000" w:themeColor="text1"/>
          <w:sz w:val="18"/>
          <w:szCs w:val="18"/>
          <w:shd w:val="clear" w:color="auto" w:fill="FFFFFF"/>
          <w:lang w:eastAsia="ja-JP"/>
        </w:rPr>
        <w:t> </w:t>
      </w:r>
      <w:r w:rsidR="00E049CB" w:rsidRPr="005E6B7C">
        <w:rPr>
          <w:rFonts w:asciiTheme="majorHAnsi" w:eastAsia="Yu Mincho" w:hAnsiTheme="majorHAnsi" w:cstheme="majorHAnsi"/>
          <w:iCs/>
          <w:color w:val="000000" w:themeColor="text1"/>
          <w:sz w:val="18"/>
          <w:szCs w:val="18"/>
          <w:shd w:val="clear" w:color="auto" w:fill="FFFFFF"/>
          <w:lang w:eastAsia="ja-JP"/>
        </w:rPr>
        <w:t>38</w:t>
      </w:r>
      <w:r w:rsidR="00E049CB" w:rsidRPr="005E6B7C">
        <w:rPr>
          <w:rFonts w:asciiTheme="majorHAnsi" w:eastAsia="Yu Mincho" w:hAnsiTheme="majorHAnsi" w:cstheme="majorHAnsi"/>
          <w:color w:val="000000" w:themeColor="text1"/>
          <w:sz w:val="18"/>
          <w:szCs w:val="18"/>
          <w:shd w:val="clear" w:color="auto" w:fill="FFFFFF"/>
          <w:lang w:eastAsia="ja-JP"/>
        </w:rPr>
        <w:t xml:space="preserve">(10), 2102-2104. </w:t>
      </w:r>
    </w:p>
    <w:p w14:paraId="0890A92C" w14:textId="7EEDDD86"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18. </w:t>
      </w:r>
      <w:r w:rsidR="00E049CB" w:rsidRPr="005E6B7C">
        <w:rPr>
          <w:rFonts w:asciiTheme="majorHAnsi" w:eastAsia="Yu Mincho" w:hAnsiTheme="majorHAnsi" w:cstheme="majorHAnsi"/>
          <w:color w:val="000000" w:themeColor="text1"/>
          <w:sz w:val="18"/>
          <w:szCs w:val="18"/>
          <w:lang w:eastAsia="ja-JP"/>
        </w:rPr>
        <w:t xml:space="preserve">Van N. T. H., Bach P. C., Inh C. T., Phuong D. L., Thanh L. T., Toan T. Q., Long P. Q. (2019), Flavonoids isolated from the flowers of </w:t>
      </w:r>
      <w:r w:rsidR="00E049CB" w:rsidRPr="005E6B7C">
        <w:rPr>
          <w:rFonts w:asciiTheme="majorHAnsi" w:eastAsia="Yu Mincho" w:hAnsiTheme="majorHAnsi" w:cstheme="majorHAnsi"/>
          <w:i/>
          <w:color w:val="000000" w:themeColor="text1"/>
          <w:sz w:val="18"/>
          <w:szCs w:val="18"/>
          <w:lang w:eastAsia="ja-JP"/>
        </w:rPr>
        <w:t>Camellia chrysantha</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
          <w:iCs/>
          <w:color w:val="000000" w:themeColor="text1"/>
          <w:sz w:val="18"/>
          <w:szCs w:val="18"/>
          <w:lang w:eastAsia="ja-JP"/>
        </w:rPr>
        <w:t>Vietnam Journal of Science and Technology</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57</w:t>
      </w:r>
      <w:r w:rsidR="00E049CB" w:rsidRPr="005E6B7C">
        <w:rPr>
          <w:rFonts w:asciiTheme="majorHAnsi" w:eastAsia="Yu Mincho" w:hAnsiTheme="majorHAnsi" w:cstheme="majorHAnsi"/>
          <w:color w:val="000000" w:themeColor="text1"/>
          <w:sz w:val="18"/>
          <w:szCs w:val="18"/>
          <w:lang w:eastAsia="ja-JP"/>
        </w:rPr>
        <w:t>(3), 287-293.</w:t>
      </w:r>
      <w:r w:rsidR="00E049CB" w:rsidRPr="005E6B7C">
        <w:rPr>
          <w:rFonts w:asciiTheme="majorHAnsi" w:eastAsia="Yu Mincho" w:hAnsiTheme="majorHAnsi" w:cstheme="majorHAnsi"/>
          <w:color w:val="000000" w:themeColor="text1"/>
          <w:sz w:val="18"/>
          <w:szCs w:val="18"/>
          <w:shd w:val="clear" w:color="auto" w:fill="FFFFFF"/>
          <w:lang w:eastAsia="ja-JP"/>
        </w:rPr>
        <w:t xml:space="preserve"> </w:t>
      </w:r>
    </w:p>
    <w:p w14:paraId="30B6B1A9" w14:textId="7777777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19. </w:t>
      </w:r>
      <w:r w:rsidR="00E049CB" w:rsidRPr="005E6B7C">
        <w:rPr>
          <w:rFonts w:asciiTheme="majorHAnsi" w:eastAsia="Yu Mincho" w:hAnsiTheme="majorHAnsi" w:cstheme="majorHAnsi"/>
          <w:color w:val="000000" w:themeColor="text1"/>
          <w:sz w:val="18"/>
          <w:szCs w:val="18"/>
          <w:lang w:eastAsia="ja-JP"/>
        </w:rPr>
        <w:t xml:space="preserve">Ye Y., Guo Y., Luo Y. T., Wang Y. F. (2012), Isolation and free radical scavenging activities of a novel biflavonoid from the shells of </w:t>
      </w:r>
      <w:r w:rsidR="00E049CB" w:rsidRPr="005E6B7C">
        <w:rPr>
          <w:rFonts w:asciiTheme="majorHAnsi" w:eastAsia="Yu Mincho" w:hAnsiTheme="majorHAnsi" w:cstheme="majorHAnsi"/>
          <w:i/>
          <w:color w:val="000000" w:themeColor="text1"/>
          <w:sz w:val="18"/>
          <w:szCs w:val="18"/>
          <w:lang w:eastAsia="ja-JP"/>
        </w:rPr>
        <w:t>Camellia oleifera</w:t>
      </w:r>
      <w:r w:rsidR="00E049CB" w:rsidRPr="005E6B7C">
        <w:rPr>
          <w:rFonts w:asciiTheme="majorHAnsi" w:eastAsia="Yu Mincho" w:hAnsiTheme="majorHAnsi" w:cstheme="majorHAnsi"/>
          <w:color w:val="000000" w:themeColor="text1"/>
          <w:sz w:val="18"/>
          <w:szCs w:val="18"/>
          <w:lang w:eastAsia="ja-JP"/>
        </w:rPr>
        <w:t xml:space="preserve"> Abel. </w:t>
      </w:r>
      <w:r w:rsidR="00E049CB" w:rsidRPr="005E6B7C">
        <w:rPr>
          <w:rFonts w:asciiTheme="majorHAnsi" w:eastAsia="Yu Mincho" w:hAnsiTheme="majorHAnsi" w:cstheme="majorHAnsi"/>
          <w:i/>
          <w:iCs/>
          <w:color w:val="000000" w:themeColor="text1"/>
          <w:sz w:val="18"/>
          <w:szCs w:val="18"/>
          <w:lang w:eastAsia="ja-JP"/>
        </w:rPr>
        <w:t>Fitoterapia</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83</w:t>
      </w:r>
      <w:r w:rsidR="00E049CB" w:rsidRPr="005E6B7C">
        <w:rPr>
          <w:rFonts w:asciiTheme="majorHAnsi" w:eastAsia="Yu Mincho" w:hAnsiTheme="majorHAnsi" w:cstheme="majorHAnsi"/>
          <w:color w:val="000000" w:themeColor="text1"/>
          <w:sz w:val="18"/>
          <w:szCs w:val="18"/>
          <w:lang w:eastAsia="ja-JP"/>
        </w:rPr>
        <w:t xml:space="preserve">(8), 1585-1589. </w:t>
      </w:r>
    </w:p>
    <w:p w14:paraId="6BCA6E78" w14:textId="495F42B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20. </w:t>
      </w:r>
      <w:r w:rsidR="00E049CB" w:rsidRPr="005E6B7C">
        <w:rPr>
          <w:rFonts w:asciiTheme="majorHAnsi" w:eastAsia="Yu Mincho" w:hAnsiTheme="majorHAnsi" w:cstheme="majorHAnsi"/>
          <w:color w:val="000000" w:themeColor="text1"/>
          <w:sz w:val="18"/>
          <w:szCs w:val="18"/>
          <w:lang w:eastAsia="ja-JP"/>
        </w:rPr>
        <w:t>Kingori S. M., Ochanda S. O.,  Koech R. K. (2021), Variation in levels of flavonols myricetin, quercetin and kaempferol</w:t>
      </w:r>
      <w:r w:rsidR="00DA00BD" w:rsidRPr="005E6B7C">
        <w:rPr>
          <w:rFonts w:asciiTheme="majorHAnsi" w:eastAsia="Yu Mincho" w:hAnsiTheme="majorHAnsi" w:cstheme="majorHAnsi"/>
          <w:color w:val="000000" w:themeColor="text1"/>
          <w:sz w:val="18"/>
          <w:szCs w:val="18"/>
          <w:lang w:eastAsia="ja-JP"/>
        </w:rPr>
        <w:t>-</w:t>
      </w:r>
      <w:r w:rsidR="00E049CB" w:rsidRPr="005E6B7C">
        <w:rPr>
          <w:rFonts w:asciiTheme="majorHAnsi" w:eastAsia="Yu Mincho" w:hAnsiTheme="majorHAnsi" w:cstheme="majorHAnsi"/>
          <w:color w:val="000000" w:themeColor="text1"/>
          <w:sz w:val="18"/>
          <w:szCs w:val="18"/>
          <w:lang w:eastAsia="ja-JP"/>
        </w:rPr>
        <w:t>in Kenyan tea (</w:t>
      </w:r>
      <w:r w:rsidR="00E049CB" w:rsidRPr="005E6B7C">
        <w:rPr>
          <w:rFonts w:asciiTheme="majorHAnsi" w:eastAsia="Yu Mincho" w:hAnsiTheme="majorHAnsi" w:cstheme="majorHAnsi"/>
          <w:i/>
          <w:color w:val="000000" w:themeColor="text1"/>
          <w:sz w:val="18"/>
          <w:szCs w:val="18"/>
          <w:lang w:eastAsia="ja-JP"/>
        </w:rPr>
        <w:t>Camellia sinensis</w:t>
      </w:r>
      <w:r w:rsidR="00E049CB" w:rsidRPr="005E6B7C">
        <w:rPr>
          <w:rFonts w:asciiTheme="majorHAnsi" w:eastAsia="Yu Mincho" w:hAnsiTheme="majorHAnsi" w:cstheme="majorHAnsi"/>
          <w:color w:val="000000" w:themeColor="text1"/>
          <w:sz w:val="18"/>
          <w:szCs w:val="18"/>
          <w:lang w:eastAsia="ja-JP"/>
        </w:rPr>
        <w:t xml:space="preserve"> L.) with processed tea types and geographic location. </w:t>
      </w:r>
      <w:r w:rsidR="00E049CB" w:rsidRPr="005E6B7C">
        <w:rPr>
          <w:rFonts w:asciiTheme="majorHAnsi" w:eastAsia="Yu Mincho" w:hAnsiTheme="majorHAnsi" w:cstheme="majorHAnsi"/>
          <w:i/>
          <w:iCs/>
          <w:color w:val="000000" w:themeColor="text1"/>
          <w:sz w:val="18"/>
          <w:szCs w:val="18"/>
          <w:lang w:eastAsia="ja-JP"/>
        </w:rPr>
        <w:t>Open Journal of Applied Sciences</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11</w:t>
      </w:r>
      <w:r w:rsidR="00E049CB" w:rsidRPr="005E6B7C">
        <w:rPr>
          <w:rFonts w:asciiTheme="majorHAnsi" w:eastAsia="Yu Mincho" w:hAnsiTheme="majorHAnsi" w:cstheme="majorHAnsi"/>
          <w:color w:val="000000" w:themeColor="text1"/>
          <w:sz w:val="18"/>
          <w:szCs w:val="18"/>
          <w:lang w:eastAsia="ja-JP"/>
        </w:rPr>
        <w:t xml:space="preserve">(6), 736-749. </w:t>
      </w:r>
    </w:p>
    <w:p w14:paraId="4FFCD5C6" w14:textId="7777777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21. </w:t>
      </w:r>
      <w:r w:rsidR="00E049CB" w:rsidRPr="005E6B7C">
        <w:rPr>
          <w:rFonts w:asciiTheme="majorHAnsi" w:eastAsia="Yu Mincho" w:hAnsiTheme="majorHAnsi" w:cstheme="majorHAnsi"/>
          <w:color w:val="000000" w:themeColor="text1"/>
          <w:sz w:val="18"/>
          <w:szCs w:val="18"/>
          <w:lang w:eastAsia="ja-JP"/>
        </w:rPr>
        <w:t xml:space="preserve">Lee H. H., Cho J. Y., Moon J. H., Park K. H. (2011), Isolation and identification of antioxidative phenolic acids and flavonoid glycosides from </w:t>
      </w:r>
      <w:r w:rsidR="00E049CB" w:rsidRPr="005E6B7C">
        <w:rPr>
          <w:rFonts w:asciiTheme="majorHAnsi" w:eastAsia="Yu Mincho" w:hAnsiTheme="majorHAnsi" w:cstheme="majorHAnsi"/>
          <w:i/>
          <w:color w:val="000000" w:themeColor="text1"/>
          <w:sz w:val="18"/>
          <w:szCs w:val="18"/>
          <w:lang w:eastAsia="ja-JP"/>
        </w:rPr>
        <w:t>Camellia japonica</w:t>
      </w:r>
      <w:r w:rsidR="00E049CB" w:rsidRPr="005E6B7C">
        <w:rPr>
          <w:rFonts w:asciiTheme="majorHAnsi" w:eastAsia="Yu Mincho" w:hAnsiTheme="majorHAnsi" w:cstheme="majorHAnsi"/>
          <w:color w:val="000000" w:themeColor="text1"/>
          <w:sz w:val="18"/>
          <w:szCs w:val="18"/>
          <w:lang w:eastAsia="ja-JP"/>
        </w:rPr>
        <w:t xml:space="preserve"> flowers. </w:t>
      </w:r>
      <w:r w:rsidR="00E049CB" w:rsidRPr="005E6B7C">
        <w:rPr>
          <w:rFonts w:asciiTheme="majorHAnsi" w:eastAsia="Yu Mincho" w:hAnsiTheme="majorHAnsi" w:cstheme="majorHAnsi"/>
          <w:i/>
          <w:iCs/>
          <w:color w:val="000000" w:themeColor="text1"/>
          <w:sz w:val="18"/>
          <w:szCs w:val="18"/>
          <w:lang w:eastAsia="ja-JP"/>
        </w:rPr>
        <w:t>Horticulture, Environment, and Biotechnology</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52</w:t>
      </w:r>
      <w:r w:rsidR="00E049CB" w:rsidRPr="005E6B7C">
        <w:rPr>
          <w:rFonts w:asciiTheme="majorHAnsi" w:eastAsia="Yu Mincho" w:hAnsiTheme="majorHAnsi" w:cstheme="majorHAnsi"/>
          <w:color w:val="000000" w:themeColor="text1"/>
          <w:sz w:val="18"/>
          <w:szCs w:val="18"/>
          <w:lang w:eastAsia="ja-JP"/>
        </w:rPr>
        <w:t>(3), 270-277.</w:t>
      </w:r>
    </w:p>
    <w:p w14:paraId="31A1E13A" w14:textId="788E7EA8"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shd w:val="clear" w:color="auto" w:fill="FFFFFF"/>
          <w:lang w:eastAsia="ja-JP"/>
        </w:rPr>
        <w:t xml:space="preserve">22. </w:t>
      </w:r>
      <w:r w:rsidR="00E049CB" w:rsidRPr="005E6B7C">
        <w:rPr>
          <w:rFonts w:asciiTheme="majorHAnsi" w:eastAsia="Yu Mincho" w:hAnsiTheme="majorHAnsi" w:cstheme="majorHAnsi"/>
          <w:color w:val="000000" w:themeColor="text1"/>
          <w:sz w:val="18"/>
          <w:szCs w:val="18"/>
          <w:shd w:val="clear" w:color="auto" w:fill="FFFFFF"/>
          <w:lang w:eastAsia="ja-JP"/>
        </w:rPr>
        <w:t>Lee C. P., Yen G. C. (2006), Antioxidant activity and bioactive compounds of tea seed (</w:t>
      </w:r>
      <w:r w:rsidR="00E049CB" w:rsidRPr="005E6B7C">
        <w:rPr>
          <w:rFonts w:asciiTheme="majorHAnsi" w:eastAsia="Yu Mincho" w:hAnsiTheme="majorHAnsi" w:cstheme="majorHAnsi"/>
          <w:i/>
          <w:color w:val="000000" w:themeColor="text1"/>
          <w:sz w:val="18"/>
          <w:szCs w:val="18"/>
          <w:shd w:val="clear" w:color="auto" w:fill="FFFFFF"/>
          <w:lang w:eastAsia="ja-JP"/>
        </w:rPr>
        <w:t>Camellia oleifera</w:t>
      </w:r>
      <w:r w:rsidR="00E049CB" w:rsidRPr="005E6B7C">
        <w:rPr>
          <w:rFonts w:asciiTheme="majorHAnsi" w:eastAsia="Yu Mincho" w:hAnsiTheme="majorHAnsi" w:cstheme="majorHAnsi"/>
          <w:color w:val="000000" w:themeColor="text1"/>
          <w:sz w:val="18"/>
          <w:szCs w:val="18"/>
          <w:shd w:val="clear" w:color="auto" w:fill="FFFFFF"/>
          <w:lang w:eastAsia="ja-JP"/>
        </w:rPr>
        <w:t xml:space="preserve"> Abel.) oil. </w:t>
      </w:r>
      <w:r w:rsidR="00E049CB" w:rsidRPr="005E6B7C">
        <w:rPr>
          <w:rFonts w:asciiTheme="majorHAnsi" w:eastAsia="Yu Mincho" w:hAnsiTheme="majorHAnsi" w:cstheme="majorHAnsi"/>
          <w:i/>
          <w:iCs/>
          <w:color w:val="000000" w:themeColor="text1"/>
          <w:sz w:val="18"/>
          <w:szCs w:val="18"/>
          <w:shd w:val="clear" w:color="auto" w:fill="FFFFFF"/>
          <w:lang w:eastAsia="ja-JP"/>
        </w:rPr>
        <w:t>Journal of Agricultural and Food Chemistry</w:t>
      </w:r>
      <w:r w:rsidR="007A051F" w:rsidRPr="005E6B7C">
        <w:rPr>
          <w:rFonts w:asciiTheme="majorHAnsi" w:eastAsia="Yu Mincho" w:hAnsiTheme="majorHAnsi" w:cstheme="majorHAnsi"/>
          <w:iCs/>
          <w:color w:val="000000" w:themeColor="text1"/>
          <w:sz w:val="18"/>
          <w:szCs w:val="18"/>
          <w:lang w:eastAsia="ja-JP"/>
        </w:rPr>
        <w:t>,</w:t>
      </w:r>
      <w:r w:rsidR="00E049CB" w:rsidRPr="005E6B7C">
        <w:rPr>
          <w:rFonts w:asciiTheme="majorHAnsi" w:eastAsia="Yu Mincho" w:hAnsiTheme="majorHAnsi" w:cstheme="majorHAnsi"/>
          <w:color w:val="000000" w:themeColor="text1"/>
          <w:sz w:val="18"/>
          <w:szCs w:val="18"/>
          <w:shd w:val="clear" w:color="auto" w:fill="FFFFFF"/>
          <w:lang w:eastAsia="ja-JP"/>
        </w:rPr>
        <w:t> 54(3), 779-784.</w:t>
      </w:r>
    </w:p>
    <w:p w14:paraId="2A4A2ECF" w14:textId="77777777"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23. </w:t>
      </w:r>
      <w:r w:rsidR="00E049CB" w:rsidRPr="005E6B7C">
        <w:rPr>
          <w:rFonts w:asciiTheme="majorHAnsi" w:eastAsia="Yu Mincho" w:hAnsiTheme="majorHAnsi" w:cstheme="majorHAnsi"/>
          <w:color w:val="000000" w:themeColor="text1"/>
          <w:sz w:val="18"/>
          <w:szCs w:val="18"/>
          <w:lang w:eastAsia="ja-JP"/>
        </w:rPr>
        <w:t xml:space="preserve">Pereira A. G., Fraga-Corral M., Silva A., Barroso M. F., Grosso C., Carpena M., Garcia-Perez P., Perez-Gregorio R., Cassani L., Prieto M. A. (2024), Unraveling the bioactive potential of </w:t>
      </w:r>
      <w:r w:rsidR="00E049CB" w:rsidRPr="005E6B7C">
        <w:rPr>
          <w:rFonts w:asciiTheme="majorHAnsi" w:eastAsia="Yu Mincho" w:hAnsiTheme="majorHAnsi" w:cstheme="majorHAnsi"/>
          <w:i/>
          <w:color w:val="000000" w:themeColor="text1"/>
          <w:sz w:val="18"/>
          <w:szCs w:val="18"/>
          <w:lang w:eastAsia="ja-JP"/>
        </w:rPr>
        <w:t>Camellia japonica</w:t>
      </w:r>
      <w:r w:rsidR="00E049CB" w:rsidRPr="005E6B7C">
        <w:rPr>
          <w:rFonts w:asciiTheme="majorHAnsi" w:eastAsia="Yu Mincho" w:hAnsiTheme="majorHAnsi" w:cstheme="majorHAnsi"/>
          <w:color w:val="000000" w:themeColor="text1"/>
          <w:sz w:val="18"/>
          <w:szCs w:val="18"/>
          <w:lang w:eastAsia="ja-JP"/>
        </w:rPr>
        <w:t xml:space="preserve"> edible flowers: profiling antioxidant substances and </w:t>
      </w:r>
      <w:r w:rsidR="00894500" w:rsidRPr="005E6B7C">
        <w:rPr>
          <w:rFonts w:asciiTheme="majorHAnsi" w:eastAsia="Yu Mincho" w:hAnsiTheme="majorHAnsi" w:cstheme="majorHAnsi"/>
          <w:i/>
          <w:iCs/>
          <w:color w:val="000000" w:themeColor="text1"/>
          <w:sz w:val="18"/>
          <w:szCs w:val="18"/>
          <w:lang w:eastAsia="ja-JP"/>
        </w:rPr>
        <w:t>in vitro</w:t>
      </w:r>
      <w:r w:rsidR="00E049CB" w:rsidRPr="005E6B7C">
        <w:rPr>
          <w:rFonts w:asciiTheme="majorHAnsi" w:eastAsia="Yu Mincho" w:hAnsiTheme="majorHAnsi" w:cstheme="majorHAnsi"/>
          <w:color w:val="000000" w:themeColor="text1"/>
          <w:sz w:val="18"/>
          <w:szCs w:val="18"/>
          <w:lang w:eastAsia="ja-JP"/>
        </w:rPr>
        <w:t xml:space="preserve"> bioactivity assessment. </w:t>
      </w:r>
      <w:r w:rsidR="00E049CB" w:rsidRPr="005E6B7C">
        <w:rPr>
          <w:rFonts w:asciiTheme="majorHAnsi" w:eastAsia="Yu Mincho" w:hAnsiTheme="majorHAnsi" w:cstheme="majorHAnsi"/>
          <w:i/>
          <w:iCs/>
          <w:color w:val="000000" w:themeColor="text1"/>
          <w:sz w:val="18"/>
          <w:szCs w:val="18"/>
          <w:lang w:eastAsia="ja-JP"/>
        </w:rPr>
        <w:t>Pharmaceuticals</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17</w:t>
      </w:r>
      <w:r w:rsidR="00E049CB" w:rsidRPr="005E6B7C">
        <w:rPr>
          <w:rFonts w:asciiTheme="majorHAnsi" w:eastAsia="Yu Mincho" w:hAnsiTheme="majorHAnsi" w:cstheme="majorHAnsi"/>
          <w:color w:val="000000" w:themeColor="text1"/>
          <w:sz w:val="18"/>
          <w:szCs w:val="18"/>
          <w:lang w:eastAsia="ja-JP"/>
        </w:rPr>
        <w:t>(7), 946.</w:t>
      </w:r>
    </w:p>
    <w:p w14:paraId="7AF292A3" w14:textId="7D011EDE"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i/>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lang w:eastAsia="ja-JP"/>
        </w:rPr>
        <w:t xml:space="preserve">24. </w:t>
      </w:r>
      <w:r w:rsidR="00E049CB" w:rsidRPr="005E6B7C">
        <w:rPr>
          <w:rFonts w:asciiTheme="majorHAnsi" w:eastAsia="Yu Mincho" w:hAnsiTheme="majorHAnsi" w:cstheme="majorHAnsi"/>
          <w:color w:val="000000" w:themeColor="text1"/>
          <w:sz w:val="18"/>
          <w:szCs w:val="18"/>
          <w:lang w:eastAsia="ja-JP"/>
        </w:rPr>
        <w:t xml:space="preserve">Feunaing R. T., Tamfu A. N., Gbaweng A. J. Y., Kucukaydin S., Tchamgoue J., Lannang A. M., Lenta B. N., Kuam S. F., Duru M. E., Dinica R. M. (2024), </w:t>
      </w:r>
      <w:r w:rsidR="00894500" w:rsidRPr="005E6B7C">
        <w:rPr>
          <w:rFonts w:asciiTheme="majorHAnsi" w:eastAsia="Yu Mincho" w:hAnsiTheme="majorHAnsi" w:cstheme="majorHAnsi"/>
          <w:i/>
          <w:iCs/>
          <w:color w:val="000000" w:themeColor="text1"/>
          <w:sz w:val="18"/>
          <w:szCs w:val="18"/>
          <w:lang w:eastAsia="ja-JP"/>
        </w:rPr>
        <w:t>In vitro</w:t>
      </w:r>
      <w:r w:rsidR="00E049CB" w:rsidRPr="005E6B7C">
        <w:rPr>
          <w:rFonts w:asciiTheme="majorHAnsi" w:eastAsia="Yu Mincho" w:hAnsiTheme="majorHAnsi" w:cstheme="majorHAnsi"/>
          <w:color w:val="000000" w:themeColor="text1"/>
          <w:sz w:val="18"/>
          <w:szCs w:val="18"/>
          <w:lang w:eastAsia="ja-JP"/>
        </w:rPr>
        <w:t xml:space="preserve"> and molecular docking evaluation of the anticholinesterase and antidiabetic effects of compounds from </w:t>
      </w:r>
      <w:r w:rsidR="00E049CB" w:rsidRPr="005E6B7C">
        <w:rPr>
          <w:rFonts w:asciiTheme="majorHAnsi" w:eastAsia="Yu Mincho" w:hAnsiTheme="majorHAnsi" w:cstheme="majorHAnsi"/>
          <w:i/>
          <w:color w:val="000000" w:themeColor="text1"/>
          <w:sz w:val="18"/>
          <w:szCs w:val="18"/>
          <w:lang w:eastAsia="ja-JP"/>
        </w:rPr>
        <w:t>Terminalia macroptera</w:t>
      </w:r>
      <w:r w:rsidR="00E049CB" w:rsidRPr="005E6B7C">
        <w:rPr>
          <w:rFonts w:asciiTheme="majorHAnsi" w:eastAsia="Yu Mincho" w:hAnsiTheme="majorHAnsi" w:cstheme="majorHAnsi"/>
          <w:color w:val="000000" w:themeColor="text1"/>
          <w:sz w:val="18"/>
          <w:szCs w:val="18"/>
          <w:lang w:eastAsia="ja-JP"/>
        </w:rPr>
        <w:t xml:space="preserve"> Guill. &amp; Perr.</w:t>
      </w:r>
      <w:r w:rsidR="009D0AA6" w:rsidRPr="005E6B7C">
        <w:rPr>
          <w:rFonts w:asciiTheme="majorHAnsi" w:eastAsia="Yu Mincho" w:hAnsiTheme="majorHAnsi" w:cstheme="majorHAnsi"/>
          <w:color w:val="000000" w:themeColor="text1"/>
          <w:sz w:val="18"/>
          <w:szCs w:val="18"/>
          <w:lang w:val="vi-VN" w:eastAsia="ja-JP"/>
        </w:rPr>
        <w:t xml:space="preserve"> </w:t>
      </w:r>
      <w:r w:rsidR="00E049CB" w:rsidRPr="005E6B7C">
        <w:rPr>
          <w:rFonts w:asciiTheme="majorHAnsi" w:eastAsia="Yu Mincho" w:hAnsiTheme="majorHAnsi" w:cstheme="majorHAnsi"/>
          <w:color w:val="000000" w:themeColor="text1"/>
          <w:sz w:val="18"/>
          <w:szCs w:val="18"/>
          <w:lang w:eastAsia="ja-JP"/>
        </w:rPr>
        <w:t xml:space="preserve">(Combretaceae). </w:t>
      </w:r>
      <w:r w:rsidR="00E049CB" w:rsidRPr="005E6B7C">
        <w:rPr>
          <w:rFonts w:asciiTheme="majorHAnsi" w:eastAsia="Yu Mincho" w:hAnsiTheme="majorHAnsi" w:cstheme="majorHAnsi"/>
          <w:i/>
          <w:iCs/>
          <w:color w:val="000000" w:themeColor="text1"/>
          <w:sz w:val="18"/>
          <w:szCs w:val="18"/>
          <w:lang w:eastAsia="ja-JP"/>
        </w:rPr>
        <w:t>Molecules</w:t>
      </w:r>
      <w:r w:rsidR="007A051F" w:rsidRPr="005E6B7C">
        <w:rPr>
          <w:rFonts w:asciiTheme="majorHAnsi" w:eastAsia="Yu Mincho" w:hAnsiTheme="majorHAnsi" w:cstheme="majorHAnsi"/>
          <w:iCs/>
          <w:color w:val="000000" w:themeColor="text1"/>
          <w:sz w:val="18"/>
          <w:szCs w:val="18"/>
          <w:lang w:eastAsia="ja-JP"/>
        </w:rPr>
        <w:t>,</w:t>
      </w:r>
      <w:r w:rsidR="00E049CB"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29</w:t>
      </w:r>
      <w:r w:rsidR="00E049CB" w:rsidRPr="005E6B7C">
        <w:rPr>
          <w:rFonts w:asciiTheme="majorHAnsi" w:eastAsia="Yu Mincho" w:hAnsiTheme="majorHAnsi" w:cstheme="majorHAnsi"/>
          <w:color w:val="000000" w:themeColor="text1"/>
          <w:sz w:val="18"/>
          <w:szCs w:val="18"/>
          <w:lang w:eastAsia="ja-JP"/>
        </w:rPr>
        <w:t>(11), 2456.</w:t>
      </w:r>
    </w:p>
    <w:p w14:paraId="46F07671" w14:textId="3DA4DBBC" w:rsidR="00E049CB" w:rsidRPr="005E6B7C" w:rsidRDefault="005E0AAD" w:rsidP="008C0D47">
      <w:pPr>
        <w:tabs>
          <w:tab w:val="left" w:pos="270"/>
          <w:tab w:val="left" w:pos="360"/>
        </w:tabs>
        <w:spacing w:line="230" w:lineRule="exact"/>
        <w:ind w:right="-23"/>
        <w:contextualSpacing/>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25. </w:t>
      </w:r>
      <w:r w:rsidR="00E049CB" w:rsidRPr="005E6B7C">
        <w:rPr>
          <w:rFonts w:asciiTheme="majorHAnsi" w:eastAsia="Yu Mincho" w:hAnsiTheme="majorHAnsi" w:cstheme="majorHAnsi"/>
          <w:color w:val="000000" w:themeColor="text1"/>
          <w:sz w:val="18"/>
          <w:szCs w:val="18"/>
          <w:lang w:eastAsia="ja-JP"/>
        </w:rPr>
        <w:t xml:space="preserve">Plotnikov M. B., Plotnikova T. M. (2021), Tyrosol as a neuroprotector: strong effects of a “weak” antioxidant. </w:t>
      </w:r>
      <w:r w:rsidR="00E049CB" w:rsidRPr="005E6B7C">
        <w:rPr>
          <w:rFonts w:asciiTheme="majorHAnsi" w:eastAsia="Yu Mincho" w:hAnsiTheme="majorHAnsi" w:cstheme="majorHAnsi"/>
          <w:i/>
          <w:iCs/>
          <w:color w:val="000000" w:themeColor="text1"/>
          <w:sz w:val="18"/>
          <w:szCs w:val="18"/>
          <w:lang w:eastAsia="ja-JP"/>
        </w:rPr>
        <w:t>Current Neuropharmacology</w:t>
      </w:r>
      <w:r w:rsidR="007A051F" w:rsidRPr="005E6B7C">
        <w:rPr>
          <w:rFonts w:asciiTheme="majorHAnsi" w:eastAsia="Yu Mincho" w:hAnsiTheme="majorHAnsi" w:cstheme="majorHAnsi"/>
          <w:iCs/>
          <w:color w:val="000000" w:themeColor="text1"/>
          <w:sz w:val="18"/>
          <w:szCs w:val="18"/>
          <w:lang w:eastAsia="ja-JP"/>
        </w:rPr>
        <w:t>,</w:t>
      </w:r>
      <w:r w:rsidR="007A051F" w:rsidRPr="005E6B7C">
        <w:rPr>
          <w:rFonts w:asciiTheme="majorHAnsi" w:eastAsia="Yu Mincho" w:hAnsiTheme="majorHAnsi" w:cstheme="majorHAnsi"/>
          <w:color w:val="000000" w:themeColor="text1"/>
          <w:sz w:val="18"/>
          <w:szCs w:val="18"/>
          <w:lang w:eastAsia="ja-JP"/>
        </w:rPr>
        <w:t xml:space="preserve"> </w:t>
      </w:r>
      <w:r w:rsidR="00E049CB" w:rsidRPr="005E6B7C">
        <w:rPr>
          <w:rFonts w:asciiTheme="majorHAnsi" w:eastAsia="Yu Mincho" w:hAnsiTheme="majorHAnsi" w:cstheme="majorHAnsi"/>
          <w:iCs/>
          <w:color w:val="000000" w:themeColor="text1"/>
          <w:sz w:val="18"/>
          <w:szCs w:val="18"/>
          <w:lang w:eastAsia="ja-JP"/>
        </w:rPr>
        <w:t>19</w:t>
      </w:r>
      <w:r w:rsidR="00E049CB" w:rsidRPr="005E6B7C">
        <w:rPr>
          <w:rFonts w:asciiTheme="majorHAnsi" w:eastAsia="Yu Mincho" w:hAnsiTheme="majorHAnsi" w:cstheme="majorHAnsi"/>
          <w:color w:val="000000" w:themeColor="text1"/>
          <w:sz w:val="18"/>
          <w:szCs w:val="18"/>
          <w:lang w:eastAsia="ja-JP"/>
        </w:rPr>
        <w:t>(4), 434-448.</w:t>
      </w:r>
    </w:p>
    <w:p w14:paraId="2713AE0D" w14:textId="5BAC5EA2" w:rsidR="00367819" w:rsidRPr="005E6B7C" w:rsidRDefault="00DA00BD" w:rsidP="003115FB">
      <w:pPr>
        <w:widowControl/>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r w:rsidR="00367819"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A9181D" w:rsidRPr="005E6B7C">
        <w:rPr>
          <w:rFonts w:asciiTheme="majorHAnsi" w:eastAsia="Yu Mincho" w:hAnsiTheme="majorHAnsi" w:cstheme="majorHAnsi"/>
          <w:b/>
          <w:bCs/>
          <w:i/>
          <w:color w:val="000000" w:themeColor="text1"/>
          <w:sz w:val="26"/>
          <w:szCs w:val="26"/>
          <w:lang w:eastAsia="ja-JP"/>
        </w:rPr>
        <w:t>. 42 - 48</w:t>
      </w:r>
      <w:r w:rsidR="00367819" w:rsidRPr="005E6B7C">
        <w:rPr>
          <w:rFonts w:asciiTheme="majorHAnsi" w:eastAsia="Yu Mincho" w:hAnsiTheme="majorHAnsi" w:cstheme="majorHAnsi"/>
          <w:b/>
          <w:bCs/>
          <w:i/>
          <w:color w:val="000000" w:themeColor="text1"/>
          <w:sz w:val="26"/>
          <w:szCs w:val="26"/>
          <w:lang w:eastAsia="ja-JP"/>
        </w:rPr>
        <w:t>)</w:t>
      </w:r>
    </w:p>
    <w:p w14:paraId="3908E9D6" w14:textId="77777777" w:rsidR="00367819" w:rsidRPr="005E6B7C" w:rsidRDefault="00367819" w:rsidP="008C0D47">
      <w:pPr>
        <w:tabs>
          <w:tab w:val="left" w:pos="270"/>
          <w:tab w:val="left" w:pos="9270"/>
        </w:tabs>
        <w:ind w:right="-20"/>
        <w:jc w:val="center"/>
        <w:rPr>
          <w:rFonts w:asciiTheme="majorHAnsi" w:eastAsia="Yu Mincho" w:hAnsiTheme="majorHAnsi" w:cstheme="majorHAnsi"/>
          <w:b/>
          <w:color w:val="000000" w:themeColor="text1"/>
          <w:sz w:val="22"/>
          <w:szCs w:val="22"/>
          <w:lang w:eastAsia="ja-JP"/>
        </w:rPr>
      </w:pPr>
    </w:p>
    <w:p w14:paraId="25FF8AAA" w14:textId="668F36F4" w:rsidR="00E049CB" w:rsidRPr="005E6B7C" w:rsidRDefault="00E049CB" w:rsidP="008C0D47">
      <w:pPr>
        <w:tabs>
          <w:tab w:val="left" w:pos="270"/>
          <w:tab w:val="left" w:pos="9270"/>
        </w:tabs>
        <w:ind w:right="-20"/>
        <w:jc w:val="center"/>
        <w:rPr>
          <w:rFonts w:asciiTheme="majorHAnsi" w:eastAsia="Yu Mincho" w:hAnsiTheme="majorHAnsi" w:cstheme="majorHAnsi"/>
          <w:b/>
          <w:i/>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LIGNANS AND OTHER COMPOUNDS FROM THE LEAVES OF </w:t>
      </w:r>
      <w:r w:rsidR="00EB175E" w:rsidRPr="005E6B7C">
        <w:rPr>
          <w:rFonts w:asciiTheme="majorHAnsi" w:eastAsia="Yu Mincho" w:hAnsiTheme="majorHAnsi" w:cstheme="majorHAnsi"/>
          <w:b/>
          <w:color w:val="000000" w:themeColor="text1"/>
          <w:sz w:val="26"/>
          <w:szCs w:val="26"/>
          <w:lang w:eastAsia="ja-JP"/>
        </w:rPr>
        <w:br/>
      </w:r>
      <w:r w:rsidRPr="005E6B7C">
        <w:rPr>
          <w:rFonts w:asciiTheme="majorHAnsi" w:eastAsia="Yu Mincho" w:hAnsiTheme="majorHAnsi" w:cstheme="majorHAnsi"/>
          <w:b/>
          <w:i/>
          <w:color w:val="000000" w:themeColor="text1"/>
          <w:sz w:val="26"/>
          <w:szCs w:val="26"/>
          <w:lang w:eastAsia="ja-JP"/>
        </w:rPr>
        <w:t>TRIADICA ROTUNDIFOLIA</w:t>
      </w:r>
      <w:r w:rsidRPr="005E6B7C">
        <w:rPr>
          <w:rFonts w:asciiTheme="majorHAnsi" w:eastAsia="Yu Mincho" w:hAnsiTheme="majorHAnsi" w:cstheme="majorHAnsi"/>
          <w:b/>
          <w:color w:val="000000" w:themeColor="text1"/>
          <w:sz w:val="26"/>
          <w:szCs w:val="26"/>
          <w:lang w:eastAsia="ja-JP"/>
        </w:rPr>
        <w:t xml:space="preserve"> </w:t>
      </w:r>
      <w:r w:rsidR="009D0AA6" w:rsidRPr="005E6B7C">
        <w:rPr>
          <w:rFonts w:asciiTheme="majorHAnsi" w:eastAsia="Yu Mincho" w:hAnsiTheme="majorHAnsi" w:cstheme="majorHAnsi"/>
          <w:b/>
          <w:color w:val="000000" w:themeColor="text1"/>
          <w:sz w:val="26"/>
          <w:szCs w:val="26"/>
          <w:lang w:eastAsia="ja-JP"/>
        </w:rPr>
        <w:t>WITH INHIBITORY ACTIVITY ON NITRIC OXIDE PRODUCTION</w:t>
      </w:r>
    </w:p>
    <w:p w14:paraId="57776004" w14:textId="77777777" w:rsidR="00E049CB" w:rsidRPr="005E6B7C" w:rsidRDefault="00E049CB" w:rsidP="008C0D47">
      <w:pPr>
        <w:tabs>
          <w:tab w:val="left" w:pos="270"/>
          <w:tab w:val="left" w:pos="9270"/>
        </w:tabs>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Ninh Khac Ban</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Tran My Linh</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Ninh Khac Thanh Tung</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Bui Van Thanh</w:t>
      </w:r>
      <w:r w:rsidRPr="005E6B7C">
        <w:rPr>
          <w:rFonts w:asciiTheme="majorHAnsi" w:eastAsia="Yu Mincho" w:hAnsiTheme="majorHAnsi" w:cstheme="majorHAnsi"/>
          <w:b/>
          <w:i/>
          <w:color w:val="000000" w:themeColor="text1"/>
          <w:sz w:val="22"/>
          <w:szCs w:val="22"/>
          <w:vertAlign w:val="superscript"/>
          <w:lang w:eastAsia="ja-JP"/>
        </w:rPr>
        <w:t>2</w:t>
      </w:r>
      <w:r w:rsidRPr="005E6B7C">
        <w:rPr>
          <w:rFonts w:asciiTheme="majorHAnsi" w:eastAsia="Yu Mincho" w:hAnsiTheme="majorHAnsi" w:cstheme="majorHAnsi"/>
          <w:b/>
          <w:i/>
          <w:color w:val="000000" w:themeColor="text1"/>
          <w:sz w:val="22"/>
          <w:szCs w:val="22"/>
          <w:lang w:eastAsia="ja-JP"/>
        </w:rPr>
        <w:t>,</w:t>
      </w:r>
    </w:p>
    <w:p w14:paraId="19AB6581" w14:textId="77777777" w:rsidR="00E049CB" w:rsidRPr="005E6B7C" w:rsidRDefault="00E049CB" w:rsidP="008C0D47">
      <w:pPr>
        <w:tabs>
          <w:tab w:val="left" w:pos="270"/>
          <w:tab w:val="left" w:pos="9270"/>
        </w:tabs>
        <w:ind w:right="-20"/>
        <w:jc w:val="center"/>
        <w:rPr>
          <w:rFonts w:asciiTheme="majorHAnsi" w:eastAsia="Yu Mincho" w:hAnsiTheme="majorHAnsi" w:cstheme="majorHAnsi"/>
          <w:b/>
          <w: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Pham Hai Yen</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Bui Huu Tai</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Phan Van Kiem</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 Nguyen Phuong Thao</w:t>
      </w:r>
      <w:r w:rsidRPr="005E6B7C">
        <w:rPr>
          <w:rFonts w:asciiTheme="majorHAnsi" w:eastAsia="Yu Mincho" w:hAnsiTheme="majorHAnsi" w:cstheme="majorHAnsi"/>
          <w:b/>
          <w:i/>
          <w:color w:val="000000" w:themeColor="text1"/>
          <w:sz w:val="22"/>
          <w:szCs w:val="22"/>
          <w:vertAlign w:val="superscript"/>
          <w:lang w:eastAsia="ja-JP"/>
        </w:rPr>
        <w:t>1,</w:t>
      </w:r>
      <w:r w:rsidRPr="005E6B7C">
        <w:rPr>
          <w:rFonts w:asciiTheme="majorHAnsi" w:eastAsia="Yu Mincho" w:hAnsiTheme="majorHAnsi" w:cstheme="majorHAnsi"/>
          <w:b/>
          <w:i/>
          <w:color w:val="000000" w:themeColor="text1"/>
          <w:sz w:val="22"/>
          <w:szCs w:val="22"/>
          <w:lang w:eastAsia="ja-JP"/>
        </w:rPr>
        <w:t>*</w:t>
      </w:r>
    </w:p>
    <w:p w14:paraId="5F61B67D" w14:textId="77777777" w:rsidR="00E049CB" w:rsidRPr="005E6B7C" w:rsidRDefault="00E049CB" w:rsidP="008C0D47">
      <w:pPr>
        <w:tabs>
          <w:tab w:val="left" w:pos="270"/>
          <w:tab w:val="left" w:pos="9270"/>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1</w:t>
      </w:r>
      <w:r w:rsidRPr="005E6B7C">
        <w:rPr>
          <w:rFonts w:asciiTheme="majorHAnsi" w:eastAsia="Yu Mincho" w:hAnsiTheme="majorHAnsi" w:cstheme="majorHAnsi"/>
          <w:i/>
          <w:color w:val="000000" w:themeColor="text1"/>
          <w:sz w:val="22"/>
          <w:szCs w:val="22"/>
          <w:lang w:eastAsia="ja-JP"/>
        </w:rPr>
        <w:t>Institute of Chemistry, Vietnam Academy of Science and Technology (VAST), Hanoi, Vietnam;</w:t>
      </w:r>
    </w:p>
    <w:p w14:paraId="42A2D531" w14:textId="23CC408F" w:rsidR="00E049CB" w:rsidRPr="005E6B7C" w:rsidRDefault="00E049CB" w:rsidP="008C0D47">
      <w:pPr>
        <w:tabs>
          <w:tab w:val="left" w:pos="270"/>
          <w:tab w:val="left" w:pos="9270"/>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Institute of Biology, VAST, Hanoi, Vietnam</w:t>
      </w:r>
    </w:p>
    <w:p w14:paraId="7BD9955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thaonp@ich.vast.vn</w:t>
      </w:r>
    </w:p>
    <w:p w14:paraId="6542EA98" w14:textId="77777777" w:rsidR="00223B62" w:rsidRPr="005E6B7C" w:rsidRDefault="00223B62"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March 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16</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532EA7DA" w14:textId="77777777" w:rsidR="00E049CB" w:rsidRPr="005E6B7C" w:rsidRDefault="00E049CB" w:rsidP="008C0D47">
      <w:pPr>
        <w:tabs>
          <w:tab w:val="left" w:pos="270"/>
          <w:tab w:val="left" w:pos="7244"/>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3FEA3FD8" w14:textId="1F3C0BA1" w:rsidR="00E049CB" w:rsidRPr="005E6B7C" w:rsidRDefault="00E049CB" w:rsidP="008C0D47">
      <w:pPr>
        <w:tabs>
          <w:tab w:val="left" w:pos="270"/>
          <w:tab w:val="left" w:pos="9270"/>
        </w:tabs>
        <w:ind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By employing chromatographic techniques, six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were successfully isolated from the leaves of </w:t>
      </w:r>
      <w:r w:rsidRPr="005E6B7C">
        <w:rPr>
          <w:rFonts w:asciiTheme="majorHAnsi" w:eastAsia="Yu Mincho" w:hAnsiTheme="majorHAnsi" w:cstheme="majorHAnsi"/>
          <w:i/>
          <w:color w:val="000000" w:themeColor="text1"/>
          <w:sz w:val="18"/>
          <w:szCs w:val="18"/>
          <w:lang w:eastAsia="ja-JP"/>
        </w:rPr>
        <w:t xml:space="preserve">Triadica rotundifolia </w:t>
      </w:r>
      <w:r w:rsidRPr="005E6B7C">
        <w:rPr>
          <w:rFonts w:asciiTheme="majorHAnsi" w:eastAsia="Yu Mincho" w:hAnsiTheme="majorHAnsi" w:cstheme="majorHAnsi"/>
          <w:color w:val="000000" w:themeColor="text1"/>
          <w:sz w:val="18"/>
          <w:szCs w:val="18"/>
          <w:lang w:eastAsia="ja-JP"/>
        </w:rPr>
        <w:t>(Hemsl.)  Esser. Their structures were elucidated to be (1</w:t>
      </w:r>
      <w:r w:rsidRPr="005E6B7C">
        <w:rPr>
          <w:rFonts w:asciiTheme="majorHAnsi" w:eastAsia="Yu Mincho" w:hAnsiTheme="majorHAnsi" w:cstheme="majorHAnsi"/>
          <w:i/>
          <w:color w:val="000000" w:themeColor="text1"/>
          <w:sz w:val="18"/>
          <w:szCs w:val="18"/>
          <w:lang w:eastAsia="ja-JP"/>
        </w:rPr>
        <w:t>S</w:t>
      </w: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i/>
          <w:color w:val="000000" w:themeColor="text1"/>
          <w:sz w:val="18"/>
          <w:szCs w:val="18"/>
          <w:lang w:eastAsia="ja-JP"/>
        </w:rPr>
        <w:t>S</w:t>
      </w:r>
      <w:r w:rsidRPr="005E6B7C">
        <w:rPr>
          <w:rFonts w:asciiTheme="majorHAnsi" w:eastAsia="Yu Mincho" w:hAnsiTheme="majorHAnsi" w:cstheme="majorHAnsi"/>
          <w:color w:val="000000" w:themeColor="text1"/>
          <w:sz w:val="18"/>
          <w:szCs w:val="18"/>
          <w:lang w:eastAsia="ja-JP"/>
        </w:rPr>
        <w:t>)-2-(4-hydroxy-3,5-dimethoxyphenyl)-1-(4-hydroxy-3-methoxyphenyl)-1-methoxy propanol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(1</w:t>
      </w:r>
      <w:r w:rsidRPr="005E6B7C">
        <w:rPr>
          <w:rFonts w:asciiTheme="majorHAnsi" w:eastAsia="Yu Mincho" w:hAnsiTheme="majorHAnsi" w:cstheme="majorHAnsi"/>
          <w:i/>
          <w:color w:val="000000" w:themeColor="text1"/>
          <w:sz w:val="18"/>
          <w:szCs w:val="18"/>
          <w:lang w:eastAsia="ja-JP"/>
        </w:rPr>
        <w:t>S</w:t>
      </w:r>
      <w:r w:rsidRPr="005E6B7C">
        <w:rPr>
          <w:rFonts w:asciiTheme="majorHAnsi" w:eastAsia="Yu Mincho" w:hAnsiTheme="majorHAnsi" w:cstheme="majorHAnsi"/>
          <w:color w:val="000000" w:themeColor="text1"/>
          <w:sz w:val="18"/>
          <w:szCs w:val="18"/>
          <w:lang w:eastAsia="ja-JP"/>
        </w:rPr>
        <w:t>,2</w:t>
      </w:r>
      <w:r w:rsidRPr="005E6B7C">
        <w:rPr>
          <w:rFonts w:asciiTheme="majorHAnsi" w:eastAsia="Yu Mincho" w:hAnsiTheme="majorHAnsi" w:cstheme="majorHAnsi"/>
          <w:i/>
          <w:color w:val="000000" w:themeColor="text1"/>
          <w:sz w:val="18"/>
          <w:szCs w:val="18"/>
          <w:lang w:eastAsia="ja-JP"/>
        </w:rPr>
        <w:t>R</w:t>
      </w:r>
      <w:r w:rsidRPr="005E6B7C">
        <w:rPr>
          <w:rFonts w:asciiTheme="majorHAnsi" w:eastAsia="Yu Mincho" w:hAnsiTheme="majorHAnsi" w:cstheme="majorHAnsi"/>
          <w:color w:val="000000" w:themeColor="text1"/>
          <w:sz w:val="18"/>
          <w:szCs w:val="18"/>
          <w:lang w:eastAsia="ja-JP"/>
        </w:rPr>
        <w:t>)-2-(4-hydroxy-3,5-dimethoxyphenyl)-1-(4-hydroxy-3-methoxyphenyl)-1-methoxypropane-3-ol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syringaresinol (</w:t>
      </w:r>
      <w:r w:rsidRPr="005E6B7C">
        <w:rPr>
          <w:rFonts w:asciiTheme="majorHAnsi" w:eastAsia="Yu Mincho" w:hAnsiTheme="majorHAnsi" w:cstheme="majorHAnsi"/>
          <w:b/>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 trimethyl-3,4-dihydrochebulate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methyl 3,4,5-trihydroxybenzoate (</w:t>
      </w:r>
      <w:r w:rsidRPr="005E6B7C">
        <w:rPr>
          <w:rFonts w:asciiTheme="majorHAnsi" w:eastAsia="Yu Mincho" w:hAnsiTheme="majorHAnsi" w:cstheme="majorHAnsi"/>
          <w:b/>
          <w:color w:val="000000" w:themeColor="text1"/>
          <w:sz w:val="18"/>
          <w:szCs w:val="18"/>
          <w:lang w:eastAsia="ja-JP"/>
        </w:rPr>
        <w:t>5</w:t>
      </w:r>
      <w:r w:rsidRPr="005E6B7C">
        <w:rPr>
          <w:rFonts w:asciiTheme="majorHAnsi" w:eastAsia="Yu Mincho" w:hAnsiTheme="majorHAnsi" w:cstheme="majorHAnsi"/>
          <w:color w:val="000000" w:themeColor="text1"/>
          <w:sz w:val="18"/>
          <w:szCs w:val="18"/>
          <w:lang w:eastAsia="ja-JP"/>
        </w:rPr>
        <w:t>), and 5-hydroxymethyl-2-furancarboxaldehyde (</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by detailed analysis of 1D, 2D NMR, and MS spectroscopic data as well as comparison with those reported. The absolute configurations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xml:space="preserve"> were further confirmed using experimental circular dichroism (CD) spectroscopy. Several compounds were evaluated for their inhibitory activity against the production of nitric oxide (NO) in lipopolysaccharide (LPS)-stimulated RAW264.7 cells.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were found to reduce NO levels in murine macrophage cells, with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ranging from 21.1 to 54.5 </w:t>
      </w:r>
      <w:r w:rsidRPr="005E6B7C">
        <w:rPr>
          <w:rFonts w:asciiTheme="majorHAnsi" w:eastAsia="Yu Mincho" w:hAnsiTheme="majorHAnsi" w:cstheme="majorHAnsi"/>
          <w:i/>
          <w:color w:val="000000" w:themeColor="text1"/>
          <w:sz w:val="18"/>
          <w:szCs w:val="18"/>
          <w:lang w:eastAsia="ja-JP"/>
        </w:rPr>
        <w:t>μ</w:t>
      </w:r>
      <w:r w:rsidRPr="005E6B7C">
        <w:rPr>
          <w:rFonts w:asciiTheme="majorHAnsi" w:eastAsia="Yu Mincho" w:hAnsiTheme="majorHAnsi" w:cstheme="majorHAnsi"/>
          <w:color w:val="000000" w:themeColor="text1"/>
          <w:sz w:val="18"/>
          <w:szCs w:val="18"/>
          <w:lang w:eastAsia="ja-JP"/>
        </w:rPr>
        <w:t xml:space="preserve">M. This study represents the first report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 xml:space="preserve"> isolated from </w:t>
      </w:r>
      <w:r w:rsidRPr="005E6B7C">
        <w:rPr>
          <w:rFonts w:asciiTheme="majorHAnsi" w:eastAsia="Yu Mincho" w:hAnsiTheme="majorHAnsi" w:cstheme="majorHAnsi"/>
          <w:i/>
          <w:color w:val="000000" w:themeColor="text1"/>
          <w:sz w:val="18"/>
          <w:szCs w:val="18"/>
          <w:lang w:eastAsia="ja-JP"/>
        </w:rPr>
        <w:t>T. rotundifolia</w:t>
      </w:r>
      <w:r w:rsidRPr="005E6B7C">
        <w:rPr>
          <w:rFonts w:asciiTheme="majorHAnsi" w:eastAsia="Yu Mincho" w:hAnsiTheme="majorHAnsi" w:cstheme="majorHAnsi"/>
          <w:color w:val="000000" w:themeColor="text1"/>
          <w:sz w:val="18"/>
          <w:szCs w:val="18"/>
          <w:lang w:eastAsia="ja-JP"/>
        </w:rPr>
        <w:t>.</w:t>
      </w:r>
    </w:p>
    <w:p w14:paraId="18A01FA8" w14:textId="77777777" w:rsidR="00E049CB" w:rsidRPr="005E6B7C" w:rsidRDefault="00E049CB" w:rsidP="008C0D47">
      <w:pPr>
        <w:tabs>
          <w:tab w:val="left" w:pos="270"/>
          <w:tab w:val="left" w:pos="9270"/>
        </w:tabs>
        <w:ind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Keywords:</w:t>
      </w:r>
      <w:r w:rsidRPr="005E6B7C">
        <w:rPr>
          <w:rFonts w:asciiTheme="majorHAnsi" w:eastAsia="Yu Mincho" w:hAnsiTheme="majorHAnsi" w:cstheme="majorHAnsi"/>
          <w:i/>
          <w:color w:val="000000" w:themeColor="text1"/>
          <w:sz w:val="18"/>
          <w:szCs w:val="18"/>
          <w:lang w:eastAsia="ja-JP"/>
        </w:rPr>
        <w:t xml:space="preserve"> Triadica rotundifolia</w:t>
      </w:r>
      <w:r w:rsidRPr="005E6B7C">
        <w:rPr>
          <w:rFonts w:asciiTheme="majorHAnsi" w:eastAsia="Yu Mincho" w:hAnsiTheme="majorHAnsi" w:cstheme="majorHAnsi"/>
          <w:color w:val="000000" w:themeColor="text1"/>
          <w:sz w:val="18"/>
          <w:szCs w:val="18"/>
          <w:lang w:eastAsia="ja-JP"/>
        </w:rPr>
        <w:t xml:space="preserve">; Euphorbiaceae; </w:t>
      </w:r>
      <w:r w:rsidRPr="005E6B7C">
        <w:rPr>
          <w:rFonts w:asciiTheme="majorHAnsi" w:eastAsia="Yu Mincho" w:hAnsiTheme="majorHAnsi" w:cstheme="majorHAnsi"/>
          <w:i/>
          <w:color w:val="000000" w:themeColor="text1"/>
          <w:sz w:val="18"/>
          <w:szCs w:val="18"/>
          <w:lang w:eastAsia="ja-JP"/>
        </w:rPr>
        <w:t>Lignan</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Phenolic</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NO inhibitory effect</w:t>
      </w:r>
      <w:r w:rsidRPr="005E6B7C">
        <w:rPr>
          <w:rFonts w:asciiTheme="majorHAnsi" w:eastAsia="Yu Mincho" w:hAnsiTheme="majorHAnsi" w:cstheme="majorHAnsi"/>
          <w:color w:val="000000" w:themeColor="text1"/>
          <w:sz w:val="18"/>
          <w:szCs w:val="18"/>
          <w:lang w:eastAsia="ja-JP"/>
        </w:rPr>
        <w:t>.</w:t>
      </w:r>
    </w:p>
    <w:p w14:paraId="51EB2FDF"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22"/>
          <w:szCs w:val="22"/>
          <w:lang w:eastAsia="ja-JP"/>
        </w:rPr>
      </w:pPr>
    </w:p>
    <w:p w14:paraId="46984E8F" w14:textId="77777777" w:rsidR="00A9181D" w:rsidRPr="005E6B7C" w:rsidRDefault="00A9181D" w:rsidP="008C0D47">
      <w:pPr>
        <w:tabs>
          <w:tab w:val="left" w:pos="270"/>
          <w:tab w:val="left" w:pos="9270"/>
        </w:tabs>
        <w:spacing w:line="240" w:lineRule="exact"/>
        <w:ind w:firstLine="284"/>
        <w:jc w:val="both"/>
        <w:rPr>
          <w:rFonts w:asciiTheme="majorHAnsi" w:eastAsia="Yu Mincho" w:hAnsiTheme="majorHAnsi" w:cstheme="majorHAnsi"/>
          <w:b/>
          <w:color w:val="000000" w:themeColor="text1"/>
          <w:sz w:val="22"/>
          <w:szCs w:val="22"/>
          <w:lang w:eastAsia="ja-JP"/>
        </w:rPr>
        <w:sectPr w:rsidR="00A9181D" w:rsidRPr="005E6B7C" w:rsidSect="002206BB">
          <w:type w:val="continuous"/>
          <w:pgSz w:w="10773" w:h="15309" w:code="9"/>
          <w:pgMar w:top="907" w:right="851" w:bottom="1418" w:left="851" w:header="397" w:footer="851" w:gutter="0"/>
          <w:cols w:space="284"/>
          <w:docGrid w:linePitch="360"/>
        </w:sectPr>
      </w:pPr>
    </w:p>
    <w:p w14:paraId="5C0AA7E7"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1FD82E99" w14:textId="5D96E2EC"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i/>
          <w:color w:val="000000" w:themeColor="text1"/>
          <w:spacing w:val="-4"/>
          <w:sz w:val="22"/>
          <w:szCs w:val="22"/>
          <w:lang w:eastAsia="ja-JP"/>
        </w:rPr>
        <w:t>Triadica</w:t>
      </w:r>
      <w:r w:rsidRPr="005E6B7C">
        <w:rPr>
          <w:rFonts w:asciiTheme="majorHAnsi" w:eastAsia="Yu Mincho" w:hAnsiTheme="majorHAnsi" w:cstheme="majorHAnsi"/>
          <w:color w:val="000000" w:themeColor="text1"/>
          <w:spacing w:val="-4"/>
          <w:sz w:val="22"/>
          <w:szCs w:val="22"/>
          <w:lang w:eastAsia="ja-JP"/>
        </w:rPr>
        <w:t xml:space="preserve"> is a genus of Euphorbiaceae with approximately 120 species distributed </w:t>
      </w:r>
      <w:r w:rsidR="00E8693C" w:rsidRPr="005E6B7C">
        <w:rPr>
          <w:rFonts w:asciiTheme="majorHAnsi" w:eastAsia="Yu Mincho" w:hAnsiTheme="majorHAnsi" w:cstheme="majorHAnsi"/>
          <w:color w:val="000000" w:themeColor="text1"/>
          <w:spacing w:val="-4"/>
          <w:sz w:val="22"/>
          <w:szCs w:val="22"/>
          <w:lang w:eastAsia="ja-JP"/>
        </w:rPr>
        <w:t>worldwide</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&lt;EndNote&gt;&lt;Cite&gt;&lt;Author&gt;Muqarrabun&lt;/Author&gt;&lt;Year&gt;2014&lt;/Year&gt;&lt;RecNum&gt;272&lt;/RecNum&gt;&lt;DisplayText&gt;[1]&lt;/DisplayText&gt;&lt;record&gt;&lt;rec-number&gt;272&lt;/rec-number&gt;&lt;foreign-keys&gt;&lt;key app="EN" db-id="9sr5eszf50a29ae55xgpdt5w0vxdz95ex2xv" timestamp="1753496642"&gt;272&lt;/key&gt;&lt;/foreign-keys&gt;&lt;ref-type name="Journal Article"&gt;17&lt;/ref-type&gt;&lt;contributors&gt;&lt;authors&gt;&lt;author&gt;L. M. R. Al Muqarrabun&lt;/author&gt;&lt;author&gt;N. Ahmat&lt;/author&gt;&lt;author&gt;S. Ruzaina S. Aris&lt;/author&gt;&lt;/authors&gt;&lt;/contributors&gt;&lt;titles&gt;&lt;title&gt;&lt;style face="normal" font="default" size="100%"&gt;A review of the medicinal uses, phytochemistry and pharmacology of the genus&lt;/style&gt;&lt;style face="italic" font="default" size="100%"&gt; Sapium&lt;/style&gt;&lt;/title&gt;&lt;secondary-title&gt;Journal of Ethnopharmacology&lt;/secondary-title&gt;&lt;/titles&gt;&lt;periodical&gt;&lt;full-title&gt;Journal of Ethnopharmacology&lt;/full-title&gt;&lt;/periodical&gt;&lt;pages&gt;9-20&lt;/pages&gt;&lt;volume&gt;155&lt;/volume&gt;&lt;number&gt;1&lt;/number&gt;&lt;section&gt;9&lt;/section&gt;&lt;dates&gt;&lt;year&gt;2014&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Several species within this genus are widely employed in traditional medicine across Asia, Africa, and South America. Ethnomedicinal applications include the treatment of dermatological disorders, musculoskeletal pain, digestive and urinary ailments, hernia, wound infections, and inflammatory conditions. In many regions, preparations such as decoctions, powders, or topical applications are also used for respiratory complaints, malaria, anemia, fever, and parasitic diseases, reflecting the broad therapeutic relevance of this genus in indigenous healthcare systems </w: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PEVuZE5vdGU+PENpdGU+PEF1dGhvcj5TdTwvQXV0aG9yPjxZZWFyPjIwMjY8L1llYXI+PFJlY051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</w:fldData>
        </w:fldChar>
      </w:r>
      <w:r w:rsidRPr="005E6B7C">
        <w:rPr>
          <w:rFonts w:asciiTheme="majorHAnsi" w:eastAsia="Yu Mincho" w:hAnsiTheme="majorHAnsi" w:cstheme="majorHAnsi"/>
          <w:color w:val="000000" w:themeColor="text1"/>
          <w:spacing w:val="-4"/>
          <w:sz w:val="22"/>
          <w:szCs w:val="22"/>
          <w:lang w:eastAsia="ja-JP"/>
        </w:rPr>
        <w:instrText xml:space="preserve"> ADDIN EN.CITE </w:instrTex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PEVuZE5vdGU+PENpdGU+PEF1dGhvcj5TdTwvQXV0aG9yPjxZZWFyPjIwMjY8L1llYXI+PFJlY051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</w:fldData>
        </w:fldChar>
      </w:r>
      <w:r w:rsidRPr="005E6B7C">
        <w:rPr>
          <w:rFonts w:asciiTheme="majorHAnsi" w:eastAsia="Yu Mincho" w:hAnsiTheme="majorHAnsi" w:cstheme="majorHAnsi"/>
          <w:color w:val="000000" w:themeColor="text1"/>
          <w:spacing w:val="-4"/>
          <w:sz w:val="22"/>
          <w:szCs w:val="22"/>
          <w:lang w:eastAsia="ja-JP"/>
        </w:rPr>
        <w:instrText xml:space="preserve"> ADDIN EN.CITE.DATA </w:instrText>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[1],[2],[3],[4]</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Phytochemical work on this genus has revealed the presence of a wide array of diterpenoids, triterpenoids, flavonoids, lignanoids, and coumarins </w: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PEVuZE5vdGU+PENpdGU+PEF1dGhvcj5NdXFhcnJhYnVuPC9BdXRob3I+PFllYXI+MjAxNDwvWWVh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</w:fldData>
        </w:fldChar>
      </w:r>
      <w:r w:rsidRPr="005E6B7C">
        <w:rPr>
          <w:rFonts w:asciiTheme="majorHAnsi" w:eastAsia="Yu Mincho" w:hAnsiTheme="majorHAnsi" w:cstheme="majorHAnsi"/>
          <w:color w:val="000000" w:themeColor="text1"/>
          <w:spacing w:val="-4"/>
          <w:sz w:val="22"/>
          <w:szCs w:val="22"/>
          <w:lang w:eastAsia="ja-JP"/>
        </w:rPr>
        <w:instrText xml:space="preserve"> ADDIN EN.CITE </w:instrTex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PEVuZE5vdGU+PENpdGU+PEF1dGhvcj5NdXFhcnJhYnVuPC9BdXRob3I+PFllYXI+MjAxNDwvWWVh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</w:fldData>
        </w:fldChar>
      </w:r>
      <w:r w:rsidRPr="005E6B7C">
        <w:rPr>
          <w:rFonts w:asciiTheme="majorHAnsi" w:eastAsia="Yu Mincho" w:hAnsiTheme="majorHAnsi" w:cstheme="majorHAnsi"/>
          <w:color w:val="000000" w:themeColor="text1"/>
          <w:spacing w:val="-4"/>
          <w:sz w:val="22"/>
          <w:szCs w:val="22"/>
          <w:lang w:eastAsia="ja-JP"/>
        </w:rPr>
        <w:instrText xml:space="preserve"> ADDIN EN.CITE.DATA </w:instrText>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[1],[2]</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w:t>
      </w:r>
    </w:p>
    <w:p w14:paraId="438069B7" w14:textId="199535D7" w:rsidR="00F5234A"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i/>
          <w:color w:val="000000" w:themeColor="text1"/>
          <w:spacing w:val="-4"/>
          <w:sz w:val="22"/>
          <w:szCs w:val="22"/>
          <w:lang w:eastAsia="ja-JP"/>
        </w:rPr>
        <w:t xml:space="preserve">Triadica rotundifolia </w:t>
      </w:r>
      <w:r w:rsidRPr="005E6B7C">
        <w:rPr>
          <w:rFonts w:asciiTheme="majorHAnsi" w:eastAsia="Yu Mincho" w:hAnsiTheme="majorHAnsi" w:cstheme="majorHAnsi"/>
          <w:color w:val="000000" w:themeColor="text1"/>
          <w:spacing w:val="-4"/>
          <w:sz w:val="22"/>
          <w:szCs w:val="22"/>
          <w:lang w:eastAsia="ja-JP"/>
        </w:rPr>
        <w:t>(Hemsl.) Esser</w:t>
      </w:r>
      <w:r w:rsidRPr="005E6B7C">
        <w:rPr>
          <w:rFonts w:asciiTheme="majorHAnsi" w:eastAsia="Yu Mincho" w:hAnsiTheme="majorHAnsi" w:cstheme="majorHAnsi"/>
          <w: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(syn.</w:t>
      </w:r>
      <w:r w:rsidRPr="005E6B7C">
        <w:rPr>
          <w:rFonts w:asciiTheme="majorHAnsi" w:eastAsia="Yu Mincho" w:hAnsiTheme="majorHAnsi" w:cstheme="majorHAnsi"/>
          <w:i/>
          <w:color w:val="000000" w:themeColor="text1"/>
          <w:spacing w:val="-4"/>
          <w:sz w:val="22"/>
          <w:szCs w:val="22"/>
          <w:lang w:eastAsia="ja-JP"/>
        </w:rPr>
        <w:t xml:space="preserve"> Sapium rotundifolium </w:t>
      </w:r>
      <w:r w:rsidRPr="005E6B7C">
        <w:rPr>
          <w:rFonts w:asciiTheme="majorHAnsi" w:eastAsia="Yu Mincho" w:hAnsiTheme="majorHAnsi" w:cstheme="majorHAnsi"/>
          <w:color w:val="000000" w:themeColor="text1"/>
          <w:spacing w:val="-4"/>
          <w:sz w:val="22"/>
          <w:szCs w:val="22"/>
          <w:lang w:eastAsia="ja-JP"/>
        </w:rPr>
        <w:t xml:space="preserve">Hemsl.) is one of six species reported in Vietnam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&lt;EndNote&gt;&lt;Cite&gt;&lt;Author&gt;Ban&lt;/Author&gt;&lt;Year&gt;2003&lt;/Year&gt;&lt;RecNum&gt;280&lt;/RecNum&gt;&lt;DisplayText&gt;[5]&lt;/DisplayText&gt;&lt;record&gt;&lt;rec-number&gt;280&lt;/rec-number&gt;&lt;foreign-keys&gt;&lt;key app="EN" db-id="9sr5eszf50a29ae55xgpdt5w0vxdz95ex2xv" timestamp="1753848114"&gt;280&lt;/key&gt;&lt;/foreign-keys&gt;&lt;ref-type name="Journal Article"&gt;17&lt;/ref-type&gt;&lt;contributors&gt;&lt;authors&gt;&lt;author&gt;Nguyen Tien Ban&lt;/author&gt;&lt;author&gt;Nguyen Khac Khoi&lt;/author&gt;&lt;author&gt;Vu Xuan Phuong&lt;/author&gt;&lt;author&gt;Tran Thi Phuong Anh&lt;/author&gt;&lt;author&gt;&lt;style face="normal" font="default" charset="238" size="100%"&gt;L&lt;/style&gt;&lt;style face="normal" font="default" size="100%"&gt;e Kim Bien&lt;/style&gt;&lt;/author&gt;&lt;author&gt;Nguyen Quoc Binh&lt;/author&gt;&lt;author&gt;Ha Thi Dung&lt;/author&gt;&lt;/authors&gt;&lt;/contributors&gt;&lt;titles&gt;&lt;title&gt;Check List of Plant Species of Vietnam&lt;/title&gt;&lt;secondary-title&gt;Agricultural Publishing House&lt;/secondary-title&gt;&lt;/titles&gt;&lt;periodical&gt;&lt;full-title&gt;Agricultural Publishing House&lt;/full-title&gt;&lt;/periodical&gt;&lt;pages&gt;643-644&lt;/pages&gt;&lt;volume&gt;Part II&lt;/volume&gt;&lt;section&gt;643&lt;/section&gt;&lt;dates&gt;&lt;year&gt;2003&lt;/year&gt;&lt;/dates&gt;&lt;urls&gt;&lt;/urls&gt;&lt;/record&gt;&lt;/Cite&gt;&lt;/EndNote&gt;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This shrub is widely distributed in northern Vietnam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&lt;EndNote&gt;&lt;Cite&gt;&lt;Author&gt;Chi&lt;/Author&gt;&lt;Year&gt;2018&lt;/Year&gt;&lt;RecNum&gt;268&lt;/RecNum&gt;&lt;DisplayText&gt;[6]&lt;/DisplayText&gt;&lt;record&gt;&lt;rec-number&gt;268&lt;/rec-number&gt;&lt;foreign-keys&gt;&lt;key app="EN" db-id="9sr5eszf50a29ae55xgpdt5w0vxdz95ex2xv" timestamp="1753495500"&gt;268&lt;/key&gt;&lt;/foreign-keys&gt;&lt;ref-type name="Journal Article"&gt;17&lt;/ref-type&gt;&lt;contributors&gt;&lt;authors&gt;&lt;author&gt;Vo Van Chi&lt;/author&gt;&lt;/authors&gt;&lt;/contributors&gt;&lt;titles&gt;&lt;title&gt;Dictionary of Vietnamese Medicinal Plants&lt;/title&gt;&lt;secondary-title&gt;Medical Publshing House&lt;/secondary-title&gt;&lt;/titles&gt;&lt;periodical&gt;&lt;full-title&gt;Medical Publshing House&lt;/full-title&gt;&lt;/periodical&gt;&lt;pages&gt;p. 702&lt;/pages&gt;&lt;volume&gt;Vol. 2&lt;/volume&gt;&lt;section&gt;p. 702&lt;/section&gt;&lt;dates&gt;&lt;year&gt;2018&lt;/year&gt;&lt;/dates&gt;&lt;urls&gt;&lt;/urls&gt;&lt;/record&gt;&lt;/Cite&gt;&lt;/EndNote&gt;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[6]</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and is also found in several temperate and tropical regions of Asia, including Cambodia, China, Malaysia, and Thailand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&lt;EndNote&gt;&lt;Cite&gt;&lt;Author&gt;Lai&lt;/Author&gt;&lt;Year&gt;2004&lt;/Year&gt;&lt;RecNum&gt;316&lt;/RecNum&gt;&lt;DisplayText&gt;[3]&lt;/DisplayText&gt;&lt;record&gt;&lt;rec-number&gt;316&lt;/rec-number&gt;&lt;foreign-keys&gt;&lt;key app="EN" db-id="9sr5eszf50a29ae55xgpdt5w0vxdz95ex2xv" timestamp="1757319666"&gt;316&lt;/key&gt;&lt;/foreign-keys&gt;&lt;ref-type name="Journal Article"&gt;17&lt;/ref-type&gt;&lt;contributors&gt;&lt;authors&gt;&lt;author&gt;Xu Zeng Lai&lt;/author&gt;&lt;author&gt;Yu Bo Yang&lt;/author&gt;&lt;author&gt;Xu Luo Shan&lt;/author&gt;&lt;/authors&gt;&lt;/contributors&gt;&lt;titles&gt;&lt;title&gt;&lt;style face="normal" font="default" size="100%"&gt;The investigation of&lt;/style&gt;&lt;style face="italic" font="default" size="100%"&gt; Euphorbiaceous &lt;/style&gt;&lt;style face="normal" font="default" size="100%"&gt;medicinal plants in Southern China&lt;/style&gt;&lt;/title&gt;&lt;secondary-title&gt;Economic Botany&lt;/secondary-title&gt;&lt;/titles&gt;&lt;periodical&gt;&lt;full-title&gt;Economic Botany&lt;/full-title&gt;&lt;/periodical&gt;&lt;pages&gt;S307–S320&lt;/pages&gt;&lt;volume&gt;58&lt;/volume&gt;&lt;section&gt;S307&lt;/section&gt;&lt;dates&gt;&lt;year&gt;2004&lt;/year&gt;&lt;/dates&gt;&lt;urls&gt;&lt;/urls&gt;&lt;/record&gt;&lt;/Cite&gt;&lt;/EndNote&gt;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[3]</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The leaves and stems of </w:t>
      </w:r>
      <w:r w:rsidRPr="005E6B7C">
        <w:rPr>
          <w:rFonts w:asciiTheme="majorHAnsi" w:eastAsia="Yu Mincho" w:hAnsiTheme="majorHAnsi" w:cstheme="majorHAnsi"/>
          <w:i/>
          <w:color w:val="000000" w:themeColor="text1"/>
          <w:spacing w:val="-4"/>
          <w:sz w:val="22"/>
          <w:szCs w:val="22"/>
          <w:lang w:eastAsia="ja-JP"/>
        </w:rPr>
        <w:t xml:space="preserve">T. rotundifolia </w:t>
      </w:r>
      <w:r w:rsidRPr="005E6B7C">
        <w:rPr>
          <w:rFonts w:asciiTheme="majorHAnsi" w:eastAsia="Yu Mincho" w:hAnsiTheme="majorHAnsi" w:cstheme="majorHAnsi"/>
          <w:color w:val="000000" w:themeColor="text1"/>
          <w:spacing w:val="-4"/>
          <w:sz w:val="22"/>
          <w:szCs w:val="22"/>
          <w:lang w:eastAsia="ja-JP"/>
        </w:rPr>
        <w:t xml:space="preserve">have traditionally been used in folk medicine to treat various conditions, such as acute skin disease, detoxification-related ailments, eczema, herpes zoster, snake bites, scabies, and ulcers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&lt;EndNote&gt;&lt;Cite&gt;&lt;Author&gt;Lai&lt;/Author&gt;&lt;Year&gt;2004&lt;/Year&gt;&lt;RecNum&gt;316&lt;/RecNum&gt;&lt;DisplayText&gt;[3],[4]&lt;/DisplayText&gt;&lt;record&gt;&lt;rec-number&gt;316&lt;/rec-number&gt;&lt;foreign-keys&gt;&lt;key app="EN" db-id="9sr5eszf50a29ae55xgpdt5w0vxdz95ex2xv" timestamp="1757319666"&gt;316&lt;/key&gt;&lt;/foreign-keys&gt;&lt;ref-type name="Journal Article"&gt;17&lt;/ref-type&gt;&lt;contributors&gt;&lt;authors&gt;&lt;author&gt;Xu Zeng Lai&lt;/author&gt;&lt;author&gt;Yu Bo Yang&lt;/author&gt;&lt;author&gt;Xu Luo Shan&lt;/author&gt;&lt;/authors&gt;&lt;/contributors&gt;&lt;titles&gt;&lt;title&gt;&lt;style face="normal" font="default" size="100%"&gt;The investigation of&lt;/style&gt;&lt;style face="italic" font="default" size="100%"&gt; Euphorbiaceous &lt;/style&gt;&lt;style face="normal" font="default" size="100%"&gt;medicinal plants in Southern China&lt;/style&gt;&lt;/title&gt;&lt;secondary-title&gt;Economic Botany&lt;/secondary-title&gt;&lt;/titles&gt;&lt;periodical&gt;&lt;full-title&gt;Economic Botany&lt;/full-title&gt;&lt;/periodical&gt;&lt;pages&gt;S307–S320&lt;/pages&gt;&lt;volume&gt;58&lt;/volume&gt;&lt;section&gt;S307&lt;/section&gt;&lt;dates&gt;&lt;year&gt;2004&lt;/year&gt;&lt;/dates&gt;&lt;urls&gt;&lt;/urls&gt;&lt;/record&gt;&lt;/Cite&gt;&lt;Cite&gt;&lt;Author&gt;He&lt;/Author&gt;&lt;Year&gt;2021&lt;/Year&gt;&lt;RecNum&gt;269&lt;/RecNum&gt;&lt;record&gt;&lt;rec-number&gt;269&lt;/rec-number&gt;&lt;foreign-keys&gt;&lt;key app="EN" db-id="9sr5eszf50a29ae55xgpdt5w0vxdz95ex2xv" timestamp="1753495933"&gt;269&lt;/key&gt;&lt;/foreign-keys&gt;&lt;ref-type name="Journal Article"&gt;17&lt;/ref-type&gt;&lt;contributors&gt;&lt;authors&gt;&lt;author&gt;Qiaobian He&lt;/author&gt;&lt;author&gt;Li Zhang&lt;/author&gt;&lt;author&gt;Ting Li&lt;/author&gt;&lt;author&gt;Changhao Li&lt;/author&gt;&lt;author&gt;Huina Song&lt;/author&gt;&lt;author&gt;Peihong Fan&lt;/author&gt;&lt;/authors&gt;&lt;/contributors&gt;&lt;titles&gt;&lt;title&gt;&lt;style face="normal" font="default" size="100%"&gt;Genus &lt;/style&gt;&lt;style face="italic" font="default" size="100%"&gt;Sapium&lt;/style&gt;&lt;style face="normal" font="default" size="100%"&gt; (Euphorbiaceae): A review on traditional uses, phytochemistry, and pharmacology&lt;/style&gt;&lt;/title&gt;&lt;secondary-title&gt;Journal of Ethnopharmacology&lt;/secondary-title&gt;&lt;/titles&gt;&lt;periodical&gt;&lt;full-title&gt;Journal of Ethnopharmacology&lt;/full-title&gt;&lt;/periodical&gt;&lt;pages&gt;e114206&lt;/pages&gt;&lt;volume&gt;277&lt;/volume&gt;&lt;section&gt;e114206&lt;/section&gt;&lt;dates&gt;&lt;year&gt;2021&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[3],[4]</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 xml:space="preserve">However, there is a lack of phytochemical and pharmacological data on this plant. To date, only one study has reported the presence of diterpenoid and triterpenoid compounds, which have attracted interest because of their potential anti-inflammatory activity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&lt;EndNote&gt;&lt;Cite&gt;&lt;Author&gt;Zhao&lt;/Author&gt;&lt;Year&gt;2020&lt;/Year&gt;&lt;RecNum&gt;317&lt;/RecNum&gt;&lt;DisplayText&gt;[7]&lt;/DisplayText&gt;&lt;record&gt;&lt;rec-number&gt;317&lt;/rec-number&gt;&lt;foreign-keys&gt;&lt;key app="EN" db-id="9sr5eszf50a29ae55xgpdt5w0vxdz95ex2xv" timestamp="1757319957"&gt;317&lt;/key&gt;&lt;/foreign-keys&gt;&lt;ref-type name="Journal Article"&gt;17&lt;/ref-type&gt;&lt;contributors&gt;&lt;authors&gt;&lt;author&gt;Hai Yan Zhao&lt;/author&gt;&lt;author&gt;Bao Jun Su&lt;/author&gt;&lt;author&gt;Wang Jing Zhou&lt;/author&gt;&lt;author&gt;Ya Qi Wang&lt;/author&gt;&lt;author&gt;Hai Bing Liao&lt;/author&gt;&lt;author&gt;Heng Shan Wang&lt;/author&gt;&lt;author&gt;Dong Liang&lt;/author&gt;&lt;/authors&gt;&lt;/contributors&gt;&lt;titles&gt;&lt;title&gt;&lt;style face="normal" font="default" size="100%"&gt;Diterpenoids and triterpenoids from&lt;/style&gt;&lt;style face="italic" font="default" size="100%"&gt; Triadica rotundifolia&lt;/style&gt;&lt;style face="normal" font="default" size="100%"&gt; and their effects on microglial nitric oxide production&lt;/style&gt;&lt;/title&gt;&lt;secondary-title&gt;Bioorganic Chemistry&lt;/secondary-title&gt;&lt;/titles&gt;&lt;periodical&gt;&lt;full-title&gt;Bioorganic Chemistry&lt;/full-title&gt;&lt;/periodical&gt;&lt;pages&gt;e104332&lt;/pages&gt;&lt;volume&gt;105&lt;/volume&gt;&lt;section&gt;e104332&lt;/section&gt;&lt;dates&gt;&lt;year&gt;2020&lt;/year&gt;&lt;/dates&gt;&lt;urls&gt;&lt;/urls&gt;&lt;/record&gt;&lt;/Cite&gt;&lt;/EndNote&gt;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[7]</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In continuation of our interest in the phytochemistry of plants belonging to the</w:t>
      </w:r>
      <w:r w:rsidR="00F5234A" w:rsidRPr="005E6B7C">
        <w:rPr>
          <w:rFonts w:asciiTheme="majorHAnsi" w:eastAsia="Yu Mincho" w:hAnsiTheme="majorHAnsi" w:cstheme="majorHAnsi"/>
          <w:color w:val="000000" w:themeColor="text1"/>
          <w:spacing w:val="-4"/>
          <w:sz w:val="22"/>
          <w:szCs w:val="22"/>
          <w:lang w:eastAsia="ja-JP"/>
        </w:rPr>
        <w:t xml:space="preserve"> genus </w:t>
      </w:r>
      <w:r w:rsidR="00F5234A" w:rsidRPr="005E6B7C">
        <w:rPr>
          <w:rFonts w:asciiTheme="majorHAnsi" w:eastAsia="Yu Mincho" w:hAnsiTheme="majorHAnsi" w:cstheme="majorHAnsi"/>
          <w:i/>
          <w:color w:val="000000" w:themeColor="text1"/>
          <w:spacing w:val="-4"/>
          <w:sz w:val="22"/>
          <w:szCs w:val="22"/>
          <w:lang w:eastAsia="ja-JP"/>
        </w:rPr>
        <w:t>Triadica</w:t>
      </w:r>
      <w:r w:rsidR="00F5234A" w:rsidRPr="005E6B7C">
        <w:rPr>
          <w:rFonts w:asciiTheme="majorHAnsi" w:eastAsia="Yu Mincho" w:hAnsiTheme="majorHAnsi" w:cstheme="majorHAnsi"/>
          <w:color w:val="000000" w:themeColor="text1"/>
          <w:spacing w:val="-4"/>
          <w:sz w:val="22"/>
          <w:szCs w:val="22"/>
          <w:lang w:eastAsia="ja-JP"/>
        </w:rPr>
        <w:t xml:space="preserve">, we have conducted further studies on the leaves of </w:t>
      </w:r>
      <w:r w:rsidR="00F5234A" w:rsidRPr="005E6B7C">
        <w:rPr>
          <w:rFonts w:asciiTheme="majorHAnsi" w:eastAsia="Yu Mincho" w:hAnsiTheme="majorHAnsi" w:cstheme="majorHAnsi"/>
          <w:i/>
          <w:color w:val="000000" w:themeColor="text1"/>
          <w:spacing w:val="-4"/>
          <w:sz w:val="22"/>
          <w:szCs w:val="22"/>
          <w:lang w:eastAsia="ja-JP"/>
        </w:rPr>
        <w:t>T. rotundifolia</w:t>
      </w:r>
      <w:r w:rsidR="00F5234A" w:rsidRPr="005E6B7C">
        <w:rPr>
          <w:rFonts w:asciiTheme="majorHAnsi" w:eastAsia="Yu Mincho" w:hAnsiTheme="majorHAnsi" w:cstheme="majorHAnsi"/>
          <w:color w:val="000000" w:themeColor="text1"/>
          <w:spacing w:val="-4"/>
          <w:sz w:val="22"/>
          <w:szCs w:val="22"/>
          <w:lang w:eastAsia="ja-JP"/>
        </w:rPr>
        <w:t xml:space="preserve"> and isolated six compounds (</w:t>
      </w:r>
      <w:r w:rsidR="00F5234A" w:rsidRPr="005E6B7C">
        <w:rPr>
          <w:rFonts w:asciiTheme="majorHAnsi" w:eastAsia="Yu Mincho" w:hAnsiTheme="majorHAnsi" w:cstheme="majorHAnsi"/>
          <w:b/>
          <w:color w:val="000000" w:themeColor="text1"/>
          <w:spacing w:val="-4"/>
          <w:sz w:val="22"/>
          <w:szCs w:val="22"/>
          <w:lang w:eastAsia="ja-JP"/>
        </w:rPr>
        <w:t>1</w:t>
      </w:r>
      <w:r w:rsidR="00F5234A" w:rsidRPr="005E6B7C">
        <w:rPr>
          <w:rFonts w:asciiTheme="majorHAnsi" w:eastAsia="Yu Mincho" w:hAnsiTheme="majorHAnsi" w:cstheme="majorHAnsi"/>
          <w:color w:val="000000" w:themeColor="text1"/>
          <w:spacing w:val="-4"/>
          <w:sz w:val="22"/>
          <w:szCs w:val="22"/>
          <w:lang w:eastAsia="ja-JP"/>
        </w:rPr>
        <w:t>−</w:t>
      </w:r>
      <w:r w:rsidR="00F5234A" w:rsidRPr="005E6B7C">
        <w:rPr>
          <w:rFonts w:asciiTheme="majorHAnsi" w:eastAsia="Yu Mincho" w:hAnsiTheme="majorHAnsi" w:cstheme="majorHAnsi"/>
          <w:b/>
          <w:color w:val="000000" w:themeColor="text1"/>
          <w:spacing w:val="-4"/>
          <w:sz w:val="22"/>
          <w:szCs w:val="22"/>
          <w:lang w:eastAsia="ja-JP"/>
        </w:rPr>
        <w:t>6</w:t>
      </w:r>
      <w:r w:rsidR="00F5234A" w:rsidRPr="005E6B7C">
        <w:rPr>
          <w:rFonts w:asciiTheme="majorHAnsi" w:eastAsia="Yu Mincho" w:hAnsiTheme="majorHAnsi" w:cstheme="majorHAnsi"/>
          <w:color w:val="000000" w:themeColor="text1"/>
          <w:spacing w:val="-4"/>
          <w:sz w:val="22"/>
          <w:szCs w:val="22"/>
          <w:lang w:eastAsia="ja-JP"/>
        </w:rPr>
        <w:t>, Fig. 1). In addition, the NO production inhibitory activity of these phytochemicals was also evaluated.</w:t>
      </w:r>
    </w:p>
    <w:p w14:paraId="30646BEC" w14:textId="77777777" w:rsidR="00E049CB" w:rsidRPr="005E6B7C" w:rsidRDefault="00E049CB" w:rsidP="00A95C51">
      <w:pPr>
        <w:tabs>
          <w:tab w:val="left" w:pos="270"/>
          <w:tab w:val="left" w:pos="9270"/>
        </w:tabs>
        <w:ind w:right="-20"/>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noProof/>
          <w:color w:val="000000" w:themeColor="text1"/>
          <w:sz w:val="22"/>
          <w:szCs w:val="22"/>
        </w:rPr>
        <w:drawing>
          <wp:inline distT="0" distB="0" distL="0" distR="0" wp14:anchorId="3FEF4601" wp14:editId="595D5D1E">
            <wp:extent cx="2769590" cy="2527300"/>
            <wp:effectExtent l="0" t="0" r="0" b="0"/>
            <wp:docPr id="1563944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lum bright="-40000" contrast="-40000"/>
                    </a:blip>
                    <a:stretch>
                      <a:fillRect/>
                    </a:stretch>
                  </pic:blipFill>
                  <pic:spPr>
                    <a:xfrm>
                      <a:off x="0" y="0"/>
                      <a:ext cx="2770148" cy="2527810"/>
                    </a:xfrm>
                    <a:prstGeom prst="rect">
                      <a:avLst/>
                    </a:prstGeom>
                  </pic:spPr>
                </pic:pic>
              </a:graphicData>
            </a:graphic>
          </wp:inline>
        </w:drawing>
      </w:r>
    </w:p>
    <w:p w14:paraId="178CF96E"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lastRenderedPageBreak/>
        <w:t xml:space="preserve">Fig. 1. </w:t>
      </w:r>
      <w:r w:rsidRPr="005E6B7C">
        <w:rPr>
          <w:rFonts w:asciiTheme="majorHAnsi" w:eastAsia="Yu Mincho" w:hAnsiTheme="majorHAnsi" w:cstheme="majorHAnsi"/>
          <w:color w:val="000000" w:themeColor="text1"/>
          <w:sz w:val="18"/>
          <w:szCs w:val="18"/>
          <w:lang w:eastAsia="ja-JP"/>
        </w:rPr>
        <w:t xml:space="preserve">Chemical structures of compounds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6</w:t>
      </w:r>
      <w:r w:rsidRPr="005E6B7C">
        <w:rPr>
          <w:rFonts w:asciiTheme="majorHAnsi" w:eastAsia="Yu Mincho" w:hAnsiTheme="majorHAnsi" w:cstheme="majorHAnsi"/>
          <w:color w:val="000000" w:themeColor="text1"/>
          <w:sz w:val="18"/>
          <w:szCs w:val="18"/>
          <w:lang w:eastAsia="ja-JP"/>
        </w:rPr>
        <w:t>.</w:t>
      </w:r>
    </w:p>
    <w:p w14:paraId="1649A963"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22F3E5D3" w14:textId="008C63DC"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val="vi-VN" w:eastAsia="ja-JP"/>
        </w:rPr>
      </w:pPr>
      <w:r w:rsidRPr="005E6B7C">
        <w:rPr>
          <w:rFonts w:asciiTheme="majorHAnsi" w:eastAsia="Yu Mincho" w:hAnsiTheme="majorHAnsi" w:cstheme="majorHAnsi"/>
          <w:i/>
          <w:color w:val="000000" w:themeColor="text1"/>
          <w:sz w:val="22"/>
          <w:szCs w:val="22"/>
          <w:lang w:eastAsia="ja-JP"/>
        </w:rPr>
        <w:t>2.1. Chemicals and equipment</w:t>
      </w:r>
    </w:p>
    <w:p w14:paraId="01C4A599" w14:textId="4817A475"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Optical rotations were determined on a JASCO P-2000 polarimeter. The CD spectra were measured on a Chirascan spectrometer (Applied Photophysics, Surrey, UK). The NMR spectra were recorded on a Bruker AVANCE NEO 600 FT-NMR spectrometer with TMS as an internal standard. </w:t>
      </w:r>
      <w:r w:rsidR="00E8693C" w:rsidRPr="005E6B7C">
        <w:rPr>
          <w:rFonts w:asciiTheme="majorHAnsi" w:eastAsia="Yu Mincho" w:hAnsiTheme="majorHAnsi" w:cstheme="majorHAnsi"/>
          <w:color w:val="000000" w:themeColor="text1"/>
          <w:sz w:val="22"/>
          <w:szCs w:val="22"/>
          <w:lang w:eastAsia="ja-JP"/>
        </w:rPr>
        <w:t>HRESIMS data were acquired using</w:t>
      </w:r>
      <w:r w:rsidRPr="005E6B7C">
        <w:rPr>
          <w:rFonts w:asciiTheme="majorHAnsi" w:eastAsia="Yu Mincho" w:hAnsiTheme="majorHAnsi" w:cstheme="majorHAnsi"/>
          <w:color w:val="000000" w:themeColor="text1"/>
          <w:sz w:val="22"/>
          <w:szCs w:val="22"/>
          <w:lang w:eastAsia="ja-JP"/>
        </w:rPr>
        <w:t xml:space="preserve"> an Agilent 6530 Accurate Mass Q-TOF LC/MS. Column chromatography (CC) was conducted on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hint="eastAsia"/>
          <w:color w:val="000000" w:themeColor="text1"/>
          <w:sz w:val="22"/>
          <w:szCs w:val="22"/>
          <w:lang w:eastAsia="ja-JP"/>
        </w:rPr>
        <w:t>, Diaion HP-20, Sephadex LH-20, and RP-18. Preparative HPLC using an Agilent 1100, a J</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 xml:space="preserve">sphere ODS H-80 (4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250×20 mm) column, a flow rate of 6 mL/min, and a </w:t>
      </w:r>
      <w:r w:rsidR="00E8693C" w:rsidRPr="005E6B7C">
        <w:rPr>
          <w:rFonts w:asciiTheme="majorHAnsi" w:eastAsia="Yu Mincho" w:hAnsiTheme="majorHAnsi" w:cstheme="majorHAnsi"/>
          <w:color w:val="000000" w:themeColor="text1"/>
          <w:sz w:val="22"/>
          <w:szCs w:val="22"/>
          <w:lang w:eastAsia="ja-JP"/>
        </w:rPr>
        <w:t>DAD</w:t>
      </w:r>
      <w:r w:rsidR="00E8693C"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detector at wavelengths of 205, 230, 254, and 280 nm. An isocratic mobile phase with a flow rate of 3.0 mL/min was used for pre-HPLC. Analytical thin-layer chromatography was performed on precoated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 and RP-18 </w:t>
      </w:r>
      <w:r w:rsidR="00991F9A" w:rsidRPr="005E6B7C">
        <w:rPr>
          <w:rFonts w:asciiTheme="majorHAnsi" w:eastAsia="Yu Mincho" w:hAnsiTheme="majorHAnsi" w:cstheme="majorHAnsi"/>
          <w:color w:val="000000" w:themeColor="text1"/>
          <w:sz w:val="22"/>
          <w:szCs w:val="22"/>
          <w:lang w:eastAsia="ja-JP"/>
        </w:rPr>
        <w:t>F</w:t>
      </w:r>
      <w:r w:rsidR="00991F9A" w:rsidRPr="005E6B7C">
        <w:rPr>
          <w:rFonts w:asciiTheme="majorHAnsi" w:eastAsia="Yu Mincho" w:hAnsiTheme="majorHAnsi" w:cstheme="majorHAnsi"/>
          <w:color w:val="000000" w:themeColor="text1"/>
          <w:sz w:val="22"/>
          <w:szCs w:val="22"/>
          <w:vertAlign w:val="subscript"/>
          <w:lang w:eastAsia="ja-JP"/>
        </w:rPr>
        <w:t>254</w:t>
      </w:r>
      <w:r w:rsidR="007A051F" w:rsidRPr="005E6B7C">
        <w:rPr>
          <w:rFonts w:asciiTheme="majorHAnsi" w:eastAsia="Yu Mincho" w:hAnsiTheme="majorHAnsi" w:cstheme="majorHAnsi"/>
          <w:color w:val="000000" w:themeColor="text1"/>
          <w:sz w:val="22"/>
          <w:szCs w:val="22"/>
          <w:lang w:eastAsia="ja-JP"/>
        </w:rPr>
        <w:t>S</w:t>
      </w:r>
      <w:r w:rsidR="00991F9A"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plates, and compounds were visualized by spraying with 10%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SO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xml:space="preserve"> in water and then heating for 1.5−2 minutes.</w:t>
      </w:r>
    </w:p>
    <w:p w14:paraId="70119F2B"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2.2. Plant material</w:t>
      </w:r>
    </w:p>
    <w:p w14:paraId="6F14247D"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leaves of </w:t>
      </w:r>
      <w:r w:rsidRPr="005E6B7C">
        <w:rPr>
          <w:rFonts w:asciiTheme="majorHAnsi" w:eastAsia="Yu Mincho" w:hAnsiTheme="majorHAnsi" w:cstheme="majorHAnsi"/>
          <w:i/>
          <w:color w:val="000000" w:themeColor="text1"/>
          <w:sz w:val="22"/>
          <w:szCs w:val="22"/>
          <w:lang w:eastAsia="ja-JP"/>
        </w:rPr>
        <w:t>Triadica rotundifolia</w:t>
      </w:r>
      <w:r w:rsidRPr="005E6B7C">
        <w:rPr>
          <w:rFonts w:asciiTheme="majorHAnsi" w:eastAsia="Yu Mincho" w:hAnsiTheme="majorHAnsi" w:cstheme="majorHAnsi"/>
          <w:color w:val="000000" w:themeColor="text1"/>
          <w:sz w:val="22"/>
          <w:szCs w:val="22"/>
          <w:lang w:eastAsia="ja-JP"/>
        </w:rPr>
        <w:t xml:space="preserve"> were collected at Nam Dong, Hue City, Vietnam, in December 2024. The species was taxonomically identified by Dr. Bui Van Thanh, Institute of Biology, VAST. A voucher herbarium specimen (NKB1225) has been deposited at the Herbarium of the Institute of Chemistry, VAST.</w:t>
      </w:r>
    </w:p>
    <w:p w14:paraId="72C8C784"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2.3. Extraction and isolation</w:t>
      </w:r>
    </w:p>
    <w:p w14:paraId="1B9B19C0"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dried leaves of </w:t>
      </w:r>
      <w:r w:rsidRPr="005E6B7C">
        <w:rPr>
          <w:rFonts w:asciiTheme="majorHAnsi" w:eastAsia="Yu Mincho" w:hAnsiTheme="majorHAnsi" w:cstheme="majorHAnsi"/>
          <w:i/>
          <w:color w:val="000000" w:themeColor="text1"/>
          <w:sz w:val="22"/>
          <w:szCs w:val="22"/>
          <w:lang w:eastAsia="ja-JP"/>
        </w:rPr>
        <w:t>T. rotundifolia</w:t>
      </w:r>
      <w:r w:rsidRPr="005E6B7C">
        <w:rPr>
          <w:rFonts w:asciiTheme="majorHAnsi" w:eastAsia="Yu Mincho" w:hAnsiTheme="majorHAnsi" w:cstheme="majorHAnsi"/>
          <w:color w:val="000000" w:themeColor="text1"/>
          <w:sz w:val="22"/>
          <w:szCs w:val="22"/>
          <w:lang w:eastAsia="ja-JP"/>
        </w:rPr>
        <w:t xml:space="preserve"> (2.5 kg) were extracted with 100% methanol (6 L) by maceration at room temperature, with occasional shaking for 24 hours. This process was repeated over five consecutive days (3 × 6 L). The combined methanolic extracts were filtered and concentrated under reduced pressure at 45°C using a rotary evaporator, yielding 180.6 g of a dark-brown residue. A portion (150 g) of this extract was suspended in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(10:1, 1.5 L) and partitioned with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-hexane (3 × 1.5 L), which was dried to give a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-hexane-soluble fraction (H, 25.7 g). In turn, the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O (10:1) partition was completely dried and resuspended in distilled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O (1.5 L) and successively partitioned first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(3 × 1.5 L) and next with EtOAc (3 × 1.5 L). This provided 56.0 g of the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15.8 g of the EtOAc-, and 82.3 g of the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O-soluble fractions, respectively. The EtOAc fraction was fractionated using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gradient mixtures of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-MeOH (50:1, 30:1, v/v). </w:t>
      </w:r>
      <w:r w:rsidRPr="005E6B7C">
        <w:rPr>
          <w:rFonts w:asciiTheme="majorHAnsi" w:eastAsia="Yu Mincho" w:hAnsiTheme="majorHAnsi" w:cstheme="majorHAnsi"/>
          <w:color w:val="000000" w:themeColor="text1"/>
          <w:sz w:val="22"/>
          <w:szCs w:val="22"/>
          <w:lang w:eastAsia="ja-JP"/>
        </w:rPr>
        <w:t xml:space="preserve">Fractions with similar TLC profiles were combined, yielding six pooled subfractions (E1–E6). Subfraction E4 (0.25 g) was chromatographed over a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column and eluted with a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-EtOAc (3:1, v/v) gradient to yield four pooled subfractions (E4.1−E4.4). Of these, subfraction E4.3 (0.06 g) was purified by preparative reversed-phase HPLC, using ACN-H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(35% of ACN, flow rate 6 mL/min for 45 min) to yield compounds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(3.5 mg,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43.3 min) and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39.8 min). Compound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(2.6 mg) was further purified by repeated precipitation and centrifugation in MeOH. Using the same HPLC conditions,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(4.8 mg,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24.6 min) was also obtained. Subfraction E5 (0.21 g) was subjected to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with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-MeOH (10:1, v/v). Altogether, three subfractions (80 mL each) were collected and combined according to their TLC similarities to give three pooled fractions (E5.1−E5.3). Among them, subfraction E5.2 (0.02 g) was purified by semipreparative reversed-phase HPLC with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(28% of MeOH, flow rate of 4 mL/min, for 40 min) to yield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(3.8 mg,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38.6 min). Subfraction E5.3 (0.01 g) fraction was purified by HPLC, using the reversed-phase preparative column described above, with a solvent system of ACN-H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(20% ACN, flow rate 6 mL/min, for 60 min). From this separation,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(4.8 mg,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57.3 min) and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(36.0 mg, </w:t>
      </w:r>
      <w:r w:rsidRPr="005E6B7C">
        <w:rPr>
          <w:rFonts w:asciiTheme="majorHAnsi" w:eastAsia="Yu Mincho" w:hAnsiTheme="majorHAnsi" w:cstheme="majorHAnsi"/>
          <w:i/>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58.9 min) were obtained.</w:t>
      </w:r>
    </w:p>
    <w:p w14:paraId="2837ABE6"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(1S,2S)-2-(4-Hydroxy-3,5-dimethoxyphenyl)-1-(4-hydroxy-3-methoxyphenyl)-1-methoxy propanol (1):</w:t>
      </w:r>
      <w:r w:rsidRPr="005E6B7C">
        <w:rPr>
          <w:rFonts w:asciiTheme="majorHAnsi" w:eastAsia="Yu Mincho" w:hAnsiTheme="majorHAnsi" w:cstheme="majorHAnsi"/>
          <w:color w:val="000000" w:themeColor="text1"/>
          <w:sz w:val="22"/>
          <w:szCs w:val="22"/>
          <w:lang w:eastAsia="ja-JP"/>
        </w:rPr>
        <w:t xml:space="preserve"> Yellow,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25</m:t>
            </m:r>
          </m:sup>
        </m:sSubSup>
      </m:oMath>
      <w:r w:rsidRPr="005E6B7C">
        <w:rPr>
          <w:rFonts w:asciiTheme="majorHAnsi" w:eastAsia="Yu Mincho" w:hAnsiTheme="majorHAnsi" w:cstheme="majorHAnsi"/>
          <w:noProof/>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+11.8 (</w:t>
      </w:r>
      <w:r w:rsidRPr="005E6B7C">
        <w:rPr>
          <w:rFonts w:asciiTheme="majorHAnsi" w:eastAsia="Yu Mincho" w:hAnsiTheme="majorHAnsi" w:cstheme="majorHAnsi"/>
          <w:i/>
          <w:color w:val="000000" w:themeColor="text1"/>
          <w:sz w:val="22"/>
          <w:szCs w:val="22"/>
          <w:lang w:eastAsia="ja-JP"/>
        </w:rPr>
        <w:t>c</w:t>
      </w:r>
      <w:r w:rsidRPr="005E6B7C">
        <w:rPr>
          <w:rFonts w:asciiTheme="majorHAnsi" w:eastAsia="Yu Mincho" w:hAnsiTheme="majorHAnsi" w:cstheme="majorHAnsi"/>
          <w:color w:val="000000" w:themeColor="text1"/>
          <w:sz w:val="22"/>
          <w:szCs w:val="22"/>
          <w:lang w:eastAsia="ja-JP"/>
        </w:rPr>
        <w:t xml:space="preserve"> 0.05, MeOH); ECD (MeOH, nm) </w:t>
      </w:r>
      <w:r w:rsidRPr="005E6B7C">
        <w:rPr>
          <w:rFonts w:asciiTheme="majorHAnsi" w:eastAsia="Yu Mincho" w:hAnsiTheme="majorHAnsi" w:cstheme="majorHAnsi"/>
          <w:i/>
          <w:color w:val="000000" w:themeColor="text1"/>
          <w:sz w:val="22"/>
          <w:szCs w:val="22"/>
          <w:lang w:eastAsia="ja-JP"/>
        </w:rPr>
        <w:t>λ</w:t>
      </w:r>
      <w:r w:rsidRPr="005E6B7C">
        <w:rPr>
          <w:rFonts w:asciiTheme="majorHAnsi" w:eastAsia="Yu Mincho" w:hAnsiTheme="majorHAnsi" w:cstheme="majorHAnsi"/>
          <w:color w:val="000000" w:themeColor="text1"/>
          <w:sz w:val="22"/>
          <w:szCs w:val="22"/>
          <w:vertAlign w:val="subscript"/>
          <w:lang w:eastAsia="ja-JP"/>
        </w:rPr>
        <w:t>max</w:t>
      </w:r>
      <w:r w:rsidRPr="005E6B7C">
        <w:rPr>
          <w:rFonts w:asciiTheme="majorHAnsi" w:eastAsia="Yu Mincho" w:hAnsiTheme="majorHAnsi" w:cstheme="majorHAnsi"/>
          <w:color w:val="000000" w:themeColor="text1"/>
          <w:sz w:val="22"/>
          <w:szCs w:val="22"/>
          <w:lang w:eastAsia="ja-JP"/>
        </w:rPr>
        <w:t xml:space="preserve"> (Δ</w:t>
      </w:r>
      <w:r w:rsidRPr="005E6B7C">
        <w:rPr>
          <w:rFonts w:asciiTheme="majorHAnsi" w:eastAsia="Yu Mincho" w:hAnsiTheme="majorHAnsi" w:cstheme="majorHAnsi"/>
          <w:i/>
          <w:color w:val="000000" w:themeColor="text1"/>
          <w:sz w:val="22"/>
          <w:szCs w:val="22"/>
          <w:lang w:eastAsia="ja-JP"/>
        </w:rPr>
        <w:t>ε</w:t>
      </w:r>
      <w:r w:rsidRPr="005E6B7C">
        <w:rPr>
          <w:rFonts w:asciiTheme="majorHAnsi" w:eastAsia="Yu Mincho" w:hAnsiTheme="majorHAnsi" w:cstheme="majorHAnsi"/>
          <w:color w:val="000000" w:themeColor="text1"/>
          <w:sz w:val="22"/>
          <w:szCs w:val="22"/>
          <w:lang w:eastAsia="ja-JP"/>
        </w:rPr>
        <w:t xml:space="preserve">): 207 (-3.48), 215 (+1.90); HRESIMS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387.1422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24</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387.1414);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spectroscopic data, see Table 1.</w:t>
      </w:r>
    </w:p>
    <w:p w14:paraId="7ACA6587"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(1S,2R)-2-(4-Hydroxy-3,5-dimethoxyphenyl)-1-(4-hydroxy-3-methoxyphenyl)-1-methoxy propane-3-ol</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i/>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Yellow,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25</m:t>
            </m:r>
          </m:sup>
        </m:sSubSup>
      </m:oMath>
      <w:r w:rsidRPr="005E6B7C">
        <w:rPr>
          <w:rFonts w:asciiTheme="majorHAnsi" w:eastAsia="Yu Mincho" w:hAnsiTheme="majorHAnsi" w:cstheme="majorHAnsi"/>
          <w:noProof/>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-14.1 (</w:t>
      </w:r>
      <w:r w:rsidRPr="005E6B7C">
        <w:rPr>
          <w:rFonts w:asciiTheme="majorHAnsi" w:eastAsia="Yu Mincho" w:hAnsiTheme="majorHAnsi" w:cstheme="majorHAnsi"/>
          <w:i/>
          <w:color w:val="000000" w:themeColor="text1"/>
          <w:sz w:val="22"/>
          <w:szCs w:val="22"/>
          <w:lang w:eastAsia="ja-JP"/>
        </w:rPr>
        <w:t>c</w:t>
      </w:r>
      <w:r w:rsidRPr="005E6B7C">
        <w:rPr>
          <w:rFonts w:asciiTheme="majorHAnsi" w:eastAsia="Yu Mincho" w:hAnsiTheme="majorHAnsi" w:cstheme="majorHAnsi"/>
          <w:color w:val="000000" w:themeColor="text1"/>
          <w:sz w:val="22"/>
          <w:szCs w:val="22"/>
          <w:lang w:eastAsia="ja-JP"/>
        </w:rPr>
        <w:t xml:space="preserve"> 0.05, MeOH); ECD (MeOH, nm) </w:t>
      </w:r>
      <w:r w:rsidRPr="005E6B7C">
        <w:rPr>
          <w:rFonts w:asciiTheme="majorHAnsi" w:eastAsia="Yu Mincho" w:hAnsiTheme="majorHAnsi" w:cstheme="majorHAnsi"/>
          <w:i/>
          <w:color w:val="000000" w:themeColor="text1"/>
          <w:sz w:val="22"/>
          <w:szCs w:val="22"/>
          <w:lang w:eastAsia="ja-JP"/>
        </w:rPr>
        <w:t>λ</w:t>
      </w:r>
      <w:r w:rsidRPr="005E6B7C">
        <w:rPr>
          <w:rFonts w:asciiTheme="majorHAnsi" w:eastAsia="Yu Mincho" w:hAnsiTheme="majorHAnsi" w:cstheme="majorHAnsi"/>
          <w:color w:val="000000" w:themeColor="text1"/>
          <w:sz w:val="22"/>
          <w:szCs w:val="22"/>
          <w:vertAlign w:val="subscript"/>
          <w:lang w:eastAsia="ja-JP"/>
        </w:rPr>
        <w:t>max</w:t>
      </w:r>
      <w:r w:rsidRPr="005E6B7C">
        <w:rPr>
          <w:rFonts w:asciiTheme="majorHAnsi" w:eastAsia="Yu Mincho" w:hAnsiTheme="majorHAnsi" w:cstheme="majorHAnsi"/>
          <w:color w:val="000000" w:themeColor="text1"/>
          <w:sz w:val="22"/>
          <w:szCs w:val="22"/>
          <w:lang w:eastAsia="ja-JP"/>
        </w:rPr>
        <w:t xml:space="preserve"> (Δ</w:t>
      </w:r>
      <w:r w:rsidRPr="005E6B7C">
        <w:rPr>
          <w:rFonts w:asciiTheme="majorHAnsi" w:eastAsia="Yu Mincho" w:hAnsiTheme="majorHAnsi" w:cstheme="majorHAnsi"/>
          <w:i/>
          <w:color w:val="000000" w:themeColor="text1"/>
          <w:sz w:val="22"/>
          <w:szCs w:val="22"/>
          <w:lang w:eastAsia="ja-JP"/>
        </w:rPr>
        <w:t>ε</w:t>
      </w:r>
      <w:r w:rsidRPr="005E6B7C">
        <w:rPr>
          <w:rFonts w:asciiTheme="majorHAnsi" w:eastAsia="Yu Mincho" w:hAnsiTheme="majorHAnsi" w:cstheme="majorHAnsi"/>
          <w:color w:val="000000" w:themeColor="text1"/>
          <w:sz w:val="22"/>
          <w:szCs w:val="22"/>
          <w:lang w:eastAsia="ja-JP"/>
        </w:rPr>
        <w:t xml:space="preserve">): 205 (+5.65), 220 (-2.28);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363.1 [M - 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spectroscopic data, see Table 1.</w:t>
      </w:r>
    </w:p>
    <w:p w14:paraId="41A5D71E"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Syringaresinol (3):</w:t>
      </w:r>
      <w:r w:rsidRPr="005E6B7C">
        <w:rPr>
          <w:rFonts w:asciiTheme="majorHAnsi" w:eastAsia="Yu Mincho" w:hAnsiTheme="majorHAnsi" w:cstheme="majorHAnsi"/>
          <w:color w:val="000000" w:themeColor="text1"/>
          <w:sz w:val="22"/>
          <w:szCs w:val="22"/>
          <w:lang w:eastAsia="ja-JP"/>
        </w:rPr>
        <w:t xml:space="preserve"> White, amorphous powder;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600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6.73 (4H, s, H-2, H-6, H-2', H-6'), 4.73 (2H,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4.5 Hz, H-7, H-7'), 3.14 (2H, m, H-8, H-8'), 4.27 (2H,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9.0, 6.5 Hz, H</w:t>
      </w:r>
      <w:r w:rsidRPr="005E6B7C">
        <w:rPr>
          <w:rFonts w:asciiTheme="majorHAnsi" w:eastAsia="Yu Mincho" w:hAnsiTheme="majorHAnsi" w:cstheme="majorHAnsi"/>
          <w:color w:val="000000" w:themeColor="text1"/>
          <w:sz w:val="22"/>
          <w:szCs w:val="22"/>
          <w:vertAlign w:val="subscript"/>
          <w:lang w:eastAsia="ja-JP"/>
        </w:rPr>
        <w:t>a</w:t>
      </w:r>
      <w:r w:rsidRPr="005E6B7C">
        <w:rPr>
          <w:rFonts w:asciiTheme="majorHAnsi" w:eastAsia="Yu Mincho" w:hAnsiTheme="majorHAnsi" w:cstheme="majorHAnsi"/>
          <w:color w:val="000000" w:themeColor="text1"/>
          <w:sz w:val="22"/>
          <w:szCs w:val="22"/>
          <w:lang w:eastAsia="ja-JP"/>
        </w:rPr>
        <w:t>-9, H</w:t>
      </w:r>
      <w:r w:rsidRPr="005E6B7C">
        <w:rPr>
          <w:rFonts w:asciiTheme="majorHAnsi" w:eastAsia="Yu Mincho" w:hAnsiTheme="majorHAnsi" w:cstheme="majorHAnsi"/>
          <w:color w:val="000000" w:themeColor="text1"/>
          <w:sz w:val="22"/>
          <w:szCs w:val="22"/>
          <w:vertAlign w:val="subscript"/>
          <w:lang w:eastAsia="ja-JP"/>
        </w:rPr>
        <w:t>a</w:t>
      </w:r>
      <w:r w:rsidRPr="005E6B7C">
        <w:rPr>
          <w:rFonts w:asciiTheme="majorHAnsi" w:eastAsia="Yu Mincho" w:hAnsiTheme="majorHAnsi" w:cstheme="majorHAnsi"/>
          <w:color w:val="000000" w:themeColor="text1"/>
          <w:sz w:val="22"/>
          <w:szCs w:val="22"/>
          <w:lang w:eastAsia="ja-JP"/>
        </w:rPr>
        <w:t xml:space="preserve">-9'), 3.89 (2H,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9.0, 3.5 Hz, H</w:t>
      </w:r>
      <w:r w:rsidRPr="005E6B7C">
        <w:rPr>
          <w:rFonts w:asciiTheme="majorHAnsi" w:eastAsia="Yu Mincho" w:hAnsiTheme="majorHAnsi" w:cstheme="majorHAnsi"/>
          <w:color w:val="000000" w:themeColor="text1"/>
          <w:sz w:val="22"/>
          <w:szCs w:val="22"/>
          <w:vertAlign w:val="subscript"/>
          <w:lang w:eastAsia="ja-JP"/>
        </w:rPr>
        <w:t>b</w:t>
      </w:r>
      <w:r w:rsidRPr="005E6B7C">
        <w:rPr>
          <w:rFonts w:asciiTheme="majorHAnsi" w:eastAsia="Yu Mincho" w:hAnsiTheme="majorHAnsi" w:cstheme="majorHAnsi"/>
          <w:color w:val="000000" w:themeColor="text1"/>
          <w:sz w:val="22"/>
          <w:szCs w:val="22"/>
          <w:lang w:eastAsia="ja-JP"/>
        </w:rPr>
        <w:t>-9, H</w:t>
      </w:r>
      <w:r w:rsidRPr="005E6B7C">
        <w:rPr>
          <w:rFonts w:asciiTheme="majorHAnsi" w:eastAsia="Yu Mincho" w:hAnsiTheme="majorHAnsi" w:cstheme="majorHAnsi"/>
          <w:color w:val="000000" w:themeColor="text1"/>
          <w:sz w:val="22"/>
          <w:szCs w:val="22"/>
          <w:vertAlign w:val="subscript"/>
          <w:lang w:eastAsia="ja-JP"/>
        </w:rPr>
        <w:t>b</w:t>
      </w:r>
      <w:r w:rsidRPr="005E6B7C">
        <w:rPr>
          <w:rFonts w:asciiTheme="majorHAnsi" w:eastAsia="Yu Mincho" w:hAnsiTheme="majorHAnsi" w:cstheme="majorHAnsi"/>
          <w:color w:val="000000" w:themeColor="text1"/>
          <w:sz w:val="22"/>
          <w:szCs w:val="22"/>
          <w:lang w:eastAsia="ja-JP"/>
        </w:rPr>
        <w:t>-9'), 3.86 (12H, s, 4 × 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150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w:t>
      </w:r>
      <w:r w:rsidRPr="005E6B7C">
        <w:rPr>
          <w:rFonts w:asciiTheme="majorHAnsi" w:eastAsia="Yu Mincho" w:hAnsiTheme="majorHAnsi" w:cstheme="majorHAnsi"/>
          <w:color w:val="000000" w:themeColor="text1"/>
          <w:sz w:val="22"/>
          <w:szCs w:val="22"/>
          <w:lang w:eastAsia="ja-JP"/>
        </w:rPr>
        <w:lastRenderedPageBreak/>
        <w:t>133.2 (C-1, C-1'), 104.6 (C-2, C-6, C-2', C-6'), 149.4 (C-3, C-5, C-3', C-5'), 136.3 (C-4, C-4'), 87.6 (C-7, C-7'), 55.5 (C-8, C-8'), 72.8 (C-9, C-9'), and 56.8 (4 × 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w:t>
      </w:r>
    </w:p>
    <w:p w14:paraId="123A631B"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Trimethyl-3,4-dihydrochebulate (4):</w:t>
      </w:r>
      <w:r w:rsidRPr="005E6B7C">
        <w:rPr>
          <w:rFonts w:asciiTheme="majorHAnsi" w:eastAsia="Yu Mincho" w:hAnsiTheme="majorHAnsi" w:cstheme="majorHAnsi"/>
          <w:color w:val="000000" w:themeColor="text1"/>
          <w:sz w:val="22"/>
          <w:szCs w:val="22"/>
          <w:lang w:eastAsia="ja-JP"/>
        </w:rPr>
        <w:t xml:space="preserve"> Brown, amorphous powder; </w:t>
      </w:r>
      <m:oMath>
        <m:sSubSup>
          <m:sSubSupPr>
            <m:ctrlPr>
              <w:rPr>
                <w:rFonts w:ascii="Cambria Math" w:eastAsia="Yu Mincho" w:hAnsi="Cambria Math" w:cstheme="majorHAnsi"/>
                <w:i/>
                <w:color w:val="000000" w:themeColor="text1"/>
                <w:sz w:val="22"/>
                <w:szCs w:val="22"/>
                <w:lang w:val="pt-BR" w:eastAsia="ja-JP"/>
              </w:rPr>
            </m:ctrlPr>
          </m:sSubSupPr>
          <m:e>
            <m:r>
              <m:rPr>
                <m:sty m:val="p"/>
              </m:rPr>
              <w:rPr>
                <w:rFonts w:ascii="Cambria Math" w:eastAsia="Yu Mincho" w:hAnsi="Cambria Math" w:cstheme="majorHAnsi"/>
                <w:color w:val="000000" w:themeColor="text1"/>
                <w:sz w:val="22"/>
                <w:szCs w:val="22"/>
                <w:lang w:eastAsia="ja-JP"/>
              </w:rPr>
              <m:t>[</m:t>
            </m:r>
            <m:r>
              <w:rPr>
                <w:rFonts w:ascii="Cambria Math" w:eastAsia="Yu Mincho" w:hAnsi="Cambria Math" w:cstheme="majorHAnsi"/>
                <w:color w:val="000000" w:themeColor="text1"/>
                <w:sz w:val="22"/>
                <w:szCs w:val="22"/>
                <w:lang w:val="pt-BR" w:eastAsia="ja-JP"/>
              </w:rPr>
              <m:t>α</m:t>
            </m:r>
            <m:r>
              <m:rPr>
                <m:sty m:val="p"/>
              </m:rPr>
              <w:rPr>
                <w:rFonts w:ascii="Cambria Math" w:eastAsia="Yu Mincho" w:hAnsi="Cambria Math" w:cstheme="majorHAnsi"/>
                <w:color w:val="000000" w:themeColor="text1"/>
                <w:sz w:val="22"/>
                <w:szCs w:val="22"/>
                <w:lang w:eastAsia="ja-JP"/>
              </w:rPr>
              <m:t>]</m:t>
            </m:r>
          </m:e>
          <m:sub>
            <m:r>
              <m:rPr>
                <m:sty m:val="p"/>
              </m:rPr>
              <w:rPr>
                <w:rFonts w:ascii="Cambria Math" w:eastAsia="Yu Mincho" w:hAnsi="Cambria Math" w:cstheme="majorHAnsi"/>
                <w:color w:val="000000" w:themeColor="text1"/>
                <w:sz w:val="22"/>
                <w:szCs w:val="22"/>
                <w:lang w:eastAsia="ja-JP"/>
              </w:rPr>
              <m:t>D</m:t>
            </m:r>
          </m:sub>
          <m:sup>
            <m:r>
              <w:rPr>
                <w:rFonts w:ascii="Cambria Math" w:eastAsia="Yu Mincho" w:hAnsi="Cambria Math" w:cstheme="majorHAnsi"/>
                <w:color w:val="000000" w:themeColor="text1"/>
                <w:sz w:val="22"/>
                <w:szCs w:val="22"/>
                <w:lang w:eastAsia="ja-JP"/>
              </w:rPr>
              <m:t>25</m:t>
            </m:r>
          </m:sup>
        </m:sSubSup>
      </m:oMath>
      <w:r w:rsidRPr="005E6B7C">
        <w:rPr>
          <w:rFonts w:asciiTheme="majorHAnsi" w:eastAsia="Yu Mincho" w:hAnsiTheme="majorHAnsi" w:cstheme="majorHAnsi"/>
          <w:noProof/>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+121.6 (</w:t>
      </w:r>
      <w:r w:rsidRPr="005E6B7C">
        <w:rPr>
          <w:rFonts w:asciiTheme="majorHAnsi" w:eastAsia="Yu Mincho" w:hAnsiTheme="majorHAnsi" w:cstheme="majorHAnsi"/>
          <w:i/>
          <w:color w:val="000000" w:themeColor="text1"/>
          <w:sz w:val="22"/>
          <w:szCs w:val="22"/>
          <w:lang w:eastAsia="ja-JP"/>
        </w:rPr>
        <w:t>c</w:t>
      </w:r>
      <w:r w:rsidRPr="005E6B7C">
        <w:rPr>
          <w:rFonts w:asciiTheme="majorHAnsi" w:eastAsia="Yu Mincho" w:hAnsiTheme="majorHAnsi" w:cstheme="majorHAnsi"/>
          <w:color w:val="000000" w:themeColor="text1"/>
          <w:sz w:val="22"/>
          <w:szCs w:val="22"/>
          <w:lang w:eastAsia="ja-JP"/>
        </w:rPr>
        <w:t xml:space="preserve"> 0.05, MeOH-H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ECD (MeOH, nm) </w:t>
      </w:r>
      <w:r w:rsidRPr="005E6B7C">
        <w:rPr>
          <w:rFonts w:asciiTheme="majorHAnsi" w:eastAsia="Yu Mincho" w:hAnsiTheme="majorHAnsi" w:cstheme="majorHAnsi"/>
          <w:i/>
          <w:color w:val="000000" w:themeColor="text1"/>
          <w:sz w:val="22"/>
          <w:szCs w:val="22"/>
          <w:lang w:eastAsia="ja-JP"/>
        </w:rPr>
        <w:t>λ</w:t>
      </w:r>
      <w:r w:rsidRPr="005E6B7C">
        <w:rPr>
          <w:rFonts w:asciiTheme="majorHAnsi" w:eastAsia="Yu Mincho" w:hAnsiTheme="majorHAnsi" w:cstheme="majorHAnsi"/>
          <w:color w:val="000000" w:themeColor="text1"/>
          <w:sz w:val="22"/>
          <w:szCs w:val="22"/>
          <w:vertAlign w:val="subscript"/>
          <w:lang w:eastAsia="ja-JP"/>
        </w:rPr>
        <w:t>max</w:t>
      </w:r>
      <w:r w:rsidRPr="005E6B7C">
        <w:rPr>
          <w:rFonts w:asciiTheme="majorHAnsi" w:eastAsia="Yu Mincho" w:hAnsiTheme="majorHAnsi" w:cstheme="majorHAnsi"/>
          <w:color w:val="000000" w:themeColor="text1"/>
          <w:sz w:val="22"/>
          <w:szCs w:val="22"/>
          <w:lang w:eastAsia="ja-JP"/>
        </w:rPr>
        <w:t xml:space="preserve"> (Δ</w:t>
      </w:r>
      <w:r w:rsidRPr="005E6B7C">
        <w:rPr>
          <w:rFonts w:asciiTheme="majorHAnsi" w:eastAsia="Yu Mincho" w:hAnsiTheme="majorHAnsi" w:cstheme="majorHAnsi"/>
          <w:i/>
          <w:color w:val="000000" w:themeColor="text1"/>
          <w:sz w:val="22"/>
          <w:szCs w:val="22"/>
          <w:lang w:eastAsia="ja-JP"/>
        </w:rPr>
        <w:t>ε</w:t>
      </w:r>
      <w:r w:rsidRPr="005E6B7C">
        <w:rPr>
          <w:rFonts w:asciiTheme="majorHAnsi" w:eastAsia="Yu Mincho" w:hAnsiTheme="majorHAnsi" w:cstheme="majorHAnsi"/>
          <w:color w:val="000000" w:themeColor="text1"/>
          <w:sz w:val="22"/>
          <w:szCs w:val="22"/>
          <w:lang w:eastAsia="ja-JP"/>
        </w:rPr>
        <w:t xml:space="preserve">): 315 (+1.56), 279 (+4.46), 250 (+1.84), 233 (+12.2), 210 (-6.97); HRESIMS ion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405.0464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16</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14</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11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405.0428);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(150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OD) spectroscopic data, see Table 2.</w:t>
      </w:r>
    </w:p>
    <w:p w14:paraId="64F8C80A"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Methyl 3,4,5-trihydroxybenzoate (5):</w:t>
      </w:r>
      <w:r w:rsidRPr="005E6B7C">
        <w:rPr>
          <w:rFonts w:asciiTheme="majorHAnsi" w:eastAsia="Yu Mincho" w:hAnsiTheme="majorHAnsi" w:cstheme="majorHAnsi"/>
          <w:color w:val="000000" w:themeColor="text1"/>
          <w:sz w:val="22"/>
          <w:szCs w:val="22"/>
          <w:lang w:eastAsia="ja-JP"/>
        </w:rPr>
        <w:t xml:space="preserve"> White, amorphous powder;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600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7.07 (2H, s, H-2, H-6), 3.83 (3H, s, 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150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122.0 (C-1), 110.5 (C-2, C-6), 147.0 (C-3, C-5), 140.2 (C-4), 169.5 (C-7), and 52.7 (OCH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w:t>
      </w:r>
    </w:p>
    <w:p w14:paraId="371F218B" w14:textId="77777777" w:rsidR="00E049CB" w:rsidRPr="005E6B7C" w:rsidRDefault="00E049CB" w:rsidP="008C0D47">
      <w:pPr>
        <w:tabs>
          <w:tab w:val="left" w:pos="270"/>
          <w:tab w:val="left" w:pos="9270"/>
        </w:tabs>
        <w:autoSpaceDE w:val="0"/>
        <w:autoSpaceDN w:val="0"/>
        <w:adjustRightInd w:val="0"/>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i/>
          <w:color w:val="000000" w:themeColor="text1"/>
          <w:sz w:val="22"/>
          <w:szCs w:val="22"/>
          <w:lang w:eastAsia="ja-JP"/>
        </w:rPr>
        <w:t xml:space="preserve">5-Hydroxymethyl-2-furancarboxaldehyde (6): </w:t>
      </w:r>
      <w:r w:rsidRPr="005E6B7C">
        <w:rPr>
          <w:rFonts w:asciiTheme="majorHAnsi" w:eastAsia="Yu Mincho" w:hAnsiTheme="majorHAnsi" w:cstheme="majorHAnsi"/>
          <w:color w:val="000000" w:themeColor="text1"/>
          <w:sz w:val="22"/>
          <w:szCs w:val="22"/>
          <w:lang w:eastAsia="ja-JP"/>
        </w:rPr>
        <w:t xml:space="preserve">Yellow needle;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600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7.39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3.6 Hz, H-3), 6.60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3.6 Hz, H-4), 4.63 (2H, s, H-6), 9.55 (1H, s, H-7);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150 MHz)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lang w:eastAsia="ja-JP"/>
        </w:rPr>
        <w:t xml:space="preserve"> (ppm): 153.9 (C-2), 124.8 (C-3), 110.9 (C-4), 163.2 (C-5), 57.6 (C-6), and 179.4 (C-7).</w:t>
      </w:r>
    </w:p>
    <w:p w14:paraId="40569947"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2.4. NO production inhibitory assay</w:t>
      </w:r>
    </w:p>
    <w:p w14:paraId="55431315" w14:textId="64084BFB"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Nitric oxide assay was performed as previously described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PEVuZE5vdGU+PENpdGU+PEF1dGhvcj5CYW5nPC9BdXRob3I+PFllYXI+MjAyNDwvWWVhcj48UmVj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PEVuZE5vdGU+PENpdGU+PEF1dGhvcj5CYW5nPC9BdXRob3I+PFllYXI+MjAyNDwvWWVhcj48UmVj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brief, RAW264.7 cells, originally sourced from the American Type Culture Collection (ATCC, Manassas, VA, USA), were maintained in Dulbecco’s Modified Eagle’s Medium (DMEM; Gibco-BRL, St. Louis, MO, USA) supplemented with 5% heat-inactivated fetal bovine serum, along with 100 U/mL penicillin and 100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g/mL streptomycin. The cultures were incubated under controlled conditions at 37°C under a humidified atmosphere containing 5% CO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After 24 hours of incubation, </w:t>
      </w:r>
      <w:r w:rsidR="00E8693C" w:rsidRPr="005E6B7C">
        <w:rPr>
          <w:rFonts w:asciiTheme="majorHAnsi" w:eastAsia="Yu Mincho" w:hAnsiTheme="majorHAnsi" w:cstheme="majorHAnsi"/>
          <w:color w:val="000000" w:themeColor="text1"/>
          <w:sz w:val="22"/>
          <w:szCs w:val="22"/>
          <w:lang w:eastAsia="ja-JP"/>
        </w:rPr>
        <w:t>compounds were added to each well</w:t>
      </w:r>
      <w:r w:rsidRPr="005E6B7C">
        <w:rPr>
          <w:rFonts w:asciiTheme="majorHAnsi" w:eastAsia="Yu Mincho" w:hAnsiTheme="majorHAnsi" w:cstheme="majorHAnsi"/>
          <w:color w:val="000000" w:themeColor="text1"/>
          <w:sz w:val="22"/>
          <w:szCs w:val="22"/>
          <w:lang w:eastAsia="ja-JP"/>
        </w:rPr>
        <w:t xml:space="preserve"> (0.4−100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or vehicle and </w:t>
      </w:r>
      <w:r w:rsidR="00E8693C" w:rsidRPr="005E6B7C">
        <w:rPr>
          <w:rFonts w:asciiTheme="majorHAnsi" w:eastAsia="Yu Mincho" w:hAnsiTheme="majorHAnsi" w:cstheme="majorHAnsi"/>
          <w:color w:val="000000" w:themeColor="text1"/>
          <w:sz w:val="22"/>
          <w:szCs w:val="22"/>
          <w:lang w:eastAsia="ja-JP"/>
        </w:rPr>
        <w:t xml:space="preserve">followed by LPS </w:t>
      </w:r>
      <w:r w:rsidRPr="005E6B7C">
        <w:rPr>
          <w:rFonts w:asciiTheme="majorHAnsi" w:eastAsia="Yu Mincho" w:hAnsiTheme="majorHAnsi" w:cstheme="majorHAnsi"/>
          <w:color w:val="000000" w:themeColor="text1"/>
          <w:sz w:val="22"/>
          <w:szCs w:val="22"/>
          <w:lang w:eastAsia="ja-JP"/>
        </w:rPr>
        <w:t xml:space="preserve"> (1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g/mL) </w:t>
      </w:r>
      <w:r w:rsidR="00E8693C" w:rsidRPr="005E6B7C">
        <w:rPr>
          <w:rFonts w:asciiTheme="majorHAnsi" w:eastAsia="Yu Mincho" w:hAnsiTheme="majorHAnsi" w:cstheme="majorHAnsi"/>
          <w:color w:val="000000" w:themeColor="text1"/>
          <w:sz w:val="22"/>
          <w:szCs w:val="22"/>
          <w:lang w:eastAsia="ja-JP"/>
        </w:rPr>
        <w:t>after 2h</w:t>
      </w:r>
      <w:r w:rsidRPr="005E6B7C">
        <w:rPr>
          <w:rFonts w:asciiTheme="majorHAnsi" w:eastAsia="Yu Mincho" w:hAnsiTheme="majorHAnsi" w:cstheme="majorHAnsi"/>
          <w:color w:val="000000" w:themeColor="text1"/>
          <w:sz w:val="22"/>
          <w:szCs w:val="22"/>
          <w:lang w:eastAsia="ja-JP"/>
        </w:rPr>
        <w:t>. Cells were seeded at a density of 2 × 10</w:t>
      </w:r>
      <w:r w:rsidRPr="005E6B7C">
        <w:rPr>
          <w:rFonts w:asciiTheme="majorHAnsi" w:eastAsia="Yu Mincho" w:hAnsiTheme="majorHAnsi" w:cstheme="majorHAnsi"/>
          <w:color w:val="000000" w:themeColor="text1"/>
          <w:sz w:val="22"/>
          <w:szCs w:val="22"/>
          <w:vertAlign w:val="superscript"/>
          <w:lang w:eastAsia="ja-JP"/>
        </w:rPr>
        <w:t>5</w:t>
      </w:r>
      <w:r w:rsidRPr="005E6B7C">
        <w:rPr>
          <w:rFonts w:asciiTheme="majorHAnsi" w:eastAsia="Yu Mincho" w:hAnsiTheme="majorHAnsi" w:cstheme="majorHAnsi"/>
          <w:color w:val="000000" w:themeColor="text1"/>
          <w:sz w:val="22"/>
          <w:szCs w:val="22"/>
          <w:lang w:eastAsia="ja-JP"/>
        </w:rPr>
        <w:t xml:space="preserve"> cells per well in a 96-well plate and allowed to adhere for 6h before treatment. To assess cell viability, the remaining adherent cells were subjected to the MTT assay using 3-(4,5-dimethylthiazol-2-yl)-2,5-diphenyltetrazolium bromide (MTT) reagent (Sigma Chemical Co., St. Louis, MO, USA), and absorbance was measured at 570 nm. Cultural medium (100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L) was mixed with an equal volume of Griess reagent and incubated at room temperature for 10 minutes. Absorbance was measured at 540 nm on a microplate reader. Nitrite concentration as an indicator of NO production was determined using </w:t>
      </w:r>
      <w:r w:rsidRPr="005E6B7C">
        <w:rPr>
          <w:rFonts w:asciiTheme="majorHAnsi" w:eastAsia="Yu Mincho" w:hAnsiTheme="majorHAnsi" w:cstheme="majorHAnsi"/>
          <w:color w:val="000000" w:themeColor="text1"/>
          <w:sz w:val="22"/>
          <w:szCs w:val="22"/>
          <w:lang w:eastAsia="ja-JP"/>
        </w:rPr>
        <w:t>a standard curve that was built by serially diluting NaNO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solutions. Experiments were performed in triplicate. The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were generated by TableCurve 2Dv4 software.</w:t>
      </w:r>
    </w:p>
    <w:p w14:paraId="093FE1C0"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72C44369" w14:textId="165436F0" w:rsidR="00A9181D"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A9181D" w:rsidRPr="005E6B7C" w:rsidSect="00A9181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obtained as a yellow amorphous powder. Its molecular formula,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w:t>
      </w:r>
      <w:r w:rsidR="00BE7881"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 xml:space="preserve">, was established from a sodium adduct ion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387.1422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w:t>
      </w:r>
      <w:r w:rsidR="00BE7881"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NaO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387.1414) observed in the HRESIMS data. Analysis of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and HSQC data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(Table 1) revealed the occurrence of five aromatic methines, an oxymethine, an oxymethylene, a methine, five oxygenated aromatic carbons, seven quaternary aromatic carbons, and four methoxy groups. In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spectrum, two different sets of aromatic protons were discernible. One of these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6.40 (2H, s, H-2', H-6') integrated for two protons, suggesting symmetry consistent with a 1,3,4,5-tetrasubstituted aromatic ring. The remaining set of aromatic resonances showed the typical splitting patterns and coupling constants of a 1,3,4-trisubstituted aromatic ring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6.53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1.2 Hz, H-2''), 6.74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8.4 Hz, H-5''), and 6.65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8.4, 1.2 Hz, H-6'')]. In addition, an oxymethine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4.50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5.4 Hz, H-1)], a methine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2.88 (1H, m, H-2], an oxymethylene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3.88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10.8, 4.2 Hz, H</w:t>
      </w:r>
      <w:r w:rsidRPr="005E6B7C">
        <w:rPr>
          <w:rFonts w:asciiTheme="majorHAnsi" w:eastAsia="Yu Mincho" w:hAnsiTheme="majorHAnsi" w:cstheme="majorHAnsi"/>
          <w:color w:val="000000" w:themeColor="text1"/>
          <w:sz w:val="22"/>
          <w:szCs w:val="22"/>
          <w:vertAlign w:val="subscript"/>
          <w:lang w:eastAsia="ja-JP"/>
        </w:rPr>
        <w:t>a</w:t>
      </w:r>
      <w:r w:rsidRPr="005E6B7C">
        <w:rPr>
          <w:rFonts w:asciiTheme="majorHAnsi" w:eastAsia="Yu Mincho" w:hAnsiTheme="majorHAnsi" w:cstheme="majorHAnsi"/>
          <w:color w:val="000000" w:themeColor="text1"/>
          <w:sz w:val="22"/>
          <w:szCs w:val="22"/>
          <w:lang w:eastAsia="ja-JP"/>
        </w:rPr>
        <w:t xml:space="preserve">-3) and 3.70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10.8, 8.4 Hz, H</w:t>
      </w:r>
      <w:r w:rsidRPr="005E6B7C">
        <w:rPr>
          <w:rFonts w:asciiTheme="majorHAnsi" w:eastAsia="Yu Mincho" w:hAnsiTheme="majorHAnsi" w:cstheme="majorHAnsi"/>
          <w:color w:val="000000" w:themeColor="text1"/>
          <w:sz w:val="22"/>
          <w:szCs w:val="22"/>
          <w:vertAlign w:val="subscript"/>
          <w:lang w:eastAsia="ja-JP"/>
        </w:rPr>
        <w:t>b</w:t>
      </w:r>
      <w:r w:rsidRPr="005E6B7C">
        <w:rPr>
          <w:rFonts w:asciiTheme="majorHAnsi" w:eastAsia="Yu Mincho" w:hAnsiTheme="majorHAnsi" w:cstheme="majorHAnsi"/>
          <w:color w:val="000000" w:themeColor="text1"/>
          <w:sz w:val="22"/>
          <w:szCs w:val="22"/>
          <w:lang w:eastAsia="ja-JP"/>
        </w:rPr>
        <w:t>-3)], as well as four methoxy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3.19 (3H, s, 1-OCH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3.78 (6H, s, 3',5'-OCH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and 3.69 (3H, s, 3''-OCH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were also determined in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NMR spectrum. Analysis of the additional aromatic proton resonances led to the proposal of a further 1,3,4-trisubstituted ring, with one of the substituents corresponding to a methoxy group, a second to a hydroxy group, and a quaternary carbon. The attachment of the methoxy group at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148.7) was confirmed by a correlation with the protons of the methyl group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3.69) and this carbon, in the HMBC spectrum. The hydroxy group was attached to C-4''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147.0), consistent with its characteristic downfield chemical shift. Furthermore, the structure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identified as 1,2-diarylpropan-1-alkoxy-3-ol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based on HMBC correlations of H-1</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4.50) with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56.9), 1-OCH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57.1),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133.1),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111.8), C-6''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121.3), and H-2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2.88) with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85.0),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64.3),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131.5), and C-2'/C-6'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108.2) (Fig. 2). The relative configuration of 1,2-diarylpropan-1-alkoxy-3-ol could be readily determined by the chemical shift differences between H-1 and H-2 (in methanol-</w:t>
      </w:r>
      <w:r w:rsidRPr="005E6B7C">
        <w:rPr>
          <w:rFonts w:asciiTheme="majorHAnsi" w:eastAsia="Yu Mincho" w:hAnsiTheme="majorHAnsi" w:cstheme="majorHAnsi"/>
          <w:i/>
          <w:color w:val="000000" w:themeColor="text1"/>
          <w:sz w:val="22"/>
          <w:szCs w:val="22"/>
          <w:lang w:eastAsia="ja-JP"/>
        </w:rPr>
        <w:t>d</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lastRenderedPageBreak/>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Comparing the chemical shift differences between H-1 and H-2 (Δ</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1,2 </w:t>
      </w:r>
      <w:r w:rsidRPr="005E6B7C">
        <w:rPr>
          <w:rFonts w:asciiTheme="majorHAnsi" w:eastAsia="Yu Mincho" w:hAnsiTheme="majorHAnsi" w:cstheme="majorHAnsi"/>
          <w:color w:val="000000" w:themeColor="text1"/>
          <w:sz w:val="22"/>
          <w:szCs w:val="22"/>
          <w:lang w:eastAsia="ja-JP"/>
        </w:rPr>
        <w:t xml:space="preserve">= 1.62 ppm) with published data confirmed the </w:t>
      </w:r>
      <w:r w:rsidRPr="005E6B7C">
        <w:rPr>
          <w:rFonts w:asciiTheme="majorHAnsi" w:eastAsia="Yu Mincho" w:hAnsiTheme="majorHAnsi" w:cstheme="majorHAnsi"/>
          <w:i/>
          <w:color w:val="000000" w:themeColor="text1"/>
          <w:sz w:val="22"/>
          <w:szCs w:val="22"/>
          <w:lang w:eastAsia="ja-JP"/>
        </w:rPr>
        <w:t>erythro</w:t>
      </w:r>
      <w:r w:rsidRPr="005E6B7C">
        <w:rPr>
          <w:rFonts w:asciiTheme="majorHAnsi" w:eastAsia="Yu Mincho" w:hAnsiTheme="majorHAnsi" w:cstheme="majorHAnsi"/>
          <w:color w:val="000000" w:themeColor="text1"/>
          <w:sz w:val="22"/>
          <w:szCs w:val="22"/>
          <w:lang w:eastAsia="ja-JP"/>
        </w:rPr>
        <w:t xml:space="preserve"> configuration of substituents at C-1 and C-2 in compound </w:t>
      </w:r>
      <w:r w:rsidRPr="005E6B7C">
        <w:rPr>
          <w:rFonts w:asciiTheme="majorHAnsi" w:eastAsia="Yu Mincho" w:hAnsiTheme="majorHAnsi" w:cstheme="majorHAnsi"/>
          <w:b/>
          <w:color w:val="000000" w:themeColor="text1"/>
          <w:sz w:val="22"/>
          <w:szCs w:val="22"/>
          <w:lang w:eastAsia="ja-JP"/>
        </w:rPr>
        <w:t xml:space="preserve">1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This assignment was further supported by the experimental CD spectrum, which displayed a negative Cotton effect (CE) at 207 nm and a positive CE at 215 nm. These spectral features closely matched the calculated ECD spectrum of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 xml:space="preserve">)-2-(4-hydroxy-3,5-dimethoxyphenyl)-1-(4-hydroxy-3-methoxyphenyl)-1-methoxypropane-3-ol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Therefore, the structure of 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w:t>
      </w:r>
      <w:r w:rsidRPr="005E6B7C">
        <w:rPr>
          <w:rFonts w:asciiTheme="majorHAnsi" w:eastAsia="Yu Mincho" w:hAnsiTheme="majorHAnsi" w:cstheme="majorHAnsi"/>
          <w:color w:val="000000" w:themeColor="text1"/>
          <w:sz w:val="22"/>
          <w:szCs w:val="22"/>
          <w:lang w:eastAsia="ja-JP"/>
        </w:rPr>
        <w:t>elucidated as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 xml:space="preserve">)-2-(4-hydroxy-3,5-dimethoxyphenyl)-1-(4-hydroxy-3-methoxyphenyl)-1-methoxypropane-3-ol. This compound was previously isolated from the seed shells of </w:t>
      </w:r>
      <w:r w:rsidRPr="005E6B7C">
        <w:rPr>
          <w:rFonts w:asciiTheme="majorHAnsi" w:eastAsia="Yu Mincho" w:hAnsiTheme="majorHAnsi" w:cstheme="majorHAnsi"/>
          <w:i/>
          <w:color w:val="000000" w:themeColor="text1"/>
          <w:sz w:val="22"/>
          <w:szCs w:val="22"/>
          <w:lang w:eastAsia="ja-JP"/>
        </w:rPr>
        <w:t>Cerasus humilis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Its biological activities were evaluated through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experiments, which revealed only weak cytotoxicity against HepG2 and A549 cell lines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demonstrated significant antioxidant activity as revealed by the DPPH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9.8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g/mL) and ATBS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15.3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assays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6E5B09FA" w14:textId="77777777" w:rsidR="00E049CB" w:rsidRPr="005E6B7C" w:rsidRDefault="00E049CB" w:rsidP="008C0D47">
      <w:pPr>
        <w:tabs>
          <w:tab w:val="left" w:pos="270"/>
          <w:tab w:val="left" w:pos="9270"/>
        </w:tabs>
        <w:spacing w:before="120" w:after="120" w:line="240" w:lineRule="exact"/>
        <w:ind w:firstLine="284"/>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 xml:space="preserve">H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 xml:space="preserve">C NMR spectroscopic data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b/>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and the reference compounds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1"/>
        <w:gridCol w:w="894"/>
        <w:gridCol w:w="987"/>
        <w:gridCol w:w="2068"/>
        <w:gridCol w:w="987"/>
        <w:gridCol w:w="987"/>
        <w:gridCol w:w="2068"/>
      </w:tblGrid>
      <w:tr w:rsidR="00E049CB" w:rsidRPr="005E6B7C" w14:paraId="69F8C5CF" w14:textId="77777777" w:rsidTr="008C0D47">
        <w:trPr>
          <w:jc w:val="center"/>
        </w:trPr>
        <w:tc>
          <w:tcPr>
            <w:tcW w:w="1081" w:type="dxa"/>
            <w:vMerge w:val="restart"/>
            <w:vAlign w:val="center"/>
          </w:tcPr>
          <w:p w14:paraId="359ABF52" w14:textId="77777777" w:rsidR="00E049CB" w:rsidRPr="005E6B7C" w:rsidRDefault="00E049CB" w:rsidP="008C0D47">
            <w:pPr>
              <w:tabs>
                <w:tab w:val="left" w:pos="270"/>
                <w:tab w:val="left" w:pos="9270"/>
              </w:tabs>
              <w:snapToGrid w:val="0"/>
              <w:ind w:right="-20"/>
              <w:jc w:val="center"/>
              <w:rPr>
                <w:rFonts w:asciiTheme="majorHAnsi" w:eastAsia="Yu Mincho" w:hAnsiTheme="majorHAnsi" w:cstheme="majorHAnsi"/>
                <w:color w:val="000000" w:themeColor="text1"/>
                <w:sz w:val="18"/>
                <w:szCs w:val="14"/>
                <w:lang w:eastAsia="ja-JP"/>
              </w:rPr>
            </w:pPr>
            <w:r w:rsidRPr="005E6B7C">
              <w:rPr>
                <w:rFonts w:asciiTheme="majorHAnsi" w:eastAsia="Yu Mincho" w:hAnsiTheme="majorHAnsi" w:cstheme="majorHAnsi"/>
                <w:color w:val="000000" w:themeColor="text1"/>
                <w:sz w:val="18"/>
                <w:szCs w:val="14"/>
                <w:lang w:eastAsia="ja-JP"/>
              </w:rPr>
              <w:t>No.</w:t>
            </w:r>
          </w:p>
        </w:tc>
        <w:tc>
          <w:tcPr>
            <w:tcW w:w="894" w:type="dxa"/>
            <w:vMerge w:val="restart"/>
            <w:vAlign w:val="center"/>
          </w:tcPr>
          <w:p w14:paraId="0CAA7E3D"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b/>
                <w:color w:val="000000" w:themeColor="text1"/>
                <w:sz w:val="18"/>
                <w:szCs w:val="14"/>
                <w:lang w:eastAsia="ja-JP"/>
              </w:rPr>
            </w:pPr>
            <w:r w:rsidRPr="005E6B7C">
              <w:rPr>
                <w:rFonts w:asciiTheme="majorHAnsi" w:eastAsia="Batang" w:hAnsiTheme="majorHAnsi" w:cstheme="majorHAnsi"/>
                <w:color w:val="000000" w:themeColor="text1"/>
                <w:kern w:val="2"/>
                <w:sz w:val="18"/>
                <w:szCs w:val="14"/>
                <w:vertAlign w:val="superscript"/>
                <w:lang w:eastAsia="ja-JP"/>
              </w:rPr>
              <w:t>#</w:t>
            </w: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C</w:t>
            </w:r>
            <w:r w:rsidRPr="005E6B7C">
              <w:rPr>
                <w:rFonts w:asciiTheme="majorHAnsi" w:eastAsia="Batang" w:hAnsiTheme="majorHAnsi" w:cstheme="majorHAnsi"/>
                <w:color w:val="000000" w:themeColor="text1"/>
                <w:kern w:val="2"/>
                <w:sz w:val="18"/>
                <w:szCs w:val="14"/>
                <w:vertAlign w:val="superscript"/>
                <w:lang w:eastAsia="ja-JP"/>
              </w:rPr>
              <w:t>a</w:t>
            </w:r>
          </w:p>
        </w:tc>
        <w:tc>
          <w:tcPr>
            <w:tcW w:w="3055" w:type="dxa"/>
            <w:gridSpan w:val="2"/>
          </w:tcPr>
          <w:p w14:paraId="03B9AEA6"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b/>
                <w:color w:val="000000" w:themeColor="text1"/>
                <w:sz w:val="18"/>
                <w:szCs w:val="14"/>
                <w:lang w:eastAsia="ja-JP"/>
              </w:rPr>
            </w:pPr>
            <w:r w:rsidRPr="005E6B7C">
              <w:rPr>
                <w:rFonts w:asciiTheme="majorHAnsi" w:eastAsia="Batang" w:hAnsiTheme="majorHAnsi" w:cstheme="majorHAnsi"/>
                <w:b/>
                <w:color w:val="000000" w:themeColor="text1"/>
                <w:sz w:val="18"/>
                <w:szCs w:val="14"/>
                <w:lang w:eastAsia="ja-JP"/>
              </w:rPr>
              <w:t>1</w:t>
            </w:r>
          </w:p>
        </w:tc>
        <w:tc>
          <w:tcPr>
            <w:tcW w:w="987" w:type="dxa"/>
            <w:vMerge w:val="restart"/>
            <w:vAlign w:val="center"/>
          </w:tcPr>
          <w:p w14:paraId="056DCA89"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sz w:val="18"/>
                <w:szCs w:val="14"/>
                <w:lang w:eastAsia="ja-JP"/>
              </w:rPr>
            </w:pPr>
            <w:r w:rsidRPr="005E6B7C">
              <w:rPr>
                <w:rFonts w:asciiTheme="majorHAnsi" w:eastAsia="Batang" w:hAnsiTheme="majorHAnsi" w:cstheme="majorHAnsi"/>
                <w:color w:val="000000" w:themeColor="text1"/>
                <w:kern w:val="2"/>
                <w:sz w:val="18"/>
                <w:szCs w:val="14"/>
                <w:vertAlign w:val="superscript"/>
                <w:lang w:eastAsia="ja-JP"/>
              </w:rPr>
              <w:t>$</w:t>
            </w: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C</w:t>
            </w:r>
            <w:r w:rsidRPr="005E6B7C">
              <w:rPr>
                <w:rFonts w:asciiTheme="majorHAnsi" w:eastAsia="Batang" w:hAnsiTheme="majorHAnsi" w:cstheme="majorHAnsi"/>
                <w:color w:val="000000" w:themeColor="text1"/>
                <w:kern w:val="2"/>
                <w:sz w:val="18"/>
                <w:szCs w:val="14"/>
                <w:vertAlign w:val="superscript"/>
                <w:lang w:eastAsia="ja-JP"/>
              </w:rPr>
              <w:t>b</w:t>
            </w:r>
          </w:p>
        </w:tc>
        <w:tc>
          <w:tcPr>
            <w:tcW w:w="3055" w:type="dxa"/>
            <w:gridSpan w:val="2"/>
          </w:tcPr>
          <w:p w14:paraId="5FFF8E09"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sz w:val="18"/>
                <w:szCs w:val="14"/>
                <w:lang w:eastAsia="ja-JP"/>
              </w:rPr>
            </w:pPr>
            <w:r w:rsidRPr="005E6B7C">
              <w:rPr>
                <w:rFonts w:asciiTheme="majorHAnsi" w:eastAsia="Batang" w:hAnsiTheme="majorHAnsi" w:cstheme="majorHAnsi"/>
                <w:b/>
                <w:color w:val="000000" w:themeColor="text1"/>
                <w:sz w:val="18"/>
                <w:szCs w:val="14"/>
                <w:lang w:eastAsia="ja-JP"/>
              </w:rPr>
              <w:t>2</w:t>
            </w:r>
          </w:p>
        </w:tc>
      </w:tr>
      <w:tr w:rsidR="00E049CB" w:rsidRPr="005E6B7C" w14:paraId="788233B5" w14:textId="77777777" w:rsidTr="008C0D47">
        <w:trPr>
          <w:jc w:val="center"/>
        </w:trPr>
        <w:tc>
          <w:tcPr>
            <w:tcW w:w="1081" w:type="dxa"/>
            <w:vMerge/>
          </w:tcPr>
          <w:p w14:paraId="07C98E8A" w14:textId="77777777" w:rsidR="00E049CB" w:rsidRPr="005E6B7C" w:rsidRDefault="00E049CB" w:rsidP="008C0D47">
            <w:pPr>
              <w:tabs>
                <w:tab w:val="left" w:pos="270"/>
                <w:tab w:val="left" w:pos="9270"/>
              </w:tabs>
              <w:snapToGrid w:val="0"/>
              <w:ind w:right="-20"/>
              <w:jc w:val="center"/>
              <w:rPr>
                <w:rFonts w:asciiTheme="majorHAnsi" w:eastAsia="Yu Mincho" w:hAnsiTheme="majorHAnsi" w:cstheme="majorHAnsi"/>
                <w:color w:val="000000" w:themeColor="text1"/>
                <w:sz w:val="18"/>
                <w:szCs w:val="14"/>
                <w:lang w:eastAsia="ja-JP"/>
              </w:rPr>
            </w:pPr>
          </w:p>
        </w:tc>
        <w:tc>
          <w:tcPr>
            <w:tcW w:w="894" w:type="dxa"/>
            <w:vMerge/>
          </w:tcPr>
          <w:p w14:paraId="5A6DECAB"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kern w:val="2"/>
                <w:sz w:val="18"/>
                <w:szCs w:val="14"/>
                <w:lang w:eastAsia="ja-JP"/>
              </w:rPr>
            </w:pPr>
          </w:p>
        </w:tc>
        <w:tc>
          <w:tcPr>
            <w:tcW w:w="987" w:type="dxa"/>
          </w:tcPr>
          <w:p w14:paraId="461D403A"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kern w:val="2"/>
                <w:sz w:val="18"/>
                <w:szCs w:val="14"/>
                <w:lang w:eastAsia="ja-JP"/>
              </w:rPr>
            </w:pP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C</w:t>
            </w:r>
            <w:r w:rsidRPr="005E6B7C">
              <w:rPr>
                <w:rFonts w:asciiTheme="majorHAnsi" w:eastAsia="Batang" w:hAnsiTheme="majorHAnsi" w:cstheme="majorHAnsi"/>
                <w:color w:val="000000" w:themeColor="text1"/>
                <w:kern w:val="2"/>
                <w:sz w:val="18"/>
                <w:szCs w:val="14"/>
                <w:vertAlign w:val="superscript"/>
                <w:lang w:eastAsia="ja-JP"/>
              </w:rPr>
              <w:t>a,c</w:t>
            </w:r>
          </w:p>
        </w:tc>
        <w:tc>
          <w:tcPr>
            <w:tcW w:w="2068" w:type="dxa"/>
            <w:vAlign w:val="center"/>
          </w:tcPr>
          <w:p w14:paraId="6B35BE52"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kern w:val="2"/>
                <w:sz w:val="18"/>
                <w:szCs w:val="14"/>
                <w:lang w:eastAsia="ja-JP"/>
              </w:rPr>
            </w:pP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H</w:t>
            </w:r>
            <w:r w:rsidRPr="005E6B7C">
              <w:rPr>
                <w:rFonts w:asciiTheme="majorHAnsi" w:eastAsia="Batang" w:hAnsiTheme="majorHAnsi" w:cstheme="majorHAnsi"/>
                <w:color w:val="000000" w:themeColor="text1"/>
                <w:kern w:val="2"/>
                <w:sz w:val="18"/>
                <w:szCs w:val="14"/>
                <w:vertAlign w:val="superscript"/>
                <w:lang w:eastAsia="ja-JP"/>
              </w:rPr>
              <w:t xml:space="preserve">a,d </w:t>
            </w:r>
            <w:r w:rsidRPr="005E6B7C">
              <w:rPr>
                <w:rFonts w:asciiTheme="majorHAnsi" w:eastAsia="Batang" w:hAnsiTheme="majorHAnsi" w:cstheme="majorHAnsi"/>
                <w:color w:val="000000" w:themeColor="text1"/>
                <w:kern w:val="2"/>
                <w:sz w:val="18"/>
                <w:szCs w:val="14"/>
                <w:lang w:eastAsia="ja-JP"/>
              </w:rPr>
              <w:t>mult. (</w:t>
            </w:r>
            <w:r w:rsidRPr="005E6B7C">
              <w:rPr>
                <w:rFonts w:asciiTheme="majorHAnsi" w:eastAsia="Batang" w:hAnsiTheme="majorHAnsi" w:cstheme="majorHAnsi"/>
                <w:i/>
                <w:color w:val="000000" w:themeColor="text1"/>
                <w:kern w:val="2"/>
                <w:sz w:val="18"/>
                <w:szCs w:val="14"/>
                <w:lang w:eastAsia="ja-JP"/>
              </w:rPr>
              <w:t>J</w:t>
            </w:r>
            <w:r w:rsidRPr="005E6B7C">
              <w:rPr>
                <w:rFonts w:asciiTheme="majorHAnsi" w:eastAsia="Batang" w:hAnsiTheme="majorHAnsi" w:cstheme="majorHAnsi"/>
                <w:color w:val="000000" w:themeColor="text1"/>
                <w:kern w:val="2"/>
                <w:sz w:val="18"/>
                <w:szCs w:val="14"/>
                <w:lang w:eastAsia="ja-JP"/>
              </w:rPr>
              <w:t xml:space="preserve"> in Hz)</w:t>
            </w:r>
          </w:p>
        </w:tc>
        <w:tc>
          <w:tcPr>
            <w:tcW w:w="987" w:type="dxa"/>
            <w:vMerge/>
          </w:tcPr>
          <w:p w14:paraId="07D3340C"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i/>
                <w:color w:val="000000" w:themeColor="text1"/>
                <w:sz w:val="18"/>
                <w:szCs w:val="14"/>
                <w:lang w:eastAsia="ja-JP"/>
              </w:rPr>
            </w:pPr>
          </w:p>
        </w:tc>
        <w:tc>
          <w:tcPr>
            <w:tcW w:w="987" w:type="dxa"/>
          </w:tcPr>
          <w:p w14:paraId="4C806555"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kern w:val="2"/>
                <w:sz w:val="18"/>
                <w:szCs w:val="14"/>
                <w:lang w:eastAsia="ja-JP"/>
              </w:rPr>
            </w:pP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C</w:t>
            </w:r>
            <w:r w:rsidRPr="005E6B7C">
              <w:rPr>
                <w:rFonts w:asciiTheme="majorHAnsi" w:eastAsia="Batang" w:hAnsiTheme="majorHAnsi" w:cstheme="majorHAnsi"/>
                <w:color w:val="000000" w:themeColor="text1"/>
                <w:kern w:val="2"/>
                <w:sz w:val="18"/>
                <w:szCs w:val="14"/>
                <w:vertAlign w:val="superscript"/>
                <w:lang w:eastAsia="ja-JP"/>
              </w:rPr>
              <w:t>a,c</w:t>
            </w:r>
          </w:p>
        </w:tc>
        <w:tc>
          <w:tcPr>
            <w:tcW w:w="2068" w:type="dxa"/>
            <w:vAlign w:val="center"/>
          </w:tcPr>
          <w:p w14:paraId="74BC57D3" w14:textId="77777777" w:rsidR="00E049CB" w:rsidRPr="005E6B7C" w:rsidRDefault="00E049CB" w:rsidP="008C0D47">
            <w:pPr>
              <w:tabs>
                <w:tab w:val="left" w:pos="270"/>
                <w:tab w:val="left" w:pos="9270"/>
              </w:tabs>
              <w:autoSpaceDE w:val="0"/>
              <w:autoSpaceDN w:val="0"/>
              <w:snapToGrid w:val="0"/>
              <w:ind w:right="-20"/>
              <w:jc w:val="center"/>
              <w:rPr>
                <w:rFonts w:asciiTheme="majorHAnsi" w:eastAsia="Batang" w:hAnsiTheme="majorHAnsi" w:cstheme="majorHAnsi"/>
                <w:color w:val="000000" w:themeColor="text1"/>
                <w:kern w:val="2"/>
                <w:sz w:val="18"/>
                <w:szCs w:val="14"/>
                <w:lang w:eastAsia="ja-JP"/>
              </w:rPr>
            </w:pPr>
            <w:r w:rsidRPr="005E6B7C">
              <w:rPr>
                <w:rFonts w:asciiTheme="majorHAnsi" w:eastAsia="Batang" w:hAnsiTheme="majorHAnsi" w:cstheme="majorHAnsi"/>
                <w:b/>
                <w:i/>
                <w:color w:val="000000" w:themeColor="text1"/>
                <w:kern w:val="2"/>
                <w:sz w:val="18"/>
                <w:szCs w:val="14"/>
                <w:lang w:eastAsia="ja-JP"/>
              </w:rPr>
              <w:t>δ</w:t>
            </w:r>
            <w:r w:rsidRPr="005E6B7C">
              <w:rPr>
                <w:rFonts w:asciiTheme="majorHAnsi" w:eastAsia="Batang" w:hAnsiTheme="majorHAnsi" w:cstheme="majorHAnsi"/>
                <w:color w:val="000000" w:themeColor="text1"/>
                <w:kern w:val="2"/>
                <w:sz w:val="18"/>
                <w:szCs w:val="14"/>
                <w:vertAlign w:val="subscript"/>
                <w:lang w:eastAsia="ja-JP"/>
              </w:rPr>
              <w:t>H</w:t>
            </w:r>
            <w:r w:rsidRPr="005E6B7C">
              <w:rPr>
                <w:rFonts w:asciiTheme="majorHAnsi" w:eastAsia="Batang" w:hAnsiTheme="majorHAnsi" w:cstheme="majorHAnsi"/>
                <w:color w:val="000000" w:themeColor="text1"/>
                <w:kern w:val="2"/>
                <w:sz w:val="18"/>
                <w:szCs w:val="14"/>
                <w:vertAlign w:val="superscript"/>
                <w:lang w:eastAsia="ja-JP"/>
              </w:rPr>
              <w:t xml:space="preserve">a,d </w:t>
            </w:r>
            <w:r w:rsidRPr="005E6B7C">
              <w:rPr>
                <w:rFonts w:asciiTheme="majorHAnsi" w:eastAsia="Batang" w:hAnsiTheme="majorHAnsi" w:cstheme="majorHAnsi"/>
                <w:color w:val="000000" w:themeColor="text1"/>
                <w:kern w:val="2"/>
                <w:sz w:val="18"/>
                <w:szCs w:val="14"/>
                <w:lang w:eastAsia="ja-JP"/>
              </w:rPr>
              <w:t>mult. (</w:t>
            </w:r>
            <w:r w:rsidRPr="005E6B7C">
              <w:rPr>
                <w:rFonts w:asciiTheme="majorHAnsi" w:eastAsia="Batang" w:hAnsiTheme="majorHAnsi" w:cstheme="majorHAnsi"/>
                <w:i/>
                <w:color w:val="000000" w:themeColor="text1"/>
                <w:kern w:val="2"/>
                <w:sz w:val="18"/>
                <w:szCs w:val="14"/>
                <w:lang w:eastAsia="ja-JP"/>
              </w:rPr>
              <w:t>J</w:t>
            </w:r>
            <w:r w:rsidRPr="005E6B7C">
              <w:rPr>
                <w:rFonts w:asciiTheme="majorHAnsi" w:eastAsia="Batang" w:hAnsiTheme="majorHAnsi" w:cstheme="majorHAnsi"/>
                <w:color w:val="000000" w:themeColor="text1"/>
                <w:kern w:val="2"/>
                <w:sz w:val="18"/>
                <w:szCs w:val="14"/>
                <w:lang w:eastAsia="ja-JP"/>
              </w:rPr>
              <w:t xml:space="preserve"> in Hz)</w:t>
            </w:r>
          </w:p>
        </w:tc>
      </w:tr>
      <w:tr w:rsidR="00E049CB" w:rsidRPr="005E6B7C" w14:paraId="0FD49498" w14:textId="77777777" w:rsidTr="008C0D47">
        <w:trPr>
          <w:jc w:val="center"/>
        </w:trPr>
        <w:tc>
          <w:tcPr>
            <w:tcW w:w="1081" w:type="dxa"/>
          </w:tcPr>
          <w:p w14:paraId="3606A2E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894" w:type="dxa"/>
          </w:tcPr>
          <w:p w14:paraId="37A49DB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85.0</w:t>
            </w:r>
          </w:p>
        </w:tc>
        <w:tc>
          <w:tcPr>
            <w:tcW w:w="987" w:type="dxa"/>
          </w:tcPr>
          <w:p w14:paraId="41440E0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85.0</w:t>
            </w:r>
          </w:p>
        </w:tc>
        <w:tc>
          <w:tcPr>
            <w:tcW w:w="2068" w:type="dxa"/>
          </w:tcPr>
          <w:p w14:paraId="6ADA655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4.50 d (5.4)</w:t>
            </w:r>
          </w:p>
        </w:tc>
        <w:tc>
          <w:tcPr>
            <w:tcW w:w="987" w:type="dxa"/>
          </w:tcPr>
          <w:p w14:paraId="576E11F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84.3</w:t>
            </w:r>
          </w:p>
        </w:tc>
        <w:tc>
          <w:tcPr>
            <w:tcW w:w="987" w:type="dxa"/>
          </w:tcPr>
          <w:p w14:paraId="34B52C6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87.2</w:t>
            </w:r>
          </w:p>
        </w:tc>
        <w:tc>
          <w:tcPr>
            <w:tcW w:w="2068" w:type="dxa"/>
          </w:tcPr>
          <w:p w14:paraId="2574E07B"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4.33 d (8.4)</w:t>
            </w:r>
          </w:p>
        </w:tc>
      </w:tr>
      <w:tr w:rsidR="00E049CB" w:rsidRPr="005E6B7C" w14:paraId="51090AA0" w14:textId="77777777" w:rsidTr="008C0D47">
        <w:trPr>
          <w:jc w:val="center"/>
        </w:trPr>
        <w:tc>
          <w:tcPr>
            <w:tcW w:w="1081" w:type="dxa"/>
          </w:tcPr>
          <w:p w14:paraId="695550C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894" w:type="dxa"/>
          </w:tcPr>
          <w:p w14:paraId="0907C52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56.9</w:t>
            </w:r>
          </w:p>
        </w:tc>
        <w:tc>
          <w:tcPr>
            <w:tcW w:w="987" w:type="dxa"/>
          </w:tcPr>
          <w:p w14:paraId="0A23E04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56.9</w:t>
            </w:r>
          </w:p>
        </w:tc>
        <w:tc>
          <w:tcPr>
            <w:tcW w:w="2068" w:type="dxa"/>
          </w:tcPr>
          <w:p w14:paraId="1D6005F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2.88 m</w:t>
            </w:r>
          </w:p>
        </w:tc>
        <w:tc>
          <w:tcPr>
            <w:tcW w:w="987" w:type="dxa"/>
          </w:tcPr>
          <w:p w14:paraId="07D0DBF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54.1</w:t>
            </w:r>
          </w:p>
        </w:tc>
        <w:tc>
          <w:tcPr>
            <w:tcW w:w="987" w:type="dxa"/>
          </w:tcPr>
          <w:p w14:paraId="7292B43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56.5</w:t>
            </w:r>
          </w:p>
        </w:tc>
        <w:tc>
          <w:tcPr>
            <w:tcW w:w="2068" w:type="dxa"/>
          </w:tcPr>
          <w:p w14:paraId="0119ACDB"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3.00 m</w:t>
            </w:r>
          </w:p>
        </w:tc>
      </w:tr>
      <w:tr w:rsidR="00E049CB" w:rsidRPr="005E6B7C" w14:paraId="5ADA1A61" w14:textId="77777777" w:rsidTr="008C0D47">
        <w:trPr>
          <w:jc w:val="center"/>
        </w:trPr>
        <w:tc>
          <w:tcPr>
            <w:tcW w:w="1081" w:type="dxa"/>
          </w:tcPr>
          <w:p w14:paraId="62E9776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894" w:type="dxa"/>
          </w:tcPr>
          <w:p w14:paraId="3195FF6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64.3</w:t>
            </w:r>
          </w:p>
        </w:tc>
        <w:tc>
          <w:tcPr>
            <w:tcW w:w="987" w:type="dxa"/>
          </w:tcPr>
          <w:p w14:paraId="62742EF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64.3</w:t>
            </w:r>
          </w:p>
        </w:tc>
        <w:tc>
          <w:tcPr>
            <w:tcW w:w="2068" w:type="dxa"/>
          </w:tcPr>
          <w:p w14:paraId="1E39BE8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3.88 dd (10.8, 4.2)</w:t>
            </w:r>
          </w:p>
          <w:p w14:paraId="284FE96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3.70 dd (10.8, 8.4)</w:t>
            </w:r>
          </w:p>
        </w:tc>
        <w:tc>
          <w:tcPr>
            <w:tcW w:w="987" w:type="dxa"/>
          </w:tcPr>
          <w:p w14:paraId="1CB93D5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62.4</w:t>
            </w:r>
          </w:p>
        </w:tc>
        <w:tc>
          <w:tcPr>
            <w:tcW w:w="987" w:type="dxa"/>
          </w:tcPr>
          <w:p w14:paraId="09737CF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64.8</w:t>
            </w:r>
          </w:p>
        </w:tc>
        <w:tc>
          <w:tcPr>
            <w:tcW w:w="2068" w:type="dxa"/>
          </w:tcPr>
          <w:p w14:paraId="2E8EC0D7"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4.08 dd </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10.8, 5.4)</w:t>
            </w:r>
          </w:p>
          <w:p w14:paraId="3588C429"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3.39 dd </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10.8, 7.2)</w:t>
            </w:r>
          </w:p>
        </w:tc>
      </w:tr>
      <w:tr w:rsidR="00E049CB" w:rsidRPr="005E6B7C" w14:paraId="28F1ACA7" w14:textId="77777777" w:rsidTr="008C0D47">
        <w:trPr>
          <w:jc w:val="center"/>
        </w:trPr>
        <w:tc>
          <w:tcPr>
            <w:tcW w:w="1081" w:type="dxa"/>
          </w:tcPr>
          <w:p w14:paraId="7C32F1F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894" w:type="dxa"/>
          </w:tcPr>
          <w:p w14:paraId="497AC00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131.5</w:t>
            </w:r>
          </w:p>
        </w:tc>
        <w:tc>
          <w:tcPr>
            <w:tcW w:w="987" w:type="dxa"/>
          </w:tcPr>
          <w:p w14:paraId="0525476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131.5</w:t>
            </w:r>
          </w:p>
        </w:tc>
        <w:tc>
          <w:tcPr>
            <w:tcW w:w="2068" w:type="dxa"/>
          </w:tcPr>
          <w:p w14:paraId="022FF34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04940C7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130.9</w:t>
            </w:r>
          </w:p>
        </w:tc>
        <w:tc>
          <w:tcPr>
            <w:tcW w:w="987" w:type="dxa"/>
          </w:tcPr>
          <w:p w14:paraId="3EAECA6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131.8</w:t>
            </w:r>
          </w:p>
        </w:tc>
        <w:tc>
          <w:tcPr>
            <w:tcW w:w="2068" w:type="dxa"/>
          </w:tcPr>
          <w:p w14:paraId="5297E9D0"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34C173E0" w14:textId="77777777" w:rsidTr="008C0D47">
        <w:trPr>
          <w:jc w:val="center"/>
        </w:trPr>
        <w:tc>
          <w:tcPr>
            <w:tcW w:w="1081" w:type="dxa"/>
          </w:tcPr>
          <w:p w14:paraId="5A793F3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 6'</w:t>
            </w:r>
          </w:p>
        </w:tc>
        <w:tc>
          <w:tcPr>
            <w:tcW w:w="894" w:type="dxa"/>
          </w:tcPr>
          <w:p w14:paraId="787ACB7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108.2</w:t>
            </w:r>
          </w:p>
        </w:tc>
        <w:tc>
          <w:tcPr>
            <w:tcW w:w="987" w:type="dxa"/>
          </w:tcPr>
          <w:p w14:paraId="19DC6DB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108.2</w:t>
            </w:r>
          </w:p>
        </w:tc>
        <w:tc>
          <w:tcPr>
            <w:tcW w:w="2068" w:type="dxa"/>
          </w:tcPr>
          <w:p w14:paraId="38691B0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6.40 s</w:t>
            </w:r>
          </w:p>
        </w:tc>
        <w:tc>
          <w:tcPr>
            <w:tcW w:w="987" w:type="dxa"/>
          </w:tcPr>
          <w:p w14:paraId="333DF14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106.9</w:t>
            </w:r>
          </w:p>
        </w:tc>
        <w:tc>
          <w:tcPr>
            <w:tcW w:w="987" w:type="dxa"/>
          </w:tcPr>
          <w:p w14:paraId="6A5EB4B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107.8</w:t>
            </w:r>
          </w:p>
        </w:tc>
        <w:tc>
          <w:tcPr>
            <w:tcW w:w="2068" w:type="dxa"/>
          </w:tcPr>
          <w:p w14:paraId="4E47D4F4"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6.26 s</w:t>
            </w:r>
          </w:p>
        </w:tc>
      </w:tr>
      <w:tr w:rsidR="00E049CB" w:rsidRPr="005E6B7C" w14:paraId="2F795606" w14:textId="77777777" w:rsidTr="008C0D47">
        <w:trPr>
          <w:jc w:val="center"/>
        </w:trPr>
        <w:tc>
          <w:tcPr>
            <w:tcW w:w="1081" w:type="dxa"/>
          </w:tcPr>
          <w:p w14:paraId="7C872D0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 5'</w:t>
            </w:r>
          </w:p>
        </w:tc>
        <w:tc>
          <w:tcPr>
            <w:tcW w:w="894" w:type="dxa"/>
          </w:tcPr>
          <w:p w14:paraId="68D7E29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148.7</w:t>
            </w:r>
          </w:p>
        </w:tc>
        <w:tc>
          <w:tcPr>
            <w:tcW w:w="987" w:type="dxa"/>
          </w:tcPr>
          <w:p w14:paraId="3D1C0AA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148.7</w:t>
            </w:r>
          </w:p>
        </w:tc>
        <w:tc>
          <w:tcPr>
            <w:tcW w:w="2068" w:type="dxa"/>
          </w:tcPr>
          <w:p w14:paraId="77D2708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5F34CC0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147.2</w:t>
            </w:r>
          </w:p>
        </w:tc>
        <w:tc>
          <w:tcPr>
            <w:tcW w:w="987" w:type="dxa"/>
          </w:tcPr>
          <w:p w14:paraId="07841DA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148.7</w:t>
            </w:r>
          </w:p>
        </w:tc>
        <w:tc>
          <w:tcPr>
            <w:tcW w:w="2068" w:type="dxa"/>
          </w:tcPr>
          <w:p w14:paraId="72728C32"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46EE5D8F" w14:textId="77777777" w:rsidTr="008C0D47">
        <w:trPr>
          <w:jc w:val="center"/>
        </w:trPr>
        <w:tc>
          <w:tcPr>
            <w:tcW w:w="1081" w:type="dxa"/>
          </w:tcPr>
          <w:p w14:paraId="5CE5E16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894" w:type="dxa"/>
          </w:tcPr>
          <w:p w14:paraId="7A04C8E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135.3</w:t>
            </w:r>
          </w:p>
        </w:tc>
        <w:tc>
          <w:tcPr>
            <w:tcW w:w="987" w:type="dxa"/>
          </w:tcPr>
          <w:p w14:paraId="249BAD9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135.3</w:t>
            </w:r>
          </w:p>
        </w:tc>
        <w:tc>
          <w:tcPr>
            <w:tcW w:w="2068" w:type="dxa"/>
          </w:tcPr>
          <w:p w14:paraId="035E6C5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586E34B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133.7</w:t>
            </w:r>
          </w:p>
        </w:tc>
        <w:tc>
          <w:tcPr>
            <w:tcW w:w="987" w:type="dxa"/>
          </w:tcPr>
          <w:p w14:paraId="16E85F4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135.5</w:t>
            </w:r>
          </w:p>
        </w:tc>
        <w:tc>
          <w:tcPr>
            <w:tcW w:w="2068" w:type="dxa"/>
          </w:tcPr>
          <w:p w14:paraId="6B9B7BEF"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5A0F2C0" w14:textId="77777777" w:rsidTr="008C0D47">
        <w:trPr>
          <w:jc w:val="center"/>
        </w:trPr>
        <w:tc>
          <w:tcPr>
            <w:tcW w:w="1081" w:type="dxa"/>
          </w:tcPr>
          <w:p w14:paraId="418819C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894" w:type="dxa"/>
          </w:tcPr>
          <w:p w14:paraId="1D51D78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133.1</w:t>
            </w:r>
          </w:p>
        </w:tc>
        <w:tc>
          <w:tcPr>
            <w:tcW w:w="987" w:type="dxa"/>
          </w:tcPr>
          <w:p w14:paraId="67C6805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133.1</w:t>
            </w:r>
          </w:p>
        </w:tc>
        <w:tc>
          <w:tcPr>
            <w:tcW w:w="2068" w:type="dxa"/>
          </w:tcPr>
          <w:p w14:paraId="4536F7E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68D03DE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130.8</w:t>
            </w:r>
          </w:p>
        </w:tc>
        <w:tc>
          <w:tcPr>
            <w:tcW w:w="987" w:type="dxa"/>
          </w:tcPr>
          <w:p w14:paraId="17E334C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132.7</w:t>
            </w:r>
          </w:p>
        </w:tc>
        <w:tc>
          <w:tcPr>
            <w:tcW w:w="2068" w:type="dxa"/>
          </w:tcPr>
          <w:p w14:paraId="026CDE83"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A3281A1" w14:textId="77777777" w:rsidTr="008C0D47">
        <w:trPr>
          <w:jc w:val="center"/>
        </w:trPr>
        <w:tc>
          <w:tcPr>
            <w:tcW w:w="1081" w:type="dxa"/>
          </w:tcPr>
          <w:p w14:paraId="2A8D7B3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894" w:type="dxa"/>
          </w:tcPr>
          <w:p w14:paraId="10BC675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111.8</w:t>
            </w:r>
          </w:p>
        </w:tc>
        <w:tc>
          <w:tcPr>
            <w:tcW w:w="987" w:type="dxa"/>
          </w:tcPr>
          <w:p w14:paraId="26D61CB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111.8</w:t>
            </w:r>
          </w:p>
        </w:tc>
        <w:tc>
          <w:tcPr>
            <w:tcW w:w="2068" w:type="dxa"/>
          </w:tcPr>
          <w:p w14:paraId="7F18B90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6.53 d (1.2)</w:t>
            </w:r>
          </w:p>
        </w:tc>
        <w:tc>
          <w:tcPr>
            <w:tcW w:w="987" w:type="dxa"/>
          </w:tcPr>
          <w:p w14:paraId="72800B6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111.5</w:t>
            </w:r>
          </w:p>
        </w:tc>
        <w:tc>
          <w:tcPr>
            <w:tcW w:w="987" w:type="dxa"/>
          </w:tcPr>
          <w:p w14:paraId="3541523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112.4</w:t>
            </w:r>
          </w:p>
        </w:tc>
        <w:tc>
          <w:tcPr>
            <w:tcW w:w="2068" w:type="dxa"/>
          </w:tcPr>
          <w:p w14:paraId="25FB066E"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6.55 d (1.8)</w:t>
            </w:r>
          </w:p>
        </w:tc>
      </w:tr>
      <w:tr w:rsidR="00E049CB" w:rsidRPr="005E6B7C" w14:paraId="0061F85D" w14:textId="77777777" w:rsidTr="008C0D47">
        <w:trPr>
          <w:jc w:val="center"/>
        </w:trPr>
        <w:tc>
          <w:tcPr>
            <w:tcW w:w="1081" w:type="dxa"/>
          </w:tcPr>
          <w:p w14:paraId="6EA3C4E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894" w:type="dxa"/>
          </w:tcPr>
          <w:p w14:paraId="1BC5630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148.7</w:t>
            </w:r>
          </w:p>
        </w:tc>
        <w:tc>
          <w:tcPr>
            <w:tcW w:w="987" w:type="dxa"/>
          </w:tcPr>
          <w:p w14:paraId="7E73E0B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148.7</w:t>
            </w:r>
          </w:p>
        </w:tc>
        <w:tc>
          <w:tcPr>
            <w:tcW w:w="2068" w:type="dxa"/>
          </w:tcPr>
          <w:p w14:paraId="3E80FE5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75AAF1A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147.0</w:t>
            </w:r>
          </w:p>
        </w:tc>
        <w:tc>
          <w:tcPr>
            <w:tcW w:w="987" w:type="dxa"/>
          </w:tcPr>
          <w:p w14:paraId="3A05728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148.6</w:t>
            </w:r>
          </w:p>
        </w:tc>
        <w:tc>
          <w:tcPr>
            <w:tcW w:w="2068" w:type="dxa"/>
          </w:tcPr>
          <w:p w14:paraId="7E077D61"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2FF90767" w14:textId="77777777" w:rsidTr="008C0D47">
        <w:trPr>
          <w:jc w:val="center"/>
        </w:trPr>
        <w:tc>
          <w:tcPr>
            <w:tcW w:w="1081" w:type="dxa"/>
          </w:tcPr>
          <w:p w14:paraId="4981C0A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894" w:type="dxa"/>
          </w:tcPr>
          <w:p w14:paraId="11C8C1B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147.0</w:t>
            </w:r>
          </w:p>
        </w:tc>
        <w:tc>
          <w:tcPr>
            <w:tcW w:w="987" w:type="dxa"/>
          </w:tcPr>
          <w:p w14:paraId="5DBBE1F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147.0</w:t>
            </w:r>
          </w:p>
        </w:tc>
        <w:tc>
          <w:tcPr>
            <w:tcW w:w="2068" w:type="dxa"/>
          </w:tcPr>
          <w:p w14:paraId="0BD9B1A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c>
          <w:tcPr>
            <w:tcW w:w="987" w:type="dxa"/>
          </w:tcPr>
          <w:p w14:paraId="398222F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145.5</w:t>
            </w:r>
          </w:p>
        </w:tc>
        <w:tc>
          <w:tcPr>
            <w:tcW w:w="987" w:type="dxa"/>
          </w:tcPr>
          <w:p w14:paraId="50847E3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146.9</w:t>
            </w:r>
          </w:p>
        </w:tc>
        <w:tc>
          <w:tcPr>
            <w:tcW w:w="2068" w:type="dxa"/>
          </w:tcPr>
          <w:p w14:paraId="05EB53C3"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w:t>
            </w:r>
          </w:p>
        </w:tc>
      </w:tr>
      <w:tr w:rsidR="00E049CB" w:rsidRPr="005E6B7C" w14:paraId="373F0E53" w14:textId="77777777" w:rsidTr="008C0D47">
        <w:trPr>
          <w:jc w:val="center"/>
        </w:trPr>
        <w:tc>
          <w:tcPr>
            <w:tcW w:w="1081" w:type="dxa"/>
          </w:tcPr>
          <w:p w14:paraId="7F9DD0A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894" w:type="dxa"/>
          </w:tcPr>
          <w:p w14:paraId="645ABFD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115.6</w:t>
            </w:r>
          </w:p>
        </w:tc>
        <w:tc>
          <w:tcPr>
            <w:tcW w:w="987" w:type="dxa"/>
          </w:tcPr>
          <w:p w14:paraId="087F141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115.6</w:t>
            </w:r>
          </w:p>
        </w:tc>
        <w:tc>
          <w:tcPr>
            <w:tcW w:w="2068" w:type="dxa"/>
          </w:tcPr>
          <w:p w14:paraId="0E32A6E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6.74 d </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8.4)</w:t>
            </w:r>
          </w:p>
        </w:tc>
        <w:tc>
          <w:tcPr>
            <w:tcW w:w="987" w:type="dxa"/>
          </w:tcPr>
          <w:p w14:paraId="483998A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114.6</w:t>
            </w:r>
          </w:p>
        </w:tc>
        <w:tc>
          <w:tcPr>
            <w:tcW w:w="987" w:type="dxa"/>
          </w:tcPr>
          <w:p w14:paraId="64A2030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115.5</w:t>
            </w:r>
          </w:p>
        </w:tc>
        <w:tc>
          <w:tcPr>
            <w:tcW w:w="2068" w:type="dxa"/>
          </w:tcPr>
          <w:p w14:paraId="365A0A04"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6.66 d (7.8)</w:t>
            </w:r>
          </w:p>
        </w:tc>
      </w:tr>
      <w:tr w:rsidR="00E049CB" w:rsidRPr="005E6B7C" w14:paraId="0901F579" w14:textId="77777777" w:rsidTr="008C0D47">
        <w:trPr>
          <w:jc w:val="center"/>
        </w:trPr>
        <w:tc>
          <w:tcPr>
            <w:tcW w:w="1081" w:type="dxa"/>
          </w:tcPr>
          <w:p w14:paraId="09155BF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894" w:type="dxa"/>
          </w:tcPr>
          <w:p w14:paraId="13752BE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121.3</w:t>
            </w:r>
          </w:p>
        </w:tc>
        <w:tc>
          <w:tcPr>
            <w:tcW w:w="987" w:type="dxa"/>
          </w:tcPr>
          <w:p w14:paraId="11231B3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121.3</w:t>
            </w:r>
          </w:p>
        </w:tc>
        <w:tc>
          <w:tcPr>
            <w:tcW w:w="2068" w:type="dxa"/>
          </w:tcPr>
          <w:p w14:paraId="0AD7A09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6.65 dd (8.4, 1.2)</w:t>
            </w:r>
          </w:p>
        </w:tc>
        <w:tc>
          <w:tcPr>
            <w:tcW w:w="987" w:type="dxa"/>
          </w:tcPr>
          <w:p w14:paraId="0D39712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120.2</w:t>
            </w:r>
          </w:p>
        </w:tc>
        <w:tc>
          <w:tcPr>
            <w:tcW w:w="987" w:type="dxa"/>
          </w:tcPr>
          <w:p w14:paraId="6FB63E3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121.5</w:t>
            </w:r>
          </w:p>
        </w:tc>
        <w:tc>
          <w:tcPr>
            <w:tcW w:w="2068" w:type="dxa"/>
          </w:tcPr>
          <w:p w14:paraId="3D7D3FB6"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6.58 dd (7.8, 1.8)</w:t>
            </w:r>
          </w:p>
        </w:tc>
      </w:tr>
      <w:tr w:rsidR="00E049CB" w:rsidRPr="005E6B7C" w14:paraId="3838788D" w14:textId="77777777" w:rsidTr="008C0D47">
        <w:trPr>
          <w:jc w:val="center"/>
        </w:trPr>
        <w:tc>
          <w:tcPr>
            <w:tcW w:w="1081" w:type="dxa"/>
          </w:tcPr>
          <w:p w14:paraId="2B32D9F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1-OCH</w:t>
            </w:r>
            <w:r w:rsidRPr="005E6B7C">
              <w:rPr>
                <w:rFonts w:asciiTheme="majorHAnsi" w:eastAsia="Yu Mincho" w:hAnsiTheme="majorHAnsi" w:cstheme="majorHAnsi"/>
                <w:color w:val="000000" w:themeColor="text1"/>
                <w:sz w:val="18"/>
                <w:szCs w:val="18"/>
                <w:vertAlign w:val="subscript"/>
                <w:lang w:eastAsia="ja-JP"/>
              </w:rPr>
              <w:t>3</w:t>
            </w:r>
          </w:p>
        </w:tc>
        <w:tc>
          <w:tcPr>
            <w:tcW w:w="894" w:type="dxa"/>
          </w:tcPr>
          <w:p w14:paraId="58E04BE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57.1</w:t>
            </w:r>
          </w:p>
        </w:tc>
        <w:tc>
          <w:tcPr>
            <w:tcW w:w="987" w:type="dxa"/>
          </w:tcPr>
          <w:p w14:paraId="2FCD4DE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57.1</w:t>
            </w:r>
          </w:p>
        </w:tc>
        <w:tc>
          <w:tcPr>
            <w:tcW w:w="2068" w:type="dxa"/>
          </w:tcPr>
          <w:p w14:paraId="7231DD4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3.19 s</w:t>
            </w:r>
          </w:p>
        </w:tc>
        <w:tc>
          <w:tcPr>
            <w:tcW w:w="987" w:type="dxa"/>
          </w:tcPr>
          <w:p w14:paraId="7E0392A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56.2</w:t>
            </w:r>
          </w:p>
        </w:tc>
        <w:tc>
          <w:tcPr>
            <w:tcW w:w="987" w:type="dxa"/>
          </w:tcPr>
          <w:p w14:paraId="6A1E468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w:t>
            </w:r>
          </w:p>
        </w:tc>
        <w:tc>
          <w:tcPr>
            <w:tcW w:w="2068" w:type="dxa"/>
          </w:tcPr>
          <w:p w14:paraId="2684302A"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3.24 s</w:t>
            </w:r>
          </w:p>
        </w:tc>
      </w:tr>
      <w:tr w:rsidR="00E049CB" w:rsidRPr="005E6B7C" w14:paraId="10230A11" w14:textId="77777777" w:rsidTr="008C0D47">
        <w:trPr>
          <w:jc w:val="center"/>
        </w:trPr>
        <w:tc>
          <w:tcPr>
            <w:tcW w:w="1081" w:type="dxa"/>
          </w:tcPr>
          <w:p w14:paraId="69758306" w14:textId="3875757E"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3',5'-OCH</w:t>
            </w:r>
            <w:r w:rsidRPr="005E6B7C">
              <w:rPr>
                <w:rFonts w:asciiTheme="majorHAnsi" w:eastAsia="Yu Mincho" w:hAnsiTheme="majorHAnsi" w:cstheme="majorHAnsi"/>
                <w:color w:val="000000" w:themeColor="text1"/>
                <w:sz w:val="18"/>
                <w:szCs w:val="18"/>
                <w:vertAlign w:val="subscript"/>
                <w:lang w:eastAsia="ja-JP"/>
              </w:rPr>
              <w:t>3</w:t>
            </w:r>
          </w:p>
        </w:tc>
        <w:tc>
          <w:tcPr>
            <w:tcW w:w="894" w:type="dxa"/>
          </w:tcPr>
          <w:p w14:paraId="5C307A2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56.7</w:t>
            </w:r>
          </w:p>
        </w:tc>
        <w:tc>
          <w:tcPr>
            <w:tcW w:w="987" w:type="dxa"/>
          </w:tcPr>
          <w:p w14:paraId="4ACB4FD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56.8</w:t>
            </w:r>
          </w:p>
        </w:tc>
        <w:tc>
          <w:tcPr>
            <w:tcW w:w="2068" w:type="dxa"/>
          </w:tcPr>
          <w:p w14:paraId="74C28F8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3.78 s</w:t>
            </w:r>
          </w:p>
        </w:tc>
        <w:tc>
          <w:tcPr>
            <w:tcW w:w="987" w:type="dxa"/>
          </w:tcPr>
          <w:p w14:paraId="6708C5C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55.9</w:t>
            </w:r>
          </w:p>
        </w:tc>
        <w:tc>
          <w:tcPr>
            <w:tcW w:w="987" w:type="dxa"/>
          </w:tcPr>
          <w:p w14:paraId="5698ECE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56.8</w:t>
            </w:r>
          </w:p>
        </w:tc>
        <w:tc>
          <w:tcPr>
            <w:tcW w:w="2068" w:type="dxa"/>
          </w:tcPr>
          <w:p w14:paraId="43C5A3A0"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3.72 s</w:t>
            </w:r>
          </w:p>
        </w:tc>
      </w:tr>
      <w:tr w:rsidR="00E049CB" w:rsidRPr="005E6B7C" w14:paraId="3D259C78" w14:textId="77777777" w:rsidTr="008C0D47">
        <w:trPr>
          <w:jc w:val="center"/>
        </w:trPr>
        <w:tc>
          <w:tcPr>
            <w:tcW w:w="1081" w:type="dxa"/>
          </w:tcPr>
          <w:p w14:paraId="2B45F8F5" w14:textId="0D29325A"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3''-OCH</w:t>
            </w:r>
            <w:r w:rsidRPr="005E6B7C">
              <w:rPr>
                <w:rFonts w:asciiTheme="majorHAnsi" w:eastAsia="Yu Mincho" w:hAnsiTheme="majorHAnsi" w:cstheme="majorHAnsi"/>
                <w:color w:val="000000" w:themeColor="text1"/>
                <w:sz w:val="18"/>
                <w:szCs w:val="18"/>
                <w:vertAlign w:val="subscript"/>
                <w:lang w:eastAsia="ja-JP"/>
              </w:rPr>
              <w:t>3</w:t>
            </w:r>
          </w:p>
        </w:tc>
        <w:tc>
          <w:tcPr>
            <w:tcW w:w="894" w:type="dxa"/>
          </w:tcPr>
          <w:p w14:paraId="366C8D1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56.2</w:t>
            </w:r>
          </w:p>
        </w:tc>
        <w:tc>
          <w:tcPr>
            <w:tcW w:w="987" w:type="dxa"/>
          </w:tcPr>
          <w:p w14:paraId="7D6EA7F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56.2</w:t>
            </w:r>
          </w:p>
        </w:tc>
        <w:tc>
          <w:tcPr>
            <w:tcW w:w="2068" w:type="dxa"/>
          </w:tcPr>
          <w:p w14:paraId="192F8AE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3.69 s</w:t>
            </w:r>
          </w:p>
        </w:tc>
        <w:tc>
          <w:tcPr>
            <w:tcW w:w="987" w:type="dxa"/>
          </w:tcPr>
          <w:p w14:paraId="4FF15CD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55.4</w:t>
            </w:r>
          </w:p>
        </w:tc>
        <w:tc>
          <w:tcPr>
            <w:tcW w:w="987" w:type="dxa"/>
          </w:tcPr>
          <w:p w14:paraId="7984A86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56.3</w:t>
            </w:r>
          </w:p>
        </w:tc>
        <w:tc>
          <w:tcPr>
            <w:tcW w:w="2068" w:type="dxa"/>
          </w:tcPr>
          <w:p w14:paraId="713C9B7A"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3.70 s</w:t>
            </w:r>
          </w:p>
        </w:tc>
      </w:tr>
    </w:tbl>
    <w:p w14:paraId="66F078E4" w14:textId="2B757A43" w:rsidR="00E049CB" w:rsidRPr="005E6B7C" w:rsidRDefault="00E049CB" w:rsidP="008C0D47">
      <w:pPr>
        <w:tabs>
          <w:tab w:val="left" w:pos="270"/>
          <w:tab w:val="left" w:pos="9270"/>
        </w:tabs>
        <w:spacing w:before="120"/>
        <w:ind w:right="-20" w:firstLine="284"/>
        <w:jc w:val="both"/>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 xml:space="preserve">Measured in </w:t>
      </w:r>
      <w:r w:rsidRPr="005E6B7C">
        <w:rPr>
          <w:rFonts w:asciiTheme="majorHAnsi" w:eastAsia="Yu Mincho" w:hAnsiTheme="majorHAnsi" w:cstheme="majorHAnsi"/>
          <w:i/>
          <w:iCs/>
          <w:color w:val="000000" w:themeColor="text1"/>
          <w:sz w:val="18"/>
          <w:szCs w:val="18"/>
          <w:vertAlign w:val="superscript"/>
          <w:lang w:eastAsia="ja-JP"/>
        </w:rPr>
        <w:t>a</w:t>
      </w:r>
      <w:r w:rsidR="00D06D85" w:rsidRPr="005E6B7C">
        <w:rPr>
          <w:rFonts w:asciiTheme="majorHAnsi" w:eastAsia="Yu Mincho" w:hAnsiTheme="majorHAnsi" w:cstheme="majorHAnsi"/>
          <w:i/>
          <w:iCs/>
          <w:color w:val="000000" w:themeColor="text1"/>
          <w:sz w:val="18"/>
          <w:szCs w:val="18"/>
          <w:vertAlign w:val="superscript"/>
          <w:lang w:val="vi-VN" w:eastAsia="ja-JP"/>
        </w:rPr>
        <w:t xml:space="preserve"> </w:t>
      </w:r>
      <w:r w:rsidRPr="005E6B7C">
        <w:rPr>
          <w:rFonts w:asciiTheme="majorHAnsi" w:eastAsia="Yu Mincho" w:hAnsiTheme="majorHAnsi" w:cstheme="majorHAnsi"/>
          <w:i/>
          <w:iCs/>
          <w:color w:val="000000" w:themeColor="text1"/>
          <w:sz w:val="18"/>
          <w:szCs w:val="18"/>
          <w:lang w:eastAsia="ja-JP"/>
        </w:rPr>
        <w:t>CD</w:t>
      </w:r>
      <w:r w:rsidRPr="005E6B7C">
        <w:rPr>
          <w:rFonts w:asciiTheme="majorHAnsi" w:eastAsia="Yu Mincho" w:hAnsiTheme="majorHAnsi" w:cstheme="majorHAnsi"/>
          <w:i/>
          <w:iCs/>
          <w:color w:val="000000" w:themeColor="text1"/>
          <w:sz w:val="18"/>
          <w:szCs w:val="18"/>
          <w:vertAlign w:val="subscript"/>
          <w:lang w:eastAsia="ja-JP"/>
        </w:rPr>
        <w:t>3</w:t>
      </w:r>
      <w:r w:rsidRPr="005E6B7C">
        <w:rPr>
          <w:rFonts w:asciiTheme="majorHAnsi" w:eastAsia="Yu Mincho" w:hAnsiTheme="majorHAnsi" w:cstheme="majorHAnsi"/>
          <w:i/>
          <w:iCs/>
          <w:color w:val="000000" w:themeColor="text1"/>
          <w:sz w:val="18"/>
          <w:szCs w:val="18"/>
          <w:lang w:eastAsia="ja-JP"/>
        </w:rPr>
        <w:t xml:space="preserve">OD, </w:t>
      </w:r>
      <w:r w:rsidRPr="005E6B7C">
        <w:rPr>
          <w:rFonts w:asciiTheme="majorHAnsi" w:eastAsia="Yu Mincho" w:hAnsiTheme="majorHAnsi" w:cstheme="majorHAnsi"/>
          <w:i/>
          <w:iCs/>
          <w:color w:val="000000" w:themeColor="text1"/>
          <w:sz w:val="18"/>
          <w:szCs w:val="18"/>
          <w:vertAlign w:val="superscript"/>
          <w:lang w:eastAsia="ja-JP"/>
        </w:rPr>
        <w:t>b</w:t>
      </w:r>
      <w:r w:rsidR="00D06D85" w:rsidRPr="005E6B7C">
        <w:rPr>
          <w:rFonts w:asciiTheme="majorHAnsi" w:eastAsia="Yu Mincho" w:hAnsiTheme="majorHAnsi" w:cstheme="majorHAnsi"/>
          <w:i/>
          <w:iCs/>
          <w:color w:val="000000" w:themeColor="text1"/>
          <w:sz w:val="18"/>
          <w:szCs w:val="18"/>
          <w:vertAlign w:val="superscript"/>
          <w:lang w:val="vi-VN" w:eastAsia="ja-JP"/>
        </w:rPr>
        <w:t xml:space="preserve"> </w:t>
      </w:r>
      <w:r w:rsidRPr="005E6B7C">
        <w:rPr>
          <w:rFonts w:asciiTheme="majorHAnsi" w:eastAsia="Yu Mincho" w:hAnsiTheme="majorHAnsi" w:cstheme="majorHAnsi"/>
          <w:i/>
          <w:iCs/>
          <w:color w:val="000000" w:themeColor="text1"/>
          <w:sz w:val="18"/>
          <w:szCs w:val="18"/>
          <w:lang w:eastAsia="ja-JP"/>
        </w:rPr>
        <w:t>DMSO-d</w:t>
      </w:r>
      <w:r w:rsidRPr="005E6B7C">
        <w:rPr>
          <w:rFonts w:asciiTheme="majorHAnsi" w:eastAsia="Yu Mincho" w:hAnsiTheme="majorHAnsi" w:cstheme="majorHAnsi"/>
          <w:i/>
          <w:iCs/>
          <w:color w:val="000000" w:themeColor="text1"/>
          <w:sz w:val="18"/>
          <w:szCs w:val="18"/>
          <w:vertAlign w:val="subscript"/>
          <w:lang w:eastAsia="ja-JP"/>
        </w:rPr>
        <w:t>6</w:t>
      </w:r>
      <w:r w:rsidRPr="005E6B7C">
        <w:rPr>
          <w:rFonts w:asciiTheme="majorHAnsi" w:eastAsia="Yu Mincho" w:hAnsiTheme="majorHAnsi" w:cstheme="majorHAnsi"/>
          <w:i/>
          <w:iCs/>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vertAlign w:val="superscript"/>
          <w:lang w:eastAsia="ja-JP"/>
        </w:rPr>
        <w:t>c</w:t>
      </w:r>
      <w:r w:rsidRPr="005E6B7C">
        <w:rPr>
          <w:rFonts w:asciiTheme="majorHAnsi" w:eastAsia="Yu Mincho" w:hAnsiTheme="majorHAnsi" w:cstheme="majorHAnsi"/>
          <w:i/>
          <w:iCs/>
          <w:color w:val="000000" w:themeColor="text1"/>
          <w:sz w:val="18"/>
          <w:szCs w:val="18"/>
          <w:lang w:eastAsia="ja-JP"/>
        </w:rPr>
        <w:t xml:space="preserve">125 MHz, and </w:t>
      </w:r>
      <w:r w:rsidRPr="005E6B7C">
        <w:rPr>
          <w:rFonts w:asciiTheme="majorHAnsi" w:eastAsia="Yu Mincho" w:hAnsiTheme="majorHAnsi" w:cstheme="majorHAnsi"/>
          <w:i/>
          <w:iCs/>
          <w:color w:val="000000" w:themeColor="text1"/>
          <w:sz w:val="18"/>
          <w:szCs w:val="18"/>
          <w:vertAlign w:val="superscript"/>
          <w:lang w:eastAsia="ja-JP"/>
        </w:rPr>
        <w:t>d</w:t>
      </w:r>
      <w:r w:rsidRPr="005E6B7C">
        <w:rPr>
          <w:rFonts w:asciiTheme="majorHAnsi" w:eastAsia="Yu Mincho" w:hAnsiTheme="majorHAnsi" w:cstheme="majorHAnsi"/>
          <w:i/>
          <w:iCs/>
          <w:color w:val="000000" w:themeColor="text1"/>
          <w:sz w:val="18"/>
          <w:szCs w:val="18"/>
          <w:lang w:eastAsia="ja-JP"/>
        </w:rPr>
        <w:t xml:space="preserve">600 MHz. </w:t>
      </w:r>
      <w:r w:rsidRPr="005E6B7C">
        <w:rPr>
          <w:rFonts w:asciiTheme="majorHAnsi" w:eastAsia="Yu Mincho" w:hAnsiTheme="majorHAnsi" w:cstheme="majorHAnsi"/>
          <w:i/>
          <w:iCs/>
          <w:color w:val="000000" w:themeColor="text1"/>
          <w:sz w:val="18"/>
          <w:szCs w:val="18"/>
          <w:vertAlign w:val="superscript"/>
          <w:lang w:eastAsia="ja-JP"/>
        </w:rPr>
        <w:t>#</w:t>
      </w:r>
      <w:r w:rsidRPr="005E6B7C">
        <w:rPr>
          <w:rFonts w:asciiTheme="majorHAnsi" w:eastAsia="Yu Mincho" w:hAnsiTheme="majorHAnsi" w:cstheme="majorHAnsi"/>
          <w:i/>
          <w:iCs/>
          <w:color w:val="000000" w:themeColor="text1"/>
          <w:sz w:val="18"/>
          <w:szCs w:val="18"/>
          <w:lang w:eastAsia="ja-JP"/>
        </w:rPr>
        <w:t>δ</w:t>
      </w:r>
      <w:r w:rsidRPr="005E6B7C">
        <w:rPr>
          <w:rFonts w:asciiTheme="majorHAnsi" w:eastAsia="Yu Mincho" w:hAnsiTheme="majorHAnsi" w:cstheme="majorHAnsi"/>
          <w:i/>
          <w:iCs/>
          <w:color w:val="000000" w:themeColor="text1"/>
          <w:sz w:val="18"/>
          <w:szCs w:val="18"/>
          <w:vertAlign w:val="subscript"/>
          <w:lang w:eastAsia="ja-JP"/>
        </w:rPr>
        <w:t>C</w:t>
      </w:r>
      <w:r w:rsidRPr="005E6B7C">
        <w:rPr>
          <w:rFonts w:asciiTheme="majorHAnsi" w:eastAsia="Yu Mincho" w:hAnsiTheme="majorHAnsi" w:cstheme="majorHAnsi"/>
          <w:i/>
          <w:iCs/>
          <w:color w:val="000000" w:themeColor="text1"/>
          <w:sz w:val="18"/>
          <w:szCs w:val="18"/>
          <w:vertAlign w:val="superscript"/>
          <w:lang w:eastAsia="ja-JP"/>
        </w:rPr>
        <w:t xml:space="preserve"> </w:t>
      </w:r>
      <w:r w:rsidRPr="005E6B7C">
        <w:rPr>
          <w:rFonts w:asciiTheme="majorHAnsi" w:eastAsia="Yu Mincho" w:hAnsiTheme="majorHAnsi" w:cstheme="majorHAnsi"/>
          <w:i/>
          <w:iCs/>
          <w:color w:val="000000" w:themeColor="text1"/>
          <w:sz w:val="18"/>
          <w:szCs w:val="18"/>
          <w:lang w:eastAsia="ja-JP"/>
        </w:rPr>
        <w:t xml:space="preserve">of </w:t>
      </w:r>
      <w:r w:rsidRPr="005E6B7C">
        <w:rPr>
          <w:rFonts w:asciiTheme="majorHAnsi" w:eastAsia="Yu Mincho" w:hAnsiTheme="majorHAnsi" w:cstheme="majorHAnsi"/>
          <w:bCs/>
          <w:i/>
          <w:iCs/>
          <w:noProof/>
          <w:color w:val="000000" w:themeColor="text1"/>
          <w:sz w:val="18"/>
          <w:szCs w:val="18"/>
          <w:lang w:eastAsia="ja-JP"/>
        </w:rPr>
        <w:t xml:space="preserve">(1S,2S)-2-(4-hydroxy-3,5-dimethoxyphenyl)-1-(4-hydroxy-3-methoxyphenyl)-1-methoxypropane-3-ol </w:t>
      </w:r>
      <w:r w:rsidRPr="005E6B7C">
        <w:rPr>
          <w:rFonts w:asciiTheme="majorHAnsi" w:eastAsia="Yu Mincho" w:hAnsiTheme="majorHAnsi" w:cstheme="majorHAnsi"/>
          <w:i/>
          <w:iCs/>
          <w:color w:val="000000" w:themeColor="text1"/>
          <w:sz w:val="18"/>
          <w:szCs w:val="18"/>
          <w:lang w:eastAsia="ja-JP"/>
        </w:rPr>
        <w:fldChar w:fldCharType="begin"/>
      </w:r>
      <w:r w:rsidRPr="005E6B7C">
        <w:rPr>
          <w:rFonts w:asciiTheme="majorHAnsi" w:eastAsia="Yu Mincho" w:hAnsiTheme="majorHAnsi" w:cstheme="majorHAnsi"/>
          <w:i/>
          <w:iCs/>
          <w:color w:val="000000" w:themeColor="text1"/>
          <w:sz w:val="18"/>
          <w:szCs w:val="18"/>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i/>
          <w:iCs/>
          <w:color w:val="000000" w:themeColor="text1"/>
          <w:sz w:val="18"/>
          <w:szCs w:val="18"/>
          <w:lang w:eastAsia="ja-JP"/>
        </w:rPr>
        <w:fldChar w:fldCharType="separate"/>
      </w:r>
      <w:r w:rsidRPr="005E6B7C">
        <w:rPr>
          <w:rFonts w:asciiTheme="majorHAnsi" w:eastAsia="Yu Mincho" w:hAnsiTheme="majorHAnsi" w:cstheme="majorHAnsi"/>
          <w:i/>
          <w:iCs/>
          <w:noProof/>
          <w:color w:val="000000" w:themeColor="text1"/>
          <w:sz w:val="18"/>
          <w:szCs w:val="18"/>
          <w:lang w:eastAsia="ja-JP"/>
        </w:rPr>
        <w:t>[10]</w:t>
      </w:r>
      <w:r w:rsidRPr="005E6B7C">
        <w:rPr>
          <w:rFonts w:asciiTheme="majorHAnsi" w:eastAsia="Yu Mincho" w:hAnsiTheme="majorHAnsi" w:cstheme="majorHAnsi"/>
          <w:i/>
          <w:iCs/>
          <w:color w:val="000000" w:themeColor="text1"/>
          <w:sz w:val="18"/>
          <w:szCs w:val="18"/>
          <w:lang w:eastAsia="ja-JP"/>
        </w:rPr>
        <w:fldChar w:fldCharType="end"/>
      </w:r>
      <w:r w:rsidRPr="005E6B7C">
        <w:rPr>
          <w:rFonts w:asciiTheme="majorHAnsi" w:eastAsia="Yu Mincho" w:hAnsiTheme="majorHAnsi" w:cstheme="majorHAnsi"/>
          <w:bCs/>
          <w:i/>
          <w:iCs/>
          <w:noProof/>
          <w:color w:val="000000" w:themeColor="text1"/>
          <w:sz w:val="18"/>
          <w:szCs w:val="18"/>
          <w:lang w:eastAsia="ja-JP"/>
        </w:rPr>
        <w:t xml:space="preserve"> and </w:t>
      </w:r>
      <w:r w:rsidRPr="005E6B7C">
        <w:rPr>
          <w:rFonts w:asciiTheme="majorHAnsi" w:eastAsia="Yu Mincho" w:hAnsiTheme="majorHAnsi" w:cstheme="majorHAnsi"/>
          <w:i/>
          <w:iCs/>
          <w:color w:val="000000" w:themeColor="text1"/>
          <w:sz w:val="18"/>
          <w:szCs w:val="18"/>
          <w:vertAlign w:val="superscript"/>
          <w:lang w:eastAsia="ja-JP"/>
        </w:rPr>
        <w:t>$</w:t>
      </w:r>
      <w:r w:rsidRPr="005E6B7C">
        <w:rPr>
          <w:rFonts w:asciiTheme="majorHAnsi" w:eastAsia="Yu Mincho" w:hAnsiTheme="majorHAnsi" w:cstheme="majorHAnsi"/>
          <w:i/>
          <w:iCs/>
          <w:color w:val="000000" w:themeColor="text1"/>
          <w:sz w:val="18"/>
          <w:szCs w:val="18"/>
          <w:lang w:eastAsia="ja-JP"/>
        </w:rPr>
        <w:t>δ</w:t>
      </w:r>
      <w:r w:rsidRPr="005E6B7C">
        <w:rPr>
          <w:rFonts w:asciiTheme="majorHAnsi" w:eastAsia="Yu Mincho" w:hAnsiTheme="majorHAnsi" w:cstheme="majorHAnsi"/>
          <w:i/>
          <w:iCs/>
          <w:color w:val="000000" w:themeColor="text1"/>
          <w:sz w:val="18"/>
          <w:szCs w:val="18"/>
          <w:vertAlign w:val="subscript"/>
          <w:lang w:eastAsia="ja-JP"/>
        </w:rPr>
        <w:t>C</w:t>
      </w:r>
      <w:r w:rsidRPr="005E6B7C">
        <w:rPr>
          <w:rFonts w:asciiTheme="majorHAnsi" w:eastAsia="Yu Mincho" w:hAnsiTheme="majorHAnsi" w:cstheme="majorHAnsi"/>
          <w:i/>
          <w:iCs/>
          <w:color w:val="000000" w:themeColor="text1"/>
          <w:sz w:val="18"/>
          <w:szCs w:val="18"/>
          <w:vertAlign w:val="superscript"/>
          <w:lang w:eastAsia="ja-JP"/>
        </w:rPr>
        <w:t xml:space="preserve"> </w:t>
      </w:r>
      <w:r w:rsidRPr="005E6B7C">
        <w:rPr>
          <w:rFonts w:asciiTheme="majorHAnsi" w:eastAsia="Yu Mincho" w:hAnsiTheme="majorHAnsi" w:cstheme="majorHAnsi"/>
          <w:i/>
          <w:iCs/>
          <w:color w:val="000000" w:themeColor="text1"/>
          <w:sz w:val="18"/>
          <w:szCs w:val="18"/>
          <w:lang w:eastAsia="ja-JP"/>
        </w:rPr>
        <w:t xml:space="preserve">of </w:t>
      </w:r>
      <w:r w:rsidRPr="005E6B7C">
        <w:rPr>
          <w:rFonts w:asciiTheme="majorHAnsi" w:eastAsia="Yu Mincho" w:hAnsiTheme="majorHAnsi" w:cstheme="majorHAnsi"/>
          <w:bCs/>
          <w:i/>
          <w:iCs/>
          <w:noProof/>
          <w:color w:val="000000" w:themeColor="text1"/>
          <w:sz w:val="18"/>
          <w:szCs w:val="18"/>
          <w:lang w:eastAsia="ja-JP"/>
        </w:rPr>
        <w:t xml:space="preserve">(1S,2R)-2-(4-hydroxy-3,5-dimethoxyphenyl)-1-(4-hydroxy-3-methoxyphenyl)-1-methoxypropane-3-ol </w:t>
      </w:r>
      <w:r w:rsidRPr="005E6B7C">
        <w:rPr>
          <w:rFonts w:asciiTheme="majorHAnsi" w:eastAsia="Yu Mincho" w:hAnsiTheme="majorHAnsi" w:cstheme="majorHAnsi"/>
          <w:i/>
          <w:iCs/>
          <w:color w:val="000000" w:themeColor="text1"/>
          <w:sz w:val="18"/>
          <w:szCs w:val="18"/>
          <w:lang w:eastAsia="ja-JP"/>
        </w:rPr>
        <w:fldChar w:fldCharType="begin"/>
      </w:r>
      <w:r w:rsidRPr="005E6B7C">
        <w:rPr>
          <w:rFonts w:asciiTheme="majorHAnsi" w:eastAsia="Yu Mincho" w:hAnsiTheme="majorHAnsi" w:cstheme="majorHAnsi"/>
          <w:i/>
          <w:iCs/>
          <w:color w:val="000000" w:themeColor="text1"/>
          <w:sz w:val="18"/>
          <w:szCs w:val="18"/>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i/>
          <w:iCs/>
          <w:color w:val="000000" w:themeColor="text1"/>
          <w:sz w:val="18"/>
          <w:szCs w:val="18"/>
          <w:lang w:eastAsia="ja-JP"/>
        </w:rPr>
        <w:fldChar w:fldCharType="separate"/>
      </w:r>
      <w:r w:rsidRPr="005E6B7C">
        <w:rPr>
          <w:rFonts w:asciiTheme="majorHAnsi" w:eastAsia="Yu Mincho" w:hAnsiTheme="majorHAnsi" w:cstheme="majorHAnsi"/>
          <w:i/>
          <w:iCs/>
          <w:noProof/>
          <w:color w:val="000000" w:themeColor="text1"/>
          <w:sz w:val="18"/>
          <w:szCs w:val="18"/>
          <w:lang w:eastAsia="ja-JP"/>
        </w:rPr>
        <w:t>[10]</w:t>
      </w:r>
      <w:r w:rsidRPr="005E6B7C">
        <w:rPr>
          <w:rFonts w:asciiTheme="majorHAnsi" w:eastAsia="Yu Mincho" w:hAnsiTheme="majorHAnsi" w:cstheme="majorHAnsi"/>
          <w:i/>
          <w:iCs/>
          <w:color w:val="000000" w:themeColor="text1"/>
          <w:sz w:val="18"/>
          <w:szCs w:val="18"/>
          <w:lang w:eastAsia="ja-JP"/>
        </w:rPr>
        <w:fldChar w:fldCharType="end"/>
      </w:r>
      <w:r w:rsidRPr="005E6B7C">
        <w:rPr>
          <w:rFonts w:asciiTheme="majorHAnsi" w:eastAsia="Yu Mincho" w:hAnsiTheme="majorHAnsi" w:cstheme="majorHAnsi"/>
          <w:i/>
          <w:iCs/>
          <w:color w:val="000000" w:themeColor="text1"/>
          <w:sz w:val="18"/>
          <w:szCs w:val="18"/>
          <w:lang w:eastAsia="ja-JP"/>
        </w:rPr>
        <w:t>.</w:t>
      </w:r>
    </w:p>
    <w:p w14:paraId="325A9FBE" w14:textId="77777777" w:rsidR="00685C8E" w:rsidRPr="005E6B7C" w:rsidRDefault="00685C8E"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59AEF87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6DCA300C" wp14:editId="00A228A3">
            <wp:extent cx="3724167" cy="1484986"/>
            <wp:effectExtent l="0" t="0" r="0" b="0"/>
            <wp:docPr id="220031868" name="Picture 22003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3726011" cy="1485721"/>
                    </a:xfrm>
                    <a:prstGeom prst="rect">
                      <a:avLst/>
                    </a:prstGeom>
                    <a:noFill/>
                    <a:ln>
                      <a:noFill/>
                    </a:ln>
                  </pic:spPr>
                </pic:pic>
              </a:graphicData>
            </a:graphic>
          </wp:inline>
        </w:drawing>
      </w:r>
    </w:p>
    <w:p w14:paraId="287FC3A8" w14:textId="2119EB39" w:rsidR="00E049CB" w:rsidRPr="005E6B7C" w:rsidRDefault="00E049CB" w:rsidP="008C0D47">
      <w:pPr>
        <w:tabs>
          <w:tab w:val="left" w:pos="27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Fig. 2. </w:t>
      </w:r>
      <w:r w:rsidRPr="005E6B7C">
        <w:rPr>
          <w:rFonts w:asciiTheme="majorHAnsi" w:eastAsia="Yu Mincho" w:hAnsiTheme="majorHAnsi" w:cstheme="majorHAnsi"/>
          <w:color w:val="000000" w:themeColor="text1"/>
          <w:sz w:val="18"/>
          <w:szCs w:val="18"/>
          <w:lang w:eastAsia="ja-JP"/>
        </w:rPr>
        <w:t>Key HMBC (</w:t>
      </w:r>
      <w:r w:rsidRPr="005E6B7C">
        <w:rPr>
          <w:rFonts w:asciiTheme="majorHAnsi" w:eastAsia="Yu Mincho" w:hAnsiTheme="majorHAnsi" w:cstheme="majorHAnsi"/>
          <w:noProof/>
          <w:color w:val="000000" w:themeColor="text1"/>
          <w:sz w:val="18"/>
          <w:szCs w:val="18"/>
        </w:rPr>
        <w:drawing>
          <wp:inline distT="0" distB="0" distL="0" distR="0" wp14:anchorId="67FD9475" wp14:editId="063542E5">
            <wp:extent cx="162320" cy="50489"/>
            <wp:effectExtent l="0" t="0" r="0" b="6985"/>
            <wp:docPr id="1317452038" name="Picture 131745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162320" cy="50489"/>
                    </a:xfrm>
                    <a:prstGeom prst="rect">
                      <a:avLst/>
                    </a:prstGeom>
                    <a:noFill/>
                    <a:ln>
                      <a:noFill/>
                    </a:ln>
                  </pic:spPr>
                </pic:pic>
              </a:graphicData>
            </a:graphic>
          </wp:inline>
        </w:drawing>
      </w:r>
      <w:r w:rsidRPr="005E6B7C">
        <w:rPr>
          <w:rFonts w:asciiTheme="majorHAnsi" w:eastAsia="Yu Mincho" w:hAnsiTheme="majorHAnsi" w:cstheme="majorHAnsi"/>
          <w:color w:val="000000" w:themeColor="text1"/>
          <w:sz w:val="18"/>
          <w:szCs w:val="18"/>
          <w:lang w:eastAsia="ja-JP"/>
        </w:rPr>
        <w:t xml:space="preserve">) correlations of compounds </w:t>
      </w:r>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 xml:space="preserve"> 2</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and </w:t>
      </w:r>
      <w:r w:rsidRPr="005E6B7C">
        <w:rPr>
          <w:rFonts w:asciiTheme="majorHAnsi" w:eastAsia="Yu Mincho" w:hAnsiTheme="majorHAnsi" w:cstheme="majorHAnsi"/>
          <w:b/>
          <w:color w:val="000000" w:themeColor="text1"/>
          <w:sz w:val="18"/>
          <w:szCs w:val="18"/>
          <w:lang w:eastAsia="ja-JP"/>
        </w:rPr>
        <w:t>4</w:t>
      </w:r>
    </w:p>
    <w:p w14:paraId="4881BB41" w14:textId="77777777" w:rsidR="00EB175E" w:rsidRPr="005E6B7C" w:rsidRDefault="00EB175E"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33F9816F" w14:textId="77777777" w:rsidR="00A9181D" w:rsidRPr="005E6B7C" w:rsidRDefault="00A9181D"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A9181D" w:rsidRPr="005E6B7C" w:rsidSect="002206BB">
          <w:type w:val="continuous"/>
          <w:pgSz w:w="10773" w:h="15309" w:code="9"/>
          <w:pgMar w:top="907" w:right="851" w:bottom="1418" w:left="851" w:header="397" w:footer="851" w:gutter="0"/>
          <w:cols w:space="284"/>
          <w:docGrid w:linePitch="360"/>
        </w:sectPr>
      </w:pPr>
    </w:p>
    <w:p w14:paraId="05E74A7B" w14:textId="296CBABB"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obtained as a yellow amorphous powder. Its molecular formula,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27</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 xml:space="preserve">, was supported by the observation of a deprotonated molecular ion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363.1 [M - 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present in the ESIMS data.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w:t>
      </w:r>
      <w:r w:rsidRPr="005E6B7C">
        <w:rPr>
          <w:rFonts w:asciiTheme="majorHAnsi" w:eastAsia="Yu Mincho" w:hAnsiTheme="majorHAnsi" w:cstheme="majorHAnsi"/>
          <w:color w:val="000000" w:themeColor="text1"/>
          <w:sz w:val="22"/>
          <w:szCs w:val="22"/>
          <w:lang w:eastAsia="ja-JP"/>
        </w:rPr>
        <w:t xml:space="preserve">data of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were closely comparable to those of 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(Table 1), indicating that they share a similar structural scaffold. However, distinct differences in the chemical shifts and splitting patterns of the protons in the propanyl </w:t>
      </w:r>
      <w:r w:rsidRPr="005E6B7C">
        <w:rPr>
          <w:rFonts w:asciiTheme="majorHAnsi" w:eastAsia="Yu Mincho" w:hAnsiTheme="majorHAnsi" w:cstheme="majorHAnsi"/>
          <w:color w:val="000000" w:themeColor="text1"/>
          <w:sz w:val="22"/>
          <w:szCs w:val="22"/>
          <w:lang w:eastAsia="ja-JP"/>
        </w:rPr>
        <w:lastRenderedPageBreak/>
        <w:t>moiety (C/H-1 to C/H-3) were observed (Table 1)</w:t>
      </w:r>
      <w:r w:rsidR="008C0D4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suggesting that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has subtle configurational differences compared to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The relative configuration at C-1 and C-2 in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confirmed as </w:t>
      </w:r>
      <w:r w:rsidRPr="005E6B7C">
        <w:rPr>
          <w:rFonts w:asciiTheme="majorHAnsi" w:eastAsia="Yu Mincho" w:hAnsiTheme="majorHAnsi" w:cstheme="majorHAnsi"/>
          <w:i/>
          <w:color w:val="000000" w:themeColor="text1"/>
          <w:sz w:val="22"/>
          <w:szCs w:val="22"/>
          <w:lang w:eastAsia="ja-JP"/>
        </w:rPr>
        <w:t>threo</w:t>
      </w:r>
      <w:r w:rsidRPr="005E6B7C">
        <w:rPr>
          <w:rFonts w:asciiTheme="majorHAnsi" w:eastAsia="Yu Mincho" w:hAnsiTheme="majorHAnsi" w:cstheme="majorHAnsi"/>
          <w:color w:val="000000" w:themeColor="text1"/>
          <w:sz w:val="22"/>
          <w:szCs w:val="22"/>
          <w:lang w:eastAsia="ja-JP"/>
        </w:rPr>
        <w:t xml:space="preserve"> configuration based on Δ</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1,2</w:t>
      </w:r>
      <w:r w:rsidRPr="005E6B7C">
        <w:rPr>
          <w:rFonts w:asciiTheme="majorHAnsi" w:eastAsia="Yu Mincho" w:hAnsiTheme="majorHAnsi" w:cstheme="majorHAnsi"/>
          <w:color w:val="000000" w:themeColor="text1"/>
          <w:sz w:val="22"/>
          <w:szCs w:val="22"/>
          <w:lang w:eastAsia="ja-JP"/>
        </w:rPr>
        <w:t xml:space="preserve"> ≤ 1.33 ppm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PEVuZE5vdGU+PENpdGU+PEF1dGhvcj5TdW48L0F1dGhvcj48WWVhcj4yMDIzPC9ZZWFyPjxSZWNO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Moreover, the experimental CD spectrum of</w:t>
      </w:r>
      <w:r w:rsidRPr="005E6B7C">
        <w:rPr>
          <w:rFonts w:asciiTheme="majorHAnsi" w:eastAsia="Yu Mincho" w:hAnsiTheme="majorHAnsi" w:cstheme="majorHAnsi"/>
          <w:b/>
          <w:color w:val="000000" w:themeColor="text1"/>
          <w:sz w:val="22"/>
          <w:szCs w:val="22"/>
          <w:lang w:eastAsia="ja-JP"/>
        </w:rPr>
        <w:t xml:space="preserve"> 2</w:t>
      </w:r>
      <w:r w:rsidRPr="005E6B7C">
        <w:rPr>
          <w:rFonts w:asciiTheme="majorHAnsi" w:eastAsia="Yu Mincho" w:hAnsiTheme="majorHAnsi" w:cstheme="majorHAnsi"/>
          <w:color w:val="000000" w:themeColor="text1"/>
          <w:sz w:val="22"/>
          <w:szCs w:val="22"/>
          <w:lang w:eastAsia="ja-JP"/>
        </w:rPr>
        <w:t xml:space="preserve"> exhibited a positive CE at 205 nm and a negative CE at 220 nm, consistent with the absolute configuration of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 These CEs closely matched those reported for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)-2-(4-hydroxy-3,5-dimethoxyphenyl)-1-(4-hydroxy-3-methoxyphenyl)-1-methoxypropane-3-ol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 xml:space="preserve">): positive CE at 204 nm and a negative CE at 221 nm] as previously reported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Accordingly, the structure of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proposed as (1</w:t>
      </w:r>
      <w:r w:rsidRPr="005E6B7C">
        <w:rPr>
          <w:rFonts w:asciiTheme="majorHAnsi" w:eastAsia="Yu Mincho" w:hAnsiTheme="majorHAnsi" w:cstheme="majorHAnsi"/>
          <w: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,2</w:t>
      </w:r>
      <w:r w:rsidRPr="005E6B7C">
        <w:rPr>
          <w:rFonts w:asciiTheme="majorHAnsi" w:eastAsia="Yu Mincho" w:hAnsiTheme="majorHAnsi" w:cstheme="majorHAnsi"/>
          <w:i/>
          <w:color w:val="000000" w:themeColor="text1"/>
          <w:sz w:val="22"/>
          <w:szCs w:val="22"/>
          <w:lang w:eastAsia="ja-JP"/>
        </w:rPr>
        <w:t>R</w:t>
      </w:r>
      <w:r w:rsidRPr="005E6B7C">
        <w:rPr>
          <w:rFonts w:asciiTheme="majorHAnsi" w:eastAsia="Yu Mincho" w:hAnsiTheme="majorHAnsi" w:cstheme="majorHAnsi"/>
          <w:color w:val="000000" w:themeColor="text1"/>
          <w:sz w:val="22"/>
          <w:szCs w:val="22"/>
          <w:lang w:eastAsia="ja-JP"/>
        </w:rPr>
        <w:t xml:space="preserve">)-2-(4-hydroxy-3,5-dimethoxy phenyl)-1-(4-hydroxy-3-methoxyphenyl)-1-methoxy propane-3-ol. Previously,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exhibited only weak cytotoxicity against the HepG2 and A549 cell lines,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exceeding 50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M. In contrast, it demonstrated strong antioxidant activity, as evidenced by the DPPH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8.6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g/mL) and ABTS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9.7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assays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&lt;EndNote&gt;&lt;Cite&gt;&lt;Author&gt;Sun&lt;/Author&gt;&lt;Year&gt;2023&lt;/Year&gt;&lt;RecNum&gt;1&lt;/RecNum&gt;&lt;DisplayText&gt;[10]&lt;/DisplayText&gt;&lt;record&gt;&lt;rec-number&gt;1&lt;/rec-number&gt;&lt;foreign-keys&gt;&lt;key app="EN" db-id="e9ze59wxveesz8e5vf7x5ssdfpze9x5t0px5" timestamp="1749624347"&gt;1&lt;/key&gt;&lt;/foreign-keys&gt;&lt;ref-type name="Journal Article"&gt;17&lt;/ref-type&gt;&lt;contributors&gt;&lt;authors&gt;&lt;author&gt;Sun, Yihan&lt;/author&gt;&lt;author&gt;Zhou, Ying&lt;/author&gt;&lt;author&gt;Dong, Sheng&lt;/author&gt;&lt;author&gt;Tang, Xuening&lt;/author&gt;&lt;author&gt;Ren, Yongjia&lt;/author&gt;&lt;author&gt;Liu, Xueting&lt;/author&gt;&lt;author&gt;Zhang, Guogang&lt;/author&gt;&lt;/authors&gt;&lt;/contributors&gt;&lt;titles&gt;&lt;title&gt;Lignans from the seed shells of Cerasus humilis (Bge.) Sok and their bioactivities&lt;/title&gt;&lt;secondary-title&gt;Fitoterapia&lt;/secondary-title&gt;&lt;/titles&gt;&lt;periodical&gt;&lt;full-title&gt;Fitoterapia&lt;/full-title&gt;&lt;/periodical&gt;&lt;pages&gt;105651&lt;/pages&gt;&lt;volume&gt;170&lt;/volume&gt;&lt;keywords&gt;&lt;keyword&gt;(Bge.) Sok&lt;/keyword&gt;&lt;keyword&gt;Rosaceae&lt;/keyword&gt;&lt;keyword&gt;Seed shells&lt;/keyword&gt;&lt;keyword&gt;Lignans&lt;/keyword&gt;&lt;keyword&gt;Antioxidant activity&lt;/keyword&gt;&lt;/keywords&gt;&lt;dates&gt;&lt;year&gt;2023&lt;/year&gt;&lt;pub-dates&gt;&lt;date&gt;2023/10/01/&lt;/date&gt;&lt;/pub-dates&gt;&lt;/dates&gt;&lt;isbn&gt;0367-326X&lt;/isbn&gt;&lt;urls&gt;&lt;related-urls&gt;&lt;url&gt;https://www.sciencedirect.com/science/article/pii/S0367326X23002265&lt;/url&gt;&lt;/related-urls&gt;&lt;/urls&gt;&lt;electronic-resource-num&gt;https://doi.org/10.1016/j.fitote.2023.105651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t>
      </w:r>
    </w:p>
    <w:p w14:paraId="15210B48" w14:textId="3C0CC8F9" w:rsidR="00A9181D"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obtained as colorless crystals and determined to have the molecular formula of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20</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11</w:t>
      </w:r>
      <w:r w:rsidRPr="005E6B7C">
        <w:rPr>
          <w:rFonts w:asciiTheme="majorHAnsi" w:eastAsia="Yu Mincho" w:hAnsiTheme="majorHAnsi" w:cstheme="majorHAnsi"/>
          <w:color w:val="000000" w:themeColor="text1"/>
          <w:sz w:val="22"/>
          <w:szCs w:val="22"/>
          <w:lang w:eastAsia="ja-JP"/>
        </w:rPr>
        <w:t xml:space="preserve"> with 10 indices of hydrogen deficiency, as established on the basis of its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data and a sodium adduct ion observed in the HRESIMS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405.0464 [M + 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(calcd. for [C</w:t>
      </w:r>
      <w:r w:rsidRPr="005E6B7C">
        <w:rPr>
          <w:rFonts w:asciiTheme="majorHAnsi" w:eastAsia="Yu Mincho" w:hAnsiTheme="majorHAnsi" w:cstheme="majorHAnsi"/>
          <w:color w:val="000000" w:themeColor="text1"/>
          <w:sz w:val="22"/>
          <w:szCs w:val="22"/>
          <w:vertAlign w:val="subscript"/>
          <w:lang w:eastAsia="ja-JP"/>
        </w:rPr>
        <w:t>16</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14</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11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405.0428). The</w:t>
      </w:r>
      <w:r w:rsidRPr="005E6B7C">
        <w:rPr>
          <w:rFonts w:asciiTheme="majorHAnsi" w:eastAsia="Yu Mincho" w:hAnsiTheme="majorHAnsi" w:cstheme="majorHAnsi"/>
          <w:color w:val="000000" w:themeColor="text1"/>
          <w:sz w:val="22"/>
          <w:szCs w:val="22"/>
          <w:vertAlign w:val="superscript"/>
          <w:lang w:eastAsia="ja-JP"/>
        </w:rPr>
        <w:t xml:space="preserve"> 1</w:t>
      </w:r>
      <w:r w:rsidRPr="005E6B7C">
        <w:rPr>
          <w:rFonts w:asciiTheme="majorHAnsi" w:eastAsia="Yu Mincho" w:hAnsiTheme="majorHAnsi" w:cstheme="majorHAnsi"/>
          <w:color w:val="000000" w:themeColor="text1"/>
          <w:sz w:val="22"/>
          <w:szCs w:val="22"/>
          <w:lang w:eastAsia="ja-JP"/>
        </w:rPr>
        <w:t>H NMR data (Table 2) indicated characteristic signals for an aromatic proton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7.08 (1H, s, H-7)], an olefinic proton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6.83 (1H, s, H-3')], two methine protons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5.31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1.2 Hz, H-2) and 5.38 (1H, br s, H-3], and three methoxy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3.70, 3.65 × 2 (each 3H, s)]. Its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(Table 2), in conjunction with the HSQC experiment, displayed 17 carbon signals. These comprised four carbonyl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171.1, 167.6, 166.9, and 166.0], eight </w:t>
      </w:r>
      <w:r w:rsidRPr="005E6B7C">
        <w:rPr>
          <w:rFonts w:asciiTheme="majorHAnsi" w:eastAsia="Yu Mincho" w:hAnsiTheme="majorHAnsi" w:cstheme="majorHAnsi"/>
          <w:i/>
          <w:color w:val="000000" w:themeColor="text1"/>
          <w:sz w:val="22"/>
          <w:szCs w:val="22"/>
          <w:lang w:eastAsia="ja-JP"/>
        </w:rPr>
        <w:t>sp</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-hybridized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108.7−146.7], two methines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79.9 and 35.5), and three methoxy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53.5, 53.0, and 52.6). The above </w:t>
      </w:r>
      <w:r w:rsidRPr="005E6B7C">
        <w:rPr>
          <w:rFonts w:asciiTheme="majorHAnsi" w:eastAsia="Yu Mincho" w:hAnsiTheme="majorHAnsi" w:cstheme="majorHAnsi"/>
          <w:color w:val="000000" w:themeColor="text1"/>
          <w:sz w:val="22"/>
          <w:szCs w:val="22"/>
          <w:lang w:eastAsia="ja-JP"/>
        </w:rPr>
        <w:t xml:space="preserve">information implied that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should be a dehydrochebulic acid derivative </w:t>
      </w:r>
      <w:r w:rsidRPr="005E6B7C">
        <w:rPr>
          <w:rFonts w:asciiTheme="majorHAnsi" w:hAnsiTheme="majorHAnsi" w:cstheme="majorHAnsi"/>
          <w:iCs/>
          <w:noProof/>
          <w:color w:val="000000" w:themeColor="text1"/>
          <w:sz w:val="22"/>
          <w:szCs w:val="22"/>
          <w:lang w:eastAsia="ko-KR"/>
        </w:rPr>
        <w:fldChar w:fldCharType="begin"/>
      </w:r>
      <w:r w:rsidRPr="005E6B7C">
        <w:rPr>
          <w:rFonts w:asciiTheme="majorHAnsi" w:hAnsiTheme="majorHAnsi" w:cstheme="majorHAnsi"/>
          <w:iCs/>
          <w:noProof/>
          <w:color w:val="000000" w:themeColor="text1"/>
          <w:sz w:val="22"/>
          <w:szCs w:val="22"/>
          <w:lang w:eastAsia="ko-KR"/>
        </w:rPr>
        <w:instrText xml:space="preserve"> ADDIN EN.CITE &lt;EndNote&gt;&lt;Cite&gt;&lt;Author&gt;Camacho-Luis&lt;/Author&gt;&lt;Year&gt;2008&lt;/Year&gt;&lt;RecNum&gt;3&lt;/RecNum&gt;&lt;DisplayText&gt;[12]&lt;/DisplayText&gt;&lt;record&gt;&lt;rec-number&gt;3&lt;/rec-number&gt;&lt;foreign-keys&gt;&lt;key app="EN" db-id="02pfr9rw8tfza3ep25h5swfxaa5espweerax" timestamp="1749461792"&gt;3&lt;/key&gt;&lt;/foreign-keys&gt;&lt;ref-type name="Journal Article"&gt;17&lt;/ref-type&gt;&lt;contributors&gt;&lt;authors&gt;&lt;author&gt;Camacho-Luis, Abelardo&lt;/author&gt;&lt;author&gt;Gayosso-De-Lucio, Juan A&lt;/author&gt;&lt;author&gt;Torres-Valencia, J Martín&lt;/author&gt;&lt;author&gt;Muñoz-Sánchez, José L&lt;/author&gt;&lt;author&gt;Alarcón-Hernández, Ernesto&lt;/author&gt;&lt;author&gt;López, Rogelio&lt;/author&gt;&lt;author&gt;Barrón, Blanca L&lt;/author&gt;&lt;/authors&gt;&lt;/contributors&gt;&lt;titles&gt;&lt;title&gt;Antioxidant constituents of Geranium bellum rose&lt;/title&gt;&lt;secondary-title&gt;Journal of the Mexican Chemical Society&lt;/secondary-title&gt;&lt;/titles&gt;&lt;periodical&gt;&lt;full-title&gt;Journal of the Mexican Chemical Society&lt;/full-title&gt;&lt;/periodical&gt;&lt;pages&gt;103-107&lt;/pages&gt;&lt;volume&gt;52&lt;/volume&gt;&lt;number&gt;2&lt;/number&gt;&lt;dates&gt;&lt;year&gt;2008&lt;/year&gt;&lt;/dates&gt;&lt;isbn&gt;1870-249X&lt;/isbn&gt;&lt;urls&gt;&lt;/urls&gt;&lt;/record&gt;&lt;/Cite&gt;&lt;/EndNote&gt;</w:instrText>
      </w:r>
      <w:r w:rsidRPr="005E6B7C">
        <w:rPr>
          <w:rFonts w:asciiTheme="majorHAnsi" w:hAnsiTheme="majorHAnsi" w:cstheme="majorHAnsi"/>
          <w:iCs/>
          <w:noProof/>
          <w:color w:val="000000" w:themeColor="text1"/>
          <w:sz w:val="22"/>
          <w:szCs w:val="22"/>
          <w:lang w:eastAsia="ko-KR"/>
        </w:rPr>
        <w:fldChar w:fldCharType="separate"/>
      </w:r>
      <w:r w:rsidRPr="005E6B7C">
        <w:rPr>
          <w:rFonts w:asciiTheme="majorHAnsi" w:hAnsiTheme="majorHAnsi" w:cstheme="majorHAnsi"/>
          <w:iCs/>
          <w:noProof/>
          <w:color w:val="000000" w:themeColor="text1"/>
          <w:sz w:val="22"/>
          <w:szCs w:val="22"/>
          <w:lang w:eastAsia="ko-KR"/>
        </w:rPr>
        <w:t>[12]</w:t>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hAnsiTheme="majorHAnsi" w:cstheme="majorHAnsi"/>
          <w:iCs/>
          <w:noProof/>
          <w:color w:val="000000" w:themeColor="text1"/>
          <w:sz w:val="22"/>
          <w:szCs w:val="22"/>
          <w:lang w:eastAsia="ko-KR"/>
        </w:rPr>
        <w:t>. Detailed analysis of its 2D NMR data not only supported the above inference but also verified the planar structure as shown in Fig. 1. In the HMBC spectrum, the proton H-2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5.31) showed long-range correlations with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166.0),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35.5), C-3a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116.2), C-8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171.1), and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142.9). Similarly, the proton H-3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5.38) exhibited correlations with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79.9), C-4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144.1), and C-2'. Additional HMBC correlations from H-2/8-OCH</w:t>
      </w:r>
      <w:r w:rsidRPr="005E6B7C">
        <w:rPr>
          <w:rFonts w:asciiTheme="majorHAnsi" w:hAnsiTheme="majorHAnsi" w:cstheme="majorHAnsi"/>
          <w:iCs/>
          <w:noProof/>
          <w:color w:val="000000" w:themeColor="text1"/>
          <w:sz w:val="22"/>
          <w:szCs w:val="22"/>
          <w:vertAlign w:val="subscript"/>
          <w:lang w:eastAsia="ko-KR"/>
        </w:rPr>
        <w:t>3</w:t>
      </w:r>
      <w:r w:rsidRPr="005E6B7C">
        <w:rPr>
          <w:rFonts w:asciiTheme="majorHAnsi" w:hAnsiTheme="majorHAnsi" w:cstheme="majorHAnsi"/>
          <w:iCs/>
          <w:noProof/>
          <w:color w:val="000000" w:themeColor="text1"/>
          <w:sz w:val="22"/>
          <w:szCs w:val="22"/>
          <w:lang w:eastAsia="ko-KR"/>
        </w:rPr>
        <w:t xml:space="preserve"> to C-8, H-3'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6.38)/1'-OCH</w:t>
      </w:r>
      <w:r w:rsidRPr="005E6B7C">
        <w:rPr>
          <w:rFonts w:asciiTheme="majorHAnsi" w:hAnsiTheme="majorHAnsi" w:cstheme="majorHAnsi"/>
          <w:iCs/>
          <w:noProof/>
          <w:color w:val="000000" w:themeColor="text1"/>
          <w:sz w:val="22"/>
          <w:szCs w:val="22"/>
          <w:vertAlign w:val="subscript"/>
          <w:lang w:eastAsia="ko-KR"/>
        </w:rPr>
        <w:t>3</w:t>
      </w:r>
      <w:r w:rsidRPr="005E6B7C">
        <w:rPr>
          <w:rFonts w:asciiTheme="majorHAnsi" w:hAnsiTheme="majorHAnsi" w:cstheme="majorHAnsi"/>
          <w:iCs/>
          <w:noProof/>
          <w:color w:val="000000" w:themeColor="text1"/>
          <w:sz w:val="22"/>
          <w:szCs w:val="22"/>
          <w:lang w:eastAsia="ko-KR"/>
        </w:rPr>
        <w:t xml:space="preserve"> to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t>167.6), and 4'-OCH</w:t>
      </w:r>
      <w:r w:rsidRPr="005E6B7C">
        <w:rPr>
          <w:rFonts w:asciiTheme="majorHAnsi" w:hAnsiTheme="majorHAnsi" w:cstheme="majorHAnsi"/>
          <w:iCs/>
          <w:noProof/>
          <w:color w:val="000000" w:themeColor="text1"/>
          <w:sz w:val="22"/>
          <w:szCs w:val="22"/>
          <w:vertAlign w:val="subscript"/>
          <w:lang w:eastAsia="ko-KR"/>
        </w:rPr>
        <w:t>3</w:t>
      </w:r>
      <w:r w:rsidRPr="005E6B7C">
        <w:rPr>
          <w:rFonts w:asciiTheme="majorHAnsi" w:hAnsiTheme="majorHAnsi" w:cstheme="majorHAnsi"/>
          <w:iCs/>
          <w:noProof/>
          <w:color w:val="000000" w:themeColor="text1"/>
          <w:sz w:val="22"/>
          <w:szCs w:val="22"/>
          <w:lang w:eastAsia="ko-KR"/>
        </w:rPr>
        <w:t xml:space="preserve"> to C-4' confirmed the positions of the three methoxy substituents at C-8, C-1', and C-4', respectively (Fig. 2). The small coupling constant (</w:t>
      </w:r>
      <w:r w:rsidRPr="005E6B7C">
        <w:rPr>
          <w:rFonts w:asciiTheme="majorHAnsi" w:hAnsiTheme="majorHAnsi" w:cstheme="majorHAnsi"/>
          <w:iCs/>
          <w:noProof/>
          <w:color w:val="000000" w:themeColor="text1"/>
          <w:sz w:val="22"/>
          <w:szCs w:val="22"/>
          <w:vertAlign w:val="superscript"/>
          <w:lang w:eastAsia="ko-KR"/>
        </w:rPr>
        <w:t>3</w:t>
      </w:r>
      <w:r w:rsidRPr="005E6B7C">
        <w:rPr>
          <w:rFonts w:asciiTheme="majorHAnsi" w:hAnsiTheme="majorHAnsi" w:cstheme="majorHAnsi"/>
          <w:i/>
          <w:iCs/>
          <w:noProof/>
          <w:color w:val="000000" w:themeColor="text1"/>
          <w:sz w:val="22"/>
          <w:szCs w:val="22"/>
          <w:lang w:eastAsia="ko-KR"/>
        </w:rPr>
        <w:t>J</w:t>
      </w:r>
      <w:r w:rsidRPr="005E6B7C">
        <w:rPr>
          <w:rFonts w:asciiTheme="majorHAnsi" w:hAnsiTheme="majorHAnsi" w:cstheme="majorHAnsi"/>
          <w:iCs/>
          <w:noProof/>
          <w:color w:val="000000" w:themeColor="text1"/>
          <w:sz w:val="22"/>
          <w:szCs w:val="22"/>
          <w:vertAlign w:val="subscript"/>
          <w:lang w:eastAsia="ko-KR"/>
        </w:rPr>
        <w:t>2,3</w:t>
      </w:r>
      <w:r w:rsidRPr="005E6B7C">
        <w:rPr>
          <w:rFonts w:asciiTheme="majorHAnsi" w:hAnsiTheme="majorHAnsi" w:cstheme="majorHAnsi"/>
          <w:iCs/>
          <w:noProof/>
          <w:color w:val="000000" w:themeColor="text1"/>
          <w:sz w:val="22"/>
          <w:szCs w:val="22"/>
          <w:lang w:eastAsia="ko-KR"/>
        </w:rPr>
        <w:t xml:space="preserve"> = 1.2 Hz) </w:t>
      </w:r>
      <w:r w:rsidRPr="005E6B7C">
        <w:rPr>
          <w:rFonts w:asciiTheme="majorHAnsi" w:hAnsiTheme="majorHAnsi" w:cstheme="majorHAnsi"/>
          <w:iCs/>
          <w:noProof/>
          <w:color w:val="000000" w:themeColor="text1"/>
          <w:sz w:val="22"/>
          <w:szCs w:val="22"/>
          <w:lang w:eastAsia="ko-KR"/>
        </w:rPr>
        <w:fldChar w:fldCharType="begin">
          <w:fldData xml:space="preserve">PEVuZE5vdGU+PENpdGU+PEF1dGhvcj5DYW1hY2hvLUx1aXM8L0F1dGhvcj48WWVhcj4yMDA4PC9Z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</w:fldData>
        </w:fldChar>
      </w:r>
      <w:r w:rsidRPr="005E6B7C">
        <w:rPr>
          <w:rFonts w:asciiTheme="majorHAnsi" w:hAnsiTheme="majorHAnsi" w:cstheme="majorHAnsi"/>
          <w:iCs/>
          <w:noProof/>
          <w:color w:val="000000" w:themeColor="text1"/>
          <w:sz w:val="22"/>
          <w:szCs w:val="22"/>
          <w:lang w:eastAsia="ko-KR"/>
        </w:rPr>
        <w:instrText xml:space="preserve"> ADDIN EN.CITE </w:instrText>
      </w:r>
      <w:r w:rsidRPr="005E6B7C">
        <w:rPr>
          <w:rFonts w:asciiTheme="majorHAnsi" w:hAnsiTheme="majorHAnsi" w:cstheme="majorHAnsi"/>
          <w:iCs/>
          <w:noProof/>
          <w:color w:val="000000" w:themeColor="text1"/>
          <w:sz w:val="22"/>
          <w:szCs w:val="22"/>
          <w:lang w:eastAsia="ko-KR"/>
        </w:rPr>
        <w:fldChar w:fldCharType="begin">
          <w:fldData xml:space="preserve">PEVuZE5vdGU+PENpdGU+PEF1dGhvcj5DYW1hY2hvLUx1aXM8L0F1dGhvcj48WWVhcj4yMDA4PC9Z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</w:fldData>
        </w:fldChar>
      </w:r>
      <w:r w:rsidRPr="005E6B7C">
        <w:rPr>
          <w:rFonts w:asciiTheme="majorHAnsi" w:hAnsiTheme="majorHAnsi" w:cstheme="majorHAnsi"/>
          <w:iCs/>
          <w:noProof/>
          <w:color w:val="000000" w:themeColor="text1"/>
          <w:sz w:val="22"/>
          <w:szCs w:val="22"/>
          <w:lang w:eastAsia="ko-KR"/>
        </w:rPr>
        <w:instrText xml:space="preserve"> ADDIN EN.CITE.DATA </w:instrText>
      </w:r>
      <w:r w:rsidRPr="005E6B7C">
        <w:rPr>
          <w:rFonts w:asciiTheme="majorHAnsi" w:hAnsiTheme="majorHAnsi" w:cstheme="majorHAnsi"/>
          <w:iCs/>
          <w:noProof/>
          <w:color w:val="000000" w:themeColor="text1"/>
          <w:sz w:val="22"/>
          <w:szCs w:val="22"/>
          <w:lang w:eastAsia="ko-KR"/>
        </w:rPr>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hAnsiTheme="majorHAnsi" w:cstheme="majorHAnsi"/>
          <w:iCs/>
          <w:noProof/>
          <w:color w:val="000000" w:themeColor="text1"/>
          <w:sz w:val="22"/>
          <w:szCs w:val="22"/>
          <w:lang w:eastAsia="ko-KR"/>
        </w:rPr>
      </w:r>
      <w:r w:rsidRPr="005E6B7C">
        <w:rPr>
          <w:rFonts w:asciiTheme="majorHAnsi" w:hAnsiTheme="majorHAnsi" w:cstheme="majorHAnsi"/>
          <w:iCs/>
          <w:noProof/>
          <w:color w:val="000000" w:themeColor="text1"/>
          <w:sz w:val="22"/>
          <w:szCs w:val="22"/>
          <w:lang w:eastAsia="ko-KR"/>
        </w:rPr>
        <w:fldChar w:fldCharType="separate"/>
      </w:r>
      <w:r w:rsidRPr="005E6B7C">
        <w:rPr>
          <w:rFonts w:asciiTheme="majorHAnsi" w:hAnsiTheme="majorHAnsi" w:cstheme="majorHAnsi"/>
          <w:iCs/>
          <w:noProof/>
          <w:color w:val="000000" w:themeColor="text1"/>
          <w:sz w:val="22"/>
          <w:szCs w:val="22"/>
          <w:lang w:eastAsia="ko-KR"/>
        </w:rPr>
        <w:t>[12],[13]</w:t>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hAnsiTheme="majorHAnsi" w:cstheme="majorHAnsi"/>
          <w:iCs/>
          <w:noProof/>
          <w:color w:val="000000" w:themeColor="text1"/>
          <w:sz w:val="22"/>
          <w:szCs w:val="22"/>
          <w:lang w:eastAsia="ko-KR"/>
        </w:rPr>
        <w:t>,</w:t>
      </w:r>
      <w:r w:rsidRPr="005E6B7C">
        <w:rPr>
          <w:rFonts w:asciiTheme="majorHAnsi" w:hAnsiTheme="majorHAnsi" w:cstheme="majorHAnsi"/>
          <w:iCs/>
          <w:noProof/>
          <w:color w:val="000000" w:themeColor="text1"/>
          <w:sz w:val="22"/>
          <w:szCs w:val="22"/>
          <w:lang w:eastAsia="ko-KR"/>
        </w:rPr>
        <w:fldChar w:fldCharType="begin"/>
      </w:r>
      <w:r w:rsidRPr="005E6B7C">
        <w:rPr>
          <w:rFonts w:asciiTheme="majorHAnsi" w:hAnsiTheme="majorHAnsi" w:cstheme="majorHAnsi"/>
          <w:iCs/>
          <w:noProof/>
          <w:color w:val="000000" w:themeColor="text1"/>
          <w:sz w:val="22"/>
          <w:szCs w:val="22"/>
          <w:lang w:eastAsia="ko-KR"/>
        </w:rPr>
        <w:instrText xml:space="preserve"> ADDIN EN.CITE &lt;EndNote&gt;&lt;Cite&gt;&lt;Author&gt;Zhao&lt;/Author&gt;&lt;Year&gt;2021&lt;/Year&gt;&lt;RecNum&gt;323&lt;/RecNum&gt;&lt;DisplayText&gt;[14]&lt;/DisplayText&gt;&lt;record&gt;&lt;rec-number&gt;323&lt;/rec-number&gt;&lt;foreign-keys&gt;&lt;key app="EN" db-id="9sr5eszf50a29ae55xgpdt5w0vxdz95ex2xv" timestamp="1758020445"&gt;323&lt;/key&gt;&lt;/foreign-keys&gt;&lt;ref-type name="Journal Article"&gt;17&lt;/ref-type&gt;&lt;contributors&gt;&lt;authors&gt;&lt;author&gt;Hai Yan Zhao&lt;/author&gt;&lt;author&gt;Qian Lan&lt;/author&gt;&lt;author&gt;Shuang He&lt;/author&gt;&lt;author&gt;Bao Jun Su&lt;/author&gt;&lt;author&gt;Ya Qi Wang&lt;/author&gt;&lt;author&gt;Hai Bing Liao,&lt;/author&gt;&lt;author&gt;Heng Shan Wang&lt;/author&gt;&lt;author&gt;Dong Liang&lt;/author&gt;&lt;/authors&gt;&lt;/contributors&gt;&lt;titles&gt;&lt;title&gt;&lt;style face="normal" font="default" size="100%"&gt;Chebulic acid derivatives from &lt;/style&gt;&lt;style face="italic" font="default" size="100%"&gt;Balakata baccata&lt;/style&gt;&lt;style face="normal" font="default" size="100%"&gt; and their antineuroinflammatory and antioxidant activities&lt;/style&gt;&lt;/title&gt;&lt;secondary-title&gt;Bioorganic Chemistry&lt;/secondary-title&gt;&lt;/titles&gt;&lt;periodical&gt;&lt;full-title&gt;Bioorganic Chemistry&lt;/full-title&gt;&lt;/periodical&gt;&lt;pages&gt;e105332&lt;/pages&gt;&lt;volume&gt;116&lt;/volume&gt;&lt;section&gt;e105332&lt;/section&gt;&lt;dates&gt;&lt;year&gt;2021&lt;/year&gt;&lt;/dates&gt;&lt;urls&gt;&lt;/urls&gt;&lt;/record&gt;&lt;/Cite&gt;&lt;/EndNote&gt;</w:instrText>
      </w:r>
      <w:r w:rsidRPr="005E6B7C">
        <w:rPr>
          <w:rFonts w:asciiTheme="majorHAnsi" w:hAnsiTheme="majorHAnsi" w:cstheme="majorHAnsi"/>
          <w:iCs/>
          <w:noProof/>
          <w:color w:val="000000" w:themeColor="text1"/>
          <w:sz w:val="22"/>
          <w:szCs w:val="22"/>
          <w:lang w:eastAsia="ko-KR"/>
        </w:rPr>
        <w:fldChar w:fldCharType="separate"/>
      </w:r>
      <w:r w:rsidRPr="005E6B7C">
        <w:rPr>
          <w:rFonts w:asciiTheme="majorHAnsi" w:hAnsiTheme="majorHAnsi" w:cstheme="majorHAnsi"/>
          <w:iCs/>
          <w:noProof/>
          <w:color w:val="000000" w:themeColor="text1"/>
          <w:sz w:val="22"/>
          <w:szCs w:val="22"/>
          <w:lang w:eastAsia="ko-KR"/>
        </w:rPr>
        <w:t>[14]</w:t>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hAnsiTheme="majorHAnsi" w:cstheme="majorHAnsi"/>
          <w:iCs/>
          <w:noProof/>
          <w:color w:val="000000" w:themeColor="text1"/>
          <w:sz w:val="22"/>
          <w:szCs w:val="22"/>
          <w:lang w:eastAsia="ko-KR"/>
        </w:rPr>
        <w:t xml:space="preserve">, along with the NOESY correlation of H-2/H-3 indicated that these protons </w:t>
      </w:r>
      <w:r w:rsidR="00E8693C" w:rsidRPr="005E6B7C">
        <w:rPr>
          <w:rFonts w:asciiTheme="majorHAnsi" w:hAnsiTheme="majorHAnsi" w:cstheme="majorHAnsi"/>
          <w:iCs/>
          <w:noProof/>
          <w:color w:val="000000" w:themeColor="text1"/>
          <w:sz w:val="22"/>
          <w:szCs w:val="22"/>
          <w:lang w:eastAsia="ko-KR"/>
        </w:rPr>
        <w:t>were</w:t>
      </w:r>
      <w:r w:rsidRPr="005E6B7C">
        <w:rPr>
          <w:rFonts w:asciiTheme="majorHAnsi" w:hAnsiTheme="majorHAnsi" w:cstheme="majorHAnsi"/>
          <w:iCs/>
          <w:noProof/>
          <w:color w:val="000000" w:themeColor="text1"/>
          <w:sz w:val="22"/>
          <w:szCs w:val="22"/>
          <w:lang w:eastAsia="ko-KR"/>
        </w:rPr>
        <w:t xml:space="preserve"> a</w:t>
      </w:r>
      <w:r w:rsidRPr="005E6B7C">
        <w:rPr>
          <w:rFonts w:asciiTheme="majorHAnsi" w:hAnsiTheme="majorHAnsi" w:cstheme="majorHAnsi"/>
          <w:i/>
          <w:iCs/>
          <w:noProof/>
          <w:color w:val="000000" w:themeColor="text1"/>
          <w:sz w:val="22"/>
          <w:szCs w:val="22"/>
          <w:lang w:eastAsia="ko-KR"/>
        </w:rPr>
        <w:t xml:space="preserve"> trans</w:t>
      </w:r>
      <w:r w:rsidRPr="005E6B7C">
        <w:rPr>
          <w:rFonts w:asciiTheme="majorHAnsi" w:hAnsiTheme="majorHAnsi" w:cstheme="majorHAnsi"/>
          <w:iCs/>
          <w:noProof/>
          <w:color w:val="000000" w:themeColor="text1"/>
          <w:sz w:val="22"/>
          <w:szCs w:val="22"/>
          <w:lang w:eastAsia="ko-KR"/>
        </w:rPr>
        <w:t xml:space="preserve">-diequatorial relative configuration with both hydrogens in an equatorial orientation. </w:t>
      </w:r>
      <w:r w:rsidRPr="005E6B7C">
        <w:rPr>
          <w:rFonts w:asciiTheme="majorHAnsi" w:eastAsia="Yu Mincho" w:hAnsiTheme="majorHAnsi" w:cstheme="majorHAnsi"/>
          <w:color w:val="000000" w:themeColor="text1"/>
          <w:sz w:val="22"/>
          <w:szCs w:val="22"/>
          <w:lang w:eastAsia="ja-JP"/>
        </w:rPr>
        <w:t xml:space="preserve">Based on the putative biosynthetic pathway to the formation of the dehydrochebulic acid derivatives and their similar NMR patterns (Table 2), the </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-configuration of the Δ</w:t>
      </w:r>
      <w:r w:rsidR="008C0D47" w:rsidRPr="005E6B7C">
        <w:rPr>
          <w:rFonts w:asciiTheme="majorHAnsi" w:eastAsia="Yu Mincho" w:hAnsiTheme="majorHAnsi" w:cstheme="majorHAnsi"/>
          <w:color w:val="000000" w:themeColor="text1"/>
          <w:sz w:val="22"/>
          <w:szCs w:val="22"/>
          <w:vertAlign w:val="superscript"/>
          <w:lang w:eastAsia="ja-JP"/>
        </w:rPr>
        <w:t>2ʹ(3ʹ)</w:t>
      </w:r>
      <w:r w:rsidR="00130A93" w:rsidRPr="005E6B7C">
        <w:rPr>
          <w:color w:val="000000" w:themeColor="text1"/>
        </w:rPr>
        <w:t xml:space="preserve"> </w:t>
      </w:r>
      <w:r w:rsidR="00FA7DEC" w:rsidRPr="005E6B7C">
        <w:rPr>
          <w:rFonts w:asciiTheme="majorHAnsi" w:eastAsia="Yu Mincho" w:hAnsiTheme="majorHAnsi" w:cstheme="majorHAnsi"/>
          <w:color w:val="000000" w:themeColor="text1"/>
          <w:sz w:val="22"/>
          <w:szCs w:val="22"/>
          <w:lang w:eastAsia="ja-JP"/>
        </w:rPr>
        <w:t>o</w:t>
      </w:r>
      <w:r w:rsidR="00130A93" w:rsidRPr="005E6B7C">
        <w:rPr>
          <w:rFonts w:asciiTheme="majorHAnsi" w:eastAsia="Yu Mincho" w:hAnsiTheme="majorHAnsi" w:cstheme="majorHAnsi"/>
          <w:color w:val="000000" w:themeColor="text1"/>
          <w:sz w:val="22"/>
          <w:szCs w:val="22"/>
          <w:lang w:eastAsia="ja-JP"/>
        </w:rPr>
        <w:t xml:space="preserve">lefinic bond and the absolute configurations of C-2 and C-3 in </w:t>
      </w:r>
      <w:r w:rsidR="00130A93" w:rsidRPr="005E6B7C">
        <w:rPr>
          <w:rFonts w:asciiTheme="majorHAnsi" w:eastAsia="Yu Mincho" w:hAnsiTheme="majorHAnsi" w:cstheme="majorHAnsi"/>
          <w:b/>
          <w:color w:val="000000" w:themeColor="text1"/>
          <w:sz w:val="22"/>
          <w:szCs w:val="22"/>
          <w:lang w:eastAsia="ja-JP"/>
        </w:rPr>
        <w:t>4</w:t>
      </w:r>
      <w:r w:rsidR="00130A93" w:rsidRPr="005E6B7C">
        <w:rPr>
          <w:rFonts w:asciiTheme="majorHAnsi" w:eastAsia="Yu Mincho" w:hAnsiTheme="majorHAnsi" w:cstheme="majorHAnsi"/>
          <w:color w:val="000000" w:themeColor="text1"/>
          <w:sz w:val="22"/>
          <w:szCs w:val="22"/>
          <w:lang w:eastAsia="ja-JP"/>
        </w:rPr>
        <w:t xml:space="preserve"> were proposed as depicted and confirmed by their virtually identical ECD spectra compared to those of </w:t>
      </w:r>
      <w:r w:rsidR="00130A93" w:rsidRPr="005E6B7C">
        <w:rPr>
          <w:rFonts w:asciiTheme="majorHAnsi" w:eastAsia="Yu Mincho" w:hAnsiTheme="majorHAnsi" w:cstheme="majorHAnsi"/>
          <w:b/>
          <w:color w:val="000000" w:themeColor="text1"/>
          <w:sz w:val="22"/>
          <w:szCs w:val="22"/>
          <w:lang w:eastAsia="ja-JP"/>
        </w:rPr>
        <w:t>4</w:t>
      </w:r>
      <w:r w:rsidR="00130A93" w:rsidRPr="005E6B7C">
        <w:rPr>
          <w:rFonts w:asciiTheme="majorHAnsi" w:eastAsia="Yu Mincho" w:hAnsiTheme="majorHAnsi" w:cstheme="majorHAnsi"/>
          <w:color w:val="000000" w:themeColor="text1"/>
          <w:sz w:val="22"/>
          <w:szCs w:val="22"/>
          <w:lang w:eastAsia="ja-JP"/>
        </w:rPr>
        <w:t xml:space="preserve">. The ECD spectra of </w:t>
      </w:r>
      <w:r w:rsidR="00130A93" w:rsidRPr="005E6B7C">
        <w:rPr>
          <w:rFonts w:asciiTheme="majorHAnsi" w:eastAsia="Yu Mincho" w:hAnsiTheme="majorHAnsi" w:cstheme="majorHAnsi"/>
          <w:b/>
          <w:color w:val="000000" w:themeColor="text1"/>
          <w:sz w:val="22"/>
          <w:szCs w:val="22"/>
          <w:lang w:eastAsia="ja-JP"/>
        </w:rPr>
        <w:t>4</w:t>
      </w:r>
      <w:r w:rsidR="00130A93" w:rsidRPr="005E6B7C">
        <w:rPr>
          <w:rFonts w:asciiTheme="majorHAnsi" w:eastAsia="Yu Mincho" w:hAnsiTheme="majorHAnsi" w:cstheme="majorHAnsi"/>
          <w:color w:val="000000" w:themeColor="text1"/>
          <w:sz w:val="22"/>
          <w:szCs w:val="22"/>
          <w:lang w:eastAsia="ja-JP"/>
        </w:rPr>
        <w:t xml:space="preserve"> showed a positive n−π* Cotton effect near 279 nm, which defined the (2</w:t>
      </w:r>
      <w:r w:rsidR="00130A93" w:rsidRPr="005E6B7C">
        <w:rPr>
          <w:rFonts w:asciiTheme="majorHAnsi" w:eastAsia="Yu Mincho" w:hAnsiTheme="majorHAnsi" w:cstheme="majorHAnsi"/>
          <w:i/>
          <w:color w:val="000000" w:themeColor="text1"/>
          <w:sz w:val="22"/>
          <w:szCs w:val="22"/>
          <w:lang w:eastAsia="ja-JP"/>
        </w:rPr>
        <w:t>S</w:t>
      </w:r>
      <w:r w:rsidR="00130A93" w:rsidRPr="005E6B7C">
        <w:rPr>
          <w:rFonts w:asciiTheme="majorHAnsi" w:eastAsia="Yu Mincho" w:hAnsiTheme="majorHAnsi" w:cstheme="majorHAnsi"/>
          <w:color w:val="000000" w:themeColor="text1"/>
          <w:sz w:val="22"/>
          <w:szCs w:val="22"/>
          <w:lang w:eastAsia="ja-JP"/>
        </w:rPr>
        <w:t>,3</w:t>
      </w:r>
      <w:r w:rsidR="00130A93" w:rsidRPr="005E6B7C">
        <w:rPr>
          <w:rFonts w:asciiTheme="majorHAnsi" w:eastAsia="Yu Mincho" w:hAnsiTheme="majorHAnsi" w:cstheme="majorHAnsi"/>
          <w:i/>
          <w:color w:val="000000" w:themeColor="text1"/>
          <w:sz w:val="22"/>
          <w:szCs w:val="22"/>
          <w:lang w:eastAsia="ja-JP"/>
        </w:rPr>
        <w:t>R</w:t>
      </w:r>
      <w:r w:rsidR="00130A93" w:rsidRPr="005E6B7C">
        <w:rPr>
          <w:rFonts w:asciiTheme="majorHAnsi" w:eastAsia="Yu Mincho" w:hAnsiTheme="majorHAnsi" w:cstheme="majorHAnsi"/>
          <w:color w:val="000000" w:themeColor="text1"/>
          <w:sz w:val="22"/>
          <w:szCs w:val="22"/>
          <w:lang w:eastAsia="ja-JP"/>
        </w:rPr>
        <w:t xml:space="preserve">) absolute configurations based on the dihydroisocoumarin P-helicity rule [12],[13],[14]. Based on the above evidence and comparison with previously reported literature [12], compound </w:t>
      </w:r>
      <w:r w:rsidR="00130A93" w:rsidRPr="005E6B7C">
        <w:rPr>
          <w:rFonts w:asciiTheme="majorHAnsi" w:eastAsia="Yu Mincho" w:hAnsiTheme="majorHAnsi" w:cstheme="majorHAnsi"/>
          <w:b/>
          <w:color w:val="000000" w:themeColor="text1"/>
          <w:sz w:val="22"/>
          <w:szCs w:val="22"/>
          <w:lang w:eastAsia="ja-JP"/>
        </w:rPr>
        <w:t>4</w:t>
      </w:r>
      <w:r w:rsidR="00130A93" w:rsidRPr="005E6B7C">
        <w:rPr>
          <w:rFonts w:asciiTheme="majorHAnsi" w:eastAsia="Yu Mincho" w:hAnsiTheme="majorHAnsi" w:cstheme="majorHAnsi"/>
          <w:color w:val="000000" w:themeColor="text1"/>
          <w:sz w:val="22"/>
          <w:szCs w:val="22"/>
          <w:lang w:eastAsia="ja-JP"/>
        </w:rPr>
        <w:t xml:space="preserve"> was finally identified as dehydrochebulic acid trimethyl ester. This compound was previously obtained from </w:t>
      </w:r>
      <w:r w:rsidR="00130A93" w:rsidRPr="005E6B7C">
        <w:rPr>
          <w:rFonts w:asciiTheme="majorHAnsi" w:eastAsia="Yu Mincho" w:hAnsiTheme="majorHAnsi" w:cstheme="majorHAnsi"/>
          <w:i/>
          <w:color w:val="000000" w:themeColor="text1"/>
          <w:sz w:val="22"/>
          <w:szCs w:val="22"/>
          <w:lang w:eastAsia="ja-JP"/>
        </w:rPr>
        <w:t>Phyllanthus urinaria</w:t>
      </w:r>
      <w:r w:rsidR="00130A93" w:rsidRPr="005E6B7C">
        <w:rPr>
          <w:rFonts w:asciiTheme="majorHAnsi" w:eastAsia="Yu Mincho" w:hAnsiTheme="majorHAnsi" w:cstheme="majorHAnsi"/>
          <w:color w:val="000000" w:themeColor="text1"/>
          <w:sz w:val="22"/>
          <w:szCs w:val="22"/>
          <w:lang w:eastAsia="ja-JP"/>
        </w:rPr>
        <w:t xml:space="preserve"> (Euphorbiaceae) [15], </w:t>
      </w:r>
      <w:r w:rsidR="00130A93" w:rsidRPr="005E6B7C">
        <w:rPr>
          <w:rFonts w:asciiTheme="majorHAnsi" w:eastAsia="Yu Mincho" w:hAnsiTheme="majorHAnsi" w:cstheme="majorHAnsi"/>
          <w:i/>
          <w:color w:val="000000" w:themeColor="text1"/>
          <w:sz w:val="22"/>
          <w:szCs w:val="22"/>
          <w:lang w:eastAsia="ja-JP"/>
        </w:rPr>
        <w:t>Geranium bellum</w:t>
      </w:r>
      <w:r w:rsidR="00130A93" w:rsidRPr="005E6B7C">
        <w:rPr>
          <w:rFonts w:asciiTheme="majorHAnsi" w:eastAsia="Yu Mincho" w:hAnsiTheme="majorHAnsi" w:cstheme="majorHAnsi"/>
          <w:color w:val="000000" w:themeColor="text1"/>
          <w:sz w:val="22"/>
          <w:szCs w:val="22"/>
          <w:lang w:eastAsia="ja-JP"/>
        </w:rPr>
        <w:t xml:space="preserve"> (Geraniaceae) [12], and </w:t>
      </w:r>
      <w:r w:rsidR="00130A93" w:rsidRPr="005E6B7C">
        <w:rPr>
          <w:rFonts w:asciiTheme="majorHAnsi" w:eastAsia="Yu Mincho" w:hAnsiTheme="majorHAnsi" w:cstheme="majorHAnsi"/>
          <w:i/>
          <w:color w:val="000000" w:themeColor="text1"/>
          <w:sz w:val="22"/>
          <w:szCs w:val="22"/>
          <w:lang w:eastAsia="ja-JP"/>
        </w:rPr>
        <w:t>Sapium insigne</w:t>
      </w:r>
      <w:r w:rsidR="00130A93" w:rsidRPr="005E6B7C">
        <w:rPr>
          <w:rFonts w:asciiTheme="majorHAnsi" w:eastAsia="Yu Mincho" w:hAnsiTheme="majorHAnsi" w:cstheme="majorHAnsi"/>
          <w:color w:val="000000" w:themeColor="text1"/>
          <w:sz w:val="22"/>
          <w:szCs w:val="22"/>
          <w:lang w:eastAsia="ja-JP"/>
        </w:rPr>
        <w:t xml:space="preserve"> (Euphorbiaceae) [16]. In the antioxidant assay, compound 4 exhibited significant DPPH radical scavenging activity with an IC</w:t>
      </w:r>
      <w:r w:rsidR="00130A93" w:rsidRPr="005E6B7C">
        <w:rPr>
          <w:rFonts w:asciiTheme="majorHAnsi" w:eastAsia="Yu Mincho" w:hAnsiTheme="majorHAnsi" w:cstheme="majorHAnsi"/>
          <w:color w:val="000000" w:themeColor="text1"/>
          <w:sz w:val="22"/>
          <w:szCs w:val="22"/>
          <w:vertAlign w:val="subscript"/>
          <w:lang w:eastAsia="ja-JP"/>
        </w:rPr>
        <w:t>50</w:t>
      </w:r>
      <w:r w:rsidR="00130A93" w:rsidRPr="005E6B7C">
        <w:rPr>
          <w:rFonts w:asciiTheme="majorHAnsi" w:eastAsia="Yu Mincho" w:hAnsiTheme="majorHAnsi" w:cstheme="majorHAnsi"/>
          <w:color w:val="000000" w:themeColor="text1"/>
          <w:sz w:val="22"/>
          <w:szCs w:val="22"/>
          <w:lang w:eastAsia="ja-JP"/>
        </w:rPr>
        <w:t xml:space="preserve"> value of 9.4 </w:t>
      </w:r>
      <w:r w:rsidR="00130A93" w:rsidRPr="005E6B7C">
        <w:rPr>
          <w:rFonts w:asciiTheme="majorHAnsi" w:eastAsia="Yu Mincho" w:hAnsiTheme="majorHAnsi" w:cstheme="majorHAnsi"/>
          <w:i/>
          <w:color w:val="000000" w:themeColor="text1"/>
          <w:sz w:val="22"/>
          <w:szCs w:val="22"/>
          <w:lang w:eastAsia="ja-JP"/>
        </w:rPr>
        <w:t>μ</w:t>
      </w:r>
      <w:r w:rsidR="00130A93" w:rsidRPr="005E6B7C">
        <w:rPr>
          <w:rFonts w:asciiTheme="majorHAnsi" w:eastAsia="Yu Mincho" w:hAnsiTheme="majorHAnsi" w:cstheme="majorHAnsi"/>
          <w:color w:val="000000" w:themeColor="text1"/>
          <w:sz w:val="22"/>
          <w:szCs w:val="22"/>
          <w:lang w:eastAsia="ja-JP"/>
        </w:rPr>
        <w:t xml:space="preserve">M. Moreover, it markedly inhibited NO production in a dose-dependent manner, and the inhibition reached 84.2% at a concentration of 30 </w:t>
      </w:r>
      <w:r w:rsidR="00130A93" w:rsidRPr="005E6B7C">
        <w:rPr>
          <w:rFonts w:asciiTheme="majorHAnsi" w:eastAsia="Yu Mincho" w:hAnsiTheme="majorHAnsi" w:cstheme="majorHAnsi"/>
          <w:i/>
          <w:iCs/>
          <w:color w:val="000000" w:themeColor="text1"/>
          <w:sz w:val="22"/>
          <w:szCs w:val="22"/>
          <w:lang w:eastAsia="ja-JP"/>
        </w:rPr>
        <w:t>μ</w:t>
      </w:r>
      <w:r w:rsidR="00130A93" w:rsidRPr="005E6B7C">
        <w:rPr>
          <w:rFonts w:asciiTheme="majorHAnsi" w:eastAsia="Yu Mincho" w:hAnsiTheme="majorHAnsi" w:cstheme="majorHAnsi"/>
          <w:color w:val="000000" w:themeColor="text1"/>
          <w:sz w:val="22"/>
          <w:szCs w:val="22"/>
          <w:lang w:eastAsia="ja-JP"/>
        </w:rPr>
        <w:t>M [15].</w:t>
      </w:r>
    </w:p>
    <w:p w14:paraId="2FBA7E48" w14:textId="77777777" w:rsidR="00A9181D" w:rsidRPr="005E6B7C" w:rsidRDefault="00A9181D"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A9181D" w:rsidRPr="005E6B7C" w:rsidSect="00A9181D">
          <w:type w:val="continuous"/>
          <w:pgSz w:w="10773" w:h="15309" w:code="9"/>
          <w:pgMar w:top="907" w:right="851" w:bottom="1418" w:left="851" w:header="397" w:footer="851" w:gutter="0"/>
          <w:cols w:num="2" w:space="284"/>
          <w:docGrid w:linePitch="360"/>
        </w:sectPr>
      </w:pPr>
    </w:p>
    <w:p w14:paraId="208B61AE" w14:textId="77777777" w:rsidR="00EB175E" w:rsidRPr="005E6B7C" w:rsidRDefault="00EB175E" w:rsidP="008C0D47">
      <w:pPr>
        <w:tabs>
          <w:tab w:val="left" w:pos="270"/>
          <w:tab w:val="left" w:pos="9270"/>
        </w:tabs>
        <w:spacing w:before="120" w:after="120" w:line="240" w:lineRule="exact"/>
        <w:ind w:firstLine="284"/>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2.</w:t>
      </w:r>
      <w:r w:rsidRPr="005E6B7C">
        <w:rPr>
          <w:rFonts w:asciiTheme="majorHAnsi" w:eastAsia="Yu Mincho" w:hAnsiTheme="majorHAnsi" w:cstheme="majorHAnsi"/>
          <w:color w:val="000000" w:themeColor="text1"/>
          <w:sz w:val="18"/>
          <w:szCs w:val="18"/>
          <w:lang w:eastAsia="ja-JP"/>
        </w:rPr>
        <w:t xml:space="preserve"> NMR spectroscopic data of </w:t>
      </w:r>
      <w:r w:rsidRPr="005E6B7C">
        <w:rPr>
          <w:rFonts w:asciiTheme="majorHAnsi" w:eastAsia="Yu Mincho" w:hAnsiTheme="majorHAnsi" w:cstheme="majorHAnsi"/>
          <w:b/>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xml:space="preserve"> and the reference compound</w:t>
      </w:r>
    </w:p>
    <w:tbl>
      <w:tblPr>
        <w:tblStyle w:val="TableGrid61"/>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71"/>
        <w:gridCol w:w="972"/>
        <w:gridCol w:w="972"/>
        <w:gridCol w:w="6057"/>
      </w:tblGrid>
      <w:tr w:rsidR="00E049CB" w:rsidRPr="005E6B7C" w14:paraId="116E0EED" w14:textId="77777777" w:rsidTr="00A9181D">
        <w:trPr>
          <w:tblHeader/>
          <w:jc w:val="center"/>
        </w:trPr>
        <w:tc>
          <w:tcPr>
            <w:tcW w:w="1192" w:type="dxa"/>
            <w:vMerge w:val="restart"/>
            <w:tcBorders>
              <w:top w:val="dotted" w:sz="4" w:space="0" w:color="auto"/>
            </w:tcBorders>
            <w:vAlign w:val="center"/>
          </w:tcPr>
          <w:p w14:paraId="1E2F1BAB" w14:textId="77777777" w:rsidR="00E049CB" w:rsidRPr="005E6B7C" w:rsidRDefault="00E049CB" w:rsidP="008C0D47">
            <w:pPr>
              <w:tabs>
                <w:tab w:val="left" w:pos="165"/>
              </w:tabs>
              <w:suppressAutoHyphens w:val="0"/>
              <w:autoSpaceDE w:val="0"/>
              <w:autoSpaceDN w:val="0"/>
              <w:adjustRightInd w:val="0"/>
              <w:jc w:val="center"/>
              <w:rPr>
                <w:rFonts w:asciiTheme="majorHAnsi" w:eastAsia="Batang" w:hAnsiTheme="majorHAnsi" w:cstheme="majorHAnsi"/>
                <w:color w:val="000000" w:themeColor="text1"/>
                <w:sz w:val="20"/>
                <w:szCs w:val="20"/>
                <w:lang w:eastAsia="ja-JP"/>
              </w:rPr>
            </w:pPr>
            <w:r w:rsidRPr="005E6B7C">
              <w:rPr>
                <w:rFonts w:asciiTheme="majorHAnsi" w:eastAsia="Batang" w:hAnsiTheme="majorHAnsi" w:cstheme="majorHAnsi"/>
                <w:color w:val="000000" w:themeColor="text1"/>
                <w:sz w:val="20"/>
                <w:szCs w:val="20"/>
                <w:lang w:eastAsia="ja-JP"/>
              </w:rPr>
              <w:t>No.</w:t>
            </w:r>
          </w:p>
        </w:tc>
        <w:tc>
          <w:tcPr>
            <w:tcW w:w="1080" w:type="dxa"/>
            <w:vMerge w:val="restart"/>
            <w:tcBorders>
              <w:top w:val="dotted" w:sz="4" w:space="0" w:color="auto"/>
            </w:tcBorders>
            <w:vAlign w:val="center"/>
          </w:tcPr>
          <w:p w14:paraId="10451F3A" w14:textId="77777777" w:rsidR="00E049CB" w:rsidRPr="005E6B7C" w:rsidRDefault="00E049CB" w:rsidP="008C0D47">
            <w:pPr>
              <w:tabs>
                <w:tab w:val="left" w:pos="270"/>
                <w:tab w:val="left" w:pos="360"/>
              </w:tabs>
              <w:suppressAutoHyphens w:val="0"/>
              <w:autoSpaceDE w:val="0"/>
              <w:autoSpaceDN w:val="0"/>
              <w:adjustRightInd w:val="0"/>
              <w:jc w:val="center"/>
              <w:rPr>
                <w:rFonts w:asciiTheme="majorHAnsi" w:eastAsia="Times New Roman" w:hAnsiTheme="majorHAnsi" w:cstheme="majorHAnsi"/>
                <w:color w:val="000000" w:themeColor="text1"/>
                <w:sz w:val="20"/>
                <w:szCs w:val="20"/>
                <w:vertAlign w:val="superscript"/>
                <w:lang w:eastAsia="ja-JP"/>
              </w:rPr>
            </w:pPr>
            <w:r w:rsidRPr="005E6B7C">
              <w:rPr>
                <w:rFonts w:asciiTheme="majorHAnsi" w:eastAsia="Times New Roman" w:hAnsiTheme="majorHAnsi" w:cstheme="majorHAnsi"/>
                <w:color w:val="000000" w:themeColor="text1"/>
                <w:sz w:val="20"/>
                <w:szCs w:val="20"/>
                <w:vertAlign w:val="superscript"/>
                <w:lang w:eastAsia="ja-JP"/>
              </w:rPr>
              <w:t>@</w:t>
            </w:r>
            <w:r w:rsidRPr="005E6B7C">
              <w:rPr>
                <w:rFonts w:asciiTheme="majorHAnsi" w:eastAsia="Batang" w:hAnsiTheme="majorHAnsi" w:cstheme="majorHAnsi"/>
                <w:i/>
                <w:color w:val="000000" w:themeColor="text1"/>
                <w:kern w:val="2"/>
                <w:sz w:val="20"/>
                <w:szCs w:val="20"/>
                <w:lang w:eastAsia="ja-JP"/>
              </w:rPr>
              <w:t>δ</w:t>
            </w:r>
            <w:r w:rsidRPr="005E6B7C">
              <w:rPr>
                <w:rFonts w:asciiTheme="majorHAnsi" w:eastAsia="Batang" w:hAnsiTheme="majorHAnsi" w:cstheme="majorHAnsi"/>
                <w:color w:val="000000" w:themeColor="text1"/>
                <w:kern w:val="2"/>
                <w:sz w:val="20"/>
                <w:szCs w:val="20"/>
                <w:vertAlign w:val="subscript"/>
                <w:lang w:eastAsia="ja-JP"/>
              </w:rPr>
              <w:t>C</w:t>
            </w:r>
          </w:p>
        </w:tc>
        <w:tc>
          <w:tcPr>
            <w:tcW w:w="7988" w:type="dxa"/>
            <w:gridSpan w:val="2"/>
            <w:tcBorders>
              <w:top w:val="dotted" w:sz="4" w:space="0" w:color="auto"/>
            </w:tcBorders>
            <w:vAlign w:val="center"/>
          </w:tcPr>
          <w:p w14:paraId="46CBBF13" w14:textId="77777777" w:rsidR="00E049CB" w:rsidRPr="005E6B7C" w:rsidRDefault="00E049CB" w:rsidP="008C0D47">
            <w:pPr>
              <w:tabs>
                <w:tab w:val="left" w:pos="270"/>
                <w:tab w:val="left" w:pos="360"/>
              </w:tabs>
              <w:suppressAutoHyphens w:val="0"/>
              <w:autoSpaceDE w:val="0"/>
              <w:autoSpaceDN w:val="0"/>
              <w:adjustRightInd w:val="0"/>
              <w:jc w:val="center"/>
              <w:rPr>
                <w:rFonts w:asciiTheme="majorHAnsi" w:eastAsia="Batang" w:hAnsiTheme="majorHAnsi" w:cstheme="majorHAnsi"/>
                <w:b/>
                <w:color w:val="000000" w:themeColor="text1"/>
                <w:sz w:val="20"/>
                <w:szCs w:val="20"/>
                <w:lang w:eastAsia="ja-JP"/>
              </w:rPr>
            </w:pPr>
            <w:r w:rsidRPr="005E6B7C">
              <w:rPr>
                <w:rFonts w:asciiTheme="majorHAnsi" w:eastAsia="Batang" w:hAnsiTheme="majorHAnsi" w:cstheme="majorHAnsi"/>
                <w:b/>
                <w:color w:val="000000" w:themeColor="text1"/>
                <w:sz w:val="20"/>
                <w:szCs w:val="20"/>
                <w:lang w:eastAsia="ja-JP"/>
              </w:rPr>
              <w:t>4</w:t>
            </w:r>
          </w:p>
        </w:tc>
      </w:tr>
      <w:tr w:rsidR="00E049CB" w:rsidRPr="005E6B7C" w14:paraId="2107D56B" w14:textId="77777777" w:rsidTr="00A9181D">
        <w:trPr>
          <w:tblHeader/>
          <w:jc w:val="center"/>
        </w:trPr>
        <w:tc>
          <w:tcPr>
            <w:tcW w:w="1192" w:type="dxa"/>
            <w:vMerge/>
            <w:vAlign w:val="center"/>
          </w:tcPr>
          <w:p w14:paraId="463F5777" w14:textId="77777777" w:rsidR="00E049CB" w:rsidRPr="005E6B7C" w:rsidRDefault="00E049CB" w:rsidP="008C0D47">
            <w:pPr>
              <w:tabs>
                <w:tab w:val="left" w:pos="165"/>
              </w:tabs>
              <w:suppressAutoHyphens w:val="0"/>
              <w:autoSpaceDE w:val="0"/>
              <w:autoSpaceDN w:val="0"/>
              <w:adjustRightInd w:val="0"/>
              <w:jc w:val="center"/>
              <w:rPr>
                <w:rFonts w:asciiTheme="majorHAnsi" w:eastAsia="Batang" w:hAnsiTheme="majorHAnsi" w:cstheme="majorHAnsi"/>
                <w:color w:val="000000" w:themeColor="text1"/>
                <w:sz w:val="20"/>
                <w:szCs w:val="20"/>
                <w:lang w:eastAsia="ja-JP"/>
              </w:rPr>
            </w:pPr>
          </w:p>
        </w:tc>
        <w:tc>
          <w:tcPr>
            <w:tcW w:w="1080" w:type="dxa"/>
            <w:vMerge/>
            <w:vAlign w:val="center"/>
            <w:hideMark/>
          </w:tcPr>
          <w:p w14:paraId="070B4102" w14:textId="77777777" w:rsidR="00E049CB" w:rsidRPr="005E6B7C" w:rsidRDefault="00E049CB" w:rsidP="008C0D47">
            <w:pPr>
              <w:tabs>
                <w:tab w:val="left" w:pos="270"/>
                <w:tab w:val="left" w:pos="360"/>
              </w:tabs>
              <w:suppressAutoHyphens w:val="0"/>
              <w:autoSpaceDE w:val="0"/>
              <w:autoSpaceDN w:val="0"/>
              <w:adjustRightInd w:val="0"/>
              <w:jc w:val="center"/>
              <w:rPr>
                <w:rFonts w:asciiTheme="majorHAnsi" w:eastAsia="Batang" w:hAnsiTheme="majorHAnsi" w:cstheme="majorHAnsi"/>
                <w:color w:val="000000" w:themeColor="text1"/>
                <w:sz w:val="20"/>
                <w:szCs w:val="20"/>
                <w:lang w:eastAsia="ja-JP"/>
              </w:rPr>
            </w:pPr>
          </w:p>
        </w:tc>
        <w:tc>
          <w:tcPr>
            <w:tcW w:w="1080" w:type="dxa"/>
            <w:hideMark/>
          </w:tcPr>
          <w:p w14:paraId="55C995DC" w14:textId="77777777" w:rsidR="00E049CB" w:rsidRPr="005E6B7C" w:rsidRDefault="00E049CB" w:rsidP="008C0D47">
            <w:pPr>
              <w:tabs>
                <w:tab w:val="left" w:pos="270"/>
                <w:tab w:val="left" w:pos="360"/>
              </w:tabs>
              <w:suppressAutoHyphens w:val="0"/>
              <w:autoSpaceDE w:val="0"/>
              <w:autoSpaceDN w:val="0"/>
              <w:snapToGrid w:val="0"/>
              <w:jc w:val="center"/>
              <w:rPr>
                <w:rFonts w:asciiTheme="majorHAnsi" w:eastAsia="Batang" w:hAnsiTheme="majorHAnsi" w:cstheme="majorHAnsi"/>
                <w:color w:val="000000" w:themeColor="text1"/>
                <w:kern w:val="2"/>
                <w:sz w:val="20"/>
                <w:szCs w:val="20"/>
                <w:lang w:eastAsia="ja-JP"/>
              </w:rPr>
            </w:pPr>
            <w:r w:rsidRPr="005E6B7C">
              <w:rPr>
                <w:rFonts w:asciiTheme="majorHAnsi" w:eastAsia="Batang" w:hAnsiTheme="majorHAnsi" w:cstheme="majorHAnsi"/>
                <w:i/>
                <w:color w:val="000000" w:themeColor="text1"/>
                <w:kern w:val="2"/>
                <w:sz w:val="20"/>
                <w:szCs w:val="20"/>
                <w:lang w:eastAsia="ja-JP"/>
              </w:rPr>
              <w:t>δ</w:t>
            </w:r>
            <w:r w:rsidRPr="005E6B7C">
              <w:rPr>
                <w:rFonts w:asciiTheme="majorHAnsi" w:eastAsia="Batang" w:hAnsiTheme="majorHAnsi" w:cstheme="majorHAnsi"/>
                <w:color w:val="000000" w:themeColor="text1"/>
                <w:kern w:val="2"/>
                <w:sz w:val="20"/>
                <w:szCs w:val="20"/>
                <w:vertAlign w:val="subscript"/>
                <w:lang w:eastAsia="ja-JP"/>
              </w:rPr>
              <w:t>C</w:t>
            </w:r>
            <w:r w:rsidRPr="005E6B7C">
              <w:rPr>
                <w:rFonts w:asciiTheme="majorHAnsi" w:eastAsia="Batang" w:hAnsiTheme="majorHAnsi" w:cstheme="majorHAnsi"/>
                <w:color w:val="000000" w:themeColor="text1"/>
                <w:kern w:val="2"/>
                <w:sz w:val="20"/>
                <w:szCs w:val="20"/>
                <w:vertAlign w:val="superscript"/>
                <w:lang w:eastAsia="ja-JP"/>
              </w:rPr>
              <w:t>a,b</w:t>
            </w:r>
          </w:p>
        </w:tc>
        <w:tc>
          <w:tcPr>
            <w:tcW w:w="6908" w:type="dxa"/>
            <w:vAlign w:val="center"/>
            <w:hideMark/>
          </w:tcPr>
          <w:p w14:paraId="3186F23D" w14:textId="77777777" w:rsidR="00E049CB" w:rsidRPr="005E6B7C" w:rsidRDefault="00E049CB" w:rsidP="008C0D47">
            <w:pPr>
              <w:tabs>
                <w:tab w:val="left" w:pos="270"/>
                <w:tab w:val="left" w:pos="360"/>
              </w:tabs>
              <w:suppressAutoHyphens w:val="0"/>
              <w:autoSpaceDE w:val="0"/>
              <w:autoSpaceDN w:val="0"/>
              <w:snapToGrid w:val="0"/>
              <w:jc w:val="center"/>
              <w:rPr>
                <w:rFonts w:asciiTheme="majorHAnsi" w:eastAsia="Batang" w:hAnsiTheme="majorHAnsi" w:cstheme="majorHAnsi"/>
                <w:color w:val="000000" w:themeColor="text1"/>
                <w:kern w:val="2"/>
                <w:sz w:val="20"/>
                <w:szCs w:val="20"/>
                <w:lang w:eastAsia="ja-JP"/>
              </w:rPr>
            </w:pPr>
            <w:r w:rsidRPr="005E6B7C">
              <w:rPr>
                <w:rFonts w:asciiTheme="majorHAnsi" w:eastAsia="Batang" w:hAnsiTheme="majorHAnsi" w:cstheme="majorHAnsi"/>
                <w:i/>
                <w:color w:val="000000" w:themeColor="text1"/>
                <w:kern w:val="2"/>
                <w:sz w:val="20"/>
                <w:szCs w:val="20"/>
                <w:lang w:eastAsia="ja-JP"/>
              </w:rPr>
              <w:t>δ</w:t>
            </w:r>
            <w:r w:rsidRPr="005E6B7C">
              <w:rPr>
                <w:rFonts w:asciiTheme="majorHAnsi" w:eastAsia="Batang" w:hAnsiTheme="majorHAnsi" w:cstheme="majorHAnsi"/>
                <w:color w:val="000000" w:themeColor="text1"/>
                <w:kern w:val="2"/>
                <w:sz w:val="20"/>
                <w:szCs w:val="20"/>
                <w:vertAlign w:val="subscript"/>
                <w:lang w:eastAsia="ja-JP"/>
              </w:rPr>
              <w:t>H</w:t>
            </w:r>
            <w:r w:rsidRPr="005E6B7C">
              <w:rPr>
                <w:rFonts w:asciiTheme="majorHAnsi" w:eastAsia="Batang" w:hAnsiTheme="majorHAnsi" w:cstheme="majorHAnsi"/>
                <w:color w:val="000000" w:themeColor="text1"/>
                <w:kern w:val="2"/>
                <w:sz w:val="20"/>
                <w:szCs w:val="20"/>
                <w:vertAlign w:val="superscript"/>
                <w:lang w:eastAsia="ja-JP"/>
              </w:rPr>
              <w:t xml:space="preserve">a,c </w:t>
            </w:r>
            <w:r w:rsidRPr="005E6B7C">
              <w:rPr>
                <w:rFonts w:asciiTheme="majorHAnsi" w:eastAsia="Batang" w:hAnsiTheme="majorHAnsi" w:cstheme="majorHAnsi"/>
                <w:color w:val="000000" w:themeColor="text1"/>
                <w:kern w:val="2"/>
                <w:sz w:val="20"/>
                <w:szCs w:val="20"/>
                <w:lang w:eastAsia="ja-JP"/>
              </w:rPr>
              <w:t>mult. (</w:t>
            </w:r>
            <w:r w:rsidRPr="005E6B7C">
              <w:rPr>
                <w:rFonts w:asciiTheme="majorHAnsi" w:eastAsia="Batang" w:hAnsiTheme="majorHAnsi" w:cstheme="majorHAnsi"/>
                <w:i/>
                <w:color w:val="000000" w:themeColor="text1"/>
                <w:kern w:val="2"/>
                <w:sz w:val="20"/>
                <w:szCs w:val="20"/>
                <w:lang w:eastAsia="ja-JP"/>
              </w:rPr>
              <w:t>J</w:t>
            </w:r>
            <w:r w:rsidRPr="005E6B7C">
              <w:rPr>
                <w:rFonts w:asciiTheme="majorHAnsi" w:eastAsia="Batang" w:hAnsiTheme="majorHAnsi" w:cstheme="majorHAnsi"/>
                <w:color w:val="000000" w:themeColor="text1"/>
                <w:kern w:val="2"/>
                <w:sz w:val="20"/>
                <w:szCs w:val="20"/>
                <w:lang w:eastAsia="ja-JP"/>
              </w:rPr>
              <w:t xml:space="preserve"> in Hz)</w:t>
            </w:r>
          </w:p>
        </w:tc>
      </w:tr>
      <w:tr w:rsidR="00E049CB" w:rsidRPr="005E6B7C" w14:paraId="4CFCEC35" w14:textId="77777777" w:rsidTr="00EB175E">
        <w:trPr>
          <w:jc w:val="center"/>
        </w:trPr>
        <w:tc>
          <w:tcPr>
            <w:tcW w:w="1192" w:type="dxa"/>
          </w:tcPr>
          <w:p w14:paraId="449339BF"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w:t>
            </w:r>
          </w:p>
        </w:tc>
        <w:tc>
          <w:tcPr>
            <w:tcW w:w="1080" w:type="dxa"/>
          </w:tcPr>
          <w:p w14:paraId="5F1B1FFD"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163.0</w:t>
            </w:r>
          </w:p>
        </w:tc>
        <w:tc>
          <w:tcPr>
            <w:tcW w:w="1080" w:type="dxa"/>
          </w:tcPr>
          <w:p w14:paraId="2EA71151"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166.0</w:t>
            </w:r>
          </w:p>
        </w:tc>
        <w:tc>
          <w:tcPr>
            <w:tcW w:w="6908" w:type="dxa"/>
          </w:tcPr>
          <w:p w14:paraId="5A501330"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305B3977" w14:textId="77777777" w:rsidTr="00EB175E">
        <w:trPr>
          <w:jc w:val="center"/>
        </w:trPr>
        <w:tc>
          <w:tcPr>
            <w:tcW w:w="1192" w:type="dxa"/>
          </w:tcPr>
          <w:p w14:paraId="1DFE89F1"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2</w:t>
            </w:r>
          </w:p>
        </w:tc>
        <w:tc>
          <w:tcPr>
            <w:tcW w:w="1080" w:type="dxa"/>
          </w:tcPr>
          <w:p w14:paraId="48FEB07A"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79.2</w:t>
            </w:r>
          </w:p>
        </w:tc>
        <w:tc>
          <w:tcPr>
            <w:tcW w:w="1080" w:type="dxa"/>
          </w:tcPr>
          <w:p w14:paraId="6DC50E8F"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79.9</w:t>
            </w:r>
          </w:p>
        </w:tc>
        <w:tc>
          <w:tcPr>
            <w:tcW w:w="6908" w:type="dxa"/>
          </w:tcPr>
          <w:p w14:paraId="3BCC86C6"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5.31 d (1.2)</w:t>
            </w:r>
          </w:p>
        </w:tc>
      </w:tr>
      <w:tr w:rsidR="00E049CB" w:rsidRPr="005E6B7C" w14:paraId="4F116B46" w14:textId="77777777" w:rsidTr="00EB175E">
        <w:trPr>
          <w:jc w:val="center"/>
        </w:trPr>
        <w:tc>
          <w:tcPr>
            <w:tcW w:w="1192" w:type="dxa"/>
          </w:tcPr>
          <w:p w14:paraId="36B85469"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w:t>
            </w:r>
          </w:p>
        </w:tc>
        <w:tc>
          <w:tcPr>
            <w:tcW w:w="1080" w:type="dxa"/>
          </w:tcPr>
          <w:p w14:paraId="588B133D"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35.3</w:t>
            </w:r>
          </w:p>
        </w:tc>
        <w:tc>
          <w:tcPr>
            <w:tcW w:w="1080" w:type="dxa"/>
          </w:tcPr>
          <w:p w14:paraId="6A6DF5DB"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35.5</w:t>
            </w:r>
          </w:p>
        </w:tc>
        <w:tc>
          <w:tcPr>
            <w:tcW w:w="6908" w:type="dxa"/>
          </w:tcPr>
          <w:p w14:paraId="177DC594"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5.38 br s</w:t>
            </w:r>
          </w:p>
        </w:tc>
      </w:tr>
      <w:tr w:rsidR="00E049CB" w:rsidRPr="005E6B7C" w14:paraId="7765F21A" w14:textId="77777777" w:rsidTr="00EB175E">
        <w:trPr>
          <w:jc w:val="center"/>
        </w:trPr>
        <w:tc>
          <w:tcPr>
            <w:tcW w:w="1192" w:type="dxa"/>
          </w:tcPr>
          <w:p w14:paraId="6A4D3238"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3a</w:t>
            </w:r>
          </w:p>
        </w:tc>
        <w:tc>
          <w:tcPr>
            <w:tcW w:w="1080" w:type="dxa"/>
          </w:tcPr>
          <w:p w14:paraId="2E8C8DB9"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116.1</w:t>
            </w:r>
          </w:p>
        </w:tc>
        <w:tc>
          <w:tcPr>
            <w:tcW w:w="1080" w:type="dxa"/>
          </w:tcPr>
          <w:p w14:paraId="6125C3F4"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116.2</w:t>
            </w:r>
          </w:p>
        </w:tc>
        <w:tc>
          <w:tcPr>
            <w:tcW w:w="6908" w:type="dxa"/>
          </w:tcPr>
          <w:p w14:paraId="00DB4801"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w:t>
            </w:r>
          </w:p>
        </w:tc>
      </w:tr>
      <w:tr w:rsidR="00E049CB" w:rsidRPr="005E6B7C" w14:paraId="3F4CF563" w14:textId="77777777" w:rsidTr="00EB175E">
        <w:trPr>
          <w:jc w:val="center"/>
        </w:trPr>
        <w:tc>
          <w:tcPr>
            <w:tcW w:w="1192" w:type="dxa"/>
          </w:tcPr>
          <w:p w14:paraId="1D05C1F0"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4</w:t>
            </w:r>
          </w:p>
        </w:tc>
        <w:tc>
          <w:tcPr>
            <w:tcW w:w="1080" w:type="dxa"/>
          </w:tcPr>
          <w:p w14:paraId="00EDE830"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145.0</w:t>
            </w:r>
          </w:p>
        </w:tc>
        <w:tc>
          <w:tcPr>
            <w:tcW w:w="1080" w:type="dxa"/>
          </w:tcPr>
          <w:p w14:paraId="41F11E4D"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144.1</w:t>
            </w:r>
          </w:p>
        </w:tc>
        <w:tc>
          <w:tcPr>
            <w:tcW w:w="6908" w:type="dxa"/>
          </w:tcPr>
          <w:p w14:paraId="5A2457E6"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36C25748" w14:textId="77777777" w:rsidTr="00EB175E">
        <w:trPr>
          <w:jc w:val="center"/>
        </w:trPr>
        <w:tc>
          <w:tcPr>
            <w:tcW w:w="1192" w:type="dxa"/>
          </w:tcPr>
          <w:p w14:paraId="066EA0D9"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w:t>
            </w:r>
          </w:p>
        </w:tc>
        <w:tc>
          <w:tcPr>
            <w:tcW w:w="1080" w:type="dxa"/>
          </w:tcPr>
          <w:p w14:paraId="5D1D5C0E"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141.2</w:t>
            </w:r>
          </w:p>
        </w:tc>
        <w:tc>
          <w:tcPr>
            <w:tcW w:w="1080" w:type="dxa"/>
          </w:tcPr>
          <w:p w14:paraId="4A6159E8"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140.4</w:t>
            </w:r>
          </w:p>
        </w:tc>
        <w:tc>
          <w:tcPr>
            <w:tcW w:w="6908" w:type="dxa"/>
          </w:tcPr>
          <w:p w14:paraId="13C2E470"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w:t>
            </w:r>
          </w:p>
        </w:tc>
      </w:tr>
      <w:tr w:rsidR="00E049CB" w:rsidRPr="005E6B7C" w14:paraId="469DD826" w14:textId="77777777" w:rsidTr="00EB175E">
        <w:trPr>
          <w:jc w:val="center"/>
        </w:trPr>
        <w:tc>
          <w:tcPr>
            <w:tcW w:w="1192" w:type="dxa"/>
          </w:tcPr>
          <w:p w14:paraId="589B40A4"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lastRenderedPageBreak/>
              <w:t>6</w:t>
            </w:r>
          </w:p>
        </w:tc>
        <w:tc>
          <w:tcPr>
            <w:tcW w:w="1080" w:type="dxa"/>
          </w:tcPr>
          <w:p w14:paraId="570BCB76"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147.4</w:t>
            </w:r>
          </w:p>
        </w:tc>
        <w:tc>
          <w:tcPr>
            <w:tcW w:w="1080" w:type="dxa"/>
          </w:tcPr>
          <w:p w14:paraId="7A895FAE"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146.7</w:t>
            </w:r>
          </w:p>
        </w:tc>
        <w:tc>
          <w:tcPr>
            <w:tcW w:w="6908" w:type="dxa"/>
          </w:tcPr>
          <w:p w14:paraId="0328930C"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74BCC5B5" w14:textId="77777777" w:rsidTr="00EB175E">
        <w:trPr>
          <w:jc w:val="center"/>
        </w:trPr>
        <w:tc>
          <w:tcPr>
            <w:tcW w:w="1192" w:type="dxa"/>
          </w:tcPr>
          <w:p w14:paraId="307A0AC4"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7</w:t>
            </w:r>
          </w:p>
        </w:tc>
        <w:tc>
          <w:tcPr>
            <w:tcW w:w="1080" w:type="dxa"/>
          </w:tcPr>
          <w:p w14:paraId="54FBCD54"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108.6</w:t>
            </w:r>
          </w:p>
        </w:tc>
        <w:tc>
          <w:tcPr>
            <w:tcW w:w="1080" w:type="dxa"/>
          </w:tcPr>
          <w:p w14:paraId="5B00FE55"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108.7</w:t>
            </w:r>
          </w:p>
        </w:tc>
        <w:tc>
          <w:tcPr>
            <w:tcW w:w="6908" w:type="dxa"/>
          </w:tcPr>
          <w:p w14:paraId="5029F585"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7.08 s</w:t>
            </w:r>
          </w:p>
        </w:tc>
      </w:tr>
      <w:tr w:rsidR="00E049CB" w:rsidRPr="005E6B7C" w14:paraId="72AB8956" w14:textId="77777777" w:rsidTr="00EB175E">
        <w:trPr>
          <w:jc w:val="center"/>
        </w:trPr>
        <w:tc>
          <w:tcPr>
            <w:tcW w:w="1192" w:type="dxa"/>
          </w:tcPr>
          <w:p w14:paraId="08F99B28"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7a</w:t>
            </w:r>
          </w:p>
        </w:tc>
        <w:tc>
          <w:tcPr>
            <w:tcW w:w="1080" w:type="dxa"/>
          </w:tcPr>
          <w:p w14:paraId="6AC1FE4F"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117.5</w:t>
            </w:r>
          </w:p>
        </w:tc>
        <w:tc>
          <w:tcPr>
            <w:tcW w:w="1080" w:type="dxa"/>
          </w:tcPr>
          <w:p w14:paraId="2F46000E"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117.7</w:t>
            </w:r>
          </w:p>
        </w:tc>
        <w:tc>
          <w:tcPr>
            <w:tcW w:w="6908" w:type="dxa"/>
          </w:tcPr>
          <w:p w14:paraId="2B7CED62"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w:t>
            </w:r>
          </w:p>
        </w:tc>
      </w:tr>
      <w:tr w:rsidR="00E049CB" w:rsidRPr="005E6B7C" w14:paraId="70D51629" w14:textId="77777777" w:rsidTr="00EB175E">
        <w:trPr>
          <w:jc w:val="center"/>
        </w:trPr>
        <w:tc>
          <w:tcPr>
            <w:tcW w:w="1192" w:type="dxa"/>
          </w:tcPr>
          <w:p w14:paraId="39C0A60C"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8</w:t>
            </w:r>
          </w:p>
        </w:tc>
        <w:tc>
          <w:tcPr>
            <w:tcW w:w="1080" w:type="dxa"/>
          </w:tcPr>
          <w:p w14:paraId="2EAEF34D"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170.5</w:t>
            </w:r>
          </w:p>
        </w:tc>
        <w:tc>
          <w:tcPr>
            <w:tcW w:w="1080" w:type="dxa"/>
          </w:tcPr>
          <w:p w14:paraId="08B89BC1"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171.1</w:t>
            </w:r>
          </w:p>
        </w:tc>
        <w:tc>
          <w:tcPr>
            <w:tcW w:w="6908" w:type="dxa"/>
          </w:tcPr>
          <w:p w14:paraId="2D3BF93B"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59C9EB20" w14:textId="77777777" w:rsidTr="00EB175E">
        <w:trPr>
          <w:jc w:val="center"/>
        </w:trPr>
        <w:tc>
          <w:tcPr>
            <w:tcW w:w="1192" w:type="dxa"/>
          </w:tcPr>
          <w:p w14:paraId="39C018E8"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1'</w:t>
            </w:r>
          </w:p>
        </w:tc>
        <w:tc>
          <w:tcPr>
            <w:tcW w:w="1080" w:type="dxa"/>
          </w:tcPr>
          <w:p w14:paraId="1988596B"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166.7</w:t>
            </w:r>
          </w:p>
        </w:tc>
        <w:tc>
          <w:tcPr>
            <w:tcW w:w="1080" w:type="dxa"/>
          </w:tcPr>
          <w:p w14:paraId="1EDB2F3F"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167.6</w:t>
            </w:r>
          </w:p>
        </w:tc>
        <w:tc>
          <w:tcPr>
            <w:tcW w:w="6908" w:type="dxa"/>
          </w:tcPr>
          <w:p w14:paraId="59B04167"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673474E5" w14:textId="77777777" w:rsidTr="00EB175E">
        <w:trPr>
          <w:jc w:val="center"/>
        </w:trPr>
        <w:tc>
          <w:tcPr>
            <w:tcW w:w="1192" w:type="dxa"/>
          </w:tcPr>
          <w:p w14:paraId="324E1B3E"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2'</w:t>
            </w:r>
          </w:p>
        </w:tc>
        <w:tc>
          <w:tcPr>
            <w:tcW w:w="1080" w:type="dxa"/>
          </w:tcPr>
          <w:p w14:paraId="7977F396"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142.8</w:t>
            </w:r>
          </w:p>
        </w:tc>
        <w:tc>
          <w:tcPr>
            <w:tcW w:w="1080" w:type="dxa"/>
          </w:tcPr>
          <w:p w14:paraId="09C8A813"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142.9</w:t>
            </w:r>
          </w:p>
        </w:tc>
        <w:tc>
          <w:tcPr>
            <w:tcW w:w="6908" w:type="dxa"/>
          </w:tcPr>
          <w:p w14:paraId="71E487A3"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w:t>
            </w:r>
          </w:p>
        </w:tc>
      </w:tr>
      <w:tr w:rsidR="00E049CB" w:rsidRPr="005E6B7C" w14:paraId="2A51BB77" w14:textId="77777777" w:rsidTr="00EB175E">
        <w:trPr>
          <w:jc w:val="center"/>
        </w:trPr>
        <w:tc>
          <w:tcPr>
            <w:tcW w:w="1192" w:type="dxa"/>
          </w:tcPr>
          <w:p w14:paraId="6275589F"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3'</w:t>
            </w:r>
          </w:p>
        </w:tc>
        <w:tc>
          <w:tcPr>
            <w:tcW w:w="1080" w:type="dxa"/>
          </w:tcPr>
          <w:p w14:paraId="4AD5A706"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129.6</w:t>
            </w:r>
          </w:p>
        </w:tc>
        <w:tc>
          <w:tcPr>
            <w:tcW w:w="1080" w:type="dxa"/>
          </w:tcPr>
          <w:p w14:paraId="0175742A"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130.2</w:t>
            </w:r>
          </w:p>
        </w:tc>
        <w:tc>
          <w:tcPr>
            <w:tcW w:w="6908" w:type="dxa"/>
          </w:tcPr>
          <w:p w14:paraId="11F620B7"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6.83 s</w:t>
            </w:r>
          </w:p>
        </w:tc>
      </w:tr>
      <w:tr w:rsidR="00E049CB" w:rsidRPr="005E6B7C" w14:paraId="43020B93" w14:textId="77777777" w:rsidTr="00EB175E">
        <w:trPr>
          <w:jc w:val="center"/>
        </w:trPr>
        <w:tc>
          <w:tcPr>
            <w:tcW w:w="1192" w:type="dxa"/>
          </w:tcPr>
          <w:p w14:paraId="1C917EF0" w14:textId="77777777" w:rsidR="00E049CB" w:rsidRPr="005E6B7C" w:rsidRDefault="00E049CB" w:rsidP="008C0D47">
            <w:pPr>
              <w:tabs>
                <w:tab w:val="left" w:pos="165"/>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4'</w:t>
            </w:r>
          </w:p>
        </w:tc>
        <w:tc>
          <w:tcPr>
            <w:tcW w:w="1080" w:type="dxa"/>
          </w:tcPr>
          <w:p w14:paraId="14BF8FF3"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165.7</w:t>
            </w:r>
          </w:p>
        </w:tc>
        <w:tc>
          <w:tcPr>
            <w:tcW w:w="1080" w:type="dxa"/>
          </w:tcPr>
          <w:p w14:paraId="14021570"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166.9</w:t>
            </w:r>
          </w:p>
        </w:tc>
        <w:tc>
          <w:tcPr>
            <w:tcW w:w="6908" w:type="dxa"/>
          </w:tcPr>
          <w:p w14:paraId="2EFD35B4"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val="vi-VN" w:eastAsia="ja-JP"/>
              </w:rPr>
              <w:t>-</w:t>
            </w:r>
          </w:p>
        </w:tc>
      </w:tr>
      <w:tr w:rsidR="00E049CB" w:rsidRPr="005E6B7C" w14:paraId="3FC3DBFB" w14:textId="77777777" w:rsidTr="00EB175E">
        <w:trPr>
          <w:jc w:val="center"/>
        </w:trPr>
        <w:tc>
          <w:tcPr>
            <w:tcW w:w="1192" w:type="dxa"/>
          </w:tcPr>
          <w:p w14:paraId="4082EC0B" w14:textId="77777777" w:rsidR="00E049CB" w:rsidRPr="005E6B7C" w:rsidRDefault="00E049CB" w:rsidP="008C0D47">
            <w:pPr>
              <w:tabs>
                <w:tab w:val="left" w:pos="165"/>
              </w:tabs>
              <w:suppressAutoHyphens w:val="0"/>
              <w:jc w:val="center"/>
              <w:rPr>
                <w:rFonts w:asciiTheme="majorHAnsi" w:eastAsia="Calibri" w:hAnsiTheme="majorHAnsi" w:cstheme="majorHAnsi"/>
                <w:color w:val="000000" w:themeColor="text1"/>
                <w:sz w:val="20"/>
                <w:szCs w:val="20"/>
                <w:vertAlign w:val="subscript"/>
                <w:lang w:eastAsia="ja-JP"/>
              </w:rPr>
            </w:pPr>
            <w:r w:rsidRPr="005E6B7C">
              <w:rPr>
                <w:rFonts w:asciiTheme="majorHAnsi" w:eastAsia="Calibri" w:hAnsiTheme="majorHAnsi" w:cstheme="majorHAnsi"/>
                <w:color w:val="000000" w:themeColor="text1"/>
                <w:sz w:val="20"/>
                <w:szCs w:val="20"/>
                <w:lang w:eastAsia="ja-JP"/>
              </w:rPr>
              <w:t>8-OCH</w:t>
            </w:r>
            <w:r w:rsidRPr="005E6B7C">
              <w:rPr>
                <w:rFonts w:asciiTheme="majorHAnsi" w:eastAsia="Calibri" w:hAnsiTheme="majorHAnsi" w:cstheme="majorHAnsi"/>
                <w:color w:val="000000" w:themeColor="text1"/>
                <w:sz w:val="20"/>
                <w:szCs w:val="20"/>
                <w:vertAlign w:val="subscript"/>
                <w:lang w:eastAsia="ja-JP"/>
              </w:rPr>
              <w:t>3</w:t>
            </w:r>
          </w:p>
        </w:tc>
        <w:tc>
          <w:tcPr>
            <w:tcW w:w="1080" w:type="dxa"/>
          </w:tcPr>
          <w:p w14:paraId="79A637DC"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52.2</w:t>
            </w:r>
          </w:p>
        </w:tc>
        <w:tc>
          <w:tcPr>
            <w:tcW w:w="1080" w:type="dxa"/>
          </w:tcPr>
          <w:p w14:paraId="78B9F944"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val="vi-VN" w:eastAsia="ja-JP"/>
              </w:rPr>
            </w:pPr>
            <w:r w:rsidRPr="005E6B7C">
              <w:rPr>
                <w:rFonts w:asciiTheme="majorHAnsi" w:eastAsia="Yu Mincho" w:hAnsiTheme="majorHAnsi" w:cstheme="majorHAnsi"/>
                <w:noProof/>
                <w:color w:val="000000" w:themeColor="text1"/>
                <w:sz w:val="20"/>
                <w:szCs w:val="20"/>
                <w:lang w:eastAsia="ja-JP"/>
              </w:rPr>
              <w:t>53.5</w:t>
            </w:r>
          </w:p>
        </w:tc>
        <w:tc>
          <w:tcPr>
            <w:tcW w:w="6908" w:type="dxa"/>
          </w:tcPr>
          <w:p w14:paraId="119C99C5"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3.70 s</w:t>
            </w:r>
          </w:p>
        </w:tc>
      </w:tr>
      <w:tr w:rsidR="00E049CB" w:rsidRPr="005E6B7C" w14:paraId="21B865CA" w14:textId="77777777" w:rsidTr="00EB175E">
        <w:trPr>
          <w:jc w:val="center"/>
        </w:trPr>
        <w:tc>
          <w:tcPr>
            <w:tcW w:w="1192" w:type="dxa"/>
            <w:tcBorders>
              <w:bottom w:val="dotted" w:sz="4" w:space="0" w:color="auto"/>
            </w:tcBorders>
          </w:tcPr>
          <w:p w14:paraId="57DAF59D" w14:textId="77777777" w:rsidR="00E049CB" w:rsidRPr="005E6B7C" w:rsidRDefault="00E049CB" w:rsidP="008C0D47">
            <w:pPr>
              <w:tabs>
                <w:tab w:val="left" w:pos="165"/>
              </w:tabs>
              <w:suppressAutoHyphens w:val="0"/>
              <w:jc w:val="center"/>
              <w:rPr>
                <w:rFonts w:asciiTheme="majorHAnsi" w:eastAsia="Calibri" w:hAnsiTheme="majorHAnsi" w:cstheme="majorHAnsi"/>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val="vi-VN" w:eastAsia="ja-JP"/>
              </w:rPr>
              <w:t>1'</w:t>
            </w:r>
            <w:r w:rsidRPr="005E6B7C">
              <w:rPr>
                <w:rFonts w:asciiTheme="majorHAnsi" w:eastAsia="Yu Mincho" w:hAnsiTheme="majorHAnsi" w:cstheme="majorHAnsi"/>
                <w:noProof/>
                <w:color w:val="000000" w:themeColor="text1"/>
                <w:sz w:val="20"/>
                <w:szCs w:val="20"/>
                <w:lang w:eastAsia="ja-JP"/>
              </w:rPr>
              <w:t>-</w:t>
            </w:r>
            <w:r w:rsidRPr="005E6B7C">
              <w:rPr>
                <w:rFonts w:asciiTheme="majorHAnsi" w:eastAsia="Calibri" w:hAnsiTheme="majorHAnsi" w:cstheme="majorHAnsi"/>
                <w:color w:val="000000" w:themeColor="text1"/>
                <w:sz w:val="20"/>
                <w:szCs w:val="20"/>
                <w:lang w:eastAsia="ja-JP"/>
              </w:rPr>
              <w:t>OCH</w:t>
            </w:r>
            <w:r w:rsidRPr="005E6B7C">
              <w:rPr>
                <w:rFonts w:asciiTheme="majorHAnsi" w:eastAsia="Calibri" w:hAnsiTheme="majorHAnsi" w:cstheme="majorHAnsi"/>
                <w:color w:val="000000" w:themeColor="text1"/>
                <w:sz w:val="20"/>
                <w:szCs w:val="20"/>
                <w:vertAlign w:val="subscript"/>
                <w:lang w:eastAsia="ja-JP"/>
              </w:rPr>
              <w:t>3</w:t>
            </w:r>
          </w:p>
        </w:tc>
        <w:tc>
          <w:tcPr>
            <w:tcW w:w="1080" w:type="dxa"/>
            <w:tcBorders>
              <w:bottom w:val="dotted" w:sz="4" w:space="0" w:color="auto"/>
            </w:tcBorders>
          </w:tcPr>
          <w:p w14:paraId="060D622E"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52.7</w:t>
            </w:r>
          </w:p>
        </w:tc>
        <w:tc>
          <w:tcPr>
            <w:tcW w:w="1080" w:type="dxa"/>
            <w:tcBorders>
              <w:bottom w:val="dotted" w:sz="4" w:space="0" w:color="auto"/>
            </w:tcBorders>
          </w:tcPr>
          <w:p w14:paraId="4A7C1F87"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53.0</w:t>
            </w:r>
          </w:p>
        </w:tc>
        <w:tc>
          <w:tcPr>
            <w:tcW w:w="6908" w:type="dxa"/>
            <w:tcBorders>
              <w:bottom w:val="dotted" w:sz="4" w:space="0" w:color="auto"/>
            </w:tcBorders>
          </w:tcPr>
          <w:p w14:paraId="16D26D50"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3.65 s</w:t>
            </w:r>
          </w:p>
        </w:tc>
      </w:tr>
      <w:tr w:rsidR="00E049CB" w:rsidRPr="005E6B7C" w14:paraId="0F5DE97E" w14:textId="77777777" w:rsidTr="00EB175E">
        <w:trPr>
          <w:jc w:val="center"/>
        </w:trPr>
        <w:tc>
          <w:tcPr>
            <w:tcW w:w="1192" w:type="dxa"/>
            <w:tcBorders>
              <w:bottom w:val="dotted" w:sz="4" w:space="0" w:color="auto"/>
            </w:tcBorders>
          </w:tcPr>
          <w:p w14:paraId="3A25B40D" w14:textId="77777777" w:rsidR="00E049CB" w:rsidRPr="005E6B7C" w:rsidRDefault="00E049CB" w:rsidP="008C0D47">
            <w:pPr>
              <w:tabs>
                <w:tab w:val="left" w:pos="165"/>
              </w:tabs>
              <w:suppressAutoHyphens w:val="0"/>
              <w:jc w:val="center"/>
              <w:rPr>
                <w:rFonts w:asciiTheme="majorHAnsi" w:eastAsia="Calibri" w:hAnsiTheme="majorHAnsi" w:cstheme="majorHAnsi"/>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4</w:t>
            </w:r>
            <w:r w:rsidRPr="005E6B7C">
              <w:rPr>
                <w:rFonts w:asciiTheme="majorHAnsi" w:eastAsia="Yu Mincho" w:hAnsiTheme="majorHAnsi" w:cstheme="majorHAnsi"/>
                <w:noProof/>
                <w:color w:val="000000" w:themeColor="text1"/>
                <w:sz w:val="20"/>
                <w:szCs w:val="20"/>
                <w:lang w:val="vi-VN" w:eastAsia="ja-JP"/>
              </w:rPr>
              <w:t>'</w:t>
            </w:r>
            <w:r w:rsidRPr="005E6B7C">
              <w:rPr>
                <w:rFonts w:asciiTheme="majorHAnsi" w:eastAsia="Yu Mincho" w:hAnsiTheme="majorHAnsi" w:cstheme="majorHAnsi"/>
                <w:noProof/>
                <w:color w:val="000000" w:themeColor="text1"/>
                <w:sz w:val="20"/>
                <w:szCs w:val="20"/>
                <w:lang w:eastAsia="ja-JP"/>
              </w:rPr>
              <w:t>-</w:t>
            </w:r>
            <w:r w:rsidRPr="005E6B7C">
              <w:rPr>
                <w:rFonts w:asciiTheme="majorHAnsi" w:eastAsia="Calibri" w:hAnsiTheme="majorHAnsi" w:cstheme="majorHAnsi"/>
                <w:color w:val="000000" w:themeColor="text1"/>
                <w:sz w:val="20"/>
                <w:szCs w:val="20"/>
                <w:lang w:eastAsia="ja-JP"/>
              </w:rPr>
              <w:t>OCH</w:t>
            </w:r>
            <w:r w:rsidRPr="005E6B7C">
              <w:rPr>
                <w:rFonts w:asciiTheme="majorHAnsi" w:eastAsia="Calibri" w:hAnsiTheme="majorHAnsi" w:cstheme="majorHAnsi"/>
                <w:color w:val="000000" w:themeColor="text1"/>
                <w:sz w:val="20"/>
                <w:szCs w:val="20"/>
                <w:vertAlign w:val="subscript"/>
                <w:lang w:eastAsia="ja-JP"/>
              </w:rPr>
              <w:t>3</w:t>
            </w:r>
          </w:p>
        </w:tc>
        <w:tc>
          <w:tcPr>
            <w:tcW w:w="1080" w:type="dxa"/>
            <w:tcBorders>
              <w:bottom w:val="dotted" w:sz="4" w:space="0" w:color="auto"/>
            </w:tcBorders>
          </w:tcPr>
          <w:p w14:paraId="53791D01"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51.9</w:t>
            </w:r>
          </w:p>
        </w:tc>
        <w:tc>
          <w:tcPr>
            <w:tcW w:w="1080" w:type="dxa"/>
            <w:tcBorders>
              <w:bottom w:val="dotted" w:sz="4" w:space="0" w:color="auto"/>
            </w:tcBorders>
          </w:tcPr>
          <w:p w14:paraId="685A97BC"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52.6</w:t>
            </w:r>
          </w:p>
        </w:tc>
        <w:tc>
          <w:tcPr>
            <w:tcW w:w="6908" w:type="dxa"/>
            <w:tcBorders>
              <w:bottom w:val="dotted" w:sz="4" w:space="0" w:color="auto"/>
            </w:tcBorders>
          </w:tcPr>
          <w:p w14:paraId="767C0878" w14:textId="77777777" w:rsidR="00E049CB" w:rsidRPr="005E6B7C" w:rsidRDefault="00E049CB" w:rsidP="008C0D47">
            <w:pPr>
              <w:tabs>
                <w:tab w:val="left" w:pos="270"/>
                <w:tab w:val="left" w:pos="360"/>
              </w:tabs>
              <w:suppressAutoHyphens w:val="0"/>
              <w:jc w:val="center"/>
              <w:rPr>
                <w:rFonts w:asciiTheme="majorHAnsi" w:eastAsia="Yu Mincho" w:hAnsiTheme="majorHAnsi" w:cstheme="majorHAnsi"/>
                <w:noProof/>
                <w:color w:val="000000" w:themeColor="text1"/>
                <w:sz w:val="20"/>
                <w:szCs w:val="20"/>
                <w:lang w:eastAsia="ja-JP"/>
              </w:rPr>
            </w:pPr>
            <w:r w:rsidRPr="005E6B7C">
              <w:rPr>
                <w:rFonts w:asciiTheme="majorHAnsi" w:eastAsia="Yu Mincho" w:hAnsiTheme="majorHAnsi" w:cstheme="majorHAnsi"/>
                <w:noProof/>
                <w:color w:val="000000" w:themeColor="text1"/>
                <w:sz w:val="20"/>
                <w:szCs w:val="20"/>
                <w:lang w:eastAsia="ja-JP"/>
              </w:rPr>
              <w:t>3.65 s</w:t>
            </w:r>
          </w:p>
        </w:tc>
      </w:tr>
      <w:tr w:rsidR="005E0AAD" w:rsidRPr="005E6B7C" w14:paraId="65D8539B" w14:textId="77777777" w:rsidTr="00EB175E">
        <w:trPr>
          <w:trHeight w:val="223"/>
          <w:jc w:val="center"/>
        </w:trPr>
        <w:tc>
          <w:tcPr>
            <w:tcW w:w="10260" w:type="dxa"/>
            <w:gridSpan w:val="4"/>
            <w:tcBorders>
              <w:top w:val="dotted" w:sz="4" w:space="0" w:color="auto"/>
              <w:left w:val="nil"/>
              <w:bottom w:val="nil"/>
              <w:right w:val="nil"/>
            </w:tcBorders>
          </w:tcPr>
          <w:p w14:paraId="20D35108" w14:textId="77777777" w:rsidR="005E0AAD" w:rsidRPr="005E6B7C" w:rsidRDefault="005E0AAD" w:rsidP="008C0D47">
            <w:pPr>
              <w:tabs>
                <w:tab w:val="left" w:pos="165"/>
              </w:tabs>
              <w:suppressAutoHyphens w:val="0"/>
              <w:spacing w:before="120"/>
              <w:jc w:val="both"/>
              <w:rPr>
                <w:rFonts w:asciiTheme="majorHAnsi" w:eastAsia="Yu Mincho" w:hAnsiTheme="majorHAnsi" w:cstheme="majorHAnsi"/>
                <w:i/>
                <w:iCs/>
                <w:noProof/>
                <w:color w:val="000000" w:themeColor="text1"/>
                <w:sz w:val="20"/>
                <w:szCs w:val="20"/>
                <w:lang w:eastAsia="ko-KR"/>
              </w:rPr>
            </w:pPr>
            <w:r w:rsidRPr="005E6B7C">
              <w:rPr>
                <w:rFonts w:asciiTheme="majorHAnsi" w:eastAsia="Yu Mincho" w:hAnsiTheme="majorHAnsi" w:cstheme="majorHAnsi"/>
                <w:i/>
                <w:iCs/>
                <w:color w:val="000000" w:themeColor="text1"/>
                <w:sz w:val="20"/>
                <w:szCs w:val="20"/>
                <w:lang w:eastAsia="ja-JP"/>
              </w:rPr>
              <w:t xml:space="preserve">Measured in </w:t>
            </w:r>
            <w:r w:rsidRPr="005E6B7C">
              <w:rPr>
                <w:rFonts w:asciiTheme="majorHAnsi" w:eastAsia="Yu Mincho" w:hAnsiTheme="majorHAnsi" w:cstheme="majorHAnsi"/>
                <w:i/>
                <w:iCs/>
                <w:color w:val="000000" w:themeColor="text1"/>
                <w:sz w:val="20"/>
                <w:szCs w:val="20"/>
                <w:vertAlign w:val="superscript"/>
                <w:lang w:eastAsia="ja-JP"/>
              </w:rPr>
              <w:t>a</w:t>
            </w:r>
            <w:r w:rsidRPr="005E6B7C">
              <w:rPr>
                <w:rFonts w:asciiTheme="majorHAnsi" w:eastAsia="Yu Mincho" w:hAnsiTheme="majorHAnsi" w:cstheme="majorHAnsi"/>
                <w:i/>
                <w:iCs/>
                <w:color w:val="000000" w:themeColor="text1"/>
                <w:sz w:val="20"/>
                <w:szCs w:val="20"/>
                <w:lang w:eastAsia="ja-JP"/>
              </w:rPr>
              <w:t>CD</w:t>
            </w:r>
            <w:r w:rsidRPr="005E6B7C">
              <w:rPr>
                <w:rFonts w:asciiTheme="majorHAnsi" w:eastAsia="Yu Mincho" w:hAnsiTheme="majorHAnsi" w:cstheme="majorHAnsi"/>
                <w:i/>
                <w:iCs/>
                <w:color w:val="000000" w:themeColor="text1"/>
                <w:sz w:val="20"/>
                <w:szCs w:val="20"/>
                <w:vertAlign w:val="subscript"/>
                <w:lang w:eastAsia="ja-JP"/>
              </w:rPr>
              <w:t>3</w:t>
            </w:r>
            <w:r w:rsidRPr="005E6B7C">
              <w:rPr>
                <w:rFonts w:asciiTheme="majorHAnsi" w:eastAsia="Yu Mincho" w:hAnsiTheme="majorHAnsi" w:cstheme="majorHAnsi"/>
                <w:i/>
                <w:iCs/>
                <w:color w:val="000000" w:themeColor="text1"/>
                <w:sz w:val="20"/>
                <w:szCs w:val="20"/>
                <w:lang w:eastAsia="ja-JP"/>
              </w:rPr>
              <w:t xml:space="preserve">OD, </w:t>
            </w:r>
            <w:r w:rsidRPr="005E6B7C">
              <w:rPr>
                <w:rFonts w:asciiTheme="majorHAnsi" w:eastAsia="Yu Mincho" w:hAnsiTheme="majorHAnsi" w:cstheme="majorHAnsi"/>
                <w:i/>
                <w:iCs/>
                <w:color w:val="000000" w:themeColor="text1"/>
                <w:sz w:val="20"/>
                <w:szCs w:val="20"/>
                <w:vertAlign w:val="superscript"/>
                <w:lang w:eastAsia="ja-JP"/>
              </w:rPr>
              <w:t>b</w:t>
            </w:r>
            <w:r w:rsidRPr="005E6B7C">
              <w:rPr>
                <w:rFonts w:asciiTheme="majorHAnsi" w:eastAsia="Yu Mincho" w:hAnsiTheme="majorHAnsi" w:cstheme="majorHAnsi"/>
                <w:i/>
                <w:iCs/>
                <w:color w:val="000000" w:themeColor="text1"/>
                <w:sz w:val="20"/>
                <w:szCs w:val="20"/>
                <w:lang w:eastAsia="ja-JP"/>
              </w:rPr>
              <w:t xml:space="preserve">125 MHz, and </w:t>
            </w:r>
            <w:r w:rsidRPr="005E6B7C">
              <w:rPr>
                <w:rFonts w:asciiTheme="majorHAnsi" w:eastAsia="Yu Mincho" w:hAnsiTheme="majorHAnsi" w:cstheme="majorHAnsi"/>
                <w:i/>
                <w:iCs/>
                <w:color w:val="000000" w:themeColor="text1"/>
                <w:sz w:val="20"/>
                <w:szCs w:val="20"/>
                <w:vertAlign w:val="superscript"/>
                <w:lang w:eastAsia="ja-JP"/>
              </w:rPr>
              <w:t>c</w:t>
            </w:r>
            <w:r w:rsidRPr="005E6B7C">
              <w:rPr>
                <w:rFonts w:asciiTheme="majorHAnsi" w:eastAsia="Yu Mincho" w:hAnsiTheme="majorHAnsi" w:cstheme="majorHAnsi"/>
                <w:i/>
                <w:iCs/>
                <w:color w:val="000000" w:themeColor="text1"/>
                <w:sz w:val="20"/>
                <w:szCs w:val="20"/>
                <w:lang w:eastAsia="ja-JP"/>
              </w:rPr>
              <w:t xml:space="preserve">600 MHz. </w:t>
            </w:r>
            <w:r w:rsidRPr="005E6B7C">
              <w:rPr>
                <w:rFonts w:asciiTheme="majorHAnsi" w:eastAsia="Yu Mincho" w:hAnsiTheme="majorHAnsi" w:cstheme="majorHAnsi"/>
                <w:i/>
                <w:iCs/>
                <w:color w:val="000000" w:themeColor="text1"/>
                <w:sz w:val="20"/>
                <w:szCs w:val="20"/>
                <w:vertAlign w:val="superscript"/>
                <w:lang w:eastAsia="ja-JP"/>
              </w:rPr>
              <w:t>@</w:t>
            </w:r>
            <w:r w:rsidRPr="005E6B7C">
              <w:rPr>
                <w:rFonts w:asciiTheme="majorHAnsi" w:eastAsia="Yu Mincho" w:hAnsiTheme="majorHAnsi" w:cstheme="majorHAnsi"/>
                <w:i/>
                <w:iCs/>
                <w:color w:val="000000" w:themeColor="text1"/>
                <w:sz w:val="20"/>
                <w:szCs w:val="20"/>
                <w:lang w:eastAsia="ja-JP"/>
              </w:rPr>
              <w:t>δ</w:t>
            </w:r>
            <w:r w:rsidRPr="005E6B7C">
              <w:rPr>
                <w:rFonts w:asciiTheme="majorHAnsi" w:eastAsia="Yu Mincho" w:hAnsiTheme="majorHAnsi" w:cstheme="majorHAnsi"/>
                <w:i/>
                <w:iCs/>
                <w:color w:val="000000" w:themeColor="text1"/>
                <w:sz w:val="20"/>
                <w:szCs w:val="20"/>
                <w:vertAlign w:val="subscript"/>
                <w:lang w:eastAsia="ja-JP"/>
              </w:rPr>
              <w:t>C</w:t>
            </w:r>
            <w:r w:rsidRPr="005E6B7C">
              <w:rPr>
                <w:rFonts w:asciiTheme="majorHAnsi" w:eastAsia="Yu Mincho" w:hAnsiTheme="majorHAnsi" w:cstheme="majorHAnsi"/>
                <w:i/>
                <w:iCs/>
                <w:color w:val="000000" w:themeColor="text1"/>
                <w:sz w:val="20"/>
                <w:szCs w:val="20"/>
                <w:vertAlign w:val="superscript"/>
                <w:lang w:eastAsia="ja-JP"/>
              </w:rPr>
              <w:t xml:space="preserve"> </w:t>
            </w:r>
            <w:r w:rsidRPr="005E6B7C">
              <w:rPr>
                <w:rFonts w:asciiTheme="majorHAnsi" w:eastAsia="Yu Mincho" w:hAnsiTheme="majorHAnsi" w:cstheme="majorHAnsi"/>
                <w:i/>
                <w:iCs/>
                <w:color w:val="000000" w:themeColor="text1"/>
                <w:sz w:val="20"/>
                <w:szCs w:val="20"/>
                <w:lang w:eastAsia="ja-JP"/>
              </w:rPr>
              <w:t>of</w:t>
            </w:r>
            <w:r w:rsidRPr="005E6B7C">
              <w:rPr>
                <w:rFonts w:asciiTheme="majorHAnsi" w:eastAsia="Yu Mincho" w:hAnsiTheme="majorHAnsi" w:cstheme="majorHAnsi"/>
                <w:i/>
                <w:iCs/>
                <w:noProof/>
                <w:color w:val="000000" w:themeColor="text1"/>
                <w:sz w:val="20"/>
                <w:szCs w:val="20"/>
                <w:lang w:eastAsia="ko-KR"/>
              </w:rPr>
              <w:t xml:space="preserve"> dehydrochebulic acid trimethyl ester in pyridine-d</w:t>
            </w:r>
            <w:r w:rsidRPr="005E6B7C">
              <w:rPr>
                <w:rFonts w:asciiTheme="majorHAnsi" w:eastAsia="Yu Mincho" w:hAnsiTheme="majorHAnsi" w:cstheme="majorHAnsi"/>
                <w:i/>
                <w:iCs/>
                <w:noProof/>
                <w:color w:val="000000" w:themeColor="text1"/>
                <w:sz w:val="20"/>
                <w:szCs w:val="20"/>
                <w:vertAlign w:val="subscript"/>
                <w:lang w:eastAsia="ko-KR"/>
              </w:rPr>
              <w:t>5</w:t>
            </w:r>
            <w:r w:rsidRPr="005E6B7C">
              <w:rPr>
                <w:rFonts w:asciiTheme="majorHAnsi" w:eastAsia="Yu Mincho" w:hAnsiTheme="majorHAnsi" w:cstheme="majorHAnsi"/>
                <w:i/>
                <w:iCs/>
                <w:noProof/>
                <w:color w:val="000000" w:themeColor="text1"/>
                <w:sz w:val="20"/>
                <w:szCs w:val="20"/>
                <w:lang w:eastAsia="ko-KR"/>
              </w:rPr>
              <w:t xml:space="preserve"> </w:t>
            </w:r>
            <w:r w:rsidRPr="005E6B7C">
              <w:rPr>
                <w:rFonts w:asciiTheme="majorHAnsi" w:eastAsia="Yu Mincho" w:hAnsiTheme="majorHAnsi" w:cstheme="majorHAnsi"/>
                <w:i/>
                <w:iCs/>
                <w:noProof/>
                <w:color w:val="000000" w:themeColor="text1"/>
                <w:sz w:val="20"/>
                <w:szCs w:val="20"/>
                <w:lang w:eastAsia="ko-KR"/>
              </w:rPr>
              <w:fldChar w:fldCharType="begin"/>
            </w:r>
            <w:r w:rsidRPr="005E6B7C">
              <w:rPr>
                <w:rFonts w:asciiTheme="majorHAnsi" w:eastAsia="Yu Mincho" w:hAnsiTheme="majorHAnsi" w:cstheme="majorHAnsi"/>
                <w:i/>
                <w:iCs/>
                <w:noProof/>
                <w:color w:val="000000" w:themeColor="text1"/>
                <w:sz w:val="20"/>
                <w:szCs w:val="20"/>
                <w:lang w:eastAsia="ko-KR"/>
              </w:rPr>
              <w:instrText xml:space="preserve"> ADDIN EN.CITE &lt;EndNote&gt;&lt;Cite&gt;&lt;Author&gt;Camacho-Luis&lt;/Author&gt;&lt;Year&gt;2008&lt;/Year&gt;&lt;RecNum&gt;3&lt;/RecNum&gt;&lt;DisplayText&gt;[12]&lt;/DisplayText&gt;&lt;record&gt;&lt;rec-number&gt;3&lt;/rec-number&gt;&lt;foreign-keys&gt;&lt;key app="EN" db-id="02pfr9rw8tfza3ep25h5swfxaa5espweerax" timestamp="1749461792"&gt;3&lt;/key&gt;&lt;/foreign-keys&gt;&lt;ref-type name="Journal Article"&gt;17&lt;/ref-type&gt;&lt;contributors&gt;&lt;authors&gt;&lt;author&gt;Camacho-Luis, Abelardo&lt;/author&gt;&lt;author&gt;Gayosso-De-Lucio, Juan A&lt;/author&gt;&lt;author&gt;Torres-Valencia, J Martín&lt;/author&gt;&lt;author&gt;Muñoz-Sánchez, José L&lt;/author&gt;&lt;author&gt;Alarcón-Hernández, Ernesto&lt;/author&gt;&lt;author&gt;López, Rogelio&lt;/author&gt;&lt;author&gt;Barrón, Blanca L&lt;/author&gt;&lt;/authors&gt;&lt;/contributors&gt;&lt;titles&gt;&lt;title&gt;Antioxidant constituents of Geranium bellum rose&lt;/title&gt;&lt;secondary-title&gt;Journal of the Mexican Chemical Society&lt;/secondary-title&gt;&lt;/titles&gt;&lt;periodical&gt;&lt;full-title&gt;Journal of the Mexican Chemical Society&lt;/full-title&gt;&lt;/periodical&gt;&lt;pages&gt;103-107&lt;/pages&gt;&lt;volume&gt;52&lt;/volume&gt;&lt;number&gt;2&lt;/number&gt;&lt;dates&gt;&lt;year&gt;2008&lt;/year&gt;&lt;/dates&gt;&lt;isbn&gt;1870-249X&lt;/isbn&gt;&lt;urls&gt;&lt;/urls&gt;&lt;/record&gt;&lt;/Cite&gt;&lt;/EndNote&gt;</w:instrText>
            </w:r>
            <w:r w:rsidRPr="005E6B7C">
              <w:rPr>
                <w:rFonts w:asciiTheme="majorHAnsi" w:eastAsia="Yu Mincho" w:hAnsiTheme="majorHAnsi" w:cstheme="majorHAnsi"/>
                <w:i/>
                <w:iCs/>
                <w:noProof/>
                <w:color w:val="000000" w:themeColor="text1"/>
                <w:sz w:val="20"/>
                <w:szCs w:val="20"/>
                <w:lang w:eastAsia="ko-KR"/>
              </w:rPr>
              <w:fldChar w:fldCharType="separate"/>
            </w:r>
            <w:r w:rsidRPr="005E6B7C">
              <w:rPr>
                <w:rFonts w:asciiTheme="majorHAnsi" w:eastAsia="Yu Mincho" w:hAnsiTheme="majorHAnsi" w:cstheme="majorHAnsi"/>
                <w:i/>
                <w:iCs/>
                <w:noProof/>
                <w:color w:val="000000" w:themeColor="text1"/>
                <w:sz w:val="20"/>
                <w:szCs w:val="20"/>
                <w:lang w:eastAsia="ko-KR"/>
              </w:rPr>
              <w:t>[12]</w:t>
            </w:r>
            <w:r w:rsidRPr="005E6B7C">
              <w:rPr>
                <w:rFonts w:asciiTheme="majorHAnsi" w:eastAsia="Yu Mincho" w:hAnsiTheme="majorHAnsi" w:cstheme="majorHAnsi"/>
                <w:i/>
                <w:iCs/>
                <w:noProof/>
                <w:color w:val="000000" w:themeColor="text1"/>
                <w:sz w:val="20"/>
                <w:szCs w:val="20"/>
                <w:lang w:eastAsia="ko-KR"/>
              </w:rPr>
              <w:fldChar w:fldCharType="end"/>
            </w:r>
            <w:r w:rsidR="00EB175E" w:rsidRPr="005E6B7C">
              <w:rPr>
                <w:rFonts w:asciiTheme="majorHAnsi" w:eastAsia="Yu Mincho" w:hAnsiTheme="majorHAnsi" w:cstheme="majorHAnsi"/>
                <w:i/>
                <w:iCs/>
                <w:noProof/>
                <w:color w:val="000000" w:themeColor="text1"/>
                <w:sz w:val="20"/>
                <w:szCs w:val="20"/>
                <w:lang w:eastAsia="ko-KR"/>
              </w:rPr>
              <w:t>.</w:t>
            </w:r>
          </w:p>
        </w:tc>
      </w:tr>
    </w:tbl>
    <w:p w14:paraId="370C47E3" w14:textId="77777777" w:rsidR="00EB175E" w:rsidRPr="005E6B7C" w:rsidRDefault="00EB175E" w:rsidP="008C0D47">
      <w:pPr>
        <w:tabs>
          <w:tab w:val="left" w:pos="165"/>
        </w:tabs>
        <w:ind w:right="-20"/>
        <w:jc w:val="both"/>
        <w:rPr>
          <w:rFonts w:asciiTheme="majorHAnsi" w:eastAsia="Yu Mincho" w:hAnsiTheme="majorHAnsi" w:cstheme="majorHAnsi"/>
          <w:b/>
          <w:color w:val="000000" w:themeColor="text1"/>
          <w:sz w:val="20"/>
          <w:szCs w:val="20"/>
          <w:lang w:eastAsia="ja-JP"/>
        </w:rPr>
      </w:pPr>
    </w:p>
    <w:p w14:paraId="6D2E9C7D" w14:textId="77777777" w:rsidR="00EB175E" w:rsidRPr="005E6B7C" w:rsidRDefault="00EB175E" w:rsidP="008C0D47">
      <w:pPr>
        <w:tabs>
          <w:tab w:val="left" w:pos="165"/>
        </w:tabs>
        <w:spacing w:after="120"/>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b/>
          <w:color w:val="000000" w:themeColor="text1"/>
          <w:sz w:val="20"/>
          <w:szCs w:val="20"/>
          <w:lang w:eastAsia="ja-JP"/>
        </w:rPr>
        <w:t>Table 3.</w:t>
      </w:r>
      <w:r w:rsidRPr="005E6B7C">
        <w:rPr>
          <w:rFonts w:asciiTheme="majorHAnsi" w:eastAsia="Yu Mincho" w:hAnsiTheme="majorHAnsi" w:cstheme="majorHAnsi"/>
          <w:color w:val="000000" w:themeColor="text1"/>
          <w:sz w:val="20"/>
          <w:szCs w:val="20"/>
          <w:lang w:eastAsia="ja-JP"/>
        </w:rPr>
        <w:t xml:space="preserve"> Inhibitory effects of isolated compounds on NO production in LPS-induced RAW264.7 cells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046"/>
        <w:gridCol w:w="2388"/>
        <w:gridCol w:w="2131"/>
        <w:gridCol w:w="2507"/>
      </w:tblGrid>
      <w:tr w:rsidR="00EB175E" w:rsidRPr="005E6B7C" w14:paraId="3DE5997E" w14:textId="77777777" w:rsidTr="00A9181D">
        <w:trPr>
          <w:jc w:val="center"/>
        </w:trPr>
        <w:tc>
          <w:tcPr>
            <w:tcW w:w="1648" w:type="dxa"/>
          </w:tcPr>
          <w:p w14:paraId="30365D20" w14:textId="77777777" w:rsidR="00EB175E" w:rsidRPr="005E6B7C" w:rsidRDefault="00EB175E" w:rsidP="008C0D47">
            <w:pPr>
              <w:tabs>
                <w:tab w:val="left" w:pos="165"/>
              </w:tabs>
              <w:ind w:right="-20"/>
              <w:jc w:val="center"/>
              <w:rPr>
                <w:rFonts w:asciiTheme="majorHAnsi" w:eastAsia="Yu Mincho" w:hAnsiTheme="majorHAnsi" w:cstheme="majorHAnsi"/>
                <w:b/>
                <w:b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Compounds</w:t>
            </w:r>
          </w:p>
        </w:tc>
        <w:tc>
          <w:tcPr>
            <w:tcW w:w="1924" w:type="dxa"/>
          </w:tcPr>
          <w:p w14:paraId="309F55E4" w14:textId="17E257BD" w:rsidR="00EB175E" w:rsidRPr="005E6B7C" w:rsidRDefault="00EB175E" w:rsidP="008C0D47">
            <w:pPr>
              <w:tabs>
                <w:tab w:val="left" w:pos="165"/>
              </w:tabs>
              <w:ind w:right="-20"/>
              <w:jc w:val="center"/>
              <w:rPr>
                <w:rFonts w:asciiTheme="majorHAnsi" w:eastAsia="Yu Mincho" w:hAnsiTheme="majorHAnsi" w:cstheme="majorHAnsi"/>
                <w:b/>
                <w:b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IC</w:t>
            </w:r>
            <w:r w:rsidRPr="005E6B7C">
              <w:rPr>
                <w:rFonts w:asciiTheme="majorHAnsi" w:eastAsia="Yu Mincho" w:hAnsiTheme="majorHAnsi" w:cstheme="majorHAnsi"/>
                <w:b/>
                <w:bCs/>
                <w:color w:val="000000" w:themeColor="text1"/>
                <w:sz w:val="20"/>
                <w:szCs w:val="20"/>
                <w:vertAlign w:val="subscript"/>
                <w:lang w:eastAsia="ja-JP"/>
              </w:rPr>
              <w:t>50</w:t>
            </w:r>
            <w:r w:rsidRPr="005E6B7C">
              <w:rPr>
                <w:rFonts w:asciiTheme="majorHAnsi" w:eastAsia="Yu Mincho" w:hAnsiTheme="majorHAnsi" w:cstheme="majorHAnsi"/>
                <w:b/>
                <w:bCs/>
                <w:color w:val="000000" w:themeColor="text1"/>
                <w:sz w:val="20"/>
                <w:szCs w:val="20"/>
                <w:lang w:eastAsia="ja-JP"/>
              </w:rPr>
              <w:t xml:space="preserve"> (</w:t>
            </w:r>
            <w:r w:rsidR="00266B26" w:rsidRPr="005E6B7C">
              <w:rPr>
                <w:rFonts w:asciiTheme="majorHAnsi" w:eastAsia="Yu Mincho" w:hAnsiTheme="majorHAnsi" w:cstheme="majorHAnsi"/>
                <w:b/>
                <w:bCs/>
                <w:i/>
                <w:iCs/>
                <w:color w:val="000000" w:themeColor="text1"/>
                <w:sz w:val="20"/>
                <w:szCs w:val="20"/>
                <w:lang w:eastAsia="ja-JP"/>
              </w:rPr>
              <w:t>µ</w:t>
            </w:r>
            <w:r w:rsidRPr="005E6B7C">
              <w:rPr>
                <w:rFonts w:asciiTheme="majorHAnsi" w:eastAsia="Yu Mincho" w:hAnsiTheme="majorHAnsi" w:cstheme="majorHAnsi"/>
                <w:b/>
                <w:bCs/>
                <w:color w:val="000000" w:themeColor="text1"/>
                <w:sz w:val="20"/>
                <w:szCs w:val="20"/>
                <w:lang w:eastAsia="ja-JP"/>
              </w:rPr>
              <w:t>M)</w:t>
            </w:r>
          </w:p>
        </w:tc>
        <w:tc>
          <w:tcPr>
            <w:tcW w:w="1717" w:type="dxa"/>
          </w:tcPr>
          <w:p w14:paraId="6BAEC752" w14:textId="77777777" w:rsidR="00EB175E" w:rsidRPr="005E6B7C" w:rsidRDefault="00EB175E" w:rsidP="008C0D47">
            <w:pPr>
              <w:tabs>
                <w:tab w:val="left" w:pos="165"/>
              </w:tabs>
              <w:ind w:right="-20"/>
              <w:jc w:val="center"/>
              <w:rPr>
                <w:rFonts w:asciiTheme="majorHAnsi" w:eastAsia="Yu Mincho" w:hAnsiTheme="majorHAnsi" w:cstheme="majorHAnsi"/>
                <w:b/>
                <w:b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Compounds</w:t>
            </w:r>
          </w:p>
        </w:tc>
        <w:tc>
          <w:tcPr>
            <w:tcW w:w="2020" w:type="dxa"/>
          </w:tcPr>
          <w:p w14:paraId="2B21772C" w14:textId="568ECDB3" w:rsidR="00EB175E" w:rsidRPr="005E6B7C" w:rsidRDefault="00EB175E" w:rsidP="008C0D47">
            <w:pPr>
              <w:tabs>
                <w:tab w:val="left" w:pos="165"/>
              </w:tabs>
              <w:ind w:right="-20"/>
              <w:jc w:val="center"/>
              <w:rPr>
                <w:rFonts w:asciiTheme="majorHAnsi" w:eastAsia="Yu Mincho" w:hAnsiTheme="majorHAnsi" w:cstheme="majorHAnsi"/>
                <w:b/>
                <w:b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IC</w:t>
            </w:r>
            <w:r w:rsidRPr="005E6B7C">
              <w:rPr>
                <w:rFonts w:asciiTheme="majorHAnsi" w:eastAsia="Yu Mincho" w:hAnsiTheme="majorHAnsi" w:cstheme="majorHAnsi"/>
                <w:b/>
                <w:bCs/>
                <w:color w:val="000000" w:themeColor="text1"/>
                <w:sz w:val="20"/>
                <w:szCs w:val="20"/>
                <w:vertAlign w:val="subscript"/>
                <w:lang w:eastAsia="ja-JP"/>
              </w:rPr>
              <w:t>50</w:t>
            </w:r>
            <w:r w:rsidRPr="005E6B7C">
              <w:rPr>
                <w:rFonts w:asciiTheme="majorHAnsi" w:eastAsia="Yu Mincho" w:hAnsiTheme="majorHAnsi" w:cstheme="majorHAnsi"/>
                <w:b/>
                <w:bCs/>
                <w:color w:val="000000" w:themeColor="text1"/>
                <w:sz w:val="20"/>
                <w:szCs w:val="20"/>
                <w:lang w:eastAsia="ja-JP"/>
              </w:rPr>
              <w:t xml:space="preserve"> (</w:t>
            </w:r>
            <w:r w:rsidR="00266B26" w:rsidRPr="005E6B7C">
              <w:rPr>
                <w:rFonts w:asciiTheme="majorHAnsi" w:eastAsia="Yu Mincho" w:hAnsiTheme="majorHAnsi" w:cstheme="majorHAnsi"/>
                <w:b/>
                <w:bCs/>
                <w:i/>
                <w:iCs/>
                <w:color w:val="000000" w:themeColor="text1"/>
                <w:sz w:val="20"/>
                <w:szCs w:val="20"/>
                <w:lang w:eastAsia="ja-JP"/>
              </w:rPr>
              <w:t>µ</w:t>
            </w:r>
            <w:r w:rsidRPr="005E6B7C">
              <w:rPr>
                <w:rFonts w:asciiTheme="majorHAnsi" w:eastAsia="Yu Mincho" w:hAnsiTheme="majorHAnsi" w:cstheme="majorHAnsi"/>
                <w:b/>
                <w:bCs/>
                <w:color w:val="000000" w:themeColor="text1"/>
                <w:sz w:val="20"/>
                <w:szCs w:val="20"/>
                <w:lang w:eastAsia="ja-JP"/>
              </w:rPr>
              <w:t>M)</w:t>
            </w:r>
          </w:p>
        </w:tc>
      </w:tr>
      <w:tr w:rsidR="00EB175E" w:rsidRPr="005E6B7C" w14:paraId="69483A4C" w14:textId="77777777" w:rsidTr="00A9181D">
        <w:trPr>
          <w:jc w:val="center"/>
        </w:trPr>
        <w:tc>
          <w:tcPr>
            <w:tcW w:w="1648" w:type="dxa"/>
          </w:tcPr>
          <w:p w14:paraId="2C3E4DB1" w14:textId="77777777" w:rsidR="00EB175E" w:rsidRPr="005E6B7C" w:rsidRDefault="00EB175E" w:rsidP="008C0D47">
            <w:pPr>
              <w:tabs>
                <w:tab w:val="left" w:pos="165"/>
              </w:tabs>
              <w:ind w:right="-20"/>
              <w:jc w:val="center"/>
              <w:rPr>
                <w:rFonts w:asciiTheme="majorHAnsi" w:eastAsia="Yu Mincho" w:hAnsiTheme="majorHAnsi" w:cstheme="majorHAnsi"/>
                <w:b/>
                <w:color w:val="000000" w:themeColor="text1"/>
                <w:sz w:val="20"/>
                <w:szCs w:val="20"/>
                <w:lang w:eastAsia="ja-JP"/>
              </w:rPr>
            </w:pPr>
            <w:r w:rsidRPr="005E6B7C">
              <w:rPr>
                <w:rFonts w:asciiTheme="majorHAnsi" w:eastAsia="Yu Mincho" w:hAnsiTheme="majorHAnsi" w:cstheme="majorHAnsi"/>
                <w:b/>
                <w:color w:val="000000" w:themeColor="text1"/>
                <w:sz w:val="20"/>
                <w:szCs w:val="20"/>
                <w:lang w:eastAsia="ja-JP"/>
              </w:rPr>
              <w:t>1</w:t>
            </w:r>
          </w:p>
        </w:tc>
        <w:tc>
          <w:tcPr>
            <w:tcW w:w="1924" w:type="dxa"/>
          </w:tcPr>
          <w:p w14:paraId="6D374DC0" w14:textId="77777777" w:rsidR="00EB175E" w:rsidRPr="005E6B7C" w:rsidRDefault="00EB175E" w:rsidP="008C0D47">
            <w:pPr>
              <w:tabs>
                <w:tab w:val="left" w:pos="165"/>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26.9 ± 1.5</w:t>
            </w:r>
          </w:p>
        </w:tc>
        <w:tc>
          <w:tcPr>
            <w:tcW w:w="1717" w:type="dxa"/>
          </w:tcPr>
          <w:p w14:paraId="7DAE9F67" w14:textId="77777777" w:rsidR="00EB175E" w:rsidRPr="005E6B7C" w:rsidRDefault="00EB175E" w:rsidP="008C0D47">
            <w:pPr>
              <w:tabs>
                <w:tab w:val="left" w:pos="165"/>
              </w:tabs>
              <w:ind w:right="-20"/>
              <w:jc w:val="center"/>
              <w:rPr>
                <w:rFonts w:asciiTheme="majorHAnsi" w:eastAsia="Yu Mincho" w:hAnsiTheme="majorHAnsi" w:cstheme="majorHAnsi"/>
                <w:b/>
                <w:color w:val="000000" w:themeColor="text1"/>
                <w:sz w:val="20"/>
                <w:szCs w:val="20"/>
                <w:lang w:eastAsia="ja-JP"/>
              </w:rPr>
            </w:pPr>
            <w:r w:rsidRPr="005E6B7C">
              <w:rPr>
                <w:rFonts w:asciiTheme="majorHAnsi" w:eastAsia="Yu Mincho" w:hAnsiTheme="majorHAnsi" w:cstheme="majorHAnsi"/>
                <w:b/>
                <w:color w:val="000000" w:themeColor="text1"/>
                <w:sz w:val="20"/>
                <w:szCs w:val="20"/>
                <w:lang w:eastAsia="ja-JP"/>
              </w:rPr>
              <w:t>6</w:t>
            </w:r>
          </w:p>
        </w:tc>
        <w:tc>
          <w:tcPr>
            <w:tcW w:w="2020" w:type="dxa"/>
          </w:tcPr>
          <w:p w14:paraId="2F263EE9" w14:textId="77777777" w:rsidR="00EB175E" w:rsidRPr="005E6B7C" w:rsidRDefault="00EB175E" w:rsidP="008C0D47">
            <w:pPr>
              <w:tabs>
                <w:tab w:val="left" w:pos="165"/>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54.5 ± 2.3</w:t>
            </w:r>
          </w:p>
        </w:tc>
      </w:tr>
      <w:tr w:rsidR="00EB175E" w:rsidRPr="005E6B7C" w14:paraId="71FB8602" w14:textId="77777777" w:rsidTr="00A9181D">
        <w:trPr>
          <w:jc w:val="center"/>
        </w:trPr>
        <w:tc>
          <w:tcPr>
            <w:tcW w:w="1648" w:type="dxa"/>
          </w:tcPr>
          <w:p w14:paraId="12F164A8" w14:textId="77777777" w:rsidR="00EB175E" w:rsidRPr="005E6B7C" w:rsidRDefault="00EB175E" w:rsidP="008C0D47">
            <w:pPr>
              <w:tabs>
                <w:tab w:val="left" w:pos="165"/>
              </w:tabs>
              <w:ind w:right="-20"/>
              <w:jc w:val="center"/>
              <w:rPr>
                <w:rFonts w:asciiTheme="majorHAnsi" w:eastAsia="Yu Mincho" w:hAnsiTheme="majorHAnsi" w:cstheme="majorHAnsi"/>
                <w:b/>
                <w:color w:val="000000" w:themeColor="text1"/>
                <w:sz w:val="20"/>
                <w:szCs w:val="20"/>
                <w:lang w:eastAsia="ja-JP"/>
              </w:rPr>
            </w:pPr>
            <w:r w:rsidRPr="005E6B7C">
              <w:rPr>
                <w:rFonts w:asciiTheme="majorHAnsi" w:eastAsia="Yu Mincho" w:hAnsiTheme="majorHAnsi" w:cstheme="majorHAnsi"/>
                <w:b/>
                <w:color w:val="000000" w:themeColor="text1"/>
                <w:sz w:val="20"/>
                <w:szCs w:val="20"/>
                <w:lang w:eastAsia="ja-JP"/>
              </w:rPr>
              <w:t>2</w:t>
            </w:r>
          </w:p>
        </w:tc>
        <w:tc>
          <w:tcPr>
            <w:tcW w:w="1924" w:type="dxa"/>
          </w:tcPr>
          <w:p w14:paraId="51AF3BD9" w14:textId="77777777" w:rsidR="00EB175E" w:rsidRPr="005E6B7C" w:rsidRDefault="00EB175E" w:rsidP="008C0D47">
            <w:pPr>
              <w:tabs>
                <w:tab w:val="left" w:pos="165"/>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21.1 ± 1.2</w:t>
            </w:r>
          </w:p>
        </w:tc>
        <w:tc>
          <w:tcPr>
            <w:tcW w:w="1717" w:type="dxa"/>
            <w:vAlign w:val="center"/>
          </w:tcPr>
          <w:p w14:paraId="4A97E439" w14:textId="77777777" w:rsidR="00EB175E" w:rsidRPr="005E6B7C" w:rsidRDefault="00EB175E" w:rsidP="008C0D47">
            <w:pPr>
              <w:tabs>
                <w:tab w:val="left" w:pos="165"/>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Dexamethasone</w:t>
            </w:r>
          </w:p>
        </w:tc>
        <w:tc>
          <w:tcPr>
            <w:tcW w:w="2020" w:type="dxa"/>
            <w:vAlign w:val="center"/>
          </w:tcPr>
          <w:p w14:paraId="401B4A3B" w14:textId="77777777" w:rsidR="00EB175E" w:rsidRPr="005E6B7C" w:rsidRDefault="00EB175E" w:rsidP="008C0D47">
            <w:pPr>
              <w:tabs>
                <w:tab w:val="left" w:pos="165"/>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13.6 ± 1.1</w:t>
            </w:r>
          </w:p>
        </w:tc>
      </w:tr>
    </w:tbl>
    <w:p w14:paraId="5950ECFE" w14:textId="77777777" w:rsidR="00EB175E" w:rsidRPr="005E6B7C" w:rsidRDefault="00EB175E"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p>
    <w:p w14:paraId="10A0A644" w14:textId="77777777" w:rsidR="005E0AAD" w:rsidRPr="005E6B7C" w:rsidRDefault="005E0AAD" w:rsidP="008C0D47">
      <w:pPr>
        <w:tabs>
          <w:tab w:val="left" w:pos="270"/>
          <w:tab w:val="left" w:pos="9270"/>
        </w:tabs>
        <w:ind w:right="-20"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18"/>
          <w:szCs w:val="18"/>
          <w:lang w:eastAsia="ja-JP"/>
        </w:rPr>
        <w:t>Results were indicated as the mean IC50 ± SD of three independent experiments in triplicate. Dexamethasone was used as a reference drug</w:t>
      </w:r>
      <w:r w:rsidRPr="005E6B7C">
        <w:rPr>
          <w:rFonts w:asciiTheme="majorHAnsi" w:eastAsia="Yu Mincho" w:hAnsiTheme="majorHAnsi" w:cstheme="majorHAnsi"/>
          <w:i/>
          <w:iCs/>
          <w:color w:val="000000" w:themeColor="text1"/>
          <w:sz w:val="22"/>
          <w:szCs w:val="22"/>
          <w:lang w:eastAsia="ja-JP"/>
        </w:rPr>
        <w:t>.</w:t>
      </w:r>
    </w:p>
    <w:p w14:paraId="7E1737F2" w14:textId="77777777" w:rsidR="00F5234A" w:rsidRPr="005E6B7C" w:rsidRDefault="00F5234A"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5BCA366C" w14:textId="77777777" w:rsidR="00A9181D" w:rsidRPr="005E6B7C" w:rsidRDefault="00A9181D"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A9181D" w:rsidRPr="005E6B7C" w:rsidSect="002206BB">
          <w:type w:val="continuous"/>
          <w:pgSz w:w="10773" w:h="15309" w:code="9"/>
          <w:pgMar w:top="907" w:right="851" w:bottom="1418" w:left="851" w:header="397" w:footer="851" w:gutter="0"/>
          <w:cols w:space="284"/>
          <w:docGrid w:linePitch="360"/>
        </w:sectPr>
      </w:pPr>
    </w:p>
    <w:p w14:paraId="7796C2A5" w14:textId="77777777" w:rsidR="005E0AAD" w:rsidRPr="005E6B7C" w:rsidRDefault="005E0AAD" w:rsidP="008C0D47">
      <w:pPr>
        <w:tabs>
          <w:tab w:val="left" w:pos="27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remaining compounds were identified as syringaresinol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&lt;EndNote&gt;&lt;Cite&gt;&lt;Author&gt;Wu&lt;/Author&gt;&lt;Year&gt;2001&lt;/Year&gt;&lt;RecNum&gt;324&lt;/RecNum&gt;&lt;DisplayText&gt;[17]&lt;/DisplayText&gt;&lt;record&gt;&lt;rec-number&gt;324&lt;/rec-number&gt;&lt;foreign-keys&gt;&lt;key app="EN" db-id="9sr5eszf50a29ae55xgpdt5w0vxdz95ex2xv" timestamp="1758020871"&gt;324&lt;/key&gt;&lt;/foreign-keys&gt;&lt;ref-type name="Journal Article"&gt;17&lt;/ref-type&gt;&lt;contributors&gt;&lt;authors&gt;&lt;author&gt;Shao Hua Wu&lt;/author&gt;&lt;author&gt;Xiao Dong Luo&lt;/author&gt;&lt;author&gt;Yun Bao Ma&lt;/author&gt;&lt;author&gt;Xiao Jiang Hao&lt;/author&gt;&lt;author&gt;Jun Zhou&lt;/author&gt;&lt;author&gt;Da Gang Wu&lt;/author&gt;&lt;/authors&gt;&lt;/contributors&gt;&lt;titles&gt;&lt;title&gt;&lt;style face="normal" font="default" size="100%"&gt;Two new germacranolides from &lt;/style&gt;&lt;style face="italic" font="default" size="100%"&gt;Magnolia grandiflora&lt;/style&gt;&lt;/title&gt;&lt;secondary-title&gt;Journal of Asian Natural Products Research &lt;/secondary-title&gt;&lt;/titles&gt;&lt;periodical&gt;&lt;full-title&gt;Journal of Asian Natural Products Research&lt;/full-title&gt;&lt;/periodical&gt;&lt;pages&gt;95-102&lt;/pages&gt;&lt;volume&gt;3&lt;/volume&gt;&lt;number&gt;2&lt;/number&gt;&lt;section&gt;95&lt;/section&gt;&lt;dates&gt;&lt;year&gt;2001&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methyl 3,4,5-trihydroxybenzoate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fldChar w:fldCharType="begin"/>
      </w:r>
      <w:r w:rsidRPr="005E6B7C">
        <w:rPr>
          <w:rFonts w:asciiTheme="majorHAnsi" w:hAnsiTheme="majorHAnsi" w:cstheme="majorHAnsi"/>
          <w:iCs/>
          <w:noProof/>
          <w:color w:val="000000" w:themeColor="text1"/>
          <w:sz w:val="22"/>
          <w:szCs w:val="22"/>
          <w:lang w:eastAsia="ko-KR"/>
        </w:rPr>
        <w:instrText xml:space="preserve"> ADDIN EN.CITE &lt;EndNote&gt;&lt;Cite&gt;&lt;Author&gt;Lee&lt;/Author&gt;&lt;Year&gt;2005&lt;/Year&gt;&lt;RecNum&gt;2&lt;/RecNum&gt;&lt;DisplayText&gt;[18]&lt;/DisplayText&gt;&lt;record&gt;&lt;rec-number&gt;2&lt;/rec-number&gt;&lt;foreign-keys&gt;&lt;key app="EN" db-id="02pfr9rw8tfza3ep25h5swfxaa5espweerax" timestamp="1749454151"&gt;2&lt;/key&gt;&lt;/foreign-keys&gt;&lt;ref-type name="Journal Article"&gt;17&lt;/ref-type&gt;&lt;contributors&gt;&lt;authors&gt;&lt;author&gt;Lee, Seung Chul&lt;/author&gt;&lt;author&gt;Kwon, Yong Soo&lt;/author&gt;&lt;author&gt;Son, Kyung Hun&lt;/author&gt;&lt;author&gt;Kim, Hyun Pyo&lt;/author&gt;&lt;author&gt;Heo, Moon Young&lt;/author&gt;&lt;/authors&gt;&lt;/contributors&gt;&lt;titles&gt;&lt;title&gt;Antioxidative constituents fromPaeonia lactiflora&lt;/title&gt;&lt;secondary-title&gt;Archives of Pharmacal Research&lt;/secondary-title&gt;&lt;/titles&gt;&lt;periodical&gt;&lt;full-title&gt;Archives of Pharmacal Research&lt;/full-title&gt;&lt;/periodical&gt;&lt;pages&gt;775-783&lt;/pages&gt;&lt;volume&gt;28&lt;/volume&gt;&lt;number&gt;7&lt;/number&gt;&lt;dates&gt;&lt;year&gt;2005&lt;/year&gt;&lt;pub-dates&gt;&lt;date&gt;2005/07/01&lt;/date&gt;&lt;/pub-dates&gt;&lt;/dates&gt;&lt;isbn&gt;1976-3786&lt;/isbn&gt;&lt;urls&gt;&lt;related-urls&gt;&lt;url&gt;https://doi.org/10.1007/BF02977342&lt;/url&gt;&lt;/related-urls&gt;&lt;/urls&gt;&lt;electronic-resource-num&gt;10.1007/BF02977342&lt;/electronic-resource-num&gt;&lt;/record&gt;&lt;/Cite&gt;&lt;/EndNote&gt;</w:instrText>
      </w:r>
      <w:r w:rsidRPr="005E6B7C">
        <w:rPr>
          <w:rFonts w:asciiTheme="majorHAnsi" w:hAnsiTheme="majorHAnsi" w:cstheme="majorHAnsi"/>
          <w:iCs/>
          <w:noProof/>
          <w:color w:val="000000" w:themeColor="text1"/>
          <w:sz w:val="22"/>
          <w:szCs w:val="22"/>
          <w:lang w:eastAsia="ko-KR"/>
        </w:rPr>
        <w:fldChar w:fldCharType="separate"/>
      </w:r>
      <w:r w:rsidRPr="005E6B7C">
        <w:rPr>
          <w:rFonts w:asciiTheme="majorHAnsi" w:hAnsiTheme="majorHAnsi" w:cstheme="majorHAnsi"/>
          <w:iCs/>
          <w:noProof/>
          <w:color w:val="000000" w:themeColor="text1"/>
          <w:sz w:val="22"/>
          <w:szCs w:val="22"/>
          <w:lang w:eastAsia="ko-KR"/>
        </w:rPr>
        <w:t>[18]</w:t>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eastAsia="Yu Mincho" w:hAnsiTheme="majorHAnsi" w:cstheme="majorHAnsi"/>
          <w:color w:val="000000" w:themeColor="text1"/>
          <w:sz w:val="22"/>
          <w:szCs w:val="22"/>
          <w:lang w:eastAsia="ja-JP"/>
        </w:rPr>
        <w:t>, and 5-hydroxymethyl-2-furancarboxaldehyde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&lt;EndNote&gt;&lt;Cite&gt;&lt;Author&gt;Pyo&lt;/Author&gt;&lt;Year&gt;2004&lt;/Year&gt;&lt;RecNum&gt;325&lt;/RecNum&gt;&lt;DisplayText&gt;[19]&lt;/DisplayText&gt;&lt;record&gt;&lt;rec-number&gt;325&lt;/rec-number&gt;&lt;foreign-keys&gt;&lt;key app="EN" db-id="9sr5eszf50a29ae55xgpdt5w0vxdz95ex2xv" timestamp="1758021544"&gt;325&lt;/key&gt;&lt;/foreign-keys&gt;&lt;ref-type name="Journal Article"&gt;17&lt;/ref-type&gt;&lt;contributors&gt;&lt;authors&gt;&lt;author&gt;Mi Kyung Pyo&lt;/author&gt;&lt;author&gt;Jing Ling Jin&lt;/author&gt;&lt;author&gt;Yean Kyoung Koo&lt;/author&gt;&lt;author&gt;Hye Sook Yun Choi&lt;/author&gt;&lt;/authors&gt;&lt;/contributors&gt;&lt;titles&gt;&lt;title&gt;&lt;style face="normal" font="default" size="100%"&gt;Phenolic and furan type compounds isolated from &lt;/style&gt;&lt;style face="italic" font="default" size="100%"&gt;Gastrodia elata&lt;/style&gt;&lt;style face="normal" font="default" size="100%"&gt; and their anti-platelet effects&lt;/style&gt;&lt;/title&gt;&lt;secondary-title&gt;Arch. Pharm. Res.&lt;/secondary-title&gt;&lt;/titles&gt;&lt;periodical&gt;&lt;full-title&gt;Arch. Pharm. Res.&lt;/full-title&gt;&lt;/periodical&gt;&lt;pages&gt;384-385&lt;/pages&gt;&lt;volume&gt;27&lt;/volume&gt;&lt;number&gt;4&lt;/number&gt;&lt;section&gt;381&lt;/section&gt;&lt;dates&gt;&lt;year&gt;2004&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based on our spectroscopic data and by comparison with those of reported data.</w:t>
      </w:r>
    </w:p>
    <w:p w14:paraId="6DB625FB" w14:textId="36717AF6"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NO formation and secretion were closely associated with a range of inflammatory pathophysiological processes. As a key signaling molecule in living systems, NO plays essential biological roles; however, excessive production of NO has been implicated in the development of inflammatory diseases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&lt;EndNote&gt;&lt;Cite&gt;&lt;Author&gt;Ren&lt;/Author&gt;&lt;Year&gt;2020&lt;/Year&gt;&lt;RecNum&gt;318&lt;/RecNum&gt;&lt;DisplayText&gt;[20]&lt;/DisplayText&gt;&lt;record&gt;&lt;rec-number&gt;318&lt;/rec-number&gt;&lt;foreign-keys&gt;&lt;key app="EN" db-id="9sr5eszf50a29ae55xgpdt5w0vxdz95ex2xv" timestamp="1757739113"&gt;318&lt;/key&gt;&lt;/foreign-keys&gt;&lt;ref-type name="Journal Article"&gt;17&lt;/ref-type&gt;&lt;contributors&gt;&lt;authors&gt;&lt;author&gt;Jie Ren&lt;/author&gt;&lt;author&gt;Dan Su&lt;/author&gt;&lt;author&gt;Lixia Li&lt;/author&gt;&lt;author&gt;Heng Cai&lt;/author&gt;&lt;author&gt;Meiju Zhang&lt;/author&gt;&lt;author&gt;Jingchen Zhai&lt;/author&gt;&lt;author&gt;Minyue Li&lt;/author&gt;&lt;author&gt;Xinyue Wu&lt;/author&gt;&lt;author&gt;Kun Hu&lt;/author&gt;&lt;/authors&gt;&lt;/contributors&gt;&lt;titles&gt;&lt;title&gt;&lt;style face="normal" font="default" size="100%"&gt;Anti-inflammatory effects of Aureusidin in LPS-stimulated RAW264.7 macrophages via suppressing NF-&lt;/style&gt;&lt;style face="normal" font="default" charset="161" size="100%"&gt;κB and activating ROS- and MAPKs-dependent Nrf2/HO-1 signaling pathways&lt;/style&gt;&lt;/title&gt;&lt;secondary-title&gt;Toxicology and Applied Pharmacology&lt;/secondary-title&gt;&lt;/titles&gt;&lt;periodical&gt;&lt;full-title&gt;Toxicology and Applied Pharmacology&lt;/full-title&gt;&lt;/periodical&gt;&lt;pages&gt;e114846&lt;/pages&gt;&lt;volume&gt;387&lt;/volume&gt;&lt;section&gt;e114846&lt;/section&gt;&lt;dates&gt;&lt;year&gt;2020&lt;/year&gt;&lt;/dates&gt;&lt;urls&gt;&lt;/urls&gt;&lt;/record&gt;&lt;/Cite&gt;&lt;/EndNote&gt;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Therefore, it is highly significant to suppress its excessive production. To evaluate whether the compounds isolated from </w:t>
      </w:r>
      <w:r w:rsidRPr="005E6B7C">
        <w:rPr>
          <w:rFonts w:asciiTheme="majorHAnsi" w:eastAsia="Yu Mincho" w:hAnsiTheme="majorHAnsi" w:cstheme="majorHAnsi"/>
          <w:i/>
          <w:color w:val="000000" w:themeColor="text1"/>
          <w:sz w:val="22"/>
          <w:szCs w:val="22"/>
          <w:lang w:eastAsia="ja-JP"/>
        </w:rPr>
        <w:t>T. rotundifolia</w:t>
      </w:r>
      <w:r w:rsidRPr="005E6B7C">
        <w:rPr>
          <w:rFonts w:asciiTheme="majorHAnsi" w:eastAsia="Yu Mincho" w:hAnsiTheme="majorHAnsi" w:cstheme="majorHAnsi"/>
          <w:color w:val="000000" w:themeColor="text1"/>
          <w:sz w:val="22"/>
          <w:szCs w:val="22"/>
          <w:lang w:eastAsia="ja-JP"/>
        </w:rPr>
        <w:t xml:space="preserve"> possess anti-inflammatory activity, we assessed their inhibitory effects on LPS-induced NO production in RAW264.7 cells. Only compounds that were both stable and obtainable in sufficient amounts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were selected for evaluation of their inhibitory activity against NO production in LPS-induced RAW264.7 cells. At their effective concentrations, none of the tested compounds exhibited cytotoxicity toward RAW264.7 cells. Among them,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exhibited significant inhibitory effects, with the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of 26.9 and 21.1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M, respectively, </w:t>
      </w:r>
      <w:r w:rsidRPr="005E6B7C">
        <w:rPr>
          <w:rFonts w:asciiTheme="majorHAnsi" w:eastAsia="Yu Mincho" w:hAnsiTheme="majorHAnsi" w:cstheme="majorHAnsi"/>
          <w:color w:val="000000" w:themeColor="text1"/>
          <w:sz w:val="22"/>
          <w:szCs w:val="22"/>
          <w:lang w:eastAsia="ja-JP"/>
        </w:rPr>
        <w:t>compared with the positive control, dexamethasone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13.6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M). Compound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demonstrated only moderate inhibition, with an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 of 54.5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 (Table 3). Building on previous studies, syringaresinol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&lt;EndNote&gt;&lt;Cite&gt;&lt;Author&gt;Zhang&lt;/Author&gt;&lt;Year&gt;2025&lt;/Year&gt;&lt;RecNum&gt;320&lt;/RecNum&gt;&lt;DisplayText&gt;[21]&lt;/DisplayText&gt;&lt;record&gt;&lt;rec-number&gt;320&lt;/rec-number&gt;&lt;foreign-keys&gt;&lt;key app="EN" db-id="9sr5eszf50a29ae55xgpdt5w0vxdz95ex2xv" timestamp="1757757216"&gt;320&lt;/key&gt;&lt;/foreign-keys&gt;&lt;ref-type name="Journal Article"&gt;17&lt;/ref-type&gt;&lt;contributors&gt;&lt;authors&gt;&lt;author&gt;Lei Zhang&lt;/author&gt;&lt;author&gt;Yuqing Tian&lt;/author&gt;&lt;author&gt;Lingling Zhang&lt;/author&gt;&lt;author&gt;Huanyu Zhang&lt;/author&gt;&lt;author&gt;Jinghua Yang&lt;/author&gt;&lt;author&gt;Yi Wang&lt;/author&gt;&lt;author&gt;Na Lu&lt;/author&gt;&lt;author&gt;Wei Guo&lt;/author&gt;&lt;author&gt;Liang Wang&lt;/author&gt;&lt;/authors&gt;&lt;/contributors&gt;&lt;titles&gt;&lt;title&gt;A comprehensive review on the plant sources, pharmacological activities and pharmacokinetic characteristics of syringaresinol&lt;/title&gt;&lt;secondary-title&gt;Pharmacological Research&lt;/secondary-title&gt;&lt;/titles&gt;&lt;periodical&gt;&lt;full-title&gt;Pharmacological Research&lt;/full-title&gt;&lt;/periodical&gt;&lt;pages&gt;e107572&lt;/pages&gt;&lt;volume&gt;212&lt;/volume&gt;&lt;section&gt;e107572&lt;/section&gt;&lt;dates&gt;&lt;year&gt;2025&lt;/year&gt;&lt;/dates&gt;&lt;urls&gt;&lt;/urls&gt;&lt;/record&gt;&lt;/Cite&gt;&lt;/EndNote&gt;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dehydrochebulic acid trimethyl ester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hAnsiTheme="majorHAnsi" w:cstheme="majorHAnsi"/>
          <w:iCs/>
          <w:noProof/>
          <w:color w:val="000000" w:themeColor="text1"/>
          <w:sz w:val="22"/>
          <w:szCs w:val="22"/>
          <w:lang w:eastAsia="ko-KR"/>
        </w:rPr>
        <w:fldChar w:fldCharType="begin">
          <w:fldData xml:space="preserve">PEVuZE5vdGU+PENpdGU+PEF1dGhvcj5DYW1hY2hvLUx1aXM8L0F1dGhvcj48WWVhcj4yMDA4PC9Z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</w:fldData>
        </w:fldChar>
      </w:r>
      <w:r w:rsidRPr="005E6B7C">
        <w:rPr>
          <w:rFonts w:asciiTheme="majorHAnsi" w:hAnsiTheme="majorHAnsi" w:cstheme="majorHAnsi"/>
          <w:iCs/>
          <w:noProof/>
          <w:color w:val="000000" w:themeColor="text1"/>
          <w:sz w:val="22"/>
          <w:szCs w:val="22"/>
          <w:lang w:eastAsia="ko-KR"/>
        </w:rPr>
        <w:instrText xml:space="preserve"> ADDIN EN.CITE </w:instrText>
      </w:r>
      <w:r w:rsidRPr="005E6B7C">
        <w:rPr>
          <w:rFonts w:asciiTheme="majorHAnsi" w:hAnsiTheme="majorHAnsi" w:cstheme="majorHAnsi"/>
          <w:iCs/>
          <w:noProof/>
          <w:color w:val="000000" w:themeColor="text1"/>
          <w:sz w:val="22"/>
          <w:szCs w:val="22"/>
          <w:lang w:eastAsia="ko-KR"/>
        </w:rPr>
        <w:fldChar w:fldCharType="begin">
          <w:fldData xml:space="preserve">PEVuZE5vdGU+PENpdGU+PEF1dGhvcj5DYW1hY2hvLUx1aXM8L0F1dGhvcj48WWVhcj4yMDA4PC9Z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</w:fldData>
        </w:fldChar>
      </w:r>
      <w:r w:rsidRPr="005E6B7C">
        <w:rPr>
          <w:rFonts w:asciiTheme="majorHAnsi" w:hAnsiTheme="majorHAnsi" w:cstheme="majorHAnsi"/>
          <w:iCs/>
          <w:noProof/>
          <w:color w:val="000000" w:themeColor="text1"/>
          <w:sz w:val="22"/>
          <w:szCs w:val="22"/>
          <w:lang w:eastAsia="ko-KR"/>
        </w:rPr>
        <w:instrText xml:space="preserve"> ADDIN EN.CITE.DATA </w:instrText>
      </w:r>
      <w:r w:rsidRPr="005E6B7C">
        <w:rPr>
          <w:rFonts w:asciiTheme="majorHAnsi" w:hAnsiTheme="majorHAnsi" w:cstheme="majorHAnsi"/>
          <w:iCs/>
          <w:noProof/>
          <w:color w:val="000000" w:themeColor="text1"/>
          <w:sz w:val="22"/>
          <w:szCs w:val="22"/>
          <w:lang w:eastAsia="ko-KR"/>
        </w:rPr>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hAnsiTheme="majorHAnsi" w:cstheme="majorHAnsi"/>
          <w:iCs/>
          <w:noProof/>
          <w:color w:val="000000" w:themeColor="text1"/>
          <w:sz w:val="22"/>
          <w:szCs w:val="22"/>
          <w:lang w:eastAsia="ko-KR"/>
        </w:rPr>
      </w:r>
      <w:r w:rsidRPr="005E6B7C">
        <w:rPr>
          <w:rFonts w:asciiTheme="majorHAnsi" w:hAnsiTheme="majorHAnsi" w:cstheme="majorHAnsi"/>
          <w:iCs/>
          <w:noProof/>
          <w:color w:val="000000" w:themeColor="text1"/>
          <w:sz w:val="22"/>
          <w:szCs w:val="22"/>
          <w:lang w:eastAsia="ko-KR"/>
        </w:rPr>
        <w:fldChar w:fldCharType="separate"/>
      </w:r>
      <w:r w:rsidRPr="005E6B7C">
        <w:rPr>
          <w:rFonts w:asciiTheme="majorHAnsi" w:hAnsiTheme="majorHAnsi" w:cstheme="majorHAnsi"/>
          <w:iCs/>
          <w:noProof/>
          <w:color w:val="000000" w:themeColor="text1"/>
          <w:sz w:val="22"/>
          <w:szCs w:val="22"/>
          <w:lang w:eastAsia="ko-KR"/>
        </w:rPr>
        <w:t>[12],[13],[14]</w:t>
      </w:r>
      <w:r w:rsidRPr="005E6B7C">
        <w:rPr>
          <w:rFonts w:asciiTheme="majorHAnsi" w:hAnsiTheme="majorHAnsi" w:cstheme="majorHAnsi"/>
          <w:iCs/>
          <w:noProof/>
          <w:color w:val="000000" w:themeColor="text1"/>
          <w:sz w:val="22"/>
          <w:szCs w:val="22"/>
          <w:lang w:eastAsia="ko-KR"/>
        </w:rPr>
        <w:fldChar w:fldCharType="end"/>
      </w:r>
      <w:r w:rsidRPr="005E6B7C">
        <w:rPr>
          <w:rFonts w:asciiTheme="majorHAnsi" w:eastAsia="Yu Mincho" w:hAnsiTheme="majorHAnsi" w:cstheme="majorHAnsi"/>
          <w:color w:val="000000" w:themeColor="text1"/>
          <w:sz w:val="22"/>
          <w:szCs w:val="22"/>
          <w:lang w:eastAsia="ja-JP"/>
        </w:rPr>
        <w:t>, and methyl galate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&lt;EndNote&gt;&lt;Cite&gt;&lt;Author&gt;Liang&lt;/Author&gt;&lt;Year&gt;2023&lt;/Year&gt;&lt;RecNum&gt;319&lt;/RecNum&gt;&lt;DisplayText&gt;[22]&lt;/DisplayText&gt;&lt;record&gt;&lt;rec-number&gt;319&lt;/rec-number&gt;&lt;foreign-keys&gt;&lt;key app="EN" db-id="9sr5eszf50a29ae55xgpdt5w0vxdz95ex2xv" timestamp="1757757110"&gt;319&lt;/key&gt;&lt;/foreign-keys&gt;&lt;ref-type name="Journal Article"&gt;17&lt;/ref-type&gt;&lt;contributors&gt;&lt;authors&gt;&lt;author&gt;Huaguo Liang&lt;/author&gt;&lt;author&gt;Qingsong Huang&lt;/author&gt;&lt;author&gt;Li Zou&lt;/author&gt;&lt;author&gt;Peng Wei&lt;/author&gt;&lt;author&gt;Jiazheng Lu&lt;/author&gt;&lt;author&gt;Yongli Zhang &lt;/author&gt;&lt;/authors&gt;&lt;/contributors&gt;&lt;titles&gt;&lt;title&gt;Methyl gallate: review of pharmacological activity &lt;/title&gt;&lt;secondary-title&gt;Pharmacological Research &lt;/secondary-title&gt;&lt;/titles&gt;&lt;periodical&gt;&lt;full-title&gt;Pharmacological Research&lt;/full-title&gt;&lt;/periodical&gt;&lt;pages&gt;e106849&lt;/pages&gt;&lt;volume&gt;194&lt;/volume&gt;&lt;section&gt;e106849&lt;/section&gt;&lt;dates&gt;&lt;year&gt;2023&lt;/year&gt;&lt;/dates&gt;&lt;urls&gt;&lt;/urls&gt;&lt;/record&gt;&lt;/Cite&gt;&lt;/EndNote&gt;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derived from many plants have been found to possess anti-inflammatory activities. Structural features such as the number of methoxy groups and geometric symmetry of its benzene ring appear</w:t>
      </w:r>
      <w:r w:rsidR="00E8693C"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eastAsia="ja-JP"/>
        </w:rPr>
        <w:t xml:space="preserve"> to significantly contribute to its anti-inflammatory effects.</w:t>
      </w:r>
    </w:p>
    <w:p w14:paraId="7FDBF9B4" w14:textId="77777777"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Conclusions</w:t>
      </w:r>
    </w:p>
    <w:p w14:paraId="35076168" w14:textId="77777777"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Phytochemical study of the methanol extract from </w:t>
      </w:r>
      <w:r w:rsidRPr="005E6B7C">
        <w:rPr>
          <w:rFonts w:asciiTheme="majorHAnsi" w:eastAsia="Yu Mincho" w:hAnsiTheme="majorHAnsi" w:cstheme="majorHAnsi"/>
          <w:i/>
          <w:color w:val="000000" w:themeColor="text1"/>
          <w:sz w:val="22"/>
          <w:szCs w:val="22"/>
          <w:lang w:eastAsia="ja-JP"/>
        </w:rPr>
        <w:t>T. rotundifolia</w:t>
      </w:r>
      <w:r w:rsidRPr="005E6B7C">
        <w:rPr>
          <w:rFonts w:asciiTheme="majorHAnsi" w:eastAsia="Yu Mincho" w:hAnsiTheme="majorHAnsi" w:cstheme="majorHAnsi"/>
          <w:color w:val="000000" w:themeColor="text1"/>
          <w:sz w:val="22"/>
          <w:szCs w:val="22"/>
          <w:lang w:eastAsia="ja-JP"/>
        </w:rPr>
        <w:t xml:space="preserve"> leaves resulted in the isolation of six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Their chemical structures were determined by comprehensive analysis of MS and NMR spectral data, as well as by comparison of their spectral data with those reported in the literature. Lignans were identified as the major constituents, marking the first report of lignan derivatives in </w:t>
      </w:r>
      <w:r w:rsidRPr="005E6B7C">
        <w:rPr>
          <w:rFonts w:asciiTheme="majorHAnsi" w:eastAsia="Yu Mincho" w:hAnsiTheme="majorHAnsi" w:cstheme="majorHAnsi"/>
          <w:i/>
          <w:color w:val="000000" w:themeColor="text1"/>
          <w:sz w:val="22"/>
          <w:szCs w:val="22"/>
          <w:lang w:eastAsia="ja-JP"/>
        </w:rPr>
        <w:t>T. rotundifolia</w:t>
      </w:r>
      <w:r w:rsidRPr="005E6B7C">
        <w:rPr>
          <w:rFonts w:asciiTheme="majorHAnsi" w:eastAsia="Yu Mincho" w:hAnsiTheme="majorHAnsi" w:cstheme="majorHAnsi"/>
          <w:color w:val="000000" w:themeColor="text1"/>
          <w:sz w:val="22"/>
          <w:szCs w:val="22"/>
          <w:lang w:eastAsia="ja-JP"/>
        </w:rPr>
        <w:t xml:space="preserve">. Compounds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showed significant inhibitory effect against NO production, with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values ranging from 21.1 to 54.5 </w:t>
      </w:r>
      <w:r w:rsidRPr="005E6B7C">
        <w:rPr>
          <w:rFonts w:asciiTheme="majorHAnsi" w:eastAsia="Yu Mincho" w:hAnsiTheme="majorHAnsi" w:cstheme="majorHAnsi"/>
          <w:i/>
          <w:color w:val="000000" w:themeColor="text1"/>
          <w:sz w:val="22"/>
          <w:szCs w:val="22"/>
          <w:lang w:eastAsia="ja-JP"/>
        </w:rPr>
        <w:t>μ</w:t>
      </w:r>
      <w:r w:rsidRPr="005E6B7C">
        <w:rPr>
          <w:rFonts w:asciiTheme="majorHAnsi" w:eastAsia="Yu Mincho" w:hAnsiTheme="majorHAnsi" w:cstheme="majorHAnsi"/>
          <w:color w:val="000000" w:themeColor="text1"/>
          <w:sz w:val="22"/>
          <w:szCs w:val="22"/>
          <w:lang w:eastAsia="ja-JP"/>
        </w:rPr>
        <w:t xml:space="preserve">M. These findings highlight the bioactive metabolites of </w:t>
      </w:r>
      <w:r w:rsidRPr="005E6B7C">
        <w:rPr>
          <w:rFonts w:asciiTheme="majorHAnsi" w:eastAsia="Yu Mincho" w:hAnsiTheme="majorHAnsi" w:cstheme="majorHAnsi"/>
          <w:i/>
          <w:color w:val="000000" w:themeColor="text1"/>
          <w:sz w:val="22"/>
          <w:szCs w:val="22"/>
          <w:lang w:eastAsia="ja-JP"/>
        </w:rPr>
        <w:t xml:space="preserve">T. </w:t>
      </w:r>
      <w:r w:rsidRPr="005E6B7C">
        <w:rPr>
          <w:rFonts w:asciiTheme="majorHAnsi" w:eastAsia="Yu Mincho" w:hAnsiTheme="majorHAnsi" w:cstheme="majorHAnsi"/>
          <w:i/>
          <w:color w:val="000000" w:themeColor="text1"/>
          <w:sz w:val="22"/>
          <w:szCs w:val="22"/>
          <w:lang w:eastAsia="ja-JP"/>
        </w:rPr>
        <w:lastRenderedPageBreak/>
        <w:t>rotundifolia</w:t>
      </w:r>
      <w:r w:rsidRPr="005E6B7C">
        <w:rPr>
          <w:rFonts w:asciiTheme="majorHAnsi" w:eastAsia="Yu Mincho" w:hAnsiTheme="majorHAnsi" w:cstheme="majorHAnsi"/>
          <w:color w:val="000000" w:themeColor="text1"/>
          <w:sz w:val="22"/>
          <w:szCs w:val="22"/>
          <w:lang w:eastAsia="ja-JP"/>
        </w:rPr>
        <w:t xml:space="preserve"> and provide a scientific basis for further exploration of natural products within the genus</w:t>
      </w:r>
      <w:r w:rsidRPr="005E6B7C">
        <w:rPr>
          <w:rFonts w:asciiTheme="majorHAnsi" w:eastAsia="Yu Mincho" w:hAnsiTheme="majorHAnsi" w:cstheme="majorHAnsi"/>
          <w:i/>
          <w:color w:val="000000" w:themeColor="text1"/>
          <w:sz w:val="22"/>
          <w:szCs w:val="22"/>
          <w:lang w:eastAsia="ja-JP"/>
        </w:rPr>
        <w:t xml:space="preserve"> Triadica</w:t>
      </w:r>
      <w:r w:rsidRPr="005E6B7C">
        <w:rPr>
          <w:rFonts w:asciiTheme="majorHAnsi" w:eastAsia="Yu Mincho" w:hAnsiTheme="majorHAnsi" w:cstheme="majorHAnsi"/>
          <w:color w:val="000000" w:themeColor="text1"/>
          <w:sz w:val="22"/>
          <w:szCs w:val="22"/>
          <w:lang w:eastAsia="ja-JP"/>
        </w:rPr>
        <w:t>.</w:t>
      </w:r>
    </w:p>
    <w:p w14:paraId="7730A5B9" w14:textId="77777777" w:rsidR="00A9181D" w:rsidRPr="005E6B7C" w:rsidRDefault="00E049CB" w:rsidP="008C0D47">
      <w:pPr>
        <w:tabs>
          <w:tab w:val="left" w:pos="270"/>
          <w:tab w:val="left" w:pos="9270"/>
        </w:tabs>
        <w:spacing w:line="26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
          <w:color w:val="000000" w:themeColor="text1"/>
          <w:sz w:val="20"/>
          <w:szCs w:val="20"/>
          <w:lang w:eastAsia="ja-JP"/>
        </w:rPr>
        <w:t xml:space="preserve">Acknowledgments:  </w:t>
      </w:r>
      <w:r w:rsidRPr="005E6B7C">
        <w:rPr>
          <w:rFonts w:asciiTheme="majorHAnsi" w:eastAsia="Yu Mincho" w:hAnsiTheme="majorHAnsi" w:cstheme="majorHAnsi"/>
          <w:bCs/>
          <w:i/>
          <w:iCs/>
          <w:color w:val="000000" w:themeColor="text1"/>
          <w:sz w:val="20"/>
          <w:szCs w:val="20"/>
          <w:lang w:eastAsia="ja-JP"/>
        </w:rPr>
        <w:t xml:space="preserve">This research is funded by the </w:t>
      </w:r>
      <w:r w:rsidRPr="005E6B7C">
        <w:rPr>
          <w:rFonts w:asciiTheme="majorHAnsi" w:eastAsia="Yu Mincho" w:hAnsiTheme="majorHAnsi" w:cstheme="majorHAnsi"/>
          <w:bCs/>
          <w:i/>
          <w:iCs/>
          <w:color w:val="000000" w:themeColor="text1"/>
          <w:sz w:val="20"/>
          <w:szCs w:val="20"/>
          <w:lang w:eastAsia="ja-JP"/>
        </w:rPr>
        <w:t>Vietnam National Foundation for Science and Technology Development (NAFOSTED) under grant number 104.01-2023.08</w:t>
      </w:r>
      <w:r w:rsidRPr="005E6B7C">
        <w:rPr>
          <w:rFonts w:asciiTheme="majorHAnsi" w:eastAsia="Yu Mincho" w:hAnsiTheme="majorHAnsi" w:cstheme="majorHAnsi"/>
          <w:bCs/>
          <w:i/>
          <w:iCs/>
          <w:color w:val="000000" w:themeColor="text1"/>
          <w:sz w:val="22"/>
          <w:szCs w:val="22"/>
          <w:lang w:eastAsia="ja-JP"/>
        </w:rPr>
        <w:t>.</w:t>
      </w:r>
    </w:p>
    <w:p w14:paraId="2052AD55" w14:textId="77777777" w:rsidR="00A9181D" w:rsidRPr="005E6B7C" w:rsidRDefault="00A9181D" w:rsidP="008C0D47">
      <w:pPr>
        <w:tabs>
          <w:tab w:val="left" w:pos="27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sectPr w:rsidR="00A9181D" w:rsidRPr="005E6B7C" w:rsidSect="00A9181D">
          <w:type w:val="continuous"/>
          <w:pgSz w:w="10773" w:h="15309" w:code="9"/>
          <w:pgMar w:top="907" w:right="851" w:bottom="1418" w:left="851" w:header="397" w:footer="851" w:gutter="0"/>
          <w:cols w:num="2" w:space="284"/>
          <w:docGrid w:linePitch="360"/>
        </w:sectPr>
      </w:pPr>
    </w:p>
    <w:p w14:paraId="1ED06AED" w14:textId="77777777" w:rsidR="00EB175E" w:rsidRPr="005E6B7C" w:rsidRDefault="00EB175E"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p>
    <w:p w14:paraId="3CA2BFCB" w14:textId="77777777" w:rsidR="00E049CB" w:rsidRPr="005E6B7C" w:rsidRDefault="00E049CB" w:rsidP="008C0D47">
      <w:pPr>
        <w:tabs>
          <w:tab w:val="left" w:pos="270"/>
          <w:tab w:val="left" w:pos="9270"/>
        </w:tabs>
        <w:spacing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4AA4A357"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fldChar w:fldCharType="begin"/>
      </w:r>
      <w:r w:rsidRPr="005E6B7C">
        <w:rPr>
          <w:rFonts w:asciiTheme="majorHAnsi" w:eastAsia="Yu Mincho" w:hAnsiTheme="majorHAnsi" w:cstheme="majorHAnsi"/>
          <w:b/>
          <w:noProof/>
          <w:color w:val="000000" w:themeColor="text1"/>
          <w:sz w:val="18"/>
          <w:szCs w:val="18"/>
          <w:lang w:eastAsia="ja-JP"/>
        </w:rPr>
        <w:instrText xml:space="preserve"> ADDIN EN.REFLIST </w:instrText>
      </w:r>
      <w:r w:rsidRPr="005E6B7C">
        <w:rPr>
          <w:rFonts w:asciiTheme="majorHAnsi" w:eastAsia="Yu Mincho" w:hAnsiTheme="majorHAnsi" w:cstheme="majorHAnsi"/>
          <w:b/>
          <w:noProof/>
          <w:color w:val="000000" w:themeColor="text1"/>
          <w:sz w:val="18"/>
          <w:szCs w:val="18"/>
          <w:lang w:eastAsia="ja-JP"/>
        </w:rPr>
        <w:fldChar w:fldCharType="separate"/>
      </w:r>
      <w:r w:rsidRPr="005E6B7C">
        <w:rPr>
          <w:rFonts w:asciiTheme="majorHAnsi" w:eastAsia="Yu Mincho" w:hAnsiTheme="majorHAnsi" w:cstheme="majorHAnsi"/>
          <w:b/>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 Muqarrabun L. M. R. A., Ahmat N., Aris S. R. S. (2014),  A review of the medicinal uses, phytochemistry and pharmacology of the genus</w:t>
      </w:r>
      <w:r w:rsidRPr="005E6B7C">
        <w:rPr>
          <w:rFonts w:asciiTheme="majorHAnsi" w:eastAsia="Yu Mincho" w:hAnsiTheme="majorHAnsi" w:cstheme="majorHAnsi"/>
          <w:i/>
          <w:noProof/>
          <w:color w:val="000000" w:themeColor="text1"/>
          <w:sz w:val="18"/>
          <w:szCs w:val="18"/>
          <w:lang w:eastAsia="ja-JP"/>
        </w:rPr>
        <w:t xml:space="preserve"> Sapium.</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155, 9–20.</w:t>
      </w:r>
    </w:p>
    <w:p w14:paraId="291B1D38" w14:textId="37BB66C9"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 Su B., Wang Y., Zhao H., Zhang Y., Wang H., Zhang G., Wang Y., Liang D. (2026),  Casbane diterpenoids from Euphorbiaceae suppress neuroinflammation by regulating microglia polarization via inhibiting NF-</w:t>
      </w:r>
      <w:r w:rsidRPr="005E6B7C">
        <w:rPr>
          <w:rFonts w:asciiTheme="majorHAnsi" w:eastAsia="Yu Mincho" w:hAnsiTheme="majorHAnsi" w:cstheme="majorHAnsi"/>
          <w:i/>
          <w:noProof/>
          <w:color w:val="000000" w:themeColor="text1"/>
          <w:sz w:val="18"/>
          <w:szCs w:val="18"/>
          <w:lang w:eastAsia="ja-JP"/>
        </w:rPr>
        <w:t>κ</w:t>
      </w:r>
      <w:r w:rsidRPr="005E6B7C">
        <w:rPr>
          <w:rFonts w:asciiTheme="majorHAnsi" w:eastAsia="Yu Mincho" w:hAnsiTheme="majorHAnsi" w:cstheme="majorHAnsi"/>
          <w:noProof/>
          <w:color w:val="000000" w:themeColor="text1"/>
          <w:sz w:val="18"/>
          <w:szCs w:val="18"/>
          <w:lang w:eastAsia="ja-JP"/>
        </w:rPr>
        <w:t>B signaling</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Bioorganic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168, e109347.</w:t>
      </w:r>
    </w:p>
    <w:p w14:paraId="103CB44E"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fldChar w:fldCharType="end"/>
      </w:r>
      <w:r w:rsidRPr="005E6B7C">
        <w:rPr>
          <w:rFonts w:asciiTheme="majorHAnsi" w:eastAsia="Yu Mincho" w:hAnsiTheme="majorHAnsi" w:cstheme="majorHAnsi"/>
          <w:b/>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Lai X. Z., Yang Y. B., Shan X. L. (2004), The investigation of</w:t>
      </w:r>
      <w:r w:rsidRPr="005E6B7C">
        <w:rPr>
          <w:rFonts w:asciiTheme="majorHAnsi" w:eastAsia="Yu Mincho" w:hAnsiTheme="majorHAnsi" w:cstheme="majorHAnsi"/>
          <w:i/>
          <w:noProof/>
          <w:color w:val="000000" w:themeColor="text1"/>
          <w:sz w:val="18"/>
          <w:szCs w:val="18"/>
          <w:lang w:eastAsia="ja-JP"/>
        </w:rPr>
        <w:t xml:space="preserve"> Euphorbiaceous </w:t>
      </w:r>
      <w:r w:rsidRPr="005E6B7C">
        <w:rPr>
          <w:rFonts w:asciiTheme="majorHAnsi" w:eastAsia="Yu Mincho" w:hAnsiTheme="majorHAnsi" w:cstheme="majorHAnsi"/>
          <w:noProof/>
          <w:color w:val="000000" w:themeColor="text1"/>
          <w:sz w:val="18"/>
          <w:szCs w:val="18"/>
          <w:lang w:eastAsia="ja-JP"/>
        </w:rPr>
        <w:t>medicinal plants in Southern China</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Economic Botany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58, S307–S320.</w:t>
      </w:r>
    </w:p>
    <w:p w14:paraId="03DDC857"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 xml:space="preserve">. He Q., Zhang L., Li T., Li C., Song H., Fan P. (2021), Genus </w:t>
      </w:r>
      <w:r w:rsidRPr="005E6B7C">
        <w:rPr>
          <w:rFonts w:asciiTheme="majorHAnsi" w:eastAsia="Yu Mincho" w:hAnsiTheme="majorHAnsi" w:cstheme="majorHAnsi"/>
          <w:i/>
          <w:noProof/>
          <w:color w:val="000000" w:themeColor="text1"/>
          <w:sz w:val="18"/>
          <w:szCs w:val="18"/>
          <w:lang w:eastAsia="ja-JP"/>
        </w:rPr>
        <w:t>Sapium</w:t>
      </w:r>
      <w:r w:rsidRPr="005E6B7C">
        <w:rPr>
          <w:rFonts w:asciiTheme="majorHAnsi" w:eastAsia="Yu Mincho" w:hAnsiTheme="majorHAnsi" w:cstheme="majorHAnsi"/>
          <w:noProof/>
          <w:color w:val="000000" w:themeColor="text1"/>
          <w:sz w:val="18"/>
          <w:szCs w:val="18"/>
          <w:lang w:eastAsia="ja-JP"/>
        </w:rPr>
        <w:t xml:space="preserve"> (Euphorbiaceae): A review on traditional uses, phytochemistry, and pharmacology</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277, e114206.</w:t>
      </w:r>
    </w:p>
    <w:p w14:paraId="6E5B6754"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fldChar w:fldCharType="begin"/>
      </w:r>
      <w:r w:rsidRPr="005E6B7C">
        <w:rPr>
          <w:rFonts w:asciiTheme="majorHAnsi" w:eastAsia="Yu Mincho" w:hAnsiTheme="majorHAnsi" w:cstheme="majorHAnsi"/>
          <w:b/>
          <w:noProof/>
          <w:color w:val="000000" w:themeColor="text1"/>
          <w:sz w:val="18"/>
          <w:szCs w:val="18"/>
          <w:lang w:eastAsia="ja-JP"/>
        </w:rPr>
        <w:instrText xml:space="preserve"> ADDIN EN.REFLIST </w:instrText>
      </w:r>
      <w:r w:rsidRPr="005E6B7C">
        <w:rPr>
          <w:rFonts w:asciiTheme="majorHAnsi" w:eastAsia="Yu Mincho" w:hAnsiTheme="majorHAnsi" w:cstheme="majorHAnsi"/>
          <w:b/>
          <w:noProof/>
          <w:color w:val="000000" w:themeColor="text1"/>
          <w:sz w:val="18"/>
          <w:szCs w:val="18"/>
          <w:lang w:eastAsia="ja-JP"/>
        </w:rPr>
        <w:fldChar w:fldCharType="separate"/>
      </w:r>
      <w:r w:rsidRPr="005E6B7C">
        <w:rPr>
          <w:rFonts w:asciiTheme="majorHAnsi" w:eastAsia="Yu Mincho" w:hAnsiTheme="majorHAnsi" w:cstheme="majorHAnsi"/>
          <w:b/>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 Ban N. T., Khoi N. K., Phuong V. X., Anh T. T. P., Bien L. K., Binh N. Q., Dung H. T. (2003), Checklist of plant species of Vietnam</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Agricultural Publishing House</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Vol. II, p. 643–644.</w:t>
      </w:r>
    </w:p>
    <w:p w14:paraId="4397E46C"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 Chi V. V. (2018), Dictionary of Vietnamese Medicinal Plants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Medical Publishing House</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Vol. 2, p. 702.</w:t>
      </w:r>
    </w:p>
    <w:p w14:paraId="3522D415"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 Zhao H. Y., Su B. J., Zhou W. J., Wang Y. Q., Liao H. B., Wang H. S., Liang D. (2020), Diterpenoids and triterpenoids from</w:t>
      </w:r>
      <w:r w:rsidRPr="005E6B7C">
        <w:rPr>
          <w:rFonts w:asciiTheme="majorHAnsi" w:eastAsia="Yu Mincho" w:hAnsiTheme="majorHAnsi" w:cstheme="majorHAnsi"/>
          <w:i/>
          <w:noProof/>
          <w:color w:val="000000" w:themeColor="text1"/>
          <w:sz w:val="18"/>
          <w:szCs w:val="18"/>
          <w:lang w:eastAsia="ja-JP"/>
        </w:rPr>
        <w:t xml:space="preserve"> Triadica rotundifolia</w:t>
      </w:r>
      <w:r w:rsidRPr="005E6B7C">
        <w:rPr>
          <w:rFonts w:asciiTheme="majorHAnsi" w:eastAsia="Yu Mincho" w:hAnsiTheme="majorHAnsi" w:cstheme="majorHAnsi"/>
          <w:noProof/>
          <w:color w:val="000000" w:themeColor="text1"/>
          <w:sz w:val="18"/>
          <w:szCs w:val="18"/>
          <w:lang w:eastAsia="ja-JP"/>
        </w:rPr>
        <w:t xml:space="preserve"> and their effects on microglial nitric oxide production</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Bioorganic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105, e104332.</w:t>
      </w:r>
    </w:p>
    <w:p w14:paraId="142F0319"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 xml:space="preserve">. Bang N. A., Yen D. T. H., Hang D. T. T., Yen P. H., Hoang N. H., Trang D. T., Dung D. T., Cuc N. T., Cuong N. T., Nhiem N. X., Tai B. H., Kiem P. V. (2024), New diterpene lactone derivatives from </w:t>
      </w:r>
      <w:r w:rsidRPr="005E6B7C">
        <w:rPr>
          <w:rFonts w:asciiTheme="majorHAnsi" w:eastAsia="Yu Mincho" w:hAnsiTheme="majorHAnsi" w:cstheme="majorHAnsi"/>
          <w:i/>
          <w:noProof/>
          <w:color w:val="000000" w:themeColor="text1"/>
          <w:sz w:val="18"/>
          <w:szCs w:val="18"/>
          <w:lang w:eastAsia="ja-JP"/>
        </w:rPr>
        <w:t>Aphanamixis polystachya</w:t>
      </w:r>
      <w:r w:rsidRPr="005E6B7C">
        <w:rPr>
          <w:rFonts w:asciiTheme="majorHAnsi" w:eastAsia="Yu Mincho" w:hAnsiTheme="majorHAnsi" w:cstheme="majorHAnsi"/>
          <w:noProof/>
          <w:color w:val="000000" w:themeColor="text1"/>
          <w:sz w:val="18"/>
          <w:szCs w:val="18"/>
          <w:lang w:eastAsia="ja-JP"/>
        </w:rPr>
        <w:t xml:space="preserve"> leaves inhibit nitric oxide production in RAW264.7 cells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RSC Advances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14, 20536−20542.</w:t>
      </w:r>
    </w:p>
    <w:p w14:paraId="6A9684E9"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 xml:space="preserve">. Quoc N. V., Tai B. H., Yen P. H., Hoang N. H., Hang D. T. T., Huong P. T. T., Bang N. A., Dung D. T., Trang D. T., Giang L. D., Kiem P. V. (2024), Three undescribed furanoditerpenoids from the </w:t>
      </w:r>
      <w:r w:rsidRPr="005E6B7C">
        <w:rPr>
          <w:rFonts w:asciiTheme="majorHAnsi" w:eastAsia="Yu Mincho" w:hAnsiTheme="majorHAnsi" w:cstheme="majorHAnsi"/>
          <w:i/>
          <w:noProof/>
          <w:color w:val="000000" w:themeColor="text1"/>
          <w:sz w:val="18"/>
          <w:szCs w:val="18"/>
          <w:lang w:eastAsia="ja-JP"/>
        </w:rPr>
        <w:t>Tinospora crispa</w:t>
      </w:r>
      <w:r w:rsidRPr="005E6B7C">
        <w:rPr>
          <w:rFonts w:asciiTheme="majorHAnsi" w:eastAsia="Yu Mincho" w:hAnsiTheme="majorHAnsi" w:cstheme="majorHAnsi"/>
          <w:noProof/>
          <w:color w:val="000000" w:themeColor="text1"/>
          <w:sz w:val="18"/>
          <w:szCs w:val="18"/>
          <w:lang w:eastAsia="ja-JP"/>
        </w:rPr>
        <w:t xml:space="preserve"> that inhibit NO production</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Chemistry &amp; Biodiversity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21, e202401679.</w:t>
      </w:r>
    </w:p>
    <w:p w14:paraId="2B75CCA4"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 xml:space="preserve">. Sun Y., Zhou Y., Dong S., Tang X., Ren Y., Liu X., Zhang G. (2023), Lignans from the seed shells of </w:t>
      </w:r>
      <w:r w:rsidRPr="005E6B7C">
        <w:rPr>
          <w:rFonts w:asciiTheme="majorHAnsi" w:eastAsia="Yu Mincho" w:hAnsiTheme="majorHAnsi" w:cstheme="majorHAnsi"/>
          <w:i/>
          <w:noProof/>
          <w:color w:val="000000" w:themeColor="text1"/>
          <w:sz w:val="18"/>
          <w:szCs w:val="18"/>
          <w:lang w:eastAsia="ja-JP"/>
        </w:rPr>
        <w:t>Cerasus humilis</w:t>
      </w:r>
      <w:r w:rsidRPr="005E6B7C">
        <w:rPr>
          <w:rFonts w:asciiTheme="majorHAnsi" w:eastAsia="Yu Mincho" w:hAnsiTheme="majorHAnsi" w:cstheme="majorHAnsi"/>
          <w:noProof/>
          <w:color w:val="000000" w:themeColor="text1"/>
          <w:sz w:val="18"/>
          <w:szCs w:val="18"/>
          <w:lang w:eastAsia="ja-JP"/>
        </w:rPr>
        <w:t xml:space="preserve"> (Bge.) Sok and their bioactivities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Fitoterapia</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170, 105651.</w:t>
      </w:r>
    </w:p>
    <w:p w14:paraId="61387BEE"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 xml:space="preserve">. Zhou L., Guo R., Zhang H., Lu L. W., Du Y. Q., Liu Q. B., Huang X. X., Song S. J. (2021), Rapid approaches for assignment of the relative configuration in 1‑oxygenated 1,2-diarylpropan-3-ols by </w:t>
      </w:r>
      <w:r w:rsidRPr="005E6B7C">
        <w:rPr>
          <w:rFonts w:asciiTheme="majorHAnsi" w:eastAsia="Yu Mincho" w:hAnsiTheme="majorHAnsi" w:cstheme="majorHAnsi"/>
          <w:noProof/>
          <w:color w:val="000000" w:themeColor="text1"/>
          <w:sz w:val="18"/>
          <w:szCs w:val="18"/>
          <w:vertAlign w:val="superscript"/>
          <w:lang w:eastAsia="ja-JP"/>
        </w:rPr>
        <w:t>1</w:t>
      </w:r>
      <w:r w:rsidRPr="005E6B7C">
        <w:rPr>
          <w:rFonts w:asciiTheme="majorHAnsi" w:eastAsia="Yu Mincho" w:hAnsiTheme="majorHAnsi" w:cstheme="majorHAnsi"/>
          <w:noProof/>
          <w:color w:val="000000" w:themeColor="text1"/>
          <w:sz w:val="18"/>
          <w:szCs w:val="18"/>
          <w:lang w:eastAsia="ja-JP"/>
        </w:rPr>
        <w:t>H NMR spectroscopy</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Natural Products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84, 20−25.</w:t>
      </w:r>
    </w:p>
    <w:p w14:paraId="4EF736D2"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 xml:space="preserve">. Camacho-Luis A., Gayosso-De-Lucio J. A., Torres-Valencia J. M., Muñoz-Sánchez J. L., Alarcón-Hernández E., López R., Barrón B. L. (2008), Antioxidant constituents of </w:t>
      </w:r>
      <w:r w:rsidRPr="005E6B7C">
        <w:rPr>
          <w:rFonts w:asciiTheme="majorHAnsi" w:eastAsia="Yu Mincho" w:hAnsiTheme="majorHAnsi" w:cstheme="majorHAnsi"/>
          <w:i/>
          <w:noProof/>
          <w:color w:val="000000" w:themeColor="text1"/>
          <w:sz w:val="18"/>
          <w:szCs w:val="18"/>
          <w:lang w:eastAsia="ja-JP"/>
        </w:rPr>
        <w:t xml:space="preserve">Geranium bellum </w:t>
      </w:r>
      <w:r w:rsidRPr="005E6B7C">
        <w:rPr>
          <w:rFonts w:asciiTheme="majorHAnsi" w:eastAsia="Yu Mincho" w:hAnsiTheme="majorHAnsi" w:cstheme="majorHAnsi"/>
          <w:noProof/>
          <w:color w:val="000000" w:themeColor="text1"/>
          <w:sz w:val="18"/>
          <w:szCs w:val="18"/>
          <w:lang w:eastAsia="ja-JP"/>
        </w:rPr>
        <w:t>rose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the Mexican Chemical Society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52, 103−107.</w:t>
      </w:r>
    </w:p>
    <w:p w14:paraId="7CFEFC90"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 xml:space="preserve">. Yang Z. N., Su B. J., Wang Y. Q., Liao H. B., Chen Z. F., Liang D. (2020), Isolation, absolute configuration, and biological activities of chebulic acid and brevifolincarboxylic acid derivatives from </w:t>
      </w:r>
      <w:r w:rsidRPr="005E6B7C">
        <w:rPr>
          <w:rFonts w:asciiTheme="majorHAnsi" w:eastAsia="Yu Mincho" w:hAnsiTheme="majorHAnsi" w:cstheme="majorHAnsi"/>
          <w:i/>
          <w:noProof/>
          <w:color w:val="000000" w:themeColor="text1"/>
          <w:sz w:val="18"/>
          <w:szCs w:val="18"/>
          <w:lang w:eastAsia="ja-JP"/>
        </w:rPr>
        <w:t>Euphorbia hirta.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Natural Products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83, 985−995.</w:t>
      </w:r>
    </w:p>
    <w:p w14:paraId="5D2C1E31"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 xml:space="preserve">. Zhao H. Y., Lan Q., He S., Su B. J., Wang Y. Q., Hai Bing Liao, Wang H. S., Liang D. (2021), Chebulic acid derivatives from </w:t>
      </w:r>
      <w:r w:rsidRPr="005E6B7C">
        <w:rPr>
          <w:rFonts w:asciiTheme="majorHAnsi" w:eastAsia="Yu Mincho" w:hAnsiTheme="majorHAnsi" w:cstheme="majorHAnsi"/>
          <w:i/>
          <w:noProof/>
          <w:color w:val="000000" w:themeColor="text1"/>
          <w:sz w:val="18"/>
          <w:szCs w:val="18"/>
          <w:lang w:eastAsia="ja-JP"/>
        </w:rPr>
        <w:t>Balakata baccata</w:t>
      </w:r>
      <w:r w:rsidRPr="005E6B7C">
        <w:rPr>
          <w:rFonts w:asciiTheme="majorHAnsi" w:eastAsia="Yu Mincho" w:hAnsiTheme="majorHAnsi" w:cstheme="majorHAnsi"/>
          <w:noProof/>
          <w:color w:val="000000" w:themeColor="text1"/>
          <w:sz w:val="18"/>
          <w:szCs w:val="18"/>
          <w:lang w:eastAsia="ja-JP"/>
        </w:rPr>
        <w:t xml:space="preserve"> and their antineuroinflammatory and antioxidant activities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Bioorganic Chemistry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116, e105332.</w:t>
      </w:r>
    </w:p>
    <w:p w14:paraId="008F1DA3"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 xml:space="preserve">. Fang S. H., Rao Y. K., Tzeng Y. M. (2008), Anti-oxidant and inflammatory mediator’s growth inhibitory effects of compounds isolated from </w:t>
      </w:r>
      <w:r w:rsidRPr="005E6B7C">
        <w:rPr>
          <w:rFonts w:asciiTheme="majorHAnsi" w:eastAsia="Yu Mincho" w:hAnsiTheme="majorHAnsi" w:cstheme="majorHAnsi"/>
          <w:i/>
          <w:noProof/>
          <w:color w:val="000000" w:themeColor="text1"/>
          <w:sz w:val="18"/>
          <w:szCs w:val="18"/>
          <w:lang w:eastAsia="ja-JP"/>
        </w:rPr>
        <w:t>Phyllanthus urinaria.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116, 333–340.</w:t>
      </w:r>
    </w:p>
    <w:p w14:paraId="0D70B5E8"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Devkota H. P., Basnet P., Yahara S. (2010), A new phenolic compound, 4-dehydrochebulic acid-1,6-dimethyl ester from </w:t>
      </w:r>
      <w:r w:rsidRPr="005E6B7C">
        <w:rPr>
          <w:rFonts w:asciiTheme="majorHAnsi" w:eastAsia="Yu Mincho" w:hAnsiTheme="majorHAnsi" w:cstheme="majorHAnsi"/>
          <w:i/>
          <w:noProof/>
          <w:color w:val="000000" w:themeColor="text1"/>
          <w:sz w:val="18"/>
          <w:szCs w:val="18"/>
          <w:lang w:eastAsia="ja-JP"/>
        </w:rPr>
        <w:t>Sapium insigne</w:t>
      </w:r>
      <w:r w:rsidRPr="005E6B7C">
        <w:rPr>
          <w:rFonts w:asciiTheme="majorHAnsi" w:eastAsia="Yu Mincho" w:hAnsiTheme="majorHAnsi" w:cstheme="majorHAnsi"/>
          <w:noProof/>
          <w:color w:val="000000" w:themeColor="text1"/>
          <w:sz w:val="18"/>
          <w:szCs w:val="18"/>
          <w:lang w:eastAsia="ja-JP"/>
        </w:rPr>
        <w:t xml:space="preserve"> leaves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Natural Medicines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64, 191–193.</w:t>
      </w:r>
    </w:p>
    <w:p w14:paraId="37FF47E5"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xml:space="preserve">. Wu S. H., Luo X. D., Ma Y. B., Hao X. J., Zhou J., Wu D. G. (2001), Two new germacranolides from </w:t>
      </w:r>
      <w:r w:rsidRPr="005E6B7C">
        <w:rPr>
          <w:rFonts w:asciiTheme="majorHAnsi" w:eastAsia="Yu Mincho" w:hAnsiTheme="majorHAnsi" w:cstheme="majorHAnsi"/>
          <w:i/>
          <w:noProof/>
          <w:color w:val="000000" w:themeColor="text1"/>
          <w:sz w:val="18"/>
          <w:szCs w:val="18"/>
          <w:lang w:eastAsia="ja-JP"/>
        </w:rPr>
        <w:t>Magnolia grandiflora.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Asian Natural Products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3, 95−102.</w:t>
      </w:r>
    </w:p>
    <w:p w14:paraId="5775ED86"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 xml:space="preserve">. Lee S. C., Kwon Y. S., Son K. H., Kim H. P., Heo M. Y. (2005), Antioxidative constituents from </w:t>
      </w:r>
      <w:r w:rsidRPr="005E6B7C">
        <w:rPr>
          <w:rFonts w:asciiTheme="majorHAnsi" w:eastAsia="Yu Mincho" w:hAnsiTheme="majorHAnsi" w:cstheme="majorHAnsi"/>
          <w:i/>
          <w:noProof/>
          <w:color w:val="000000" w:themeColor="text1"/>
          <w:sz w:val="18"/>
          <w:szCs w:val="18"/>
          <w:lang w:eastAsia="ja-JP"/>
        </w:rPr>
        <w:t>Paeonia lactiflora.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Archives of Pharmacal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28, 775−783.</w:t>
      </w:r>
    </w:p>
    <w:p w14:paraId="62262138"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19</w:t>
      </w:r>
      <w:r w:rsidRPr="005E6B7C">
        <w:rPr>
          <w:rFonts w:asciiTheme="majorHAnsi" w:eastAsia="Yu Mincho" w:hAnsiTheme="majorHAnsi" w:cstheme="majorHAnsi"/>
          <w:noProof/>
          <w:color w:val="000000" w:themeColor="text1"/>
          <w:sz w:val="18"/>
          <w:szCs w:val="18"/>
          <w:lang w:eastAsia="ja-JP"/>
        </w:rPr>
        <w:t xml:space="preserve">. Pyo M. K., Jin J. L., Koo Y. K., Choi H. S. Y. (2004), Phenolic and furan type compounds isolated from </w:t>
      </w:r>
      <w:r w:rsidRPr="005E6B7C">
        <w:rPr>
          <w:rFonts w:asciiTheme="majorHAnsi" w:eastAsia="Yu Mincho" w:hAnsiTheme="majorHAnsi" w:cstheme="majorHAnsi"/>
          <w:i/>
          <w:noProof/>
          <w:color w:val="000000" w:themeColor="text1"/>
          <w:sz w:val="18"/>
          <w:szCs w:val="18"/>
          <w:lang w:eastAsia="ja-JP"/>
        </w:rPr>
        <w:t>Gastrodia elata</w:t>
      </w:r>
      <w:r w:rsidRPr="005E6B7C">
        <w:rPr>
          <w:rFonts w:asciiTheme="majorHAnsi" w:eastAsia="Yu Mincho" w:hAnsiTheme="majorHAnsi" w:cstheme="majorHAnsi"/>
          <w:noProof/>
          <w:color w:val="000000" w:themeColor="text1"/>
          <w:sz w:val="18"/>
          <w:szCs w:val="18"/>
          <w:lang w:eastAsia="ja-JP"/>
        </w:rPr>
        <w:t xml:space="preserve"> and their anti-platelet effects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Archives of Pharmacal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27, 384−385.</w:t>
      </w:r>
    </w:p>
    <w:p w14:paraId="6BD53EA1"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20</w:t>
      </w:r>
      <w:r w:rsidRPr="005E6B7C">
        <w:rPr>
          <w:rFonts w:asciiTheme="majorHAnsi" w:eastAsia="Yu Mincho" w:hAnsiTheme="majorHAnsi" w:cstheme="majorHAnsi"/>
          <w:noProof/>
          <w:color w:val="000000" w:themeColor="text1"/>
          <w:sz w:val="18"/>
          <w:szCs w:val="18"/>
          <w:lang w:eastAsia="ja-JP"/>
        </w:rPr>
        <w:t>. Ren J., Su D., Li L., Cai H., Zhang M., Zhai J., Li M., Wu X., Hu K. (2020), Anti-inflammatory effects of aureusidin in LPS-stimulated RAW264.7 macrophages via suppressing NF-</w:t>
      </w:r>
      <w:r w:rsidRPr="005E6B7C">
        <w:rPr>
          <w:rFonts w:asciiTheme="majorHAnsi" w:eastAsia="Yu Mincho" w:hAnsiTheme="majorHAnsi" w:cstheme="majorHAnsi"/>
          <w:i/>
          <w:noProof/>
          <w:color w:val="000000" w:themeColor="text1"/>
          <w:sz w:val="18"/>
          <w:szCs w:val="18"/>
          <w:lang w:eastAsia="ja-JP"/>
        </w:rPr>
        <w:t>κ</w:t>
      </w:r>
      <w:r w:rsidRPr="005E6B7C">
        <w:rPr>
          <w:rFonts w:asciiTheme="majorHAnsi" w:eastAsia="Yu Mincho" w:hAnsiTheme="majorHAnsi" w:cstheme="majorHAnsi"/>
          <w:noProof/>
          <w:color w:val="000000" w:themeColor="text1"/>
          <w:sz w:val="18"/>
          <w:szCs w:val="18"/>
          <w:lang w:eastAsia="ja-JP"/>
        </w:rPr>
        <w:t>B and activating ROS- and MAPKs-dependent Nrf2/HO-1 signaling pathways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Toxicology and Applied Pharmacology</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387, e114846.</w:t>
      </w:r>
    </w:p>
    <w:p w14:paraId="6ED085CB" w14:textId="77777777" w:rsidR="00E049CB" w:rsidRPr="005E6B7C" w:rsidRDefault="00E049CB" w:rsidP="008C0D47">
      <w:pPr>
        <w:tabs>
          <w:tab w:val="left" w:pos="270"/>
          <w:tab w:val="left" w:pos="9270"/>
        </w:tabs>
        <w:spacing w:line="212"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 Zhang L., Tian Y., Zhang L., Zhang H., Yang J., Wang Y., Lu N., Guo W., Wang L. (2025), A comprehensive review on the plant sources, pharmacological activities and pharmacokinetic characteristics of syringaresinol</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Pharmacological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212, e107572.</w:t>
      </w:r>
    </w:p>
    <w:p w14:paraId="49AEC287" w14:textId="77777777" w:rsidR="007A051F" w:rsidRPr="005E6B7C" w:rsidRDefault="00E049CB" w:rsidP="007A051F">
      <w:pPr>
        <w:tabs>
          <w:tab w:val="left" w:pos="270"/>
          <w:tab w:val="left" w:pos="9270"/>
        </w:tabs>
        <w:spacing w:line="212" w:lineRule="exact"/>
        <w:jc w:val="both"/>
        <w:rPr>
          <w:rFonts w:asciiTheme="majorHAnsi" w:eastAsia="Yu Mincho" w:hAnsiTheme="majorHAnsi" w:cstheme="majorHAnsi"/>
          <w:b/>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 xml:space="preserve">. Liang H., Huang Q., Zou L., Wei P., Lu J., Zhang Y. (2023), Methyl gallate: review of pharmacological activity. </w:t>
      </w:r>
      <w:r w:rsidRPr="005E6B7C">
        <w:rPr>
          <w:rFonts w:asciiTheme="majorHAnsi" w:eastAsia="Yu Mincho" w:hAnsiTheme="majorHAnsi" w:cstheme="majorHAnsi"/>
          <w:i/>
          <w:noProof/>
          <w:color w:val="000000" w:themeColor="text1"/>
          <w:sz w:val="18"/>
          <w:szCs w:val="18"/>
          <w:lang w:eastAsia="ja-JP"/>
        </w:rPr>
        <w:t>Pharmacological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194, e106849.</w:t>
      </w:r>
      <w:r w:rsidRPr="005E6B7C">
        <w:rPr>
          <w:rFonts w:asciiTheme="majorHAnsi" w:eastAsia="Yu Mincho" w:hAnsiTheme="majorHAnsi" w:cstheme="majorHAnsi"/>
          <w:b/>
          <w:noProof/>
          <w:color w:val="000000" w:themeColor="text1"/>
          <w:sz w:val="18"/>
          <w:szCs w:val="18"/>
          <w:lang w:eastAsia="ja-JP"/>
        </w:rPr>
        <w:fldChar w:fldCharType="end"/>
      </w:r>
    </w:p>
    <w:p w14:paraId="7B259695" w14:textId="77777777" w:rsidR="007A051F" w:rsidRPr="005E6B7C" w:rsidRDefault="007A051F" w:rsidP="007A051F">
      <w:pPr>
        <w:tabs>
          <w:tab w:val="left" w:pos="270"/>
          <w:tab w:val="left" w:pos="9270"/>
        </w:tabs>
        <w:spacing w:line="212" w:lineRule="exact"/>
        <w:jc w:val="both"/>
        <w:rPr>
          <w:rFonts w:asciiTheme="majorHAnsi" w:eastAsia="Yu Mincho" w:hAnsiTheme="majorHAnsi" w:cstheme="majorHAnsi"/>
          <w:b/>
          <w:bCs/>
          <w:i/>
          <w:color w:val="000000" w:themeColor="text1"/>
          <w:sz w:val="26"/>
          <w:szCs w:val="26"/>
          <w:lang w:eastAsia="ja-JP"/>
        </w:rPr>
      </w:pPr>
    </w:p>
    <w:p w14:paraId="0F62DBBC" w14:textId="77777777" w:rsidR="007A051F" w:rsidRPr="005E6B7C" w:rsidRDefault="007A051F" w:rsidP="007A051F">
      <w:pPr>
        <w:tabs>
          <w:tab w:val="left" w:pos="270"/>
          <w:tab w:val="left" w:pos="9270"/>
        </w:tabs>
        <w:spacing w:line="212" w:lineRule="exact"/>
        <w:jc w:val="both"/>
        <w:rPr>
          <w:rFonts w:asciiTheme="majorHAnsi" w:eastAsia="Yu Mincho" w:hAnsiTheme="majorHAnsi" w:cstheme="majorHAnsi"/>
          <w:b/>
          <w:bCs/>
          <w:i/>
          <w:color w:val="000000" w:themeColor="text1"/>
          <w:sz w:val="26"/>
          <w:szCs w:val="26"/>
          <w:lang w:eastAsia="ja-JP"/>
        </w:rPr>
      </w:pPr>
    </w:p>
    <w:p w14:paraId="7DFA8427" w14:textId="77777777" w:rsidR="007A051F" w:rsidRPr="005E6B7C" w:rsidRDefault="007A051F" w:rsidP="007A051F">
      <w:pPr>
        <w:tabs>
          <w:tab w:val="left" w:pos="270"/>
          <w:tab w:val="left" w:pos="9270"/>
        </w:tabs>
        <w:spacing w:line="212" w:lineRule="exact"/>
        <w:jc w:val="both"/>
        <w:rPr>
          <w:rFonts w:asciiTheme="majorHAnsi" w:eastAsia="Yu Mincho" w:hAnsiTheme="majorHAnsi" w:cstheme="majorHAnsi"/>
          <w:b/>
          <w:bCs/>
          <w:i/>
          <w:color w:val="000000" w:themeColor="text1"/>
          <w:sz w:val="26"/>
          <w:szCs w:val="26"/>
          <w:lang w:eastAsia="ja-JP"/>
        </w:rPr>
      </w:pPr>
    </w:p>
    <w:p w14:paraId="0A831BEB" w14:textId="5E94652E" w:rsidR="00367819" w:rsidRPr="005E6B7C" w:rsidRDefault="00367819" w:rsidP="007A051F">
      <w:pPr>
        <w:tabs>
          <w:tab w:val="left" w:pos="270"/>
          <w:tab w:val="left" w:pos="9270"/>
        </w:tabs>
        <w:spacing w:line="212" w:lineRule="exact"/>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t>Journal of Medicinal Materials, 2026, Vol. 31, No. 1+2 (pp.</w:t>
      </w:r>
      <w:r w:rsidR="00BC3F11" w:rsidRPr="005E6B7C">
        <w:rPr>
          <w:rFonts w:asciiTheme="majorHAnsi" w:eastAsia="Yu Mincho" w:hAnsiTheme="majorHAnsi" w:cstheme="majorHAnsi"/>
          <w:b/>
          <w:bCs/>
          <w:i/>
          <w:color w:val="000000" w:themeColor="text1"/>
          <w:sz w:val="26"/>
          <w:szCs w:val="26"/>
          <w:lang w:eastAsia="ja-JP"/>
        </w:rPr>
        <w:t xml:space="preserve"> 49 - 52</w:t>
      </w:r>
      <w:r w:rsidRPr="005E6B7C">
        <w:rPr>
          <w:rFonts w:asciiTheme="majorHAnsi" w:eastAsia="Yu Mincho" w:hAnsiTheme="majorHAnsi" w:cstheme="majorHAnsi"/>
          <w:b/>
          <w:bCs/>
          <w:i/>
          <w:color w:val="000000" w:themeColor="text1"/>
          <w:sz w:val="26"/>
          <w:szCs w:val="26"/>
          <w:lang w:eastAsia="ja-JP"/>
        </w:rPr>
        <w:t>)</w:t>
      </w:r>
    </w:p>
    <w:p w14:paraId="62D2B31A" w14:textId="77777777" w:rsidR="00367819" w:rsidRPr="005E6B7C" w:rsidRDefault="00367819" w:rsidP="008C0D47">
      <w:pPr>
        <w:tabs>
          <w:tab w:val="left" w:pos="270"/>
          <w:tab w:val="left" w:pos="9270"/>
        </w:tabs>
        <w:ind w:right="-20"/>
        <w:jc w:val="both"/>
        <w:rPr>
          <w:rFonts w:asciiTheme="majorHAnsi" w:eastAsia="Yu Mincho" w:hAnsiTheme="majorHAnsi" w:cstheme="majorHAnsi"/>
          <w:color w:val="000000" w:themeColor="text1"/>
          <w:szCs w:val="22"/>
          <w:lang w:eastAsia="ja-JP"/>
        </w:rPr>
      </w:pPr>
    </w:p>
    <w:p w14:paraId="482DD72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CHEMICAL CONSTITUENTS OF </w:t>
      </w:r>
      <w:r w:rsidRPr="005E6B7C">
        <w:rPr>
          <w:rFonts w:asciiTheme="majorHAnsi" w:eastAsia="Yu Mincho" w:hAnsiTheme="majorHAnsi" w:cstheme="majorHAnsi"/>
          <w:b/>
          <w:i/>
          <w:iCs/>
          <w:color w:val="000000" w:themeColor="text1"/>
          <w:sz w:val="26"/>
          <w:szCs w:val="26"/>
          <w:lang w:eastAsia="ja-JP"/>
        </w:rPr>
        <w:t>GANODERMA MULTIPILEUM</w:t>
      </w:r>
      <w:r w:rsidRPr="005E6B7C">
        <w:rPr>
          <w:rFonts w:asciiTheme="majorHAnsi" w:eastAsia="Yu Mincho" w:hAnsiTheme="majorHAnsi" w:cstheme="majorHAnsi"/>
          <w:b/>
          <w:color w:val="000000" w:themeColor="text1"/>
          <w:sz w:val="26"/>
          <w:szCs w:val="26"/>
          <w:lang w:eastAsia="ja-JP"/>
        </w:rPr>
        <w:t xml:space="preserve"> DING HOU, GANODERMATACEAE</w:t>
      </w:r>
    </w:p>
    <w:p w14:paraId="21A37318" w14:textId="77777777" w:rsidR="00E049CB" w:rsidRPr="005E6B7C" w:rsidRDefault="00E049CB" w:rsidP="008C0D47">
      <w:pPr>
        <w:tabs>
          <w:tab w:val="left" w:pos="270"/>
          <w:tab w:val="left" w:pos="9270"/>
        </w:tabs>
        <w:ind w:right="-20"/>
        <w:jc w:val="center"/>
        <w:rPr>
          <w:rFonts w:asciiTheme="majorHAnsi" w:eastAsia="Yu Mincho" w:hAnsiTheme="majorHAnsi" w:cstheme="majorHAnsi"/>
          <w:b/>
          <w:bCs/>
          <w:i/>
          <w:iCs/>
          <w:color w:val="000000" w:themeColor="text1"/>
          <w:sz w:val="22"/>
          <w:szCs w:val="22"/>
          <w:vertAlign w:val="superscript"/>
          <w:lang w:eastAsia="ja-JP"/>
        </w:rPr>
      </w:pPr>
      <w:r w:rsidRPr="005E6B7C">
        <w:rPr>
          <w:rFonts w:asciiTheme="majorHAnsi" w:eastAsia="Yu Mincho" w:hAnsiTheme="majorHAnsi" w:cstheme="majorHAnsi"/>
          <w:b/>
          <w:bCs/>
          <w:i/>
          <w:iCs/>
          <w:color w:val="000000" w:themeColor="text1"/>
          <w:sz w:val="22"/>
          <w:szCs w:val="22"/>
          <w:lang w:eastAsia="ja-JP"/>
        </w:rPr>
        <w:t>Nguyen Thi Duyen</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Tran Thi Tuyet</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 Phan Quynh Trang</w:t>
      </w:r>
      <w:r w:rsidRPr="005E6B7C">
        <w:rPr>
          <w:rFonts w:asciiTheme="majorHAnsi" w:eastAsia="Yu Mincho" w:hAnsiTheme="majorHAnsi" w:cstheme="majorHAnsi"/>
          <w:b/>
          <w:bCs/>
          <w:i/>
          <w:iCs/>
          <w:color w:val="000000" w:themeColor="text1"/>
          <w:sz w:val="22"/>
          <w:szCs w:val="22"/>
          <w:vertAlign w:val="superscript"/>
          <w:lang w:eastAsia="ja-JP"/>
        </w:rPr>
        <w:t>3</w:t>
      </w:r>
      <w:r w:rsidRPr="005E6B7C">
        <w:rPr>
          <w:rFonts w:asciiTheme="majorHAnsi" w:eastAsia="Yu Mincho" w:hAnsiTheme="majorHAnsi" w:cstheme="majorHAnsi"/>
          <w:b/>
          <w:bCs/>
          <w:i/>
          <w:iCs/>
          <w:color w:val="000000" w:themeColor="text1"/>
          <w:sz w:val="22"/>
          <w:szCs w:val="22"/>
          <w:lang w:eastAsia="ja-JP"/>
        </w:rPr>
        <w:t>, Nguyen Trung Hieu</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 xml:space="preserve">, </w:t>
      </w:r>
      <w:r w:rsidR="00EB175E" w:rsidRPr="005E6B7C">
        <w:rPr>
          <w:rFonts w:asciiTheme="majorHAnsi" w:eastAsia="Yu Mincho" w:hAnsiTheme="majorHAnsi" w:cstheme="majorHAnsi"/>
          <w:b/>
          <w:bCs/>
          <w:i/>
          <w:iCs/>
          <w:color w:val="000000" w:themeColor="text1"/>
          <w:sz w:val="22"/>
          <w:szCs w:val="22"/>
          <w:lang w:eastAsia="ja-JP"/>
        </w:rPr>
        <w:br/>
      </w:r>
      <w:r w:rsidRPr="005E6B7C">
        <w:rPr>
          <w:rFonts w:asciiTheme="majorHAnsi" w:eastAsia="Yu Mincho" w:hAnsiTheme="majorHAnsi" w:cstheme="majorHAnsi"/>
          <w:b/>
          <w:bCs/>
          <w:i/>
          <w:iCs/>
          <w:color w:val="000000" w:themeColor="text1"/>
          <w:sz w:val="22"/>
          <w:szCs w:val="22"/>
          <w:lang w:eastAsia="ja-JP"/>
        </w:rPr>
        <w:t>Nguyen Duc Hieu</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 Nguyen Phuong Dai Nguyen</w:t>
      </w:r>
      <w:r w:rsidRPr="005E6B7C">
        <w:rPr>
          <w:rFonts w:asciiTheme="majorHAnsi" w:eastAsia="Yu Mincho" w:hAnsiTheme="majorHAnsi" w:cstheme="majorHAnsi"/>
          <w:b/>
          <w:bCs/>
          <w:i/>
          <w:iCs/>
          <w:color w:val="000000" w:themeColor="text1"/>
          <w:sz w:val="22"/>
          <w:szCs w:val="22"/>
          <w:vertAlign w:val="superscript"/>
          <w:lang w:eastAsia="ja-JP"/>
        </w:rPr>
        <w:t>4</w:t>
      </w:r>
    </w:p>
    <w:p w14:paraId="16833298" w14:textId="0E9F04C7" w:rsidR="00C247FE" w:rsidRPr="005E6B7C" w:rsidRDefault="004275A4" w:rsidP="008C0D47">
      <w:pPr>
        <w:tabs>
          <w:tab w:val="left" w:pos="270"/>
          <w:tab w:val="left" w:pos="9270"/>
        </w:tabs>
        <w:ind w:right="-20"/>
        <w:jc w:val="center"/>
        <w:rPr>
          <w:rFonts w:asciiTheme="majorHAnsi" w:eastAsia="Yu Mincho" w:hAnsiTheme="majorHAnsi" w:cstheme="majorHAnsi"/>
          <w:bCs/>
          <w:i/>
          <w:iCs/>
          <w:color w:val="000000" w:themeColor="text1"/>
          <w:sz w:val="22"/>
          <w:szCs w:val="22"/>
          <w:vertAlign w:val="superscript"/>
          <w:lang w:eastAsia="ja-JP"/>
        </w:rPr>
      </w:pPr>
      <w:r w:rsidRPr="005E6B7C">
        <w:rPr>
          <w:rFonts w:asciiTheme="majorHAnsi" w:eastAsia="Yu Mincho" w:hAnsiTheme="majorHAnsi" w:cstheme="majorHAnsi"/>
          <w:i/>
          <w:iCs/>
          <w:color w:val="000000" w:themeColor="text1"/>
          <w:sz w:val="22"/>
          <w:szCs w:val="22"/>
          <w:vertAlign w:val="superscript"/>
          <w:lang w:eastAsia="ja-JP"/>
        </w:rPr>
        <w:t>1</w:t>
      </w:r>
      <w:r w:rsidRPr="005E6B7C">
        <w:rPr>
          <w:rFonts w:asciiTheme="majorHAnsi" w:eastAsia="Yu Mincho" w:hAnsiTheme="majorHAnsi" w:cstheme="majorHAnsi"/>
          <w:i/>
          <w:iCs/>
          <w:color w:val="000000" w:themeColor="text1"/>
          <w:sz w:val="22"/>
          <w:szCs w:val="22"/>
          <w:lang w:eastAsia="ja-JP"/>
        </w:rPr>
        <w:t>National Institute of Medic</w:t>
      </w:r>
      <w:r w:rsidR="00B115A7" w:rsidRPr="005E6B7C">
        <w:rPr>
          <w:rFonts w:asciiTheme="majorHAnsi" w:eastAsia="Yu Mincho" w:hAnsiTheme="majorHAnsi" w:cstheme="majorHAnsi"/>
          <w:i/>
          <w:iCs/>
          <w:color w:val="000000" w:themeColor="text1"/>
          <w:sz w:val="22"/>
          <w:szCs w:val="22"/>
          <w:lang w:eastAsia="ja-JP"/>
        </w:rPr>
        <w:t>inal</w:t>
      </w:r>
      <w:r w:rsidRPr="005E6B7C">
        <w:rPr>
          <w:rFonts w:asciiTheme="majorHAnsi" w:eastAsia="Yu Mincho" w:hAnsiTheme="majorHAnsi" w:cstheme="majorHAnsi"/>
          <w:i/>
          <w:iCs/>
          <w:color w:val="000000" w:themeColor="text1"/>
          <w:sz w:val="22"/>
          <w:szCs w:val="22"/>
          <w:lang w:eastAsia="ja-JP"/>
        </w:rPr>
        <w:t xml:space="preserve"> Materials (NIMM), Hanoi 11018, Vietnam</w:t>
      </w:r>
      <w:r w:rsidR="00C247FE" w:rsidRPr="005E6B7C">
        <w:rPr>
          <w:rFonts w:asciiTheme="majorHAnsi" w:eastAsia="Yu Mincho" w:hAnsiTheme="majorHAnsi" w:cstheme="majorHAnsi"/>
          <w:i/>
          <w:iCs/>
          <w:color w:val="000000" w:themeColor="text1"/>
          <w:sz w:val="22"/>
          <w:szCs w:val="22"/>
          <w:lang w:eastAsia="ja-JP"/>
        </w:rPr>
        <w:t>;</w:t>
      </w:r>
      <w:r w:rsidR="00E049CB" w:rsidRPr="005E6B7C">
        <w:rPr>
          <w:rFonts w:asciiTheme="majorHAnsi" w:eastAsia="Yu Mincho" w:hAnsiTheme="majorHAnsi" w:cstheme="majorHAnsi"/>
          <w:i/>
          <w:iCs/>
          <w:color w:val="000000" w:themeColor="text1"/>
          <w:sz w:val="22"/>
          <w:szCs w:val="22"/>
          <w:lang w:eastAsia="ja-JP"/>
        </w:rPr>
        <w:t xml:space="preserve"> </w:t>
      </w:r>
    </w:p>
    <w:p w14:paraId="4238A0A6" w14:textId="77777777" w:rsidR="00C247FE" w:rsidRPr="005E6B7C" w:rsidRDefault="00E049CB" w:rsidP="008C0D47">
      <w:pPr>
        <w:tabs>
          <w:tab w:val="left" w:pos="270"/>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iCs/>
          <w:color w:val="000000" w:themeColor="text1"/>
          <w:sz w:val="22"/>
          <w:szCs w:val="22"/>
          <w:lang w:eastAsia="ja-JP"/>
        </w:rPr>
        <w:t xml:space="preserve">Dai Nam University, </w:t>
      </w:r>
      <w:r w:rsidR="00C247FE" w:rsidRPr="005E6B7C">
        <w:rPr>
          <w:rFonts w:asciiTheme="majorHAnsi" w:eastAsia="Yu Mincho" w:hAnsiTheme="majorHAnsi" w:cstheme="majorHAnsi"/>
          <w:i/>
          <w:iCs/>
          <w:color w:val="000000" w:themeColor="text1"/>
          <w:sz w:val="22"/>
          <w:szCs w:val="22"/>
          <w:lang w:eastAsia="ja-JP"/>
        </w:rPr>
        <w:t>Hanoi, Vietnam;</w:t>
      </w:r>
    </w:p>
    <w:p w14:paraId="1177D953" w14:textId="77777777" w:rsidR="00C247FE" w:rsidRPr="005E6B7C" w:rsidRDefault="00E049CB" w:rsidP="008C0D47">
      <w:pPr>
        <w:tabs>
          <w:tab w:val="left" w:pos="270"/>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3</w:t>
      </w:r>
      <w:r w:rsidRPr="005E6B7C">
        <w:rPr>
          <w:rFonts w:asciiTheme="majorHAnsi" w:eastAsia="Yu Mincho" w:hAnsiTheme="majorHAnsi" w:cstheme="majorHAnsi"/>
          <w:i/>
          <w:iCs/>
          <w:color w:val="000000" w:themeColor="text1"/>
          <w:sz w:val="22"/>
          <w:szCs w:val="22"/>
          <w:lang w:eastAsia="ja-JP"/>
        </w:rPr>
        <w:t>Hanoi University of Pharmacy</w:t>
      </w:r>
      <w:r w:rsidR="00C247FE" w:rsidRPr="005E6B7C">
        <w:rPr>
          <w:rFonts w:asciiTheme="majorHAnsi" w:eastAsia="Yu Mincho" w:hAnsiTheme="majorHAnsi" w:cstheme="majorHAnsi"/>
          <w:i/>
          <w:iCs/>
          <w:color w:val="000000" w:themeColor="text1"/>
          <w:sz w:val="22"/>
          <w:szCs w:val="22"/>
          <w:lang w:eastAsia="ja-JP"/>
        </w:rPr>
        <w:t xml:space="preserve">, Vietnam; </w:t>
      </w:r>
    </w:p>
    <w:p w14:paraId="3DD8F089" w14:textId="77777777" w:rsidR="00E049CB" w:rsidRPr="005E6B7C" w:rsidRDefault="00E049CB" w:rsidP="008C0D47">
      <w:pPr>
        <w:tabs>
          <w:tab w:val="left" w:pos="270"/>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vertAlign w:val="superscript"/>
          <w:lang w:eastAsia="ja-JP"/>
        </w:rPr>
        <w:t>4</w:t>
      </w:r>
      <w:r w:rsidRPr="005E6B7C">
        <w:rPr>
          <w:rFonts w:asciiTheme="majorHAnsi" w:eastAsia="Yu Mincho" w:hAnsiTheme="majorHAnsi" w:cstheme="majorHAnsi"/>
          <w:i/>
          <w:iCs/>
          <w:color w:val="000000" w:themeColor="text1"/>
          <w:sz w:val="22"/>
          <w:szCs w:val="22"/>
          <w:lang w:eastAsia="ja-JP"/>
        </w:rPr>
        <w:t>Tay Nguyen University</w:t>
      </w:r>
      <w:r w:rsidR="00C247FE" w:rsidRPr="005E6B7C">
        <w:rPr>
          <w:rFonts w:asciiTheme="majorHAnsi" w:eastAsia="Yu Mincho" w:hAnsiTheme="majorHAnsi" w:cstheme="majorHAnsi"/>
          <w:i/>
          <w:iCs/>
          <w:color w:val="000000" w:themeColor="text1"/>
          <w:sz w:val="22"/>
          <w:szCs w:val="22"/>
          <w:lang w:eastAsia="ja-JP"/>
        </w:rPr>
        <w:t>, Vietnam</w:t>
      </w:r>
    </w:p>
    <w:p w14:paraId="46909821" w14:textId="77777777" w:rsidR="00E049CB" w:rsidRPr="005E6B7C" w:rsidRDefault="00C247FE" w:rsidP="008C0D47">
      <w:pPr>
        <w:tabs>
          <w:tab w:val="left" w:pos="270"/>
          <w:tab w:val="left" w:pos="9270"/>
        </w:tabs>
        <w:ind w:right="-20"/>
        <w:jc w:val="center"/>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*Corresponding author: </w:t>
      </w:r>
      <w:hyperlink r:id="rId29" w:history="1">
        <w:r w:rsidR="00E049CB" w:rsidRPr="005E6B7C">
          <w:rPr>
            <w:rFonts w:asciiTheme="majorHAnsi" w:eastAsia="Yu Mincho" w:hAnsiTheme="majorHAnsi" w:cstheme="majorHAnsi"/>
            <w:color w:val="000000" w:themeColor="text1"/>
            <w:sz w:val="22"/>
            <w:szCs w:val="22"/>
            <w:lang w:eastAsia="ja-JP"/>
          </w:rPr>
          <w:t>nguyenduyen6784@gmail.com</w:t>
        </w:r>
      </w:hyperlink>
    </w:p>
    <w:p w14:paraId="3428F418" w14:textId="77777777" w:rsidR="00223B62" w:rsidRPr="005E6B7C" w:rsidRDefault="00223B62"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February 24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12</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222908D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1B45354A" w14:textId="593001D6" w:rsidR="00E049CB" w:rsidRPr="005E6B7C" w:rsidRDefault="00E049CB" w:rsidP="008C0D47">
      <w:pPr>
        <w:tabs>
          <w:tab w:val="left" w:pos="9270"/>
        </w:tabs>
        <w:ind w:firstLine="284"/>
        <w:jc w:val="both"/>
        <w:rPr>
          <w:rFonts w:asciiTheme="majorHAnsi" w:eastAsia="Yu Mincho" w:hAnsiTheme="majorHAnsi" w:cstheme="majorHAnsi"/>
          <w:color w:val="000000" w:themeColor="text1"/>
          <w:spacing w:val="-4"/>
          <w:sz w:val="18"/>
          <w:szCs w:val="18"/>
          <w:lang w:eastAsia="ja-JP"/>
        </w:rPr>
      </w:pPr>
      <w:r w:rsidRPr="005E6B7C">
        <w:rPr>
          <w:rFonts w:asciiTheme="majorHAnsi" w:eastAsia="Yu Mincho" w:hAnsiTheme="majorHAnsi" w:cstheme="majorHAnsi"/>
          <w:color w:val="000000" w:themeColor="text1"/>
          <w:spacing w:val="-4"/>
          <w:sz w:val="18"/>
          <w:szCs w:val="18"/>
          <w:lang w:eastAsia="ja-JP"/>
        </w:rPr>
        <w:t>Five compounds</w:t>
      </w:r>
      <w:r w:rsidR="008C0D47" w:rsidRPr="005E6B7C">
        <w:rPr>
          <w:rFonts w:asciiTheme="majorHAnsi" w:eastAsia="Yu Mincho" w:hAnsiTheme="majorHAnsi" w:cstheme="majorHAnsi"/>
          <w:color w:val="000000" w:themeColor="text1"/>
          <w:spacing w:val="-4"/>
          <w:sz w:val="18"/>
          <w:szCs w:val="18"/>
          <w:lang w:eastAsia="ja-JP"/>
        </w:rPr>
        <w:t>,</w:t>
      </w:r>
      <w:r w:rsidRPr="005E6B7C">
        <w:rPr>
          <w:rFonts w:asciiTheme="majorHAnsi" w:eastAsia="Yu Mincho" w:hAnsiTheme="majorHAnsi" w:cstheme="majorHAnsi"/>
          <w:color w:val="000000" w:themeColor="text1"/>
          <w:spacing w:val="-4"/>
          <w:sz w:val="18"/>
          <w:szCs w:val="18"/>
          <w:lang w:eastAsia="ja-JP"/>
        </w:rPr>
        <w:t xml:space="preserve"> lanosta-7,9(11),24-triene-3</w:t>
      </w:r>
      <w:r w:rsidRPr="005E6B7C">
        <w:rPr>
          <w:rFonts w:asciiTheme="majorHAnsi" w:eastAsia="Yu Mincho" w:hAnsiTheme="majorHAnsi" w:cstheme="majorHAnsi"/>
          <w:i/>
          <w:color w:val="000000" w:themeColor="text1"/>
          <w:spacing w:val="-4"/>
          <w:sz w:val="18"/>
          <w:szCs w:val="18"/>
          <w:lang w:eastAsia="ja-JP"/>
        </w:rPr>
        <w:t>β</w:t>
      </w:r>
      <w:r w:rsidRPr="005E6B7C">
        <w:rPr>
          <w:rFonts w:asciiTheme="majorHAnsi" w:eastAsia="Yu Mincho" w:hAnsiTheme="majorHAnsi" w:cstheme="majorHAnsi"/>
          <w:color w:val="000000" w:themeColor="text1"/>
          <w:spacing w:val="-4"/>
          <w:sz w:val="18"/>
          <w:szCs w:val="18"/>
          <w:lang w:eastAsia="ja-JP"/>
        </w:rPr>
        <w:t>,26-diol (</w:t>
      </w:r>
      <w:r w:rsidRPr="005E6B7C">
        <w:rPr>
          <w:rFonts w:asciiTheme="majorHAnsi" w:eastAsia="Yu Mincho" w:hAnsiTheme="majorHAnsi" w:cstheme="majorHAnsi"/>
          <w:b/>
          <w:color w:val="000000" w:themeColor="text1"/>
          <w:spacing w:val="-4"/>
          <w:sz w:val="18"/>
          <w:szCs w:val="18"/>
          <w:lang w:eastAsia="ja-JP"/>
        </w:rPr>
        <w:t>1</w:t>
      </w:r>
      <w:r w:rsidRPr="005E6B7C">
        <w:rPr>
          <w:rFonts w:asciiTheme="majorHAnsi" w:eastAsia="Yu Mincho" w:hAnsiTheme="majorHAnsi" w:cstheme="majorHAnsi"/>
          <w:color w:val="000000" w:themeColor="text1"/>
          <w:spacing w:val="-4"/>
          <w:sz w:val="18"/>
          <w:szCs w:val="18"/>
          <w:lang w:eastAsia="ja-JP"/>
        </w:rPr>
        <w:t>),</w:t>
      </w:r>
      <w:r w:rsidR="00130A93" w:rsidRPr="005E6B7C">
        <w:rPr>
          <w:rFonts w:asciiTheme="majorHAnsi" w:eastAsia="Yu Mincho" w:hAnsiTheme="majorHAnsi" w:cstheme="majorHAnsi"/>
          <w:color w:val="000000" w:themeColor="text1"/>
          <w:spacing w:val="-4"/>
          <w:sz w:val="18"/>
          <w:szCs w:val="18"/>
          <w:lang w:eastAsia="ja-JP"/>
        </w:rPr>
        <w:t xml:space="preserve"> </w:t>
      </w:r>
      <w:r w:rsidRPr="005E6B7C">
        <w:rPr>
          <w:rFonts w:asciiTheme="majorHAnsi" w:eastAsia="Yu Mincho" w:hAnsiTheme="majorHAnsi" w:cstheme="majorHAnsi"/>
          <w:color w:val="000000" w:themeColor="text1"/>
          <w:spacing w:val="-4"/>
          <w:sz w:val="18"/>
          <w:szCs w:val="18"/>
          <w:lang w:eastAsia="ja-JP"/>
        </w:rPr>
        <w:t>3</w:t>
      </w:r>
      <w:r w:rsidRPr="005E6B7C">
        <w:rPr>
          <w:rFonts w:asciiTheme="majorHAnsi" w:eastAsia="Yu Mincho" w:hAnsiTheme="majorHAnsi" w:cstheme="majorHAnsi"/>
          <w:i/>
          <w:color w:val="000000" w:themeColor="text1"/>
          <w:spacing w:val="-4"/>
          <w:sz w:val="18"/>
          <w:szCs w:val="18"/>
          <w:lang w:eastAsia="ja-JP"/>
        </w:rPr>
        <w:t>β</w:t>
      </w:r>
      <w:r w:rsidRPr="005E6B7C">
        <w:rPr>
          <w:rFonts w:asciiTheme="majorHAnsi" w:eastAsia="Yu Mincho" w:hAnsiTheme="majorHAnsi" w:cstheme="majorHAnsi"/>
          <w:color w:val="000000" w:themeColor="text1"/>
          <w:spacing w:val="-4"/>
          <w:sz w:val="18"/>
          <w:szCs w:val="18"/>
          <w:lang w:eastAsia="ja-JP"/>
        </w:rPr>
        <w:t>-hydroxy-lanosta-7,9(11),24-trien (</w:t>
      </w:r>
      <w:r w:rsidRPr="005E6B7C">
        <w:rPr>
          <w:rFonts w:asciiTheme="majorHAnsi" w:eastAsia="Yu Mincho" w:hAnsiTheme="majorHAnsi" w:cstheme="majorHAnsi"/>
          <w:b/>
          <w:color w:val="000000" w:themeColor="text1"/>
          <w:spacing w:val="-4"/>
          <w:sz w:val="18"/>
          <w:szCs w:val="18"/>
          <w:lang w:eastAsia="ja-JP"/>
        </w:rPr>
        <w:t>2</w:t>
      </w:r>
      <w:r w:rsidRPr="005E6B7C">
        <w:rPr>
          <w:rFonts w:asciiTheme="majorHAnsi" w:eastAsia="Yu Mincho" w:hAnsiTheme="majorHAnsi" w:cstheme="majorHAnsi"/>
          <w:color w:val="000000" w:themeColor="text1"/>
          <w:spacing w:val="-4"/>
          <w:sz w:val="18"/>
          <w:szCs w:val="18"/>
          <w:lang w:eastAsia="ja-JP"/>
        </w:rPr>
        <w:t>), (22</w:t>
      </w:r>
      <w:r w:rsidRPr="005E6B7C">
        <w:rPr>
          <w:rFonts w:asciiTheme="majorHAnsi" w:eastAsia="Yu Mincho" w:hAnsiTheme="majorHAnsi" w:cstheme="majorHAnsi"/>
          <w:i/>
          <w:color w:val="000000" w:themeColor="text1"/>
          <w:spacing w:val="-4"/>
          <w:sz w:val="18"/>
          <w:szCs w:val="18"/>
          <w:lang w:eastAsia="ja-JP"/>
        </w:rPr>
        <w:t>E</w:t>
      </w:r>
      <w:r w:rsidRPr="005E6B7C">
        <w:rPr>
          <w:rFonts w:asciiTheme="majorHAnsi" w:eastAsia="Yu Mincho" w:hAnsiTheme="majorHAnsi" w:cstheme="majorHAnsi"/>
          <w:color w:val="000000" w:themeColor="text1"/>
          <w:spacing w:val="-4"/>
          <w:sz w:val="18"/>
          <w:szCs w:val="18"/>
          <w:lang w:eastAsia="ja-JP"/>
        </w:rPr>
        <w:t>)-ergosta-7,9,22-trien-3</w:t>
      </w:r>
      <w:r w:rsidRPr="005E6B7C">
        <w:rPr>
          <w:rFonts w:asciiTheme="majorHAnsi" w:eastAsia="Yu Mincho" w:hAnsiTheme="majorHAnsi" w:cstheme="majorHAnsi"/>
          <w:i/>
          <w:color w:val="000000" w:themeColor="text1"/>
          <w:spacing w:val="-4"/>
          <w:sz w:val="18"/>
          <w:szCs w:val="18"/>
          <w:lang w:eastAsia="ja-JP"/>
        </w:rPr>
        <w:t>β</w:t>
      </w:r>
      <w:r w:rsidRPr="005E6B7C">
        <w:rPr>
          <w:rFonts w:asciiTheme="majorHAnsi" w:eastAsia="Yu Mincho" w:hAnsiTheme="majorHAnsi" w:cstheme="majorHAnsi"/>
          <w:color w:val="000000" w:themeColor="text1"/>
          <w:spacing w:val="-4"/>
          <w:sz w:val="18"/>
          <w:szCs w:val="18"/>
          <w:lang w:eastAsia="ja-JP"/>
        </w:rPr>
        <w:t>-ol (</w:t>
      </w:r>
      <w:r w:rsidRPr="005E6B7C">
        <w:rPr>
          <w:rFonts w:asciiTheme="majorHAnsi" w:eastAsia="Yu Mincho" w:hAnsiTheme="majorHAnsi" w:cstheme="majorHAnsi"/>
          <w:b/>
          <w:color w:val="000000" w:themeColor="text1"/>
          <w:spacing w:val="-4"/>
          <w:sz w:val="18"/>
          <w:szCs w:val="18"/>
          <w:lang w:eastAsia="ja-JP"/>
        </w:rPr>
        <w:t>3</w:t>
      </w:r>
      <w:r w:rsidRPr="005E6B7C">
        <w:rPr>
          <w:rFonts w:asciiTheme="majorHAnsi" w:eastAsia="Yu Mincho" w:hAnsiTheme="majorHAnsi" w:cstheme="majorHAnsi"/>
          <w:color w:val="000000" w:themeColor="text1"/>
          <w:spacing w:val="-4"/>
          <w:sz w:val="18"/>
          <w:szCs w:val="18"/>
          <w:lang w:eastAsia="ja-JP"/>
        </w:rPr>
        <w:t>), (22</w:t>
      </w:r>
      <w:r w:rsidRPr="005E6B7C">
        <w:rPr>
          <w:rFonts w:asciiTheme="majorHAnsi" w:eastAsia="Yu Mincho" w:hAnsiTheme="majorHAnsi" w:cstheme="majorHAnsi"/>
          <w:i/>
          <w:color w:val="000000" w:themeColor="text1"/>
          <w:spacing w:val="-4"/>
          <w:sz w:val="18"/>
          <w:szCs w:val="18"/>
          <w:lang w:eastAsia="ja-JP"/>
        </w:rPr>
        <w:t>E</w:t>
      </w:r>
      <w:r w:rsidRPr="005E6B7C">
        <w:rPr>
          <w:rFonts w:asciiTheme="majorHAnsi" w:eastAsia="Yu Mincho" w:hAnsiTheme="majorHAnsi" w:cstheme="majorHAnsi"/>
          <w:color w:val="000000" w:themeColor="text1"/>
          <w:spacing w:val="-4"/>
          <w:sz w:val="18"/>
          <w:szCs w:val="18"/>
          <w:lang w:eastAsia="ja-JP"/>
        </w:rPr>
        <w:t>)-ergosta-7,22-dien-3-one (</w:t>
      </w:r>
      <w:r w:rsidRPr="005E6B7C">
        <w:rPr>
          <w:rFonts w:asciiTheme="majorHAnsi" w:eastAsia="Yu Mincho" w:hAnsiTheme="majorHAnsi" w:cstheme="majorHAnsi"/>
          <w:b/>
          <w:color w:val="000000" w:themeColor="text1"/>
          <w:spacing w:val="-4"/>
          <w:sz w:val="18"/>
          <w:szCs w:val="18"/>
          <w:lang w:eastAsia="ja-JP"/>
        </w:rPr>
        <w:t>4</w:t>
      </w:r>
      <w:r w:rsidRPr="005E6B7C">
        <w:rPr>
          <w:rFonts w:asciiTheme="majorHAnsi" w:eastAsia="Yu Mincho" w:hAnsiTheme="majorHAnsi" w:cstheme="majorHAnsi"/>
          <w:color w:val="000000" w:themeColor="text1"/>
          <w:spacing w:val="-4"/>
          <w:sz w:val="18"/>
          <w:szCs w:val="18"/>
          <w:lang w:eastAsia="ja-JP"/>
        </w:rPr>
        <w:t>), and methyl 2-hydroxynonacosanoate (</w:t>
      </w:r>
      <w:r w:rsidRPr="005E6B7C">
        <w:rPr>
          <w:rFonts w:asciiTheme="majorHAnsi" w:eastAsia="Yu Mincho" w:hAnsiTheme="majorHAnsi" w:cstheme="majorHAnsi"/>
          <w:b/>
          <w:color w:val="000000" w:themeColor="text1"/>
          <w:spacing w:val="-4"/>
          <w:sz w:val="18"/>
          <w:szCs w:val="18"/>
          <w:lang w:eastAsia="ja-JP"/>
        </w:rPr>
        <w:t>5</w:t>
      </w:r>
      <w:r w:rsidRPr="005E6B7C">
        <w:rPr>
          <w:rFonts w:asciiTheme="majorHAnsi" w:eastAsia="Yu Mincho" w:hAnsiTheme="majorHAnsi" w:cstheme="majorHAnsi"/>
          <w:color w:val="000000" w:themeColor="text1"/>
          <w:spacing w:val="-4"/>
          <w:sz w:val="18"/>
          <w:szCs w:val="18"/>
          <w:lang w:eastAsia="ja-JP"/>
        </w:rPr>
        <w:t xml:space="preserve">) </w:t>
      </w:r>
      <w:r w:rsidR="00F01ADE" w:rsidRPr="005E6B7C">
        <w:rPr>
          <w:rFonts w:asciiTheme="majorHAnsi" w:eastAsia="Yu Mincho" w:hAnsiTheme="majorHAnsi" w:cstheme="majorHAnsi"/>
          <w:color w:val="000000" w:themeColor="text1"/>
          <w:spacing w:val="-4"/>
          <w:sz w:val="18"/>
          <w:szCs w:val="18"/>
          <w:lang w:eastAsia="ja-JP"/>
        </w:rPr>
        <w:t>were</w:t>
      </w:r>
      <w:r w:rsidRPr="005E6B7C">
        <w:rPr>
          <w:rFonts w:asciiTheme="majorHAnsi" w:eastAsia="Yu Mincho" w:hAnsiTheme="majorHAnsi" w:cstheme="majorHAnsi"/>
          <w:color w:val="000000" w:themeColor="text1"/>
          <w:spacing w:val="-4"/>
          <w:sz w:val="18"/>
          <w:szCs w:val="18"/>
          <w:lang w:eastAsia="ja-JP"/>
        </w:rPr>
        <w:t xml:space="preserve"> isolated from </w:t>
      </w:r>
      <w:r w:rsidRPr="005E6B7C">
        <w:rPr>
          <w:rFonts w:asciiTheme="majorHAnsi" w:eastAsia="Yu Mincho" w:hAnsiTheme="majorHAnsi" w:cstheme="majorHAnsi"/>
          <w:i/>
          <w:iCs/>
          <w:color w:val="000000" w:themeColor="text1"/>
          <w:spacing w:val="-4"/>
          <w:sz w:val="18"/>
          <w:szCs w:val="18"/>
          <w:lang w:eastAsia="ja-JP"/>
        </w:rPr>
        <w:t>Ganoderma multipileum</w:t>
      </w:r>
      <w:r w:rsidRPr="005E6B7C">
        <w:rPr>
          <w:rFonts w:asciiTheme="majorHAnsi" w:eastAsia="Yu Mincho" w:hAnsiTheme="majorHAnsi" w:cstheme="majorHAnsi"/>
          <w:color w:val="000000" w:themeColor="text1"/>
          <w:spacing w:val="-4"/>
          <w:sz w:val="18"/>
          <w:szCs w:val="18"/>
          <w:lang w:eastAsia="ja-JP"/>
        </w:rPr>
        <w:t xml:space="preserve"> Ding Hou, Ganodermataceae, collected in Taynguyen. Their structures were elucidated by the spectroscopic methods, such as the ESI-MS and NMR (1D and 2D) spectroscopy and comparison with published data. Five compounds (</w:t>
      </w:r>
      <w:r w:rsidRPr="005E6B7C">
        <w:rPr>
          <w:rFonts w:asciiTheme="majorHAnsi" w:eastAsia="Yu Mincho" w:hAnsiTheme="majorHAnsi" w:cstheme="majorHAnsi"/>
          <w:b/>
          <w:color w:val="000000" w:themeColor="text1"/>
          <w:spacing w:val="-4"/>
          <w:sz w:val="18"/>
          <w:szCs w:val="18"/>
          <w:lang w:eastAsia="ja-JP"/>
        </w:rPr>
        <w:t>1</w:t>
      </w:r>
      <w:r w:rsidR="00F01ADE" w:rsidRPr="005E6B7C">
        <w:rPr>
          <w:rFonts w:asciiTheme="majorHAnsi" w:eastAsia="Yu Mincho" w:hAnsiTheme="majorHAnsi" w:cstheme="majorHAnsi"/>
          <w:b/>
          <w:color w:val="000000" w:themeColor="text1"/>
          <w:spacing w:val="-4"/>
          <w:sz w:val="18"/>
          <w:szCs w:val="18"/>
          <w:lang w:eastAsia="ja-JP"/>
        </w:rPr>
        <w:t>–</w:t>
      </w:r>
      <w:r w:rsidRPr="005E6B7C">
        <w:rPr>
          <w:rFonts w:asciiTheme="majorHAnsi" w:eastAsia="Yu Mincho" w:hAnsiTheme="majorHAnsi" w:cstheme="majorHAnsi"/>
          <w:b/>
          <w:color w:val="000000" w:themeColor="text1"/>
          <w:spacing w:val="-4"/>
          <w:sz w:val="18"/>
          <w:szCs w:val="18"/>
          <w:lang w:eastAsia="ja-JP"/>
        </w:rPr>
        <w:t>5</w:t>
      </w:r>
      <w:r w:rsidRPr="005E6B7C">
        <w:rPr>
          <w:rFonts w:asciiTheme="majorHAnsi" w:eastAsia="Yu Mincho" w:hAnsiTheme="majorHAnsi" w:cstheme="majorHAnsi"/>
          <w:color w:val="000000" w:themeColor="text1"/>
          <w:spacing w:val="-4"/>
          <w:sz w:val="18"/>
          <w:szCs w:val="18"/>
          <w:lang w:eastAsia="ja-JP"/>
        </w:rPr>
        <w:t xml:space="preserve">) are the first report of the chemical composition from </w:t>
      </w:r>
      <w:r w:rsidRPr="005E6B7C">
        <w:rPr>
          <w:rFonts w:asciiTheme="majorHAnsi" w:eastAsia="Yu Mincho" w:hAnsiTheme="majorHAnsi" w:cstheme="majorHAnsi"/>
          <w:i/>
          <w:iCs/>
          <w:color w:val="000000" w:themeColor="text1"/>
          <w:spacing w:val="-4"/>
          <w:sz w:val="18"/>
          <w:szCs w:val="18"/>
          <w:lang w:eastAsia="ja-JP"/>
        </w:rPr>
        <w:t xml:space="preserve">G. multipileum </w:t>
      </w:r>
      <w:r w:rsidRPr="005E6B7C">
        <w:rPr>
          <w:rFonts w:asciiTheme="majorHAnsi" w:eastAsia="Yu Mincho" w:hAnsiTheme="majorHAnsi" w:cstheme="majorHAnsi"/>
          <w:iCs/>
          <w:color w:val="000000" w:themeColor="text1"/>
          <w:spacing w:val="-4"/>
          <w:sz w:val="18"/>
          <w:szCs w:val="18"/>
          <w:lang w:eastAsia="ja-JP"/>
        </w:rPr>
        <w:t>in Vietnam.</w:t>
      </w:r>
    </w:p>
    <w:p w14:paraId="491A2429" w14:textId="77777777" w:rsidR="00E049CB" w:rsidRPr="005E6B7C" w:rsidRDefault="00E049CB" w:rsidP="008C0D47">
      <w:pPr>
        <w:tabs>
          <w:tab w:val="left" w:pos="9270"/>
        </w:tabs>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 xml:space="preserve">Ganoderma multipileum; </w:t>
      </w:r>
      <w:r w:rsidRPr="005E6B7C">
        <w:rPr>
          <w:rFonts w:asciiTheme="majorHAnsi" w:eastAsia="Yu Mincho" w:hAnsiTheme="majorHAnsi" w:cstheme="majorHAnsi"/>
          <w:color w:val="000000" w:themeColor="text1"/>
          <w:sz w:val="18"/>
          <w:szCs w:val="18"/>
          <w:lang w:eastAsia="ja-JP"/>
        </w:rPr>
        <w:t xml:space="preserve">Ganodermataceae; </w:t>
      </w:r>
      <w:r w:rsidRPr="005E6B7C">
        <w:rPr>
          <w:rFonts w:asciiTheme="majorHAnsi" w:eastAsia="Yu Mincho" w:hAnsiTheme="majorHAnsi" w:cstheme="majorHAnsi"/>
          <w:i/>
          <w:iCs/>
          <w:color w:val="000000" w:themeColor="text1"/>
          <w:sz w:val="18"/>
          <w:szCs w:val="18"/>
          <w:lang w:eastAsia="ja-JP"/>
        </w:rPr>
        <w:t>Lanostane; Ergostrol.</w:t>
      </w:r>
    </w:p>
    <w:p w14:paraId="0AEA0F4A" w14:textId="77777777" w:rsidR="00F5234A" w:rsidRPr="005E6B7C" w:rsidRDefault="00F5234A" w:rsidP="008C0D47">
      <w:pPr>
        <w:tabs>
          <w:tab w:val="left" w:pos="270"/>
          <w:tab w:val="left" w:pos="540"/>
          <w:tab w:val="left" w:pos="9270"/>
        </w:tabs>
        <w:ind w:right="-20"/>
        <w:contextualSpacing/>
        <w:jc w:val="both"/>
        <w:rPr>
          <w:rFonts w:asciiTheme="majorHAnsi" w:eastAsia="Yu Mincho" w:hAnsiTheme="majorHAnsi" w:cstheme="majorHAnsi"/>
          <w:b/>
          <w:color w:val="000000" w:themeColor="text1"/>
          <w:sz w:val="22"/>
          <w:szCs w:val="22"/>
          <w:lang w:eastAsia="ja-JP"/>
        </w:rPr>
      </w:pPr>
    </w:p>
    <w:p w14:paraId="50594DEB" w14:textId="77777777" w:rsidR="00BC3F11" w:rsidRPr="005E6B7C" w:rsidRDefault="00BC3F11"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
          <w:color w:val="000000" w:themeColor="text1"/>
          <w:sz w:val="22"/>
          <w:szCs w:val="22"/>
          <w:lang w:eastAsia="ja-JP"/>
        </w:rPr>
        <w:sectPr w:rsidR="00BC3F11" w:rsidRPr="005E6B7C" w:rsidSect="002206BB">
          <w:type w:val="continuous"/>
          <w:pgSz w:w="10773" w:h="15309" w:code="9"/>
          <w:pgMar w:top="907" w:right="851" w:bottom="1418" w:left="851" w:header="397" w:footer="851" w:gutter="0"/>
          <w:cols w:space="284"/>
          <w:docGrid w:linePitch="360"/>
        </w:sectPr>
      </w:pPr>
    </w:p>
    <w:p w14:paraId="0D0F0784" w14:textId="77777777" w:rsidR="00E049CB" w:rsidRPr="005E6B7C" w:rsidRDefault="00E049CB" w:rsidP="008C0D47">
      <w:pPr>
        <w:tabs>
          <w:tab w:val="left" w:pos="270"/>
          <w:tab w:val="left" w:pos="540"/>
          <w:tab w:val="left" w:pos="9270"/>
        </w:tabs>
        <w:spacing w:line="231"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14A00FF3" w14:textId="24B6F525" w:rsidR="00826294" w:rsidRPr="005E6B7C" w:rsidRDefault="00E049CB" w:rsidP="008C0D47">
      <w:pPr>
        <w:tabs>
          <w:tab w:val="left" w:pos="0"/>
          <w:tab w:val="left" w:pos="270"/>
          <w:tab w:val="left" w:pos="9270"/>
        </w:tabs>
        <w:spacing w:line="231"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Ganoderma </w:t>
      </w:r>
      <w:r w:rsidRPr="005E6B7C">
        <w:rPr>
          <w:rFonts w:asciiTheme="majorHAnsi" w:eastAsia="Yu Mincho" w:hAnsiTheme="majorHAnsi" w:cstheme="majorHAnsi"/>
          <w:color w:val="000000" w:themeColor="text1"/>
          <w:sz w:val="22"/>
          <w:szCs w:val="22"/>
          <w:lang w:eastAsia="ja-JP"/>
        </w:rPr>
        <w:t xml:space="preserve">consists of almost 300 species of the family Ganodermataceae globally, but about 26 species in Tay Nguyen [1]. Among them, </w:t>
      </w:r>
      <w:r w:rsidRPr="005E6B7C">
        <w:rPr>
          <w:rFonts w:asciiTheme="majorHAnsi" w:eastAsia="Yu Mincho" w:hAnsiTheme="majorHAnsi" w:cstheme="majorHAnsi"/>
          <w:i/>
          <w:color w:val="000000" w:themeColor="text1"/>
          <w:sz w:val="22"/>
          <w:szCs w:val="22"/>
          <w:lang w:eastAsia="ja-JP"/>
        </w:rPr>
        <w:t>G. lucidum</w:t>
      </w:r>
      <w:r w:rsidRPr="005E6B7C">
        <w:rPr>
          <w:rFonts w:asciiTheme="majorHAnsi" w:eastAsia="Yu Mincho" w:hAnsiTheme="majorHAnsi" w:cstheme="majorHAnsi"/>
          <w:color w:val="000000" w:themeColor="text1"/>
          <w:sz w:val="22"/>
          <w:szCs w:val="22"/>
          <w:lang w:eastAsia="ja-JP"/>
        </w:rPr>
        <w:t xml:space="preserve"> has the most comprehensive research, but the number of publications on the species continues to increase annually. Because the species has many valuable activities as immunomodulatory [2], antitumor [3], anti-inflammation [4], cardio-vascular [5], liver protection, detoxification, hepatitis, and gastric ulcer [6</w:t>
      </w:r>
      <w:r w:rsidR="00FC2DB5"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w:t>
      </w:r>
      <w:r w:rsidR="00FC2DB5"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7]. </w:t>
      </w:r>
      <w:r w:rsidRPr="005E6B7C">
        <w:rPr>
          <w:rFonts w:asciiTheme="majorHAnsi" w:eastAsia="Yu Mincho" w:hAnsiTheme="majorHAnsi" w:cstheme="majorHAnsi"/>
          <w:i/>
          <w:color w:val="000000" w:themeColor="text1"/>
          <w:sz w:val="22"/>
          <w:szCs w:val="22"/>
          <w:lang w:eastAsia="ja-JP"/>
        </w:rPr>
        <w:t xml:space="preserve">G. multipileum </w:t>
      </w:r>
      <w:r w:rsidRPr="005E6B7C">
        <w:rPr>
          <w:rFonts w:asciiTheme="majorHAnsi" w:eastAsia="Yu Mincho" w:hAnsiTheme="majorHAnsi" w:cstheme="majorHAnsi"/>
          <w:color w:val="000000" w:themeColor="text1"/>
          <w:sz w:val="22"/>
          <w:szCs w:val="22"/>
          <w:lang w:eastAsia="ja-JP"/>
        </w:rPr>
        <w:t xml:space="preserve">is quite popular in Kon Ka Kinh Park, Gialai [8]. </w:t>
      </w:r>
      <w:r w:rsidRPr="005E6B7C">
        <w:rPr>
          <w:rFonts w:asciiTheme="majorHAnsi" w:eastAsia="Yu Mincho" w:hAnsiTheme="majorHAnsi" w:cstheme="majorHAnsi"/>
          <w:i/>
          <w:color w:val="000000" w:themeColor="text1"/>
          <w:sz w:val="22"/>
          <w:szCs w:val="22"/>
          <w:lang w:eastAsia="ja-JP"/>
        </w:rPr>
        <w:t>G. multipileum</w:t>
      </w:r>
      <w:r w:rsidRPr="005E6B7C">
        <w:rPr>
          <w:rFonts w:asciiTheme="majorHAnsi" w:eastAsia="Yu Mincho" w:hAnsiTheme="majorHAnsi" w:cstheme="majorHAnsi"/>
          <w:color w:val="000000" w:themeColor="text1"/>
          <w:sz w:val="22"/>
          <w:szCs w:val="22"/>
          <w:lang w:eastAsia="ja-JP"/>
        </w:rPr>
        <w:t xml:space="preserve"> parasitizes living plants of the </w:t>
      </w:r>
      <w:r w:rsidRPr="005E6B7C">
        <w:rPr>
          <w:rFonts w:asciiTheme="majorHAnsi" w:eastAsia="Yu Mincho" w:hAnsiTheme="majorHAnsi" w:cstheme="majorHAnsi"/>
          <w:i/>
          <w:color w:val="000000" w:themeColor="text1"/>
          <w:sz w:val="22"/>
          <w:szCs w:val="22"/>
          <w:lang w:eastAsia="ja-JP"/>
        </w:rPr>
        <w:t>Delonix</w:t>
      </w:r>
      <w:r w:rsidRPr="005E6B7C">
        <w:rPr>
          <w:rFonts w:asciiTheme="majorHAnsi" w:eastAsia="Yu Mincho" w:hAnsiTheme="majorHAnsi" w:cstheme="majorHAnsi"/>
          <w:color w:val="000000" w:themeColor="text1"/>
          <w:sz w:val="22"/>
          <w:szCs w:val="22"/>
          <w:lang w:eastAsia="ja-JP"/>
        </w:rPr>
        <w:t xml:space="preserve"> genus in subtropical to tropical forests [9]. Morphologically, </w:t>
      </w:r>
      <w:r w:rsidRPr="005E6B7C">
        <w:rPr>
          <w:rFonts w:asciiTheme="majorHAnsi" w:eastAsia="Yu Mincho" w:hAnsiTheme="majorHAnsi" w:cstheme="majorHAnsi"/>
          <w:i/>
          <w:color w:val="000000" w:themeColor="text1"/>
          <w:sz w:val="22"/>
          <w:szCs w:val="22"/>
          <w:lang w:eastAsia="ja-JP"/>
        </w:rPr>
        <w:t>G. multipileum</w:t>
      </w:r>
      <w:r w:rsidRPr="005E6B7C">
        <w:rPr>
          <w:rFonts w:asciiTheme="majorHAnsi" w:eastAsia="Yu Mincho" w:hAnsiTheme="majorHAnsi" w:cstheme="majorHAnsi"/>
          <w:color w:val="000000" w:themeColor="text1"/>
          <w:sz w:val="22"/>
          <w:szCs w:val="22"/>
          <w:lang w:eastAsia="ja-JP"/>
        </w:rPr>
        <w:t xml:space="preserve"> is quite similar to </w:t>
      </w:r>
      <w:r w:rsidRPr="005E6B7C">
        <w:rPr>
          <w:rFonts w:asciiTheme="majorHAnsi" w:eastAsia="Yu Mincho" w:hAnsiTheme="majorHAnsi" w:cstheme="majorHAnsi"/>
          <w:i/>
          <w:color w:val="000000" w:themeColor="text1"/>
          <w:sz w:val="22"/>
          <w:szCs w:val="22"/>
          <w:lang w:eastAsia="ja-JP"/>
        </w:rPr>
        <w:t>G. lucidum</w:t>
      </w:r>
      <w:r w:rsidRPr="005E6B7C">
        <w:rPr>
          <w:rFonts w:asciiTheme="majorHAnsi" w:eastAsia="Yu Mincho" w:hAnsiTheme="majorHAnsi" w:cstheme="majorHAnsi"/>
          <w:color w:val="000000" w:themeColor="text1"/>
          <w:sz w:val="22"/>
          <w:szCs w:val="22"/>
          <w:lang w:eastAsia="ja-JP"/>
        </w:rPr>
        <w:t xml:space="preserve">, leading to easy confusion between the two species. Research on the chemical composition and biological activity of this fungus is still very limited in Vietnam and worldwide. Only one study by Mei-Juan Li </w:t>
      </w:r>
      <w:r w:rsidRPr="005E6B7C">
        <w:rPr>
          <w:rFonts w:asciiTheme="majorHAnsi" w:eastAsia="Yu Mincho" w:hAnsiTheme="majorHAnsi" w:cstheme="majorHAnsi"/>
          <w:i/>
          <w:color w:val="000000" w:themeColor="text1"/>
          <w:sz w:val="22"/>
          <w:szCs w:val="22"/>
          <w:lang w:eastAsia="ja-JP"/>
        </w:rPr>
        <w:t>et al</w:t>
      </w:r>
      <w:r w:rsidRPr="005E6B7C">
        <w:rPr>
          <w:rFonts w:asciiTheme="majorHAnsi" w:eastAsia="Yu Mincho" w:hAnsiTheme="majorHAnsi" w:cstheme="majorHAnsi"/>
          <w:color w:val="000000" w:themeColor="text1"/>
          <w:sz w:val="22"/>
          <w:szCs w:val="22"/>
          <w:lang w:eastAsia="ja-JP"/>
        </w:rPr>
        <w:t xml:space="preserve">. [10] isolated 16 lanostane-triterpenoids from </w:t>
      </w:r>
      <w:r w:rsidRPr="005E6B7C">
        <w:rPr>
          <w:rFonts w:asciiTheme="majorHAnsi" w:eastAsia="Yu Mincho" w:hAnsiTheme="majorHAnsi" w:cstheme="majorHAnsi"/>
          <w:i/>
          <w:color w:val="000000" w:themeColor="text1"/>
          <w:sz w:val="22"/>
          <w:szCs w:val="22"/>
          <w:lang w:eastAsia="ja-JP"/>
        </w:rPr>
        <w:t>G. multipileum</w:t>
      </w:r>
      <w:r w:rsidRPr="005E6B7C">
        <w:rPr>
          <w:rFonts w:asciiTheme="majorHAnsi" w:eastAsia="Yu Mincho" w:hAnsiTheme="majorHAnsi" w:cstheme="majorHAnsi"/>
          <w:color w:val="000000" w:themeColor="text1"/>
          <w:sz w:val="22"/>
          <w:szCs w:val="22"/>
          <w:lang w:eastAsia="ja-JP"/>
        </w:rPr>
        <w:t xml:space="preserve"> and their anti-inflammatory activity. In this report, we isolated and determined the structure of 5 compounds (Fig. 1): lanosta-7,9(11),24-triene-3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,26-diol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w:t>
      </w:r>
      <w:r w:rsidR="00826294" w:rsidRPr="005E6B7C">
        <w:rPr>
          <w:rFonts w:asciiTheme="majorHAnsi" w:eastAsia="Yu Mincho" w:hAnsiTheme="majorHAnsi" w:cstheme="majorHAnsi"/>
          <w:color w:val="000000" w:themeColor="text1"/>
          <w:sz w:val="22"/>
          <w:szCs w:val="22"/>
          <w:lang w:eastAsia="ja-JP"/>
        </w:rPr>
        <w:t xml:space="preserve"> 3</w:t>
      </w:r>
      <w:r w:rsidR="00826294" w:rsidRPr="005E6B7C">
        <w:rPr>
          <w:rFonts w:asciiTheme="majorHAnsi" w:eastAsia="Yu Mincho" w:hAnsiTheme="majorHAnsi" w:cstheme="majorHAnsi"/>
          <w:i/>
          <w:color w:val="000000" w:themeColor="text1"/>
          <w:sz w:val="22"/>
          <w:szCs w:val="22"/>
          <w:lang w:eastAsia="ja-JP"/>
        </w:rPr>
        <w:t>β</w:t>
      </w:r>
      <w:r w:rsidR="00826294" w:rsidRPr="005E6B7C">
        <w:rPr>
          <w:rFonts w:asciiTheme="majorHAnsi" w:eastAsia="Yu Mincho" w:hAnsiTheme="majorHAnsi" w:cstheme="majorHAnsi"/>
          <w:color w:val="000000" w:themeColor="text1"/>
          <w:sz w:val="22"/>
          <w:szCs w:val="22"/>
          <w:lang w:eastAsia="ja-JP"/>
        </w:rPr>
        <w:t>-hydroxy-lanosta-7,9(11),24-trien (</w:t>
      </w:r>
      <w:r w:rsidR="00826294" w:rsidRPr="005E6B7C">
        <w:rPr>
          <w:rFonts w:asciiTheme="majorHAnsi" w:eastAsia="Yu Mincho" w:hAnsiTheme="majorHAnsi" w:cstheme="majorHAnsi"/>
          <w:b/>
          <w:color w:val="000000" w:themeColor="text1"/>
          <w:sz w:val="22"/>
          <w:szCs w:val="22"/>
          <w:lang w:eastAsia="ja-JP"/>
        </w:rPr>
        <w:t>2</w:t>
      </w:r>
      <w:r w:rsidR="00826294" w:rsidRPr="005E6B7C">
        <w:rPr>
          <w:rFonts w:asciiTheme="majorHAnsi" w:eastAsia="Yu Mincho" w:hAnsiTheme="majorHAnsi" w:cstheme="majorHAnsi"/>
          <w:color w:val="000000" w:themeColor="text1"/>
          <w:sz w:val="22"/>
          <w:szCs w:val="22"/>
          <w:lang w:eastAsia="ja-JP"/>
        </w:rPr>
        <w:t>), (22</w:t>
      </w:r>
      <w:r w:rsidR="00826294" w:rsidRPr="005E6B7C">
        <w:rPr>
          <w:rFonts w:asciiTheme="majorHAnsi" w:eastAsia="Yu Mincho" w:hAnsiTheme="majorHAnsi" w:cstheme="majorHAnsi"/>
          <w:i/>
          <w:color w:val="000000" w:themeColor="text1"/>
          <w:sz w:val="22"/>
          <w:szCs w:val="22"/>
          <w:lang w:eastAsia="ja-JP"/>
        </w:rPr>
        <w:t>E</w:t>
      </w:r>
      <w:r w:rsidR="00826294" w:rsidRPr="005E6B7C">
        <w:rPr>
          <w:rFonts w:asciiTheme="majorHAnsi" w:eastAsia="Yu Mincho" w:hAnsiTheme="majorHAnsi" w:cstheme="majorHAnsi"/>
          <w:color w:val="000000" w:themeColor="text1"/>
          <w:sz w:val="22"/>
          <w:szCs w:val="22"/>
          <w:lang w:eastAsia="ja-JP"/>
        </w:rPr>
        <w:t>)-ergosta-7,9,22-trien-3</w:t>
      </w:r>
      <w:r w:rsidR="00826294" w:rsidRPr="005E6B7C">
        <w:rPr>
          <w:rFonts w:asciiTheme="majorHAnsi" w:eastAsia="Yu Mincho" w:hAnsiTheme="majorHAnsi" w:cstheme="majorHAnsi"/>
          <w:i/>
          <w:color w:val="000000" w:themeColor="text1"/>
          <w:sz w:val="22"/>
          <w:szCs w:val="22"/>
          <w:lang w:eastAsia="ja-JP"/>
        </w:rPr>
        <w:t>β</w:t>
      </w:r>
      <w:r w:rsidR="00826294" w:rsidRPr="005E6B7C">
        <w:rPr>
          <w:rFonts w:asciiTheme="majorHAnsi" w:eastAsia="Yu Mincho" w:hAnsiTheme="majorHAnsi" w:cstheme="majorHAnsi"/>
          <w:color w:val="000000" w:themeColor="text1"/>
          <w:sz w:val="22"/>
          <w:szCs w:val="22"/>
          <w:lang w:eastAsia="ja-JP"/>
        </w:rPr>
        <w:t>-ol (</w:t>
      </w:r>
      <w:r w:rsidR="00826294" w:rsidRPr="005E6B7C">
        <w:rPr>
          <w:rFonts w:asciiTheme="majorHAnsi" w:eastAsia="Yu Mincho" w:hAnsiTheme="majorHAnsi" w:cstheme="majorHAnsi"/>
          <w:b/>
          <w:color w:val="000000" w:themeColor="text1"/>
          <w:sz w:val="22"/>
          <w:szCs w:val="22"/>
          <w:lang w:eastAsia="ja-JP"/>
        </w:rPr>
        <w:t>3</w:t>
      </w:r>
      <w:r w:rsidR="00826294" w:rsidRPr="005E6B7C">
        <w:rPr>
          <w:rFonts w:asciiTheme="majorHAnsi" w:eastAsia="Yu Mincho" w:hAnsiTheme="majorHAnsi" w:cstheme="majorHAnsi"/>
          <w:color w:val="000000" w:themeColor="text1"/>
          <w:sz w:val="22"/>
          <w:szCs w:val="22"/>
          <w:lang w:eastAsia="ja-JP"/>
        </w:rPr>
        <w:t>), (22</w:t>
      </w:r>
      <w:r w:rsidR="00826294" w:rsidRPr="005E6B7C">
        <w:rPr>
          <w:rFonts w:asciiTheme="majorHAnsi" w:eastAsia="Yu Mincho" w:hAnsiTheme="majorHAnsi" w:cstheme="majorHAnsi"/>
          <w:i/>
          <w:color w:val="000000" w:themeColor="text1"/>
          <w:sz w:val="22"/>
          <w:szCs w:val="22"/>
          <w:lang w:eastAsia="ja-JP"/>
        </w:rPr>
        <w:t>E</w:t>
      </w:r>
      <w:r w:rsidR="00826294" w:rsidRPr="005E6B7C">
        <w:rPr>
          <w:rFonts w:asciiTheme="majorHAnsi" w:eastAsia="Yu Mincho" w:hAnsiTheme="majorHAnsi" w:cstheme="majorHAnsi"/>
          <w:color w:val="000000" w:themeColor="text1"/>
          <w:sz w:val="22"/>
          <w:szCs w:val="22"/>
          <w:lang w:eastAsia="ja-JP"/>
        </w:rPr>
        <w:t>)-ergosta-7,22-dien-3-one (</w:t>
      </w:r>
      <w:r w:rsidR="00826294" w:rsidRPr="005E6B7C">
        <w:rPr>
          <w:rFonts w:asciiTheme="majorHAnsi" w:eastAsia="Yu Mincho" w:hAnsiTheme="majorHAnsi" w:cstheme="majorHAnsi"/>
          <w:b/>
          <w:color w:val="000000" w:themeColor="text1"/>
          <w:sz w:val="22"/>
          <w:szCs w:val="22"/>
          <w:lang w:eastAsia="ja-JP"/>
        </w:rPr>
        <w:t>4</w:t>
      </w:r>
      <w:r w:rsidR="00826294" w:rsidRPr="005E6B7C">
        <w:rPr>
          <w:rFonts w:asciiTheme="majorHAnsi" w:eastAsia="Yu Mincho" w:hAnsiTheme="majorHAnsi" w:cstheme="majorHAnsi"/>
          <w:color w:val="000000" w:themeColor="text1"/>
          <w:sz w:val="22"/>
          <w:szCs w:val="22"/>
          <w:lang w:eastAsia="ja-JP"/>
        </w:rPr>
        <w:t>), and methyl 2-hydroxynonacosanoate (</w:t>
      </w:r>
      <w:r w:rsidR="00826294" w:rsidRPr="005E6B7C">
        <w:rPr>
          <w:rFonts w:asciiTheme="majorHAnsi" w:eastAsia="Yu Mincho" w:hAnsiTheme="majorHAnsi" w:cstheme="majorHAnsi"/>
          <w:b/>
          <w:color w:val="000000" w:themeColor="text1"/>
          <w:sz w:val="22"/>
          <w:szCs w:val="22"/>
          <w:lang w:eastAsia="ja-JP"/>
        </w:rPr>
        <w:t>5</w:t>
      </w:r>
      <w:r w:rsidR="00826294" w:rsidRPr="005E6B7C">
        <w:rPr>
          <w:rFonts w:asciiTheme="majorHAnsi" w:eastAsia="Yu Mincho" w:hAnsiTheme="majorHAnsi" w:cstheme="majorHAnsi"/>
          <w:color w:val="000000" w:themeColor="text1"/>
          <w:sz w:val="22"/>
          <w:szCs w:val="22"/>
          <w:lang w:eastAsia="ja-JP"/>
        </w:rPr>
        <w:t>). This is the first study on the chemical composition of this species in Vietnam.</w:t>
      </w:r>
    </w:p>
    <w:p w14:paraId="5B908B35" w14:textId="77777777" w:rsidR="00E049CB" w:rsidRPr="005E6B7C" w:rsidRDefault="00E049CB" w:rsidP="008C0D47">
      <w:pPr>
        <w:tabs>
          <w:tab w:val="left" w:pos="0"/>
          <w:tab w:val="left" w:pos="270"/>
          <w:tab w:val="left" w:pos="9270"/>
        </w:tabs>
        <w:spacing w:line="231"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5339575B" w14:textId="77777777" w:rsidR="00E049CB" w:rsidRPr="005E6B7C" w:rsidRDefault="00E049CB" w:rsidP="008C0D47">
      <w:pPr>
        <w:tabs>
          <w:tab w:val="left" w:pos="270"/>
          <w:tab w:val="left" w:pos="450"/>
          <w:tab w:val="left" w:pos="9270"/>
        </w:tabs>
        <w:spacing w:line="231"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2.1. Plant material</w:t>
      </w:r>
    </w:p>
    <w:p w14:paraId="59D91580" w14:textId="778E06A0" w:rsidR="00E049CB" w:rsidRPr="005E6B7C" w:rsidRDefault="00E049CB" w:rsidP="008C0D47">
      <w:pPr>
        <w:spacing w:line="231"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The fruiting bodies of </w:t>
      </w:r>
      <w:r w:rsidR="008C0D47" w:rsidRPr="005E6B7C">
        <w:rPr>
          <w:rFonts w:asciiTheme="majorHAnsi" w:eastAsia="Yu Mincho" w:hAnsiTheme="majorHAnsi" w:cstheme="majorHAnsi"/>
          <w:color w:val="000000" w:themeColor="text1"/>
          <w:spacing w:val="-4"/>
          <w:sz w:val="22"/>
          <w:szCs w:val="22"/>
          <w:lang w:eastAsia="ja-JP"/>
        </w:rPr>
        <w:t xml:space="preserve">the </w:t>
      </w:r>
      <w:r w:rsidRPr="005E6B7C">
        <w:rPr>
          <w:rFonts w:asciiTheme="majorHAnsi" w:eastAsia="Yu Mincho" w:hAnsiTheme="majorHAnsi" w:cstheme="majorHAnsi"/>
          <w:color w:val="000000" w:themeColor="text1"/>
          <w:spacing w:val="-4"/>
          <w:sz w:val="22"/>
          <w:szCs w:val="22"/>
          <w:lang w:eastAsia="ja-JP"/>
        </w:rPr>
        <w:t xml:space="preserve">samples were collected </w:t>
      </w:r>
      <w:r w:rsidRPr="005E6B7C">
        <w:rPr>
          <w:rFonts w:asciiTheme="majorHAnsi" w:eastAsia="Yu Mincho" w:hAnsiTheme="majorHAnsi" w:cstheme="majorHAnsi"/>
          <w:color w:val="000000" w:themeColor="text1"/>
          <w:spacing w:val="-4"/>
          <w:sz w:val="22"/>
          <w:szCs w:val="22"/>
          <w:lang w:eastAsia="ja-JP"/>
        </w:rPr>
        <w:t xml:space="preserve">in Kon Ka Kinh Park, Gialai, in November 2024. The mushroom was identified as </w:t>
      </w:r>
      <w:r w:rsidRPr="005E6B7C">
        <w:rPr>
          <w:rFonts w:asciiTheme="majorHAnsi" w:eastAsia="Yu Mincho" w:hAnsiTheme="majorHAnsi" w:cstheme="majorHAnsi"/>
          <w:i/>
          <w:iCs/>
          <w:color w:val="000000" w:themeColor="text1"/>
          <w:spacing w:val="-4"/>
          <w:sz w:val="22"/>
          <w:szCs w:val="22"/>
          <w:lang w:eastAsia="ja-JP"/>
        </w:rPr>
        <w:t>Ganoderma multipileum</w:t>
      </w:r>
      <w:r w:rsidRPr="005E6B7C">
        <w:rPr>
          <w:rFonts w:asciiTheme="majorHAnsi" w:eastAsia="Yu Mincho" w:hAnsiTheme="majorHAnsi" w:cstheme="majorHAnsi"/>
          <w:color w:val="000000" w:themeColor="text1"/>
          <w:spacing w:val="-4"/>
          <w:sz w:val="22"/>
          <w:szCs w:val="22"/>
          <w:lang w:eastAsia="ja-JP"/>
        </w:rPr>
        <w:t xml:space="preserve"> Ding Hou, belonging to the </w:t>
      </w:r>
      <w:r w:rsidRPr="005E6B7C">
        <w:rPr>
          <w:rFonts w:asciiTheme="majorHAnsi" w:eastAsia="Arial" w:hAnsiTheme="majorHAnsi" w:cstheme="majorHAnsi"/>
          <w:color w:val="000000" w:themeColor="text1"/>
          <w:spacing w:val="-4"/>
          <w:sz w:val="22"/>
          <w:szCs w:val="22"/>
          <w:lang w:eastAsia="ja-JP"/>
        </w:rPr>
        <w:t>Ganodermataceae</w:t>
      </w:r>
      <w:r w:rsidRPr="005E6B7C">
        <w:rPr>
          <w:rFonts w:asciiTheme="majorHAnsi" w:eastAsia="Yu Mincho" w:hAnsiTheme="majorHAnsi" w:cstheme="majorHAnsi"/>
          <w:color w:val="000000" w:themeColor="text1"/>
          <w:spacing w:val="-4"/>
          <w:sz w:val="22"/>
          <w:szCs w:val="22"/>
          <w:lang w:eastAsia="ja-JP"/>
        </w:rPr>
        <w:t xml:space="preserve"> family by Assoc. Prof. Nguyen Phuong Dai Nguyen. A voucher specimen (</w:t>
      </w:r>
      <w:r w:rsidRPr="005E6B7C">
        <w:rPr>
          <w:rFonts w:asciiTheme="majorHAnsi" w:eastAsia="Yu Mincho" w:hAnsiTheme="majorHAnsi" w:cstheme="majorHAnsi"/>
          <w:bCs/>
          <w:iCs/>
          <w:color w:val="000000" w:themeColor="text1"/>
          <w:spacing w:val="-4"/>
          <w:sz w:val="22"/>
          <w:szCs w:val="22"/>
          <w:lang w:eastAsia="ja-JP"/>
        </w:rPr>
        <w:t>GM112024</w:t>
      </w:r>
      <w:r w:rsidRPr="005E6B7C">
        <w:rPr>
          <w:rFonts w:asciiTheme="majorHAnsi" w:eastAsia="Yu Mincho" w:hAnsiTheme="majorHAnsi" w:cstheme="majorHAnsi"/>
          <w:color w:val="000000" w:themeColor="text1"/>
          <w:spacing w:val="-4"/>
          <w:sz w:val="22"/>
          <w:szCs w:val="22"/>
          <w:lang w:eastAsia="ja-JP"/>
        </w:rPr>
        <w:t xml:space="preserve">) was deposited at the National Institute of Medicinal Materials. </w:t>
      </w:r>
    </w:p>
    <w:p w14:paraId="781AA85D" w14:textId="77777777" w:rsidR="00E049CB" w:rsidRPr="005E6B7C" w:rsidRDefault="00E049CB" w:rsidP="008C0D47">
      <w:pPr>
        <w:tabs>
          <w:tab w:val="left" w:pos="270"/>
          <w:tab w:val="left" w:pos="450"/>
          <w:tab w:val="left" w:pos="9270"/>
        </w:tabs>
        <w:spacing w:line="231"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Methods</w:t>
      </w:r>
    </w:p>
    <w:p w14:paraId="31B9E1F6" w14:textId="6A4ADE7C" w:rsidR="00E049CB" w:rsidRPr="005E6B7C" w:rsidRDefault="00E049CB" w:rsidP="008C0D47">
      <w:pPr>
        <w:tabs>
          <w:tab w:val="left" w:pos="270"/>
          <w:tab w:val="left" w:pos="450"/>
          <w:tab w:val="left" w:pos="9270"/>
        </w:tabs>
        <w:spacing w:line="231"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The NMR measurements were conducted using CDCl</w:t>
      </w:r>
      <w:r w:rsidRPr="005E6B7C">
        <w:rPr>
          <w:rFonts w:asciiTheme="majorHAnsi" w:eastAsia="Yu Mincho" w:hAnsiTheme="majorHAnsi" w:cstheme="majorHAnsi"/>
          <w:color w:val="000000" w:themeColor="text1"/>
          <w:spacing w:val="-4"/>
          <w:sz w:val="22"/>
          <w:szCs w:val="22"/>
          <w:vertAlign w:val="subscript"/>
          <w:lang w:eastAsia="ja-JP"/>
        </w:rPr>
        <w:t>3</w:t>
      </w:r>
      <w:r w:rsidRPr="005E6B7C">
        <w:rPr>
          <w:rFonts w:asciiTheme="majorHAnsi" w:eastAsia="Yu Mincho" w:hAnsiTheme="majorHAnsi" w:cstheme="majorHAnsi"/>
          <w:color w:val="000000" w:themeColor="text1"/>
          <w:spacing w:val="-4"/>
          <w:sz w:val="22"/>
          <w:szCs w:val="22"/>
          <w:lang w:eastAsia="ja-JP"/>
        </w:rPr>
        <w:t xml:space="preserve"> as a solvent on a Bruker NMR spectrometer with a frequency of 600 MHz. Tetramethylsilane was used as an internal standard, and chemical shifts were reported in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lang w:eastAsia="ja-JP"/>
        </w:rPr>
        <w:t xml:space="preserve"> (ppm). Electrospray Ionization Mass Spectrometry (ESI-MS) was performed using an Agilent 1100 series LC-MSD ion trap spectrometer. Column chromatography was performed using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(70-230 or 230-400 mesh, Merck) and reversed</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phase resin (YMC ODS-A 12 nm, S-75 </w:t>
      </w:r>
      <w:r w:rsidR="00266B26" w:rsidRPr="005E6B7C">
        <w:rPr>
          <w:rFonts w:asciiTheme="majorHAnsi" w:eastAsia="Yu Mincho" w:hAnsiTheme="majorHAnsi" w:cstheme="majorHAnsi"/>
          <w:i/>
          <w:iCs/>
          <w:color w:val="000000" w:themeColor="text1"/>
          <w:spacing w:val="-4"/>
          <w:sz w:val="22"/>
          <w:szCs w:val="22"/>
          <w:lang w:eastAsia="ja-JP"/>
        </w:rPr>
        <w:t>µ</w:t>
      </w:r>
      <w:r w:rsidRPr="005E6B7C">
        <w:rPr>
          <w:rFonts w:asciiTheme="majorHAnsi" w:eastAsia="Yu Mincho" w:hAnsiTheme="majorHAnsi" w:cstheme="majorHAnsi"/>
          <w:color w:val="000000" w:themeColor="text1"/>
          <w:spacing w:val="-4"/>
          <w:sz w:val="22"/>
          <w:szCs w:val="22"/>
          <w:lang w:eastAsia="ja-JP"/>
        </w:rPr>
        <w:t xml:space="preserve">m, Japan) as a stationary phase. Thin Layer Chromatography (TLC) was carried out on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60 F</w:t>
      </w:r>
      <w:r w:rsidRPr="005E6B7C">
        <w:rPr>
          <w:rFonts w:asciiTheme="majorHAnsi" w:eastAsia="Yu Mincho" w:hAnsiTheme="majorHAnsi" w:cstheme="majorHAnsi"/>
          <w:color w:val="000000" w:themeColor="text1"/>
          <w:spacing w:val="-4"/>
          <w:sz w:val="22"/>
          <w:szCs w:val="22"/>
          <w:vertAlign w:val="subscript"/>
          <w:lang w:eastAsia="ja-JP"/>
        </w:rPr>
        <w:t>254</w:t>
      </w:r>
      <w:r w:rsidRPr="005E6B7C">
        <w:rPr>
          <w:rFonts w:asciiTheme="majorHAnsi" w:eastAsia="Yu Mincho" w:hAnsiTheme="majorHAnsi" w:cstheme="majorHAnsi"/>
          <w:color w:val="000000" w:themeColor="text1"/>
          <w:spacing w:val="-4"/>
          <w:sz w:val="22"/>
          <w:szCs w:val="22"/>
          <w:lang w:eastAsia="ja-JP"/>
        </w:rPr>
        <w:t>S plates (Merck). Spots were detected by UV radiation (245 and 365 nm) or by spraying with 10% H</w:t>
      </w:r>
      <w:r w:rsidRPr="005E6B7C">
        <w:rPr>
          <w:rFonts w:asciiTheme="majorHAnsi" w:eastAsia="Yu Mincho" w:hAnsiTheme="majorHAnsi" w:cstheme="majorHAnsi"/>
          <w:color w:val="000000" w:themeColor="text1"/>
          <w:spacing w:val="-4"/>
          <w:sz w:val="22"/>
          <w:szCs w:val="22"/>
          <w:vertAlign w:val="subscript"/>
          <w:lang w:eastAsia="ja-JP"/>
        </w:rPr>
        <w:t>2</w:t>
      </w:r>
      <w:r w:rsidRPr="005E6B7C">
        <w:rPr>
          <w:rFonts w:asciiTheme="majorHAnsi" w:eastAsia="Yu Mincho" w:hAnsiTheme="majorHAnsi" w:cstheme="majorHAnsi"/>
          <w:color w:val="000000" w:themeColor="text1"/>
          <w:spacing w:val="-4"/>
          <w:sz w:val="22"/>
          <w:szCs w:val="22"/>
          <w:lang w:eastAsia="ja-JP"/>
        </w:rPr>
        <w:t>SO</w:t>
      </w:r>
      <w:r w:rsidRPr="005E6B7C">
        <w:rPr>
          <w:rFonts w:asciiTheme="majorHAnsi" w:eastAsia="Yu Mincho" w:hAnsiTheme="majorHAnsi" w:cstheme="majorHAnsi"/>
          <w:color w:val="000000" w:themeColor="text1"/>
          <w:spacing w:val="-4"/>
          <w:sz w:val="22"/>
          <w:szCs w:val="22"/>
          <w:vertAlign w:val="subscript"/>
          <w:lang w:eastAsia="ja-JP"/>
        </w:rPr>
        <w:t>4</w:t>
      </w:r>
      <w:r w:rsidRPr="005E6B7C">
        <w:rPr>
          <w:rFonts w:asciiTheme="majorHAnsi" w:eastAsia="Yu Mincho" w:hAnsiTheme="majorHAnsi" w:cstheme="majorHAnsi"/>
          <w:color w:val="000000" w:themeColor="text1"/>
          <w:spacing w:val="-4"/>
          <w:sz w:val="22"/>
          <w:szCs w:val="22"/>
          <w:lang w:eastAsia="ja-JP"/>
        </w:rPr>
        <w:t xml:space="preserve"> followed by heating.</w:t>
      </w:r>
    </w:p>
    <w:p w14:paraId="431E5CAE" w14:textId="77777777" w:rsidR="00E049CB" w:rsidRPr="005E6B7C" w:rsidRDefault="00E049CB" w:rsidP="008C0D47">
      <w:pPr>
        <w:tabs>
          <w:tab w:val="left" w:pos="270"/>
          <w:tab w:val="left" w:pos="450"/>
          <w:tab w:val="left" w:pos="9270"/>
        </w:tabs>
        <w:spacing w:line="230"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2.3. Extraction and isolation</w:t>
      </w:r>
    </w:p>
    <w:p w14:paraId="7ED64F88" w14:textId="77777777" w:rsidR="00E049CB" w:rsidRPr="005E6B7C" w:rsidRDefault="00E049CB" w:rsidP="008C0D47">
      <w:pPr>
        <w:tabs>
          <w:tab w:val="left" w:pos="270"/>
          <w:tab w:val="left" w:pos="450"/>
          <w:tab w:val="left" w:pos="9270"/>
        </w:tabs>
        <w:spacing w:line="23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The dried and pulverized fruiting body of </w:t>
      </w:r>
      <w:r w:rsidRPr="005E6B7C">
        <w:rPr>
          <w:rFonts w:asciiTheme="majorHAnsi" w:eastAsia="Yu Mincho" w:hAnsiTheme="majorHAnsi" w:cstheme="majorHAnsi"/>
          <w:i/>
          <w:color w:val="000000" w:themeColor="text1"/>
          <w:spacing w:val="-4"/>
          <w:sz w:val="22"/>
          <w:szCs w:val="22"/>
          <w:lang w:eastAsia="ja-JP"/>
        </w:rPr>
        <w:t xml:space="preserve">G. multipileum </w:t>
      </w:r>
      <w:r w:rsidRPr="005E6B7C">
        <w:rPr>
          <w:rFonts w:asciiTheme="majorHAnsi" w:eastAsia="Yu Mincho" w:hAnsiTheme="majorHAnsi" w:cstheme="majorHAnsi"/>
          <w:color w:val="000000" w:themeColor="text1"/>
          <w:spacing w:val="-4"/>
          <w:sz w:val="22"/>
          <w:szCs w:val="22"/>
          <w:lang w:eastAsia="ja-JP"/>
        </w:rPr>
        <w:t xml:space="preserve">(7.0 kg) was extracted with 80% ethanol (v/v) for 3 hours at 70 °C, and concentrated under reduced pressure to yield total extract (TGM, 245 g, 3.5%). The total extract was suspended in water and successively extracted with dichloromethane (DCM) and ethyl acetate (EtOAc). The solvent was evaporated </w:t>
      </w:r>
      <w:r w:rsidRPr="005E6B7C">
        <w:rPr>
          <w:rFonts w:asciiTheme="majorHAnsi" w:eastAsia="Yu Mincho" w:hAnsiTheme="majorHAnsi" w:cstheme="majorHAnsi"/>
          <w:i/>
          <w:color w:val="000000" w:themeColor="text1"/>
          <w:spacing w:val="-4"/>
          <w:sz w:val="22"/>
          <w:szCs w:val="22"/>
          <w:lang w:eastAsia="ja-JP"/>
        </w:rPr>
        <w:t>in vacuo</w:t>
      </w:r>
      <w:r w:rsidRPr="005E6B7C">
        <w:rPr>
          <w:rFonts w:asciiTheme="majorHAnsi" w:eastAsia="Yu Mincho" w:hAnsiTheme="majorHAnsi" w:cstheme="majorHAnsi"/>
          <w:color w:val="000000" w:themeColor="text1"/>
          <w:spacing w:val="-4"/>
          <w:sz w:val="22"/>
          <w:szCs w:val="22"/>
          <w:lang w:eastAsia="ja-JP"/>
        </w:rPr>
        <w:t xml:space="preserve"> to obtain the corresponding dichloromethane extract (DGM, 28.1 g), ethyl acetate extract (EGM, 13.4 g), and water extract </w:t>
      </w:r>
      <w:r w:rsidRPr="005E6B7C">
        <w:rPr>
          <w:rFonts w:asciiTheme="majorHAnsi" w:eastAsia="Yu Mincho" w:hAnsiTheme="majorHAnsi" w:cstheme="majorHAnsi"/>
          <w:color w:val="000000" w:themeColor="text1"/>
          <w:spacing w:val="-4"/>
          <w:sz w:val="22"/>
          <w:szCs w:val="22"/>
          <w:lang w:eastAsia="ja-JP"/>
        </w:rPr>
        <w:lastRenderedPageBreak/>
        <w:t>(WGC, 197.6 g), respectively. TLC chromatograms of the fractions showed that the EtOAc and DCM extracts were quite similar, so they were combined for column chromatography (DEGM, 42.4 g).</w:t>
      </w:r>
    </w:p>
    <w:p w14:paraId="7EB609D1" w14:textId="715B00D6" w:rsidR="00E049CB" w:rsidRPr="005E6B7C" w:rsidRDefault="00E049CB" w:rsidP="008C0D47">
      <w:pPr>
        <w:tabs>
          <w:tab w:val="left" w:pos="270"/>
          <w:tab w:val="left" w:pos="450"/>
          <w:tab w:val="left" w:pos="9270"/>
        </w:tabs>
        <w:spacing w:line="231"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The DEGM extract (40 g) was chromatographed on a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column, eluting with gradient solvents of DCM</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MeOH (50</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1-5</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1-100% MeOH, v/v) to give 8 fractions (A-H). The A fraction (2.9 g) was continuously separated on a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column, eluting with solvents of </w:t>
      </w:r>
      <w:r w:rsidRPr="005E6B7C">
        <w:rPr>
          <w:rFonts w:asciiTheme="majorHAnsi" w:eastAsia="Yu Mincho" w:hAnsiTheme="majorHAnsi" w:cstheme="majorHAnsi"/>
          <w: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-hexane</w:t>
      </w:r>
      <w:r w:rsidR="00F01ADE"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acetone (10</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to afford 3 fractions (A1 – A3). Compound </w:t>
      </w:r>
      <w:r w:rsidRPr="005E6B7C">
        <w:rPr>
          <w:rFonts w:asciiTheme="majorHAnsi" w:eastAsia="Yu Mincho" w:hAnsiTheme="majorHAnsi" w:cstheme="majorHAnsi"/>
          <w:b/>
          <w:color w:val="000000" w:themeColor="text1"/>
          <w:spacing w:val="-4"/>
          <w:sz w:val="22"/>
          <w:szCs w:val="22"/>
          <w:lang w:eastAsia="ja-JP"/>
        </w:rPr>
        <w:t>4</w:t>
      </w:r>
      <w:r w:rsidRPr="005E6B7C">
        <w:rPr>
          <w:rFonts w:asciiTheme="majorHAnsi" w:eastAsia="Yu Mincho" w:hAnsiTheme="majorHAnsi" w:cstheme="majorHAnsi"/>
          <w:color w:val="000000" w:themeColor="text1"/>
          <w:spacing w:val="-4"/>
          <w:sz w:val="22"/>
          <w:szCs w:val="22"/>
          <w:lang w:eastAsia="ja-JP"/>
        </w:rPr>
        <w:t xml:space="preserve"> (9 mg) was yielded from crystallizing and washing A.1 precipitation (107 mg) with an eluent of </w:t>
      </w:r>
      <w:r w:rsidRPr="005E6B7C">
        <w:rPr>
          <w:rFonts w:asciiTheme="majorHAnsi" w:eastAsia="Yu Mincho" w:hAnsiTheme="majorHAnsi" w:cstheme="majorHAnsi"/>
          <w: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-hexane</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acetone (2</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Compound </w:t>
      </w:r>
      <w:r w:rsidRPr="005E6B7C">
        <w:rPr>
          <w:rFonts w:asciiTheme="majorHAnsi" w:eastAsia="Yu Mincho" w:hAnsiTheme="majorHAnsi" w:cstheme="majorHAnsi"/>
          <w:b/>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t xml:space="preserve"> (6 mg) was yielded from the A3 fraction (156 mg) by reversed</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phase column with an eluent of acetone</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water (10</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The C fraction (7.8 g) was separated three times on a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column, eluting with solvents of DCM</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MeOH (30</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1-10</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to yield the C.1.1.1 fraction. Compound </w:t>
      </w:r>
      <w:r w:rsidRPr="005E6B7C">
        <w:rPr>
          <w:rFonts w:asciiTheme="majorHAnsi" w:eastAsia="Yu Mincho" w:hAnsiTheme="majorHAnsi" w:cstheme="majorHAnsi"/>
          <w:b/>
          <w:color w:val="000000" w:themeColor="text1"/>
          <w:spacing w:val="-4"/>
          <w:sz w:val="22"/>
          <w:szCs w:val="22"/>
          <w:lang w:eastAsia="ja-JP"/>
        </w:rPr>
        <w:t>2</w:t>
      </w:r>
      <w:r w:rsidRPr="005E6B7C">
        <w:rPr>
          <w:rFonts w:asciiTheme="majorHAnsi" w:eastAsia="Yu Mincho" w:hAnsiTheme="majorHAnsi" w:cstheme="majorHAnsi"/>
          <w:color w:val="000000" w:themeColor="text1"/>
          <w:spacing w:val="-4"/>
          <w:sz w:val="22"/>
          <w:szCs w:val="22"/>
          <w:lang w:eastAsia="ja-JP"/>
        </w:rPr>
        <w:t xml:space="preserve"> (5 mg) was yielded from the C.1.1.1 fraction (125 mg) by reversed</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phase column with an eluent of MeOH</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water (7</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Compound </w:t>
      </w:r>
      <w:r w:rsidRPr="005E6B7C">
        <w:rPr>
          <w:rFonts w:asciiTheme="majorHAnsi" w:eastAsia="Yu Mincho" w:hAnsiTheme="majorHAnsi" w:cstheme="majorHAnsi"/>
          <w:b/>
          <w:color w:val="000000" w:themeColor="text1"/>
          <w:spacing w:val="-4"/>
          <w:sz w:val="22"/>
          <w:szCs w:val="22"/>
          <w:lang w:eastAsia="ja-JP"/>
        </w:rPr>
        <w:t>3</w:t>
      </w:r>
      <w:r w:rsidRPr="005E6B7C">
        <w:rPr>
          <w:rFonts w:asciiTheme="majorHAnsi" w:eastAsia="Yu Mincho" w:hAnsiTheme="majorHAnsi" w:cstheme="majorHAnsi"/>
          <w:color w:val="000000" w:themeColor="text1"/>
          <w:spacing w:val="-4"/>
          <w:sz w:val="22"/>
          <w:szCs w:val="22"/>
          <w:lang w:eastAsia="ja-JP"/>
        </w:rPr>
        <w:t xml:space="preserve"> (7 mg) was yielded from preparative thin-layer chromatography, using the prepared solvents of DCM</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MeOH (15</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and eluting with DCM. The D fraction (1.7 g) was separated three times on a </w:t>
      </w:r>
      <w:r w:rsidR="00894500" w:rsidRPr="005E6B7C">
        <w:rPr>
          <w:rFonts w:asciiTheme="majorHAnsi" w:eastAsia="Yu Mincho" w:hAnsiTheme="majorHAnsi" w:cstheme="majorHAnsi"/>
          <w:i/>
          <w:iCs/>
          <w:color w:val="000000" w:themeColor="text1"/>
          <w:spacing w:val="-4"/>
          <w:sz w:val="22"/>
          <w:szCs w:val="22"/>
          <w:lang w:eastAsia="ja-JP"/>
        </w:rPr>
        <w:t>silica gel</w:t>
      </w:r>
      <w:r w:rsidRPr="005E6B7C">
        <w:rPr>
          <w:rFonts w:asciiTheme="majorHAnsi" w:eastAsia="Yu Mincho" w:hAnsiTheme="majorHAnsi" w:cstheme="majorHAnsi"/>
          <w:color w:val="000000" w:themeColor="text1"/>
          <w:spacing w:val="-4"/>
          <w:sz w:val="22"/>
          <w:szCs w:val="22"/>
          <w:lang w:eastAsia="ja-JP"/>
        </w:rPr>
        <w:t xml:space="preserve"> column, eluting with solvents of DCM</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MeOH (15</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1-5</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1, v/v) to yield 4 fractions (D1 - D4). Compound </w:t>
      </w:r>
      <w:r w:rsidRPr="005E6B7C">
        <w:rPr>
          <w:rFonts w:asciiTheme="majorHAnsi" w:eastAsia="Yu Mincho" w:hAnsiTheme="majorHAnsi" w:cstheme="majorHAnsi"/>
          <w:b/>
          <w:color w:val="000000" w:themeColor="text1"/>
          <w:spacing w:val="-4"/>
          <w:sz w:val="22"/>
          <w:szCs w:val="22"/>
          <w:lang w:eastAsia="ja-JP"/>
        </w:rPr>
        <w:t>1</w:t>
      </w:r>
      <w:r w:rsidRPr="005E6B7C">
        <w:rPr>
          <w:rFonts w:asciiTheme="majorHAnsi" w:eastAsia="Yu Mincho" w:hAnsiTheme="majorHAnsi" w:cstheme="majorHAnsi"/>
          <w:color w:val="000000" w:themeColor="text1"/>
          <w:spacing w:val="-4"/>
          <w:sz w:val="22"/>
          <w:szCs w:val="22"/>
          <w:lang w:eastAsia="ja-JP"/>
        </w:rPr>
        <w:t xml:space="preserve"> (12 mg) was yielded from the D2 fraction (125 mg) by reversed</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phase column with an eluent of MeOH</w:t>
      </w:r>
      <w:r w:rsidR="008C0D47" w:rsidRPr="005E6B7C">
        <w:rPr>
          <w:rFonts w:asciiTheme="majorHAnsi" w:eastAsia="Yu Mincho" w:hAnsiTheme="majorHAnsi" w:cstheme="majorHAnsi"/>
          <w:color w:val="000000" w:themeColor="text1"/>
          <w:spacing w:val="-4"/>
          <w:sz w:val="22"/>
          <w:szCs w:val="22"/>
          <w:lang w:eastAsia="ja-JP"/>
        </w:rPr>
        <w:sym w:font="Symbol" w:char="F02D"/>
      </w:r>
      <w:r w:rsidRPr="005E6B7C">
        <w:rPr>
          <w:rFonts w:asciiTheme="majorHAnsi" w:eastAsia="Yu Mincho" w:hAnsiTheme="majorHAnsi" w:cstheme="majorHAnsi"/>
          <w:color w:val="000000" w:themeColor="text1"/>
          <w:spacing w:val="-4"/>
          <w:sz w:val="22"/>
          <w:szCs w:val="22"/>
          <w:lang w:eastAsia="ja-JP"/>
        </w:rPr>
        <w:t>water (5</w:t>
      </w:r>
      <w:r w:rsidR="008C0D47"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1, v/v).</w:t>
      </w:r>
    </w:p>
    <w:p w14:paraId="28A3890B" w14:textId="77777777" w:rsidR="00E049CB" w:rsidRPr="005E6B7C" w:rsidRDefault="00E049CB" w:rsidP="008C0D47">
      <w:pPr>
        <w:tabs>
          <w:tab w:val="left" w:pos="270"/>
          <w:tab w:val="left" w:pos="450"/>
          <w:tab w:val="left" w:pos="9270"/>
        </w:tabs>
        <w:spacing w:line="231" w:lineRule="exact"/>
        <w:ind w:firstLine="284"/>
        <w:jc w:val="both"/>
        <w:rPr>
          <w:rFonts w:asciiTheme="majorHAnsi" w:eastAsia="Yu Mincho" w:hAnsiTheme="majorHAnsi" w:cstheme="majorHAnsi"/>
          <w:b/>
          <w:color w:val="000000" w:themeColor="text1"/>
          <w:sz w:val="22"/>
          <w:szCs w:val="22"/>
          <w:lang w:val="pt-BR" w:eastAsia="ja-JP"/>
        </w:rPr>
      </w:pPr>
      <w:bookmarkStart w:id="13" w:name="_Hlk221782316"/>
      <w:r w:rsidRPr="005E6B7C">
        <w:rPr>
          <w:rFonts w:asciiTheme="majorHAnsi" w:eastAsia="Yu Mincho" w:hAnsiTheme="majorHAnsi" w:cstheme="majorHAnsi"/>
          <w:b/>
          <w:i/>
          <w:color w:val="000000" w:themeColor="text1"/>
          <w:sz w:val="22"/>
          <w:szCs w:val="22"/>
          <w:lang w:val="pt-BR" w:eastAsia="ja-JP"/>
        </w:rPr>
        <w:t>Lanosta-7,9(11),24-triene-3</w:t>
      </w:r>
      <w:r w:rsidRPr="005E6B7C">
        <w:rPr>
          <w:rFonts w:asciiTheme="majorHAnsi" w:eastAsia="Yu Mincho" w:hAnsiTheme="majorHAnsi" w:cstheme="majorHAnsi"/>
          <w:b/>
          <w:i/>
          <w:color w:val="000000" w:themeColor="text1"/>
          <w:sz w:val="22"/>
          <w:szCs w:val="22"/>
          <w:lang w:eastAsia="ja-JP"/>
        </w:rPr>
        <w:t>β</w:t>
      </w:r>
      <w:r w:rsidRPr="005E6B7C">
        <w:rPr>
          <w:rFonts w:asciiTheme="majorHAnsi" w:eastAsia="Yu Mincho" w:hAnsiTheme="majorHAnsi" w:cstheme="majorHAnsi"/>
          <w:b/>
          <w:i/>
          <w:color w:val="000000" w:themeColor="text1"/>
          <w:sz w:val="22"/>
          <w:szCs w:val="22"/>
          <w:lang w:val="pt-BR" w:eastAsia="ja-JP"/>
        </w:rPr>
        <w:t>,26-diol (1):</w:t>
      </w:r>
      <w:r w:rsidRPr="005E6B7C">
        <w:rPr>
          <w:rFonts w:asciiTheme="majorHAnsi" w:eastAsia="Yu Mincho" w:hAnsiTheme="majorHAnsi" w:cstheme="majorHAnsi"/>
          <w:color w:val="000000" w:themeColor="text1"/>
          <w:sz w:val="22"/>
          <w:szCs w:val="22"/>
          <w:vertAlign w:val="superscript"/>
          <w:lang w:val="pt-BR" w:eastAsia="ja-JP"/>
        </w:rPr>
        <w:t xml:space="preserve"> </w:t>
      </w:r>
      <w:r w:rsidRPr="005E6B7C">
        <w:rPr>
          <w:rFonts w:asciiTheme="majorHAnsi" w:eastAsia="Yu Mincho" w:hAnsiTheme="majorHAnsi" w:cstheme="majorHAnsi"/>
          <w:color w:val="000000" w:themeColor="text1"/>
          <w:sz w:val="22"/>
          <w:szCs w:val="22"/>
          <w:lang w:val="pt-BR" w:eastAsia="ja-JP"/>
        </w:rPr>
        <w:t xml:space="preserve">colorless needles; mp. </w:t>
      </w:r>
      <w:bookmarkStart w:id="14" w:name="_Hlk221805210"/>
      <w:r w:rsidRPr="005E6B7C">
        <w:rPr>
          <w:rFonts w:asciiTheme="majorHAnsi" w:eastAsia="Yu Mincho" w:hAnsiTheme="majorHAnsi" w:cstheme="majorHAnsi"/>
          <w:color w:val="000000" w:themeColor="text1"/>
          <w:sz w:val="22"/>
          <w:szCs w:val="22"/>
          <w:lang w:val="pt-BR" w:eastAsia="ja-JP"/>
        </w:rPr>
        <w:t>168-170°C</w:t>
      </w:r>
      <w:bookmarkEnd w:id="14"/>
      <w:r w:rsidRPr="005E6B7C">
        <w:rPr>
          <w:rFonts w:asciiTheme="majorHAnsi" w:eastAsia="Yu Mincho" w:hAnsiTheme="majorHAnsi" w:cstheme="majorHAnsi"/>
          <w:color w:val="000000" w:themeColor="text1"/>
          <w:sz w:val="22"/>
          <w:szCs w:val="22"/>
          <w:lang w:val="pt-BR" w:eastAsia="ja-JP"/>
        </w:rPr>
        <w:t xml:space="preserve">;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441.5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C</w:t>
      </w:r>
      <w:r w:rsidRPr="005E6B7C">
        <w:rPr>
          <w:rFonts w:asciiTheme="majorHAnsi" w:eastAsia="Yu Mincho" w:hAnsiTheme="majorHAnsi" w:cstheme="majorHAnsi"/>
          <w:color w:val="000000" w:themeColor="text1"/>
          <w:sz w:val="22"/>
          <w:szCs w:val="22"/>
          <w:vertAlign w:val="subscript"/>
          <w:lang w:val="pt-BR" w:eastAsia="ja-JP"/>
        </w:rPr>
        <w:t>30</w:t>
      </w:r>
      <w:r w:rsidRPr="005E6B7C">
        <w:rPr>
          <w:rFonts w:asciiTheme="majorHAnsi" w:eastAsia="Yu Mincho" w:hAnsiTheme="majorHAnsi" w:cstheme="majorHAnsi"/>
          <w:color w:val="000000" w:themeColor="text1"/>
          <w:sz w:val="22"/>
          <w:szCs w:val="22"/>
          <w:lang w:val="pt-BR" w:eastAsia="ja-JP"/>
        </w:rPr>
        <w:t>H</w:t>
      </w:r>
      <w:r w:rsidRPr="005E6B7C">
        <w:rPr>
          <w:rFonts w:asciiTheme="majorHAnsi" w:eastAsia="Yu Mincho" w:hAnsiTheme="majorHAnsi" w:cstheme="majorHAnsi"/>
          <w:color w:val="000000" w:themeColor="text1"/>
          <w:sz w:val="22"/>
          <w:szCs w:val="22"/>
          <w:vertAlign w:val="subscript"/>
          <w:lang w:val="pt-BR" w:eastAsia="ja-JP"/>
        </w:rPr>
        <w:t>48</w:t>
      </w:r>
      <w:r w:rsidRPr="005E6B7C">
        <w:rPr>
          <w:rFonts w:asciiTheme="majorHAnsi" w:eastAsia="Yu Mincho" w:hAnsiTheme="majorHAnsi" w:cstheme="majorHAnsi"/>
          <w:color w:val="000000" w:themeColor="text1"/>
          <w:sz w:val="22"/>
          <w:szCs w:val="22"/>
          <w:lang w:val="pt-BR" w:eastAsia="ja-JP"/>
        </w:rPr>
        <w:t>O</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(ppm) and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 (150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see table 1.</w:t>
      </w:r>
      <w:bookmarkEnd w:id="13"/>
    </w:p>
    <w:p w14:paraId="24CD370D" w14:textId="0D665BC3" w:rsidR="00E049CB" w:rsidRPr="005E6B7C" w:rsidRDefault="00E049CB" w:rsidP="008C0D47">
      <w:pPr>
        <w:tabs>
          <w:tab w:val="left" w:pos="270"/>
          <w:tab w:val="left" w:pos="450"/>
          <w:tab w:val="left" w:pos="9270"/>
        </w:tabs>
        <w:spacing w:line="231" w:lineRule="exact"/>
        <w:ind w:firstLine="284"/>
        <w:jc w:val="both"/>
        <w:rPr>
          <w:rFonts w:asciiTheme="majorHAnsi" w:eastAsia="Yu Mincho" w:hAnsiTheme="majorHAnsi" w:cstheme="majorHAnsi"/>
          <w:b/>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3</w:t>
      </w:r>
      <w:r w:rsidRPr="005E6B7C">
        <w:rPr>
          <w:rFonts w:asciiTheme="majorHAnsi" w:eastAsia="Yu Mincho" w:hAnsiTheme="majorHAnsi" w:cstheme="majorHAnsi"/>
          <w:b/>
          <w:i/>
          <w:color w:val="000000" w:themeColor="text1"/>
          <w:sz w:val="22"/>
          <w:szCs w:val="22"/>
          <w:lang w:eastAsia="ja-JP"/>
        </w:rPr>
        <w:t>β</w:t>
      </w:r>
      <w:r w:rsidRPr="005E6B7C">
        <w:rPr>
          <w:rFonts w:asciiTheme="majorHAnsi" w:eastAsia="Yu Mincho" w:hAnsiTheme="majorHAnsi" w:cstheme="majorHAnsi"/>
          <w:b/>
          <w:i/>
          <w:color w:val="000000" w:themeColor="text1"/>
          <w:sz w:val="22"/>
          <w:szCs w:val="22"/>
          <w:lang w:val="pt-BR" w:eastAsia="ja-JP"/>
        </w:rPr>
        <w:t>-Hydroxy-lanosta-7,9(11),24-triene (2):</w:t>
      </w:r>
      <w:r w:rsidRPr="005E6B7C">
        <w:rPr>
          <w:rFonts w:asciiTheme="majorHAnsi" w:eastAsia="Yu Mincho" w:hAnsiTheme="majorHAnsi" w:cstheme="majorHAnsi"/>
          <w:b/>
          <w:i/>
          <w:color w:val="000000" w:themeColor="text1"/>
          <w:sz w:val="22"/>
          <w:szCs w:val="22"/>
          <w:vertAlign w:val="superscript"/>
          <w:lang w:val="pt-BR" w:eastAsia="ja-JP"/>
        </w:rPr>
        <w:t xml:space="preserve"> </w:t>
      </w:r>
      <w:r w:rsidRPr="005E6B7C">
        <w:rPr>
          <w:rFonts w:asciiTheme="majorHAnsi" w:eastAsia="Yu Mincho" w:hAnsiTheme="majorHAnsi" w:cstheme="majorHAnsi"/>
          <w:color w:val="000000" w:themeColor="text1"/>
          <w:sz w:val="22"/>
          <w:szCs w:val="22"/>
          <w:lang w:val="pt-BR" w:eastAsia="ja-JP"/>
        </w:rPr>
        <w:t xml:space="preserve">white power;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425.50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C</w:t>
      </w:r>
      <w:r w:rsidRPr="005E6B7C">
        <w:rPr>
          <w:rFonts w:asciiTheme="majorHAnsi" w:eastAsia="Yu Mincho" w:hAnsiTheme="majorHAnsi" w:cstheme="majorHAnsi"/>
          <w:color w:val="000000" w:themeColor="text1"/>
          <w:sz w:val="22"/>
          <w:szCs w:val="22"/>
          <w:vertAlign w:val="subscript"/>
          <w:lang w:val="pt-BR" w:eastAsia="ja-JP"/>
        </w:rPr>
        <w:t>30</w:t>
      </w:r>
      <w:r w:rsidRPr="005E6B7C">
        <w:rPr>
          <w:rFonts w:asciiTheme="majorHAnsi" w:eastAsia="Yu Mincho" w:hAnsiTheme="majorHAnsi" w:cstheme="majorHAnsi"/>
          <w:color w:val="000000" w:themeColor="text1"/>
          <w:sz w:val="22"/>
          <w:szCs w:val="22"/>
          <w:lang w:val="pt-BR" w:eastAsia="ja-JP"/>
        </w:rPr>
        <w:t>H</w:t>
      </w:r>
      <w:r w:rsidRPr="005E6B7C">
        <w:rPr>
          <w:rFonts w:asciiTheme="majorHAnsi" w:eastAsia="Yu Mincho" w:hAnsiTheme="majorHAnsi" w:cstheme="majorHAnsi"/>
          <w:color w:val="000000" w:themeColor="text1"/>
          <w:sz w:val="22"/>
          <w:szCs w:val="22"/>
          <w:vertAlign w:val="subscript"/>
          <w:lang w:val="pt-BR" w:eastAsia="ja-JP"/>
        </w:rPr>
        <w:t>48</w:t>
      </w:r>
      <w:r w:rsidRPr="005E6B7C">
        <w:rPr>
          <w:rFonts w:asciiTheme="majorHAnsi" w:eastAsia="Yu Mincho" w:hAnsiTheme="majorHAnsi" w:cstheme="majorHAnsi"/>
          <w:color w:val="000000" w:themeColor="text1"/>
          <w:sz w:val="22"/>
          <w:szCs w:val="22"/>
          <w:lang w:val="pt-BR" w:eastAsia="ja-JP"/>
        </w:rPr>
        <w:t>O.</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(ppm) and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 (150 MHz, CDCl</w:t>
      </w:r>
      <w:r w:rsidRPr="005E6B7C">
        <w:rPr>
          <w:rFonts w:asciiTheme="majorHAnsi" w:eastAsia="Yu Mincho" w:hAnsiTheme="majorHAnsi" w:cstheme="majorHAnsi"/>
          <w:color w:val="000000" w:themeColor="text1"/>
          <w:sz w:val="22"/>
          <w:szCs w:val="22"/>
          <w:vertAlign w:val="subscript"/>
          <w:lang w:val="pt-BR" w:eastAsia="ja-JP"/>
        </w:rPr>
        <w:t>3</w:t>
      </w:r>
      <w:r w:rsidR="00F01ADE" w:rsidRPr="005E6B7C">
        <w:rPr>
          <w:rFonts w:asciiTheme="majorHAnsi" w:eastAsia="Yu Mincho" w:hAnsiTheme="majorHAnsi" w:cstheme="majorHAnsi"/>
          <w:color w:val="000000" w:themeColor="text1"/>
          <w:sz w:val="22"/>
          <w:szCs w:val="22"/>
          <w:lang w:val="pt-BR" w:eastAsia="ja-JP"/>
        </w:rPr>
        <w:t>) see T</w:t>
      </w:r>
      <w:r w:rsidRPr="005E6B7C">
        <w:rPr>
          <w:rFonts w:asciiTheme="majorHAnsi" w:eastAsia="Yu Mincho" w:hAnsiTheme="majorHAnsi" w:cstheme="majorHAnsi"/>
          <w:color w:val="000000" w:themeColor="text1"/>
          <w:sz w:val="22"/>
          <w:szCs w:val="22"/>
          <w:lang w:val="pt-BR" w:eastAsia="ja-JP"/>
        </w:rPr>
        <w:t>able 1.</w:t>
      </w:r>
    </w:p>
    <w:p w14:paraId="6FC5AF35" w14:textId="77777777" w:rsidR="00E049CB" w:rsidRPr="005E6B7C" w:rsidRDefault="00E049CB" w:rsidP="008C0D47">
      <w:pPr>
        <w:tabs>
          <w:tab w:val="left" w:pos="270"/>
          <w:tab w:val="left" w:pos="450"/>
          <w:tab w:val="left" w:pos="9270"/>
        </w:tabs>
        <w:spacing w:line="231"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(22E)-Ergosta-7,9,22-trien-3</w:t>
      </w:r>
      <w:r w:rsidRPr="005E6B7C">
        <w:rPr>
          <w:rFonts w:asciiTheme="majorHAnsi" w:eastAsia="Yu Mincho" w:hAnsiTheme="majorHAnsi" w:cstheme="majorHAnsi"/>
          <w:b/>
          <w:i/>
          <w:color w:val="000000" w:themeColor="text1"/>
          <w:sz w:val="22"/>
          <w:szCs w:val="22"/>
          <w:lang w:eastAsia="ja-JP"/>
        </w:rPr>
        <w:t>β</w:t>
      </w:r>
      <w:r w:rsidRPr="005E6B7C">
        <w:rPr>
          <w:rFonts w:asciiTheme="majorHAnsi" w:eastAsia="Yu Mincho" w:hAnsiTheme="majorHAnsi" w:cstheme="majorHAnsi"/>
          <w:b/>
          <w:i/>
          <w:color w:val="000000" w:themeColor="text1"/>
          <w:sz w:val="22"/>
          <w:szCs w:val="22"/>
          <w:lang w:val="pt-BR" w:eastAsia="ja-JP"/>
        </w:rPr>
        <w:t>-ol</w:t>
      </w:r>
      <w:r w:rsidRPr="005E6B7C">
        <w:rPr>
          <w:rFonts w:asciiTheme="majorHAnsi" w:eastAsia="Yu Mincho" w:hAnsiTheme="majorHAnsi" w:cstheme="majorHAnsi"/>
          <w:b/>
          <w:bCs/>
          <w:i/>
          <w:color w:val="000000" w:themeColor="text1"/>
          <w:sz w:val="22"/>
          <w:szCs w:val="22"/>
          <w:shd w:val="clear" w:color="auto" w:fill="FFFFFF"/>
          <w:lang w:val="pt-BR" w:eastAsia="ja-JP"/>
        </w:rPr>
        <w:t xml:space="preserve"> (3)</w:t>
      </w:r>
      <w:r w:rsidRPr="005E6B7C">
        <w:rPr>
          <w:rFonts w:asciiTheme="majorHAnsi" w:eastAsia="Yu Mincho" w:hAnsiTheme="majorHAnsi" w:cstheme="majorHAnsi"/>
          <w:b/>
          <w:i/>
          <w:color w:val="000000" w:themeColor="text1"/>
          <w:sz w:val="22"/>
          <w:szCs w:val="22"/>
          <w:shd w:val="clear" w:color="auto" w:fill="FFFFFF"/>
          <w:lang w:val="pt-BR" w:eastAsia="ja-JP"/>
        </w:rPr>
        <w:t>:</w:t>
      </w:r>
      <w:r w:rsidRPr="005E6B7C">
        <w:rPr>
          <w:rFonts w:asciiTheme="majorHAnsi" w:eastAsia="Yu Mincho" w:hAnsiTheme="majorHAnsi" w:cstheme="majorHAnsi"/>
          <w:color w:val="000000" w:themeColor="text1"/>
          <w:sz w:val="22"/>
          <w:szCs w:val="22"/>
          <w:shd w:val="clear" w:color="auto" w:fill="FFFFFF"/>
          <w:lang w:val="pt-BR" w:eastAsia="ja-JP"/>
        </w:rPr>
        <w:t xml:space="preserve"> </w:t>
      </w:r>
      <w:r w:rsidRPr="005E6B7C">
        <w:rPr>
          <w:rFonts w:asciiTheme="majorHAnsi" w:eastAsia="Yu Mincho" w:hAnsiTheme="majorHAnsi" w:cstheme="majorHAnsi"/>
          <w:color w:val="000000" w:themeColor="text1"/>
          <w:sz w:val="22"/>
          <w:szCs w:val="22"/>
          <w:lang w:val="pt-BR" w:eastAsia="ja-JP"/>
        </w:rPr>
        <w:t>white powder;</w:t>
      </w:r>
      <w:r w:rsidRPr="005E6B7C">
        <w:rPr>
          <w:rFonts w:asciiTheme="majorHAnsi" w:eastAsia="Yu Mincho" w:hAnsiTheme="majorHAnsi" w:cstheme="majorHAnsi"/>
          <w:color w:val="000000" w:themeColor="text1"/>
          <w:sz w:val="22"/>
          <w:szCs w:val="22"/>
          <w:shd w:val="clear" w:color="auto" w:fill="FFFFFF"/>
          <w:lang w:val="pt-BR" w:eastAsia="ja-JP"/>
        </w:rPr>
        <w:t xml:space="preserve"> ESI-MS </w:t>
      </w:r>
      <w:r w:rsidRPr="005E6B7C">
        <w:rPr>
          <w:rFonts w:asciiTheme="majorHAnsi" w:eastAsia="Yu Mincho" w:hAnsiTheme="majorHAnsi" w:cstheme="majorHAnsi"/>
          <w:i/>
          <w:iCs/>
          <w:color w:val="000000" w:themeColor="text1"/>
          <w:sz w:val="22"/>
          <w:szCs w:val="22"/>
          <w:shd w:val="clear" w:color="auto" w:fill="FFFFFF"/>
          <w:lang w:val="pt-BR" w:eastAsia="ja-JP"/>
        </w:rPr>
        <w:t>m/z</w:t>
      </w:r>
      <w:r w:rsidRPr="005E6B7C">
        <w:rPr>
          <w:rFonts w:asciiTheme="majorHAnsi" w:eastAsia="Yu Mincho" w:hAnsiTheme="majorHAnsi" w:cstheme="majorHAnsi"/>
          <w:color w:val="000000" w:themeColor="text1"/>
          <w:sz w:val="22"/>
          <w:szCs w:val="22"/>
          <w:shd w:val="clear" w:color="auto" w:fill="FFFFFF"/>
          <w:lang w:val="pt-BR" w:eastAsia="ja-JP"/>
        </w:rPr>
        <w:t>:</w:t>
      </w:r>
      <w:r w:rsidRPr="005E6B7C">
        <w:rPr>
          <w:rFonts w:asciiTheme="majorHAnsi" w:eastAsia="Yu Mincho" w:hAnsiTheme="majorHAnsi" w:cstheme="majorHAnsi"/>
          <w:color w:val="000000" w:themeColor="text1"/>
          <w:sz w:val="22"/>
          <w:szCs w:val="22"/>
          <w:lang w:val="pt-BR" w:eastAsia="ja-JP"/>
        </w:rPr>
        <w:t xml:space="preserve"> 395.4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C</w:t>
      </w:r>
      <w:r w:rsidRPr="005E6B7C">
        <w:rPr>
          <w:rFonts w:asciiTheme="majorHAnsi" w:eastAsia="Yu Mincho" w:hAnsiTheme="majorHAnsi" w:cstheme="majorHAnsi"/>
          <w:color w:val="000000" w:themeColor="text1"/>
          <w:sz w:val="22"/>
          <w:szCs w:val="22"/>
          <w:vertAlign w:val="subscript"/>
          <w:lang w:val="pt-BR" w:eastAsia="ja-JP"/>
        </w:rPr>
        <w:t>28</w:t>
      </w:r>
      <w:r w:rsidRPr="005E6B7C">
        <w:rPr>
          <w:rFonts w:asciiTheme="majorHAnsi" w:eastAsia="Yu Mincho" w:hAnsiTheme="majorHAnsi" w:cstheme="majorHAnsi"/>
          <w:color w:val="000000" w:themeColor="text1"/>
          <w:sz w:val="22"/>
          <w:szCs w:val="22"/>
          <w:lang w:val="pt-BR" w:eastAsia="ja-JP"/>
        </w:rPr>
        <w:t>H</w:t>
      </w:r>
      <w:r w:rsidRPr="005E6B7C">
        <w:rPr>
          <w:rFonts w:asciiTheme="majorHAnsi" w:eastAsia="Yu Mincho" w:hAnsiTheme="majorHAnsi" w:cstheme="majorHAnsi"/>
          <w:color w:val="000000" w:themeColor="text1"/>
          <w:sz w:val="22"/>
          <w:szCs w:val="22"/>
          <w:vertAlign w:val="subscript"/>
          <w:lang w:val="pt-BR" w:eastAsia="ja-JP"/>
        </w:rPr>
        <w:t>44</w:t>
      </w:r>
      <w:r w:rsidRPr="005E6B7C">
        <w:rPr>
          <w:rFonts w:asciiTheme="majorHAnsi" w:eastAsia="Yu Mincho" w:hAnsiTheme="majorHAnsi" w:cstheme="majorHAnsi"/>
          <w:color w:val="000000" w:themeColor="text1"/>
          <w:sz w:val="22"/>
          <w:szCs w:val="22"/>
          <w:lang w:val="pt-BR" w:eastAsia="ja-JP"/>
        </w:rPr>
        <w:t xml:space="preserve">O.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(ppm) and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 (150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see table 1.</w:t>
      </w:r>
    </w:p>
    <w:p w14:paraId="0DDF7B05" w14:textId="604BA52F" w:rsidR="00E049CB" w:rsidRPr="005E6B7C" w:rsidRDefault="00E049CB" w:rsidP="008C0D47">
      <w:pPr>
        <w:tabs>
          <w:tab w:val="left" w:pos="270"/>
          <w:tab w:val="left" w:pos="450"/>
          <w:tab w:val="left" w:pos="9270"/>
        </w:tabs>
        <w:spacing w:line="231" w:lineRule="exact"/>
        <w:ind w:firstLine="284"/>
        <w:jc w:val="both"/>
        <w:rPr>
          <w:rFonts w:asciiTheme="majorHAnsi" w:eastAsia="Yu Mincho" w:hAnsiTheme="majorHAnsi" w:cstheme="majorHAnsi"/>
          <w:color w:val="000000" w:themeColor="text1"/>
          <w:spacing w:val="-6"/>
          <w:sz w:val="22"/>
          <w:szCs w:val="22"/>
          <w:lang w:val="pt-BR" w:eastAsia="ja-JP"/>
        </w:rPr>
      </w:pPr>
      <w:r w:rsidRPr="005E6B7C">
        <w:rPr>
          <w:rFonts w:asciiTheme="majorHAnsi" w:eastAsia="Yu Mincho" w:hAnsiTheme="majorHAnsi" w:cstheme="majorHAnsi"/>
          <w:b/>
          <w:i/>
          <w:color w:val="000000" w:themeColor="text1"/>
          <w:spacing w:val="-6"/>
          <w:sz w:val="22"/>
          <w:szCs w:val="22"/>
          <w:lang w:val="pt-BR" w:eastAsia="ja-JP"/>
        </w:rPr>
        <w:t>(22E)-Ergosta-7,22-dien-3-one (4):</w:t>
      </w:r>
      <w:r w:rsidRPr="005E6B7C">
        <w:rPr>
          <w:rFonts w:asciiTheme="majorHAnsi" w:eastAsia="Yu Mincho" w:hAnsiTheme="majorHAnsi" w:cstheme="majorHAnsi"/>
          <w:color w:val="000000" w:themeColor="text1"/>
          <w:spacing w:val="-6"/>
          <w:sz w:val="22"/>
          <w:szCs w:val="22"/>
          <w:lang w:val="pt-BR" w:eastAsia="ja-JP"/>
        </w:rPr>
        <w:t xml:space="preserve"> white powder; mp. 178-180°C; ESI-MS </w:t>
      </w:r>
      <w:r w:rsidRPr="005E6B7C">
        <w:rPr>
          <w:rFonts w:asciiTheme="majorHAnsi" w:eastAsia="Yu Mincho" w:hAnsiTheme="majorHAnsi" w:cstheme="majorHAnsi"/>
          <w:i/>
          <w:color w:val="000000" w:themeColor="text1"/>
          <w:spacing w:val="-6"/>
          <w:sz w:val="22"/>
          <w:szCs w:val="22"/>
          <w:lang w:val="pt-BR" w:eastAsia="ja-JP"/>
        </w:rPr>
        <w:t>m/z</w:t>
      </w:r>
      <w:r w:rsidRPr="005E6B7C">
        <w:rPr>
          <w:rFonts w:asciiTheme="majorHAnsi" w:eastAsia="Yu Mincho" w:hAnsiTheme="majorHAnsi" w:cstheme="majorHAnsi"/>
          <w:color w:val="000000" w:themeColor="text1"/>
          <w:spacing w:val="-6"/>
          <w:sz w:val="22"/>
          <w:szCs w:val="22"/>
          <w:lang w:val="pt-BR" w:eastAsia="ja-JP"/>
        </w:rPr>
        <w:t>: 419.0 [M+Na]</w:t>
      </w:r>
      <w:r w:rsidRPr="005E6B7C">
        <w:rPr>
          <w:rFonts w:asciiTheme="majorHAnsi" w:eastAsia="Yu Mincho" w:hAnsiTheme="majorHAnsi" w:cstheme="majorHAnsi"/>
          <w:color w:val="000000" w:themeColor="text1"/>
          <w:spacing w:val="-6"/>
          <w:sz w:val="22"/>
          <w:szCs w:val="22"/>
          <w:vertAlign w:val="superscript"/>
          <w:lang w:val="pt-BR" w:eastAsia="ja-JP"/>
        </w:rPr>
        <w:t>+</w:t>
      </w:r>
      <w:r w:rsidRPr="005E6B7C">
        <w:rPr>
          <w:rFonts w:asciiTheme="majorHAnsi" w:eastAsia="Yu Mincho" w:hAnsiTheme="majorHAnsi" w:cstheme="majorHAnsi"/>
          <w:color w:val="000000" w:themeColor="text1"/>
          <w:spacing w:val="-6"/>
          <w:sz w:val="22"/>
          <w:szCs w:val="22"/>
          <w:lang w:val="pt-BR" w:eastAsia="ja-JP"/>
        </w:rPr>
        <w:t>, C</w:t>
      </w:r>
      <w:r w:rsidRPr="005E6B7C">
        <w:rPr>
          <w:rFonts w:asciiTheme="majorHAnsi" w:eastAsia="Yu Mincho" w:hAnsiTheme="majorHAnsi" w:cstheme="majorHAnsi"/>
          <w:color w:val="000000" w:themeColor="text1"/>
          <w:spacing w:val="-6"/>
          <w:sz w:val="22"/>
          <w:szCs w:val="22"/>
          <w:vertAlign w:val="subscript"/>
          <w:lang w:val="pt-BR" w:eastAsia="ja-JP"/>
        </w:rPr>
        <w:t>28</w:t>
      </w:r>
      <w:r w:rsidRPr="005E6B7C">
        <w:rPr>
          <w:rFonts w:asciiTheme="majorHAnsi" w:eastAsia="Yu Mincho" w:hAnsiTheme="majorHAnsi" w:cstheme="majorHAnsi"/>
          <w:color w:val="000000" w:themeColor="text1"/>
          <w:spacing w:val="-6"/>
          <w:sz w:val="22"/>
          <w:szCs w:val="22"/>
          <w:lang w:val="pt-BR" w:eastAsia="ja-JP"/>
        </w:rPr>
        <w:t>H</w:t>
      </w:r>
      <w:r w:rsidRPr="005E6B7C">
        <w:rPr>
          <w:rFonts w:asciiTheme="majorHAnsi" w:eastAsia="Yu Mincho" w:hAnsiTheme="majorHAnsi" w:cstheme="majorHAnsi"/>
          <w:color w:val="000000" w:themeColor="text1"/>
          <w:spacing w:val="-6"/>
          <w:sz w:val="22"/>
          <w:szCs w:val="22"/>
          <w:vertAlign w:val="subscript"/>
          <w:lang w:val="pt-BR" w:eastAsia="ja-JP"/>
        </w:rPr>
        <w:t>44</w:t>
      </w:r>
      <w:r w:rsidRPr="005E6B7C">
        <w:rPr>
          <w:rFonts w:asciiTheme="majorHAnsi" w:eastAsia="Yu Mincho" w:hAnsiTheme="majorHAnsi" w:cstheme="majorHAnsi"/>
          <w:color w:val="000000" w:themeColor="text1"/>
          <w:spacing w:val="-6"/>
          <w:sz w:val="22"/>
          <w:szCs w:val="22"/>
          <w:lang w:val="pt-BR" w:eastAsia="ja-JP"/>
        </w:rPr>
        <w:t xml:space="preserve">O. </w:t>
      </w:r>
      <w:r w:rsidRPr="005E6B7C">
        <w:rPr>
          <w:rFonts w:asciiTheme="majorHAnsi" w:eastAsia="Yu Mincho" w:hAnsiTheme="majorHAnsi" w:cstheme="majorHAnsi"/>
          <w:color w:val="000000" w:themeColor="text1"/>
          <w:spacing w:val="-6"/>
          <w:sz w:val="22"/>
          <w:szCs w:val="22"/>
          <w:vertAlign w:val="superscript"/>
          <w:lang w:val="pt-BR" w:eastAsia="ja-JP"/>
        </w:rPr>
        <w:t>1</w:t>
      </w:r>
      <w:r w:rsidRPr="005E6B7C">
        <w:rPr>
          <w:rFonts w:asciiTheme="majorHAnsi" w:eastAsia="Yu Mincho" w:hAnsiTheme="majorHAnsi" w:cstheme="majorHAnsi"/>
          <w:color w:val="000000" w:themeColor="text1"/>
          <w:spacing w:val="-6"/>
          <w:sz w:val="22"/>
          <w:szCs w:val="22"/>
          <w:lang w:val="pt-BR" w:eastAsia="ja-JP"/>
        </w:rPr>
        <w:t>H-NMR (600 MHz, CDCl</w:t>
      </w:r>
      <w:r w:rsidRPr="005E6B7C">
        <w:rPr>
          <w:rFonts w:asciiTheme="majorHAnsi" w:eastAsia="Yu Mincho" w:hAnsiTheme="majorHAnsi" w:cstheme="majorHAnsi"/>
          <w:color w:val="000000" w:themeColor="text1"/>
          <w:spacing w:val="-6"/>
          <w:sz w:val="22"/>
          <w:szCs w:val="22"/>
          <w:vertAlign w:val="subscript"/>
          <w:lang w:val="pt-BR" w:eastAsia="ja-JP"/>
        </w:rPr>
        <w:t>3</w:t>
      </w:r>
      <w:r w:rsidRPr="005E6B7C">
        <w:rPr>
          <w:rFonts w:asciiTheme="majorHAnsi" w:eastAsia="Yu Mincho" w:hAnsiTheme="majorHAnsi" w:cstheme="majorHAnsi"/>
          <w:color w:val="000000" w:themeColor="text1"/>
          <w:spacing w:val="-6"/>
          <w:sz w:val="22"/>
          <w:szCs w:val="22"/>
          <w:lang w:val="pt-BR" w:eastAsia="ja-JP"/>
        </w:rPr>
        <w:t xml:space="preserve">) </w:t>
      </w:r>
      <w:r w:rsidRPr="005E6B7C">
        <w:rPr>
          <w:rFonts w:asciiTheme="majorHAnsi" w:eastAsia="Yu Mincho" w:hAnsiTheme="majorHAnsi" w:cstheme="majorHAnsi"/>
          <w:i/>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val="pt-BR" w:eastAsia="ja-JP"/>
        </w:rPr>
        <w:t>H</w:t>
      </w:r>
      <w:r w:rsidRPr="005E6B7C">
        <w:rPr>
          <w:rFonts w:asciiTheme="majorHAnsi" w:eastAsia="Yu Mincho" w:hAnsiTheme="majorHAnsi" w:cstheme="majorHAnsi"/>
          <w:color w:val="000000" w:themeColor="text1"/>
          <w:spacing w:val="-6"/>
          <w:sz w:val="22"/>
          <w:szCs w:val="22"/>
          <w:lang w:val="pt-BR" w:eastAsia="ja-JP"/>
        </w:rPr>
        <w:t xml:space="preserve"> (ppm) and </w:t>
      </w:r>
      <w:r w:rsidRPr="005E6B7C">
        <w:rPr>
          <w:rFonts w:asciiTheme="majorHAnsi" w:eastAsia="Yu Mincho" w:hAnsiTheme="majorHAnsi" w:cstheme="majorHAnsi"/>
          <w:color w:val="000000" w:themeColor="text1"/>
          <w:spacing w:val="-6"/>
          <w:sz w:val="22"/>
          <w:szCs w:val="22"/>
          <w:vertAlign w:val="superscript"/>
          <w:lang w:val="pt-BR" w:eastAsia="ja-JP"/>
        </w:rPr>
        <w:t>13</w:t>
      </w:r>
      <w:r w:rsidRPr="005E6B7C">
        <w:rPr>
          <w:rFonts w:asciiTheme="majorHAnsi" w:eastAsia="Yu Mincho" w:hAnsiTheme="majorHAnsi" w:cstheme="majorHAnsi"/>
          <w:color w:val="000000" w:themeColor="text1"/>
          <w:spacing w:val="-6"/>
          <w:sz w:val="22"/>
          <w:szCs w:val="22"/>
          <w:lang w:val="pt-BR" w:eastAsia="ja-JP"/>
        </w:rPr>
        <w:t>C-NMR (150 MHz, CDCl</w:t>
      </w:r>
      <w:r w:rsidRPr="005E6B7C">
        <w:rPr>
          <w:rFonts w:asciiTheme="majorHAnsi" w:eastAsia="Yu Mincho" w:hAnsiTheme="majorHAnsi" w:cstheme="majorHAnsi"/>
          <w:color w:val="000000" w:themeColor="text1"/>
          <w:spacing w:val="-6"/>
          <w:sz w:val="22"/>
          <w:szCs w:val="22"/>
          <w:vertAlign w:val="subscript"/>
          <w:lang w:val="pt-BR" w:eastAsia="ja-JP"/>
        </w:rPr>
        <w:t>3</w:t>
      </w:r>
      <w:r w:rsidRPr="005E6B7C">
        <w:rPr>
          <w:rFonts w:asciiTheme="majorHAnsi" w:eastAsia="Yu Mincho" w:hAnsiTheme="majorHAnsi" w:cstheme="majorHAnsi"/>
          <w:color w:val="000000" w:themeColor="text1"/>
          <w:spacing w:val="-6"/>
          <w:sz w:val="22"/>
          <w:szCs w:val="22"/>
          <w:lang w:val="pt-BR" w:eastAsia="ja-JP"/>
        </w:rPr>
        <w:t xml:space="preserve">) see </w:t>
      </w:r>
      <w:r w:rsidR="00F01ADE" w:rsidRPr="005E6B7C">
        <w:rPr>
          <w:rFonts w:asciiTheme="majorHAnsi" w:eastAsia="Yu Mincho" w:hAnsiTheme="majorHAnsi" w:cstheme="majorHAnsi"/>
          <w:color w:val="000000" w:themeColor="text1"/>
          <w:sz w:val="22"/>
          <w:szCs w:val="22"/>
          <w:lang w:val="pt-BR" w:eastAsia="ja-JP"/>
        </w:rPr>
        <w:t>T</w:t>
      </w:r>
      <w:r w:rsidRPr="005E6B7C">
        <w:rPr>
          <w:rFonts w:asciiTheme="majorHAnsi" w:eastAsia="Yu Mincho" w:hAnsiTheme="majorHAnsi" w:cstheme="majorHAnsi"/>
          <w:color w:val="000000" w:themeColor="text1"/>
          <w:spacing w:val="-6"/>
          <w:sz w:val="22"/>
          <w:szCs w:val="22"/>
          <w:lang w:val="pt-BR" w:eastAsia="ja-JP"/>
        </w:rPr>
        <w:t>able 1.</w:t>
      </w:r>
    </w:p>
    <w:p w14:paraId="517F1E8C" w14:textId="21FF0E88" w:rsidR="00E049CB" w:rsidRPr="005E6B7C" w:rsidRDefault="00E049CB" w:rsidP="008C0D47">
      <w:pPr>
        <w:tabs>
          <w:tab w:val="left" w:pos="270"/>
          <w:tab w:val="left" w:pos="450"/>
          <w:tab w:val="left" w:pos="9270"/>
        </w:tabs>
        <w:spacing w:line="231"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b/>
          <w:i/>
          <w:color w:val="000000" w:themeColor="text1"/>
          <w:sz w:val="22"/>
          <w:szCs w:val="22"/>
          <w:lang w:val="pt-BR" w:eastAsia="ja-JP"/>
        </w:rPr>
        <w:t>Methyl 2-hydroxynonacosanoate (5):</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 xml:space="preserve">white powder;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467.5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C</w:t>
      </w:r>
      <w:r w:rsidRPr="005E6B7C">
        <w:rPr>
          <w:rFonts w:asciiTheme="majorHAnsi" w:eastAsia="Yu Mincho" w:hAnsiTheme="majorHAnsi" w:cstheme="majorHAnsi"/>
          <w:color w:val="000000" w:themeColor="text1"/>
          <w:sz w:val="22"/>
          <w:szCs w:val="22"/>
          <w:vertAlign w:val="subscript"/>
          <w:lang w:val="pt-BR" w:eastAsia="ja-JP"/>
        </w:rPr>
        <w:t>30</w:t>
      </w:r>
      <w:r w:rsidRPr="005E6B7C">
        <w:rPr>
          <w:rFonts w:asciiTheme="majorHAnsi" w:eastAsia="Yu Mincho" w:hAnsiTheme="majorHAnsi" w:cstheme="majorHAnsi"/>
          <w:color w:val="000000" w:themeColor="text1"/>
          <w:sz w:val="22"/>
          <w:szCs w:val="22"/>
          <w:lang w:val="pt-BR" w:eastAsia="ja-JP"/>
        </w:rPr>
        <w:t>H</w:t>
      </w:r>
      <w:r w:rsidRPr="005E6B7C">
        <w:rPr>
          <w:rFonts w:asciiTheme="majorHAnsi" w:eastAsia="Yu Mincho" w:hAnsiTheme="majorHAnsi" w:cstheme="majorHAnsi"/>
          <w:color w:val="000000" w:themeColor="text1"/>
          <w:sz w:val="22"/>
          <w:szCs w:val="22"/>
          <w:vertAlign w:val="subscript"/>
          <w:lang w:val="pt-BR" w:eastAsia="ja-JP"/>
        </w:rPr>
        <w:t>60</w:t>
      </w:r>
      <w:r w:rsidRPr="005E6B7C">
        <w:rPr>
          <w:rFonts w:asciiTheme="majorHAnsi" w:eastAsia="Yu Mincho" w:hAnsiTheme="majorHAnsi" w:cstheme="majorHAnsi"/>
          <w:color w:val="000000" w:themeColor="text1"/>
          <w:sz w:val="22"/>
          <w:szCs w:val="22"/>
          <w:lang w:val="pt-BR" w:eastAsia="ja-JP"/>
        </w:rPr>
        <w:t>O</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vertAlign w:val="superscript"/>
          <w:lang w:val="pt-BR" w:eastAsia="ja-JP"/>
        </w:rPr>
        <w:t xml:space="preserve"> 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H </w:t>
      </w:r>
      <w:r w:rsidRPr="005E6B7C">
        <w:rPr>
          <w:rFonts w:asciiTheme="majorHAnsi" w:eastAsia="Yu Mincho" w:hAnsiTheme="majorHAnsi" w:cstheme="majorHAnsi"/>
          <w:color w:val="000000" w:themeColor="text1"/>
          <w:sz w:val="22"/>
          <w:szCs w:val="22"/>
          <w:lang w:val="pt-BR" w:eastAsia="ja-JP"/>
        </w:rPr>
        <w:t xml:space="preserve">(ppm): 4.19 (1H, dd, </w:t>
      </w:r>
      <w:r w:rsidRPr="005E6B7C">
        <w:rPr>
          <w:rFonts w:asciiTheme="majorHAnsi" w:eastAsia="Yu Mincho" w:hAnsiTheme="majorHAnsi" w:cstheme="majorHAnsi"/>
          <w:i/>
          <w:color w:val="000000" w:themeColor="text1"/>
          <w:sz w:val="22"/>
          <w:szCs w:val="22"/>
          <w:lang w:val="pt-BR" w:eastAsia="ja-JP"/>
        </w:rPr>
        <w:t xml:space="preserve">J </w:t>
      </w:r>
      <w:r w:rsidRPr="005E6B7C">
        <w:rPr>
          <w:rFonts w:asciiTheme="majorHAnsi" w:eastAsia="Yu Mincho" w:hAnsiTheme="majorHAnsi" w:cstheme="majorHAnsi"/>
          <w:color w:val="000000" w:themeColor="text1"/>
          <w:sz w:val="22"/>
          <w:szCs w:val="22"/>
          <w:lang w:val="pt-BR" w:eastAsia="ja-JP"/>
        </w:rPr>
        <w:t>= 4.0</w:t>
      </w:r>
      <w:r w:rsidR="00F01ADE"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7.5 Hz, H-2), 3.79 (3H, s, OCH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1.26 - 1.80 (52xH), 0.88 (3H, t, </w:t>
      </w:r>
      <w:r w:rsidRPr="005E6B7C">
        <w:rPr>
          <w:rFonts w:asciiTheme="majorHAnsi" w:eastAsia="Yu Mincho" w:hAnsiTheme="majorHAnsi" w:cstheme="majorHAnsi"/>
          <w:i/>
          <w:color w:val="000000" w:themeColor="text1"/>
          <w:sz w:val="22"/>
          <w:szCs w:val="22"/>
          <w:lang w:val="pt-BR" w:eastAsia="ja-JP"/>
        </w:rPr>
        <w:t xml:space="preserve">J </w:t>
      </w:r>
      <w:r w:rsidRPr="005E6B7C">
        <w:rPr>
          <w:rFonts w:asciiTheme="majorHAnsi" w:eastAsia="Yu Mincho" w:hAnsiTheme="majorHAnsi" w:cstheme="majorHAnsi"/>
          <w:color w:val="000000" w:themeColor="text1"/>
          <w:sz w:val="22"/>
          <w:szCs w:val="22"/>
          <w:lang w:val="pt-BR" w:eastAsia="ja-JP"/>
        </w:rPr>
        <w:t>= 14.0 Hz, H-29).</w:t>
      </w:r>
      <w:r w:rsidRPr="005E6B7C">
        <w:rPr>
          <w:rFonts w:asciiTheme="majorHAnsi" w:eastAsia="Yu Mincho" w:hAnsiTheme="majorHAnsi" w:cstheme="majorHAnsi"/>
          <w:color w:val="000000" w:themeColor="text1"/>
          <w:sz w:val="22"/>
          <w:szCs w:val="22"/>
          <w:vertAlign w:val="superscript"/>
          <w:lang w:val="pt-BR" w:eastAsia="ja-JP"/>
        </w:rPr>
        <w:t xml:space="preserve"> 13</w:t>
      </w:r>
      <w:r w:rsidRPr="005E6B7C">
        <w:rPr>
          <w:rFonts w:asciiTheme="majorHAnsi" w:eastAsia="Yu Mincho" w:hAnsiTheme="majorHAnsi" w:cstheme="majorHAnsi"/>
          <w:color w:val="000000" w:themeColor="text1"/>
          <w:sz w:val="22"/>
          <w:szCs w:val="22"/>
          <w:lang w:val="pt-BR" w:eastAsia="ja-JP"/>
        </w:rPr>
        <w:t>C-NMR (150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C</w:t>
      </w:r>
      <w:r w:rsidRPr="005E6B7C">
        <w:rPr>
          <w:rFonts w:asciiTheme="majorHAnsi" w:eastAsia="Yu Mincho" w:hAnsiTheme="majorHAnsi" w:cstheme="majorHAnsi"/>
          <w:i/>
          <w:color w:val="000000" w:themeColor="text1"/>
          <w:sz w:val="22"/>
          <w:szCs w:val="22"/>
          <w:vertAlign w:val="subscript"/>
          <w:lang w:val="pt-BR" w:eastAsia="ja-JP"/>
        </w:rPr>
        <w:t xml:space="preserve"> </w:t>
      </w:r>
      <w:r w:rsidRPr="005E6B7C">
        <w:rPr>
          <w:rFonts w:asciiTheme="majorHAnsi" w:eastAsia="Yu Mincho" w:hAnsiTheme="majorHAnsi" w:cstheme="majorHAnsi"/>
          <w:color w:val="000000" w:themeColor="text1"/>
          <w:sz w:val="22"/>
          <w:szCs w:val="22"/>
          <w:lang w:val="pt-BR" w:eastAsia="ja-JP"/>
        </w:rPr>
        <w:t>(ppm): 175.9 (COO), 70.5 (C-2), 52.5 (OCH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34.5 - 22.7 (26xCH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14.1 (C-29).</w:t>
      </w:r>
    </w:p>
    <w:p w14:paraId="4B99C861" w14:textId="1217787E" w:rsidR="00513111" w:rsidRPr="005E6B7C" w:rsidRDefault="00513111" w:rsidP="00513111">
      <w:pPr>
        <w:tabs>
          <w:tab w:val="left" w:pos="270"/>
          <w:tab w:val="left" w:pos="450"/>
          <w:tab w:val="left" w:pos="9270"/>
        </w:tabs>
        <w:ind w:left="-90"/>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lang w:val="pt-BR" w:eastAsia="ja-JP"/>
        </w:rPr>
        <w:drawing>
          <wp:inline distT="0" distB="0" distL="0" distR="0" wp14:anchorId="56977308" wp14:editId="505192B6">
            <wp:extent cx="3183890" cy="1228725"/>
            <wp:effectExtent l="0" t="0" r="0" b="9525"/>
            <wp:docPr id="13233518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5708" cy="1229427"/>
                    </a:xfrm>
                    <a:prstGeom prst="rect">
                      <a:avLst/>
                    </a:prstGeom>
                    <a:noFill/>
                  </pic:spPr>
                </pic:pic>
              </a:graphicData>
            </a:graphic>
          </wp:inline>
        </w:drawing>
      </w:r>
    </w:p>
    <w:p w14:paraId="322C2A3B" w14:textId="77777777" w:rsidR="00E049CB" w:rsidRPr="005E6B7C" w:rsidRDefault="00E049CB"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Fig. 1.</w:t>
      </w:r>
      <w:r w:rsidRPr="005E6B7C">
        <w:rPr>
          <w:rFonts w:asciiTheme="majorHAnsi" w:eastAsia="Yu Mincho" w:hAnsiTheme="majorHAnsi" w:cstheme="majorHAnsi"/>
          <w:color w:val="000000" w:themeColor="text1"/>
          <w:sz w:val="18"/>
          <w:szCs w:val="18"/>
          <w:lang w:eastAsia="ja-JP"/>
        </w:rPr>
        <w:t xml:space="preserve"> Chemical structure of compounds </w:t>
      </w:r>
      <w:r w:rsidRPr="005E6B7C">
        <w:rPr>
          <w:rFonts w:asciiTheme="majorHAnsi" w:eastAsia="Yu Mincho" w:hAnsiTheme="majorHAnsi" w:cstheme="majorHAnsi"/>
          <w:b/>
          <w:color w:val="000000" w:themeColor="text1"/>
          <w:sz w:val="18"/>
          <w:szCs w:val="18"/>
          <w:lang w:eastAsia="ja-JP"/>
        </w:rPr>
        <w:t xml:space="preserve">1 </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b/>
          <w:color w:val="000000" w:themeColor="text1"/>
          <w:sz w:val="18"/>
          <w:szCs w:val="18"/>
          <w:lang w:eastAsia="ja-JP"/>
        </w:rPr>
        <w:t xml:space="preserve">5 </w:t>
      </w:r>
    </w:p>
    <w:p w14:paraId="635CD4ED" w14:textId="77777777" w:rsidR="00A04226" w:rsidRPr="005E6B7C" w:rsidRDefault="00A04226" w:rsidP="008C0D47">
      <w:pPr>
        <w:tabs>
          <w:tab w:val="left" w:pos="270"/>
          <w:tab w:val="left" w:pos="540"/>
          <w:tab w:val="left" w:pos="9270"/>
        </w:tabs>
        <w:ind w:right="-20"/>
        <w:contextualSpacing/>
        <w:jc w:val="both"/>
        <w:rPr>
          <w:rFonts w:asciiTheme="majorHAnsi" w:eastAsia="Yu Mincho" w:hAnsiTheme="majorHAnsi" w:cstheme="majorHAnsi"/>
          <w:b/>
          <w:color w:val="000000" w:themeColor="text1"/>
          <w:sz w:val="22"/>
          <w:szCs w:val="22"/>
          <w:lang w:eastAsia="ja-JP"/>
        </w:rPr>
      </w:pPr>
    </w:p>
    <w:p w14:paraId="7B616A7A" w14:textId="77777777" w:rsidR="00E049CB" w:rsidRPr="005E6B7C" w:rsidRDefault="00E049CB" w:rsidP="008C0D47">
      <w:pPr>
        <w:tabs>
          <w:tab w:val="left" w:pos="270"/>
          <w:tab w:val="left" w:pos="540"/>
          <w:tab w:val="left" w:pos="9270"/>
        </w:tabs>
        <w:spacing w:line="231"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633EB71D" w14:textId="3ABEAF30" w:rsidR="00E049CB" w:rsidRPr="005E6B7C" w:rsidRDefault="00E049CB" w:rsidP="008C0D47">
      <w:pPr>
        <w:tabs>
          <w:tab w:val="left" w:pos="270"/>
          <w:tab w:val="left" w:pos="540"/>
          <w:tab w:val="left" w:pos="9270"/>
        </w:tabs>
        <w:spacing w:line="231" w:lineRule="exact"/>
        <w:ind w:firstLine="284"/>
        <w:jc w:val="both"/>
        <w:rPr>
          <w:rFonts w:asciiTheme="majorHAnsi" w:eastAsia="Arial"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Compound </w:t>
      </w:r>
      <w:r w:rsidRPr="005E6B7C">
        <w:rPr>
          <w:rFonts w:asciiTheme="majorHAnsi" w:eastAsia="Yu Mincho" w:hAnsiTheme="majorHAnsi" w:cstheme="majorHAnsi"/>
          <w:b/>
          <w:color w:val="000000" w:themeColor="text1"/>
          <w:spacing w:val="-2"/>
          <w:sz w:val="22"/>
          <w:szCs w:val="22"/>
          <w:lang w:eastAsia="ja-JP"/>
        </w:rPr>
        <w:t xml:space="preserve">1 </w:t>
      </w:r>
      <w:r w:rsidRPr="005E6B7C">
        <w:rPr>
          <w:rFonts w:asciiTheme="majorHAnsi" w:eastAsia="Yu Mincho" w:hAnsiTheme="majorHAnsi" w:cstheme="majorHAnsi"/>
          <w:color w:val="000000" w:themeColor="text1"/>
          <w:spacing w:val="-2"/>
          <w:sz w:val="22"/>
          <w:szCs w:val="22"/>
          <w:lang w:eastAsia="ja-JP"/>
        </w:rPr>
        <w:t xml:space="preserve">was obtained as colorless needles. Its molecular formula was determined to be </w:t>
      </w:r>
      <w:r w:rsidRPr="005E6B7C">
        <w:rPr>
          <w:rFonts w:asciiTheme="majorHAnsi" w:eastAsia="Yu Mincho" w:hAnsiTheme="majorHAnsi" w:cstheme="majorHAnsi"/>
          <w:color w:val="000000" w:themeColor="text1"/>
          <w:spacing w:val="-2"/>
          <w:sz w:val="22"/>
          <w:szCs w:val="22"/>
          <w:shd w:val="clear" w:color="auto" w:fill="FFFFFF"/>
          <w:lang w:eastAsia="ja-JP"/>
        </w:rPr>
        <w:t>C</w:t>
      </w:r>
      <w:r w:rsidRPr="005E6B7C">
        <w:rPr>
          <w:rFonts w:asciiTheme="majorHAnsi" w:eastAsia="Yu Mincho" w:hAnsiTheme="majorHAnsi" w:cstheme="majorHAnsi"/>
          <w:color w:val="000000" w:themeColor="text1"/>
          <w:spacing w:val="-2"/>
          <w:sz w:val="22"/>
          <w:szCs w:val="22"/>
          <w:shd w:val="clear" w:color="auto" w:fill="FFFFFF"/>
          <w:vertAlign w:val="subscript"/>
          <w:lang w:eastAsia="ja-JP"/>
        </w:rPr>
        <w:t>30</w:t>
      </w:r>
      <w:r w:rsidRPr="005E6B7C">
        <w:rPr>
          <w:rFonts w:asciiTheme="majorHAnsi" w:eastAsia="Yu Mincho" w:hAnsiTheme="majorHAnsi" w:cstheme="majorHAnsi"/>
          <w:color w:val="000000" w:themeColor="text1"/>
          <w:spacing w:val="-2"/>
          <w:sz w:val="22"/>
          <w:szCs w:val="22"/>
          <w:shd w:val="clear" w:color="auto" w:fill="FFFFFF"/>
          <w:lang w:eastAsia="ja-JP"/>
        </w:rPr>
        <w:t>H</w:t>
      </w:r>
      <w:r w:rsidRPr="005E6B7C">
        <w:rPr>
          <w:rFonts w:asciiTheme="majorHAnsi" w:eastAsia="Yu Mincho" w:hAnsiTheme="majorHAnsi" w:cstheme="majorHAnsi"/>
          <w:color w:val="000000" w:themeColor="text1"/>
          <w:spacing w:val="-2"/>
          <w:sz w:val="22"/>
          <w:szCs w:val="22"/>
          <w:shd w:val="clear" w:color="auto" w:fill="FFFFFF"/>
          <w:vertAlign w:val="subscript"/>
          <w:lang w:eastAsia="ja-JP"/>
        </w:rPr>
        <w:t>48</w:t>
      </w:r>
      <w:r w:rsidRPr="005E6B7C">
        <w:rPr>
          <w:rFonts w:asciiTheme="majorHAnsi" w:eastAsia="Yu Mincho" w:hAnsiTheme="majorHAnsi" w:cstheme="majorHAnsi"/>
          <w:color w:val="000000" w:themeColor="text1"/>
          <w:spacing w:val="-2"/>
          <w:sz w:val="22"/>
          <w:szCs w:val="22"/>
          <w:shd w:val="clear" w:color="auto" w:fill="FFFFFF"/>
          <w:lang w:eastAsia="ja-JP"/>
        </w:rPr>
        <w:t>O</w:t>
      </w:r>
      <w:r w:rsidRPr="005E6B7C">
        <w:rPr>
          <w:rFonts w:asciiTheme="majorHAnsi" w:eastAsia="Yu Mincho" w:hAnsiTheme="majorHAnsi" w:cstheme="majorHAnsi"/>
          <w:color w:val="000000" w:themeColor="text1"/>
          <w:spacing w:val="-2"/>
          <w:sz w:val="22"/>
          <w:szCs w:val="22"/>
          <w:shd w:val="clear" w:color="auto" w:fill="FFFFFF"/>
          <w:vertAlign w:val="subscript"/>
          <w:lang w:eastAsia="ja-JP"/>
        </w:rPr>
        <w:t>2</w:t>
      </w:r>
      <w:r w:rsidRPr="005E6B7C">
        <w:rPr>
          <w:rFonts w:asciiTheme="majorHAnsi" w:eastAsia="Yu Mincho" w:hAnsiTheme="majorHAnsi" w:cstheme="majorHAnsi"/>
          <w:color w:val="000000" w:themeColor="text1"/>
          <w:spacing w:val="-2"/>
          <w:sz w:val="22"/>
          <w:szCs w:val="22"/>
          <w:vertAlign w:val="subscript"/>
          <w:lang w:eastAsia="ja-JP"/>
        </w:rPr>
        <w:t xml:space="preserve"> </w:t>
      </w:r>
      <w:r w:rsidRPr="005E6B7C">
        <w:rPr>
          <w:rFonts w:asciiTheme="majorHAnsi" w:eastAsia="Yu Mincho" w:hAnsiTheme="majorHAnsi" w:cstheme="majorHAnsi"/>
          <w:color w:val="000000" w:themeColor="text1"/>
          <w:spacing w:val="-2"/>
          <w:sz w:val="22"/>
          <w:szCs w:val="22"/>
          <w:lang w:eastAsia="ja-JP"/>
        </w:rPr>
        <w:t xml:space="preserve">based on the ESI-MS spectrum with a peak at </w:t>
      </w:r>
      <w:r w:rsidRPr="005E6B7C">
        <w:rPr>
          <w:rFonts w:asciiTheme="majorHAnsi" w:eastAsia="Yu Mincho" w:hAnsiTheme="majorHAnsi" w:cstheme="majorHAnsi"/>
          <w:i/>
          <w:color w:val="000000" w:themeColor="text1"/>
          <w:spacing w:val="-2"/>
          <w:sz w:val="22"/>
          <w:szCs w:val="22"/>
          <w:lang w:eastAsia="ja-JP"/>
        </w:rPr>
        <w:t>m/z</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Yu Mincho" w:hAnsiTheme="majorHAnsi" w:cstheme="majorHAnsi"/>
          <w:color w:val="000000" w:themeColor="text1"/>
          <w:spacing w:val="-2"/>
          <w:sz w:val="22"/>
          <w:szCs w:val="22"/>
          <w:shd w:val="clear" w:color="auto" w:fill="FFFFFF"/>
          <w:lang w:eastAsia="ja-JP"/>
        </w:rPr>
        <w:t>441</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shd w:val="clear" w:color="auto" w:fill="FFFFFF"/>
          <w:lang w:eastAsia="ja-JP"/>
        </w:rPr>
        <w:t>5 [M+H]</w:t>
      </w:r>
      <w:r w:rsidRPr="005E6B7C">
        <w:rPr>
          <w:rFonts w:asciiTheme="majorHAnsi" w:eastAsia="Yu Mincho" w:hAnsiTheme="majorHAnsi" w:cstheme="majorHAnsi"/>
          <w:color w:val="000000" w:themeColor="text1"/>
          <w:spacing w:val="-2"/>
          <w:sz w:val="22"/>
          <w:szCs w:val="22"/>
          <w:shd w:val="clear" w:color="auto" w:fill="FFFFFF"/>
          <w:vertAlign w:val="superscript"/>
          <w:lang w:eastAsia="ja-JP"/>
        </w:rPr>
        <w:t>+</w:t>
      </w:r>
      <w:r w:rsidRPr="005E6B7C">
        <w:rPr>
          <w:rFonts w:asciiTheme="majorHAnsi" w:eastAsia="Yu Mincho" w:hAnsiTheme="majorHAnsi" w:cstheme="majorHAnsi"/>
          <w:color w:val="000000" w:themeColor="text1"/>
          <w:spacing w:val="-2"/>
          <w:sz w:val="22"/>
          <w:szCs w:val="22"/>
          <w:shd w:val="clear" w:color="auto" w:fill="FFFFFF"/>
          <w:lang w:eastAsia="ja-JP"/>
        </w:rPr>
        <w:t xml:space="preserve">. </w:t>
      </w:r>
      <w:r w:rsidRPr="005E6B7C">
        <w:rPr>
          <w:rFonts w:asciiTheme="majorHAnsi" w:eastAsia="Yu Mincho" w:hAnsiTheme="majorHAnsi" w:cstheme="majorHAnsi"/>
          <w:color w:val="000000" w:themeColor="text1"/>
          <w:spacing w:val="-2"/>
          <w:sz w:val="22"/>
          <w:szCs w:val="22"/>
          <w:lang w:eastAsia="ja-JP"/>
        </w:rPr>
        <w:t xml:space="preserve">The 1D-NMR spectra of </w:t>
      </w:r>
      <w:r w:rsidRPr="005E6B7C">
        <w:rPr>
          <w:rFonts w:asciiTheme="majorHAnsi" w:eastAsia="Yu Mincho" w:hAnsiTheme="majorHAnsi" w:cstheme="majorHAnsi"/>
          <w:b/>
          <w:color w:val="000000" w:themeColor="text1"/>
          <w:spacing w:val="-2"/>
          <w:sz w:val="22"/>
          <w:szCs w:val="22"/>
          <w:lang w:eastAsia="ja-JP"/>
        </w:rPr>
        <w:t xml:space="preserve">1 </w:t>
      </w:r>
      <w:r w:rsidRPr="005E6B7C">
        <w:rPr>
          <w:rFonts w:asciiTheme="majorHAnsi" w:eastAsia="Yu Mincho" w:hAnsiTheme="majorHAnsi" w:cstheme="majorHAnsi"/>
          <w:color w:val="000000" w:themeColor="text1"/>
          <w:spacing w:val="-2"/>
          <w:sz w:val="22"/>
          <w:szCs w:val="22"/>
          <w:lang w:eastAsia="ja-JP"/>
        </w:rPr>
        <w:t xml:space="preserve">showed the characteristic signals of a lanostane-triterpenoid. The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 xml:space="preserve">H-NMR spectrum of </w:t>
      </w:r>
      <w:r w:rsidRPr="005E6B7C">
        <w:rPr>
          <w:rFonts w:asciiTheme="majorHAnsi" w:eastAsia="Yu Mincho" w:hAnsiTheme="majorHAnsi" w:cstheme="majorHAnsi"/>
          <w:b/>
          <w:color w:val="000000" w:themeColor="text1"/>
          <w:spacing w:val="-2"/>
          <w:sz w:val="22"/>
          <w:szCs w:val="22"/>
          <w:lang w:eastAsia="ja-JP"/>
        </w:rPr>
        <w:t xml:space="preserve">1 </w:t>
      </w:r>
      <w:r w:rsidRPr="005E6B7C">
        <w:rPr>
          <w:rFonts w:asciiTheme="majorHAnsi" w:eastAsia="Yu Mincho" w:hAnsiTheme="majorHAnsi" w:cstheme="majorHAnsi"/>
          <w:color w:val="000000" w:themeColor="text1"/>
          <w:spacing w:val="-2"/>
          <w:sz w:val="22"/>
          <w:szCs w:val="22"/>
          <w:lang w:eastAsia="ja-JP"/>
        </w:rPr>
        <w:t xml:space="preserve">showed 7 methyl groups, including 6 </w:t>
      </w:r>
      <w:r w:rsidRPr="005E6B7C">
        <w:rPr>
          <w:rFonts w:asciiTheme="majorHAnsi" w:eastAsia="Yu Mincho" w:hAnsiTheme="majorHAnsi" w:cstheme="majorHAnsi"/>
          <w:i/>
          <w:color w:val="000000" w:themeColor="text1"/>
          <w:spacing w:val="-2"/>
          <w:sz w:val="22"/>
          <w:szCs w:val="22"/>
          <w:lang w:eastAsia="ja-JP"/>
        </w:rPr>
        <w:t>singlet</w:t>
      </w:r>
      <w:r w:rsidRPr="005E6B7C">
        <w:rPr>
          <w:rFonts w:asciiTheme="majorHAnsi" w:eastAsia="Yu Mincho" w:hAnsiTheme="majorHAnsi" w:cstheme="majorHAnsi"/>
          <w:color w:val="000000" w:themeColor="text1"/>
          <w:spacing w:val="-2"/>
          <w:sz w:val="22"/>
          <w:szCs w:val="22"/>
          <w:lang w:eastAsia="ja-JP"/>
        </w:rPr>
        <w:t xml:space="preserve"> signals at </w:t>
      </w:r>
      <w:r w:rsidRPr="005E6B7C">
        <w:rPr>
          <w:rFonts w:asciiTheme="majorHAnsi" w:eastAsia="Yu Mincho" w:hAnsiTheme="majorHAnsi" w:cstheme="majorHAnsi"/>
          <w:i/>
          <w:iCs/>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 xml:space="preserve">H </w:t>
      </w:r>
      <w:bookmarkStart w:id="15" w:name="_Hlk221805941"/>
      <w:r w:rsidRPr="005E6B7C">
        <w:rPr>
          <w:rFonts w:asciiTheme="majorHAnsi" w:eastAsia="Yu Mincho" w:hAnsiTheme="majorHAnsi" w:cstheme="majorHAnsi"/>
          <w:color w:val="000000" w:themeColor="text1"/>
          <w:spacing w:val="-2"/>
          <w:sz w:val="22"/>
          <w:szCs w:val="22"/>
          <w:lang w:eastAsia="ja-JP"/>
        </w:rPr>
        <w:t>1.67 (3H, s, H-27), 1.09 (3H, s, H-29), 0.99 (3H, s, H-19), 0.88 (6H, s, H-28</w:t>
      </w:r>
      <w:r w:rsidR="00F01ADE"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H-30), 0.57 (3H, s, H-18) </w:t>
      </w:r>
      <w:bookmarkEnd w:id="15"/>
      <w:r w:rsidRPr="005E6B7C">
        <w:rPr>
          <w:rFonts w:asciiTheme="majorHAnsi" w:eastAsia="Yu Mincho" w:hAnsiTheme="majorHAnsi" w:cstheme="majorHAnsi"/>
          <w:color w:val="000000" w:themeColor="text1"/>
          <w:spacing w:val="-2"/>
          <w:sz w:val="22"/>
          <w:szCs w:val="22"/>
          <w:lang w:eastAsia="ja-JP"/>
        </w:rPr>
        <w:t xml:space="preserve">and 1 </w:t>
      </w:r>
      <w:r w:rsidRPr="005E6B7C">
        <w:rPr>
          <w:rFonts w:asciiTheme="majorHAnsi" w:eastAsia="Yu Mincho" w:hAnsiTheme="majorHAnsi" w:cstheme="majorHAnsi"/>
          <w:i/>
          <w:color w:val="000000" w:themeColor="text1"/>
          <w:spacing w:val="-2"/>
          <w:sz w:val="22"/>
          <w:szCs w:val="22"/>
          <w:lang w:eastAsia="ja-JP"/>
        </w:rPr>
        <w:t>doublet</w:t>
      </w:r>
      <w:r w:rsidRPr="005E6B7C">
        <w:rPr>
          <w:rFonts w:asciiTheme="majorHAnsi" w:eastAsia="Yu Mincho" w:hAnsiTheme="majorHAnsi" w:cstheme="majorHAnsi"/>
          <w:color w:val="000000" w:themeColor="text1"/>
          <w:spacing w:val="-2"/>
          <w:sz w:val="22"/>
          <w:szCs w:val="22"/>
          <w:lang w:eastAsia="ja-JP"/>
        </w:rPr>
        <w:t xml:space="preserve"> signal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w:t>
      </w:r>
      <w:bookmarkStart w:id="16" w:name="_Hlk221805979"/>
      <w:r w:rsidRPr="005E6B7C">
        <w:rPr>
          <w:rFonts w:asciiTheme="majorHAnsi" w:eastAsia="Yu Mincho" w:hAnsiTheme="majorHAnsi" w:cstheme="majorHAnsi"/>
          <w:color w:val="000000" w:themeColor="text1"/>
          <w:spacing w:val="-2"/>
          <w:sz w:val="22"/>
          <w:szCs w:val="22"/>
          <w:lang w:eastAsia="ja-JP"/>
        </w:rPr>
        <w:t xml:space="preserve">0.92 (3H, d, </w:t>
      </w:r>
      <w:r w:rsidRPr="005E6B7C">
        <w:rPr>
          <w:rFonts w:asciiTheme="majorHAnsi" w:eastAsia="Yu Mincho" w:hAnsiTheme="majorHAnsi" w:cstheme="majorHAnsi"/>
          <w:i/>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6.3 Hz, H-21)</w:t>
      </w:r>
      <w:bookmarkEnd w:id="16"/>
      <w:r w:rsidRPr="005E6B7C">
        <w:rPr>
          <w:rFonts w:asciiTheme="majorHAnsi" w:eastAsia="Yu Mincho" w:hAnsiTheme="majorHAnsi" w:cstheme="majorHAnsi"/>
          <w:color w:val="000000" w:themeColor="text1"/>
          <w:spacing w:val="-2"/>
          <w:sz w:val="22"/>
          <w:szCs w:val="22"/>
          <w:lang w:eastAsia="ja-JP"/>
        </w:rPr>
        <w:t xml:space="preserve">; three oxygen-linked proton signals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 xml:space="preserve">H </w:t>
      </w:r>
      <w:r w:rsidRPr="005E6B7C">
        <w:rPr>
          <w:rFonts w:asciiTheme="majorHAnsi" w:eastAsia="Yu Mincho" w:hAnsiTheme="majorHAnsi" w:cstheme="majorHAnsi"/>
          <w:color w:val="000000" w:themeColor="text1"/>
          <w:spacing w:val="-2"/>
          <w:sz w:val="22"/>
          <w:szCs w:val="22"/>
          <w:lang w:eastAsia="ja-JP"/>
        </w:rPr>
        <w:t>4.0 (2H, s, H-26) and 3</w:t>
      </w:r>
      <w:r w:rsidRPr="005E6B7C">
        <w:rPr>
          <w:rFonts w:asciiTheme="majorHAnsi" w:eastAsia="Yu Mincho" w:hAnsiTheme="majorHAnsi" w:cstheme="majorHAnsi"/>
          <w:color w:val="000000" w:themeColor="text1"/>
          <w:spacing w:val="-6"/>
          <w:sz w:val="22"/>
          <w:szCs w:val="22"/>
          <w:lang w:eastAsia="ja-JP"/>
        </w:rPr>
        <w:t xml:space="preserve">.25 (1H, dd, </w:t>
      </w:r>
      <w:r w:rsidRPr="005E6B7C">
        <w:rPr>
          <w:rFonts w:asciiTheme="majorHAnsi" w:eastAsia="Yu Mincho" w:hAnsiTheme="majorHAnsi" w:cstheme="majorHAnsi"/>
          <w:i/>
          <w:color w:val="000000" w:themeColor="text1"/>
          <w:spacing w:val="-6"/>
          <w:sz w:val="22"/>
          <w:szCs w:val="22"/>
          <w:lang w:eastAsia="ja-JP"/>
        </w:rPr>
        <w:t>J</w:t>
      </w:r>
      <w:r w:rsidRPr="005E6B7C">
        <w:rPr>
          <w:rFonts w:asciiTheme="majorHAnsi" w:eastAsia="Yu Mincho" w:hAnsiTheme="majorHAnsi" w:cstheme="majorHAnsi"/>
          <w:color w:val="000000" w:themeColor="text1"/>
          <w:spacing w:val="-6"/>
          <w:sz w:val="22"/>
          <w:szCs w:val="22"/>
          <w:lang w:eastAsia="ja-JP"/>
        </w:rPr>
        <w:t xml:space="preserve"> = 2.4</w:t>
      </w:r>
      <w:r w:rsidR="00F01ADE" w:rsidRPr="005E6B7C">
        <w:rPr>
          <w:rFonts w:asciiTheme="majorHAnsi" w:eastAsia="Yu Mincho" w:hAnsiTheme="majorHAnsi" w:cstheme="majorHAnsi"/>
          <w:color w:val="000000" w:themeColor="text1"/>
          <w:spacing w:val="-6"/>
          <w:sz w:val="22"/>
          <w:szCs w:val="22"/>
          <w:lang w:eastAsia="ja-JP"/>
        </w:rPr>
        <w:t xml:space="preserve">, </w:t>
      </w:r>
      <w:r w:rsidRPr="005E6B7C">
        <w:rPr>
          <w:rFonts w:asciiTheme="majorHAnsi" w:eastAsia="Yu Mincho" w:hAnsiTheme="majorHAnsi" w:cstheme="majorHAnsi"/>
          <w:color w:val="000000" w:themeColor="text1"/>
          <w:spacing w:val="-6"/>
          <w:sz w:val="22"/>
          <w:szCs w:val="22"/>
          <w:lang w:eastAsia="ja-JP"/>
        </w:rPr>
        <w:t xml:space="preserve">9.0 Hz, H-3); 3 olefinic proton signals at </w:t>
      </w:r>
      <w:r w:rsidRPr="005E6B7C">
        <w:rPr>
          <w:rFonts w:asciiTheme="majorHAnsi" w:eastAsia="Yu Mincho" w:hAnsiTheme="majorHAnsi" w:cstheme="majorHAnsi"/>
          <w:i/>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H</w:t>
      </w:r>
      <w:r w:rsidRPr="005E6B7C">
        <w:rPr>
          <w:rFonts w:asciiTheme="majorHAnsi" w:eastAsia="Yu Mincho" w:hAnsiTheme="majorHAnsi" w:cstheme="majorHAnsi"/>
          <w:color w:val="000000" w:themeColor="text1"/>
          <w:spacing w:val="-6"/>
          <w:sz w:val="22"/>
          <w:szCs w:val="22"/>
          <w:lang w:eastAsia="ja-JP"/>
        </w:rPr>
        <w:t xml:space="preserve"> 5.48 (1H, d, </w:t>
      </w:r>
      <w:r w:rsidRPr="005E6B7C">
        <w:rPr>
          <w:rFonts w:asciiTheme="majorHAnsi" w:eastAsia="Yu Mincho" w:hAnsiTheme="majorHAnsi" w:cstheme="majorHAnsi"/>
          <w:i/>
          <w:color w:val="000000" w:themeColor="text1"/>
          <w:spacing w:val="-6"/>
          <w:sz w:val="22"/>
          <w:szCs w:val="22"/>
          <w:lang w:eastAsia="ja-JP"/>
        </w:rPr>
        <w:t>J</w:t>
      </w:r>
      <w:r w:rsidRPr="005E6B7C">
        <w:rPr>
          <w:rFonts w:asciiTheme="majorHAnsi" w:eastAsia="Yu Mincho" w:hAnsiTheme="majorHAnsi" w:cstheme="majorHAnsi"/>
          <w:color w:val="000000" w:themeColor="text1"/>
          <w:spacing w:val="-6"/>
          <w:sz w:val="22"/>
          <w:szCs w:val="22"/>
          <w:lang w:eastAsia="ja-JP"/>
        </w:rPr>
        <w:t xml:space="preserve"> = 6.0 Hz, H-11), 5.40 (1H, t, </w:t>
      </w:r>
      <w:r w:rsidRPr="005E6B7C">
        <w:rPr>
          <w:rFonts w:asciiTheme="majorHAnsi" w:eastAsia="Yu Mincho" w:hAnsiTheme="majorHAnsi" w:cstheme="majorHAnsi"/>
          <w:i/>
          <w:color w:val="000000" w:themeColor="text1"/>
          <w:spacing w:val="-6"/>
          <w:sz w:val="22"/>
          <w:szCs w:val="22"/>
          <w:lang w:eastAsia="ja-JP"/>
        </w:rPr>
        <w:t>J</w:t>
      </w:r>
      <w:r w:rsidRPr="005E6B7C">
        <w:rPr>
          <w:rFonts w:asciiTheme="majorHAnsi" w:eastAsia="Yu Mincho" w:hAnsiTheme="majorHAnsi" w:cstheme="majorHAnsi"/>
          <w:color w:val="000000" w:themeColor="text1"/>
          <w:spacing w:val="-6"/>
          <w:sz w:val="22"/>
          <w:szCs w:val="22"/>
          <w:lang w:eastAsia="ja-JP"/>
        </w:rPr>
        <w:t xml:space="preserve"> = 7.2 Hz, H-24) and 5.32 (1H, d, </w:t>
      </w:r>
      <w:r w:rsidRPr="005E6B7C">
        <w:rPr>
          <w:rFonts w:asciiTheme="majorHAnsi" w:eastAsia="Yu Mincho" w:hAnsiTheme="majorHAnsi" w:cstheme="majorHAnsi"/>
          <w:i/>
          <w:color w:val="000000" w:themeColor="text1"/>
          <w:spacing w:val="-6"/>
          <w:sz w:val="22"/>
          <w:szCs w:val="22"/>
          <w:lang w:eastAsia="ja-JP"/>
        </w:rPr>
        <w:t>J</w:t>
      </w:r>
      <w:r w:rsidRPr="005E6B7C">
        <w:rPr>
          <w:rFonts w:asciiTheme="majorHAnsi" w:eastAsia="Yu Mincho" w:hAnsiTheme="majorHAnsi" w:cstheme="majorHAnsi"/>
          <w:color w:val="000000" w:themeColor="text1"/>
          <w:spacing w:val="-6"/>
          <w:sz w:val="22"/>
          <w:szCs w:val="22"/>
          <w:lang w:eastAsia="ja-JP"/>
        </w:rPr>
        <w:t xml:space="preserve"> = 6.0 Hz, H-7). The </w:t>
      </w:r>
      <w:r w:rsidRPr="005E6B7C">
        <w:rPr>
          <w:rFonts w:asciiTheme="majorHAnsi" w:eastAsia="Yu Mincho" w:hAnsiTheme="majorHAnsi" w:cstheme="majorHAnsi"/>
          <w:color w:val="000000" w:themeColor="text1"/>
          <w:spacing w:val="-6"/>
          <w:sz w:val="22"/>
          <w:szCs w:val="22"/>
          <w:vertAlign w:val="superscript"/>
          <w:lang w:eastAsia="ja-JP"/>
        </w:rPr>
        <w:t>13</w:t>
      </w:r>
      <w:r w:rsidRPr="005E6B7C">
        <w:rPr>
          <w:rFonts w:asciiTheme="majorHAnsi" w:eastAsia="Yu Mincho" w:hAnsiTheme="majorHAnsi" w:cstheme="majorHAnsi"/>
          <w:color w:val="000000" w:themeColor="text1"/>
          <w:spacing w:val="-6"/>
          <w:sz w:val="22"/>
          <w:szCs w:val="22"/>
          <w:lang w:eastAsia="ja-JP"/>
        </w:rPr>
        <w:t xml:space="preserve">C-NMR spectrum exhibited 30 carbons: seven methyl carbon signals at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C</w:t>
      </w:r>
      <w:r w:rsidRPr="005E6B7C">
        <w:rPr>
          <w:rFonts w:asciiTheme="majorHAnsi" w:eastAsia="Yu Mincho" w:hAnsiTheme="majorHAnsi" w:cstheme="majorHAnsi"/>
          <w:color w:val="000000" w:themeColor="text1"/>
          <w:spacing w:val="-6"/>
          <w:sz w:val="22"/>
          <w:szCs w:val="22"/>
          <w:lang w:eastAsia="ja-JP"/>
        </w:rPr>
        <w:t xml:space="preserve"> 28.2 (C-29), 25.6 (C-30), 22.8 (C-19), 18.4 (C-21), 15.8 (C-28), 15.7 (C-18) and 13.6 (C-27); two oxygen-linked carbon signals at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 xml:space="preserve">79.0 (C-3) and 69.1 (C-26); and six olefinic carbon signals at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C</w:t>
      </w:r>
      <w:r w:rsidRPr="005E6B7C">
        <w:rPr>
          <w:rFonts w:asciiTheme="majorHAnsi" w:eastAsia="Yu Mincho" w:hAnsiTheme="majorHAnsi" w:cstheme="majorHAnsi"/>
          <w:color w:val="000000" w:themeColor="text1"/>
          <w:spacing w:val="-6"/>
          <w:sz w:val="22"/>
          <w:szCs w:val="22"/>
          <w:lang w:eastAsia="ja-JP"/>
        </w:rPr>
        <w:t xml:space="preserve"> 120.3 (C-7),143.0 (C-8), 146.0 (C-9),116.3 (C-11), 127.0 (C-24), and 134.0 (C-25). The HMBC correlations of H-28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H </w:t>
      </w:r>
      <w:r w:rsidRPr="005E6B7C">
        <w:rPr>
          <w:rFonts w:asciiTheme="majorHAnsi" w:eastAsia="Yu Mincho" w:hAnsiTheme="majorHAnsi" w:cstheme="majorHAnsi"/>
          <w:color w:val="000000" w:themeColor="text1"/>
          <w:spacing w:val="-6"/>
          <w:sz w:val="22"/>
          <w:szCs w:val="22"/>
          <w:lang w:eastAsia="ja-JP"/>
        </w:rPr>
        <w:t>0.88) and H-29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H</w:t>
      </w:r>
      <w:r w:rsidRPr="005E6B7C">
        <w:rPr>
          <w:rFonts w:asciiTheme="majorHAnsi" w:eastAsia="Yu Mincho" w:hAnsiTheme="majorHAnsi" w:cstheme="majorHAnsi"/>
          <w:color w:val="000000" w:themeColor="text1"/>
          <w:spacing w:val="-6"/>
          <w:sz w:val="22"/>
          <w:szCs w:val="22"/>
          <w:lang w:eastAsia="ja-JP"/>
        </w:rPr>
        <w:t xml:space="preserve"> 1.09) with C-3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79.0), C-4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38.7), and C-5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49.2) indicated that the hydroxy location was at C-3; the correlations of  H-27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H </w:t>
      </w:r>
      <w:r w:rsidRPr="005E6B7C">
        <w:rPr>
          <w:rFonts w:asciiTheme="majorHAnsi" w:eastAsia="Yu Mincho" w:hAnsiTheme="majorHAnsi" w:cstheme="majorHAnsi"/>
          <w:color w:val="000000" w:themeColor="text1"/>
          <w:spacing w:val="-6"/>
          <w:sz w:val="22"/>
          <w:szCs w:val="22"/>
          <w:lang w:eastAsia="ja-JP"/>
        </w:rPr>
        <w:t>1.67) and H-24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H </w:t>
      </w:r>
      <w:r w:rsidRPr="005E6B7C">
        <w:rPr>
          <w:rFonts w:asciiTheme="majorHAnsi" w:eastAsia="Yu Mincho" w:hAnsiTheme="majorHAnsi" w:cstheme="majorHAnsi"/>
          <w:color w:val="000000" w:themeColor="text1"/>
          <w:spacing w:val="-6"/>
          <w:sz w:val="22"/>
          <w:szCs w:val="22"/>
          <w:lang w:eastAsia="ja-JP"/>
        </w:rPr>
        <w:t>4.0) with C-25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134.0) and C-26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69.1) indicated that the hydroxy location was at C-26</w:t>
      </w:r>
      <w:r w:rsidR="008C0D47" w:rsidRPr="005E6B7C">
        <w:rPr>
          <w:rFonts w:asciiTheme="majorHAnsi" w:eastAsia="Yu Mincho" w:hAnsiTheme="majorHAnsi" w:cstheme="majorHAnsi"/>
          <w:color w:val="000000" w:themeColor="text1"/>
          <w:spacing w:val="-6"/>
          <w:sz w:val="22"/>
          <w:szCs w:val="22"/>
          <w:lang w:eastAsia="ja-JP"/>
        </w:rPr>
        <w:t>,</w:t>
      </w:r>
      <w:r w:rsidRPr="005E6B7C">
        <w:rPr>
          <w:rFonts w:asciiTheme="majorHAnsi" w:eastAsia="Yu Mincho" w:hAnsiTheme="majorHAnsi" w:cstheme="majorHAnsi"/>
          <w:color w:val="000000" w:themeColor="text1"/>
          <w:spacing w:val="-6"/>
          <w:sz w:val="22"/>
          <w:szCs w:val="22"/>
          <w:lang w:eastAsia="ja-JP"/>
        </w:rPr>
        <w:t xml:space="preserve"> and one double bond is located at C-24/C-25. Furthermore, the other long-range correlations of H-7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H </w:t>
      </w:r>
      <w:r w:rsidRPr="005E6B7C">
        <w:rPr>
          <w:rFonts w:asciiTheme="majorHAnsi" w:eastAsia="Yu Mincho" w:hAnsiTheme="majorHAnsi" w:cstheme="majorHAnsi"/>
          <w:color w:val="000000" w:themeColor="text1"/>
          <w:spacing w:val="-6"/>
          <w:sz w:val="22"/>
          <w:szCs w:val="22"/>
          <w:lang w:eastAsia="ja-JP"/>
        </w:rPr>
        <w:t>5.32) with C-8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C</w:t>
      </w:r>
      <w:r w:rsidRPr="005E6B7C">
        <w:rPr>
          <w:rFonts w:asciiTheme="majorHAnsi" w:eastAsia="Yu Mincho" w:hAnsiTheme="majorHAnsi" w:cstheme="majorHAnsi"/>
          <w:i/>
          <w:color w:val="000000" w:themeColor="text1"/>
          <w:spacing w:val="-6"/>
          <w:sz w:val="22"/>
          <w:szCs w:val="22"/>
          <w:lang w:eastAsia="ja-JP"/>
        </w:rPr>
        <w:t xml:space="preserve"> </w:t>
      </w:r>
      <w:r w:rsidRPr="005E6B7C">
        <w:rPr>
          <w:rFonts w:asciiTheme="majorHAnsi" w:eastAsia="Yu Mincho" w:hAnsiTheme="majorHAnsi" w:cstheme="majorHAnsi"/>
          <w:color w:val="000000" w:themeColor="text1"/>
          <w:spacing w:val="-6"/>
          <w:sz w:val="22"/>
          <w:szCs w:val="22"/>
          <w:lang w:eastAsia="ja-JP"/>
        </w:rPr>
        <w:t>143.0) and C-6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23.0)</w:t>
      </w:r>
      <w:r w:rsidR="008C0D47" w:rsidRPr="005E6B7C">
        <w:rPr>
          <w:rFonts w:asciiTheme="majorHAnsi" w:eastAsia="Yu Mincho" w:hAnsiTheme="majorHAnsi" w:cstheme="majorHAnsi"/>
          <w:color w:val="000000" w:themeColor="text1"/>
          <w:spacing w:val="-6"/>
          <w:sz w:val="22"/>
          <w:szCs w:val="22"/>
          <w:lang w:eastAsia="ja-JP"/>
        </w:rPr>
        <w:t>,</w:t>
      </w:r>
      <w:r w:rsidRPr="005E6B7C">
        <w:rPr>
          <w:rFonts w:asciiTheme="majorHAnsi" w:eastAsia="Yu Mincho" w:hAnsiTheme="majorHAnsi" w:cstheme="majorHAnsi"/>
          <w:color w:val="000000" w:themeColor="text1"/>
          <w:spacing w:val="-6"/>
          <w:sz w:val="22"/>
          <w:szCs w:val="22"/>
          <w:lang w:eastAsia="ja-JP"/>
        </w:rPr>
        <w:t xml:space="preserve"> and the correlations of H-11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H </w:t>
      </w:r>
      <w:r w:rsidRPr="005E6B7C">
        <w:rPr>
          <w:rFonts w:asciiTheme="majorHAnsi" w:eastAsia="Yu Mincho" w:hAnsiTheme="majorHAnsi" w:cstheme="majorHAnsi"/>
          <w:color w:val="000000" w:themeColor="text1"/>
          <w:spacing w:val="-6"/>
          <w:sz w:val="22"/>
          <w:szCs w:val="22"/>
          <w:lang w:eastAsia="ja-JP"/>
        </w:rPr>
        <w:t>5.48) with C-9 (</w:t>
      </w:r>
      <w:r w:rsidRPr="005E6B7C">
        <w:rPr>
          <w:rFonts w:asciiTheme="majorHAnsi" w:eastAsia="Yu Mincho" w:hAnsiTheme="majorHAnsi" w:cstheme="majorHAnsi"/>
          <w:i/>
          <w:iCs/>
          <w:color w:val="000000" w:themeColor="text1"/>
          <w:spacing w:val="-6"/>
          <w:sz w:val="22"/>
          <w:szCs w:val="22"/>
          <w:lang w:eastAsia="ja-JP"/>
        </w:rPr>
        <w:t>δ</w:t>
      </w:r>
      <w:r w:rsidRPr="005E6B7C">
        <w:rPr>
          <w:rFonts w:asciiTheme="majorHAnsi" w:eastAsia="Yu Mincho" w:hAnsiTheme="majorHAnsi" w:cstheme="majorHAnsi"/>
          <w:color w:val="000000" w:themeColor="text1"/>
          <w:spacing w:val="-6"/>
          <w:sz w:val="22"/>
          <w:szCs w:val="22"/>
          <w:vertAlign w:val="subscript"/>
          <w:lang w:eastAsia="ja-JP"/>
        </w:rPr>
        <w:t xml:space="preserve">C </w:t>
      </w:r>
      <w:r w:rsidRPr="005E6B7C">
        <w:rPr>
          <w:rFonts w:asciiTheme="majorHAnsi" w:eastAsia="Yu Mincho" w:hAnsiTheme="majorHAnsi" w:cstheme="majorHAnsi"/>
          <w:color w:val="000000" w:themeColor="text1"/>
          <w:spacing w:val="-6"/>
          <w:sz w:val="22"/>
          <w:szCs w:val="22"/>
          <w:lang w:eastAsia="ja-JP"/>
        </w:rPr>
        <w:t xml:space="preserve">146.0) indicated that two double bonds are at C-7/C-8 and C-9/C-11. Based on these spectroscopic data and by comparison to published literature [11], compound </w:t>
      </w:r>
      <w:r w:rsidRPr="005E6B7C">
        <w:rPr>
          <w:rFonts w:asciiTheme="majorHAnsi" w:eastAsia="Yu Mincho" w:hAnsiTheme="majorHAnsi" w:cstheme="majorHAnsi"/>
          <w:b/>
          <w:color w:val="000000" w:themeColor="text1"/>
          <w:spacing w:val="-6"/>
          <w:sz w:val="22"/>
          <w:szCs w:val="22"/>
          <w:lang w:eastAsia="ja-JP"/>
        </w:rPr>
        <w:t>1</w:t>
      </w:r>
      <w:r w:rsidRPr="005E6B7C">
        <w:rPr>
          <w:rFonts w:asciiTheme="majorHAnsi" w:eastAsia="Yu Mincho" w:hAnsiTheme="majorHAnsi" w:cstheme="majorHAnsi"/>
          <w:color w:val="000000" w:themeColor="text1"/>
          <w:spacing w:val="-6"/>
          <w:sz w:val="22"/>
          <w:szCs w:val="22"/>
          <w:lang w:eastAsia="ja-JP"/>
        </w:rPr>
        <w:t xml:space="preserve"> was identified as lanosta-7,9(11),24-triene-3</w:t>
      </w:r>
      <w:r w:rsidRPr="005E6B7C">
        <w:rPr>
          <w:rFonts w:asciiTheme="majorHAnsi" w:eastAsia="Yu Mincho" w:hAnsiTheme="majorHAnsi" w:cstheme="majorHAnsi"/>
          <w:i/>
          <w:color w:val="000000" w:themeColor="text1"/>
          <w:spacing w:val="-6"/>
          <w:sz w:val="22"/>
          <w:szCs w:val="22"/>
          <w:lang w:eastAsia="ja-JP"/>
        </w:rPr>
        <w:t>β</w:t>
      </w:r>
      <w:r w:rsidRPr="005E6B7C">
        <w:rPr>
          <w:rFonts w:asciiTheme="majorHAnsi" w:eastAsia="Yu Mincho" w:hAnsiTheme="majorHAnsi" w:cstheme="majorHAnsi"/>
          <w:color w:val="000000" w:themeColor="text1"/>
          <w:spacing w:val="-6"/>
          <w:sz w:val="22"/>
          <w:szCs w:val="22"/>
          <w:lang w:eastAsia="ja-JP"/>
        </w:rPr>
        <w:t xml:space="preserve">,26-diol and named ganodermadiol. This compound was </w:t>
      </w:r>
      <w:r w:rsidRPr="005E6B7C">
        <w:rPr>
          <w:rFonts w:asciiTheme="majorHAnsi" w:eastAsia="Arial" w:hAnsiTheme="majorHAnsi" w:cstheme="majorHAnsi"/>
          <w:color w:val="000000" w:themeColor="text1"/>
          <w:spacing w:val="-6"/>
          <w:sz w:val="22"/>
          <w:szCs w:val="22"/>
          <w:lang w:eastAsia="ja-JP"/>
        </w:rPr>
        <w:t xml:space="preserve">isolated from </w:t>
      </w:r>
      <w:r w:rsidRPr="005E6B7C">
        <w:rPr>
          <w:rFonts w:asciiTheme="majorHAnsi" w:eastAsia="Yu Mincho" w:hAnsiTheme="majorHAnsi" w:cstheme="majorHAnsi"/>
          <w:i/>
          <w:color w:val="000000" w:themeColor="text1"/>
          <w:spacing w:val="-6"/>
          <w:sz w:val="22"/>
          <w:szCs w:val="22"/>
          <w:lang w:eastAsia="ja-JP"/>
        </w:rPr>
        <w:t>G</w:t>
      </w:r>
      <w:r w:rsidRPr="005E6B7C">
        <w:rPr>
          <w:rFonts w:asciiTheme="majorHAnsi" w:eastAsia="Yu Mincho" w:hAnsiTheme="majorHAnsi" w:cstheme="majorHAnsi"/>
          <w:color w:val="000000" w:themeColor="text1"/>
          <w:spacing w:val="-6"/>
          <w:sz w:val="22"/>
          <w:szCs w:val="22"/>
          <w:lang w:eastAsia="ja-JP"/>
        </w:rPr>
        <w:t xml:space="preserve">. </w:t>
      </w:r>
      <w:r w:rsidRPr="005E6B7C">
        <w:rPr>
          <w:rFonts w:asciiTheme="majorHAnsi" w:eastAsia="Yu Mincho" w:hAnsiTheme="majorHAnsi" w:cstheme="majorHAnsi"/>
          <w:i/>
          <w:color w:val="000000" w:themeColor="text1"/>
          <w:spacing w:val="-6"/>
          <w:sz w:val="22"/>
          <w:szCs w:val="22"/>
          <w:lang w:eastAsia="ja-JP"/>
        </w:rPr>
        <w:t>multipileum</w:t>
      </w:r>
      <w:r w:rsidRPr="005E6B7C">
        <w:rPr>
          <w:rFonts w:asciiTheme="majorHAnsi" w:eastAsia="Arial" w:hAnsiTheme="majorHAnsi" w:cstheme="majorHAnsi"/>
          <w:color w:val="000000" w:themeColor="text1"/>
          <w:spacing w:val="-6"/>
          <w:sz w:val="22"/>
          <w:szCs w:val="22"/>
          <w:lang w:eastAsia="ja-JP"/>
        </w:rPr>
        <w:t xml:space="preserve"> </w:t>
      </w:r>
      <w:r w:rsidRPr="005E6B7C">
        <w:rPr>
          <w:rFonts w:asciiTheme="majorHAnsi" w:eastAsia="Yu Mincho" w:hAnsiTheme="majorHAnsi" w:cstheme="majorHAnsi"/>
          <w:color w:val="000000" w:themeColor="text1"/>
          <w:spacing w:val="-6"/>
          <w:sz w:val="22"/>
          <w:szCs w:val="22"/>
          <w:lang w:eastAsia="ja-JP"/>
        </w:rPr>
        <w:t xml:space="preserve">Mei-Juan Li </w:t>
      </w:r>
      <w:r w:rsidRPr="005E6B7C">
        <w:rPr>
          <w:rFonts w:asciiTheme="majorHAnsi" w:eastAsia="Yu Mincho" w:hAnsiTheme="majorHAnsi" w:cstheme="majorHAnsi"/>
          <w:i/>
          <w:color w:val="000000" w:themeColor="text1"/>
          <w:spacing w:val="-6"/>
          <w:sz w:val="22"/>
          <w:szCs w:val="22"/>
          <w:lang w:eastAsia="ja-JP"/>
        </w:rPr>
        <w:t>et al</w:t>
      </w:r>
      <w:r w:rsidRPr="005E6B7C">
        <w:rPr>
          <w:rFonts w:asciiTheme="majorHAnsi" w:eastAsia="Yu Mincho" w:hAnsiTheme="majorHAnsi" w:cstheme="majorHAnsi"/>
          <w:color w:val="000000" w:themeColor="text1"/>
          <w:spacing w:val="-6"/>
          <w:sz w:val="22"/>
          <w:szCs w:val="22"/>
          <w:lang w:eastAsia="ja-JP"/>
        </w:rPr>
        <w:t>. [10]</w:t>
      </w:r>
    </w:p>
    <w:p w14:paraId="7803C9D8" w14:textId="6CB1EFC3" w:rsidR="00E049CB" w:rsidRPr="005E6B7C" w:rsidRDefault="00E049CB" w:rsidP="008C0D47">
      <w:pPr>
        <w:tabs>
          <w:tab w:val="left" w:pos="270"/>
          <w:tab w:val="left" w:pos="540"/>
          <w:tab w:val="left" w:pos="9270"/>
        </w:tabs>
        <w:spacing w:line="231"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 xml:space="preserve">2 </w:t>
      </w:r>
      <w:r w:rsidRPr="005E6B7C">
        <w:rPr>
          <w:rFonts w:asciiTheme="majorHAnsi" w:eastAsia="Yu Mincho" w:hAnsiTheme="majorHAnsi" w:cstheme="majorHAnsi"/>
          <w:color w:val="000000" w:themeColor="text1"/>
          <w:sz w:val="22"/>
          <w:szCs w:val="22"/>
          <w:lang w:eastAsia="ja-JP"/>
        </w:rPr>
        <w:t>was obtained as a white powder. Its molecular formula was determined to be C</w:t>
      </w:r>
      <w:r w:rsidRPr="005E6B7C">
        <w:rPr>
          <w:rFonts w:asciiTheme="majorHAnsi" w:eastAsia="Yu Mincho" w:hAnsiTheme="majorHAnsi" w:cstheme="majorHAnsi"/>
          <w:color w:val="000000" w:themeColor="text1"/>
          <w:sz w:val="22"/>
          <w:szCs w:val="22"/>
          <w:vertAlign w:val="subscript"/>
          <w:lang w:eastAsia="ja-JP"/>
        </w:rPr>
        <w:t>30</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48</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based on the ESI-MS spectrum</w:t>
      </w:r>
      <w:r w:rsidRPr="005E6B7C">
        <w:rPr>
          <w:rFonts w:asciiTheme="majorHAnsi" w:eastAsia="Yu Mincho" w:hAnsiTheme="majorHAnsi" w:cstheme="majorHAnsi"/>
          <w:color w:val="000000" w:themeColor="text1"/>
          <w:spacing w:val="-4"/>
          <w:sz w:val="22"/>
          <w:szCs w:val="22"/>
          <w:lang w:eastAsia="ja-JP"/>
        </w:rPr>
        <w:t xml:space="preserve"> with</w:t>
      </w:r>
      <w:r w:rsidRPr="005E6B7C">
        <w:rPr>
          <w:rFonts w:asciiTheme="majorHAnsi" w:eastAsia="Yu Mincho" w:hAnsiTheme="majorHAnsi" w:cstheme="majorHAnsi"/>
          <w:color w:val="000000" w:themeColor="text1"/>
          <w:sz w:val="22"/>
          <w:szCs w:val="22"/>
          <w:lang w:eastAsia="ja-JP"/>
        </w:rPr>
        <w:t xml:space="preserve"> a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425.50</w:t>
      </w:r>
      <w:r w:rsidRPr="005E6B7C">
        <w:rPr>
          <w:rFonts w:asciiTheme="majorHAnsi" w:eastAsia="Yu Mincho" w:hAnsiTheme="majorHAnsi" w:cstheme="majorHAnsi"/>
          <w:color w:val="000000" w:themeColor="text1"/>
          <w:sz w:val="22"/>
          <w:szCs w:val="22"/>
          <w:shd w:val="clear" w:color="auto" w:fill="FFFFFF"/>
          <w:lang w:eastAsia="ja-JP"/>
        </w:rPr>
        <w:t xml:space="preserve"> [M+H]</w:t>
      </w:r>
      <w:r w:rsidRPr="005E6B7C">
        <w:rPr>
          <w:rFonts w:asciiTheme="majorHAnsi" w:eastAsia="Yu Mincho" w:hAnsiTheme="majorHAnsi" w:cstheme="majorHAnsi"/>
          <w:color w:val="000000" w:themeColor="text1"/>
          <w:sz w:val="22"/>
          <w:szCs w:val="22"/>
          <w:shd w:val="clear" w:color="auto" w:fill="FFFFFF"/>
          <w:vertAlign w:val="superscript"/>
          <w:lang w:eastAsia="ja-JP"/>
        </w:rPr>
        <w:t>+</w:t>
      </w:r>
      <w:r w:rsidRPr="005E6B7C">
        <w:rPr>
          <w:rFonts w:asciiTheme="majorHAnsi" w:eastAsia="Yu Mincho" w:hAnsiTheme="majorHAnsi" w:cstheme="majorHAnsi"/>
          <w:color w:val="000000" w:themeColor="text1"/>
          <w:sz w:val="22"/>
          <w:szCs w:val="22"/>
          <w:shd w:val="clear" w:color="auto" w:fill="FFFFFF"/>
          <w:lang w:eastAsia="ja-JP"/>
        </w:rPr>
        <w:t xml:space="preserve">.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spectra of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lang w:eastAsia="ja-JP"/>
        </w:rPr>
        <w:t xml:space="preserve">were similar to those of </w:t>
      </w:r>
      <w:r w:rsidRPr="005E6B7C">
        <w:rPr>
          <w:rFonts w:asciiTheme="majorHAnsi" w:eastAsia="Times New Roman" w:hAnsiTheme="majorHAnsi" w:cstheme="majorHAnsi"/>
          <w:b/>
          <w:color w:val="000000" w:themeColor="text1"/>
          <w:sz w:val="22"/>
          <w:szCs w:val="22"/>
          <w:lang w:eastAsia="ja-JP"/>
        </w:rPr>
        <w:t>1</w:t>
      </w:r>
      <w:r w:rsidRPr="005E6B7C">
        <w:rPr>
          <w:rFonts w:asciiTheme="majorHAnsi" w:eastAsia="Times New Roman" w:hAnsiTheme="majorHAnsi" w:cstheme="majorHAnsi"/>
          <w:color w:val="000000" w:themeColor="text1"/>
          <w:sz w:val="22"/>
          <w:szCs w:val="22"/>
          <w:lang w:eastAsia="ja-JP"/>
        </w:rPr>
        <w:t>, a</w:t>
      </w:r>
      <w:r w:rsidRPr="005E6B7C">
        <w:rPr>
          <w:rFonts w:asciiTheme="majorHAnsi" w:eastAsia="Yu Mincho" w:hAnsiTheme="majorHAnsi" w:cstheme="majorHAnsi"/>
          <w:color w:val="000000" w:themeColor="text1"/>
          <w:sz w:val="22"/>
          <w:szCs w:val="22"/>
          <w:lang w:eastAsia="ja-JP"/>
        </w:rPr>
        <w:t xml:space="preserve"> lanostane-triterpenoid</w:t>
      </w:r>
      <w:r w:rsidRPr="005E6B7C">
        <w:rPr>
          <w:rFonts w:asciiTheme="majorHAnsi" w:eastAsia="Times New Roman" w:hAnsiTheme="majorHAnsi" w:cstheme="majorHAnsi"/>
          <w:color w:val="000000" w:themeColor="text1"/>
          <w:sz w:val="22"/>
          <w:szCs w:val="22"/>
          <w:lang w:eastAsia="ja-JP"/>
        </w:rPr>
        <w:t xml:space="preserve">, except for a </w:t>
      </w:r>
      <w:r w:rsidRPr="005E6B7C">
        <w:rPr>
          <w:rFonts w:asciiTheme="majorHAnsi" w:eastAsia="Times New Roman" w:hAnsiTheme="majorHAnsi" w:cstheme="majorHAnsi"/>
          <w:color w:val="000000" w:themeColor="text1"/>
          <w:sz w:val="22"/>
          <w:szCs w:val="22"/>
          <w:lang w:eastAsia="ja-JP"/>
        </w:rPr>
        <w:lastRenderedPageBreak/>
        <w:t xml:space="preserve">methyl signal at </w:t>
      </w:r>
      <w:r w:rsidRPr="005E6B7C">
        <w:rPr>
          <w:rFonts w:asciiTheme="majorHAnsi" w:eastAsia="Yu Mincho" w:hAnsiTheme="majorHAnsi" w:cstheme="majorHAnsi"/>
          <w:i/>
          <w:color w:val="000000" w:themeColor="text1"/>
          <w:spacing w:val="-4"/>
          <w:sz w:val="22"/>
          <w:szCs w:val="22"/>
          <w:lang w:val="pt-BR"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 xml:space="preserve">1.69 (H-26). And the proton and carbon signals were identified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 xml:space="preserve">1 and corresponded completely to published spectral data [12],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identified as 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-hydroxy-lanosta-7,9(11),24-triene.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w:t>
      </w:r>
      <w:r w:rsidR="008C0D47" w:rsidRPr="005E6B7C">
        <w:rPr>
          <w:rFonts w:asciiTheme="majorHAnsi" w:eastAsia="Yu Mincho" w:hAnsiTheme="majorHAnsi" w:cstheme="majorHAnsi"/>
          <w:color w:val="000000" w:themeColor="text1"/>
          <w:sz w:val="22"/>
          <w:szCs w:val="22"/>
          <w:lang w:eastAsia="ja-JP"/>
        </w:rPr>
        <w:t xml:space="preserve">isolated for </w:t>
      </w:r>
      <w:r w:rsidRPr="005E6B7C">
        <w:rPr>
          <w:rFonts w:asciiTheme="majorHAnsi" w:eastAsia="Yu Mincho" w:hAnsiTheme="majorHAnsi" w:cstheme="majorHAnsi"/>
          <w:color w:val="000000" w:themeColor="text1"/>
          <w:sz w:val="22"/>
          <w:szCs w:val="22"/>
          <w:lang w:eastAsia="ja-JP"/>
        </w:rPr>
        <w:t xml:space="preserve">the first time from </w:t>
      </w:r>
      <w:r w:rsidRPr="005E6B7C">
        <w:rPr>
          <w:rFonts w:asciiTheme="majorHAnsi" w:eastAsia="Yu Mincho" w:hAnsiTheme="majorHAnsi" w:cstheme="majorHAnsi"/>
          <w:i/>
          <w:color w:val="000000" w:themeColor="text1"/>
          <w:sz w:val="22"/>
          <w:szCs w:val="22"/>
          <w:lang w:eastAsia="ja-JP"/>
        </w:rPr>
        <w:t>G</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multipileum</w:t>
      </w:r>
      <w:r w:rsidRPr="005E6B7C">
        <w:rPr>
          <w:rFonts w:asciiTheme="majorHAnsi" w:eastAsia="Yu Mincho" w:hAnsiTheme="majorHAnsi" w:cstheme="majorHAnsi"/>
          <w:color w:val="000000" w:themeColor="text1"/>
          <w:sz w:val="22"/>
          <w:szCs w:val="22"/>
          <w:lang w:eastAsia="ja-JP"/>
        </w:rPr>
        <w:t>.</w:t>
      </w:r>
    </w:p>
    <w:p w14:paraId="32DCBBDA" w14:textId="7F1BB716" w:rsidR="00A04226" w:rsidRPr="005E6B7C" w:rsidRDefault="00E049CB" w:rsidP="008C0D47">
      <w:pPr>
        <w:tabs>
          <w:tab w:val="left" w:pos="270"/>
          <w:tab w:val="left" w:pos="540"/>
          <w:tab w:val="left" w:pos="9270"/>
        </w:tabs>
        <w:spacing w:line="231"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obtained as a yellow amorphous powder. The ESI-MS spectrum with a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395.4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suggested the molecular formula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as C</w:t>
      </w:r>
      <w:r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44</w:t>
      </w:r>
      <w:r w:rsidRPr="005E6B7C">
        <w:rPr>
          <w:rFonts w:asciiTheme="majorHAnsi" w:eastAsia="Yu Mincho" w:hAnsiTheme="majorHAnsi" w:cstheme="majorHAnsi"/>
          <w:color w:val="000000" w:themeColor="text1"/>
          <w:sz w:val="22"/>
          <w:szCs w:val="22"/>
          <w:lang w:eastAsia="ja-JP"/>
        </w:rPr>
        <w:t xml:space="preserve">O.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H-NMR spectrum of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showed the presence of </w:t>
      </w:r>
      <w:r w:rsidRPr="005E6B7C">
        <w:rPr>
          <w:rFonts w:asciiTheme="majorHAnsi" w:eastAsia="Yu Mincho" w:hAnsiTheme="majorHAnsi" w:cstheme="majorHAnsi"/>
          <w:color w:val="000000" w:themeColor="text1"/>
          <w:spacing w:val="-4"/>
          <w:sz w:val="22"/>
          <w:szCs w:val="22"/>
          <w:lang w:eastAsia="ja-JP"/>
        </w:rPr>
        <w:t xml:space="preserve">6 methyl groups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 xml:space="preserve">1.04 (3H, 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6.4 Hz, H-21), 0.95 (3H, s, H-19), 0.92 (3H, 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7.2 Hz, H-28), 0.84 (3H, 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7.2 Hz, H-27), 0.83 (3H, 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7.2 Hz, H-26), and 0.63 (3H, s, H-18); one hydroxymethine group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 xml:space="preserve">3.62 (1H, dd,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4.4 &amp; 10.6 Hz, H-3); 4 olefinic protons </w:t>
      </w:r>
      <w:r w:rsidRPr="005E6B7C">
        <w:rPr>
          <w:rFonts w:asciiTheme="majorHAnsi" w:eastAsia="Yu Mincho" w:hAnsiTheme="majorHAnsi" w:cstheme="majorHAnsi"/>
          <w:color w:val="000000" w:themeColor="text1"/>
          <w:spacing w:val="-4"/>
          <w:sz w:val="22"/>
          <w:szCs w:val="22"/>
          <w:lang w:eastAsia="ja-JP"/>
        </w:rPr>
        <w:t xml:space="preserve">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 xml:space="preserve">5.57 (1H, dd,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3.1</w:t>
      </w:r>
      <w:r w:rsidR="00F01ADE"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5.4 Hz, H-11), 5.39 (1H, dd,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3.1</w:t>
      </w:r>
      <w:r w:rsidR="00F01ADE"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5.6 Hz, H-7), 5.23 (1H, dd,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7.2 &amp; 15.0 Hz, H-22) and 5.18 (1H, dd,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7.2</w:t>
      </w:r>
      <w:r w:rsidR="00F01ADE"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15.0 Hz, H-23). The </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-configuration of the double bond at C-22/C-23</w:t>
      </w:r>
      <w:r w:rsidR="003F4DBD"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was deduced from the coupling constants </w:t>
      </w:r>
      <w:r w:rsidRPr="005E6B7C">
        <w:rPr>
          <w:rFonts w:asciiTheme="majorHAnsi" w:eastAsia="Yu Mincho" w:hAnsiTheme="majorHAnsi" w:cstheme="majorHAnsi"/>
          <w:i/>
          <w:iCs/>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15.0 Hz of H-22 and H-23.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spectrum displayed 28 carbon signals, including 6 methyl carbon signals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21.1 (C-21), 20.0 (C-27), 19.7 (C-26), 17.6 (C-28), 16.3 (C-19) and 12.1 (C-18); one hydroxymethine carbon signal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 xml:space="preserve">70.5; six olefinic carbon signals at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116.3 (C-7), 139.8 (C-8), 132.0 (C-22), 135.6 (C-23), 141.8 (C-9) and 119.6 (C-11). The HMBC correlations of H-7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5.39</w:t>
      </w:r>
      <w:r w:rsidRPr="005E6B7C">
        <w:rPr>
          <w:rFonts w:asciiTheme="majorHAnsi" w:eastAsia="Yu Mincho" w:hAnsiTheme="majorHAnsi" w:cstheme="majorHAnsi"/>
          <w:color w:val="000000" w:themeColor="text1"/>
          <w:sz w:val="22"/>
          <w:szCs w:val="22"/>
          <w:lang w:eastAsia="ja-JP"/>
        </w:rPr>
        <w:t>) with C-8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139.8) and C-5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46.3); and the correlations of H-11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5.57) with C-12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40.8), C-10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37.1), and C-9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141.8) indicated that two double bonds are at C-7/C-8 and C-9/C-11. Furthermore, the correlations of H-22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5.23) with C-20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40.4) and C-23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135.6); and the correlations of H-23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5.18) with C-22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132.0) and C-24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42.9) confirmed that one olefinic pair is C-22/C-23. Based on the above evidence and by comparison to published literature [13],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identified as (22</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)-ergosta-7,9,22-trien-3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-ol. </w:t>
      </w:r>
    </w:p>
    <w:p w14:paraId="591F6B44" w14:textId="7F390218" w:rsidR="004A4CA6" w:rsidRPr="005E6B7C" w:rsidRDefault="004A4CA6" w:rsidP="008C0D47">
      <w:pPr>
        <w:tabs>
          <w:tab w:val="left" w:pos="270"/>
          <w:tab w:val="left" w:pos="540"/>
          <w:tab w:val="left" w:pos="9270"/>
        </w:tabs>
        <w:spacing w:line="231"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isolated as a white amorphous powder with a melting point 178-180°C.  Its molecular formula was determined as C</w:t>
      </w:r>
      <w:r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44</w:t>
      </w:r>
      <w:r w:rsidRPr="005E6B7C">
        <w:rPr>
          <w:rFonts w:asciiTheme="majorHAnsi" w:eastAsia="Yu Mincho" w:hAnsiTheme="majorHAnsi" w:cstheme="majorHAnsi"/>
          <w:color w:val="000000" w:themeColor="text1"/>
          <w:sz w:val="22"/>
          <w:szCs w:val="22"/>
          <w:lang w:eastAsia="ja-JP"/>
        </w:rPr>
        <w:t xml:space="preserve">O by the ESI-MS at </w:t>
      </w:r>
      <w:r w:rsidRPr="005E6B7C">
        <w:rPr>
          <w:rFonts w:asciiTheme="majorHAnsi" w:eastAsia="Yu Mincho" w:hAnsiTheme="majorHAnsi" w:cstheme="majorHAnsi"/>
          <w:i/>
          <w:color w:val="000000" w:themeColor="text1"/>
          <w:sz w:val="22"/>
          <w:szCs w:val="22"/>
          <w:lang w:eastAsia="ja-JP"/>
        </w:rPr>
        <w:t xml:space="preserve">m/z </w:t>
      </w:r>
      <w:r w:rsidRPr="005E6B7C">
        <w:rPr>
          <w:rFonts w:asciiTheme="majorHAnsi" w:eastAsia="Yu Mincho" w:hAnsiTheme="majorHAnsi" w:cstheme="majorHAnsi"/>
          <w:color w:val="000000" w:themeColor="text1"/>
          <w:sz w:val="22"/>
          <w:szCs w:val="22"/>
          <w:lang w:eastAsia="ja-JP"/>
        </w:rPr>
        <w:t>419.0 [M+Na]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spectra of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lang w:eastAsia="ja-JP"/>
        </w:rPr>
        <w:t xml:space="preserve">were similar to those of </w:t>
      </w:r>
      <w:r w:rsidRPr="005E6B7C">
        <w:rPr>
          <w:rFonts w:asciiTheme="majorHAnsi" w:eastAsia="Times New Roman" w:hAnsiTheme="majorHAnsi" w:cstheme="majorHAnsi"/>
          <w:b/>
          <w:color w:val="000000" w:themeColor="text1"/>
          <w:sz w:val="22"/>
          <w:szCs w:val="22"/>
          <w:lang w:eastAsia="ja-JP"/>
        </w:rPr>
        <w:t>3</w:t>
      </w:r>
      <w:r w:rsidRPr="005E6B7C">
        <w:rPr>
          <w:rFonts w:asciiTheme="majorHAnsi" w:eastAsia="Times New Roman" w:hAnsiTheme="majorHAnsi" w:cstheme="majorHAnsi"/>
          <w:color w:val="000000" w:themeColor="text1"/>
          <w:sz w:val="22"/>
          <w:szCs w:val="22"/>
          <w:lang w:eastAsia="ja-JP"/>
        </w:rPr>
        <w:t xml:space="preserve">, an </w:t>
      </w:r>
      <w:r w:rsidRPr="005E6B7C">
        <w:rPr>
          <w:rFonts w:asciiTheme="majorHAnsi" w:eastAsia="Yu Mincho" w:hAnsiTheme="majorHAnsi" w:cstheme="majorHAnsi"/>
          <w:color w:val="000000" w:themeColor="text1"/>
          <w:sz w:val="22"/>
          <w:szCs w:val="22"/>
          <w:lang w:eastAsia="ja-JP"/>
        </w:rPr>
        <w:t>ergostane-structure</w:t>
      </w:r>
      <w:r w:rsidRPr="005E6B7C">
        <w:rPr>
          <w:rFonts w:asciiTheme="majorHAnsi" w:eastAsia="Times New Roman" w:hAnsiTheme="majorHAnsi" w:cstheme="majorHAnsi"/>
          <w:color w:val="000000" w:themeColor="text1"/>
          <w:sz w:val="22"/>
          <w:szCs w:val="22"/>
          <w:lang w:eastAsia="ja-JP"/>
        </w:rPr>
        <w:t xml:space="preserve">, except for a keton-carbon signal at </w:t>
      </w:r>
      <w:r w:rsidRPr="005E6B7C">
        <w:rPr>
          <w:rFonts w:asciiTheme="majorHAnsi" w:eastAsia="Yu Mincho" w:hAnsiTheme="majorHAnsi" w:cstheme="majorHAnsi"/>
          <w:i/>
          <w:color w:val="000000" w:themeColor="text1"/>
          <w:spacing w:val="-4"/>
          <w:sz w:val="22"/>
          <w:szCs w:val="22"/>
          <w:lang w:val="pt-BR"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 xml:space="preserve">212.0 (C-3) and no olefinic signal at C-9/C-11. And the proton and carbon signals were identified in </w:t>
      </w:r>
      <w:r w:rsidR="008C0D47" w:rsidRPr="005E6B7C">
        <w:rPr>
          <w:rFonts w:asciiTheme="majorHAnsi" w:eastAsia="Yu Mincho" w:hAnsiTheme="majorHAnsi" w:cstheme="majorHAnsi"/>
          <w:color w:val="000000" w:themeColor="text1"/>
          <w:sz w:val="22"/>
          <w:szCs w:val="22"/>
          <w:lang w:eastAsia="ja-JP"/>
        </w:rPr>
        <w:t>T</w:t>
      </w:r>
      <w:r w:rsidRPr="005E6B7C">
        <w:rPr>
          <w:rFonts w:asciiTheme="majorHAnsi" w:eastAsia="Yu Mincho" w:hAnsiTheme="majorHAnsi" w:cstheme="majorHAnsi"/>
          <w:color w:val="000000" w:themeColor="text1"/>
          <w:sz w:val="22"/>
          <w:szCs w:val="22"/>
          <w:lang w:eastAsia="ja-JP"/>
        </w:rPr>
        <w:t xml:space="preserve">able 1 and corresponded completely to published spectral data [14],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identified as (22</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 xml:space="preserve">)-ergosta-7,22-dien-3-one. Compound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the first isolated from </w:t>
      </w:r>
      <w:r w:rsidRPr="005E6B7C">
        <w:rPr>
          <w:rFonts w:asciiTheme="majorHAnsi" w:eastAsia="Yu Mincho" w:hAnsiTheme="majorHAnsi" w:cstheme="majorHAnsi"/>
          <w:i/>
          <w:color w:val="000000" w:themeColor="text1"/>
          <w:sz w:val="22"/>
          <w:szCs w:val="22"/>
          <w:lang w:eastAsia="ja-JP"/>
        </w:rPr>
        <w:t>G</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multipileum</w:t>
      </w:r>
      <w:r w:rsidRPr="005E6B7C">
        <w:rPr>
          <w:rFonts w:asciiTheme="majorHAnsi" w:eastAsia="Yu Mincho" w:hAnsiTheme="majorHAnsi" w:cstheme="majorHAnsi"/>
          <w:color w:val="000000" w:themeColor="text1"/>
          <w:sz w:val="22"/>
          <w:szCs w:val="22"/>
          <w:lang w:eastAsia="ja-JP"/>
        </w:rPr>
        <w:t>.</w:t>
      </w:r>
    </w:p>
    <w:p w14:paraId="2562FE13" w14:textId="77777777" w:rsidR="004A4CA6" w:rsidRPr="005E6B7C" w:rsidRDefault="004A4CA6" w:rsidP="008C0D47">
      <w:pPr>
        <w:tabs>
          <w:tab w:val="left" w:pos="270"/>
          <w:tab w:val="left" w:pos="540"/>
          <w:tab w:val="left" w:pos="9270"/>
        </w:tabs>
        <w:spacing w:line="231" w:lineRule="exact"/>
        <w:ind w:firstLine="284"/>
        <w:jc w:val="both"/>
        <w:rPr>
          <w:rFonts w:asciiTheme="majorHAnsi" w:eastAsia="Yu Mincho" w:hAnsiTheme="majorHAnsi" w:cstheme="majorHAnsi"/>
          <w:color w:val="000000" w:themeColor="text1"/>
          <w:sz w:val="22"/>
          <w:szCs w:val="22"/>
          <w:lang w:eastAsia="ja-JP"/>
        </w:rPr>
      </w:pPr>
    </w:p>
    <w:p w14:paraId="61B9E7BB" w14:textId="77777777" w:rsidR="00E049CB" w:rsidRPr="005E6B7C" w:rsidRDefault="00A04226" w:rsidP="008C0D47">
      <w:pPr>
        <w:tabs>
          <w:tab w:val="left" w:pos="270"/>
          <w:tab w:val="left" w:pos="540"/>
          <w:tab w:val="left" w:pos="9270"/>
        </w:tabs>
        <w:ind w:right="-20"/>
        <w:contextualSpacing/>
        <w:jc w:val="both"/>
        <w:rPr>
          <w:rFonts w:asciiTheme="majorHAnsi" w:eastAsia="Yu Mincho" w:hAnsiTheme="majorHAnsi" w:cstheme="majorHAnsi"/>
          <w:color w:val="000000" w:themeColor="text1"/>
          <w:spacing w:val="-4"/>
          <w:sz w:val="22"/>
          <w:szCs w:val="22"/>
          <w:lang w:val="pt-BR" w:eastAsia="ja-JP"/>
        </w:rPr>
      </w:pPr>
      <w:r w:rsidRPr="005E6B7C">
        <w:rPr>
          <w:rFonts w:asciiTheme="majorHAnsi" w:eastAsia="Yu Mincho" w:hAnsiTheme="majorHAnsi" w:cstheme="majorHAnsi"/>
          <w:color w:val="000000" w:themeColor="text1"/>
          <w:sz w:val="22"/>
          <w:szCs w:val="22"/>
          <w:lang w:eastAsia="ja-JP"/>
        </w:rPr>
        <w:object w:dxaOrig="6192" w:dyaOrig="2266" w14:anchorId="670A0485">
          <v:shape id="_x0000_i1028" type="#_x0000_t75" style="width:218.9pt;height:79.3pt" o:ole="">
            <v:imagedata r:id="rId31" o:title=""/>
          </v:shape>
          <o:OLEObject Type="Embed" ProgID="ChemDraw.Document.6.0" ShapeID="_x0000_i1028" DrawAspect="Content" ObjectID="_1836572950" r:id="rId32"/>
        </w:object>
      </w:r>
    </w:p>
    <w:p w14:paraId="33FBE00E" w14:textId="77777777" w:rsidR="00E049CB" w:rsidRPr="005E6B7C" w:rsidRDefault="00E049CB" w:rsidP="008C0D47">
      <w:pPr>
        <w:tabs>
          <w:tab w:val="left" w:pos="270"/>
          <w:tab w:val="left" w:pos="540"/>
          <w:tab w:val="left" w:pos="9270"/>
        </w:tabs>
        <w:spacing w:before="120" w:line="230" w:lineRule="exact"/>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Fig. 2.</w:t>
      </w:r>
      <w:r w:rsidRPr="005E6B7C">
        <w:rPr>
          <w:rFonts w:asciiTheme="majorHAnsi" w:eastAsia="Yu Mincho" w:hAnsiTheme="majorHAnsi" w:cstheme="majorHAnsi"/>
          <w:color w:val="000000" w:themeColor="text1"/>
          <w:sz w:val="18"/>
          <w:szCs w:val="18"/>
          <w:lang w:eastAsia="ja-JP"/>
        </w:rPr>
        <w:t xml:space="preserve"> The HMBC correlations of compounds </w:t>
      </w:r>
      <w:r w:rsidRPr="005E6B7C">
        <w:rPr>
          <w:rFonts w:asciiTheme="majorHAnsi" w:eastAsia="Yu Mincho" w:hAnsiTheme="majorHAnsi" w:cstheme="majorHAnsi"/>
          <w:b/>
          <w:color w:val="000000" w:themeColor="text1"/>
          <w:sz w:val="18"/>
          <w:szCs w:val="18"/>
          <w:lang w:eastAsia="ja-JP"/>
        </w:rPr>
        <w:t xml:space="preserve">1 </w:t>
      </w:r>
      <w:r w:rsidRPr="005E6B7C">
        <w:rPr>
          <w:rFonts w:asciiTheme="majorHAnsi" w:eastAsia="Yu Mincho" w:hAnsiTheme="majorHAnsi" w:cstheme="majorHAnsi"/>
          <w:color w:val="000000" w:themeColor="text1"/>
          <w:sz w:val="18"/>
          <w:szCs w:val="18"/>
          <w:lang w:eastAsia="ja-JP"/>
        </w:rPr>
        <w:t xml:space="preserve">and </w:t>
      </w:r>
      <w:r w:rsidRPr="005E6B7C">
        <w:rPr>
          <w:rFonts w:asciiTheme="majorHAnsi" w:eastAsia="Yu Mincho" w:hAnsiTheme="majorHAnsi" w:cstheme="majorHAnsi"/>
          <w:b/>
          <w:color w:val="000000" w:themeColor="text1"/>
          <w:sz w:val="18"/>
          <w:szCs w:val="18"/>
          <w:lang w:eastAsia="ja-JP"/>
        </w:rPr>
        <w:t>3</w:t>
      </w:r>
    </w:p>
    <w:p w14:paraId="60CF3ADF" w14:textId="77777777" w:rsidR="00E049CB" w:rsidRPr="005E6B7C" w:rsidRDefault="00E049CB" w:rsidP="008C0D47">
      <w:pPr>
        <w:tabs>
          <w:tab w:val="left" w:pos="270"/>
          <w:tab w:val="left" w:pos="540"/>
          <w:tab w:val="left" w:pos="9270"/>
        </w:tabs>
        <w:spacing w:line="230" w:lineRule="exact"/>
        <w:ind w:firstLine="284"/>
        <w:jc w:val="both"/>
        <w:rPr>
          <w:rFonts w:asciiTheme="majorHAnsi" w:eastAsia="Yu Mincho" w:hAnsiTheme="majorHAnsi" w:cstheme="majorHAnsi"/>
          <w:color w:val="000000" w:themeColor="text1"/>
          <w:sz w:val="22"/>
          <w:szCs w:val="22"/>
          <w:lang w:eastAsia="ja-JP"/>
        </w:rPr>
      </w:pPr>
    </w:p>
    <w:p w14:paraId="09126949" w14:textId="77777777" w:rsidR="00E049CB" w:rsidRPr="005E6B7C" w:rsidRDefault="00E049CB" w:rsidP="008C0D47">
      <w:pPr>
        <w:tabs>
          <w:tab w:val="left" w:pos="270"/>
          <w:tab w:val="left" w:pos="540"/>
          <w:tab w:val="left" w:pos="9270"/>
        </w:tabs>
        <w:spacing w:line="230" w:lineRule="exact"/>
        <w:ind w:firstLine="284"/>
        <w:jc w:val="both"/>
        <w:rPr>
          <w:rFonts w:asciiTheme="majorHAnsi" w:eastAsia="Yu Mincho" w:hAnsiTheme="majorHAnsi" w:cstheme="majorHAnsi"/>
          <w: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Compound </w:t>
      </w:r>
      <w:r w:rsidRPr="005E6B7C">
        <w:rPr>
          <w:rFonts w:asciiTheme="majorHAnsi" w:eastAsia="Yu Mincho" w:hAnsiTheme="majorHAnsi" w:cstheme="majorHAnsi"/>
          <w:b/>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t xml:space="preserve"> was obtained as a white amorphous powder. The ESI-MS spectrum with a peak at </w:t>
      </w:r>
      <w:r w:rsidRPr="005E6B7C">
        <w:rPr>
          <w:rFonts w:asciiTheme="majorHAnsi" w:eastAsia="Yu Mincho" w:hAnsiTheme="majorHAnsi" w:cstheme="majorHAnsi"/>
          <w:i/>
          <w:color w:val="000000" w:themeColor="text1"/>
          <w:spacing w:val="-4"/>
          <w:sz w:val="22"/>
          <w:szCs w:val="22"/>
          <w:lang w:eastAsia="ja-JP"/>
        </w:rPr>
        <w:t>m/z</w:t>
      </w:r>
      <w:r w:rsidRPr="005E6B7C">
        <w:rPr>
          <w:rFonts w:asciiTheme="majorHAnsi" w:eastAsia="Yu Mincho" w:hAnsiTheme="majorHAnsi" w:cstheme="majorHAnsi"/>
          <w:color w:val="000000" w:themeColor="text1"/>
          <w:spacing w:val="-4"/>
          <w:sz w:val="22"/>
          <w:szCs w:val="22"/>
          <w:lang w:eastAsia="ja-JP"/>
        </w:rPr>
        <w:t xml:space="preserve"> 467.5 [M-H]</w:t>
      </w:r>
      <w:r w:rsidRPr="005E6B7C">
        <w:rPr>
          <w:rFonts w:asciiTheme="majorHAnsi" w:eastAsia="Yu Mincho" w:hAnsiTheme="majorHAnsi" w:cstheme="majorHAnsi"/>
          <w:color w:val="000000" w:themeColor="text1"/>
          <w:spacing w:val="-4"/>
          <w:sz w:val="22"/>
          <w:szCs w:val="22"/>
          <w:vertAlign w:val="superscript"/>
          <w:lang w:eastAsia="ja-JP"/>
        </w:rPr>
        <w:t>-</w:t>
      </w:r>
      <w:r w:rsidRPr="005E6B7C">
        <w:rPr>
          <w:rFonts w:asciiTheme="majorHAnsi" w:eastAsia="Yu Mincho" w:hAnsiTheme="majorHAnsi" w:cstheme="majorHAnsi"/>
          <w:color w:val="000000" w:themeColor="text1"/>
          <w:spacing w:val="-4"/>
          <w:sz w:val="22"/>
          <w:szCs w:val="22"/>
          <w:lang w:eastAsia="ja-JP"/>
        </w:rPr>
        <w:t xml:space="preserve"> suggested the molecular formula of </w:t>
      </w:r>
      <w:r w:rsidRPr="005E6B7C">
        <w:rPr>
          <w:rFonts w:asciiTheme="majorHAnsi" w:eastAsia="Yu Mincho" w:hAnsiTheme="majorHAnsi" w:cstheme="majorHAnsi"/>
          <w:b/>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t xml:space="preserve"> as C</w:t>
      </w:r>
      <w:r w:rsidRPr="005E6B7C">
        <w:rPr>
          <w:rFonts w:asciiTheme="majorHAnsi" w:eastAsia="Yu Mincho" w:hAnsiTheme="majorHAnsi" w:cstheme="majorHAnsi"/>
          <w:color w:val="000000" w:themeColor="text1"/>
          <w:spacing w:val="-4"/>
          <w:sz w:val="22"/>
          <w:szCs w:val="22"/>
          <w:vertAlign w:val="subscript"/>
          <w:lang w:eastAsia="ja-JP"/>
        </w:rPr>
        <w:t>30</w:t>
      </w:r>
      <w:r w:rsidRPr="005E6B7C">
        <w:rPr>
          <w:rFonts w:asciiTheme="majorHAnsi" w:eastAsia="Yu Mincho" w:hAnsiTheme="majorHAnsi" w:cstheme="majorHAnsi"/>
          <w:color w:val="000000" w:themeColor="text1"/>
          <w:spacing w:val="-4"/>
          <w:sz w:val="22"/>
          <w:szCs w:val="22"/>
          <w:lang w:eastAsia="ja-JP"/>
        </w:rPr>
        <w:t>H</w:t>
      </w:r>
      <w:r w:rsidRPr="005E6B7C">
        <w:rPr>
          <w:rFonts w:asciiTheme="majorHAnsi" w:eastAsia="Yu Mincho" w:hAnsiTheme="majorHAnsi" w:cstheme="majorHAnsi"/>
          <w:color w:val="000000" w:themeColor="text1"/>
          <w:spacing w:val="-4"/>
          <w:sz w:val="22"/>
          <w:szCs w:val="22"/>
          <w:vertAlign w:val="subscript"/>
          <w:lang w:eastAsia="ja-JP"/>
        </w:rPr>
        <w:t>60</w:t>
      </w:r>
      <w:r w:rsidRPr="005E6B7C">
        <w:rPr>
          <w:rFonts w:asciiTheme="majorHAnsi" w:eastAsia="Yu Mincho" w:hAnsiTheme="majorHAnsi" w:cstheme="majorHAnsi"/>
          <w:color w:val="000000" w:themeColor="text1"/>
          <w:spacing w:val="-4"/>
          <w:sz w:val="22"/>
          <w:szCs w:val="22"/>
          <w:lang w:eastAsia="ja-JP"/>
        </w:rPr>
        <w:t>O</w:t>
      </w:r>
      <w:r w:rsidRPr="005E6B7C">
        <w:rPr>
          <w:rFonts w:asciiTheme="majorHAnsi" w:eastAsia="Yu Mincho" w:hAnsiTheme="majorHAnsi" w:cstheme="majorHAnsi"/>
          <w:color w:val="000000" w:themeColor="text1"/>
          <w:spacing w:val="-4"/>
          <w:sz w:val="22"/>
          <w:szCs w:val="22"/>
          <w:vertAlign w:val="subscript"/>
          <w:lang w:eastAsia="ja-JP"/>
        </w:rPr>
        <w:t>3</w:t>
      </w:r>
      <w:r w:rsidRPr="005E6B7C">
        <w:rPr>
          <w:rFonts w:asciiTheme="majorHAnsi" w:eastAsia="Yu Mincho" w:hAnsiTheme="majorHAnsi" w:cstheme="majorHAnsi"/>
          <w:color w:val="000000" w:themeColor="text1"/>
          <w:spacing w:val="-4"/>
          <w:sz w:val="22"/>
          <w:szCs w:val="22"/>
          <w:lang w:eastAsia="ja-JP"/>
        </w:rPr>
        <w:t xml:space="preserve">. The </w:t>
      </w:r>
      <w:r w:rsidRPr="005E6B7C">
        <w:rPr>
          <w:rFonts w:asciiTheme="majorHAnsi" w:eastAsia="Yu Mincho" w:hAnsiTheme="majorHAnsi" w:cstheme="majorHAnsi"/>
          <w:color w:val="000000" w:themeColor="text1"/>
          <w:spacing w:val="-4"/>
          <w:sz w:val="22"/>
          <w:szCs w:val="22"/>
          <w:vertAlign w:val="superscript"/>
          <w:lang w:eastAsia="ja-JP"/>
        </w:rPr>
        <w:t>1</w:t>
      </w:r>
      <w:r w:rsidRPr="005E6B7C">
        <w:rPr>
          <w:rFonts w:asciiTheme="majorHAnsi" w:eastAsia="Yu Mincho" w:hAnsiTheme="majorHAnsi" w:cstheme="majorHAnsi"/>
          <w:color w:val="000000" w:themeColor="text1"/>
          <w:spacing w:val="-4"/>
          <w:sz w:val="22"/>
          <w:szCs w:val="22"/>
          <w:lang w:eastAsia="ja-JP"/>
        </w:rPr>
        <w:t xml:space="preserve">H-NMR spectrum of </w:t>
      </w:r>
      <w:r w:rsidRPr="005E6B7C">
        <w:rPr>
          <w:rFonts w:asciiTheme="majorHAnsi" w:eastAsia="Yu Mincho" w:hAnsiTheme="majorHAnsi" w:cstheme="majorHAnsi"/>
          <w:b/>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t xml:space="preserve"> showed the presence of one </w:t>
      </w:r>
      <w:r w:rsidRPr="005E6B7C">
        <w:rPr>
          <w:rFonts w:asciiTheme="majorHAnsi" w:eastAsia="Yu Mincho" w:hAnsiTheme="majorHAnsi" w:cstheme="majorHAnsi"/>
          <w:i/>
          <w:color w:val="000000" w:themeColor="text1"/>
          <w:spacing w:val="-4"/>
          <w:sz w:val="22"/>
          <w:szCs w:val="22"/>
          <w:lang w:eastAsia="ja-JP"/>
        </w:rPr>
        <w:t>triplet</w:t>
      </w:r>
      <w:r w:rsidRPr="005E6B7C">
        <w:rPr>
          <w:rFonts w:asciiTheme="majorHAnsi" w:eastAsia="Yu Mincho" w:hAnsiTheme="majorHAnsi" w:cstheme="majorHAnsi"/>
          <w:color w:val="000000" w:themeColor="text1"/>
          <w:spacing w:val="-4"/>
          <w:sz w:val="22"/>
          <w:szCs w:val="22"/>
          <w:lang w:eastAsia="ja-JP"/>
        </w:rPr>
        <w:t xml:space="preserve"> methyl group at </w:t>
      </w:r>
      <w:r w:rsidRPr="005E6B7C">
        <w:rPr>
          <w:rFonts w:asciiTheme="majorHAnsi" w:eastAsia="Yu Mincho" w:hAnsiTheme="majorHAnsi" w:cstheme="majorHAnsi"/>
          <w:i/>
          <w:iCs/>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H </w:t>
      </w:r>
      <w:r w:rsidRPr="005E6B7C">
        <w:rPr>
          <w:rFonts w:asciiTheme="majorHAnsi" w:eastAsia="Yu Mincho" w:hAnsiTheme="majorHAnsi" w:cstheme="majorHAnsi"/>
          <w:color w:val="000000" w:themeColor="text1"/>
          <w:spacing w:val="-4"/>
          <w:sz w:val="22"/>
          <w:szCs w:val="22"/>
          <w:lang w:eastAsia="ja-JP"/>
        </w:rPr>
        <w:t xml:space="preserve">0.88 (3H, t, </w:t>
      </w:r>
      <w:r w:rsidRPr="005E6B7C">
        <w:rPr>
          <w:rFonts w:asciiTheme="majorHAnsi" w:eastAsia="Yu Mincho" w:hAnsiTheme="majorHAnsi" w:cstheme="majorHAnsi"/>
          <w:i/>
          <w:color w:val="000000" w:themeColor="text1"/>
          <w:spacing w:val="-4"/>
          <w:sz w:val="22"/>
          <w:szCs w:val="22"/>
          <w:lang w:eastAsia="ja-JP"/>
        </w:rPr>
        <w:t xml:space="preserve">J </w:t>
      </w:r>
      <w:r w:rsidRPr="005E6B7C">
        <w:rPr>
          <w:rFonts w:asciiTheme="majorHAnsi" w:eastAsia="Yu Mincho" w:hAnsiTheme="majorHAnsi" w:cstheme="majorHAnsi"/>
          <w:color w:val="000000" w:themeColor="text1"/>
          <w:spacing w:val="-4"/>
          <w:sz w:val="22"/>
          <w:szCs w:val="22"/>
          <w:lang w:eastAsia="ja-JP"/>
        </w:rPr>
        <w:t xml:space="preserve">=14.0 Hz, H-29); one </w:t>
      </w:r>
      <w:r w:rsidRPr="005E6B7C">
        <w:rPr>
          <w:rFonts w:asciiTheme="majorHAnsi" w:eastAsia="Yu Mincho" w:hAnsiTheme="majorHAnsi" w:cstheme="majorHAnsi"/>
          <w:i/>
          <w:color w:val="000000" w:themeColor="text1"/>
          <w:spacing w:val="-4"/>
          <w:sz w:val="22"/>
          <w:szCs w:val="22"/>
          <w:lang w:eastAsia="ja-JP"/>
        </w:rPr>
        <w:t>singlet</w:t>
      </w:r>
      <w:r w:rsidRPr="005E6B7C">
        <w:rPr>
          <w:rFonts w:asciiTheme="majorHAnsi" w:eastAsia="Yu Mincho" w:hAnsiTheme="majorHAnsi" w:cstheme="majorHAnsi"/>
          <w:color w:val="000000" w:themeColor="text1"/>
          <w:spacing w:val="-4"/>
          <w:sz w:val="22"/>
          <w:szCs w:val="22"/>
          <w:lang w:eastAsia="ja-JP"/>
        </w:rPr>
        <w:t xml:space="preserve"> methoxy group at </w:t>
      </w:r>
      <w:r w:rsidRPr="005E6B7C">
        <w:rPr>
          <w:rFonts w:asciiTheme="majorHAnsi" w:eastAsia="Yu Mincho" w:hAnsiTheme="majorHAnsi" w:cstheme="majorHAnsi"/>
          <w:i/>
          <w:iCs/>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H </w:t>
      </w:r>
      <w:r w:rsidRPr="005E6B7C">
        <w:rPr>
          <w:rFonts w:asciiTheme="majorHAnsi" w:eastAsia="Yu Mincho" w:hAnsiTheme="majorHAnsi" w:cstheme="majorHAnsi"/>
          <w:color w:val="000000" w:themeColor="text1"/>
          <w:spacing w:val="-4"/>
          <w:sz w:val="22"/>
          <w:szCs w:val="22"/>
          <w:lang w:eastAsia="ja-JP"/>
        </w:rPr>
        <w:t xml:space="preserve">3.79; 26 methylene groups at </w:t>
      </w:r>
      <w:r w:rsidRPr="005E6B7C">
        <w:rPr>
          <w:rFonts w:asciiTheme="majorHAnsi" w:eastAsia="Yu Mincho" w:hAnsiTheme="majorHAnsi" w:cstheme="majorHAnsi"/>
          <w:i/>
          <w:iCs/>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H </w:t>
      </w:r>
      <w:r w:rsidRPr="005E6B7C">
        <w:rPr>
          <w:rFonts w:asciiTheme="majorHAnsi" w:eastAsia="Yu Mincho" w:hAnsiTheme="majorHAnsi" w:cstheme="majorHAnsi"/>
          <w:color w:val="000000" w:themeColor="text1"/>
          <w:spacing w:val="-4"/>
          <w:sz w:val="22"/>
          <w:szCs w:val="22"/>
          <w:lang w:eastAsia="ja-JP"/>
        </w:rPr>
        <w:t xml:space="preserve">to 1.26 from 1.80; and one hydroxymethine group at </w:t>
      </w:r>
      <w:r w:rsidRPr="005E6B7C">
        <w:rPr>
          <w:rFonts w:asciiTheme="majorHAnsi" w:eastAsia="Yu Mincho" w:hAnsiTheme="majorHAnsi" w:cstheme="majorHAnsi"/>
          <w:i/>
          <w:iCs/>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H </w:t>
      </w:r>
      <w:r w:rsidRPr="005E6B7C">
        <w:rPr>
          <w:rFonts w:asciiTheme="majorHAnsi" w:eastAsia="Yu Mincho" w:hAnsiTheme="majorHAnsi" w:cstheme="majorHAnsi"/>
          <w:color w:val="000000" w:themeColor="text1"/>
          <w:spacing w:val="-4"/>
          <w:sz w:val="22"/>
          <w:szCs w:val="22"/>
          <w:lang w:eastAsia="ja-JP"/>
        </w:rPr>
        <w:t xml:space="preserve">4.19 (1H, dd, </w:t>
      </w:r>
      <w:r w:rsidRPr="005E6B7C">
        <w:rPr>
          <w:rFonts w:asciiTheme="majorHAnsi" w:eastAsia="Yu Mincho" w:hAnsiTheme="majorHAnsi" w:cstheme="majorHAnsi"/>
          <w:i/>
          <w:color w:val="000000" w:themeColor="text1"/>
          <w:spacing w:val="-4"/>
          <w:sz w:val="22"/>
          <w:szCs w:val="22"/>
          <w:lang w:eastAsia="ja-JP"/>
        </w:rPr>
        <w:t xml:space="preserve">J </w:t>
      </w:r>
      <w:r w:rsidRPr="005E6B7C">
        <w:rPr>
          <w:rFonts w:asciiTheme="majorHAnsi" w:eastAsia="Yu Mincho" w:hAnsiTheme="majorHAnsi" w:cstheme="majorHAnsi"/>
          <w:color w:val="000000" w:themeColor="text1"/>
          <w:spacing w:val="-4"/>
          <w:sz w:val="22"/>
          <w:szCs w:val="22"/>
          <w:lang w:eastAsia="ja-JP"/>
        </w:rPr>
        <w:t xml:space="preserve">= 4.0 &amp; 7.5 Hz, H-2). The carbon signals in the </w:t>
      </w:r>
      <w:r w:rsidRPr="005E6B7C">
        <w:rPr>
          <w:rFonts w:asciiTheme="majorHAnsi" w:eastAsia="Yu Mincho" w:hAnsiTheme="majorHAnsi" w:cstheme="majorHAnsi"/>
          <w:color w:val="000000" w:themeColor="text1"/>
          <w:spacing w:val="-4"/>
          <w:sz w:val="22"/>
          <w:szCs w:val="22"/>
          <w:vertAlign w:val="superscript"/>
          <w:lang w:eastAsia="ja-JP"/>
        </w:rPr>
        <w:t>13</w:t>
      </w:r>
      <w:r w:rsidRPr="005E6B7C">
        <w:rPr>
          <w:rFonts w:asciiTheme="majorHAnsi" w:eastAsia="Yu Mincho" w:hAnsiTheme="majorHAnsi" w:cstheme="majorHAnsi"/>
          <w:color w:val="000000" w:themeColor="text1"/>
          <w:spacing w:val="-4"/>
          <w:sz w:val="22"/>
          <w:szCs w:val="22"/>
          <w:lang w:eastAsia="ja-JP"/>
        </w:rPr>
        <w:t xml:space="preserve">C-NMR and DEPT spectra displayed 30 carbon signals and corresponded completely to the proton signals in the </w:t>
      </w:r>
      <w:r w:rsidRPr="005E6B7C">
        <w:rPr>
          <w:rFonts w:asciiTheme="majorHAnsi" w:eastAsia="Yu Mincho" w:hAnsiTheme="majorHAnsi" w:cstheme="majorHAnsi"/>
          <w:color w:val="000000" w:themeColor="text1"/>
          <w:spacing w:val="-4"/>
          <w:sz w:val="22"/>
          <w:szCs w:val="22"/>
          <w:vertAlign w:val="superscript"/>
          <w:lang w:eastAsia="ja-JP"/>
        </w:rPr>
        <w:t>1</w:t>
      </w:r>
      <w:r w:rsidRPr="005E6B7C">
        <w:rPr>
          <w:rFonts w:asciiTheme="majorHAnsi" w:eastAsia="Yu Mincho" w:hAnsiTheme="majorHAnsi" w:cstheme="majorHAnsi"/>
          <w:color w:val="000000" w:themeColor="text1"/>
          <w:spacing w:val="-4"/>
          <w:sz w:val="22"/>
          <w:szCs w:val="22"/>
          <w:lang w:eastAsia="ja-JP"/>
        </w:rPr>
        <w:t xml:space="preserve">H-NMR spectrum, including: one methyl signal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C</w:t>
      </w:r>
      <w:r w:rsidRPr="005E6B7C">
        <w:rPr>
          <w:rFonts w:asciiTheme="majorHAnsi" w:eastAsia="Yu Mincho" w:hAnsiTheme="majorHAnsi" w:cstheme="majorHAnsi"/>
          <w:color w:val="000000" w:themeColor="text1"/>
          <w:spacing w:val="-4"/>
          <w:sz w:val="22"/>
          <w:szCs w:val="22"/>
          <w:lang w:eastAsia="ja-JP"/>
        </w:rPr>
        <w:t xml:space="preserve"> 14.1; one methoxy signal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C </w:t>
      </w:r>
      <w:r w:rsidRPr="005E6B7C">
        <w:rPr>
          <w:rFonts w:asciiTheme="majorHAnsi" w:eastAsia="Yu Mincho" w:hAnsiTheme="majorHAnsi" w:cstheme="majorHAnsi"/>
          <w:color w:val="000000" w:themeColor="text1"/>
          <w:spacing w:val="-4"/>
          <w:sz w:val="22"/>
          <w:szCs w:val="22"/>
          <w:lang w:eastAsia="ja-JP"/>
        </w:rPr>
        <w:t xml:space="preserve">52.5; 26 methylene signals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C </w:t>
      </w:r>
      <w:r w:rsidRPr="005E6B7C">
        <w:rPr>
          <w:rFonts w:asciiTheme="majorHAnsi" w:eastAsia="Yu Mincho" w:hAnsiTheme="majorHAnsi" w:cstheme="majorHAnsi"/>
          <w:color w:val="000000" w:themeColor="text1"/>
          <w:spacing w:val="-4"/>
          <w:sz w:val="22"/>
          <w:szCs w:val="22"/>
          <w:lang w:eastAsia="ja-JP"/>
        </w:rPr>
        <w:t xml:space="preserve">22.7 to 34.5; and one hydroxymethine signal at </w:t>
      </w:r>
      <w:r w:rsidRPr="005E6B7C">
        <w:rPr>
          <w:rFonts w:asciiTheme="majorHAnsi" w:eastAsia="Yu Mincho" w:hAnsiTheme="majorHAnsi" w:cstheme="majorHAnsi"/>
          <w:i/>
          <w:color w:val="000000" w:themeColor="text1"/>
          <w:spacing w:val="-4"/>
          <w:sz w:val="22"/>
          <w:szCs w:val="22"/>
          <w:lang w:eastAsia="ja-JP"/>
        </w:rPr>
        <w:t>δ</w:t>
      </w:r>
      <w:r w:rsidRPr="005E6B7C">
        <w:rPr>
          <w:rFonts w:asciiTheme="majorHAnsi" w:eastAsia="Yu Mincho" w:hAnsiTheme="majorHAnsi" w:cstheme="majorHAnsi"/>
          <w:color w:val="000000" w:themeColor="text1"/>
          <w:spacing w:val="-4"/>
          <w:sz w:val="22"/>
          <w:szCs w:val="22"/>
          <w:vertAlign w:val="subscript"/>
          <w:lang w:eastAsia="ja-JP"/>
        </w:rPr>
        <w:t xml:space="preserve">C </w:t>
      </w:r>
      <w:r w:rsidRPr="005E6B7C">
        <w:rPr>
          <w:rFonts w:asciiTheme="majorHAnsi" w:eastAsia="Yu Mincho" w:hAnsiTheme="majorHAnsi" w:cstheme="majorHAnsi"/>
          <w:color w:val="000000" w:themeColor="text1"/>
          <w:spacing w:val="-4"/>
          <w:sz w:val="22"/>
          <w:szCs w:val="22"/>
          <w:lang w:eastAsia="ja-JP"/>
        </w:rPr>
        <w:t xml:space="preserve">70.5. Based on the 1D-NMR and MS spectral analysis, and comparison to published literature [15], compound </w:t>
      </w:r>
      <w:r w:rsidRPr="005E6B7C">
        <w:rPr>
          <w:rFonts w:asciiTheme="majorHAnsi" w:eastAsia="Yu Mincho" w:hAnsiTheme="majorHAnsi" w:cstheme="majorHAnsi"/>
          <w:b/>
          <w:color w:val="000000" w:themeColor="text1"/>
          <w:spacing w:val="-4"/>
          <w:sz w:val="22"/>
          <w:szCs w:val="22"/>
          <w:lang w:eastAsia="ja-JP"/>
        </w:rPr>
        <w:t>5</w:t>
      </w:r>
      <w:r w:rsidRPr="005E6B7C">
        <w:rPr>
          <w:rFonts w:asciiTheme="majorHAnsi" w:eastAsia="Yu Mincho" w:hAnsiTheme="majorHAnsi" w:cstheme="majorHAnsi"/>
          <w:color w:val="000000" w:themeColor="text1"/>
          <w:spacing w:val="-4"/>
          <w:sz w:val="22"/>
          <w:szCs w:val="22"/>
          <w:lang w:eastAsia="ja-JP"/>
        </w:rPr>
        <w:t xml:space="preserve"> was identified as methyl 2-hydroxynonacosanoate. </w:t>
      </w:r>
    </w:p>
    <w:p w14:paraId="225DDB0E" w14:textId="42900B25" w:rsidR="00BC3F11" w:rsidRPr="005E6B7C" w:rsidRDefault="00E049CB" w:rsidP="008C0D47">
      <w:pPr>
        <w:tabs>
          <w:tab w:val="left" w:pos="270"/>
          <w:tab w:val="left" w:pos="540"/>
          <w:tab w:val="left" w:pos="9270"/>
        </w:tabs>
        <w:spacing w:line="230" w:lineRule="exact"/>
        <w:ind w:firstLine="284"/>
        <w:jc w:val="both"/>
        <w:rPr>
          <w:rFonts w:asciiTheme="majorHAnsi" w:eastAsia="Arial" w:hAnsiTheme="majorHAnsi" w:cstheme="majorHAnsi"/>
          <w:color w:val="000000" w:themeColor="text1"/>
          <w:spacing w:val="-4"/>
          <w:sz w:val="22"/>
          <w:szCs w:val="22"/>
          <w:lang w:eastAsia="ja-JP"/>
        </w:rPr>
      </w:pPr>
      <w:r w:rsidRPr="005E6B7C">
        <w:rPr>
          <w:rFonts w:asciiTheme="majorHAnsi" w:eastAsia="Arial" w:hAnsiTheme="majorHAnsi" w:cstheme="majorHAnsi"/>
          <w:color w:val="000000" w:themeColor="text1"/>
          <w:spacing w:val="-4"/>
          <w:sz w:val="22"/>
          <w:szCs w:val="22"/>
          <w:lang w:eastAsia="ja-JP"/>
        </w:rPr>
        <w:t>The five compounds (</w:t>
      </w:r>
      <w:r w:rsidRPr="005E6B7C">
        <w:rPr>
          <w:rFonts w:asciiTheme="majorHAnsi" w:eastAsia="Arial" w:hAnsiTheme="majorHAnsi" w:cstheme="majorHAnsi"/>
          <w:b/>
          <w:color w:val="000000" w:themeColor="text1"/>
          <w:spacing w:val="-4"/>
          <w:sz w:val="22"/>
          <w:szCs w:val="22"/>
          <w:lang w:eastAsia="ja-JP"/>
        </w:rPr>
        <w:t>1</w:t>
      </w:r>
      <w:r w:rsidR="003F4DBD" w:rsidRPr="005E6B7C">
        <w:rPr>
          <w:rFonts w:asciiTheme="majorHAnsi" w:eastAsia="Arial" w:hAnsiTheme="majorHAnsi" w:cstheme="majorHAnsi"/>
          <w:color w:val="000000" w:themeColor="text1"/>
          <w:spacing w:val="-4"/>
          <w:sz w:val="22"/>
          <w:szCs w:val="22"/>
          <w:lang w:eastAsia="ja-JP"/>
        </w:rPr>
        <w:t>–</w:t>
      </w:r>
      <w:r w:rsidRPr="005E6B7C">
        <w:rPr>
          <w:rFonts w:asciiTheme="majorHAnsi" w:eastAsia="Arial" w:hAnsiTheme="majorHAnsi" w:cstheme="majorHAnsi"/>
          <w:b/>
          <w:color w:val="000000" w:themeColor="text1"/>
          <w:spacing w:val="-4"/>
          <w:sz w:val="22"/>
          <w:szCs w:val="22"/>
          <w:lang w:eastAsia="ja-JP"/>
        </w:rPr>
        <w:t>5</w:t>
      </w:r>
      <w:r w:rsidRPr="005E6B7C">
        <w:rPr>
          <w:rFonts w:asciiTheme="majorHAnsi" w:eastAsia="Arial" w:hAnsiTheme="majorHAnsi" w:cstheme="majorHAnsi"/>
          <w:color w:val="000000" w:themeColor="text1"/>
          <w:spacing w:val="-4"/>
          <w:sz w:val="22"/>
          <w:szCs w:val="22"/>
          <w:lang w:eastAsia="ja-JP"/>
        </w:rPr>
        <w:t xml:space="preserve">) were isolated for </w:t>
      </w:r>
      <w:r w:rsidRPr="005E6B7C">
        <w:rPr>
          <w:rFonts w:asciiTheme="majorHAnsi" w:eastAsia="Yu Mincho" w:hAnsiTheme="majorHAnsi" w:cstheme="majorHAnsi"/>
          <w:color w:val="000000" w:themeColor="text1"/>
          <w:spacing w:val="-4"/>
          <w:sz w:val="22"/>
          <w:szCs w:val="22"/>
          <w:lang w:eastAsia="ja-JP"/>
        </w:rPr>
        <w:t xml:space="preserve">the first time from </w:t>
      </w:r>
      <w:r w:rsidRPr="005E6B7C">
        <w:rPr>
          <w:rFonts w:asciiTheme="majorHAnsi" w:eastAsia="Yu Mincho" w:hAnsiTheme="majorHAnsi" w:cstheme="majorHAnsi"/>
          <w:i/>
          <w:color w:val="000000" w:themeColor="text1"/>
          <w:spacing w:val="-4"/>
          <w:sz w:val="22"/>
          <w:szCs w:val="22"/>
          <w:lang w:eastAsia="ja-JP"/>
        </w:rPr>
        <w:t>G</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i/>
          <w:color w:val="000000" w:themeColor="text1"/>
          <w:spacing w:val="-4"/>
          <w:sz w:val="22"/>
          <w:szCs w:val="22"/>
          <w:lang w:eastAsia="ja-JP"/>
        </w:rPr>
        <w:t>multipileum</w:t>
      </w:r>
      <w:r w:rsidRPr="005E6B7C">
        <w:rPr>
          <w:rFonts w:asciiTheme="majorHAnsi" w:eastAsia="Arial" w:hAnsiTheme="majorHAnsi" w:cstheme="majorHAnsi"/>
          <w:color w:val="000000" w:themeColor="text1"/>
          <w:spacing w:val="-4"/>
          <w:sz w:val="22"/>
          <w:szCs w:val="22"/>
          <w:lang w:eastAsia="ja-JP"/>
        </w:rPr>
        <w:t xml:space="preserve"> in Vietnam. Among them, four compounds (</w:t>
      </w:r>
      <w:r w:rsidRPr="005E6B7C">
        <w:rPr>
          <w:rFonts w:asciiTheme="majorHAnsi" w:eastAsia="Arial" w:hAnsiTheme="majorHAnsi" w:cstheme="majorHAnsi"/>
          <w:b/>
          <w:color w:val="000000" w:themeColor="text1"/>
          <w:spacing w:val="-4"/>
          <w:sz w:val="22"/>
          <w:szCs w:val="22"/>
          <w:lang w:eastAsia="ja-JP"/>
        </w:rPr>
        <w:t>1</w:t>
      </w:r>
      <w:r w:rsidR="003F4DBD" w:rsidRPr="005E6B7C">
        <w:rPr>
          <w:rFonts w:asciiTheme="majorHAnsi" w:eastAsia="Arial" w:hAnsiTheme="majorHAnsi" w:cstheme="majorHAnsi"/>
          <w:color w:val="000000" w:themeColor="text1"/>
          <w:spacing w:val="-4"/>
          <w:sz w:val="22"/>
          <w:szCs w:val="22"/>
          <w:lang w:eastAsia="ja-JP"/>
        </w:rPr>
        <w:t>–</w:t>
      </w:r>
      <w:r w:rsidRPr="005E6B7C">
        <w:rPr>
          <w:rFonts w:asciiTheme="majorHAnsi" w:eastAsia="Arial" w:hAnsiTheme="majorHAnsi" w:cstheme="majorHAnsi"/>
          <w:b/>
          <w:color w:val="000000" w:themeColor="text1"/>
          <w:spacing w:val="-4"/>
          <w:sz w:val="22"/>
          <w:szCs w:val="22"/>
          <w:lang w:eastAsia="ja-JP"/>
        </w:rPr>
        <w:t>4</w:t>
      </w:r>
      <w:r w:rsidRPr="005E6B7C">
        <w:rPr>
          <w:rFonts w:asciiTheme="majorHAnsi" w:eastAsia="Arial" w:hAnsiTheme="majorHAnsi" w:cstheme="majorHAnsi"/>
          <w:color w:val="000000" w:themeColor="text1"/>
          <w:spacing w:val="-4"/>
          <w:sz w:val="22"/>
          <w:szCs w:val="22"/>
          <w:lang w:eastAsia="ja-JP"/>
        </w:rPr>
        <w:t xml:space="preserve">) were isolated from </w:t>
      </w:r>
      <w:r w:rsidRPr="005E6B7C">
        <w:rPr>
          <w:rFonts w:asciiTheme="majorHAnsi" w:eastAsia="Arial" w:hAnsiTheme="majorHAnsi" w:cstheme="majorHAnsi"/>
          <w:i/>
          <w:color w:val="000000" w:themeColor="text1"/>
          <w:spacing w:val="-4"/>
          <w:sz w:val="22"/>
          <w:szCs w:val="22"/>
          <w:lang w:eastAsia="ja-JP"/>
        </w:rPr>
        <w:t xml:space="preserve">G. lucidum </w:t>
      </w:r>
      <w:r w:rsidRPr="005E6B7C">
        <w:rPr>
          <w:rFonts w:asciiTheme="majorHAnsi" w:eastAsia="Arial" w:hAnsiTheme="majorHAnsi" w:cstheme="majorHAnsi"/>
          <w:color w:val="000000" w:themeColor="text1"/>
          <w:spacing w:val="-4"/>
          <w:sz w:val="22"/>
          <w:szCs w:val="22"/>
          <w:lang w:eastAsia="ja-JP"/>
        </w:rPr>
        <w:t>[11-14], and two compounds (</w:t>
      </w:r>
      <w:r w:rsidRPr="005E6B7C">
        <w:rPr>
          <w:rFonts w:asciiTheme="majorHAnsi" w:eastAsia="Arial" w:hAnsiTheme="majorHAnsi" w:cstheme="majorHAnsi"/>
          <w:b/>
          <w:color w:val="000000" w:themeColor="text1"/>
          <w:spacing w:val="-4"/>
          <w:sz w:val="22"/>
          <w:szCs w:val="22"/>
          <w:lang w:eastAsia="ja-JP"/>
        </w:rPr>
        <w:t>2</w:t>
      </w:r>
      <w:r w:rsidRPr="005E6B7C">
        <w:rPr>
          <w:rFonts w:asciiTheme="majorHAnsi" w:eastAsia="Arial" w:hAnsiTheme="majorHAnsi" w:cstheme="majorHAnsi"/>
          <w:color w:val="000000" w:themeColor="text1"/>
          <w:spacing w:val="-4"/>
          <w:sz w:val="22"/>
          <w:szCs w:val="22"/>
          <w:lang w:eastAsia="ja-JP"/>
        </w:rPr>
        <w:t xml:space="preserve"> and </w:t>
      </w:r>
      <w:r w:rsidRPr="005E6B7C">
        <w:rPr>
          <w:rFonts w:asciiTheme="majorHAnsi" w:eastAsia="Arial" w:hAnsiTheme="majorHAnsi" w:cstheme="majorHAnsi"/>
          <w:b/>
          <w:color w:val="000000" w:themeColor="text1"/>
          <w:spacing w:val="-4"/>
          <w:sz w:val="22"/>
          <w:szCs w:val="22"/>
          <w:lang w:eastAsia="ja-JP"/>
        </w:rPr>
        <w:t>5</w:t>
      </w:r>
      <w:r w:rsidRPr="005E6B7C">
        <w:rPr>
          <w:rFonts w:asciiTheme="majorHAnsi" w:eastAsia="Arial" w:hAnsiTheme="majorHAnsi" w:cstheme="majorHAnsi"/>
          <w:color w:val="000000" w:themeColor="text1"/>
          <w:spacing w:val="-4"/>
          <w:sz w:val="22"/>
          <w:szCs w:val="22"/>
          <w:lang w:eastAsia="ja-JP"/>
        </w:rPr>
        <w:t xml:space="preserve">) were published from </w:t>
      </w:r>
      <w:r w:rsidRPr="005E6B7C">
        <w:rPr>
          <w:rFonts w:asciiTheme="majorHAnsi" w:eastAsia="Arial" w:hAnsiTheme="majorHAnsi" w:cstheme="majorHAnsi"/>
          <w:i/>
          <w:color w:val="000000" w:themeColor="text1"/>
          <w:spacing w:val="-4"/>
          <w:sz w:val="22"/>
          <w:szCs w:val="22"/>
          <w:lang w:eastAsia="ja-JP"/>
        </w:rPr>
        <w:t xml:space="preserve">G. tropicum </w:t>
      </w:r>
      <w:r w:rsidRPr="005E6B7C">
        <w:rPr>
          <w:rFonts w:asciiTheme="majorHAnsi" w:eastAsia="Arial" w:hAnsiTheme="majorHAnsi" w:cstheme="majorHAnsi"/>
          <w:color w:val="000000" w:themeColor="text1"/>
          <w:spacing w:val="-4"/>
          <w:sz w:val="22"/>
          <w:szCs w:val="22"/>
          <w:lang w:eastAsia="ja-JP"/>
        </w:rPr>
        <w:t xml:space="preserve">[15]. Morphologically, the three species </w:t>
      </w:r>
      <w:r w:rsidRPr="005E6B7C">
        <w:rPr>
          <w:rFonts w:asciiTheme="majorHAnsi" w:eastAsia="Arial" w:hAnsiTheme="majorHAnsi" w:cstheme="majorHAnsi"/>
          <w:i/>
          <w:color w:val="000000" w:themeColor="text1"/>
          <w:spacing w:val="-4"/>
          <w:sz w:val="22"/>
          <w:szCs w:val="22"/>
          <w:lang w:eastAsia="ja-JP"/>
        </w:rPr>
        <w:t>G. lucidum</w:t>
      </w:r>
      <w:r w:rsidRPr="005E6B7C">
        <w:rPr>
          <w:rFonts w:asciiTheme="majorHAnsi" w:eastAsia="Arial" w:hAnsiTheme="majorHAnsi" w:cstheme="majorHAnsi"/>
          <w:color w:val="000000" w:themeColor="text1"/>
          <w:spacing w:val="-4"/>
          <w:sz w:val="22"/>
          <w:szCs w:val="22"/>
          <w:lang w:eastAsia="ja-JP"/>
        </w:rPr>
        <w:t xml:space="preserve">, </w:t>
      </w:r>
      <w:r w:rsidRPr="005E6B7C">
        <w:rPr>
          <w:rFonts w:asciiTheme="majorHAnsi" w:eastAsia="Arial" w:hAnsiTheme="majorHAnsi" w:cstheme="majorHAnsi"/>
          <w:i/>
          <w:color w:val="000000" w:themeColor="text1"/>
          <w:spacing w:val="-4"/>
          <w:sz w:val="22"/>
          <w:szCs w:val="22"/>
          <w:lang w:eastAsia="ja-JP"/>
        </w:rPr>
        <w:t>G. tropicum</w:t>
      </w:r>
      <w:r w:rsidRPr="005E6B7C">
        <w:rPr>
          <w:rFonts w:asciiTheme="majorHAnsi" w:eastAsia="Arial" w:hAnsiTheme="majorHAnsi" w:cstheme="majorHAnsi"/>
          <w:color w:val="000000" w:themeColor="text1"/>
          <w:spacing w:val="-4"/>
          <w:sz w:val="22"/>
          <w:szCs w:val="22"/>
          <w:lang w:eastAsia="ja-JP"/>
        </w:rPr>
        <w:t xml:space="preserve">, and </w:t>
      </w:r>
      <w:r w:rsidRPr="005E6B7C">
        <w:rPr>
          <w:rFonts w:asciiTheme="majorHAnsi" w:eastAsia="Arial" w:hAnsiTheme="majorHAnsi" w:cstheme="majorHAnsi"/>
          <w:i/>
          <w:color w:val="000000" w:themeColor="text1"/>
          <w:spacing w:val="-4"/>
          <w:sz w:val="22"/>
          <w:szCs w:val="22"/>
          <w:lang w:eastAsia="ja-JP"/>
        </w:rPr>
        <w:t>G. multipileum</w:t>
      </w:r>
      <w:r w:rsidRPr="005E6B7C">
        <w:rPr>
          <w:rFonts w:asciiTheme="majorHAnsi" w:eastAsia="Arial" w:hAnsiTheme="majorHAnsi" w:cstheme="majorHAnsi"/>
          <w:color w:val="000000" w:themeColor="text1"/>
          <w:spacing w:val="-4"/>
          <w:sz w:val="22"/>
          <w:szCs w:val="22"/>
          <w:lang w:eastAsia="ja-JP"/>
        </w:rPr>
        <w:t xml:space="preserve"> are quite similar, so the isolated compounds can be used as chemical markers to distinguish these species.</w:t>
      </w:r>
    </w:p>
    <w:p w14:paraId="05A97125" w14:textId="77777777" w:rsidR="00BC3F11" w:rsidRPr="005E6B7C" w:rsidRDefault="00BC3F11" w:rsidP="008C0D47">
      <w:pPr>
        <w:tabs>
          <w:tab w:val="left" w:pos="270"/>
          <w:tab w:val="left" w:pos="540"/>
          <w:tab w:val="left" w:pos="9270"/>
        </w:tabs>
        <w:spacing w:line="230" w:lineRule="exact"/>
        <w:ind w:firstLine="284"/>
        <w:jc w:val="both"/>
        <w:rPr>
          <w:rFonts w:asciiTheme="majorHAnsi" w:eastAsia="Arial" w:hAnsiTheme="majorHAnsi" w:cstheme="majorHAnsi"/>
          <w:color w:val="000000" w:themeColor="text1"/>
          <w:spacing w:val="-4"/>
          <w:sz w:val="22"/>
          <w:szCs w:val="22"/>
          <w:lang w:eastAsia="ja-JP"/>
        </w:rPr>
        <w:sectPr w:rsidR="00BC3F11" w:rsidRPr="005E6B7C" w:rsidSect="00BC3F11">
          <w:type w:val="continuous"/>
          <w:pgSz w:w="10773" w:h="15309" w:code="9"/>
          <w:pgMar w:top="907" w:right="851" w:bottom="1418" w:left="851" w:header="397" w:footer="851" w:gutter="0"/>
          <w:cols w:num="2" w:space="284"/>
          <w:docGrid w:linePitch="360"/>
        </w:sectPr>
      </w:pPr>
    </w:p>
    <w:p w14:paraId="50664FBD" w14:textId="3462158A"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H- (600 MHz, CDCl</w:t>
      </w:r>
      <w:r w:rsidRPr="005E6B7C">
        <w:rPr>
          <w:rFonts w:asciiTheme="majorHAnsi" w:eastAsia="Yu Mincho" w:hAnsiTheme="majorHAnsi" w:cstheme="majorHAns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C-NMR (150 MHz, CDCl</w:t>
      </w:r>
      <w:r w:rsidRPr="005E6B7C">
        <w:rPr>
          <w:rFonts w:asciiTheme="majorHAnsi" w:eastAsia="Yu Mincho" w:hAnsiTheme="majorHAnsi" w:cstheme="majorHAnsi"/>
          <w:color w:val="000000" w:themeColor="text1"/>
          <w:sz w:val="18"/>
          <w:szCs w:val="18"/>
          <w:vertAlign w:val="subscript"/>
          <w:lang w:eastAsia="ja-JP"/>
        </w:rPr>
        <w:t>3</w:t>
      </w:r>
      <w:r w:rsidRPr="005E6B7C">
        <w:rPr>
          <w:rFonts w:asciiTheme="majorHAnsi" w:eastAsia="Yu Mincho" w:hAnsiTheme="majorHAnsi" w:cstheme="majorHAnsi"/>
          <w:color w:val="000000" w:themeColor="text1"/>
          <w:sz w:val="18"/>
          <w:szCs w:val="18"/>
          <w:lang w:eastAsia="ja-JP"/>
        </w:rPr>
        <w:t xml:space="preserve">) data of compounds </w:t>
      </w:r>
      <w:r w:rsidRPr="005E6B7C">
        <w:rPr>
          <w:rFonts w:asciiTheme="majorHAnsi" w:eastAsia="Yu Mincho" w:hAnsiTheme="majorHAnsi" w:cstheme="majorHAnsi"/>
          <w:b/>
          <w:color w:val="000000" w:themeColor="text1"/>
          <w:sz w:val="18"/>
          <w:szCs w:val="18"/>
          <w:lang w:eastAsia="ja-JP"/>
        </w:rPr>
        <w:t>1</w:t>
      </w:r>
      <w:r w:rsidR="00363CEA" w:rsidRPr="005E6B7C">
        <w:rPr>
          <w:rFonts w:asciiTheme="majorHAnsi" w:eastAsia="Arial" w:hAnsiTheme="majorHAnsi" w:cstheme="majorHAnsi"/>
          <w:color w:val="000000" w:themeColor="text1"/>
          <w:spacing w:val="-4"/>
          <w:sz w:val="22"/>
          <w:szCs w:val="22"/>
          <w:lang w:eastAsia="ja-JP"/>
        </w:rPr>
        <w:t>–</w:t>
      </w:r>
      <w:r w:rsidRPr="005E6B7C">
        <w:rPr>
          <w:rFonts w:asciiTheme="majorHAnsi" w:eastAsia="Yu Mincho" w:hAnsiTheme="majorHAnsi" w:cstheme="majorHAnsi"/>
          <w:b/>
          <w:color w:val="000000" w:themeColor="text1"/>
          <w:sz w:val="18"/>
          <w:szCs w:val="18"/>
          <w:lang w:eastAsia="ja-JP"/>
        </w:rPr>
        <w:t>4</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436"/>
        <w:gridCol w:w="1165"/>
        <w:gridCol w:w="517"/>
        <w:gridCol w:w="518"/>
        <w:gridCol w:w="1164"/>
        <w:gridCol w:w="491"/>
        <w:gridCol w:w="464"/>
        <w:gridCol w:w="1081"/>
        <w:gridCol w:w="517"/>
        <w:gridCol w:w="521"/>
        <w:gridCol w:w="1081"/>
        <w:gridCol w:w="572"/>
        <w:gridCol w:w="545"/>
      </w:tblGrid>
      <w:tr w:rsidR="00E049CB" w:rsidRPr="005E6B7C" w14:paraId="38FCB011" w14:textId="77777777" w:rsidTr="00BC3F11">
        <w:trPr>
          <w:tblHeader/>
          <w:jc w:val="center"/>
        </w:trPr>
        <w:tc>
          <w:tcPr>
            <w:tcW w:w="709" w:type="dxa"/>
            <w:vMerge w:val="restart"/>
            <w:vAlign w:val="center"/>
          </w:tcPr>
          <w:p w14:paraId="000DE17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bookmarkStart w:id="17" w:name="_Hlk220423686"/>
            <w:bookmarkStart w:id="18" w:name="_Hlk221766978"/>
          </w:p>
          <w:p w14:paraId="12614989" w14:textId="5E3DA27A"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Yu Mincho" w:hAnsiTheme="majorHAnsi" w:cstheme="majorHAnsi"/>
                <w:b/>
                <w:bCs/>
                <w:color w:val="000000" w:themeColor="text1"/>
                <w:sz w:val="16"/>
                <w:szCs w:val="16"/>
                <w:lang w:eastAsia="ja-JP"/>
              </w:rPr>
              <w:t>No</w:t>
            </w:r>
            <w:r w:rsidR="008C0D47" w:rsidRPr="005E6B7C">
              <w:rPr>
                <w:rFonts w:asciiTheme="majorHAnsi" w:eastAsia="Yu Mincho" w:hAnsiTheme="majorHAnsi" w:cstheme="majorHAnsi"/>
                <w:b/>
                <w:bCs/>
                <w:color w:val="000000" w:themeColor="text1"/>
                <w:sz w:val="16"/>
                <w:szCs w:val="16"/>
                <w:lang w:eastAsia="ja-JP"/>
              </w:rPr>
              <w:t>.</w:t>
            </w:r>
          </w:p>
        </w:tc>
        <w:tc>
          <w:tcPr>
            <w:tcW w:w="3686" w:type="dxa"/>
            <w:gridSpan w:val="3"/>
            <w:vAlign w:val="center"/>
          </w:tcPr>
          <w:p w14:paraId="394ECC0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6"/>
                <w:szCs w:val="16"/>
                <w:vertAlign w:val="superscript"/>
                <w:lang w:eastAsia="ja-JP"/>
              </w:rPr>
            </w:pPr>
            <w:r w:rsidRPr="005E6B7C">
              <w:rPr>
                <w:rFonts w:asciiTheme="majorHAnsi" w:eastAsia="Yu Mincho" w:hAnsiTheme="majorHAnsi" w:cstheme="majorHAnsi"/>
                <w:b/>
                <w:color w:val="000000" w:themeColor="text1"/>
                <w:sz w:val="16"/>
                <w:szCs w:val="16"/>
                <w:lang w:eastAsia="ja-JP"/>
              </w:rPr>
              <w:t>1</w:t>
            </w:r>
          </w:p>
        </w:tc>
        <w:tc>
          <w:tcPr>
            <w:tcW w:w="3543" w:type="dxa"/>
            <w:gridSpan w:val="3"/>
            <w:vAlign w:val="center"/>
          </w:tcPr>
          <w:p w14:paraId="1EF54E4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6"/>
                <w:szCs w:val="16"/>
                <w:lang w:val="fr-FR" w:eastAsia="ja-JP"/>
              </w:rPr>
            </w:pPr>
            <w:r w:rsidRPr="005E6B7C">
              <w:rPr>
                <w:rFonts w:asciiTheme="majorHAnsi" w:eastAsia="Yu Mincho" w:hAnsiTheme="majorHAnsi" w:cstheme="majorHAnsi"/>
                <w:b/>
                <w:color w:val="000000" w:themeColor="text1"/>
                <w:sz w:val="16"/>
                <w:szCs w:val="16"/>
                <w:lang w:val="fr-FR" w:eastAsia="ja-JP"/>
              </w:rPr>
              <w:t>2</w:t>
            </w:r>
          </w:p>
        </w:tc>
        <w:tc>
          <w:tcPr>
            <w:tcW w:w="3544" w:type="dxa"/>
            <w:gridSpan w:val="3"/>
            <w:vAlign w:val="center"/>
          </w:tcPr>
          <w:p w14:paraId="43C7F22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3</w:t>
            </w:r>
          </w:p>
        </w:tc>
        <w:tc>
          <w:tcPr>
            <w:tcW w:w="3681" w:type="dxa"/>
            <w:gridSpan w:val="3"/>
            <w:vAlign w:val="center"/>
          </w:tcPr>
          <w:p w14:paraId="68A264A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val="fr-FR" w:eastAsia="ja-JP"/>
              </w:rPr>
            </w:pPr>
            <w:r w:rsidRPr="005E6B7C">
              <w:rPr>
                <w:rFonts w:asciiTheme="majorHAnsi" w:eastAsia="Yu Mincho" w:hAnsiTheme="majorHAnsi" w:cstheme="majorHAnsi"/>
                <w:b/>
                <w:bCs/>
                <w:color w:val="000000" w:themeColor="text1"/>
                <w:sz w:val="16"/>
                <w:szCs w:val="16"/>
                <w:lang w:val="fr-FR" w:eastAsia="ja-JP"/>
              </w:rPr>
              <w:t>4</w:t>
            </w:r>
          </w:p>
        </w:tc>
      </w:tr>
      <w:bookmarkEnd w:id="17"/>
      <w:tr w:rsidR="00E049CB" w:rsidRPr="005E6B7C" w14:paraId="0CF590B6" w14:textId="77777777" w:rsidTr="00BC3F11">
        <w:trPr>
          <w:tblHeader/>
          <w:jc w:val="center"/>
        </w:trPr>
        <w:tc>
          <w:tcPr>
            <w:tcW w:w="709" w:type="dxa"/>
            <w:vMerge/>
            <w:vAlign w:val="center"/>
          </w:tcPr>
          <w:p w14:paraId="50FB3B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1985" w:type="dxa"/>
            <w:vAlign w:val="center"/>
          </w:tcPr>
          <w:p w14:paraId="512BD6A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H</w:t>
            </w:r>
            <w:r w:rsidRPr="005E6B7C">
              <w:rPr>
                <w:rFonts w:asciiTheme="majorHAnsi" w:eastAsia="Yu Mincho" w:hAnsiTheme="majorHAnsi" w:cstheme="majorHAnsi"/>
                <w:color w:val="000000" w:themeColor="text1"/>
                <w:sz w:val="16"/>
                <w:szCs w:val="16"/>
                <w:lang w:eastAsia="ja-JP"/>
              </w:rPr>
              <w:t xml:space="preserve"> (mult., </w:t>
            </w:r>
            <w:r w:rsidRPr="005E6B7C">
              <w:rPr>
                <w:rFonts w:asciiTheme="majorHAnsi" w:eastAsia="Yu Mincho" w:hAnsiTheme="majorHAnsi" w:cstheme="majorHAnsi"/>
                <w:i/>
                <w:iCs/>
                <w:color w:val="000000" w:themeColor="text1"/>
                <w:sz w:val="16"/>
                <w:szCs w:val="16"/>
                <w:lang w:eastAsia="ja-JP"/>
              </w:rPr>
              <w:t>J</w:t>
            </w:r>
            <w:r w:rsidRPr="005E6B7C">
              <w:rPr>
                <w:rFonts w:asciiTheme="majorHAnsi" w:eastAsia="Yu Mincho" w:hAnsiTheme="majorHAnsi" w:cstheme="majorHAnsi"/>
                <w:color w:val="000000" w:themeColor="text1"/>
                <w:sz w:val="16"/>
                <w:szCs w:val="16"/>
                <w:lang w:eastAsia="ja-JP"/>
              </w:rPr>
              <w:t>, Hz)</w:t>
            </w:r>
          </w:p>
        </w:tc>
        <w:tc>
          <w:tcPr>
            <w:tcW w:w="850" w:type="dxa"/>
            <w:vAlign w:val="center"/>
          </w:tcPr>
          <w:p w14:paraId="19D6708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p>
        </w:tc>
        <w:tc>
          <w:tcPr>
            <w:tcW w:w="851" w:type="dxa"/>
            <w:vAlign w:val="center"/>
          </w:tcPr>
          <w:p w14:paraId="52A6C24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r w:rsidRPr="005E6B7C">
              <w:rPr>
                <w:rFonts w:asciiTheme="majorHAnsi" w:eastAsia="Yu Mincho" w:hAnsiTheme="majorHAnsi" w:cstheme="majorHAnsi"/>
                <w:color w:val="000000" w:themeColor="text1"/>
                <w:sz w:val="16"/>
                <w:szCs w:val="16"/>
                <w:vertAlign w:val="superscript"/>
                <w:lang w:eastAsia="ja-JP"/>
              </w:rPr>
              <w:t xml:space="preserve">a </w:t>
            </w:r>
            <w:r w:rsidRPr="005E6B7C">
              <w:rPr>
                <w:rFonts w:asciiTheme="majorHAnsi" w:eastAsia="Yu Mincho" w:hAnsiTheme="majorHAnsi" w:cstheme="majorHAnsi"/>
                <w:color w:val="000000" w:themeColor="text1"/>
                <w:sz w:val="16"/>
                <w:szCs w:val="16"/>
                <w:lang w:eastAsia="ja-JP"/>
              </w:rPr>
              <w:t>[11]</w:t>
            </w:r>
          </w:p>
        </w:tc>
        <w:tc>
          <w:tcPr>
            <w:tcW w:w="1984" w:type="dxa"/>
            <w:vAlign w:val="center"/>
          </w:tcPr>
          <w:p w14:paraId="6279021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H</w:t>
            </w:r>
            <w:r w:rsidRPr="005E6B7C">
              <w:rPr>
                <w:rFonts w:asciiTheme="majorHAnsi" w:eastAsia="Yu Mincho" w:hAnsiTheme="majorHAnsi" w:cstheme="majorHAnsi"/>
                <w:color w:val="000000" w:themeColor="text1"/>
                <w:sz w:val="16"/>
                <w:szCs w:val="16"/>
                <w:lang w:eastAsia="ja-JP"/>
              </w:rPr>
              <w:t xml:space="preserve"> (mult., </w:t>
            </w:r>
            <w:r w:rsidRPr="005E6B7C">
              <w:rPr>
                <w:rFonts w:asciiTheme="majorHAnsi" w:eastAsia="Yu Mincho" w:hAnsiTheme="majorHAnsi" w:cstheme="majorHAnsi"/>
                <w:i/>
                <w:iCs/>
                <w:color w:val="000000" w:themeColor="text1"/>
                <w:sz w:val="16"/>
                <w:szCs w:val="16"/>
                <w:lang w:eastAsia="ja-JP"/>
              </w:rPr>
              <w:t>J</w:t>
            </w:r>
            <w:r w:rsidRPr="005E6B7C">
              <w:rPr>
                <w:rFonts w:asciiTheme="majorHAnsi" w:eastAsia="Yu Mincho" w:hAnsiTheme="majorHAnsi" w:cstheme="majorHAnsi"/>
                <w:color w:val="000000" w:themeColor="text1"/>
                <w:sz w:val="16"/>
                <w:szCs w:val="16"/>
                <w:lang w:eastAsia="ja-JP"/>
              </w:rPr>
              <w:t>, Hz)</w:t>
            </w:r>
          </w:p>
        </w:tc>
        <w:tc>
          <w:tcPr>
            <w:tcW w:w="803" w:type="dxa"/>
            <w:vAlign w:val="center"/>
          </w:tcPr>
          <w:p w14:paraId="575187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vertAlign w:val="superscript"/>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p>
        </w:tc>
        <w:tc>
          <w:tcPr>
            <w:tcW w:w="756" w:type="dxa"/>
            <w:vAlign w:val="center"/>
          </w:tcPr>
          <w:p w14:paraId="6DCD784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val="vi-VN"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r w:rsidRPr="005E6B7C">
              <w:rPr>
                <w:rFonts w:asciiTheme="majorHAnsi" w:eastAsia="Yu Mincho" w:hAnsiTheme="majorHAnsi" w:cstheme="majorHAnsi"/>
                <w:color w:val="000000" w:themeColor="text1"/>
                <w:sz w:val="16"/>
                <w:szCs w:val="16"/>
                <w:vertAlign w:val="superscript"/>
                <w:lang w:eastAsia="ja-JP"/>
              </w:rPr>
              <w:t xml:space="preserve">b </w:t>
            </w:r>
            <w:r w:rsidRPr="005E6B7C">
              <w:rPr>
                <w:rFonts w:asciiTheme="majorHAnsi" w:eastAsia="Yu Mincho" w:hAnsiTheme="majorHAnsi" w:cstheme="majorHAnsi"/>
                <w:color w:val="000000" w:themeColor="text1"/>
                <w:sz w:val="16"/>
                <w:szCs w:val="16"/>
                <w:lang w:eastAsia="ja-JP"/>
              </w:rPr>
              <w:t>[12]</w:t>
            </w:r>
          </w:p>
        </w:tc>
        <w:tc>
          <w:tcPr>
            <w:tcW w:w="1838" w:type="dxa"/>
            <w:vAlign w:val="center"/>
          </w:tcPr>
          <w:p w14:paraId="7E8BB2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H</w:t>
            </w:r>
            <w:r w:rsidRPr="005E6B7C">
              <w:rPr>
                <w:rFonts w:asciiTheme="majorHAnsi" w:eastAsia="Yu Mincho" w:hAnsiTheme="majorHAnsi" w:cstheme="majorHAnsi"/>
                <w:color w:val="000000" w:themeColor="text1"/>
                <w:sz w:val="16"/>
                <w:szCs w:val="16"/>
                <w:lang w:eastAsia="ja-JP"/>
              </w:rPr>
              <w:t xml:space="preserve"> (mult., </w:t>
            </w:r>
            <w:r w:rsidRPr="005E6B7C">
              <w:rPr>
                <w:rFonts w:asciiTheme="majorHAnsi" w:eastAsia="Yu Mincho" w:hAnsiTheme="majorHAnsi" w:cstheme="majorHAnsi"/>
                <w:i/>
                <w:iCs/>
                <w:color w:val="000000" w:themeColor="text1"/>
                <w:sz w:val="16"/>
                <w:szCs w:val="16"/>
                <w:lang w:eastAsia="ja-JP"/>
              </w:rPr>
              <w:t>J</w:t>
            </w:r>
            <w:r w:rsidRPr="005E6B7C">
              <w:rPr>
                <w:rFonts w:asciiTheme="majorHAnsi" w:eastAsia="Yu Mincho" w:hAnsiTheme="majorHAnsi" w:cstheme="majorHAnsi"/>
                <w:color w:val="000000" w:themeColor="text1"/>
                <w:sz w:val="16"/>
                <w:szCs w:val="16"/>
                <w:lang w:eastAsia="ja-JP"/>
              </w:rPr>
              <w:t>, Hz)</w:t>
            </w:r>
          </w:p>
        </w:tc>
        <w:tc>
          <w:tcPr>
            <w:tcW w:w="850" w:type="dxa"/>
            <w:vAlign w:val="center"/>
          </w:tcPr>
          <w:p w14:paraId="5057441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vertAlign w:val="superscript"/>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p>
        </w:tc>
        <w:tc>
          <w:tcPr>
            <w:tcW w:w="856" w:type="dxa"/>
            <w:vAlign w:val="center"/>
          </w:tcPr>
          <w:p w14:paraId="3EDC8D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r w:rsidRPr="005E6B7C">
              <w:rPr>
                <w:rFonts w:asciiTheme="majorHAnsi" w:eastAsia="Yu Mincho" w:hAnsiTheme="majorHAnsi" w:cstheme="majorHAnsi"/>
                <w:color w:val="000000" w:themeColor="text1"/>
                <w:sz w:val="16"/>
                <w:szCs w:val="16"/>
                <w:vertAlign w:val="superscript"/>
                <w:lang w:eastAsia="ja-JP"/>
              </w:rPr>
              <w:t xml:space="preserve">c </w:t>
            </w:r>
            <w:r w:rsidRPr="005E6B7C">
              <w:rPr>
                <w:rFonts w:asciiTheme="majorHAnsi" w:eastAsia="Yu Mincho" w:hAnsiTheme="majorHAnsi" w:cstheme="majorHAnsi"/>
                <w:color w:val="000000" w:themeColor="text1"/>
                <w:sz w:val="16"/>
                <w:szCs w:val="16"/>
                <w:lang w:eastAsia="ja-JP"/>
              </w:rPr>
              <w:t>[13]</w:t>
            </w:r>
          </w:p>
        </w:tc>
        <w:tc>
          <w:tcPr>
            <w:tcW w:w="1838" w:type="dxa"/>
            <w:vAlign w:val="center"/>
          </w:tcPr>
          <w:p w14:paraId="2E27DC3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vertAlign w:val="superscript"/>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H</w:t>
            </w:r>
            <w:r w:rsidRPr="005E6B7C">
              <w:rPr>
                <w:rFonts w:asciiTheme="majorHAnsi" w:eastAsia="Yu Mincho" w:hAnsiTheme="majorHAnsi" w:cstheme="majorHAnsi"/>
                <w:color w:val="000000" w:themeColor="text1"/>
                <w:sz w:val="16"/>
                <w:szCs w:val="16"/>
                <w:lang w:eastAsia="ja-JP"/>
              </w:rPr>
              <w:t xml:space="preserve"> (mult., </w:t>
            </w:r>
            <w:r w:rsidRPr="005E6B7C">
              <w:rPr>
                <w:rFonts w:asciiTheme="majorHAnsi" w:eastAsia="Yu Mincho" w:hAnsiTheme="majorHAnsi" w:cstheme="majorHAnsi"/>
                <w:i/>
                <w:iCs/>
                <w:color w:val="000000" w:themeColor="text1"/>
                <w:sz w:val="16"/>
                <w:szCs w:val="16"/>
                <w:lang w:eastAsia="ja-JP"/>
              </w:rPr>
              <w:t>J</w:t>
            </w:r>
            <w:r w:rsidRPr="005E6B7C">
              <w:rPr>
                <w:rFonts w:asciiTheme="majorHAnsi" w:eastAsia="Yu Mincho" w:hAnsiTheme="majorHAnsi" w:cstheme="majorHAnsi"/>
                <w:color w:val="000000" w:themeColor="text1"/>
                <w:sz w:val="16"/>
                <w:szCs w:val="16"/>
                <w:lang w:eastAsia="ja-JP"/>
              </w:rPr>
              <w:t>, Hz)</w:t>
            </w:r>
          </w:p>
        </w:tc>
        <w:tc>
          <w:tcPr>
            <w:tcW w:w="945" w:type="dxa"/>
            <w:vAlign w:val="center"/>
          </w:tcPr>
          <w:p w14:paraId="4A36E82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vertAlign w:val="superscript"/>
                <w:lang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p>
        </w:tc>
        <w:tc>
          <w:tcPr>
            <w:tcW w:w="898" w:type="dxa"/>
            <w:vAlign w:val="center"/>
          </w:tcPr>
          <w:p w14:paraId="37748A9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bCs/>
                <w:color w:val="000000" w:themeColor="text1"/>
                <w:sz w:val="16"/>
                <w:szCs w:val="16"/>
                <w:lang w:val="fr-FR" w:eastAsia="ja-JP"/>
              </w:rPr>
            </w:pPr>
            <w:r w:rsidRPr="005E6B7C">
              <w:rPr>
                <w:rFonts w:asciiTheme="majorHAnsi" w:eastAsia="Yu Mincho" w:hAnsiTheme="majorHAnsi" w:cstheme="majorHAnsi"/>
                <w:i/>
                <w:iCs/>
                <w:color w:val="000000" w:themeColor="text1"/>
                <w:sz w:val="16"/>
                <w:szCs w:val="16"/>
                <w:lang w:eastAsia="ja-JP"/>
              </w:rPr>
              <w:t>δ</w:t>
            </w:r>
            <w:r w:rsidRPr="005E6B7C">
              <w:rPr>
                <w:rFonts w:asciiTheme="majorHAnsi" w:eastAsia="Yu Mincho" w:hAnsiTheme="majorHAnsi" w:cstheme="majorHAnsi"/>
                <w:color w:val="000000" w:themeColor="text1"/>
                <w:sz w:val="16"/>
                <w:szCs w:val="16"/>
                <w:vertAlign w:val="subscript"/>
                <w:lang w:eastAsia="ja-JP"/>
              </w:rPr>
              <w:t>C</w:t>
            </w:r>
            <w:r w:rsidRPr="005E6B7C">
              <w:rPr>
                <w:rFonts w:asciiTheme="majorHAnsi" w:eastAsia="Yu Mincho" w:hAnsiTheme="majorHAnsi" w:cstheme="majorHAnsi"/>
                <w:color w:val="000000" w:themeColor="text1"/>
                <w:sz w:val="16"/>
                <w:szCs w:val="16"/>
                <w:vertAlign w:val="superscript"/>
                <w:lang w:eastAsia="ja-JP"/>
              </w:rPr>
              <w:t>a</w:t>
            </w:r>
            <w:r w:rsidRPr="005E6B7C">
              <w:rPr>
                <w:rFonts w:asciiTheme="majorHAnsi" w:eastAsia="Yu Mincho" w:hAnsiTheme="majorHAnsi" w:cstheme="majorHAnsi"/>
                <w:color w:val="000000" w:themeColor="text1"/>
                <w:sz w:val="16"/>
                <w:szCs w:val="16"/>
                <w:lang w:eastAsia="ja-JP"/>
              </w:rPr>
              <w:t>[14]</w:t>
            </w:r>
          </w:p>
        </w:tc>
      </w:tr>
      <w:tr w:rsidR="00E049CB" w:rsidRPr="005E6B7C" w14:paraId="71FCED22" w14:textId="77777777" w:rsidTr="00A04226">
        <w:trPr>
          <w:jc w:val="center"/>
        </w:trPr>
        <w:tc>
          <w:tcPr>
            <w:tcW w:w="709" w:type="dxa"/>
          </w:tcPr>
          <w:p w14:paraId="43BD3F0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w:t>
            </w:r>
          </w:p>
        </w:tc>
        <w:tc>
          <w:tcPr>
            <w:tcW w:w="1985" w:type="dxa"/>
          </w:tcPr>
          <w:p w14:paraId="4E27D02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68683A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35.8</w:t>
            </w:r>
          </w:p>
        </w:tc>
        <w:tc>
          <w:tcPr>
            <w:tcW w:w="851" w:type="dxa"/>
          </w:tcPr>
          <w:p w14:paraId="019E3EF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35.8</w:t>
            </w:r>
          </w:p>
        </w:tc>
        <w:tc>
          <w:tcPr>
            <w:tcW w:w="1984" w:type="dxa"/>
            <w:vAlign w:val="center"/>
          </w:tcPr>
          <w:p w14:paraId="2EE2EC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52A1DCE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35.8</w:t>
            </w:r>
          </w:p>
        </w:tc>
        <w:tc>
          <w:tcPr>
            <w:tcW w:w="756" w:type="dxa"/>
            <w:vAlign w:val="center"/>
          </w:tcPr>
          <w:p w14:paraId="26A4EDD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35.7</w:t>
            </w:r>
          </w:p>
        </w:tc>
        <w:tc>
          <w:tcPr>
            <w:tcW w:w="1838" w:type="dxa"/>
          </w:tcPr>
          <w:p w14:paraId="20441C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7012C9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38.4</w:t>
            </w:r>
          </w:p>
        </w:tc>
        <w:tc>
          <w:tcPr>
            <w:tcW w:w="856" w:type="dxa"/>
          </w:tcPr>
          <w:p w14:paraId="1BD4C7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34.6</w:t>
            </w:r>
          </w:p>
        </w:tc>
        <w:tc>
          <w:tcPr>
            <w:tcW w:w="1838" w:type="dxa"/>
          </w:tcPr>
          <w:p w14:paraId="4CE4B75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7D5AE7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38.8</w:t>
            </w:r>
          </w:p>
        </w:tc>
        <w:tc>
          <w:tcPr>
            <w:tcW w:w="898" w:type="dxa"/>
          </w:tcPr>
          <w:p w14:paraId="235E41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38.8</w:t>
            </w:r>
          </w:p>
        </w:tc>
      </w:tr>
      <w:tr w:rsidR="00E049CB" w:rsidRPr="005E6B7C" w14:paraId="4BE6DD81" w14:textId="77777777" w:rsidTr="00A04226">
        <w:trPr>
          <w:jc w:val="center"/>
        </w:trPr>
        <w:tc>
          <w:tcPr>
            <w:tcW w:w="709" w:type="dxa"/>
          </w:tcPr>
          <w:p w14:paraId="0F2225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w:t>
            </w:r>
          </w:p>
        </w:tc>
        <w:tc>
          <w:tcPr>
            <w:tcW w:w="1985" w:type="dxa"/>
          </w:tcPr>
          <w:p w14:paraId="2BFF5B5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7E5FDF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28.9</w:t>
            </w:r>
          </w:p>
        </w:tc>
        <w:tc>
          <w:tcPr>
            <w:tcW w:w="851" w:type="dxa"/>
          </w:tcPr>
          <w:p w14:paraId="3F02125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28.2</w:t>
            </w:r>
          </w:p>
        </w:tc>
        <w:tc>
          <w:tcPr>
            <w:tcW w:w="1984" w:type="dxa"/>
            <w:vAlign w:val="center"/>
          </w:tcPr>
          <w:p w14:paraId="4D85C48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1FD2639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27.9</w:t>
            </w:r>
          </w:p>
        </w:tc>
        <w:tc>
          <w:tcPr>
            <w:tcW w:w="756" w:type="dxa"/>
            <w:vAlign w:val="center"/>
          </w:tcPr>
          <w:p w14:paraId="65434F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27.8</w:t>
            </w:r>
          </w:p>
        </w:tc>
        <w:tc>
          <w:tcPr>
            <w:tcW w:w="1838" w:type="dxa"/>
          </w:tcPr>
          <w:p w14:paraId="625A45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C34450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32.0</w:t>
            </w:r>
          </w:p>
        </w:tc>
        <w:tc>
          <w:tcPr>
            <w:tcW w:w="856" w:type="dxa"/>
          </w:tcPr>
          <w:p w14:paraId="3C49E86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31.6</w:t>
            </w:r>
          </w:p>
        </w:tc>
        <w:tc>
          <w:tcPr>
            <w:tcW w:w="1838" w:type="dxa"/>
          </w:tcPr>
          <w:p w14:paraId="7A667C3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48B8CD1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38.1</w:t>
            </w:r>
          </w:p>
        </w:tc>
        <w:tc>
          <w:tcPr>
            <w:tcW w:w="898" w:type="dxa"/>
          </w:tcPr>
          <w:p w14:paraId="74A07C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38.1</w:t>
            </w:r>
          </w:p>
        </w:tc>
      </w:tr>
      <w:tr w:rsidR="00E049CB" w:rsidRPr="005E6B7C" w14:paraId="15C3E996" w14:textId="77777777" w:rsidTr="00A04226">
        <w:trPr>
          <w:jc w:val="center"/>
        </w:trPr>
        <w:tc>
          <w:tcPr>
            <w:tcW w:w="709" w:type="dxa"/>
          </w:tcPr>
          <w:p w14:paraId="72CC8CA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w:t>
            </w:r>
          </w:p>
        </w:tc>
        <w:tc>
          <w:tcPr>
            <w:tcW w:w="1985" w:type="dxa"/>
          </w:tcPr>
          <w:p w14:paraId="2C3DE1DA" w14:textId="047DDBF6" w:rsidR="00E049CB" w:rsidRPr="005E6B7C" w:rsidRDefault="00E049CB" w:rsidP="00363CEA">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3.25 (dd, 2.4</w:t>
            </w:r>
            <w:r w:rsidR="00363CEA"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10.9)</w:t>
            </w:r>
          </w:p>
        </w:tc>
        <w:tc>
          <w:tcPr>
            <w:tcW w:w="850" w:type="dxa"/>
          </w:tcPr>
          <w:p w14:paraId="5D0E3EB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79.0</w:t>
            </w:r>
          </w:p>
        </w:tc>
        <w:tc>
          <w:tcPr>
            <w:tcW w:w="851" w:type="dxa"/>
          </w:tcPr>
          <w:p w14:paraId="0689AAA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79.0</w:t>
            </w:r>
          </w:p>
        </w:tc>
        <w:tc>
          <w:tcPr>
            <w:tcW w:w="1984" w:type="dxa"/>
            <w:vAlign w:val="center"/>
          </w:tcPr>
          <w:p w14:paraId="6A63D7C0" w14:textId="4C734020" w:rsidR="00E049CB" w:rsidRPr="005E6B7C" w:rsidRDefault="00E049CB" w:rsidP="00363CEA">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3.25 (dd, 4.6</w:t>
            </w:r>
            <w:r w:rsidR="00363CEA"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11.3)</w:t>
            </w:r>
          </w:p>
        </w:tc>
        <w:tc>
          <w:tcPr>
            <w:tcW w:w="803" w:type="dxa"/>
            <w:vAlign w:val="center"/>
          </w:tcPr>
          <w:p w14:paraId="1358C4D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79.0</w:t>
            </w:r>
          </w:p>
        </w:tc>
        <w:tc>
          <w:tcPr>
            <w:tcW w:w="756" w:type="dxa"/>
            <w:vAlign w:val="center"/>
          </w:tcPr>
          <w:p w14:paraId="4F84D2C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79.0</w:t>
            </w:r>
          </w:p>
        </w:tc>
        <w:tc>
          <w:tcPr>
            <w:tcW w:w="1838" w:type="dxa"/>
          </w:tcPr>
          <w:p w14:paraId="35983374" w14:textId="4A968DDA" w:rsidR="00E049CB" w:rsidRPr="005E6B7C" w:rsidRDefault="00E049CB" w:rsidP="00363CEA">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3.62 (dd, 4.4</w:t>
            </w:r>
            <w:r w:rsidR="00363CEA"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10.6)</w:t>
            </w:r>
          </w:p>
        </w:tc>
        <w:tc>
          <w:tcPr>
            <w:tcW w:w="850" w:type="dxa"/>
          </w:tcPr>
          <w:p w14:paraId="2AFAC45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70.5</w:t>
            </w:r>
          </w:p>
        </w:tc>
        <w:tc>
          <w:tcPr>
            <w:tcW w:w="856" w:type="dxa"/>
          </w:tcPr>
          <w:p w14:paraId="714AA68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70.3</w:t>
            </w:r>
          </w:p>
        </w:tc>
        <w:tc>
          <w:tcPr>
            <w:tcW w:w="1838" w:type="dxa"/>
          </w:tcPr>
          <w:p w14:paraId="57E364F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49A5C63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212.0</w:t>
            </w:r>
          </w:p>
        </w:tc>
        <w:tc>
          <w:tcPr>
            <w:tcW w:w="898" w:type="dxa"/>
          </w:tcPr>
          <w:p w14:paraId="77B27F2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211.9</w:t>
            </w:r>
          </w:p>
        </w:tc>
      </w:tr>
      <w:tr w:rsidR="00E049CB" w:rsidRPr="005E6B7C" w14:paraId="6214EF4F" w14:textId="77777777" w:rsidTr="00A04226">
        <w:trPr>
          <w:jc w:val="center"/>
        </w:trPr>
        <w:tc>
          <w:tcPr>
            <w:tcW w:w="709" w:type="dxa"/>
          </w:tcPr>
          <w:p w14:paraId="17E4D5D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w:t>
            </w:r>
          </w:p>
        </w:tc>
        <w:tc>
          <w:tcPr>
            <w:tcW w:w="1985" w:type="dxa"/>
          </w:tcPr>
          <w:p w14:paraId="40EB80D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5BB017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38.7</w:t>
            </w:r>
          </w:p>
        </w:tc>
        <w:tc>
          <w:tcPr>
            <w:tcW w:w="851" w:type="dxa"/>
          </w:tcPr>
          <w:p w14:paraId="1233022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38.7</w:t>
            </w:r>
          </w:p>
        </w:tc>
        <w:tc>
          <w:tcPr>
            <w:tcW w:w="1984" w:type="dxa"/>
            <w:vAlign w:val="center"/>
          </w:tcPr>
          <w:p w14:paraId="49E64B3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22DF530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38.7</w:t>
            </w:r>
          </w:p>
        </w:tc>
        <w:tc>
          <w:tcPr>
            <w:tcW w:w="756" w:type="dxa"/>
            <w:vAlign w:val="center"/>
          </w:tcPr>
          <w:p w14:paraId="6C81A85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38.7</w:t>
            </w:r>
          </w:p>
        </w:tc>
        <w:tc>
          <w:tcPr>
            <w:tcW w:w="1838" w:type="dxa"/>
          </w:tcPr>
          <w:p w14:paraId="4523AED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4F6CED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39.1</w:t>
            </w:r>
          </w:p>
        </w:tc>
        <w:tc>
          <w:tcPr>
            <w:tcW w:w="856" w:type="dxa"/>
          </w:tcPr>
          <w:p w14:paraId="0B6AB19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37.7</w:t>
            </w:r>
          </w:p>
        </w:tc>
        <w:tc>
          <w:tcPr>
            <w:tcW w:w="1838" w:type="dxa"/>
          </w:tcPr>
          <w:p w14:paraId="172B449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71F26BA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44.2</w:t>
            </w:r>
          </w:p>
        </w:tc>
        <w:tc>
          <w:tcPr>
            <w:tcW w:w="898" w:type="dxa"/>
          </w:tcPr>
          <w:p w14:paraId="7C18E4F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44.3</w:t>
            </w:r>
          </w:p>
        </w:tc>
      </w:tr>
      <w:tr w:rsidR="00E049CB" w:rsidRPr="005E6B7C" w14:paraId="610D89A2" w14:textId="77777777" w:rsidTr="00A04226">
        <w:trPr>
          <w:jc w:val="center"/>
        </w:trPr>
        <w:tc>
          <w:tcPr>
            <w:tcW w:w="709" w:type="dxa"/>
          </w:tcPr>
          <w:p w14:paraId="582D953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w:t>
            </w:r>
          </w:p>
        </w:tc>
        <w:tc>
          <w:tcPr>
            <w:tcW w:w="1985" w:type="dxa"/>
          </w:tcPr>
          <w:p w14:paraId="67C2784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A8D546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49.2</w:t>
            </w:r>
          </w:p>
        </w:tc>
        <w:tc>
          <w:tcPr>
            <w:tcW w:w="851" w:type="dxa"/>
          </w:tcPr>
          <w:p w14:paraId="0AEC8D2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50.4</w:t>
            </w:r>
          </w:p>
        </w:tc>
        <w:tc>
          <w:tcPr>
            <w:tcW w:w="1984" w:type="dxa"/>
            <w:vAlign w:val="center"/>
          </w:tcPr>
          <w:p w14:paraId="2FEFC37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1C29C1A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49.2</w:t>
            </w:r>
          </w:p>
        </w:tc>
        <w:tc>
          <w:tcPr>
            <w:tcW w:w="756" w:type="dxa"/>
            <w:vAlign w:val="center"/>
          </w:tcPr>
          <w:p w14:paraId="08F8252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49.1</w:t>
            </w:r>
          </w:p>
        </w:tc>
        <w:tc>
          <w:tcPr>
            <w:tcW w:w="1838" w:type="dxa"/>
          </w:tcPr>
          <w:p w14:paraId="32B6F79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044C68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46.3</w:t>
            </w:r>
          </w:p>
        </w:tc>
        <w:tc>
          <w:tcPr>
            <w:tcW w:w="856" w:type="dxa"/>
          </w:tcPr>
          <w:p w14:paraId="597FFF4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39.1</w:t>
            </w:r>
          </w:p>
        </w:tc>
        <w:tc>
          <w:tcPr>
            <w:tcW w:w="1838" w:type="dxa"/>
          </w:tcPr>
          <w:p w14:paraId="1E7049E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54CF6B2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42.8</w:t>
            </w:r>
          </w:p>
        </w:tc>
        <w:tc>
          <w:tcPr>
            <w:tcW w:w="898" w:type="dxa"/>
          </w:tcPr>
          <w:p w14:paraId="344F4B6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42.8</w:t>
            </w:r>
          </w:p>
        </w:tc>
      </w:tr>
      <w:tr w:rsidR="00E049CB" w:rsidRPr="005E6B7C" w14:paraId="1383EC87" w14:textId="77777777" w:rsidTr="00A04226">
        <w:trPr>
          <w:jc w:val="center"/>
        </w:trPr>
        <w:tc>
          <w:tcPr>
            <w:tcW w:w="709" w:type="dxa"/>
          </w:tcPr>
          <w:p w14:paraId="5F66016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w:t>
            </w:r>
          </w:p>
        </w:tc>
        <w:tc>
          <w:tcPr>
            <w:tcW w:w="1985" w:type="dxa"/>
          </w:tcPr>
          <w:p w14:paraId="6751191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D3D9D6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23.0</w:t>
            </w:r>
          </w:p>
        </w:tc>
        <w:tc>
          <w:tcPr>
            <w:tcW w:w="851" w:type="dxa"/>
          </w:tcPr>
          <w:p w14:paraId="2FCBEB1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23.1</w:t>
            </w:r>
          </w:p>
        </w:tc>
        <w:tc>
          <w:tcPr>
            <w:tcW w:w="1984" w:type="dxa"/>
            <w:vAlign w:val="center"/>
          </w:tcPr>
          <w:p w14:paraId="3D0651B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367A494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23.0</w:t>
            </w:r>
          </w:p>
        </w:tc>
        <w:tc>
          <w:tcPr>
            <w:tcW w:w="756" w:type="dxa"/>
            <w:vAlign w:val="center"/>
          </w:tcPr>
          <w:p w14:paraId="0C58FFA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23.0</w:t>
            </w:r>
          </w:p>
        </w:tc>
        <w:tc>
          <w:tcPr>
            <w:tcW w:w="1838" w:type="dxa"/>
          </w:tcPr>
          <w:p w14:paraId="4D55917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66BAB1E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28.3</w:t>
            </w:r>
          </w:p>
        </w:tc>
        <w:tc>
          <w:tcPr>
            <w:tcW w:w="856" w:type="dxa"/>
          </w:tcPr>
          <w:p w14:paraId="23491C0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29.8</w:t>
            </w:r>
          </w:p>
        </w:tc>
        <w:tc>
          <w:tcPr>
            <w:tcW w:w="1838" w:type="dxa"/>
          </w:tcPr>
          <w:p w14:paraId="46C427B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6E34205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30.0</w:t>
            </w:r>
          </w:p>
        </w:tc>
        <w:tc>
          <w:tcPr>
            <w:tcW w:w="898" w:type="dxa"/>
          </w:tcPr>
          <w:p w14:paraId="60C8D44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30.1</w:t>
            </w:r>
          </w:p>
        </w:tc>
      </w:tr>
      <w:tr w:rsidR="00E049CB" w:rsidRPr="005E6B7C" w14:paraId="5A005459" w14:textId="77777777" w:rsidTr="00A04226">
        <w:trPr>
          <w:jc w:val="center"/>
        </w:trPr>
        <w:tc>
          <w:tcPr>
            <w:tcW w:w="709" w:type="dxa"/>
          </w:tcPr>
          <w:p w14:paraId="4715B6E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w:t>
            </w:r>
          </w:p>
        </w:tc>
        <w:tc>
          <w:tcPr>
            <w:tcW w:w="1985" w:type="dxa"/>
          </w:tcPr>
          <w:p w14:paraId="2715CCA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5.32 (d, 6.0)</w:t>
            </w:r>
          </w:p>
        </w:tc>
        <w:tc>
          <w:tcPr>
            <w:tcW w:w="850" w:type="dxa"/>
          </w:tcPr>
          <w:p w14:paraId="0A58E04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120.3</w:t>
            </w:r>
          </w:p>
        </w:tc>
        <w:tc>
          <w:tcPr>
            <w:tcW w:w="851" w:type="dxa"/>
          </w:tcPr>
          <w:p w14:paraId="0EA029A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120.3</w:t>
            </w:r>
          </w:p>
        </w:tc>
        <w:tc>
          <w:tcPr>
            <w:tcW w:w="1984" w:type="dxa"/>
            <w:vAlign w:val="center"/>
          </w:tcPr>
          <w:p w14:paraId="316AD82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5.47 (br d, 6.2)</w:t>
            </w:r>
          </w:p>
        </w:tc>
        <w:tc>
          <w:tcPr>
            <w:tcW w:w="803" w:type="dxa"/>
            <w:vAlign w:val="center"/>
          </w:tcPr>
          <w:p w14:paraId="6AF39DB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120.2</w:t>
            </w:r>
          </w:p>
        </w:tc>
        <w:tc>
          <w:tcPr>
            <w:tcW w:w="756" w:type="dxa"/>
            <w:vAlign w:val="center"/>
          </w:tcPr>
          <w:p w14:paraId="1EF598B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120.1</w:t>
            </w:r>
          </w:p>
        </w:tc>
        <w:tc>
          <w:tcPr>
            <w:tcW w:w="1838" w:type="dxa"/>
          </w:tcPr>
          <w:p w14:paraId="4EF0A9C7" w14:textId="2AABB3C4" w:rsidR="00E049CB" w:rsidRPr="005E6B7C" w:rsidRDefault="00E049CB" w:rsidP="00363CEA">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5.39 (dd, 3.1</w:t>
            </w:r>
            <w:r w:rsidR="00363CEA"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lastRenderedPageBreak/>
              <w:t>5.6)</w:t>
            </w:r>
          </w:p>
        </w:tc>
        <w:tc>
          <w:tcPr>
            <w:tcW w:w="850" w:type="dxa"/>
          </w:tcPr>
          <w:p w14:paraId="01AE167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lastRenderedPageBreak/>
              <w:t>116.3</w:t>
            </w:r>
          </w:p>
        </w:tc>
        <w:tc>
          <w:tcPr>
            <w:tcW w:w="856" w:type="dxa"/>
          </w:tcPr>
          <w:p w14:paraId="0EA02DD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118.0</w:t>
            </w:r>
          </w:p>
        </w:tc>
        <w:tc>
          <w:tcPr>
            <w:tcW w:w="1838" w:type="dxa"/>
          </w:tcPr>
          <w:p w14:paraId="320B78C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5.18 (br s)</w:t>
            </w:r>
          </w:p>
        </w:tc>
        <w:tc>
          <w:tcPr>
            <w:tcW w:w="945" w:type="dxa"/>
          </w:tcPr>
          <w:p w14:paraId="7D2676A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117.0</w:t>
            </w:r>
          </w:p>
        </w:tc>
        <w:tc>
          <w:tcPr>
            <w:tcW w:w="898" w:type="dxa"/>
          </w:tcPr>
          <w:p w14:paraId="47A32CF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117.0</w:t>
            </w:r>
          </w:p>
        </w:tc>
      </w:tr>
      <w:tr w:rsidR="00E049CB" w:rsidRPr="005E6B7C" w14:paraId="0E780103" w14:textId="77777777" w:rsidTr="00A04226">
        <w:trPr>
          <w:jc w:val="center"/>
        </w:trPr>
        <w:tc>
          <w:tcPr>
            <w:tcW w:w="709" w:type="dxa"/>
          </w:tcPr>
          <w:p w14:paraId="59B0ADA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w:t>
            </w:r>
          </w:p>
        </w:tc>
        <w:tc>
          <w:tcPr>
            <w:tcW w:w="1985" w:type="dxa"/>
          </w:tcPr>
          <w:p w14:paraId="6A02B8E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57C82F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143.0</w:t>
            </w:r>
          </w:p>
        </w:tc>
        <w:tc>
          <w:tcPr>
            <w:tcW w:w="851" w:type="dxa"/>
          </w:tcPr>
          <w:p w14:paraId="14B7DED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142.7</w:t>
            </w:r>
          </w:p>
        </w:tc>
        <w:tc>
          <w:tcPr>
            <w:tcW w:w="1984" w:type="dxa"/>
            <w:vAlign w:val="center"/>
          </w:tcPr>
          <w:p w14:paraId="6CEBE98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316A54E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142.8</w:t>
            </w:r>
          </w:p>
        </w:tc>
        <w:tc>
          <w:tcPr>
            <w:tcW w:w="756" w:type="dxa"/>
            <w:vAlign w:val="center"/>
          </w:tcPr>
          <w:p w14:paraId="5747132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142.7</w:t>
            </w:r>
          </w:p>
        </w:tc>
        <w:tc>
          <w:tcPr>
            <w:tcW w:w="1838" w:type="dxa"/>
          </w:tcPr>
          <w:p w14:paraId="5CB7A49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C31859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139.8</w:t>
            </w:r>
          </w:p>
        </w:tc>
        <w:tc>
          <w:tcPr>
            <w:tcW w:w="856" w:type="dxa"/>
          </w:tcPr>
          <w:p w14:paraId="62DE410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135.7</w:t>
            </w:r>
          </w:p>
        </w:tc>
        <w:tc>
          <w:tcPr>
            <w:tcW w:w="1838" w:type="dxa"/>
          </w:tcPr>
          <w:p w14:paraId="03708CB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0FD3420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139.5</w:t>
            </w:r>
          </w:p>
        </w:tc>
        <w:tc>
          <w:tcPr>
            <w:tcW w:w="898" w:type="dxa"/>
          </w:tcPr>
          <w:p w14:paraId="36985EC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139.5</w:t>
            </w:r>
          </w:p>
        </w:tc>
      </w:tr>
      <w:tr w:rsidR="00E049CB" w:rsidRPr="005E6B7C" w14:paraId="287C723B" w14:textId="77777777" w:rsidTr="00A04226">
        <w:trPr>
          <w:jc w:val="center"/>
        </w:trPr>
        <w:tc>
          <w:tcPr>
            <w:tcW w:w="709" w:type="dxa"/>
          </w:tcPr>
          <w:p w14:paraId="2CCB7CF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9</w:t>
            </w:r>
          </w:p>
        </w:tc>
        <w:tc>
          <w:tcPr>
            <w:tcW w:w="1985" w:type="dxa"/>
          </w:tcPr>
          <w:p w14:paraId="15862EB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57BB805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146.0</w:t>
            </w:r>
          </w:p>
        </w:tc>
        <w:tc>
          <w:tcPr>
            <w:tcW w:w="851" w:type="dxa"/>
          </w:tcPr>
          <w:p w14:paraId="4F37839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145.9</w:t>
            </w:r>
          </w:p>
        </w:tc>
        <w:tc>
          <w:tcPr>
            <w:tcW w:w="1984" w:type="dxa"/>
            <w:vAlign w:val="center"/>
          </w:tcPr>
          <w:p w14:paraId="1FC0069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24CA3E7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146.0</w:t>
            </w:r>
          </w:p>
        </w:tc>
        <w:tc>
          <w:tcPr>
            <w:tcW w:w="756" w:type="dxa"/>
            <w:vAlign w:val="center"/>
          </w:tcPr>
          <w:p w14:paraId="7DCBA3C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145.9</w:t>
            </w:r>
          </w:p>
        </w:tc>
        <w:tc>
          <w:tcPr>
            <w:tcW w:w="1838" w:type="dxa"/>
          </w:tcPr>
          <w:p w14:paraId="0858461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D84DC6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141.8</w:t>
            </w:r>
          </w:p>
        </w:tc>
        <w:tc>
          <w:tcPr>
            <w:tcW w:w="856" w:type="dxa"/>
          </w:tcPr>
          <w:p w14:paraId="2D0860A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143.4</w:t>
            </w:r>
          </w:p>
        </w:tc>
        <w:tc>
          <w:tcPr>
            <w:tcW w:w="1838" w:type="dxa"/>
          </w:tcPr>
          <w:p w14:paraId="35704BC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3017966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48.8</w:t>
            </w:r>
          </w:p>
        </w:tc>
        <w:tc>
          <w:tcPr>
            <w:tcW w:w="898" w:type="dxa"/>
          </w:tcPr>
          <w:p w14:paraId="13F13B4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48.9</w:t>
            </w:r>
          </w:p>
        </w:tc>
      </w:tr>
      <w:tr w:rsidR="00E049CB" w:rsidRPr="005E6B7C" w14:paraId="6D327EFB" w14:textId="77777777" w:rsidTr="00A04226">
        <w:trPr>
          <w:jc w:val="center"/>
        </w:trPr>
        <w:tc>
          <w:tcPr>
            <w:tcW w:w="709" w:type="dxa"/>
          </w:tcPr>
          <w:p w14:paraId="49370DE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w:t>
            </w:r>
          </w:p>
        </w:tc>
        <w:tc>
          <w:tcPr>
            <w:tcW w:w="1985" w:type="dxa"/>
          </w:tcPr>
          <w:p w14:paraId="601E751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B80044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37.4</w:t>
            </w:r>
          </w:p>
        </w:tc>
        <w:tc>
          <w:tcPr>
            <w:tcW w:w="851" w:type="dxa"/>
          </w:tcPr>
          <w:p w14:paraId="4931AFE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37.4</w:t>
            </w:r>
          </w:p>
        </w:tc>
        <w:tc>
          <w:tcPr>
            <w:tcW w:w="1984" w:type="dxa"/>
            <w:vAlign w:val="center"/>
          </w:tcPr>
          <w:p w14:paraId="1234FD2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15E1177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37.4</w:t>
            </w:r>
          </w:p>
        </w:tc>
        <w:tc>
          <w:tcPr>
            <w:tcW w:w="756" w:type="dxa"/>
            <w:vAlign w:val="center"/>
          </w:tcPr>
          <w:p w14:paraId="774DF69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37.3</w:t>
            </w:r>
          </w:p>
        </w:tc>
        <w:tc>
          <w:tcPr>
            <w:tcW w:w="1838" w:type="dxa"/>
          </w:tcPr>
          <w:p w14:paraId="04F9C7D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7D74339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37.1</w:t>
            </w:r>
          </w:p>
        </w:tc>
        <w:tc>
          <w:tcPr>
            <w:tcW w:w="856" w:type="dxa"/>
          </w:tcPr>
          <w:p w14:paraId="6DEBC8F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35.6</w:t>
            </w:r>
          </w:p>
        </w:tc>
        <w:tc>
          <w:tcPr>
            <w:tcW w:w="1838" w:type="dxa"/>
          </w:tcPr>
          <w:p w14:paraId="0989DD6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08FEEC3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34.4</w:t>
            </w:r>
          </w:p>
        </w:tc>
        <w:tc>
          <w:tcPr>
            <w:tcW w:w="898" w:type="dxa"/>
          </w:tcPr>
          <w:p w14:paraId="36B8DE3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34.4</w:t>
            </w:r>
          </w:p>
        </w:tc>
      </w:tr>
      <w:tr w:rsidR="00E049CB" w:rsidRPr="005E6B7C" w14:paraId="32350D19" w14:textId="77777777" w:rsidTr="00A04226">
        <w:trPr>
          <w:jc w:val="center"/>
        </w:trPr>
        <w:tc>
          <w:tcPr>
            <w:tcW w:w="709" w:type="dxa"/>
          </w:tcPr>
          <w:p w14:paraId="453E658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w:t>
            </w:r>
          </w:p>
        </w:tc>
        <w:tc>
          <w:tcPr>
            <w:tcW w:w="1985" w:type="dxa"/>
          </w:tcPr>
          <w:p w14:paraId="05CAFAE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5.48 (m, 6.0)</w:t>
            </w:r>
          </w:p>
        </w:tc>
        <w:tc>
          <w:tcPr>
            <w:tcW w:w="850" w:type="dxa"/>
          </w:tcPr>
          <w:p w14:paraId="5707AB6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116.3</w:t>
            </w:r>
          </w:p>
        </w:tc>
        <w:tc>
          <w:tcPr>
            <w:tcW w:w="851" w:type="dxa"/>
          </w:tcPr>
          <w:p w14:paraId="5C489A6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116.3</w:t>
            </w:r>
          </w:p>
        </w:tc>
        <w:tc>
          <w:tcPr>
            <w:tcW w:w="1984" w:type="dxa"/>
            <w:vAlign w:val="center"/>
          </w:tcPr>
          <w:p w14:paraId="6858AD3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5.32 (br d, 6.0)</w:t>
            </w:r>
          </w:p>
        </w:tc>
        <w:tc>
          <w:tcPr>
            <w:tcW w:w="803" w:type="dxa"/>
            <w:vAlign w:val="center"/>
          </w:tcPr>
          <w:p w14:paraId="2CFA3FF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116.4</w:t>
            </w:r>
          </w:p>
        </w:tc>
        <w:tc>
          <w:tcPr>
            <w:tcW w:w="756" w:type="dxa"/>
            <w:vAlign w:val="center"/>
          </w:tcPr>
          <w:p w14:paraId="1773F16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116.3</w:t>
            </w:r>
          </w:p>
        </w:tc>
        <w:tc>
          <w:tcPr>
            <w:tcW w:w="1838" w:type="dxa"/>
          </w:tcPr>
          <w:p w14:paraId="5600784C" w14:textId="3EDA3B87" w:rsidR="00E049CB" w:rsidRPr="005E6B7C" w:rsidRDefault="00E049CB" w:rsidP="001C09C8">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5.57 (dd, 3.1</w:t>
            </w:r>
            <w:r w:rsidR="001C09C8"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5.4)</w:t>
            </w:r>
          </w:p>
        </w:tc>
        <w:tc>
          <w:tcPr>
            <w:tcW w:w="850" w:type="dxa"/>
          </w:tcPr>
          <w:p w14:paraId="6B13D5D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119.6</w:t>
            </w:r>
          </w:p>
        </w:tc>
        <w:tc>
          <w:tcPr>
            <w:tcW w:w="856" w:type="dxa"/>
          </w:tcPr>
          <w:p w14:paraId="72FECDC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118.8</w:t>
            </w:r>
          </w:p>
        </w:tc>
        <w:tc>
          <w:tcPr>
            <w:tcW w:w="1838" w:type="dxa"/>
          </w:tcPr>
          <w:p w14:paraId="342A1CB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4E9BAFC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21.7</w:t>
            </w:r>
          </w:p>
        </w:tc>
        <w:tc>
          <w:tcPr>
            <w:tcW w:w="898" w:type="dxa"/>
          </w:tcPr>
          <w:p w14:paraId="45B4553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21.7</w:t>
            </w:r>
          </w:p>
        </w:tc>
      </w:tr>
      <w:tr w:rsidR="00E049CB" w:rsidRPr="005E6B7C" w14:paraId="4B93534D" w14:textId="77777777" w:rsidTr="00A04226">
        <w:trPr>
          <w:jc w:val="center"/>
        </w:trPr>
        <w:tc>
          <w:tcPr>
            <w:tcW w:w="709" w:type="dxa"/>
          </w:tcPr>
          <w:p w14:paraId="384438D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w:t>
            </w:r>
          </w:p>
        </w:tc>
        <w:tc>
          <w:tcPr>
            <w:tcW w:w="1985" w:type="dxa"/>
          </w:tcPr>
          <w:p w14:paraId="2C44A7B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60E389C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37.9</w:t>
            </w:r>
          </w:p>
        </w:tc>
        <w:tc>
          <w:tcPr>
            <w:tcW w:w="851" w:type="dxa"/>
          </w:tcPr>
          <w:p w14:paraId="142A414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37.9</w:t>
            </w:r>
          </w:p>
        </w:tc>
        <w:tc>
          <w:tcPr>
            <w:tcW w:w="1984" w:type="dxa"/>
            <w:vAlign w:val="center"/>
          </w:tcPr>
          <w:p w14:paraId="34174FC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7D5B8ED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37.9</w:t>
            </w:r>
          </w:p>
        </w:tc>
        <w:tc>
          <w:tcPr>
            <w:tcW w:w="756" w:type="dxa"/>
            <w:vAlign w:val="center"/>
          </w:tcPr>
          <w:p w14:paraId="3C83548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37.8</w:t>
            </w:r>
          </w:p>
        </w:tc>
        <w:tc>
          <w:tcPr>
            <w:tcW w:w="1838" w:type="dxa"/>
          </w:tcPr>
          <w:p w14:paraId="154F70A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3A2735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40.3</w:t>
            </w:r>
          </w:p>
        </w:tc>
        <w:tc>
          <w:tcPr>
            <w:tcW w:w="856" w:type="dxa"/>
          </w:tcPr>
          <w:p w14:paraId="2A2EB56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42.1</w:t>
            </w:r>
          </w:p>
        </w:tc>
        <w:tc>
          <w:tcPr>
            <w:tcW w:w="1838" w:type="dxa"/>
          </w:tcPr>
          <w:p w14:paraId="5CF30FF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73B8F3E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39.4</w:t>
            </w:r>
          </w:p>
        </w:tc>
        <w:tc>
          <w:tcPr>
            <w:tcW w:w="898" w:type="dxa"/>
          </w:tcPr>
          <w:p w14:paraId="197228C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39.4</w:t>
            </w:r>
          </w:p>
        </w:tc>
      </w:tr>
      <w:tr w:rsidR="00E049CB" w:rsidRPr="005E6B7C" w14:paraId="349DB16E" w14:textId="77777777" w:rsidTr="00A04226">
        <w:trPr>
          <w:jc w:val="center"/>
        </w:trPr>
        <w:tc>
          <w:tcPr>
            <w:tcW w:w="709" w:type="dxa"/>
          </w:tcPr>
          <w:p w14:paraId="6DEF983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w:t>
            </w:r>
          </w:p>
        </w:tc>
        <w:tc>
          <w:tcPr>
            <w:tcW w:w="1985" w:type="dxa"/>
          </w:tcPr>
          <w:p w14:paraId="1BAFA81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CD024B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43.7</w:t>
            </w:r>
          </w:p>
        </w:tc>
        <w:tc>
          <w:tcPr>
            <w:tcW w:w="851" w:type="dxa"/>
          </w:tcPr>
          <w:p w14:paraId="181C65D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43.8</w:t>
            </w:r>
          </w:p>
        </w:tc>
        <w:tc>
          <w:tcPr>
            <w:tcW w:w="1984" w:type="dxa"/>
            <w:vAlign w:val="center"/>
          </w:tcPr>
          <w:p w14:paraId="147B537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5A3D500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43.8</w:t>
            </w:r>
          </w:p>
        </w:tc>
        <w:tc>
          <w:tcPr>
            <w:tcW w:w="756" w:type="dxa"/>
            <w:vAlign w:val="center"/>
          </w:tcPr>
          <w:p w14:paraId="7D33C99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43.7</w:t>
            </w:r>
          </w:p>
        </w:tc>
        <w:tc>
          <w:tcPr>
            <w:tcW w:w="1838" w:type="dxa"/>
          </w:tcPr>
          <w:p w14:paraId="46C8EC9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529FF3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42.9</w:t>
            </w:r>
          </w:p>
        </w:tc>
        <w:tc>
          <w:tcPr>
            <w:tcW w:w="856" w:type="dxa"/>
          </w:tcPr>
          <w:p w14:paraId="5730424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42.7</w:t>
            </w:r>
          </w:p>
        </w:tc>
        <w:tc>
          <w:tcPr>
            <w:tcW w:w="1838" w:type="dxa"/>
          </w:tcPr>
          <w:p w14:paraId="716ACC0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2922BBA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43.3</w:t>
            </w:r>
          </w:p>
        </w:tc>
        <w:tc>
          <w:tcPr>
            <w:tcW w:w="898" w:type="dxa"/>
          </w:tcPr>
          <w:p w14:paraId="3486DB7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43.3</w:t>
            </w:r>
          </w:p>
        </w:tc>
      </w:tr>
      <w:tr w:rsidR="00E049CB" w:rsidRPr="005E6B7C" w14:paraId="16B8B402" w14:textId="77777777" w:rsidTr="00A04226">
        <w:trPr>
          <w:jc w:val="center"/>
        </w:trPr>
        <w:tc>
          <w:tcPr>
            <w:tcW w:w="709" w:type="dxa"/>
          </w:tcPr>
          <w:p w14:paraId="20AC9CF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w:t>
            </w:r>
          </w:p>
        </w:tc>
        <w:tc>
          <w:tcPr>
            <w:tcW w:w="1985" w:type="dxa"/>
          </w:tcPr>
          <w:p w14:paraId="190E2E3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5010755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50.7</w:t>
            </w:r>
          </w:p>
        </w:tc>
        <w:tc>
          <w:tcPr>
            <w:tcW w:w="851" w:type="dxa"/>
          </w:tcPr>
          <w:p w14:paraId="227321C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49.2</w:t>
            </w:r>
          </w:p>
        </w:tc>
        <w:tc>
          <w:tcPr>
            <w:tcW w:w="1984" w:type="dxa"/>
            <w:vAlign w:val="center"/>
          </w:tcPr>
          <w:p w14:paraId="35E4144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09EAD61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50.4</w:t>
            </w:r>
          </w:p>
        </w:tc>
        <w:tc>
          <w:tcPr>
            <w:tcW w:w="756" w:type="dxa"/>
            <w:vAlign w:val="center"/>
          </w:tcPr>
          <w:p w14:paraId="1123F23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50.3</w:t>
            </w:r>
          </w:p>
        </w:tc>
        <w:tc>
          <w:tcPr>
            <w:tcW w:w="1838" w:type="dxa"/>
          </w:tcPr>
          <w:p w14:paraId="2B101B3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3F11B1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54.6</w:t>
            </w:r>
          </w:p>
        </w:tc>
        <w:tc>
          <w:tcPr>
            <w:tcW w:w="856" w:type="dxa"/>
          </w:tcPr>
          <w:p w14:paraId="73AA3DB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51.5</w:t>
            </w:r>
          </w:p>
        </w:tc>
        <w:tc>
          <w:tcPr>
            <w:tcW w:w="1838" w:type="dxa"/>
          </w:tcPr>
          <w:p w14:paraId="650D897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535E7B4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55.0</w:t>
            </w:r>
          </w:p>
        </w:tc>
        <w:tc>
          <w:tcPr>
            <w:tcW w:w="898" w:type="dxa"/>
          </w:tcPr>
          <w:p w14:paraId="6AAD559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55.0</w:t>
            </w:r>
          </w:p>
        </w:tc>
      </w:tr>
      <w:tr w:rsidR="00E049CB" w:rsidRPr="005E6B7C" w14:paraId="46B10543" w14:textId="77777777" w:rsidTr="00A04226">
        <w:trPr>
          <w:jc w:val="center"/>
        </w:trPr>
        <w:tc>
          <w:tcPr>
            <w:tcW w:w="709" w:type="dxa"/>
          </w:tcPr>
          <w:p w14:paraId="46DE6EC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w:t>
            </w:r>
          </w:p>
        </w:tc>
        <w:tc>
          <w:tcPr>
            <w:tcW w:w="1985" w:type="dxa"/>
          </w:tcPr>
          <w:p w14:paraId="5E4C3E5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DFFF04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27.9</w:t>
            </w:r>
          </w:p>
        </w:tc>
        <w:tc>
          <w:tcPr>
            <w:tcW w:w="851" w:type="dxa"/>
          </w:tcPr>
          <w:p w14:paraId="4EB1FD3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28.0</w:t>
            </w:r>
          </w:p>
        </w:tc>
        <w:tc>
          <w:tcPr>
            <w:tcW w:w="1984" w:type="dxa"/>
            <w:vAlign w:val="center"/>
          </w:tcPr>
          <w:p w14:paraId="1D4BA82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7A7FC2F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31.6</w:t>
            </w:r>
          </w:p>
        </w:tc>
        <w:tc>
          <w:tcPr>
            <w:tcW w:w="756" w:type="dxa"/>
            <w:vAlign w:val="center"/>
          </w:tcPr>
          <w:p w14:paraId="1266E71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31.5</w:t>
            </w:r>
          </w:p>
        </w:tc>
        <w:tc>
          <w:tcPr>
            <w:tcW w:w="1838" w:type="dxa"/>
          </w:tcPr>
          <w:p w14:paraId="10BCAFF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1B7FA5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23.0</w:t>
            </w:r>
          </w:p>
        </w:tc>
        <w:tc>
          <w:tcPr>
            <w:tcW w:w="856" w:type="dxa"/>
          </w:tcPr>
          <w:p w14:paraId="7A0C94E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23.1</w:t>
            </w:r>
          </w:p>
        </w:tc>
        <w:tc>
          <w:tcPr>
            <w:tcW w:w="1838" w:type="dxa"/>
          </w:tcPr>
          <w:p w14:paraId="4FB8666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703EA35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22.9</w:t>
            </w:r>
          </w:p>
        </w:tc>
        <w:tc>
          <w:tcPr>
            <w:tcW w:w="898" w:type="dxa"/>
          </w:tcPr>
          <w:p w14:paraId="2E0D137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22.9</w:t>
            </w:r>
          </w:p>
        </w:tc>
      </w:tr>
      <w:tr w:rsidR="00E049CB" w:rsidRPr="005E6B7C" w14:paraId="476737E4" w14:textId="77777777" w:rsidTr="00A04226">
        <w:trPr>
          <w:jc w:val="center"/>
        </w:trPr>
        <w:tc>
          <w:tcPr>
            <w:tcW w:w="709" w:type="dxa"/>
          </w:tcPr>
          <w:p w14:paraId="1023C24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w:t>
            </w:r>
          </w:p>
        </w:tc>
        <w:tc>
          <w:tcPr>
            <w:tcW w:w="1985" w:type="dxa"/>
          </w:tcPr>
          <w:p w14:paraId="46E180C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541526D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31.5</w:t>
            </w:r>
          </w:p>
        </w:tc>
        <w:tc>
          <w:tcPr>
            <w:tcW w:w="851" w:type="dxa"/>
          </w:tcPr>
          <w:p w14:paraId="4A8088F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31.5</w:t>
            </w:r>
          </w:p>
        </w:tc>
        <w:tc>
          <w:tcPr>
            <w:tcW w:w="1984" w:type="dxa"/>
            <w:vAlign w:val="center"/>
          </w:tcPr>
          <w:p w14:paraId="4013F4D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58A4353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27.9</w:t>
            </w:r>
          </w:p>
        </w:tc>
        <w:tc>
          <w:tcPr>
            <w:tcW w:w="756" w:type="dxa"/>
            <w:vAlign w:val="center"/>
          </w:tcPr>
          <w:p w14:paraId="2E9A74C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27.9</w:t>
            </w:r>
          </w:p>
        </w:tc>
        <w:tc>
          <w:tcPr>
            <w:tcW w:w="1838" w:type="dxa"/>
          </w:tcPr>
          <w:p w14:paraId="767E71B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6BDD9CF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28.3</w:t>
            </w:r>
          </w:p>
        </w:tc>
        <w:tc>
          <w:tcPr>
            <w:tcW w:w="856" w:type="dxa"/>
          </w:tcPr>
          <w:p w14:paraId="2FDBE37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28.8</w:t>
            </w:r>
          </w:p>
        </w:tc>
        <w:tc>
          <w:tcPr>
            <w:tcW w:w="1838" w:type="dxa"/>
          </w:tcPr>
          <w:p w14:paraId="21B2DC9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65C5972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28.1</w:t>
            </w:r>
          </w:p>
        </w:tc>
        <w:tc>
          <w:tcPr>
            <w:tcW w:w="898" w:type="dxa"/>
          </w:tcPr>
          <w:p w14:paraId="684558A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28.1</w:t>
            </w:r>
          </w:p>
        </w:tc>
      </w:tr>
      <w:tr w:rsidR="00E049CB" w:rsidRPr="005E6B7C" w14:paraId="62EDC7FF" w14:textId="77777777" w:rsidTr="00A04226">
        <w:trPr>
          <w:jc w:val="center"/>
        </w:trPr>
        <w:tc>
          <w:tcPr>
            <w:tcW w:w="709" w:type="dxa"/>
          </w:tcPr>
          <w:p w14:paraId="5DD8004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w:t>
            </w:r>
          </w:p>
        </w:tc>
        <w:tc>
          <w:tcPr>
            <w:tcW w:w="1985" w:type="dxa"/>
          </w:tcPr>
          <w:p w14:paraId="428F13C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5F5D84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51.0</w:t>
            </w:r>
          </w:p>
        </w:tc>
        <w:tc>
          <w:tcPr>
            <w:tcW w:w="851" w:type="dxa"/>
          </w:tcPr>
          <w:p w14:paraId="4376539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50.9</w:t>
            </w:r>
          </w:p>
        </w:tc>
        <w:tc>
          <w:tcPr>
            <w:tcW w:w="1984" w:type="dxa"/>
            <w:vAlign w:val="center"/>
          </w:tcPr>
          <w:p w14:paraId="2D70914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5281519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51.0</w:t>
            </w:r>
          </w:p>
        </w:tc>
        <w:tc>
          <w:tcPr>
            <w:tcW w:w="756" w:type="dxa"/>
            <w:vAlign w:val="center"/>
          </w:tcPr>
          <w:p w14:paraId="4622F12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50.9</w:t>
            </w:r>
          </w:p>
        </w:tc>
        <w:tc>
          <w:tcPr>
            <w:tcW w:w="1838" w:type="dxa"/>
          </w:tcPr>
          <w:p w14:paraId="458B52D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0CF5055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55.8</w:t>
            </w:r>
          </w:p>
        </w:tc>
        <w:tc>
          <w:tcPr>
            <w:tcW w:w="856" w:type="dxa"/>
          </w:tcPr>
          <w:p w14:paraId="2EDB16F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56.0</w:t>
            </w:r>
          </w:p>
        </w:tc>
        <w:tc>
          <w:tcPr>
            <w:tcW w:w="1838" w:type="dxa"/>
          </w:tcPr>
          <w:p w14:paraId="260D410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6584529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55.9</w:t>
            </w:r>
          </w:p>
        </w:tc>
        <w:tc>
          <w:tcPr>
            <w:tcW w:w="898" w:type="dxa"/>
          </w:tcPr>
          <w:p w14:paraId="2061CC7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56.0</w:t>
            </w:r>
          </w:p>
        </w:tc>
      </w:tr>
      <w:tr w:rsidR="00E049CB" w:rsidRPr="005E6B7C" w14:paraId="4CBD9FD3" w14:textId="77777777" w:rsidTr="00A04226">
        <w:trPr>
          <w:jc w:val="center"/>
        </w:trPr>
        <w:tc>
          <w:tcPr>
            <w:tcW w:w="709" w:type="dxa"/>
          </w:tcPr>
          <w:p w14:paraId="571E688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w:t>
            </w:r>
          </w:p>
        </w:tc>
        <w:tc>
          <w:tcPr>
            <w:tcW w:w="1985" w:type="dxa"/>
          </w:tcPr>
          <w:p w14:paraId="449C527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0.57 (s)</w:t>
            </w:r>
          </w:p>
        </w:tc>
        <w:tc>
          <w:tcPr>
            <w:tcW w:w="850" w:type="dxa"/>
          </w:tcPr>
          <w:p w14:paraId="3C156AA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15.7</w:t>
            </w:r>
          </w:p>
        </w:tc>
        <w:tc>
          <w:tcPr>
            <w:tcW w:w="851" w:type="dxa"/>
          </w:tcPr>
          <w:p w14:paraId="1CA8D84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15.7</w:t>
            </w:r>
          </w:p>
        </w:tc>
        <w:tc>
          <w:tcPr>
            <w:tcW w:w="1984" w:type="dxa"/>
            <w:vAlign w:val="center"/>
          </w:tcPr>
          <w:p w14:paraId="147D758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0.57 (s)</w:t>
            </w:r>
          </w:p>
        </w:tc>
        <w:tc>
          <w:tcPr>
            <w:tcW w:w="803" w:type="dxa"/>
            <w:vAlign w:val="center"/>
          </w:tcPr>
          <w:p w14:paraId="2C11B6A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15.7</w:t>
            </w:r>
          </w:p>
        </w:tc>
        <w:tc>
          <w:tcPr>
            <w:tcW w:w="756" w:type="dxa"/>
            <w:vAlign w:val="center"/>
          </w:tcPr>
          <w:p w14:paraId="3E99B20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15.6</w:t>
            </w:r>
          </w:p>
        </w:tc>
        <w:tc>
          <w:tcPr>
            <w:tcW w:w="1838" w:type="dxa"/>
          </w:tcPr>
          <w:p w14:paraId="294FDD0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0.63 (s)</w:t>
            </w:r>
          </w:p>
        </w:tc>
        <w:tc>
          <w:tcPr>
            <w:tcW w:w="850" w:type="dxa"/>
          </w:tcPr>
          <w:p w14:paraId="77DF6CF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12.1</w:t>
            </w:r>
          </w:p>
        </w:tc>
        <w:tc>
          <w:tcPr>
            <w:tcW w:w="856" w:type="dxa"/>
          </w:tcPr>
          <w:p w14:paraId="516469F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11.4</w:t>
            </w:r>
          </w:p>
        </w:tc>
        <w:tc>
          <w:tcPr>
            <w:tcW w:w="1838" w:type="dxa"/>
          </w:tcPr>
          <w:p w14:paraId="14421CF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0.56 (s)</w:t>
            </w:r>
          </w:p>
        </w:tc>
        <w:tc>
          <w:tcPr>
            <w:tcW w:w="945" w:type="dxa"/>
          </w:tcPr>
          <w:p w14:paraId="475D3F3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12.1</w:t>
            </w:r>
          </w:p>
        </w:tc>
        <w:tc>
          <w:tcPr>
            <w:tcW w:w="898" w:type="dxa"/>
          </w:tcPr>
          <w:p w14:paraId="5F4DF50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12.2</w:t>
            </w:r>
          </w:p>
        </w:tc>
      </w:tr>
      <w:tr w:rsidR="00E049CB" w:rsidRPr="005E6B7C" w14:paraId="7130041E" w14:textId="77777777" w:rsidTr="00A04226">
        <w:trPr>
          <w:jc w:val="center"/>
        </w:trPr>
        <w:tc>
          <w:tcPr>
            <w:tcW w:w="709" w:type="dxa"/>
          </w:tcPr>
          <w:p w14:paraId="21A947C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w:t>
            </w:r>
          </w:p>
        </w:tc>
        <w:tc>
          <w:tcPr>
            <w:tcW w:w="1985" w:type="dxa"/>
          </w:tcPr>
          <w:p w14:paraId="76338D3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0.99 (s)</w:t>
            </w:r>
          </w:p>
        </w:tc>
        <w:tc>
          <w:tcPr>
            <w:tcW w:w="850" w:type="dxa"/>
          </w:tcPr>
          <w:p w14:paraId="32BE1EE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22.8</w:t>
            </w:r>
          </w:p>
        </w:tc>
        <w:tc>
          <w:tcPr>
            <w:tcW w:w="851" w:type="dxa"/>
          </w:tcPr>
          <w:p w14:paraId="42B3366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22.8</w:t>
            </w:r>
          </w:p>
        </w:tc>
        <w:tc>
          <w:tcPr>
            <w:tcW w:w="1984" w:type="dxa"/>
            <w:vAlign w:val="center"/>
          </w:tcPr>
          <w:p w14:paraId="703A6AF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0.99 (s)</w:t>
            </w:r>
          </w:p>
        </w:tc>
        <w:tc>
          <w:tcPr>
            <w:tcW w:w="803" w:type="dxa"/>
            <w:vAlign w:val="center"/>
          </w:tcPr>
          <w:p w14:paraId="0C25D73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22.8</w:t>
            </w:r>
          </w:p>
        </w:tc>
        <w:tc>
          <w:tcPr>
            <w:tcW w:w="756" w:type="dxa"/>
            <w:vAlign w:val="center"/>
          </w:tcPr>
          <w:p w14:paraId="22BDA12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22.7</w:t>
            </w:r>
          </w:p>
        </w:tc>
        <w:tc>
          <w:tcPr>
            <w:tcW w:w="1838" w:type="dxa"/>
          </w:tcPr>
          <w:p w14:paraId="5FDC6F5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0.95 (s)</w:t>
            </w:r>
          </w:p>
        </w:tc>
        <w:tc>
          <w:tcPr>
            <w:tcW w:w="850" w:type="dxa"/>
          </w:tcPr>
          <w:p w14:paraId="26A9624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16.3</w:t>
            </w:r>
          </w:p>
        </w:tc>
        <w:tc>
          <w:tcPr>
            <w:tcW w:w="856" w:type="dxa"/>
          </w:tcPr>
          <w:p w14:paraId="4B2D3F8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19.3</w:t>
            </w:r>
          </w:p>
        </w:tc>
        <w:tc>
          <w:tcPr>
            <w:tcW w:w="1838" w:type="dxa"/>
          </w:tcPr>
          <w:p w14:paraId="21EAD4D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1.02 (s)</w:t>
            </w:r>
          </w:p>
        </w:tc>
        <w:tc>
          <w:tcPr>
            <w:tcW w:w="945" w:type="dxa"/>
          </w:tcPr>
          <w:p w14:paraId="48F3274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12.5</w:t>
            </w:r>
          </w:p>
        </w:tc>
        <w:tc>
          <w:tcPr>
            <w:tcW w:w="898" w:type="dxa"/>
          </w:tcPr>
          <w:p w14:paraId="3337727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12.4</w:t>
            </w:r>
          </w:p>
        </w:tc>
      </w:tr>
      <w:tr w:rsidR="00E049CB" w:rsidRPr="005E6B7C" w14:paraId="31EF104C" w14:textId="77777777" w:rsidTr="00A04226">
        <w:trPr>
          <w:jc w:val="center"/>
        </w:trPr>
        <w:tc>
          <w:tcPr>
            <w:tcW w:w="709" w:type="dxa"/>
          </w:tcPr>
          <w:p w14:paraId="5A1AE38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w:t>
            </w:r>
          </w:p>
        </w:tc>
        <w:tc>
          <w:tcPr>
            <w:tcW w:w="1985" w:type="dxa"/>
          </w:tcPr>
          <w:p w14:paraId="5497191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43AA74E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36.1</w:t>
            </w:r>
          </w:p>
        </w:tc>
        <w:tc>
          <w:tcPr>
            <w:tcW w:w="851" w:type="dxa"/>
          </w:tcPr>
          <w:p w14:paraId="7D538AD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36.1</w:t>
            </w:r>
          </w:p>
        </w:tc>
        <w:tc>
          <w:tcPr>
            <w:tcW w:w="1984" w:type="dxa"/>
            <w:vAlign w:val="center"/>
          </w:tcPr>
          <w:p w14:paraId="0901906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1C0C96E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36.1</w:t>
            </w:r>
          </w:p>
        </w:tc>
        <w:tc>
          <w:tcPr>
            <w:tcW w:w="756" w:type="dxa"/>
            <w:vAlign w:val="center"/>
          </w:tcPr>
          <w:p w14:paraId="2A06089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36.0</w:t>
            </w:r>
          </w:p>
        </w:tc>
        <w:tc>
          <w:tcPr>
            <w:tcW w:w="1838" w:type="dxa"/>
          </w:tcPr>
          <w:p w14:paraId="448364B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7FBA8EB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40.4</w:t>
            </w:r>
          </w:p>
        </w:tc>
        <w:tc>
          <w:tcPr>
            <w:tcW w:w="856" w:type="dxa"/>
          </w:tcPr>
          <w:p w14:paraId="33033B4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40.3</w:t>
            </w:r>
          </w:p>
        </w:tc>
        <w:tc>
          <w:tcPr>
            <w:tcW w:w="1838" w:type="dxa"/>
          </w:tcPr>
          <w:p w14:paraId="1E0629C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6D7D6AF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40.5</w:t>
            </w:r>
          </w:p>
        </w:tc>
        <w:tc>
          <w:tcPr>
            <w:tcW w:w="898" w:type="dxa"/>
          </w:tcPr>
          <w:p w14:paraId="7F7E78D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40.5</w:t>
            </w:r>
          </w:p>
        </w:tc>
      </w:tr>
      <w:tr w:rsidR="00E049CB" w:rsidRPr="005E6B7C" w14:paraId="6FC4EA06" w14:textId="77777777" w:rsidTr="00A04226">
        <w:trPr>
          <w:jc w:val="center"/>
        </w:trPr>
        <w:tc>
          <w:tcPr>
            <w:tcW w:w="709" w:type="dxa"/>
          </w:tcPr>
          <w:p w14:paraId="3B510A0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w:t>
            </w:r>
          </w:p>
        </w:tc>
        <w:tc>
          <w:tcPr>
            <w:tcW w:w="1985" w:type="dxa"/>
          </w:tcPr>
          <w:p w14:paraId="2EF98C6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0.92 (d, 6.3)</w:t>
            </w:r>
          </w:p>
        </w:tc>
        <w:tc>
          <w:tcPr>
            <w:tcW w:w="850" w:type="dxa"/>
          </w:tcPr>
          <w:p w14:paraId="368BFC3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18.4</w:t>
            </w:r>
          </w:p>
        </w:tc>
        <w:tc>
          <w:tcPr>
            <w:tcW w:w="851" w:type="dxa"/>
          </w:tcPr>
          <w:p w14:paraId="3356ED8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18.4</w:t>
            </w:r>
          </w:p>
        </w:tc>
        <w:tc>
          <w:tcPr>
            <w:tcW w:w="1984" w:type="dxa"/>
            <w:vAlign w:val="center"/>
          </w:tcPr>
          <w:p w14:paraId="28E2DB9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0.91 (d, 6.4)</w:t>
            </w:r>
          </w:p>
        </w:tc>
        <w:tc>
          <w:tcPr>
            <w:tcW w:w="803" w:type="dxa"/>
            <w:vAlign w:val="center"/>
          </w:tcPr>
          <w:p w14:paraId="220FD6C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18.5</w:t>
            </w:r>
          </w:p>
        </w:tc>
        <w:tc>
          <w:tcPr>
            <w:tcW w:w="756" w:type="dxa"/>
            <w:vAlign w:val="center"/>
          </w:tcPr>
          <w:p w14:paraId="54AF415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18.4</w:t>
            </w:r>
          </w:p>
        </w:tc>
        <w:tc>
          <w:tcPr>
            <w:tcW w:w="1838" w:type="dxa"/>
          </w:tcPr>
          <w:p w14:paraId="626BB26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1.04 (d, 6.4)</w:t>
            </w:r>
          </w:p>
        </w:tc>
        <w:tc>
          <w:tcPr>
            <w:tcW w:w="850" w:type="dxa"/>
          </w:tcPr>
          <w:p w14:paraId="58A6F70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21.1</w:t>
            </w:r>
          </w:p>
        </w:tc>
        <w:tc>
          <w:tcPr>
            <w:tcW w:w="856" w:type="dxa"/>
          </w:tcPr>
          <w:p w14:paraId="18606FF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19.6</w:t>
            </w:r>
          </w:p>
        </w:tc>
        <w:tc>
          <w:tcPr>
            <w:tcW w:w="1838" w:type="dxa"/>
          </w:tcPr>
          <w:p w14:paraId="46B3F9B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1.03 (d, 6.4)</w:t>
            </w:r>
          </w:p>
        </w:tc>
        <w:tc>
          <w:tcPr>
            <w:tcW w:w="945" w:type="dxa"/>
          </w:tcPr>
          <w:p w14:paraId="0180016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21.1</w:t>
            </w:r>
          </w:p>
        </w:tc>
        <w:tc>
          <w:tcPr>
            <w:tcW w:w="898" w:type="dxa"/>
          </w:tcPr>
          <w:p w14:paraId="26C1B18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21.1</w:t>
            </w:r>
          </w:p>
        </w:tc>
      </w:tr>
      <w:tr w:rsidR="00E049CB" w:rsidRPr="005E6B7C" w14:paraId="640C7BB7" w14:textId="77777777" w:rsidTr="00A04226">
        <w:trPr>
          <w:jc w:val="center"/>
        </w:trPr>
        <w:tc>
          <w:tcPr>
            <w:tcW w:w="709" w:type="dxa"/>
          </w:tcPr>
          <w:p w14:paraId="7052ED4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w:t>
            </w:r>
          </w:p>
        </w:tc>
        <w:tc>
          <w:tcPr>
            <w:tcW w:w="1985" w:type="dxa"/>
          </w:tcPr>
          <w:p w14:paraId="386610E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3EA3C38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36.0</w:t>
            </w:r>
          </w:p>
        </w:tc>
        <w:tc>
          <w:tcPr>
            <w:tcW w:w="851" w:type="dxa"/>
          </w:tcPr>
          <w:p w14:paraId="2B91598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36.0</w:t>
            </w:r>
          </w:p>
        </w:tc>
        <w:tc>
          <w:tcPr>
            <w:tcW w:w="1984" w:type="dxa"/>
            <w:vAlign w:val="center"/>
          </w:tcPr>
          <w:p w14:paraId="0223719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24C8C15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36.3</w:t>
            </w:r>
          </w:p>
        </w:tc>
        <w:tc>
          <w:tcPr>
            <w:tcW w:w="756" w:type="dxa"/>
            <w:vAlign w:val="center"/>
          </w:tcPr>
          <w:p w14:paraId="44AEBFA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36.3</w:t>
            </w:r>
          </w:p>
        </w:tc>
        <w:tc>
          <w:tcPr>
            <w:tcW w:w="1838" w:type="dxa"/>
          </w:tcPr>
          <w:p w14:paraId="7EFBB40C" w14:textId="581F059A" w:rsidR="00E049CB" w:rsidRPr="005E6B7C" w:rsidRDefault="00E049CB" w:rsidP="001C09C8">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5.23 (dd, 7.2</w:t>
            </w:r>
            <w:r w:rsidR="001C09C8" w:rsidRPr="005E6B7C">
              <w:rPr>
                <w:rFonts w:asciiTheme="majorHAnsi" w:eastAsia="Yu Mincho" w:hAnsiTheme="majorHAnsi" w:cstheme="majorHAnsi"/>
                <w:color w:val="000000" w:themeColor="text1"/>
                <w:sz w:val="16"/>
                <w:szCs w:val="16"/>
                <w:lang w:eastAsia="ja-JP"/>
              </w:rPr>
              <w:t>,</w:t>
            </w:r>
            <w:r w:rsidRPr="005E6B7C">
              <w:rPr>
                <w:rFonts w:asciiTheme="majorHAnsi" w:eastAsia="Yu Mincho" w:hAnsiTheme="majorHAnsi" w:cstheme="majorHAnsi"/>
                <w:color w:val="000000" w:themeColor="text1"/>
                <w:sz w:val="16"/>
                <w:szCs w:val="16"/>
                <w:lang w:eastAsia="ja-JP"/>
              </w:rPr>
              <w:t>15.0)</w:t>
            </w:r>
          </w:p>
        </w:tc>
        <w:tc>
          <w:tcPr>
            <w:tcW w:w="850" w:type="dxa"/>
          </w:tcPr>
          <w:p w14:paraId="193721A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132.0</w:t>
            </w:r>
          </w:p>
        </w:tc>
        <w:tc>
          <w:tcPr>
            <w:tcW w:w="856" w:type="dxa"/>
          </w:tcPr>
          <w:p w14:paraId="7312CFB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131.5</w:t>
            </w:r>
          </w:p>
        </w:tc>
        <w:tc>
          <w:tcPr>
            <w:tcW w:w="1838" w:type="dxa"/>
          </w:tcPr>
          <w:p w14:paraId="33B7ADB2" w14:textId="09E9D00B" w:rsidR="00E049CB" w:rsidRPr="005E6B7C" w:rsidRDefault="00E049CB" w:rsidP="001C09C8">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5.19 (dd, 7.8</w:t>
            </w:r>
            <w:r w:rsidR="001C09C8"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15.2)</w:t>
            </w:r>
          </w:p>
        </w:tc>
        <w:tc>
          <w:tcPr>
            <w:tcW w:w="945" w:type="dxa"/>
          </w:tcPr>
          <w:p w14:paraId="288F563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135.6</w:t>
            </w:r>
          </w:p>
        </w:tc>
        <w:tc>
          <w:tcPr>
            <w:tcW w:w="898" w:type="dxa"/>
          </w:tcPr>
          <w:p w14:paraId="1DEB399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135.6</w:t>
            </w:r>
          </w:p>
        </w:tc>
      </w:tr>
      <w:tr w:rsidR="00E049CB" w:rsidRPr="005E6B7C" w14:paraId="15E3A57C" w14:textId="77777777" w:rsidTr="00A04226">
        <w:trPr>
          <w:jc w:val="center"/>
        </w:trPr>
        <w:tc>
          <w:tcPr>
            <w:tcW w:w="709" w:type="dxa"/>
          </w:tcPr>
          <w:p w14:paraId="4DF307F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w:t>
            </w:r>
          </w:p>
        </w:tc>
        <w:tc>
          <w:tcPr>
            <w:tcW w:w="1985" w:type="dxa"/>
          </w:tcPr>
          <w:p w14:paraId="7F85DC4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4D5FB30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24.6</w:t>
            </w:r>
          </w:p>
        </w:tc>
        <w:tc>
          <w:tcPr>
            <w:tcW w:w="851" w:type="dxa"/>
          </w:tcPr>
          <w:p w14:paraId="6B6418D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24.6</w:t>
            </w:r>
          </w:p>
        </w:tc>
        <w:tc>
          <w:tcPr>
            <w:tcW w:w="1984" w:type="dxa"/>
            <w:vAlign w:val="center"/>
          </w:tcPr>
          <w:p w14:paraId="7A19CF4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4B31318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25.0</w:t>
            </w:r>
          </w:p>
        </w:tc>
        <w:tc>
          <w:tcPr>
            <w:tcW w:w="756" w:type="dxa"/>
            <w:vAlign w:val="center"/>
          </w:tcPr>
          <w:p w14:paraId="3946E3F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24.9</w:t>
            </w:r>
          </w:p>
        </w:tc>
        <w:tc>
          <w:tcPr>
            <w:tcW w:w="1838" w:type="dxa"/>
          </w:tcPr>
          <w:p w14:paraId="6FA32F5F" w14:textId="4FD67559" w:rsidR="00E049CB" w:rsidRPr="005E6B7C" w:rsidRDefault="00E049CB" w:rsidP="001C09C8">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5.18 (dd, 7.2</w:t>
            </w:r>
            <w:r w:rsidR="001C09C8" w:rsidRPr="005E6B7C">
              <w:rPr>
                <w:rFonts w:asciiTheme="majorHAnsi" w:eastAsia="Yu Mincho" w:hAnsiTheme="majorHAnsi" w:cstheme="majorHAnsi"/>
                <w:color w:val="000000" w:themeColor="text1"/>
                <w:sz w:val="16"/>
                <w:szCs w:val="16"/>
                <w:lang w:eastAsia="ja-JP"/>
              </w:rPr>
              <w:t>,</w:t>
            </w:r>
            <w:r w:rsidRPr="005E6B7C">
              <w:rPr>
                <w:rFonts w:asciiTheme="majorHAnsi" w:eastAsia="Yu Mincho" w:hAnsiTheme="majorHAnsi" w:cstheme="majorHAnsi"/>
                <w:color w:val="000000" w:themeColor="text1"/>
                <w:sz w:val="16"/>
                <w:szCs w:val="16"/>
                <w:lang w:eastAsia="ja-JP"/>
              </w:rPr>
              <w:t>15.0)</w:t>
            </w:r>
          </w:p>
        </w:tc>
        <w:tc>
          <w:tcPr>
            <w:tcW w:w="850" w:type="dxa"/>
          </w:tcPr>
          <w:p w14:paraId="625D50C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135.6</w:t>
            </w:r>
          </w:p>
        </w:tc>
        <w:tc>
          <w:tcPr>
            <w:tcW w:w="856" w:type="dxa"/>
          </w:tcPr>
          <w:p w14:paraId="30F02F6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135.0</w:t>
            </w:r>
          </w:p>
        </w:tc>
        <w:tc>
          <w:tcPr>
            <w:tcW w:w="1838" w:type="dxa"/>
          </w:tcPr>
          <w:p w14:paraId="0957E8E7" w14:textId="66737030" w:rsidR="00E049CB" w:rsidRPr="005E6B7C" w:rsidRDefault="00E049CB" w:rsidP="001C09C8">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5.22 (dd, 7.8</w:t>
            </w:r>
            <w:r w:rsidR="001C09C8" w:rsidRPr="005E6B7C">
              <w:rPr>
                <w:rFonts w:asciiTheme="majorHAnsi" w:eastAsia="Yu Mincho" w:hAnsiTheme="majorHAnsi" w:cstheme="majorHAns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15.2)</w:t>
            </w:r>
          </w:p>
        </w:tc>
        <w:tc>
          <w:tcPr>
            <w:tcW w:w="945" w:type="dxa"/>
          </w:tcPr>
          <w:p w14:paraId="0C8E8EE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132.0</w:t>
            </w:r>
          </w:p>
        </w:tc>
        <w:tc>
          <w:tcPr>
            <w:tcW w:w="898" w:type="dxa"/>
          </w:tcPr>
          <w:p w14:paraId="540D1B7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132.0</w:t>
            </w:r>
          </w:p>
        </w:tc>
      </w:tr>
      <w:tr w:rsidR="00E049CB" w:rsidRPr="005E6B7C" w14:paraId="5CFFE9D3" w14:textId="77777777" w:rsidTr="00A04226">
        <w:trPr>
          <w:jc w:val="center"/>
        </w:trPr>
        <w:tc>
          <w:tcPr>
            <w:tcW w:w="709" w:type="dxa"/>
          </w:tcPr>
          <w:p w14:paraId="5950462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w:t>
            </w:r>
          </w:p>
        </w:tc>
        <w:tc>
          <w:tcPr>
            <w:tcW w:w="1985" w:type="dxa"/>
          </w:tcPr>
          <w:p w14:paraId="77A1657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5.42 (t, 7.6)</w:t>
            </w:r>
          </w:p>
        </w:tc>
        <w:tc>
          <w:tcPr>
            <w:tcW w:w="850" w:type="dxa"/>
          </w:tcPr>
          <w:p w14:paraId="05BF8C9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127.0</w:t>
            </w:r>
          </w:p>
        </w:tc>
        <w:tc>
          <w:tcPr>
            <w:tcW w:w="851" w:type="dxa"/>
          </w:tcPr>
          <w:p w14:paraId="2081FDA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127.0</w:t>
            </w:r>
          </w:p>
        </w:tc>
        <w:tc>
          <w:tcPr>
            <w:tcW w:w="1984" w:type="dxa"/>
            <w:vAlign w:val="center"/>
          </w:tcPr>
          <w:p w14:paraId="35EC1C3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5.11 (t,</w:t>
            </w:r>
            <w:r w:rsidRPr="005E6B7C">
              <w:rPr>
                <w:rFonts w:asciiTheme="majorHAnsi" w:eastAsia="Yu Mincho" w:hAnsiTheme="majorHAnsi" w:cstheme="majorHAnsi"/>
                <w:i/>
                <w:color w:val="000000" w:themeColor="text1"/>
                <w:sz w:val="16"/>
                <w:szCs w:val="16"/>
                <w:lang w:eastAsia="ja-JP"/>
              </w:rPr>
              <w:t xml:space="preserve"> </w:t>
            </w:r>
            <w:r w:rsidRPr="005E6B7C">
              <w:rPr>
                <w:rFonts w:asciiTheme="majorHAnsi" w:eastAsia="Yu Mincho" w:hAnsiTheme="majorHAnsi" w:cstheme="majorHAnsi"/>
                <w:color w:val="000000" w:themeColor="text1"/>
                <w:sz w:val="16"/>
                <w:szCs w:val="16"/>
                <w:lang w:eastAsia="ja-JP"/>
              </w:rPr>
              <w:t>6.4)</w:t>
            </w:r>
          </w:p>
        </w:tc>
        <w:tc>
          <w:tcPr>
            <w:tcW w:w="803" w:type="dxa"/>
            <w:vAlign w:val="center"/>
          </w:tcPr>
          <w:p w14:paraId="3E029D0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125.2</w:t>
            </w:r>
          </w:p>
        </w:tc>
        <w:tc>
          <w:tcPr>
            <w:tcW w:w="756" w:type="dxa"/>
            <w:vAlign w:val="center"/>
          </w:tcPr>
          <w:p w14:paraId="054F00D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125.2</w:t>
            </w:r>
          </w:p>
        </w:tc>
        <w:tc>
          <w:tcPr>
            <w:tcW w:w="1838" w:type="dxa"/>
          </w:tcPr>
          <w:p w14:paraId="42E0162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29BE3B5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42.9</w:t>
            </w:r>
          </w:p>
        </w:tc>
        <w:tc>
          <w:tcPr>
            <w:tcW w:w="856" w:type="dxa"/>
          </w:tcPr>
          <w:p w14:paraId="01F777C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42.7</w:t>
            </w:r>
          </w:p>
        </w:tc>
        <w:tc>
          <w:tcPr>
            <w:tcW w:w="1838" w:type="dxa"/>
          </w:tcPr>
          <w:p w14:paraId="0DBA30A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3AEA6FE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42.9</w:t>
            </w:r>
          </w:p>
        </w:tc>
        <w:tc>
          <w:tcPr>
            <w:tcW w:w="898" w:type="dxa"/>
          </w:tcPr>
          <w:p w14:paraId="4ED503C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42.9</w:t>
            </w:r>
          </w:p>
        </w:tc>
      </w:tr>
      <w:tr w:rsidR="00E049CB" w:rsidRPr="005E6B7C" w14:paraId="39AF015B" w14:textId="77777777" w:rsidTr="00A04226">
        <w:trPr>
          <w:jc w:val="center"/>
        </w:trPr>
        <w:tc>
          <w:tcPr>
            <w:tcW w:w="709" w:type="dxa"/>
          </w:tcPr>
          <w:p w14:paraId="60BA246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w:t>
            </w:r>
          </w:p>
        </w:tc>
        <w:tc>
          <w:tcPr>
            <w:tcW w:w="1985" w:type="dxa"/>
          </w:tcPr>
          <w:p w14:paraId="6012B08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480BC8B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134.0</w:t>
            </w:r>
          </w:p>
        </w:tc>
        <w:tc>
          <w:tcPr>
            <w:tcW w:w="851" w:type="dxa"/>
          </w:tcPr>
          <w:p w14:paraId="072111B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134.3</w:t>
            </w:r>
          </w:p>
        </w:tc>
        <w:tc>
          <w:tcPr>
            <w:tcW w:w="1984" w:type="dxa"/>
            <w:vAlign w:val="center"/>
          </w:tcPr>
          <w:p w14:paraId="1AB17A8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03" w:type="dxa"/>
            <w:vAlign w:val="center"/>
          </w:tcPr>
          <w:p w14:paraId="25B5D60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131.0</w:t>
            </w:r>
          </w:p>
        </w:tc>
        <w:tc>
          <w:tcPr>
            <w:tcW w:w="756" w:type="dxa"/>
            <w:vAlign w:val="center"/>
          </w:tcPr>
          <w:p w14:paraId="4BE157C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131.0</w:t>
            </w:r>
          </w:p>
        </w:tc>
        <w:tc>
          <w:tcPr>
            <w:tcW w:w="1838" w:type="dxa"/>
          </w:tcPr>
          <w:p w14:paraId="1EF09FA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850" w:type="dxa"/>
          </w:tcPr>
          <w:p w14:paraId="102A361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33.1</w:t>
            </w:r>
          </w:p>
        </w:tc>
        <w:tc>
          <w:tcPr>
            <w:tcW w:w="856" w:type="dxa"/>
          </w:tcPr>
          <w:p w14:paraId="3E6906F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32.9</w:t>
            </w:r>
          </w:p>
        </w:tc>
        <w:tc>
          <w:tcPr>
            <w:tcW w:w="1838" w:type="dxa"/>
          </w:tcPr>
          <w:p w14:paraId="5E3BFA1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p>
        </w:tc>
        <w:tc>
          <w:tcPr>
            <w:tcW w:w="945" w:type="dxa"/>
          </w:tcPr>
          <w:p w14:paraId="3DF5C9C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33.1</w:t>
            </w:r>
          </w:p>
        </w:tc>
        <w:tc>
          <w:tcPr>
            <w:tcW w:w="898" w:type="dxa"/>
          </w:tcPr>
          <w:p w14:paraId="1949A79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33.1</w:t>
            </w:r>
          </w:p>
        </w:tc>
      </w:tr>
      <w:tr w:rsidR="00E049CB" w:rsidRPr="005E6B7C" w14:paraId="3B22C209" w14:textId="77777777" w:rsidTr="00A04226">
        <w:trPr>
          <w:jc w:val="center"/>
        </w:trPr>
        <w:tc>
          <w:tcPr>
            <w:tcW w:w="709" w:type="dxa"/>
          </w:tcPr>
          <w:p w14:paraId="09D3CE1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26</w:t>
            </w:r>
          </w:p>
        </w:tc>
        <w:tc>
          <w:tcPr>
            <w:tcW w:w="1985" w:type="dxa"/>
          </w:tcPr>
          <w:p w14:paraId="1D94F2A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4.00 (s)</w:t>
            </w:r>
          </w:p>
        </w:tc>
        <w:tc>
          <w:tcPr>
            <w:tcW w:w="850" w:type="dxa"/>
          </w:tcPr>
          <w:p w14:paraId="762E15B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69.1</w:t>
            </w:r>
          </w:p>
        </w:tc>
        <w:tc>
          <w:tcPr>
            <w:tcW w:w="851" w:type="dxa"/>
          </w:tcPr>
          <w:p w14:paraId="6104AD0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69.1</w:t>
            </w:r>
          </w:p>
        </w:tc>
        <w:tc>
          <w:tcPr>
            <w:tcW w:w="1984" w:type="dxa"/>
            <w:vAlign w:val="center"/>
          </w:tcPr>
          <w:p w14:paraId="0B6FD15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1.69 (s)</w:t>
            </w:r>
          </w:p>
        </w:tc>
        <w:tc>
          <w:tcPr>
            <w:tcW w:w="803" w:type="dxa"/>
            <w:vAlign w:val="center"/>
          </w:tcPr>
          <w:p w14:paraId="5BBE0B7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25.7</w:t>
            </w:r>
          </w:p>
        </w:tc>
        <w:tc>
          <w:tcPr>
            <w:tcW w:w="756" w:type="dxa"/>
            <w:vAlign w:val="center"/>
          </w:tcPr>
          <w:p w14:paraId="24CA6B1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25.7</w:t>
            </w:r>
          </w:p>
        </w:tc>
        <w:tc>
          <w:tcPr>
            <w:tcW w:w="1838" w:type="dxa"/>
          </w:tcPr>
          <w:p w14:paraId="047AEDD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0.83 (d, 7.2)</w:t>
            </w:r>
          </w:p>
        </w:tc>
        <w:tc>
          <w:tcPr>
            <w:tcW w:w="850" w:type="dxa"/>
          </w:tcPr>
          <w:p w14:paraId="7B02B8C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19.7</w:t>
            </w:r>
          </w:p>
        </w:tc>
        <w:tc>
          <w:tcPr>
            <w:tcW w:w="856" w:type="dxa"/>
          </w:tcPr>
          <w:p w14:paraId="32769CA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19.8</w:t>
            </w:r>
          </w:p>
        </w:tc>
        <w:tc>
          <w:tcPr>
            <w:tcW w:w="1838" w:type="dxa"/>
          </w:tcPr>
          <w:p w14:paraId="0B658DA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0.92 (d, 7.8)</w:t>
            </w:r>
          </w:p>
        </w:tc>
        <w:tc>
          <w:tcPr>
            <w:tcW w:w="945" w:type="dxa"/>
          </w:tcPr>
          <w:p w14:paraId="51F86D0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19.9</w:t>
            </w:r>
          </w:p>
        </w:tc>
        <w:tc>
          <w:tcPr>
            <w:tcW w:w="898" w:type="dxa"/>
          </w:tcPr>
          <w:p w14:paraId="427C71B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19.9</w:t>
            </w:r>
          </w:p>
        </w:tc>
      </w:tr>
      <w:tr w:rsidR="00E049CB" w:rsidRPr="005E6B7C" w14:paraId="370E0F4B" w14:textId="77777777" w:rsidTr="00A04226">
        <w:trPr>
          <w:jc w:val="center"/>
        </w:trPr>
        <w:tc>
          <w:tcPr>
            <w:tcW w:w="709" w:type="dxa"/>
            <w:vAlign w:val="center"/>
          </w:tcPr>
          <w:p w14:paraId="3F7A9D3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w:t>
            </w:r>
          </w:p>
        </w:tc>
        <w:tc>
          <w:tcPr>
            <w:tcW w:w="1985" w:type="dxa"/>
            <w:vAlign w:val="center"/>
          </w:tcPr>
          <w:p w14:paraId="5DEE784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1.67 (s)</w:t>
            </w:r>
          </w:p>
        </w:tc>
        <w:tc>
          <w:tcPr>
            <w:tcW w:w="850" w:type="dxa"/>
            <w:vAlign w:val="center"/>
          </w:tcPr>
          <w:p w14:paraId="2088730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13.6</w:t>
            </w:r>
          </w:p>
        </w:tc>
        <w:tc>
          <w:tcPr>
            <w:tcW w:w="851" w:type="dxa"/>
            <w:vAlign w:val="center"/>
          </w:tcPr>
          <w:p w14:paraId="2DB2122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13.7</w:t>
            </w:r>
          </w:p>
        </w:tc>
        <w:tc>
          <w:tcPr>
            <w:tcW w:w="1984" w:type="dxa"/>
            <w:vAlign w:val="center"/>
          </w:tcPr>
          <w:p w14:paraId="236F8C5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1.61 (s)</w:t>
            </w:r>
          </w:p>
        </w:tc>
        <w:tc>
          <w:tcPr>
            <w:tcW w:w="803" w:type="dxa"/>
            <w:vAlign w:val="center"/>
          </w:tcPr>
          <w:p w14:paraId="09675FC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c>
          <w:tcPr>
            <w:tcW w:w="756" w:type="dxa"/>
            <w:vAlign w:val="center"/>
          </w:tcPr>
          <w:p w14:paraId="5DD18F3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c>
          <w:tcPr>
            <w:tcW w:w="1838" w:type="dxa"/>
            <w:vAlign w:val="center"/>
          </w:tcPr>
          <w:p w14:paraId="4B70D10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0.84 (d, 7.2)</w:t>
            </w:r>
          </w:p>
        </w:tc>
        <w:tc>
          <w:tcPr>
            <w:tcW w:w="850" w:type="dxa"/>
            <w:vAlign w:val="center"/>
          </w:tcPr>
          <w:p w14:paraId="420EF5E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20.0</w:t>
            </w:r>
          </w:p>
        </w:tc>
        <w:tc>
          <w:tcPr>
            <w:tcW w:w="856" w:type="dxa"/>
            <w:vAlign w:val="center"/>
          </w:tcPr>
          <w:p w14:paraId="52FC268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20.6</w:t>
            </w:r>
          </w:p>
        </w:tc>
        <w:tc>
          <w:tcPr>
            <w:tcW w:w="1838" w:type="dxa"/>
            <w:vAlign w:val="center"/>
          </w:tcPr>
          <w:p w14:paraId="2E602A0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0.83 (d, 7.2)</w:t>
            </w:r>
          </w:p>
        </w:tc>
        <w:tc>
          <w:tcPr>
            <w:tcW w:w="945" w:type="dxa"/>
            <w:vAlign w:val="center"/>
          </w:tcPr>
          <w:p w14:paraId="3A38D523"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19.6</w:t>
            </w:r>
          </w:p>
        </w:tc>
        <w:tc>
          <w:tcPr>
            <w:tcW w:w="898" w:type="dxa"/>
            <w:vAlign w:val="center"/>
          </w:tcPr>
          <w:p w14:paraId="315578F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19.6</w:t>
            </w:r>
          </w:p>
        </w:tc>
      </w:tr>
      <w:tr w:rsidR="00E049CB" w:rsidRPr="005E6B7C" w14:paraId="33641A20" w14:textId="77777777" w:rsidTr="00A04226">
        <w:trPr>
          <w:jc w:val="center"/>
        </w:trPr>
        <w:tc>
          <w:tcPr>
            <w:tcW w:w="709" w:type="dxa"/>
            <w:vAlign w:val="center"/>
          </w:tcPr>
          <w:p w14:paraId="316D843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w:t>
            </w:r>
          </w:p>
        </w:tc>
        <w:tc>
          <w:tcPr>
            <w:tcW w:w="1985" w:type="dxa"/>
            <w:vAlign w:val="center"/>
          </w:tcPr>
          <w:p w14:paraId="517709C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0.88 (s)</w:t>
            </w:r>
          </w:p>
        </w:tc>
        <w:tc>
          <w:tcPr>
            <w:tcW w:w="850" w:type="dxa"/>
            <w:vAlign w:val="center"/>
          </w:tcPr>
          <w:p w14:paraId="5EBDF2A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15.8</w:t>
            </w:r>
          </w:p>
        </w:tc>
        <w:tc>
          <w:tcPr>
            <w:tcW w:w="851" w:type="dxa"/>
            <w:vAlign w:val="center"/>
          </w:tcPr>
          <w:p w14:paraId="3813AE3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15.8</w:t>
            </w:r>
          </w:p>
        </w:tc>
        <w:tc>
          <w:tcPr>
            <w:tcW w:w="1984" w:type="dxa"/>
            <w:vAlign w:val="center"/>
          </w:tcPr>
          <w:p w14:paraId="660F45E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0.88 (s)</w:t>
            </w:r>
          </w:p>
        </w:tc>
        <w:tc>
          <w:tcPr>
            <w:tcW w:w="803" w:type="dxa"/>
            <w:vAlign w:val="center"/>
          </w:tcPr>
          <w:p w14:paraId="72F890AB"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15.8</w:t>
            </w:r>
          </w:p>
        </w:tc>
        <w:tc>
          <w:tcPr>
            <w:tcW w:w="756" w:type="dxa"/>
            <w:vAlign w:val="center"/>
          </w:tcPr>
          <w:p w14:paraId="44D2D85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15.8</w:t>
            </w:r>
          </w:p>
        </w:tc>
        <w:tc>
          <w:tcPr>
            <w:tcW w:w="1838" w:type="dxa"/>
            <w:vAlign w:val="center"/>
          </w:tcPr>
          <w:p w14:paraId="67C29B48"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0.92 (d, 7.2)</w:t>
            </w:r>
          </w:p>
        </w:tc>
        <w:tc>
          <w:tcPr>
            <w:tcW w:w="850" w:type="dxa"/>
            <w:vAlign w:val="center"/>
          </w:tcPr>
          <w:p w14:paraId="2FCC07E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c>
          <w:tcPr>
            <w:tcW w:w="856" w:type="dxa"/>
            <w:vAlign w:val="center"/>
          </w:tcPr>
          <w:p w14:paraId="4157EE3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c>
          <w:tcPr>
            <w:tcW w:w="1838" w:type="dxa"/>
            <w:vAlign w:val="center"/>
          </w:tcPr>
          <w:p w14:paraId="655B019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0.84 (d, 7.2)</w:t>
            </w:r>
          </w:p>
        </w:tc>
        <w:tc>
          <w:tcPr>
            <w:tcW w:w="945" w:type="dxa"/>
            <w:vAlign w:val="center"/>
          </w:tcPr>
          <w:p w14:paraId="6F589B26"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c>
          <w:tcPr>
            <w:tcW w:w="898" w:type="dxa"/>
            <w:vAlign w:val="center"/>
          </w:tcPr>
          <w:p w14:paraId="354501D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17.6</w:t>
            </w:r>
          </w:p>
        </w:tc>
      </w:tr>
      <w:tr w:rsidR="00E049CB" w:rsidRPr="005E6B7C" w14:paraId="161E3504" w14:textId="77777777" w:rsidTr="00A04226">
        <w:trPr>
          <w:jc w:val="center"/>
        </w:trPr>
        <w:tc>
          <w:tcPr>
            <w:tcW w:w="709" w:type="dxa"/>
            <w:vAlign w:val="center"/>
          </w:tcPr>
          <w:p w14:paraId="224B1DFC"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29</w:t>
            </w:r>
          </w:p>
        </w:tc>
        <w:tc>
          <w:tcPr>
            <w:tcW w:w="1985" w:type="dxa"/>
            <w:vAlign w:val="center"/>
          </w:tcPr>
          <w:p w14:paraId="36CA16A7"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1.09 (s)</w:t>
            </w:r>
          </w:p>
        </w:tc>
        <w:tc>
          <w:tcPr>
            <w:tcW w:w="850" w:type="dxa"/>
            <w:vAlign w:val="center"/>
          </w:tcPr>
          <w:p w14:paraId="01D3D0C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28.2</w:t>
            </w:r>
          </w:p>
        </w:tc>
        <w:tc>
          <w:tcPr>
            <w:tcW w:w="851" w:type="dxa"/>
            <w:vAlign w:val="center"/>
          </w:tcPr>
          <w:p w14:paraId="35FDEA91"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27.8</w:t>
            </w:r>
          </w:p>
        </w:tc>
        <w:tc>
          <w:tcPr>
            <w:tcW w:w="1984" w:type="dxa"/>
            <w:vAlign w:val="center"/>
          </w:tcPr>
          <w:p w14:paraId="691C88F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1.01 (s)</w:t>
            </w:r>
          </w:p>
        </w:tc>
        <w:tc>
          <w:tcPr>
            <w:tcW w:w="803" w:type="dxa"/>
            <w:vAlign w:val="center"/>
          </w:tcPr>
          <w:p w14:paraId="06BEE60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28.2</w:t>
            </w:r>
          </w:p>
        </w:tc>
        <w:tc>
          <w:tcPr>
            <w:tcW w:w="756" w:type="dxa"/>
            <w:vAlign w:val="center"/>
          </w:tcPr>
          <w:p w14:paraId="648BC89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28.1</w:t>
            </w:r>
          </w:p>
        </w:tc>
        <w:tc>
          <w:tcPr>
            <w:tcW w:w="1838" w:type="dxa"/>
            <w:vAlign w:val="center"/>
          </w:tcPr>
          <w:p w14:paraId="619B93E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50" w:type="dxa"/>
            <w:vAlign w:val="center"/>
          </w:tcPr>
          <w:p w14:paraId="288634E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56" w:type="dxa"/>
            <w:vAlign w:val="center"/>
          </w:tcPr>
          <w:p w14:paraId="3FA9356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838" w:type="dxa"/>
            <w:vAlign w:val="center"/>
          </w:tcPr>
          <w:p w14:paraId="59735B7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45" w:type="dxa"/>
            <w:vAlign w:val="center"/>
          </w:tcPr>
          <w:p w14:paraId="39886E9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98" w:type="dxa"/>
            <w:vAlign w:val="center"/>
          </w:tcPr>
          <w:p w14:paraId="4206B36D"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E049CB" w:rsidRPr="005E6B7C" w14:paraId="7F3C03FF" w14:textId="77777777" w:rsidTr="00A04226">
        <w:trPr>
          <w:jc w:val="center"/>
        </w:trPr>
        <w:tc>
          <w:tcPr>
            <w:tcW w:w="709" w:type="dxa"/>
            <w:vAlign w:val="center"/>
          </w:tcPr>
          <w:p w14:paraId="1FE49AD2"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w:t>
            </w:r>
          </w:p>
        </w:tc>
        <w:tc>
          <w:tcPr>
            <w:tcW w:w="1985" w:type="dxa"/>
            <w:vAlign w:val="center"/>
          </w:tcPr>
          <w:p w14:paraId="20141EE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0.88 (s)</w:t>
            </w:r>
          </w:p>
        </w:tc>
        <w:tc>
          <w:tcPr>
            <w:tcW w:w="850" w:type="dxa"/>
            <w:vAlign w:val="center"/>
          </w:tcPr>
          <w:p w14:paraId="3EF1D7E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25.6</w:t>
            </w:r>
          </w:p>
        </w:tc>
        <w:tc>
          <w:tcPr>
            <w:tcW w:w="851" w:type="dxa"/>
            <w:vAlign w:val="center"/>
          </w:tcPr>
          <w:p w14:paraId="5EF5D41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25.6</w:t>
            </w:r>
          </w:p>
        </w:tc>
        <w:tc>
          <w:tcPr>
            <w:tcW w:w="1984" w:type="dxa"/>
            <w:vAlign w:val="center"/>
          </w:tcPr>
          <w:p w14:paraId="17D7A379"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0.88 (s)</w:t>
            </w:r>
          </w:p>
        </w:tc>
        <w:tc>
          <w:tcPr>
            <w:tcW w:w="803" w:type="dxa"/>
            <w:vAlign w:val="center"/>
          </w:tcPr>
          <w:p w14:paraId="46A71640"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25.6</w:t>
            </w:r>
          </w:p>
        </w:tc>
        <w:tc>
          <w:tcPr>
            <w:tcW w:w="756" w:type="dxa"/>
            <w:vAlign w:val="center"/>
          </w:tcPr>
          <w:p w14:paraId="130D5F0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25.6</w:t>
            </w:r>
          </w:p>
        </w:tc>
        <w:tc>
          <w:tcPr>
            <w:tcW w:w="1838" w:type="dxa"/>
            <w:vAlign w:val="center"/>
          </w:tcPr>
          <w:p w14:paraId="030472B5"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50" w:type="dxa"/>
            <w:vAlign w:val="center"/>
          </w:tcPr>
          <w:p w14:paraId="5CB13C5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56" w:type="dxa"/>
            <w:vAlign w:val="center"/>
          </w:tcPr>
          <w:p w14:paraId="166453AA"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838" w:type="dxa"/>
            <w:vAlign w:val="center"/>
          </w:tcPr>
          <w:p w14:paraId="21EA4F84"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945" w:type="dxa"/>
            <w:vAlign w:val="center"/>
          </w:tcPr>
          <w:p w14:paraId="34F93B9E"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898" w:type="dxa"/>
            <w:vAlign w:val="center"/>
          </w:tcPr>
          <w:p w14:paraId="5870ECDF" w14:textId="77777777" w:rsidR="00E049CB" w:rsidRPr="005E6B7C" w:rsidRDefault="00E049CB" w:rsidP="008C0D47">
            <w:pPr>
              <w:tabs>
                <w:tab w:val="left" w:pos="270"/>
                <w:tab w:val="left" w:pos="540"/>
                <w:tab w:val="left" w:pos="9270"/>
              </w:tabs>
              <w:spacing w:line="140" w:lineRule="exact"/>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bl>
    <w:bookmarkEnd w:id="18"/>
    <w:p w14:paraId="3C723770" w14:textId="77777777" w:rsidR="00E049CB" w:rsidRPr="005E6B7C" w:rsidRDefault="00E049CB" w:rsidP="008C0D47">
      <w:pPr>
        <w:tabs>
          <w:tab w:val="left" w:pos="270"/>
          <w:tab w:val="left" w:pos="9270"/>
        </w:tabs>
        <w:spacing w:before="60" w:line="230" w:lineRule="exact"/>
        <w:ind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vertAlign w:val="superscript"/>
          <w:lang w:eastAsia="ja-JP"/>
        </w:rPr>
        <w:t xml:space="preserve">a: </w:t>
      </w:r>
      <w:r w:rsidRPr="005E6B7C">
        <w:rPr>
          <w:rFonts w:asciiTheme="majorHAnsi" w:eastAsia="Yu Mincho" w:hAnsiTheme="majorHAnsi" w:cstheme="majorHAnsi"/>
          <w:color w:val="000000" w:themeColor="text1"/>
          <w:sz w:val="18"/>
          <w:szCs w:val="18"/>
          <w:lang w:eastAsia="ja-JP"/>
        </w:rPr>
        <w:t>Measured in CDCl</w:t>
      </w:r>
      <w:r w:rsidRPr="005E6B7C">
        <w:rPr>
          <w:rFonts w:asciiTheme="majorHAnsi" w:eastAsia="Yu Mincho" w:hAnsiTheme="majorHAnsi" w:cstheme="majorHAnsi"/>
          <w:color w:val="000000" w:themeColor="text1"/>
          <w:sz w:val="18"/>
          <w:szCs w:val="18"/>
          <w:vertAlign w:val="subscript"/>
          <w:lang w:eastAsia="ja-JP"/>
        </w:rPr>
        <w:t xml:space="preserve">3 </w:t>
      </w:r>
      <w:r w:rsidRPr="005E6B7C">
        <w:rPr>
          <w:rFonts w:asciiTheme="majorHAnsi" w:eastAsia="Yu Mincho" w:hAnsiTheme="majorHAnsi" w:cstheme="majorHAnsi"/>
          <w:color w:val="000000" w:themeColor="text1"/>
          <w:sz w:val="18"/>
          <w:szCs w:val="18"/>
          <w:lang w:eastAsia="ja-JP"/>
        </w:rPr>
        <w:t xml:space="preserve">and 125 MHz, </w:t>
      </w:r>
      <w:r w:rsidRPr="005E6B7C">
        <w:rPr>
          <w:rFonts w:asciiTheme="majorHAnsi" w:eastAsia="Yu Mincho" w:hAnsiTheme="majorHAnsi" w:cstheme="majorHAnsi"/>
          <w:color w:val="000000" w:themeColor="text1"/>
          <w:sz w:val="18"/>
          <w:szCs w:val="18"/>
          <w:vertAlign w:val="superscript"/>
          <w:lang w:eastAsia="ja-JP"/>
        </w:rPr>
        <w:t xml:space="preserve">b: </w:t>
      </w:r>
      <w:r w:rsidRPr="005E6B7C">
        <w:rPr>
          <w:rFonts w:asciiTheme="majorHAnsi" w:eastAsia="Yu Mincho" w:hAnsiTheme="majorHAnsi" w:cstheme="majorHAnsi"/>
          <w:color w:val="000000" w:themeColor="text1"/>
          <w:sz w:val="18"/>
          <w:szCs w:val="18"/>
          <w:lang w:eastAsia="ja-JP"/>
        </w:rPr>
        <w:t>Measured in CDCl</w:t>
      </w:r>
      <w:r w:rsidRPr="005E6B7C">
        <w:rPr>
          <w:rFonts w:asciiTheme="majorHAnsi" w:eastAsia="Yu Mincho" w:hAnsiTheme="majorHAnsi" w:cstheme="majorHAnsi"/>
          <w:color w:val="000000" w:themeColor="text1"/>
          <w:sz w:val="18"/>
          <w:szCs w:val="18"/>
          <w:vertAlign w:val="subscript"/>
          <w:lang w:eastAsia="ja-JP"/>
        </w:rPr>
        <w:t xml:space="preserve">3 </w:t>
      </w:r>
      <w:r w:rsidRPr="005E6B7C">
        <w:rPr>
          <w:rFonts w:asciiTheme="majorHAnsi" w:eastAsia="Yu Mincho" w:hAnsiTheme="majorHAnsi" w:cstheme="majorHAnsi"/>
          <w:color w:val="000000" w:themeColor="text1"/>
          <w:sz w:val="18"/>
          <w:szCs w:val="18"/>
          <w:lang w:eastAsia="ja-JP"/>
        </w:rPr>
        <w:t xml:space="preserve">and 75.5 MHz, </w:t>
      </w:r>
      <w:r w:rsidRPr="005E6B7C">
        <w:rPr>
          <w:rFonts w:asciiTheme="majorHAnsi" w:eastAsia="Yu Mincho" w:hAnsiTheme="majorHAnsi" w:cstheme="majorHAnsi"/>
          <w:color w:val="000000" w:themeColor="text1"/>
          <w:sz w:val="18"/>
          <w:szCs w:val="18"/>
          <w:vertAlign w:val="superscript"/>
          <w:lang w:eastAsia="ja-JP"/>
        </w:rPr>
        <w:t xml:space="preserve">c: </w:t>
      </w:r>
      <w:r w:rsidRPr="005E6B7C">
        <w:rPr>
          <w:rFonts w:asciiTheme="majorHAnsi" w:eastAsia="Yu Mincho" w:hAnsiTheme="majorHAnsi" w:cstheme="majorHAnsi"/>
          <w:color w:val="000000" w:themeColor="text1"/>
          <w:sz w:val="18"/>
          <w:szCs w:val="18"/>
          <w:lang w:eastAsia="ja-JP"/>
        </w:rPr>
        <w:t>Measured in CDCl</w:t>
      </w:r>
      <w:r w:rsidRPr="005E6B7C">
        <w:rPr>
          <w:rFonts w:asciiTheme="majorHAnsi" w:eastAsia="Yu Mincho" w:hAnsiTheme="majorHAnsi" w:cstheme="majorHAnsi"/>
          <w:color w:val="000000" w:themeColor="text1"/>
          <w:sz w:val="18"/>
          <w:szCs w:val="18"/>
          <w:vertAlign w:val="subscript"/>
          <w:lang w:eastAsia="ja-JP"/>
        </w:rPr>
        <w:t xml:space="preserve">3 </w:t>
      </w:r>
      <w:r w:rsidRPr="005E6B7C">
        <w:rPr>
          <w:rFonts w:asciiTheme="majorHAnsi" w:eastAsia="Yu Mincho" w:hAnsiTheme="majorHAnsi" w:cstheme="majorHAnsi"/>
          <w:color w:val="000000" w:themeColor="text1"/>
          <w:sz w:val="18"/>
          <w:szCs w:val="18"/>
          <w:lang w:eastAsia="ja-JP"/>
        </w:rPr>
        <w:t>and 25 MHz.</w:t>
      </w:r>
    </w:p>
    <w:p w14:paraId="04C58973" w14:textId="77777777" w:rsidR="00BC3F11" w:rsidRPr="005E6B7C" w:rsidRDefault="00BC3F11" w:rsidP="008C0D47">
      <w:pPr>
        <w:tabs>
          <w:tab w:val="left" w:pos="270"/>
          <w:tab w:val="left" w:pos="540"/>
          <w:tab w:val="left" w:pos="9270"/>
        </w:tabs>
        <w:spacing w:line="230" w:lineRule="exact"/>
        <w:ind w:firstLine="284"/>
        <w:jc w:val="both"/>
        <w:rPr>
          <w:rFonts w:asciiTheme="majorHAnsi" w:eastAsia="Yu Mincho" w:hAnsiTheme="majorHAnsi" w:cstheme="majorHAnsi"/>
          <w:b/>
          <w:color w:val="000000" w:themeColor="text1"/>
          <w:sz w:val="22"/>
          <w:szCs w:val="22"/>
          <w:lang w:eastAsia="ja-JP"/>
        </w:rPr>
      </w:pPr>
    </w:p>
    <w:p w14:paraId="2936B860" w14:textId="77777777" w:rsidR="00BC3F11" w:rsidRPr="005E6B7C" w:rsidRDefault="00BC3F11" w:rsidP="008C0D47">
      <w:pPr>
        <w:tabs>
          <w:tab w:val="left" w:pos="270"/>
          <w:tab w:val="left" w:pos="540"/>
          <w:tab w:val="left" w:pos="9270"/>
        </w:tabs>
        <w:spacing w:line="230" w:lineRule="exact"/>
        <w:ind w:firstLine="284"/>
        <w:jc w:val="both"/>
        <w:rPr>
          <w:rFonts w:asciiTheme="majorHAnsi" w:eastAsia="Yu Mincho" w:hAnsiTheme="majorHAnsi" w:cstheme="majorHAnsi"/>
          <w:b/>
          <w:color w:val="000000" w:themeColor="text1"/>
          <w:sz w:val="22"/>
          <w:szCs w:val="22"/>
          <w:lang w:eastAsia="ja-JP"/>
        </w:rPr>
        <w:sectPr w:rsidR="00BC3F11" w:rsidRPr="005E6B7C" w:rsidSect="002206BB">
          <w:type w:val="continuous"/>
          <w:pgSz w:w="10773" w:h="15309" w:code="9"/>
          <w:pgMar w:top="907" w:right="851" w:bottom="1418" w:left="851" w:header="397" w:footer="851" w:gutter="0"/>
          <w:cols w:space="284"/>
          <w:docGrid w:linePitch="360"/>
        </w:sectPr>
      </w:pPr>
    </w:p>
    <w:p w14:paraId="334C0C2C" w14:textId="77777777" w:rsidR="00E049CB" w:rsidRPr="005E6B7C" w:rsidRDefault="00E049CB" w:rsidP="008C0D47">
      <w:pPr>
        <w:tabs>
          <w:tab w:val="left" w:pos="270"/>
          <w:tab w:val="left" w:pos="540"/>
          <w:tab w:val="left" w:pos="9270"/>
        </w:tabs>
        <w:spacing w:line="23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Conclusion</w:t>
      </w:r>
    </w:p>
    <w:p w14:paraId="077BD0E6" w14:textId="77777777" w:rsidR="00E049CB" w:rsidRPr="005E6B7C" w:rsidRDefault="00E049CB" w:rsidP="008C0D47">
      <w:pPr>
        <w:tabs>
          <w:tab w:val="left" w:pos="270"/>
          <w:tab w:val="left" w:pos="540"/>
        </w:tabs>
        <w:spacing w:line="230" w:lineRule="exact"/>
        <w:ind w:firstLine="284"/>
        <w:contextualSpacing/>
        <w:jc w:val="both"/>
        <w:rPr>
          <w:rFonts w:asciiTheme="majorHAnsi" w:eastAsia="Arial"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Five compounds were obtained from the DCM and EtOAc extracts of </w:t>
      </w:r>
      <w:r w:rsidRPr="005E6B7C">
        <w:rPr>
          <w:rFonts w:asciiTheme="majorHAnsi" w:eastAsia="Yu Mincho" w:hAnsiTheme="majorHAnsi" w:cstheme="majorHAnsi"/>
          <w:i/>
          <w:color w:val="000000" w:themeColor="text1"/>
          <w:sz w:val="22"/>
          <w:szCs w:val="22"/>
          <w:lang w:eastAsia="ja-JP"/>
        </w:rPr>
        <w:t>G</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multipileum</w:t>
      </w:r>
      <w:r w:rsidRPr="005E6B7C">
        <w:rPr>
          <w:rFonts w:asciiTheme="majorHAnsi" w:eastAsia="Yu Mincho" w:hAnsiTheme="majorHAnsi" w:cstheme="majorHAnsi"/>
          <w:color w:val="000000" w:themeColor="text1"/>
          <w:sz w:val="22"/>
          <w:szCs w:val="22"/>
          <w:lang w:eastAsia="ja-JP"/>
        </w:rPr>
        <w:t>, including lanosta-7,9(11),24-triene-3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,26-diol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ab/>
        <w:t>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-hydroxy-lanosta-7,9(11),24-trien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(22</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)-ergosta-7,9,22-trien-3</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-ol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(22</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color w:val="000000" w:themeColor="text1"/>
          <w:sz w:val="22"/>
          <w:szCs w:val="22"/>
          <w:lang w:eastAsia="ja-JP"/>
        </w:rPr>
        <w:t>)-ergosta-7,22-dien-3-one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and methyl 2-hydroxynonacosanoate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w:t>
      </w:r>
      <w:r w:rsidRPr="005E6B7C">
        <w:rPr>
          <w:rFonts w:asciiTheme="majorHAnsi" w:eastAsia="Arial" w:hAnsiTheme="majorHAnsi" w:cstheme="majorHAnsi"/>
          <w:color w:val="000000" w:themeColor="text1"/>
          <w:sz w:val="22"/>
          <w:szCs w:val="22"/>
          <w:lang w:eastAsia="ja-JP"/>
        </w:rPr>
        <w:t xml:space="preserve">. The structures of these </w:t>
      </w:r>
      <w:r w:rsidRPr="005E6B7C">
        <w:rPr>
          <w:rFonts w:asciiTheme="majorHAnsi" w:eastAsia="Arial" w:hAnsiTheme="majorHAnsi" w:cstheme="majorHAnsi"/>
          <w:color w:val="000000" w:themeColor="text1"/>
          <w:sz w:val="22"/>
          <w:szCs w:val="22"/>
          <w:lang w:eastAsia="ja-JP"/>
        </w:rPr>
        <w:t xml:space="preserve">compounds were established by spectral data and literature references. </w:t>
      </w:r>
    </w:p>
    <w:p w14:paraId="3409C406" w14:textId="77777777" w:rsidR="00BC3F11" w:rsidRPr="005E6B7C" w:rsidRDefault="00E049CB" w:rsidP="008C0D47">
      <w:pPr>
        <w:tabs>
          <w:tab w:val="left" w:pos="270"/>
          <w:tab w:val="left" w:pos="540"/>
          <w:tab w:val="left" w:pos="9270"/>
        </w:tabs>
        <w:spacing w:line="230" w:lineRule="exact"/>
        <w:ind w:firstLine="284"/>
        <w:contextualSpacing/>
        <w:jc w:val="both"/>
        <w:rPr>
          <w:rFonts w:asciiTheme="majorHAnsi" w:eastAsia="Yu Mincho" w:hAnsiTheme="majorHAnsi" w:cstheme="majorHAnsi"/>
          <w:i/>
          <w:color w:val="000000" w:themeColor="text1"/>
          <w:sz w:val="20"/>
          <w:szCs w:val="20"/>
          <w:lang w:eastAsia="ja-JP"/>
        </w:rPr>
      </w:pPr>
      <w:r w:rsidRPr="005E6B7C">
        <w:rPr>
          <w:rFonts w:asciiTheme="majorHAnsi" w:eastAsia="Arial" w:hAnsiTheme="majorHAnsi" w:cstheme="majorHAnsi"/>
          <w:color w:val="000000" w:themeColor="text1"/>
          <w:sz w:val="22"/>
          <w:szCs w:val="22"/>
          <w:lang w:eastAsia="ja-JP"/>
        </w:rPr>
        <w:t xml:space="preserve"> </w:t>
      </w:r>
      <w:r w:rsidRPr="005E6B7C">
        <w:rPr>
          <w:rFonts w:asciiTheme="majorHAnsi" w:eastAsia="Yu Mincho" w:hAnsiTheme="majorHAnsi" w:cstheme="majorHAnsi"/>
          <w:b/>
          <w:color w:val="000000" w:themeColor="text1"/>
          <w:sz w:val="20"/>
          <w:szCs w:val="20"/>
          <w:lang w:eastAsia="ja-JP"/>
        </w:rPr>
        <w:t>Acknowledgments</w:t>
      </w:r>
      <w:r w:rsidRPr="005E6B7C">
        <w:rPr>
          <w:rFonts w:asciiTheme="majorHAnsi" w:eastAsia="Yu Mincho" w:hAnsiTheme="majorHAnsi" w:cstheme="majorHAnsi"/>
          <w:color w:val="000000" w:themeColor="text1"/>
          <w:sz w:val="20"/>
          <w:szCs w:val="20"/>
          <w:lang w:eastAsia="ja-JP"/>
        </w:rPr>
        <w:t xml:space="preserve">: </w:t>
      </w:r>
      <w:r w:rsidRPr="005E6B7C">
        <w:rPr>
          <w:rFonts w:asciiTheme="majorHAnsi" w:eastAsia="Yu Mincho" w:hAnsiTheme="majorHAnsi" w:cstheme="majorHAnsi"/>
          <w:i/>
          <w:color w:val="000000" w:themeColor="text1"/>
          <w:sz w:val="20"/>
          <w:szCs w:val="20"/>
          <w:lang w:eastAsia="ja-JP"/>
        </w:rPr>
        <w:t>This study was funded by the National Institute of Medicinal Materials on the project “Preliminary study of the chemical composition of the fungus Ganoderma multipileum Ding Hou, Ganodermataceae”. We acknowledge the study participants for their gracious help.</w:t>
      </w:r>
    </w:p>
    <w:p w14:paraId="75B1E40E" w14:textId="77777777" w:rsidR="00BC3F11" w:rsidRPr="005E6B7C" w:rsidRDefault="00BC3F11"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color w:val="000000" w:themeColor="text1"/>
          <w:sz w:val="20"/>
          <w:szCs w:val="20"/>
          <w:lang w:eastAsia="ja-JP"/>
        </w:rPr>
        <w:sectPr w:rsidR="00BC3F11" w:rsidRPr="005E6B7C" w:rsidSect="00BC3F11">
          <w:type w:val="continuous"/>
          <w:pgSz w:w="10773" w:h="15309" w:code="9"/>
          <w:pgMar w:top="907" w:right="851" w:bottom="1418" w:left="851" w:header="397" w:footer="851" w:gutter="0"/>
          <w:cols w:num="2" w:space="284"/>
          <w:docGrid w:linePitch="360"/>
        </w:sectPr>
      </w:pPr>
    </w:p>
    <w:p w14:paraId="4486F109" w14:textId="77777777" w:rsidR="00A04226" w:rsidRPr="005E6B7C" w:rsidRDefault="00A04226"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color w:val="000000" w:themeColor="text1"/>
          <w:sz w:val="18"/>
          <w:szCs w:val="18"/>
          <w:lang w:eastAsia="ja-JP"/>
        </w:rPr>
      </w:pPr>
    </w:p>
    <w:p w14:paraId="07D9BB2B" w14:textId="77777777" w:rsidR="00E049CB" w:rsidRPr="005E6B7C" w:rsidRDefault="00E049CB" w:rsidP="008C0D47">
      <w:pPr>
        <w:spacing w:after="60" w:line="160" w:lineRule="exact"/>
        <w:jc w:val="center"/>
        <w:rPr>
          <w:b/>
          <w:sz w:val="18"/>
          <w:szCs w:val="18"/>
        </w:rPr>
      </w:pPr>
      <w:r w:rsidRPr="005E6B7C">
        <w:rPr>
          <w:b/>
          <w:sz w:val="18"/>
          <w:szCs w:val="18"/>
        </w:rPr>
        <w:t>References</w:t>
      </w:r>
    </w:p>
    <w:p w14:paraId="46EE0C61"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z w:val="18"/>
          <w:szCs w:val="18"/>
          <w:lang w:eastAsia="ja-JP"/>
        </w:rPr>
      </w:pPr>
      <w:bookmarkStart w:id="19" w:name="_Hlk223009430"/>
      <w:r w:rsidRPr="005E6B7C">
        <w:rPr>
          <w:rFonts w:asciiTheme="majorHAnsi" w:eastAsia="Yu Mincho" w:hAnsiTheme="majorHAnsi" w:cstheme="majorHAnsi"/>
          <w:b/>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Nguyen Phuong Dai Nguyen (2013), </w:t>
      </w:r>
      <w:r w:rsidRPr="005E6B7C">
        <w:rPr>
          <w:rFonts w:asciiTheme="majorHAnsi" w:eastAsia="Yu Mincho" w:hAnsiTheme="majorHAnsi" w:cstheme="majorHAnsi"/>
          <w:i/>
          <w:color w:val="000000" w:themeColor="text1"/>
          <w:sz w:val="18"/>
          <w:szCs w:val="18"/>
          <w:lang w:eastAsia="ja-JP"/>
        </w:rPr>
        <w:t>The genus Ganoderma</w:t>
      </w:r>
      <w:r w:rsidRPr="005E6B7C">
        <w:rPr>
          <w:rFonts w:asciiTheme="majorHAnsi" w:eastAsia="Yu Mincho" w:hAnsiTheme="majorHAnsi" w:cstheme="majorHAnsi"/>
          <w:color w:val="000000" w:themeColor="text1"/>
          <w:sz w:val="18"/>
          <w:szCs w:val="18"/>
          <w:lang w:eastAsia="ja-JP"/>
        </w:rPr>
        <w:t xml:space="preserve"> Karst. </w:t>
      </w:r>
      <w:r w:rsidRPr="005E6B7C">
        <w:rPr>
          <w:rFonts w:asciiTheme="majorHAnsi" w:eastAsia="Yu Mincho" w:hAnsiTheme="majorHAnsi" w:cstheme="majorHAnsi"/>
          <w:i/>
          <w:color w:val="000000" w:themeColor="text1"/>
          <w:sz w:val="18"/>
          <w:szCs w:val="18"/>
          <w:lang w:eastAsia="ja-JP"/>
        </w:rPr>
        <w:t>in Tay Nguyen</w:t>
      </w:r>
      <w:r w:rsidRPr="005E6B7C">
        <w:rPr>
          <w:rFonts w:asciiTheme="majorHAnsi" w:eastAsia="Yu Mincho" w:hAnsiTheme="majorHAnsi" w:cstheme="majorHAnsi"/>
          <w:color w:val="000000" w:themeColor="text1"/>
          <w:sz w:val="18"/>
          <w:szCs w:val="18"/>
          <w:lang w:eastAsia="ja-JP"/>
        </w:rPr>
        <w:t xml:space="preserve">. Vietnam Education Publishing House Limited Company. </w:t>
      </w:r>
    </w:p>
    <w:p w14:paraId="355DC213"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b/>
          <w:color w:val="000000" w:themeColor="text1"/>
          <w:spacing w:val="-4"/>
          <w:sz w:val="18"/>
          <w:szCs w:val="18"/>
          <w:lang w:eastAsia="ja-JP"/>
        </w:rPr>
      </w:pPr>
      <w:r w:rsidRPr="005E6B7C">
        <w:rPr>
          <w:rFonts w:asciiTheme="majorHAnsi" w:eastAsia="Yu Mincho" w:hAnsiTheme="majorHAnsi" w:cstheme="majorHAnsi"/>
          <w:b/>
          <w:color w:val="000000" w:themeColor="text1"/>
          <w:spacing w:val="-4"/>
          <w:sz w:val="18"/>
          <w:szCs w:val="18"/>
          <w:lang w:eastAsia="ja-JP"/>
        </w:rPr>
        <w:t>2</w:t>
      </w:r>
      <w:r w:rsidRPr="005E6B7C">
        <w:rPr>
          <w:rFonts w:asciiTheme="majorHAnsi" w:eastAsia="Yu Mincho" w:hAnsiTheme="majorHAnsi" w:cstheme="majorHAnsi"/>
          <w:color w:val="000000" w:themeColor="text1"/>
          <w:spacing w:val="-4"/>
          <w:sz w:val="18"/>
          <w:szCs w:val="18"/>
          <w:lang w:eastAsia="ja-JP"/>
        </w:rPr>
        <w:t xml:space="preserve">. </w:t>
      </w:r>
      <w:r w:rsidRPr="005E6B7C">
        <w:rPr>
          <w:rFonts w:asciiTheme="majorHAnsi" w:eastAsia="Yu Mincho" w:hAnsiTheme="majorHAnsi" w:cstheme="majorHAnsi"/>
          <w:color w:val="000000" w:themeColor="text1"/>
          <w:spacing w:val="-4"/>
          <w:sz w:val="18"/>
          <w:szCs w:val="18"/>
          <w:shd w:val="clear" w:color="auto" w:fill="FFFFFF"/>
          <w:lang w:eastAsia="ja-JP"/>
        </w:rPr>
        <w:t xml:space="preserve">Lin Z. B., &amp; Zhang H. N. (2004), Anti-tumor and immunoregulatory activities of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xml:space="preserve"> and its possible mechanisms, </w:t>
      </w:r>
      <w:r w:rsidRPr="005E6B7C">
        <w:rPr>
          <w:rFonts w:asciiTheme="majorHAnsi" w:eastAsia="Yu Mincho" w:hAnsiTheme="majorHAnsi" w:cstheme="majorHAnsi"/>
          <w:i/>
          <w:iCs/>
          <w:color w:val="000000" w:themeColor="text1"/>
          <w:spacing w:val="-4"/>
          <w:sz w:val="18"/>
          <w:szCs w:val="18"/>
          <w:shd w:val="clear" w:color="auto" w:fill="FFFFFF"/>
          <w:lang w:eastAsia="ja-JP"/>
        </w:rPr>
        <w:t>Acta Pharmacologica Sinica</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25</w:t>
      </w:r>
      <w:r w:rsidRPr="005E6B7C">
        <w:rPr>
          <w:rFonts w:asciiTheme="majorHAnsi" w:eastAsia="Yu Mincho" w:hAnsiTheme="majorHAnsi" w:cstheme="majorHAnsi"/>
          <w:color w:val="000000" w:themeColor="text1"/>
          <w:spacing w:val="-4"/>
          <w:sz w:val="18"/>
          <w:szCs w:val="18"/>
          <w:shd w:val="clear" w:color="auto" w:fill="FFFFFF"/>
          <w:lang w:eastAsia="ja-JP"/>
        </w:rPr>
        <w:t>, 1387-1395.</w:t>
      </w:r>
      <w:r w:rsidRPr="005E6B7C">
        <w:rPr>
          <w:rFonts w:asciiTheme="majorHAnsi" w:eastAsia="Yu Mincho" w:hAnsiTheme="majorHAnsi" w:cstheme="majorHAnsi"/>
          <w:b/>
          <w:color w:val="000000" w:themeColor="text1"/>
          <w:spacing w:val="-4"/>
          <w:sz w:val="18"/>
          <w:szCs w:val="18"/>
          <w:lang w:eastAsia="ja-JP"/>
        </w:rPr>
        <w:t xml:space="preserve"> </w:t>
      </w:r>
    </w:p>
    <w:p w14:paraId="68EB2EC3"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lang w:eastAsia="ja-JP"/>
        </w:rPr>
        <w:t xml:space="preserve">3. </w:t>
      </w:r>
      <w:r w:rsidRPr="005E6B7C">
        <w:rPr>
          <w:rFonts w:asciiTheme="majorHAnsi" w:eastAsia="Yu Mincho" w:hAnsiTheme="majorHAnsi" w:cstheme="majorHAnsi"/>
          <w:color w:val="000000" w:themeColor="text1"/>
          <w:spacing w:val="-4"/>
          <w:sz w:val="18"/>
          <w:szCs w:val="18"/>
          <w:shd w:val="clear" w:color="auto" w:fill="FFFFFF"/>
          <w:lang w:eastAsia="ja-JP"/>
        </w:rPr>
        <w:t xml:space="preserve">Yuen J. W., &amp; Gohel M. D. I. (2005), Anticancer effects of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a review of scientific evidence. </w:t>
      </w:r>
      <w:r w:rsidRPr="005E6B7C">
        <w:rPr>
          <w:rFonts w:asciiTheme="majorHAnsi" w:eastAsia="Yu Mincho" w:hAnsiTheme="majorHAnsi" w:cstheme="majorHAnsi"/>
          <w:i/>
          <w:iCs/>
          <w:color w:val="000000" w:themeColor="text1"/>
          <w:spacing w:val="-4"/>
          <w:sz w:val="18"/>
          <w:szCs w:val="18"/>
          <w:shd w:val="clear" w:color="auto" w:fill="FFFFFF"/>
          <w:lang w:eastAsia="ja-JP"/>
        </w:rPr>
        <w:t>Nutrition and Cancer</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53</w:t>
      </w:r>
      <w:r w:rsidRPr="005E6B7C">
        <w:rPr>
          <w:rFonts w:asciiTheme="majorHAnsi" w:eastAsia="Yu Mincho" w:hAnsiTheme="majorHAnsi" w:cstheme="majorHAnsi"/>
          <w:color w:val="000000" w:themeColor="text1"/>
          <w:spacing w:val="-4"/>
          <w:sz w:val="18"/>
          <w:szCs w:val="18"/>
          <w:shd w:val="clear" w:color="auto" w:fill="FFFFFF"/>
          <w:lang w:eastAsia="ja-JP"/>
        </w:rPr>
        <w:t xml:space="preserve">(1), 11-17. </w:t>
      </w:r>
    </w:p>
    <w:p w14:paraId="216DE335" w14:textId="7D8F1974"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4</w:t>
      </w:r>
      <w:r w:rsidRPr="005E6B7C">
        <w:rPr>
          <w:rFonts w:asciiTheme="majorHAnsi" w:eastAsia="Yu Mincho" w:hAnsiTheme="majorHAnsi" w:cstheme="majorHAnsi"/>
          <w:color w:val="000000" w:themeColor="text1"/>
          <w:spacing w:val="-4"/>
          <w:sz w:val="18"/>
          <w:szCs w:val="18"/>
          <w:shd w:val="clear" w:color="auto" w:fill="FFFFFF"/>
          <w:lang w:eastAsia="ja-JP"/>
        </w:rPr>
        <w:t xml:space="preserve">. Woo C. W., Man R. Y., Siow Y. L., Choy P. C., Wan E. W., Lau C. S., Karmin O. (2005),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xml:space="preserve"> inhibits inducible nitric oxide synthase expression in macrophages, </w:t>
      </w:r>
      <w:r w:rsidRPr="005E6B7C">
        <w:rPr>
          <w:rFonts w:asciiTheme="majorHAnsi" w:eastAsia="Yu Mincho" w:hAnsiTheme="majorHAnsi" w:cstheme="majorHAnsi"/>
          <w:i/>
          <w:iCs/>
          <w:color w:val="000000" w:themeColor="text1"/>
          <w:spacing w:val="-4"/>
          <w:sz w:val="18"/>
          <w:szCs w:val="18"/>
          <w:shd w:val="clear" w:color="auto" w:fill="FFFFFF"/>
          <w:lang w:eastAsia="ja-JP"/>
        </w:rPr>
        <w:t>Molecular and Cellular Biochemistry</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275</w:t>
      </w:r>
      <w:r w:rsidRPr="005E6B7C">
        <w:rPr>
          <w:rFonts w:asciiTheme="majorHAnsi" w:eastAsia="Yu Mincho" w:hAnsiTheme="majorHAnsi" w:cstheme="majorHAnsi"/>
          <w:color w:val="000000" w:themeColor="text1"/>
          <w:spacing w:val="-4"/>
          <w:sz w:val="18"/>
          <w:szCs w:val="18"/>
          <w:shd w:val="clear" w:color="auto" w:fill="FFFFFF"/>
          <w:lang w:eastAsia="ja-JP"/>
        </w:rPr>
        <w:t xml:space="preserve">(1), 165-171. </w:t>
      </w:r>
    </w:p>
    <w:p w14:paraId="0FB21F1B"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5</w:t>
      </w:r>
      <w:r w:rsidRPr="005E6B7C">
        <w:rPr>
          <w:rFonts w:asciiTheme="majorHAnsi" w:eastAsia="Yu Mincho" w:hAnsiTheme="majorHAnsi" w:cstheme="majorHAnsi"/>
          <w:color w:val="000000" w:themeColor="text1"/>
          <w:spacing w:val="-4"/>
          <w:sz w:val="18"/>
          <w:szCs w:val="18"/>
          <w:shd w:val="clear" w:color="auto" w:fill="FFFFFF"/>
          <w:lang w:eastAsia="ja-JP"/>
        </w:rPr>
        <w:t xml:space="preserve">. Lee S. Y., Rhee H. M. (1990), Cardiovascular effects of mycelium extract of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inhibition of sympathetic outflow as a mechanism of its hypotensive action, </w:t>
      </w:r>
      <w:r w:rsidRPr="005E6B7C">
        <w:rPr>
          <w:rFonts w:asciiTheme="majorHAnsi" w:eastAsia="Yu Mincho" w:hAnsiTheme="majorHAnsi" w:cstheme="majorHAnsi"/>
          <w:i/>
          <w:iCs/>
          <w:color w:val="000000" w:themeColor="text1"/>
          <w:spacing w:val="-4"/>
          <w:sz w:val="18"/>
          <w:szCs w:val="18"/>
          <w:shd w:val="clear" w:color="auto" w:fill="FFFFFF"/>
          <w:lang w:eastAsia="ja-JP"/>
        </w:rPr>
        <w:t>Chemical and Pharmaceutical Bulletin</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38</w:t>
      </w:r>
      <w:r w:rsidRPr="005E6B7C">
        <w:rPr>
          <w:rFonts w:asciiTheme="majorHAnsi" w:eastAsia="Yu Mincho" w:hAnsiTheme="majorHAnsi" w:cstheme="majorHAnsi"/>
          <w:color w:val="000000" w:themeColor="text1"/>
          <w:spacing w:val="-4"/>
          <w:sz w:val="18"/>
          <w:szCs w:val="18"/>
          <w:shd w:val="clear" w:color="auto" w:fill="FFFFFF"/>
          <w:lang w:eastAsia="ja-JP"/>
        </w:rPr>
        <w:t>(5), 1359-1364.</w:t>
      </w:r>
    </w:p>
    <w:p w14:paraId="3F6000C9"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6</w:t>
      </w:r>
      <w:r w:rsidRPr="005E6B7C">
        <w:rPr>
          <w:rFonts w:asciiTheme="majorHAnsi" w:eastAsia="Yu Mincho" w:hAnsiTheme="majorHAnsi" w:cstheme="majorHAnsi"/>
          <w:color w:val="000000" w:themeColor="text1"/>
          <w:spacing w:val="-4"/>
          <w:sz w:val="18"/>
          <w:szCs w:val="18"/>
          <w:shd w:val="clear" w:color="auto" w:fill="FFFFFF"/>
          <w:lang w:eastAsia="ja-JP"/>
        </w:rPr>
        <w:t xml:space="preserve">. Shi Y., Sun J., He H., Guo H., Zhang S. (2008), Hepatoprotective effects of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xml:space="preserve"> peptides against D-galactosamine-induced liver injury in mice, </w:t>
      </w:r>
      <w:r w:rsidRPr="005E6B7C">
        <w:rPr>
          <w:rFonts w:asciiTheme="majorHAnsi" w:eastAsia="Yu Mincho" w:hAnsiTheme="majorHAnsi" w:cstheme="majorHAnsi"/>
          <w:i/>
          <w:iCs/>
          <w:color w:val="000000" w:themeColor="text1"/>
          <w:spacing w:val="-4"/>
          <w:sz w:val="18"/>
          <w:szCs w:val="18"/>
          <w:shd w:val="clear" w:color="auto" w:fill="FFFFFF"/>
          <w:lang w:eastAsia="ja-JP"/>
        </w:rPr>
        <w:t>Journal of Ethnopharmacology</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117</w:t>
      </w:r>
      <w:r w:rsidRPr="005E6B7C">
        <w:rPr>
          <w:rFonts w:asciiTheme="majorHAnsi" w:eastAsia="Yu Mincho" w:hAnsiTheme="majorHAnsi" w:cstheme="majorHAnsi"/>
          <w:color w:val="000000" w:themeColor="text1"/>
          <w:spacing w:val="-4"/>
          <w:sz w:val="18"/>
          <w:szCs w:val="18"/>
          <w:shd w:val="clear" w:color="auto" w:fill="FFFFFF"/>
          <w:lang w:eastAsia="ja-JP"/>
        </w:rPr>
        <w:t xml:space="preserve">(3), 415-419. </w:t>
      </w:r>
    </w:p>
    <w:p w14:paraId="610AFEC7"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6"/>
          <w:sz w:val="18"/>
          <w:szCs w:val="18"/>
          <w:shd w:val="clear" w:color="auto" w:fill="FFFFFF"/>
          <w:lang w:eastAsia="ja-JP"/>
        </w:rPr>
      </w:pPr>
      <w:r w:rsidRPr="005E6B7C">
        <w:rPr>
          <w:rFonts w:asciiTheme="majorHAnsi" w:eastAsia="Yu Mincho" w:hAnsiTheme="majorHAnsi" w:cstheme="majorHAnsi"/>
          <w:b/>
          <w:color w:val="000000" w:themeColor="text1"/>
          <w:spacing w:val="-6"/>
          <w:sz w:val="18"/>
          <w:szCs w:val="18"/>
          <w:shd w:val="clear" w:color="auto" w:fill="FFFFFF"/>
          <w:lang w:eastAsia="ja-JP"/>
        </w:rPr>
        <w:t>7</w:t>
      </w:r>
      <w:r w:rsidRPr="005E6B7C">
        <w:rPr>
          <w:rFonts w:asciiTheme="majorHAnsi" w:eastAsia="Yu Mincho" w:hAnsiTheme="majorHAnsi" w:cstheme="majorHAnsi"/>
          <w:color w:val="000000" w:themeColor="text1"/>
          <w:spacing w:val="-6"/>
          <w:sz w:val="18"/>
          <w:szCs w:val="18"/>
          <w:shd w:val="clear" w:color="auto" w:fill="FFFFFF"/>
          <w:lang w:eastAsia="ja-JP"/>
        </w:rPr>
        <w:t xml:space="preserve">. Gao Y., Huang M., Lin Z. B., Zhou S. (2003), Hepatoprotective activity and the mechanisms of action of </w:t>
      </w:r>
      <w:r w:rsidRPr="005E6B7C">
        <w:rPr>
          <w:rFonts w:asciiTheme="majorHAnsi" w:eastAsia="Yu Mincho" w:hAnsiTheme="majorHAnsi" w:cstheme="majorHAnsi"/>
          <w:i/>
          <w:color w:val="000000" w:themeColor="text1"/>
          <w:spacing w:val="-6"/>
          <w:sz w:val="18"/>
          <w:szCs w:val="18"/>
          <w:shd w:val="clear" w:color="auto" w:fill="FFFFFF"/>
          <w:lang w:eastAsia="ja-JP"/>
        </w:rPr>
        <w:t>Ganoderma lucidum</w:t>
      </w:r>
      <w:r w:rsidRPr="005E6B7C">
        <w:rPr>
          <w:rFonts w:asciiTheme="majorHAnsi" w:eastAsia="Yu Mincho" w:hAnsiTheme="majorHAnsi" w:cstheme="majorHAnsi"/>
          <w:color w:val="000000" w:themeColor="text1"/>
          <w:spacing w:val="-6"/>
          <w:sz w:val="18"/>
          <w:szCs w:val="18"/>
          <w:shd w:val="clear" w:color="auto" w:fill="FFFFFF"/>
          <w:lang w:eastAsia="ja-JP"/>
        </w:rPr>
        <w:t xml:space="preserve"> (Curt.: Fr.) P. Karst.(Ling Zhi, Reishi mushroom) (Aphyllophoromycetideae), </w:t>
      </w:r>
      <w:r w:rsidRPr="005E6B7C">
        <w:rPr>
          <w:rFonts w:asciiTheme="majorHAnsi" w:eastAsia="Yu Mincho" w:hAnsiTheme="majorHAnsi" w:cstheme="majorHAnsi"/>
          <w:i/>
          <w:iCs/>
          <w:color w:val="000000" w:themeColor="text1"/>
          <w:spacing w:val="-6"/>
          <w:sz w:val="18"/>
          <w:szCs w:val="18"/>
          <w:shd w:val="clear" w:color="auto" w:fill="FFFFFF"/>
          <w:lang w:eastAsia="ja-JP"/>
        </w:rPr>
        <w:t>International Journal of Medicinal Mushrooms</w:t>
      </w:r>
      <w:r w:rsidRPr="005E6B7C">
        <w:rPr>
          <w:rFonts w:asciiTheme="majorHAnsi" w:eastAsia="Yu Mincho" w:hAnsiTheme="majorHAnsi" w:cstheme="majorHAnsi"/>
          <w:color w:val="000000" w:themeColor="text1"/>
          <w:spacing w:val="-6"/>
          <w:sz w:val="18"/>
          <w:szCs w:val="18"/>
          <w:shd w:val="clear" w:color="auto" w:fill="FFFFFF"/>
          <w:lang w:eastAsia="ja-JP"/>
        </w:rPr>
        <w:t>, </w:t>
      </w:r>
      <w:r w:rsidRPr="005E6B7C">
        <w:rPr>
          <w:rFonts w:asciiTheme="majorHAnsi" w:eastAsia="Yu Mincho" w:hAnsiTheme="majorHAnsi" w:cstheme="majorHAnsi"/>
          <w:iCs/>
          <w:color w:val="000000" w:themeColor="text1"/>
          <w:spacing w:val="-6"/>
          <w:sz w:val="18"/>
          <w:szCs w:val="18"/>
          <w:shd w:val="clear" w:color="auto" w:fill="FFFFFF"/>
          <w:lang w:eastAsia="ja-JP"/>
        </w:rPr>
        <w:t>5</w:t>
      </w:r>
      <w:r w:rsidRPr="005E6B7C">
        <w:rPr>
          <w:rFonts w:asciiTheme="majorHAnsi" w:eastAsia="Yu Mincho" w:hAnsiTheme="majorHAnsi" w:cstheme="majorHAnsi"/>
          <w:color w:val="000000" w:themeColor="text1"/>
          <w:spacing w:val="-6"/>
          <w:sz w:val="18"/>
          <w:szCs w:val="18"/>
          <w:shd w:val="clear" w:color="auto" w:fill="FFFFFF"/>
          <w:lang w:eastAsia="ja-JP"/>
        </w:rPr>
        <w:t>(2), 1-22.</w:t>
      </w:r>
    </w:p>
    <w:p w14:paraId="7DDCF760"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lang w:eastAsia="ja-JP"/>
        </w:rPr>
      </w:pPr>
      <w:r w:rsidRPr="005E6B7C">
        <w:rPr>
          <w:rFonts w:asciiTheme="majorHAnsi" w:eastAsia="Yu Mincho" w:hAnsiTheme="majorHAnsi" w:cstheme="majorHAnsi"/>
          <w:b/>
          <w:color w:val="000000" w:themeColor="text1"/>
          <w:spacing w:val="-4"/>
          <w:sz w:val="18"/>
          <w:szCs w:val="18"/>
          <w:lang w:eastAsia="ja-JP"/>
        </w:rPr>
        <w:t>8</w:t>
      </w:r>
      <w:r w:rsidRPr="005E6B7C">
        <w:rPr>
          <w:rFonts w:asciiTheme="majorHAnsi" w:eastAsia="Yu Mincho" w:hAnsiTheme="majorHAnsi" w:cstheme="majorHAnsi"/>
          <w:color w:val="000000" w:themeColor="text1"/>
          <w:spacing w:val="-4"/>
          <w:sz w:val="18"/>
          <w:szCs w:val="18"/>
          <w:lang w:eastAsia="ja-JP"/>
        </w:rPr>
        <w:t xml:space="preserve">. Nguyen Phuong Dai Nguyen (2015), Diversity of the genus </w:t>
      </w:r>
      <w:r w:rsidRPr="005E6B7C">
        <w:rPr>
          <w:rFonts w:asciiTheme="majorHAnsi" w:eastAsia="Yu Mincho" w:hAnsiTheme="majorHAnsi" w:cstheme="majorHAnsi"/>
          <w:i/>
          <w:color w:val="000000" w:themeColor="text1"/>
          <w:spacing w:val="-4"/>
          <w:sz w:val="18"/>
          <w:szCs w:val="18"/>
          <w:lang w:eastAsia="ja-JP"/>
        </w:rPr>
        <w:t>Ganoderma</w:t>
      </w:r>
      <w:r w:rsidRPr="005E6B7C">
        <w:rPr>
          <w:rFonts w:asciiTheme="majorHAnsi" w:eastAsia="Yu Mincho" w:hAnsiTheme="majorHAnsi" w:cstheme="majorHAnsi"/>
          <w:color w:val="000000" w:themeColor="text1"/>
          <w:spacing w:val="-4"/>
          <w:sz w:val="18"/>
          <w:szCs w:val="18"/>
          <w:lang w:eastAsia="ja-JP"/>
        </w:rPr>
        <w:t xml:space="preserve"> Karst. in Kon Ka Kinh national park in Vietnam, The 6</w:t>
      </w:r>
      <w:r w:rsidRPr="005E6B7C">
        <w:rPr>
          <w:rFonts w:asciiTheme="majorHAnsi" w:eastAsia="Yu Mincho" w:hAnsiTheme="majorHAnsi" w:cstheme="majorHAnsi"/>
          <w:color w:val="000000" w:themeColor="text1"/>
          <w:spacing w:val="-4"/>
          <w:sz w:val="18"/>
          <w:szCs w:val="18"/>
          <w:vertAlign w:val="superscript"/>
          <w:lang w:eastAsia="ja-JP"/>
        </w:rPr>
        <w:t>th</w:t>
      </w:r>
      <w:r w:rsidRPr="005E6B7C">
        <w:rPr>
          <w:rFonts w:asciiTheme="majorHAnsi" w:eastAsia="Yu Mincho" w:hAnsiTheme="majorHAnsi" w:cstheme="majorHAnsi"/>
          <w:color w:val="000000" w:themeColor="text1"/>
          <w:spacing w:val="-4"/>
          <w:sz w:val="18"/>
          <w:szCs w:val="18"/>
          <w:lang w:eastAsia="ja-JP"/>
        </w:rPr>
        <w:t xml:space="preserve"> national scientific conference on ecology and biological resources, 738-742. </w:t>
      </w:r>
    </w:p>
    <w:p w14:paraId="210B0AF9"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lang w:eastAsia="ja-JP"/>
        </w:rPr>
        <w:t>9</w:t>
      </w:r>
      <w:r w:rsidRPr="005E6B7C">
        <w:rPr>
          <w:rFonts w:asciiTheme="majorHAnsi" w:eastAsia="Yu Mincho" w:hAnsiTheme="majorHAnsi" w:cstheme="majorHAnsi"/>
          <w:color w:val="000000" w:themeColor="text1"/>
          <w:spacing w:val="-4"/>
          <w:sz w:val="18"/>
          <w:szCs w:val="18"/>
          <w:lang w:eastAsia="ja-JP"/>
        </w:rPr>
        <w:t xml:space="preserve">. </w:t>
      </w:r>
      <w:r w:rsidRPr="005E6B7C">
        <w:rPr>
          <w:rFonts w:asciiTheme="majorHAnsi" w:eastAsia="Yu Mincho" w:hAnsiTheme="majorHAnsi" w:cstheme="majorHAnsi"/>
          <w:color w:val="000000" w:themeColor="text1"/>
          <w:spacing w:val="-4"/>
          <w:sz w:val="18"/>
          <w:szCs w:val="18"/>
          <w:shd w:val="clear" w:color="auto" w:fill="FFFFFF"/>
          <w:lang w:eastAsia="ja-JP"/>
        </w:rPr>
        <w:t>Dai Y. C. (2012), Polypore diversity in China with an annotated checklist of Chinese polypores. </w:t>
      </w:r>
      <w:r w:rsidRPr="005E6B7C">
        <w:rPr>
          <w:rFonts w:asciiTheme="majorHAnsi" w:eastAsia="Yu Mincho" w:hAnsiTheme="majorHAnsi" w:cstheme="majorHAnsi"/>
          <w:i/>
          <w:iCs/>
          <w:color w:val="000000" w:themeColor="text1"/>
          <w:spacing w:val="-4"/>
          <w:sz w:val="18"/>
          <w:szCs w:val="18"/>
          <w:shd w:val="clear" w:color="auto" w:fill="FFFFFF"/>
          <w:lang w:eastAsia="ja-JP"/>
        </w:rPr>
        <w:t>Mycoscience</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53</w:t>
      </w:r>
      <w:r w:rsidRPr="005E6B7C">
        <w:rPr>
          <w:rFonts w:asciiTheme="majorHAnsi" w:eastAsia="Yu Mincho" w:hAnsiTheme="majorHAnsi" w:cstheme="majorHAnsi"/>
          <w:color w:val="000000" w:themeColor="text1"/>
          <w:spacing w:val="-4"/>
          <w:sz w:val="18"/>
          <w:szCs w:val="18"/>
          <w:shd w:val="clear" w:color="auto" w:fill="FFFFFF"/>
          <w:lang w:eastAsia="ja-JP"/>
        </w:rPr>
        <w:t xml:space="preserve">(1), 49-80. </w:t>
      </w:r>
    </w:p>
    <w:p w14:paraId="3FB0B7EA"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10.</w:t>
      </w:r>
      <w:r w:rsidRPr="005E6B7C">
        <w:rPr>
          <w:rFonts w:asciiTheme="majorHAnsi" w:eastAsia="Yu Mincho" w:hAnsiTheme="majorHAnsi" w:cstheme="majorHAnsi"/>
          <w:color w:val="000000" w:themeColor="text1"/>
          <w:spacing w:val="-4"/>
          <w:sz w:val="18"/>
          <w:szCs w:val="18"/>
          <w:shd w:val="clear" w:color="auto" w:fill="FFFFFF"/>
          <w:lang w:eastAsia="ja-JP"/>
        </w:rPr>
        <w:t xml:space="preserve"> Arisawa M., Fujita A., Saga M., Fukumura H., Hayashi T., Shimizu M., Morita N. (1986), Three new lanostanoids from </w:t>
      </w:r>
      <w:r w:rsidRPr="005E6B7C">
        <w:rPr>
          <w:rFonts w:asciiTheme="majorHAnsi" w:eastAsia="Yu Mincho" w:hAnsiTheme="majorHAnsi" w:cstheme="majorHAnsi"/>
          <w:i/>
          <w:color w:val="000000" w:themeColor="text1"/>
          <w:spacing w:val="-4"/>
          <w:sz w:val="18"/>
          <w:szCs w:val="18"/>
          <w:shd w:val="clear" w:color="auto" w:fill="FFFFFF"/>
          <w:lang w:eastAsia="ja-JP"/>
        </w:rPr>
        <w:t>Ganoderma lucidum</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
          <w:iCs/>
          <w:color w:val="000000" w:themeColor="text1"/>
          <w:spacing w:val="-4"/>
          <w:sz w:val="18"/>
          <w:szCs w:val="18"/>
          <w:shd w:val="clear" w:color="auto" w:fill="FFFFFF"/>
          <w:lang w:eastAsia="ja-JP"/>
        </w:rPr>
        <w:t>Journal of Natural Products</w:t>
      </w:r>
      <w:r w:rsidRPr="005E6B7C">
        <w:rPr>
          <w:rFonts w:asciiTheme="majorHAnsi" w:eastAsia="Yu Mincho" w:hAnsiTheme="majorHAnsi" w:cstheme="majorHAnsi"/>
          <w:color w:val="000000" w:themeColor="text1"/>
          <w:spacing w:val="-4"/>
          <w:sz w:val="18"/>
          <w:szCs w:val="18"/>
          <w:shd w:val="clear" w:color="auto" w:fill="FFFFFF"/>
          <w:lang w:eastAsia="ja-JP"/>
        </w:rPr>
        <w:t>, </w:t>
      </w:r>
      <w:r w:rsidRPr="005E6B7C">
        <w:rPr>
          <w:rFonts w:asciiTheme="majorHAnsi" w:eastAsia="Yu Mincho" w:hAnsiTheme="majorHAnsi" w:cstheme="majorHAnsi"/>
          <w:iCs/>
          <w:color w:val="000000" w:themeColor="text1"/>
          <w:spacing w:val="-4"/>
          <w:sz w:val="18"/>
          <w:szCs w:val="18"/>
          <w:shd w:val="clear" w:color="auto" w:fill="FFFFFF"/>
          <w:lang w:eastAsia="ja-JP"/>
        </w:rPr>
        <w:t>49</w:t>
      </w:r>
      <w:r w:rsidRPr="005E6B7C">
        <w:rPr>
          <w:rFonts w:asciiTheme="majorHAnsi" w:eastAsia="Yu Mincho" w:hAnsiTheme="majorHAnsi" w:cstheme="majorHAnsi"/>
          <w:color w:val="000000" w:themeColor="text1"/>
          <w:spacing w:val="-4"/>
          <w:sz w:val="18"/>
          <w:szCs w:val="18"/>
          <w:shd w:val="clear" w:color="auto" w:fill="FFFFFF"/>
          <w:lang w:eastAsia="ja-JP"/>
        </w:rPr>
        <w:t xml:space="preserve">(4), 621-625. </w:t>
      </w:r>
    </w:p>
    <w:p w14:paraId="798C7474"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shd w:val="clear" w:color="auto" w:fill="FFFFFF"/>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11</w:t>
      </w:r>
      <w:r w:rsidRPr="005E6B7C">
        <w:rPr>
          <w:rFonts w:asciiTheme="majorHAnsi" w:eastAsia="Yu Mincho" w:hAnsiTheme="majorHAnsi" w:cstheme="majorHAnsi"/>
          <w:color w:val="000000" w:themeColor="text1"/>
          <w:spacing w:val="-4"/>
          <w:sz w:val="18"/>
          <w:szCs w:val="18"/>
          <w:shd w:val="clear" w:color="auto" w:fill="FFFFFF"/>
          <w:lang w:eastAsia="ja-JP"/>
        </w:rPr>
        <w:t xml:space="preserve">. Li M. J., Ma Q. Y., Yang L., Xie Q. Y., Guo J. C., Dai H. F., Hua Y., Zhao, Y. X. (2026), Lanostane triterpenoids from the fruiting bodies of </w:t>
      </w:r>
      <w:r w:rsidRPr="005E6B7C">
        <w:rPr>
          <w:rFonts w:asciiTheme="majorHAnsi" w:eastAsia="Yu Mincho" w:hAnsiTheme="majorHAnsi" w:cstheme="majorHAnsi"/>
          <w:i/>
          <w:color w:val="000000" w:themeColor="text1"/>
          <w:spacing w:val="-4"/>
          <w:sz w:val="18"/>
          <w:szCs w:val="18"/>
          <w:shd w:val="clear" w:color="auto" w:fill="FFFFFF"/>
          <w:lang w:eastAsia="ja-JP"/>
        </w:rPr>
        <w:t>Ganoderma multipileum</w:t>
      </w:r>
      <w:r w:rsidRPr="005E6B7C">
        <w:rPr>
          <w:rFonts w:asciiTheme="majorHAnsi" w:eastAsia="Yu Mincho" w:hAnsiTheme="majorHAnsi" w:cstheme="majorHAnsi"/>
          <w:color w:val="000000" w:themeColor="text1"/>
          <w:spacing w:val="-4"/>
          <w:sz w:val="18"/>
          <w:szCs w:val="18"/>
          <w:shd w:val="clear" w:color="auto" w:fill="FFFFFF"/>
          <w:lang w:eastAsia="ja-JP"/>
        </w:rPr>
        <w:t xml:space="preserve"> and their anti-inflammatory activities, </w:t>
      </w:r>
      <w:r w:rsidRPr="005E6B7C">
        <w:rPr>
          <w:rFonts w:asciiTheme="majorHAnsi" w:eastAsia="Yu Mincho" w:hAnsiTheme="majorHAnsi" w:cstheme="majorHAnsi"/>
          <w:i/>
          <w:color w:val="000000" w:themeColor="text1"/>
          <w:spacing w:val="-4"/>
          <w:sz w:val="18"/>
          <w:szCs w:val="18"/>
          <w:shd w:val="clear" w:color="auto" w:fill="FFFFFF"/>
          <w:lang w:eastAsia="ja-JP"/>
        </w:rPr>
        <w:t>Natural Product Research</w:t>
      </w:r>
      <w:r w:rsidRPr="005E6B7C">
        <w:rPr>
          <w:rFonts w:asciiTheme="majorHAnsi" w:eastAsia="Yu Mincho" w:hAnsiTheme="majorHAnsi" w:cstheme="majorHAnsi"/>
          <w:color w:val="000000" w:themeColor="text1"/>
          <w:spacing w:val="-4"/>
          <w:sz w:val="18"/>
          <w:szCs w:val="18"/>
          <w:shd w:val="clear" w:color="auto" w:fill="FFFFFF"/>
          <w:lang w:eastAsia="ja-JP"/>
        </w:rPr>
        <w:t xml:space="preserve">, 1-7. </w:t>
      </w:r>
    </w:p>
    <w:p w14:paraId="1C5C8E4A" w14:textId="2916E636"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4"/>
          <w:sz w:val="18"/>
          <w:szCs w:val="18"/>
          <w:lang w:eastAsia="ja-JP"/>
        </w:rPr>
      </w:pPr>
      <w:r w:rsidRPr="005E6B7C">
        <w:rPr>
          <w:rFonts w:asciiTheme="majorHAnsi" w:eastAsia="Yu Mincho" w:hAnsiTheme="majorHAnsi" w:cstheme="majorHAnsi"/>
          <w:b/>
          <w:color w:val="000000" w:themeColor="text1"/>
          <w:spacing w:val="-4"/>
          <w:sz w:val="18"/>
          <w:szCs w:val="18"/>
          <w:shd w:val="clear" w:color="auto" w:fill="FFFFFF"/>
          <w:lang w:eastAsia="ja-JP"/>
        </w:rPr>
        <w:t>12</w:t>
      </w:r>
      <w:r w:rsidRPr="005E6B7C">
        <w:rPr>
          <w:rFonts w:asciiTheme="majorHAnsi" w:eastAsia="Yu Mincho" w:hAnsiTheme="majorHAnsi" w:cstheme="majorHAnsi"/>
          <w:color w:val="000000" w:themeColor="text1"/>
          <w:spacing w:val="-4"/>
          <w:sz w:val="18"/>
          <w:szCs w:val="18"/>
          <w:shd w:val="clear" w:color="auto" w:fill="FFFFFF"/>
          <w:lang w:eastAsia="ja-JP"/>
        </w:rPr>
        <w:t xml:space="preserve">. </w:t>
      </w:r>
      <w:r w:rsidRPr="005E6B7C">
        <w:rPr>
          <w:rFonts w:asciiTheme="majorHAnsi" w:eastAsia="Yu Mincho" w:hAnsiTheme="majorHAnsi" w:cstheme="majorHAnsi"/>
          <w:color w:val="000000" w:themeColor="text1"/>
          <w:spacing w:val="-4"/>
          <w:sz w:val="18"/>
          <w:szCs w:val="18"/>
          <w:lang w:eastAsia="ja-JP"/>
        </w:rPr>
        <w:t xml:space="preserve">Emmons G. T., Wilson W. K., Schroepfer Jr G. J. (1989), </w:t>
      </w:r>
      <w:r w:rsidRPr="005E6B7C">
        <w:rPr>
          <w:rFonts w:asciiTheme="majorHAnsi" w:eastAsia="Yu Mincho" w:hAnsiTheme="majorHAnsi" w:cstheme="majorHAnsi"/>
          <w:color w:val="000000" w:themeColor="text1"/>
          <w:spacing w:val="-4"/>
          <w:sz w:val="18"/>
          <w:szCs w:val="18"/>
          <w:vertAlign w:val="superscript"/>
          <w:lang w:eastAsia="ja-JP"/>
        </w:rPr>
        <w:t>1</w:t>
      </w:r>
      <w:r w:rsidRPr="005E6B7C">
        <w:rPr>
          <w:rFonts w:asciiTheme="majorHAnsi" w:eastAsia="Yu Mincho" w:hAnsiTheme="majorHAnsi" w:cstheme="majorHAnsi"/>
          <w:color w:val="000000" w:themeColor="text1"/>
          <w:spacing w:val="-4"/>
          <w:sz w:val="18"/>
          <w:szCs w:val="18"/>
          <w:lang w:eastAsia="ja-JP"/>
        </w:rPr>
        <w:t xml:space="preserve">H and </w:t>
      </w:r>
      <w:r w:rsidRPr="005E6B7C">
        <w:rPr>
          <w:rFonts w:asciiTheme="majorHAnsi" w:eastAsia="Yu Mincho" w:hAnsiTheme="majorHAnsi" w:cstheme="majorHAnsi"/>
          <w:color w:val="000000" w:themeColor="text1"/>
          <w:spacing w:val="-4"/>
          <w:sz w:val="18"/>
          <w:szCs w:val="18"/>
          <w:vertAlign w:val="superscript"/>
          <w:lang w:eastAsia="ja-JP"/>
        </w:rPr>
        <w:t>13</w:t>
      </w:r>
      <w:r w:rsidRPr="005E6B7C">
        <w:rPr>
          <w:rFonts w:asciiTheme="majorHAnsi" w:eastAsia="Yu Mincho" w:hAnsiTheme="majorHAnsi" w:cstheme="majorHAnsi" w:hint="eastAsia"/>
          <w:color w:val="000000" w:themeColor="text1"/>
          <w:spacing w:val="-4"/>
          <w:sz w:val="18"/>
          <w:szCs w:val="18"/>
          <w:lang w:eastAsia="ja-JP"/>
        </w:rPr>
        <w:t>C-NMR assignments for lanostan</w:t>
      </w:r>
      <w:r w:rsidR="008C0D47" w:rsidRPr="005E6B7C">
        <w:rPr>
          <w:rFonts w:asciiTheme="majorHAnsi" w:eastAsia="Yu Mincho" w:hAnsiTheme="majorHAnsi" w:cstheme="majorHAnsi" w:hint="eastAsia"/>
          <w:color w:val="000000" w:themeColor="text1"/>
          <w:spacing w:val="-4"/>
          <w:sz w:val="18"/>
          <w:szCs w:val="18"/>
          <w:lang w:eastAsia="ja-JP"/>
        </w:rPr>
        <w:t>-</w:t>
      </w:r>
      <w:r w:rsidRPr="005E6B7C">
        <w:rPr>
          <w:rFonts w:asciiTheme="majorHAnsi" w:eastAsia="Yu Mincho" w:hAnsiTheme="majorHAnsi" w:cstheme="majorHAnsi" w:hint="eastAsia"/>
          <w:color w:val="000000" w:themeColor="text1"/>
          <w:spacing w:val="-4"/>
          <w:sz w:val="18"/>
          <w:szCs w:val="18"/>
          <w:lang w:eastAsia="ja-JP"/>
        </w:rPr>
        <w:t>3</w:t>
      </w:r>
      <w:r w:rsidRPr="005E6B7C">
        <w:rPr>
          <w:rFonts w:asciiTheme="majorHAnsi" w:eastAsia="Yu Mincho" w:hAnsiTheme="majorHAnsi" w:cstheme="majorHAnsi"/>
          <w:i/>
          <w:color w:val="000000" w:themeColor="text1"/>
          <w:spacing w:val="-4"/>
          <w:sz w:val="18"/>
          <w:szCs w:val="18"/>
          <w:lang w:eastAsia="ja-JP"/>
        </w:rPr>
        <w:t>β</w:t>
      </w:r>
      <w:r w:rsidR="008C0D47" w:rsidRPr="005E6B7C">
        <w:rPr>
          <w:rFonts w:asciiTheme="majorHAnsi" w:eastAsia="Yu Mincho" w:hAnsiTheme="majorHAnsi" w:cstheme="majorHAnsi" w:hint="eastAsia"/>
          <w:color w:val="000000" w:themeColor="text1"/>
          <w:spacing w:val="-4"/>
          <w:sz w:val="18"/>
          <w:szCs w:val="18"/>
          <w:lang w:eastAsia="ja-JP"/>
        </w:rPr>
        <w:t>-</w:t>
      </w:r>
      <w:r w:rsidRPr="005E6B7C">
        <w:rPr>
          <w:rFonts w:asciiTheme="majorHAnsi" w:eastAsia="Yu Mincho" w:hAnsiTheme="majorHAnsi" w:cstheme="majorHAnsi" w:hint="eastAsia"/>
          <w:color w:val="000000" w:themeColor="text1"/>
          <w:spacing w:val="-4"/>
          <w:sz w:val="18"/>
          <w:szCs w:val="18"/>
          <w:lang w:eastAsia="ja-JP"/>
        </w:rPr>
        <w:t xml:space="preserve">ol derivatives: Revised assignments for lanosterol, </w:t>
      </w:r>
      <w:r w:rsidRPr="005E6B7C">
        <w:rPr>
          <w:rFonts w:asciiTheme="majorHAnsi" w:eastAsia="Yu Mincho" w:hAnsiTheme="majorHAnsi" w:cstheme="majorHAnsi"/>
          <w:i/>
          <w:iCs/>
          <w:color w:val="000000" w:themeColor="text1"/>
          <w:spacing w:val="-4"/>
          <w:sz w:val="18"/>
          <w:szCs w:val="18"/>
          <w:lang w:eastAsia="ja-JP"/>
        </w:rPr>
        <w:t>Magnetic Resonance in Chemistry</w:t>
      </w:r>
      <w:r w:rsidRPr="005E6B7C">
        <w:rPr>
          <w:rFonts w:asciiTheme="majorHAnsi" w:eastAsia="Yu Mincho" w:hAnsiTheme="majorHAnsi" w:cstheme="majorHAnsi"/>
          <w:color w:val="000000" w:themeColor="text1"/>
          <w:spacing w:val="-4"/>
          <w:sz w:val="18"/>
          <w:szCs w:val="18"/>
          <w:lang w:eastAsia="ja-JP"/>
        </w:rPr>
        <w:t xml:space="preserve">, </w:t>
      </w:r>
      <w:r w:rsidRPr="005E6B7C">
        <w:rPr>
          <w:rFonts w:asciiTheme="majorHAnsi" w:eastAsia="Yu Mincho" w:hAnsiTheme="majorHAnsi" w:cstheme="majorHAnsi"/>
          <w:iCs/>
          <w:color w:val="000000" w:themeColor="text1"/>
          <w:spacing w:val="-4"/>
          <w:sz w:val="18"/>
          <w:szCs w:val="18"/>
          <w:lang w:eastAsia="ja-JP"/>
        </w:rPr>
        <w:t>27</w:t>
      </w:r>
      <w:r w:rsidRPr="005E6B7C">
        <w:rPr>
          <w:rFonts w:asciiTheme="majorHAnsi" w:eastAsia="Yu Mincho" w:hAnsiTheme="majorHAnsi" w:cstheme="majorHAnsi"/>
          <w:color w:val="000000" w:themeColor="text1"/>
          <w:spacing w:val="-4"/>
          <w:sz w:val="18"/>
          <w:szCs w:val="18"/>
          <w:lang w:eastAsia="ja-JP"/>
        </w:rPr>
        <w:t xml:space="preserve">(11), 1012-1024. </w:t>
      </w:r>
    </w:p>
    <w:p w14:paraId="25CB6202"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color w:val="000000" w:themeColor="text1"/>
          <w:spacing w:val="-8"/>
          <w:sz w:val="18"/>
          <w:szCs w:val="18"/>
          <w:lang w:eastAsia="ja-JP"/>
        </w:rPr>
      </w:pPr>
      <w:r w:rsidRPr="005E6B7C">
        <w:rPr>
          <w:rFonts w:asciiTheme="majorHAnsi" w:eastAsia="Yu Mincho" w:hAnsiTheme="majorHAnsi" w:cstheme="majorHAnsi"/>
          <w:b/>
          <w:color w:val="000000" w:themeColor="text1"/>
          <w:spacing w:val="-8"/>
          <w:sz w:val="18"/>
          <w:szCs w:val="18"/>
          <w:lang w:eastAsia="ja-JP"/>
        </w:rPr>
        <w:t>13</w:t>
      </w:r>
      <w:r w:rsidRPr="005E6B7C">
        <w:rPr>
          <w:rFonts w:asciiTheme="majorHAnsi" w:eastAsia="Yu Mincho" w:hAnsiTheme="majorHAnsi" w:cstheme="majorHAnsi"/>
          <w:color w:val="000000" w:themeColor="text1"/>
          <w:spacing w:val="-8"/>
          <w:sz w:val="18"/>
          <w:szCs w:val="18"/>
          <w:lang w:eastAsia="ja-JP"/>
        </w:rPr>
        <w:t>. Saadawi S., Jalil J., Jasamai M., Jantan I. (2012), Inhibitory effects of acetylmelodorinol, chrysin and polycarpol from mitrella kentii on prostaglandin E2 and thromboxane B2 production and platelet activating factor receptor binding</w:t>
      </w:r>
      <w:r w:rsidRPr="005E6B7C">
        <w:rPr>
          <w:rFonts w:asciiTheme="majorHAnsi" w:eastAsia="Yu Mincho" w:hAnsiTheme="majorHAnsi" w:cstheme="majorHAnsi"/>
          <w:i/>
          <w:color w:val="000000" w:themeColor="text1"/>
          <w:spacing w:val="-8"/>
          <w:sz w:val="18"/>
          <w:szCs w:val="18"/>
          <w:lang w:eastAsia="ja-JP"/>
        </w:rPr>
        <w:t>,</w:t>
      </w:r>
      <w:r w:rsidRPr="005E6B7C">
        <w:rPr>
          <w:rFonts w:asciiTheme="majorHAnsi" w:eastAsia="Yu Mincho" w:hAnsiTheme="majorHAnsi" w:cstheme="majorHAnsi"/>
          <w:color w:val="000000" w:themeColor="text1"/>
          <w:spacing w:val="-8"/>
          <w:sz w:val="18"/>
          <w:szCs w:val="18"/>
          <w:lang w:eastAsia="ja-JP"/>
        </w:rPr>
        <w:t xml:space="preserve"> </w:t>
      </w:r>
      <w:r w:rsidRPr="005E6B7C">
        <w:rPr>
          <w:rFonts w:asciiTheme="majorHAnsi" w:eastAsia="Yu Mincho" w:hAnsiTheme="majorHAnsi" w:cstheme="majorHAnsi"/>
          <w:i/>
          <w:color w:val="000000" w:themeColor="text1"/>
          <w:spacing w:val="-8"/>
          <w:sz w:val="18"/>
          <w:szCs w:val="18"/>
          <w:lang w:eastAsia="ja-JP"/>
        </w:rPr>
        <w:t>Molecules</w:t>
      </w:r>
      <w:r w:rsidRPr="005E6B7C">
        <w:rPr>
          <w:rFonts w:asciiTheme="majorHAnsi" w:eastAsia="Yu Mincho" w:hAnsiTheme="majorHAnsi" w:cstheme="majorHAnsi"/>
          <w:color w:val="000000" w:themeColor="text1"/>
          <w:spacing w:val="-8"/>
          <w:sz w:val="18"/>
          <w:szCs w:val="18"/>
          <w:lang w:eastAsia="ja-JP"/>
        </w:rPr>
        <w:t xml:space="preserve">, 17(5), 4824-4835. </w:t>
      </w:r>
    </w:p>
    <w:p w14:paraId="067BB841" w14:textId="77777777" w:rsidR="00E049CB" w:rsidRPr="005E6B7C" w:rsidRDefault="00E049CB" w:rsidP="008C0D47">
      <w:pPr>
        <w:tabs>
          <w:tab w:val="left" w:pos="270"/>
          <w:tab w:val="left" w:pos="540"/>
          <w:tab w:val="left" w:pos="9270"/>
        </w:tabs>
        <w:spacing w:line="186" w:lineRule="exact"/>
        <w:contextualSpacing/>
        <w:jc w:val="both"/>
        <w:rPr>
          <w:rFonts w:asciiTheme="majorHAnsi" w:eastAsia="Yu Mincho" w:hAnsiTheme="majorHAnsi" w:cstheme="majorHAnsi"/>
          <w:b/>
          <w:color w:val="000000" w:themeColor="text1"/>
          <w:spacing w:val="-4"/>
          <w:sz w:val="18"/>
          <w:szCs w:val="18"/>
          <w:lang w:eastAsia="ja-JP"/>
        </w:rPr>
      </w:pPr>
      <w:r w:rsidRPr="005E6B7C">
        <w:rPr>
          <w:rFonts w:asciiTheme="majorHAnsi" w:eastAsia="Yu Mincho" w:hAnsiTheme="majorHAnsi" w:cstheme="majorHAnsi"/>
          <w:b/>
          <w:color w:val="000000" w:themeColor="text1"/>
          <w:spacing w:val="-4"/>
          <w:sz w:val="18"/>
          <w:szCs w:val="18"/>
          <w:lang w:eastAsia="ja-JP"/>
        </w:rPr>
        <w:t>14</w:t>
      </w:r>
      <w:r w:rsidRPr="005E6B7C">
        <w:rPr>
          <w:rFonts w:asciiTheme="majorHAnsi" w:eastAsia="Yu Mincho" w:hAnsiTheme="majorHAnsi" w:cstheme="majorHAnsi"/>
          <w:color w:val="000000" w:themeColor="text1"/>
          <w:spacing w:val="-4"/>
          <w:sz w:val="18"/>
          <w:szCs w:val="18"/>
          <w:lang w:eastAsia="ja-JP"/>
        </w:rPr>
        <w:t>. Vazirian M., Faramarzi M. A., Ebrahimi S. E. S., Esfahani H. R. M., Samadi N., Hosseini S. A., Asghari A., Manayi A., Mousazadeh S. A., Asef M. R., Habibi E. (2014)</w:t>
      </w:r>
      <w:r w:rsidRPr="005E6B7C">
        <w:rPr>
          <w:rFonts w:asciiTheme="majorHAnsi" w:eastAsia="Yu Mincho" w:hAnsiTheme="majorHAnsi" w:cstheme="majorHAnsi"/>
          <w:color w:val="000000" w:themeColor="text1"/>
          <w:spacing w:val="-4"/>
          <w:sz w:val="18"/>
          <w:szCs w:val="18"/>
          <w:lang w:val="vi-VN" w:eastAsia="ja-JP"/>
        </w:rPr>
        <w:t>,</w:t>
      </w:r>
      <w:r w:rsidRPr="005E6B7C">
        <w:rPr>
          <w:rFonts w:asciiTheme="majorHAnsi" w:eastAsia="Yu Mincho" w:hAnsiTheme="majorHAnsi" w:cstheme="majorHAnsi"/>
          <w:color w:val="000000" w:themeColor="text1"/>
          <w:spacing w:val="-4"/>
          <w:sz w:val="18"/>
          <w:szCs w:val="18"/>
          <w:lang w:eastAsia="ja-JP"/>
        </w:rPr>
        <w:t xml:space="preserve"> Antimicrobial effect of the Lingzhi or Reishi medicinal mushroom, </w:t>
      </w:r>
      <w:r w:rsidRPr="005E6B7C">
        <w:rPr>
          <w:rFonts w:asciiTheme="majorHAnsi" w:eastAsia="Yu Mincho" w:hAnsiTheme="majorHAnsi" w:cstheme="majorHAnsi"/>
          <w:i/>
          <w:color w:val="000000" w:themeColor="text1"/>
          <w:spacing w:val="-4"/>
          <w:sz w:val="18"/>
          <w:szCs w:val="18"/>
          <w:lang w:eastAsia="ja-JP"/>
        </w:rPr>
        <w:t>Ganoderma lucidum</w:t>
      </w:r>
      <w:r w:rsidRPr="005E6B7C">
        <w:rPr>
          <w:rFonts w:asciiTheme="majorHAnsi" w:eastAsia="Yu Mincho" w:hAnsiTheme="majorHAnsi" w:cstheme="majorHAnsi"/>
          <w:color w:val="000000" w:themeColor="text1"/>
          <w:spacing w:val="-4"/>
          <w:sz w:val="18"/>
          <w:szCs w:val="18"/>
          <w:lang w:eastAsia="ja-JP"/>
        </w:rPr>
        <w:t xml:space="preserve"> (higher Basidiomycetes) and its main compounds, </w:t>
      </w:r>
      <w:r w:rsidRPr="005E6B7C">
        <w:rPr>
          <w:rFonts w:asciiTheme="majorHAnsi" w:eastAsia="Yu Mincho" w:hAnsiTheme="majorHAnsi" w:cstheme="majorHAnsi"/>
          <w:i/>
          <w:color w:val="000000" w:themeColor="text1"/>
          <w:spacing w:val="-4"/>
          <w:sz w:val="18"/>
          <w:szCs w:val="18"/>
          <w:lang w:eastAsia="ja-JP"/>
        </w:rPr>
        <w:t>International Journal of Medicinal Mushrooms</w:t>
      </w:r>
      <w:r w:rsidRPr="005E6B7C">
        <w:rPr>
          <w:rFonts w:asciiTheme="majorHAnsi" w:eastAsia="Yu Mincho" w:hAnsiTheme="majorHAnsi" w:cstheme="majorHAnsi"/>
          <w:color w:val="000000" w:themeColor="text1"/>
          <w:spacing w:val="-4"/>
          <w:sz w:val="18"/>
          <w:szCs w:val="18"/>
          <w:lang w:eastAsia="ja-JP"/>
        </w:rPr>
        <w:t>, 16(1), 77-84.</w:t>
      </w:r>
      <w:bookmarkEnd w:id="19"/>
      <w:r w:rsidRPr="005E6B7C">
        <w:rPr>
          <w:rFonts w:asciiTheme="majorHAnsi" w:eastAsia="Yu Mincho" w:hAnsiTheme="majorHAnsi" w:cstheme="majorHAnsi"/>
          <w:b/>
          <w:color w:val="000000" w:themeColor="text1"/>
          <w:spacing w:val="-4"/>
          <w:sz w:val="18"/>
          <w:szCs w:val="18"/>
          <w:lang w:eastAsia="ja-JP"/>
        </w:rPr>
        <w:t xml:space="preserve"> </w:t>
      </w:r>
    </w:p>
    <w:p w14:paraId="53583AB4" w14:textId="77777777" w:rsidR="00E049CB" w:rsidRPr="005E6B7C" w:rsidRDefault="00E049CB" w:rsidP="008C0D47">
      <w:pPr>
        <w:tabs>
          <w:tab w:val="left" w:pos="270"/>
          <w:tab w:val="left" w:pos="9270"/>
        </w:tabs>
        <w:spacing w:line="186" w:lineRule="exact"/>
        <w:jc w:val="both"/>
        <w:rPr>
          <w:rFonts w:asciiTheme="majorHAnsi" w:eastAsia="Yu Mincho" w:hAnsiTheme="majorHAnsi" w:cstheme="majorHAnsi"/>
          <w:color w:val="000000" w:themeColor="text1"/>
          <w:spacing w:val="-6"/>
          <w:sz w:val="18"/>
          <w:szCs w:val="18"/>
          <w:lang w:eastAsia="ja-JP"/>
        </w:rPr>
      </w:pPr>
      <w:r w:rsidRPr="005E6B7C">
        <w:rPr>
          <w:rFonts w:asciiTheme="majorHAnsi" w:eastAsia="Yu Mincho" w:hAnsiTheme="majorHAnsi" w:cstheme="majorHAnsi"/>
          <w:b/>
          <w:color w:val="000000" w:themeColor="text1"/>
          <w:spacing w:val="-4"/>
          <w:sz w:val="18"/>
          <w:szCs w:val="18"/>
          <w:lang w:eastAsia="ja-JP"/>
        </w:rPr>
        <w:t>15</w:t>
      </w:r>
      <w:r w:rsidRPr="005E6B7C">
        <w:rPr>
          <w:rFonts w:asciiTheme="majorHAnsi" w:eastAsia="Yu Mincho" w:hAnsiTheme="majorHAnsi" w:cstheme="majorHAnsi"/>
          <w:color w:val="000000" w:themeColor="text1"/>
          <w:spacing w:val="-4"/>
          <w:sz w:val="18"/>
          <w:szCs w:val="18"/>
          <w:lang w:eastAsia="ja-JP"/>
        </w:rPr>
        <w:t xml:space="preserve">. Nguyen Thi Duyen, Nguyen Thi Thu, Ho Anh Thang, Do Thi Ha (2019), Lanostane-type triterpenes isolated from </w:t>
      </w:r>
      <w:r w:rsidRPr="005E6B7C">
        <w:rPr>
          <w:rFonts w:asciiTheme="majorHAnsi" w:eastAsia="Yu Mincho" w:hAnsiTheme="majorHAnsi" w:cstheme="majorHAnsi"/>
          <w:i/>
          <w:color w:val="000000" w:themeColor="text1"/>
          <w:spacing w:val="-4"/>
          <w:sz w:val="18"/>
          <w:szCs w:val="18"/>
          <w:lang w:eastAsia="ja-JP"/>
        </w:rPr>
        <w:t>Ganoderma tropicum</w:t>
      </w:r>
      <w:r w:rsidRPr="005E6B7C">
        <w:rPr>
          <w:rFonts w:asciiTheme="majorHAnsi" w:eastAsia="Yu Mincho" w:hAnsiTheme="majorHAnsi" w:cstheme="majorHAnsi"/>
          <w:color w:val="000000" w:themeColor="text1"/>
          <w:spacing w:val="-4"/>
          <w:sz w:val="18"/>
          <w:szCs w:val="18"/>
          <w:lang w:eastAsia="ja-JP"/>
        </w:rPr>
        <w:t xml:space="preserve"> (Ganodermataceae), </w:t>
      </w:r>
      <w:r w:rsidRPr="005E6B7C">
        <w:rPr>
          <w:rFonts w:asciiTheme="majorHAnsi" w:eastAsia="Yu Mincho" w:hAnsiTheme="majorHAnsi" w:cstheme="majorHAnsi"/>
          <w:i/>
          <w:color w:val="000000" w:themeColor="text1"/>
          <w:spacing w:val="-4"/>
          <w:sz w:val="18"/>
          <w:szCs w:val="18"/>
          <w:lang w:eastAsia="ja-JP"/>
        </w:rPr>
        <w:t>Journal of Medicinal Materials</w:t>
      </w:r>
      <w:r w:rsidRPr="005E6B7C">
        <w:rPr>
          <w:rFonts w:asciiTheme="majorHAnsi" w:eastAsia="Yu Mincho" w:hAnsiTheme="majorHAnsi" w:cstheme="majorHAnsi"/>
          <w:color w:val="000000" w:themeColor="text1"/>
          <w:spacing w:val="-4"/>
          <w:sz w:val="18"/>
          <w:szCs w:val="18"/>
          <w:lang w:eastAsia="ja-JP"/>
        </w:rPr>
        <w:t>, 24(6), 341-346.</w:t>
      </w:r>
    </w:p>
    <w:p w14:paraId="7AD0E1DB" w14:textId="77777777" w:rsidR="00C14089" w:rsidRPr="005E6B7C" w:rsidRDefault="00C14089" w:rsidP="008C0D47">
      <w:pPr>
        <w:widowControl/>
        <w:rPr>
          <w:rFonts w:asciiTheme="majorHAnsi" w:eastAsia="Yu Mincho" w:hAnsiTheme="majorHAnsi" w:cstheme="majorHAnsi"/>
          <w:b/>
          <w:bCs/>
          <w:i/>
          <w:color w:val="000000" w:themeColor="text1"/>
          <w:sz w:val="2"/>
          <w:szCs w:val="2"/>
          <w:lang w:eastAsia="ja-JP"/>
        </w:rPr>
      </w:pPr>
      <w:r w:rsidRPr="005E6B7C">
        <w:rPr>
          <w:rFonts w:asciiTheme="majorHAnsi" w:eastAsia="Yu Mincho" w:hAnsiTheme="majorHAnsi" w:cstheme="majorHAnsi"/>
          <w:b/>
          <w:bCs/>
          <w:i/>
          <w:color w:val="000000" w:themeColor="text1"/>
          <w:sz w:val="2"/>
          <w:szCs w:val="2"/>
          <w:lang w:eastAsia="ja-JP"/>
        </w:rPr>
        <w:br w:type="page"/>
      </w:r>
    </w:p>
    <w:p w14:paraId="3A757FED" w14:textId="77777777" w:rsidR="00486ADF" w:rsidRPr="005E6B7C" w:rsidRDefault="00486ADF" w:rsidP="008C0D47">
      <w:pPr>
        <w:tabs>
          <w:tab w:val="left" w:pos="270"/>
          <w:tab w:val="left" w:pos="540"/>
          <w:tab w:val="left" w:pos="9270"/>
        </w:tabs>
        <w:ind w:right="-20"/>
        <w:contextualSpacing/>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267233" w:rsidRPr="005E6B7C">
        <w:rPr>
          <w:rFonts w:asciiTheme="majorHAnsi" w:eastAsia="Yu Mincho" w:hAnsiTheme="majorHAnsi" w:cstheme="majorHAnsi"/>
          <w:b/>
          <w:bCs/>
          <w:i/>
          <w:color w:val="000000" w:themeColor="text1"/>
          <w:sz w:val="26"/>
          <w:szCs w:val="26"/>
          <w:lang w:eastAsia="ja-JP"/>
        </w:rPr>
        <w:t xml:space="preserve"> 53 </w:t>
      </w:r>
      <w:r w:rsidRPr="005E6B7C">
        <w:rPr>
          <w:rFonts w:asciiTheme="majorHAnsi" w:eastAsia="Yu Mincho" w:hAnsiTheme="majorHAnsi" w:cstheme="majorHAnsi"/>
          <w:b/>
          <w:bCs/>
          <w:i/>
          <w:color w:val="000000" w:themeColor="text1"/>
          <w:sz w:val="26"/>
          <w:szCs w:val="26"/>
          <w:lang w:eastAsia="ja-JP"/>
        </w:rPr>
        <w:t>-</w:t>
      </w:r>
      <w:r w:rsidR="002A1758" w:rsidRPr="005E6B7C">
        <w:rPr>
          <w:rFonts w:asciiTheme="majorHAnsi" w:eastAsia="Yu Mincho" w:hAnsiTheme="majorHAnsi" w:cstheme="majorHAnsi"/>
          <w:b/>
          <w:bCs/>
          <w:i/>
          <w:color w:val="000000" w:themeColor="text1"/>
          <w:sz w:val="26"/>
          <w:szCs w:val="26"/>
          <w:lang w:eastAsia="ja-JP"/>
        </w:rPr>
        <w:t xml:space="preserve"> 59</w:t>
      </w:r>
      <w:r w:rsidRPr="005E6B7C">
        <w:rPr>
          <w:rFonts w:asciiTheme="majorHAnsi" w:eastAsia="Yu Mincho" w:hAnsiTheme="majorHAnsi" w:cstheme="majorHAnsi"/>
          <w:b/>
          <w:bCs/>
          <w:i/>
          <w:color w:val="000000" w:themeColor="text1"/>
          <w:sz w:val="26"/>
          <w:szCs w:val="26"/>
          <w:lang w:eastAsia="ja-JP"/>
        </w:rPr>
        <w:t>)</w:t>
      </w:r>
    </w:p>
    <w:p w14:paraId="48B97A31" w14:textId="77777777" w:rsidR="00486ADF" w:rsidRPr="005E6B7C" w:rsidRDefault="00486ADF" w:rsidP="008C0D47">
      <w:pPr>
        <w:tabs>
          <w:tab w:val="left" w:pos="270"/>
          <w:tab w:val="left" w:pos="540"/>
          <w:tab w:val="left" w:pos="9270"/>
        </w:tabs>
        <w:ind w:right="-20"/>
        <w:contextualSpacing/>
        <w:jc w:val="center"/>
        <w:rPr>
          <w:rFonts w:asciiTheme="majorHAnsi" w:eastAsia="Yu Mincho" w:hAnsiTheme="majorHAnsi" w:cstheme="majorHAnsi"/>
          <w:b/>
          <w:bCs/>
          <w:color w:val="000000" w:themeColor="text1"/>
          <w:sz w:val="26"/>
          <w:szCs w:val="26"/>
          <w:lang w:eastAsia="ja-JP"/>
        </w:rPr>
      </w:pPr>
    </w:p>
    <w:p w14:paraId="0E919481" w14:textId="77777777" w:rsidR="00E049CB" w:rsidRPr="005E6B7C" w:rsidRDefault="00E049CB" w:rsidP="008C0D47">
      <w:pPr>
        <w:tabs>
          <w:tab w:val="left" w:pos="540"/>
        </w:tabs>
        <w:ind w:right="-20"/>
        <w:contextualSpacing/>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CHEMICAL COMPOSITION, ANTIMICROBIAL AND CYTOTOXIC ACTIVITIES OF THE LEAF ESSENTIAL OIL OF </w:t>
      </w:r>
      <w:r w:rsidRPr="005E6B7C">
        <w:rPr>
          <w:rFonts w:asciiTheme="majorHAnsi" w:eastAsia="Yu Mincho" w:hAnsiTheme="majorHAnsi" w:cstheme="majorHAnsi"/>
          <w:b/>
          <w:bCs/>
          <w:i/>
          <w:iCs/>
          <w:color w:val="000000" w:themeColor="text1"/>
          <w:sz w:val="26"/>
          <w:szCs w:val="26"/>
          <w:lang w:eastAsia="ja-JP"/>
        </w:rPr>
        <w:t>KNEMA GLOBULARIA</w:t>
      </w:r>
      <w:r w:rsidRPr="005E6B7C">
        <w:rPr>
          <w:rFonts w:asciiTheme="majorHAnsi" w:eastAsia="Yu Mincho" w:hAnsiTheme="majorHAnsi" w:cstheme="majorHAnsi"/>
          <w:b/>
          <w:bCs/>
          <w:color w:val="000000" w:themeColor="text1"/>
          <w:sz w:val="26"/>
          <w:szCs w:val="26"/>
          <w:lang w:eastAsia="ja-JP"/>
        </w:rPr>
        <w:t xml:space="preserve"> (LAMK.) WARB. FROM THANH HOA, VIETNAM</w:t>
      </w:r>
    </w:p>
    <w:p w14:paraId="01FABF28" w14:textId="77777777" w:rsidR="00E049CB" w:rsidRPr="005E6B7C" w:rsidRDefault="00E049CB" w:rsidP="008C0D47">
      <w:pPr>
        <w:tabs>
          <w:tab w:val="left" w:pos="540"/>
        </w:tabs>
        <w:ind w:right="-20"/>
        <w:contextualSpacing/>
        <w:jc w:val="center"/>
        <w:rPr>
          <w:rFonts w:asciiTheme="majorHAnsi" w:eastAsia="Yu Mincho" w:hAnsiTheme="majorHAnsi" w:cstheme="majorHAnsi"/>
          <w:b/>
          <w:bCs/>
          <w:i/>
          <w:color w:val="000000" w:themeColor="text1"/>
          <w:sz w:val="22"/>
          <w:szCs w:val="22"/>
          <w:lang w:eastAsia="ja-JP"/>
        </w:rPr>
      </w:pPr>
      <w:r w:rsidRPr="005E6B7C">
        <w:rPr>
          <w:rFonts w:asciiTheme="majorHAnsi" w:eastAsia="Yu Mincho" w:hAnsiTheme="majorHAnsi" w:cstheme="majorHAnsi"/>
          <w:b/>
          <w:bCs/>
          <w:i/>
          <w:color w:val="000000" w:themeColor="text1"/>
          <w:sz w:val="22"/>
          <w:szCs w:val="22"/>
          <w:lang w:eastAsia="ja-JP"/>
        </w:rPr>
        <w:t>Luong Le Uyen Trang</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 Pham</w:t>
      </w:r>
      <w:r w:rsidRPr="005E6B7C">
        <w:rPr>
          <w:rFonts w:asciiTheme="majorHAnsi" w:eastAsia="Yu Mincho" w:hAnsiTheme="majorHAnsi" w:cstheme="majorHAnsi"/>
          <w:b/>
          <w:bCs/>
          <w:i/>
          <w:color w:val="000000" w:themeColor="text1"/>
          <w:sz w:val="22"/>
          <w:szCs w:val="22"/>
          <w:lang w:val="vi-VN" w:eastAsia="ja-JP"/>
        </w:rPr>
        <w:t xml:space="preserve"> Thi Huong Ly</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 Nguyen</w:t>
      </w:r>
      <w:r w:rsidRPr="005E6B7C">
        <w:rPr>
          <w:rFonts w:asciiTheme="majorHAnsi" w:eastAsia="Yu Mincho" w:hAnsiTheme="majorHAnsi" w:cstheme="majorHAnsi"/>
          <w:b/>
          <w:bCs/>
          <w:i/>
          <w:color w:val="000000" w:themeColor="text1"/>
          <w:sz w:val="22"/>
          <w:szCs w:val="22"/>
          <w:lang w:val="vi-VN" w:eastAsia="ja-JP"/>
        </w:rPr>
        <w:t xml:space="preserve"> Thi Hoa Hien</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w:t>
      </w:r>
    </w:p>
    <w:p w14:paraId="0B840E0B" w14:textId="77777777" w:rsidR="00E049CB" w:rsidRPr="005E6B7C" w:rsidRDefault="00E049CB" w:rsidP="008C0D47">
      <w:pPr>
        <w:tabs>
          <w:tab w:val="left" w:pos="540"/>
        </w:tabs>
        <w:ind w:right="-20"/>
        <w:contextualSpacing/>
        <w:jc w:val="center"/>
        <w:rPr>
          <w:rFonts w:asciiTheme="majorHAnsi" w:eastAsia="Yu Mincho" w:hAnsiTheme="majorHAnsi" w:cstheme="majorHAnsi"/>
          <w:b/>
          <w:bCs/>
          <w:i/>
          <w:color w:val="000000" w:themeColor="text1"/>
          <w:sz w:val="22"/>
          <w:szCs w:val="22"/>
          <w:lang w:val="vi-VN" w:eastAsia="ja-JP"/>
        </w:rPr>
      </w:pPr>
      <w:r w:rsidRPr="005E6B7C">
        <w:rPr>
          <w:rFonts w:asciiTheme="majorHAnsi" w:eastAsia="Yu Mincho" w:hAnsiTheme="majorHAnsi" w:cstheme="majorHAnsi"/>
          <w:b/>
          <w:bCs/>
          <w:i/>
          <w:color w:val="000000" w:themeColor="text1"/>
          <w:sz w:val="22"/>
          <w:szCs w:val="22"/>
          <w:lang w:eastAsia="ja-JP"/>
        </w:rPr>
        <w:t>Nguyen</w:t>
      </w:r>
      <w:r w:rsidRPr="005E6B7C">
        <w:rPr>
          <w:rFonts w:asciiTheme="majorHAnsi" w:eastAsia="Yu Mincho" w:hAnsiTheme="majorHAnsi" w:cstheme="majorHAnsi"/>
          <w:b/>
          <w:bCs/>
          <w:i/>
          <w:color w:val="000000" w:themeColor="text1"/>
          <w:sz w:val="22"/>
          <w:szCs w:val="22"/>
          <w:lang w:val="vi-VN" w:eastAsia="ja-JP"/>
        </w:rPr>
        <w:t xml:space="preserve"> Thanh Huyen</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 Nguyen</w:t>
      </w:r>
      <w:r w:rsidRPr="005E6B7C">
        <w:rPr>
          <w:rFonts w:asciiTheme="majorHAnsi" w:eastAsia="Yu Mincho" w:hAnsiTheme="majorHAnsi" w:cstheme="majorHAnsi"/>
          <w:b/>
          <w:bCs/>
          <w:i/>
          <w:color w:val="000000" w:themeColor="text1"/>
          <w:sz w:val="22"/>
          <w:szCs w:val="22"/>
          <w:lang w:val="vi-VN" w:eastAsia="ja-JP"/>
        </w:rPr>
        <w:t xml:space="preserve"> Thi Hien</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w:t>
      </w:r>
      <w:r w:rsidRPr="005E6B7C">
        <w:rPr>
          <w:rFonts w:asciiTheme="majorHAnsi" w:eastAsia="Yu Mincho" w:hAnsiTheme="majorHAnsi" w:cstheme="majorHAnsi"/>
          <w:b/>
          <w:bCs/>
          <w:i/>
          <w:color w:val="000000" w:themeColor="text1"/>
          <w:sz w:val="22"/>
          <w:szCs w:val="22"/>
          <w:lang w:val="vi-VN" w:eastAsia="ja-JP"/>
        </w:rPr>
        <w:t xml:space="preserve"> Nguyen Thi Thu</w:t>
      </w:r>
      <w:r w:rsidRPr="005E6B7C">
        <w:rPr>
          <w:rFonts w:asciiTheme="majorHAnsi" w:eastAsia="Yu Mincho" w:hAnsiTheme="majorHAnsi" w:cstheme="majorHAnsi"/>
          <w:b/>
          <w:bCs/>
          <w:i/>
          <w:color w:val="000000" w:themeColor="text1"/>
          <w:sz w:val="22"/>
          <w:szCs w:val="22"/>
          <w:vertAlign w:val="superscript"/>
          <w:lang w:eastAsia="ja-JP"/>
        </w:rPr>
        <w:t>2</w:t>
      </w:r>
      <w:r w:rsidRPr="005E6B7C">
        <w:rPr>
          <w:rFonts w:asciiTheme="majorHAnsi" w:eastAsia="Yu Mincho" w:hAnsiTheme="majorHAnsi" w:cstheme="majorHAnsi"/>
          <w:b/>
          <w:bCs/>
          <w:i/>
          <w:color w:val="000000" w:themeColor="text1"/>
          <w:sz w:val="22"/>
          <w:szCs w:val="22"/>
          <w:lang w:eastAsia="ja-JP"/>
        </w:rPr>
        <w:t>,</w:t>
      </w:r>
      <w:r w:rsidRPr="005E6B7C">
        <w:rPr>
          <w:rFonts w:asciiTheme="majorHAnsi" w:eastAsia="Yu Mincho" w:hAnsiTheme="majorHAnsi" w:cstheme="majorHAnsi"/>
          <w:b/>
          <w:bCs/>
          <w:i/>
          <w:color w:val="000000" w:themeColor="text1"/>
          <w:sz w:val="22"/>
          <w:szCs w:val="22"/>
          <w:lang w:val="vi-VN" w:eastAsia="ja-JP"/>
        </w:rPr>
        <w:t xml:space="preserve"> Khong Thi Hoa</w:t>
      </w:r>
      <w:r w:rsidRPr="005E6B7C">
        <w:rPr>
          <w:rFonts w:asciiTheme="majorHAnsi" w:eastAsia="Yu Mincho" w:hAnsiTheme="majorHAnsi" w:cstheme="majorHAnsi"/>
          <w:b/>
          <w:bCs/>
          <w:i/>
          <w:color w:val="000000" w:themeColor="text1"/>
          <w:sz w:val="22"/>
          <w:szCs w:val="22"/>
          <w:vertAlign w:val="superscript"/>
          <w:lang w:val="vi-VN" w:eastAsia="ja-JP"/>
        </w:rPr>
        <w:t>3</w:t>
      </w:r>
    </w:p>
    <w:p w14:paraId="641B6B6D" w14:textId="77777777" w:rsidR="00E049CB" w:rsidRPr="005E6B7C" w:rsidRDefault="00E049CB" w:rsidP="008C0D47">
      <w:pPr>
        <w:tabs>
          <w:tab w:val="left" w:pos="540"/>
        </w:tabs>
        <w:ind w:right="-20"/>
        <w:contextualSpacing/>
        <w:jc w:val="center"/>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Cs/>
          <w:i/>
          <w:color w:val="000000" w:themeColor="text1"/>
          <w:sz w:val="22"/>
          <w:szCs w:val="22"/>
          <w:vertAlign w:val="superscript"/>
          <w:lang w:eastAsia="ja-JP"/>
        </w:rPr>
        <w:t>1</w:t>
      </w:r>
      <w:r w:rsidRPr="005E6B7C">
        <w:rPr>
          <w:rFonts w:asciiTheme="majorHAnsi" w:eastAsia="Yu Mincho" w:hAnsiTheme="majorHAnsi" w:cstheme="majorHAnsi"/>
          <w:bCs/>
          <w:i/>
          <w:color w:val="000000" w:themeColor="text1"/>
          <w:sz w:val="22"/>
          <w:szCs w:val="22"/>
          <w:lang w:eastAsia="ja-JP"/>
        </w:rPr>
        <w:t>Hanoi</w:t>
      </w:r>
      <w:r w:rsidRPr="005E6B7C">
        <w:rPr>
          <w:rFonts w:asciiTheme="majorHAnsi" w:eastAsia="Yu Mincho" w:hAnsiTheme="majorHAnsi" w:cstheme="majorHAnsi"/>
          <w:bCs/>
          <w:i/>
          <w:color w:val="000000" w:themeColor="text1"/>
          <w:sz w:val="22"/>
          <w:szCs w:val="22"/>
          <w:lang w:val="vi-VN" w:eastAsia="ja-JP"/>
        </w:rPr>
        <w:t xml:space="preserve"> Medical College (HMC)</w:t>
      </w:r>
      <w:r w:rsidR="00C247FE" w:rsidRPr="005E6B7C">
        <w:rPr>
          <w:rFonts w:asciiTheme="majorHAnsi" w:eastAsia="Yu Mincho" w:hAnsiTheme="majorHAnsi" w:cstheme="majorHAnsi"/>
          <w:bCs/>
          <w:i/>
          <w:color w:val="000000" w:themeColor="text1"/>
          <w:sz w:val="22"/>
          <w:szCs w:val="22"/>
          <w:lang w:eastAsia="ja-JP"/>
        </w:rPr>
        <w:t>, Vietnam</w:t>
      </w:r>
      <w:r w:rsidRPr="005E6B7C">
        <w:rPr>
          <w:rFonts w:asciiTheme="majorHAnsi" w:eastAsia="Yu Mincho" w:hAnsiTheme="majorHAnsi" w:cstheme="majorHAnsi"/>
          <w:bCs/>
          <w:i/>
          <w:color w:val="000000" w:themeColor="text1"/>
          <w:sz w:val="22"/>
          <w:szCs w:val="22"/>
          <w:lang w:val="vi-VN" w:eastAsia="ja-JP"/>
        </w:rPr>
        <w:t>;</w:t>
      </w:r>
    </w:p>
    <w:p w14:paraId="0AF5249C" w14:textId="5D1298EF" w:rsidR="00517F81" w:rsidRPr="005E6B7C" w:rsidRDefault="00E049CB" w:rsidP="008C0D47">
      <w:pPr>
        <w:tabs>
          <w:tab w:val="left" w:pos="540"/>
        </w:tabs>
        <w:ind w:right="-20"/>
        <w:contextualSpacing/>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color w:val="000000" w:themeColor="text1"/>
          <w:sz w:val="22"/>
          <w:szCs w:val="22"/>
          <w:vertAlign w:val="superscript"/>
          <w:lang w:eastAsia="ja-JP"/>
        </w:rPr>
        <w:t>2</w:t>
      </w:r>
      <w:r w:rsidR="00517F81" w:rsidRPr="005E6B7C">
        <w:rPr>
          <w:rFonts w:asciiTheme="majorHAnsi" w:eastAsia="Yu Mincho" w:hAnsiTheme="majorHAnsi" w:cstheme="majorHAnsi"/>
          <w:bCs/>
          <w:i/>
          <w:iCs/>
          <w:color w:val="000000" w:themeColor="text1"/>
          <w:sz w:val="22"/>
          <w:szCs w:val="22"/>
          <w:lang w:eastAsia="ja-JP"/>
        </w:rPr>
        <w:t>National Institute of Medic</w:t>
      </w:r>
      <w:r w:rsidR="00B115A7" w:rsidRPr="005E6B7C">
        <w:rPr>
          <w:rFonts w:asciiTheme="majorHAnsi" w:eastAsia="Yu Mincho" w:hAnsiTheme="majorHAnsi" w:cstheme="majorHAnsi"/>
          <w:bCs/>
          <w:i/>
          <w:iCs/>
          <w:color w:val="000000" w:themeColor="text1"/>
          <w:sz w:val="22"/>
          <w:szCs w:val="22"/>
          <w:lang w:eastAsia="ja-JP"/>
        </w:rPr>
        <w:t>inal</w:t>
      </w:r>
      <w:r w:rsidR="00517F81" w:rsidRPr="005E6B7C">
        <w:rPr>
          <w:rFonts w:asciiTheme="majorHAnsi" w:eastAsia="Yu Mincho" w:hAnsiTheme="majorHAnsi" w:cstheme="majorHAnsi"/>
          <w:bCs/>
          <w:i/>
          <w:iCs/>
          <w:color w:val="000000" w:themeColor="text1"/>
          <w:sz w:val="22"/>
          <w:szCs w:val="22"/>
          <w:lang w:eastAsia="ja-JP"/>
        </w:rPr>
        <w:t xml:space="preserve"> Materials (NIMM), Hanoi 11018, Vietnam</w:t>
      </w:r>
    </w:p>
    <w:p w14:paraId="798A2E10" w14:textId="77777777" w:rsidR="00E049CB" w:rsidRPr="005E6B7C" w:rsidRDefault="00E049CB" w:rsidP="008C0D47">
      <w:pPr>
        <w:tabs>
          <w:tab w:val="left" w:pos="540"/>
        </w:tabs>
        <w:ind w:right="-20"/>
        <w:contextualSpacing/>
        <w:jc w:val="center"/>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Cs/>
          <w:i/>
          <w:color w:val="000000" w:themeColor="text1"/>
          <w:sz w:val="22"/>
          <w:szCs w:val="22"/>
          <w:vertAlign w:val="superscript"/>
          <w:lang w:val="vi-VN" w:eastAsia="ja-JP"/>
        </w:rPr>
        <w:t>3</w:t>
      </w:r>
      <w:r w:rsidRPr="005E6B7C">
        <w:rPr>
          <w:rFonts w:asciiTheme="majorHAnsi" w:eastAsia="Yu Mincho" w:hAnsiTheme="majorHAnsi" w:cstheme="majorHAnsi"/>
          <w:bCs/>
          <w:i/>
          <w:color w:val="000000" w:themeColor="text1"/>
          <w:sz w:val="22"/>
          <w:szCs w:val="22"/>
          <w:lang w:eastAsia="ja-JP"/>
        </w:rPr>
        <w:t>Thai</w:t>
      </w:r>
      <w:r w:rsidRPr="005E6B7C">
        <w:rPr>
          <w:rFonts w:asciiTheme="majorHAnsi" w:eastAsia="Yu Mincho" w:hAnsiTheme="majorHAnsi" w:cstheme="majorHAnsi"/>
          <w:bCs/>
          <w:i/>
          <w:color w:val="000000" w:themeColor="text1"/>
          <w:sz w:val="22"/>
          <w:szCs w:val="22"/>
          <w:lang w:val="vi-VN" w:eastAsia="ja-JP"/>
        </w:rPr>
        <w:t xml:space="preserve"> Binh University of Medicine and Pharmacy</w:t>
      </w:r>
      <w:r w:rsidRPr="005E6B7C">
        <w:rPr>
          <w:rFonts w:asciiTheme="majorHAnsi" w:eastAsia="Yu Mincho" w:hAnsiTheme="majorHAnsi" w:cstheme="majorHAnsi"/>
          <w:bCs/>
          <w:i/>
          <w:color w:val="000000" w:themeColor="text1"/>
          <w:sz w:val="22"/>
          <w:szCs w:val="22"/>
          <w:lang w:eastAsia="ja-JP"/>
        </w:rPr>
        <w:t xml:space="preserve"> (TBUM</w:t>
      </w:r>
      <w:r w:rsidRPr="005E6B7C">
        <w:rPr>
          <w:rFonts w:asciiTheme="majorHAnsi" w:eastAsia="Yu Mincho" w:hAnsiTheme="majorHAnsi" w:cstheme="majorHAnsi"/>
          <w:bCs/>
          <w:i/>
          <w:color w:val="000000" w:themeColor="text1"/>
          <w:sz w:val="22"/>
          <w:szCs w:val="22"/>
          <w:lang w:val="vi-VN" w:eastAsia="ja-JP"/>
        </w:rPr>
        <w:t>P</w:t>
      </w:r>
      <w:r w:rsidRPr="005E6B7C">
        <w:rPr>
          <w:rFonts w:asciiTheme="majorHAnsi" w:eastAsia="Yu Mincho" w:hAnsiTheme="majorHAnsi" w:cstheme="majorHAnsi"/>
          <w:bCs/>
          <w:i/>
          <w:color w:val="000000" w:themeColor="text1"/>
          <w:sz w:val="22"/>
          <w:szCs w:val="22"/>
          <w:lang w:eastAsia="ja-JP"/>
        </w:rPr>
        <w:t>)</w:t>
      </w:r>
      <w:r w:rsidR="00C247FE" w:rsidRPr="005E6B7C">
        <w:rPr>
          <w:rFonts w:asciiTheme="majorHAnsi" w:eastAsia="Yu Mincho" w:hAnsiTheme="majorHAnsi" w:cstheme="majorHAnsi"/>
          <w:bCs/>
          <w:i/>
          <w:color w:val="000000" w:themeColor="text1"/>
          <w:sz w:val="22"/>
          <w:szCs w:val="22"/>
          <w:lang w:eastAsia="ja-JP"/>
        </w:rPr>
        <w:t>, Vietnam</w:t>
      </w:r>
      <w:r w:rsidRPr="005E6B7C">
        <w:rPr>
          <w:rFonts w:asciiTheme="majorHAnsi" w:eastAsia="Yu Mincho" w:hAnsiTheme="majorHAnsi" w:cstheme="majorHAnsi"/>
          <w:bCs/>
          <w:i/>
          <w:color w:val="000000" w:themeColor="text1"/>
          <w:sz w:val="22"/>
          <w:szCs w:val="22"/>
          <w:lang w:eastAsia="ja-JP"/>
        </w:rPr>
        <w:t>;</w:t>
      </w:r>
    </w:p>
    <w:p w14:paraId="45162143" w14:textId="77777777" w:rsidR="00E049CB" w:rsidRPr="005E6B7C" w:rsidRDefault="00E049CB" w:rsidP="008C0D47">
      <w:pPr>
        <w:tabs>
          <w:tab w:val="left" w:pos="540"/>
        </w:tabs>
        <w:ind w:right="-20"/>
        <w:contextualSpacing/>
        <w:jc w:val="center"/>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Cs/>
          <w:color w:val="000000" w:themeColor="text1"/>
          <w:sz w:val="22"/>
          <w:szCs w:val="22"/>
          <w:lang w:eastAsia="ja-JP"/>
        </w:rPr>
        <w:t>*Corresponding author:</w:t>
      </w:r>
      <w:r w:rsidRPr="005E6B7C">
        <w:rPr>
          <w:rFonts w:asciiTheme="majorHAnsi" w:eastAsia="Yu Mincho" w:hAnsiTheme="majorHAnsi" w:cstheme="majorHAnsi"/>
          <w:bCs/>
          <w:color w:val="000000" w:themeColor="text1"/>
          <w:sz w:val="22"/>
          <w:szCs w:val="22"/>
          <w:lang w:val="vi-VN" w:eastAsia="ja-JP"/>
        </w:rPr>
        <w:t xml:space="preserve"> </w:t>
      </w:r>
      <w:r w:rsidRPr="005E6B7C">
        <w:rPr>
          <w:rFonts w:asciiTheme="majorHAnsi" w:eastAsia="Yu Mincho" w:hAnsiTheme="majorHAnsi" w:cstheme="majorHAnsi"/>
          <w:bCs/>
          <w:color w:val="000000" w:themeColor="text1"/>
          <w:sz w:val="22"/>
          <w:szCs w:val="22"/>
          <w:lang w:eastAsia="ja-JP"/>
        </w:rPr>
        <w:t>uyentrang</w:t>
      </w:r>
      <w:r w:rsidRPr="005E6B7C">
        <w:rPr>
          <w:rFonts w:asciiTheme="majorHAnsi" w:eastAsia="Yu Mincho" w:hAnsiTheme="majorHAnsi" w:cstheme="majorHAnsi"/>
          <w:bCs/>
          <w:color w:val="000000" w:themeColor="text1"/>
          <w:sz w:val="22"/>
          <w:szCs w:val="22"/>
          <w:lang w:val="vi-VN" w:eastAsia="ja-JP"/>
        </w:rPr>
        <w:t>.2612@gmail.com</w:t>
      </w:r>
    </w:p>
    <w:p w14:paraId="7D06CE25" w14:textId="77777777" w:rsidR="00223B62" w:rsidRPr="005E6B7C" w:rsidRDefault="00223B62" w:rsidP="008C0D47">
      <w:pPr>
        <w:tabs>
          <w:tab w:val="left" w:pos="54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March 2</w:t>
      </w:r>
      <w:r w:rsidRPr="005E6B7C">
        <w:rPr>
          <w:rFonts w:asciiTheme="majorHAnsi" w:eastAsia="Yu Mincho" w:hAnsiTheme="majorHAnsi" w:cstheme="majorHAnsi"/>
          <w:color w:val="000000" w:themeColor="text1"/>
          <w:sz w:val="20"/>
          <w:szCs w:val="20"/>
          <w:vertAlign w:val="superscript"/>
          <w:lang w:eastAsia="ja-JP"/>
        </w:rPr>
        <w:t>nd</w:t>
      </w:r>
      <w:r w:rsidRPr="005E6B7C">
        <w:rPr>
          <w:rFonts w:asciiTheme="majorHAnsi" w:eastAsia="Yu Mincho" w:hAnsiTheme="majorHAnsi" w:cstheme="majorHAnsi"/>
          <w:color w:val="000000" w:themeColor="text1"/>
          <w:sz w:val="20"/>
          <w:szCs w:val="20"/>
          <w:lang w:eastAsia="ja-JP"/>
        </w:rPr>
        <w:t>, 2026               Accepted March 12</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091F543C"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11EF3FC4" w14:textId="13517B3F" w:rsidR="00E049CB" w:rsidRPr="005E6B7C" w:rsidRDefault="00E049CB" w:rsidP="008C0D47">
      <w:pPr>
        <w:tabs>
          <w:tab w:val="left" w:pos="9270"/>
        </w:tabs>
        <w:ind w:right="-20" w:firstLine="284"/>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This study reports the chemical composition and, for the first time, evaluates the antimicrobial activity and cytotoxic effects of the leaf essential oil of </w:t>
      </w:r>
      <w:r w:rsidRPr="005E6B7C">
        <w:rPr>
          <w:rFonts w:asciiTheme="majorHAnsi" w:eastAsia="Yu Mincho" w:hAnsiTheme="majorHAnsi" w:cstheme="majorHAnsi"/>
          <w:i/>
          <w:iCs/>
          <w:color w:val="000000" w:themeColor="text1"/>
          <w:sz w:val="18"/>
          <w:szCs w:val="18"/>
          <w:lang w:eastAsia="ja-JP"/>
        </w:rPr>
        <w:t>Knema globularia</w:t>
      </w:r>
      <w:r w:rsidRPr="005E6B7C">
        <w:rPr>
          <w:rFonts w:asciiTheme="majorHAnsi" w:eastAsia="Yu Mincho" w:hAnsiTheme="majorHAnsi" w:cstheme="majorHAnsi"/>
          <w:color w:val="000000" w:themeColor="text1"/>
          <w:sz w:val="18"/>
          <w:szCs w:val="18"/>
          <w:lang w:eastAsia="ja-JP"/>
        </w:rPr>
        <w:t xml:space="preserve"> (Lamk.) Warb. collected in Thanh Hoa Province, Vietnam.</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The essential</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oil was obtained by hydrodistillation and analyzed by GC–MS, leading to the identification of 47 compounds representing 97.82% of the total</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essential</w:t>
      </w:r>
      <w:r w:rsidRPr="005E6B7C">
        <w:rPr>
          <w:rFonts w:asciiTheme="majorHAnsi" w:eastAsia="Yu Mincho" w:hAnsiTheme="majorHAnsi" w:cstheme="majorHAnsi"/>
          <w:color w:val="000000" w:themeColor="text1"/>
          <w:sz w:val="18"/>
          <w:szCs w:val="18"/>
          <w:lang w:eastAsia="ja-JP"/>
        </w:rPr>
        <w:t xml:space="preserve"> oil. The major constituents were </w:t>
      </w: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 xml:space="preserve">)-caryophyllene (26.24%),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xml:space="preserve">-pinene (18.44%), </w:t>
      </w: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-pinene (13.04%), and (3</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-farnesene (14.36%)</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The essential</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oil showed selective antimicrobial activity against Gram-positive bacteria, with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of 64.00–80.00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 xml:space="preserve">g/mL, while no significant activity was observed against Gram-negative bacteria or </w:t>
      </w:r>
      <w:r w:rsidRPr="005E6B7C">
        <w:rPr>
          <w:rFonts w:asciiTheme="majorHAnsi" w:eastAsia="Yu Mincho" w:hAnsiTheme="majorHAnsi" w:cstheme="majorHAnsi"/>
          <w:i/>
          <w:color w:val="000000" w:themeColor="text1"/>
          <w:sz w:val="18"/>
          <w:szCs w:val="18"/>
          <w:lang w:eastAsia="ja-JP"/>
        </w:rPr>
        <w:t>Candida albicans</w:t>
      </w:r>
      <w:r w:rsidRPr="005E6B7C">
        <w:rPr>
          <w:rFonts w:asciiTheme="majorHAnsi" w:eastAsia="Yu Mincho" w:hAnsiTheme="majorHAnsi" w:cstheme="majorHAnsi"/>
          <w:color w:val="000000" w:themeColor="text1"/>
          <w:sz w:val="18"/>
          <w:szCs w:val="18"/>
          <w:lang w:eastAsia="ja-JP"/>
        </w:rPr>
        <w:t xml:space="preserve"> at the tested concentrations. In cytotoxic assays, the</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essential</w:t>
      </w:r>
      <w:r w:rsidRPr="005E6B7C">
        <w:rPr>
          <w:rFonts w:asciiTheme="majorHAnsi" w:eastAsia="Yu Mincho" w:hAnsiTheme="majorHAnsi" w:cstheme="majorHAnsi"/>
          <w:color w:val="000000" w:themeColor="text1"/>
          <w:sz w:val="18"/>
          <w:szCs w:val="18"/>
          <w:lang w:eastAsia="ja-JP"/>
        </w:rPr>
        <w:t xml:space="preserve"> oil exhibited moderate effects against four human cancer cell lines (KB, HepG2, A549, and MCF-7), with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ranging from 44.82 to 61.28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 xml:space="preserve">g/mL. These results suggest that the leaf essential oil of </w:t>
      </w:r>
      <w:r w:rsidRPr="005E6B7C">
        <w:rPr>
          <w:rFonts w:asciiTheme="majorHAnsi" w:eastAsia="Yu Mincho" w:hAnsiTheme="majorHAnsi" w:cstheme="majorHAnsi"/>
          <w:i/>
          <w:color w:val="000000" w:themeColor="text1"/>
          <w:sz w:val="18"/>
          <w:szCs w:val="18"/>
          <w:lang w:eastAsia="ja-JP"/>
        </w:rPr>
        <w:t>K. globularia</w:t>
      </w:r>
      <w:r w:rsidRPr="005E6B7C">
        <w:rPr>
          <w:rFonts w:asciiTheme="majorHAnsi" w:eastAsia="Yu Mincho" w:hAnsiTheme="majorHAnsi" w:cstheme="majorHAnsi"/>
          <w:color w:val="000000" w:themeColor="text1"/>
          <w:sz w:val="18"/>
          <w:szCs w:val="18"/>
          <w:lang w:eastAsia="ja-JP"/>
        </w:rPr>
        <w:t xml:space="preserve"> is a promising natural source for further studies on antimicrobial and anticancer agents.</w:t>
      </w:r>
    </w:p>
    <w:p w14:paraId="226DFDFF" w14:textId="77777777" w:rsidR="00E049CB" w:rsidRPr="005E6B7C" w:rsidRDefault="00E049CB" w:rsidP="008C0D47">
      <w:pPr>
        <w:tabs>
          <w:tab w:val="left" w:pos="9270"/>
        </w:tabs>
        <w:ind w:right="-20" w:firstLine="284"/>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Keywords: </w:t>
      </w:r>
      <w:r w:rsidRPr="005E6B7C">
        <w:rPr>
          <w:rFonts w:asciiTheme="majorHAnsi" w:eastAsia="Yu Mincho" w:hAnsiTheme="majorHAnsi" w:cstheme="majorHAnsi"/>
          <w:i/>
          <w:iCs/>
          <w:color w:val="000000" w:themeColor="text1"/>
          <w:sz w:val="18"/>
          <w:szCs w:val="18"/>
          <w:lang w:eastAsia="ja-JP"/>
        </w:rPr>
        <w:t>Knema globularia;</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val="vi-VN" w:eastAsia="ja-JP"/>
        </w:rPr>
        <w:t>Essential oil</w:t>
      </w:r>
      <w:r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val="vi-VN" w:eastAsia="ja-JP"/>
        </w:rPr>
        <w:t xml:space="preserve"> </w:t>
      </w:r>
      <w:r w:rsidRPr="005E6B7C">
        <w:rPr>
          <w:rFonts w:asciiTheme="majorHAnsi" w:eastAsia="Yu Mincho" w:hAnsiTheme="majorHAnsi" w:cstheme="majorHAnsi"/>
          <w:i/>
          <w:iCs/>
          <w:color w:val="000000" w:themeColor="text1"/>
          <w:sz w:val="18"/>
          <w:szCs w:val="18"/>
          <w:lang w:eastAsia="ja-JP"/>
        </w:rPr>
        <w:t>GC-MS; Antimicrobial activity; Cytotoxicity.</w:t>
      </w:r>
    </w:p>
    <w:p w14:paraId="70B5F786" w14:textId="77777777" w:rsidR="00F5234A" w:rsidRPr="005E6B7C" w:rsidRDefault="00F5234A" w:rsidP="008C0D47">
      <w:pPr>
        <w:tabs>
          <w:tab w:val="left" w:pos="270"/>
          <w:tab w:val="left" w:pos="540"/>
          <w:tab w:val="left" w:pos="9270"/>
        </w:tabs>
        <w:ind w:right="-20"/>
        <w:contextualSpacing/>
        <w:jc w:val="both"/>
        <w:rPr>
          <w:rFonts w:asciiTheme="majorHAnsi" w:eastAsia="Yu Mincho" w:hAnsiTheme="majorHAnsi" w:cstheme="majorHAnsi"/>
          <w:b/>
          <w:bCs/>
          <w:color w:val="000000" w:themeColor="text1"/>
          <w:sz w:val="22"/>
          <w:szCs w:val="22"/>
          <w:lang w:eastAsia="ja-JP"/>
        </w:rPr>
      </w:pPr>
    </w:p>
    <w:p w14:paraId="0FE5D25C" w14:textId="77777777" w:rsidR="002A1758" w:rsidRPr="005E6B7C" w:rsidRDefault="002A1758" w:rsidP="008C0D47">
      <w:pPr>
        <w:tabs>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val="vi-VN" w:eastAsia="ja-JP"/>
        </w:rPr>
        <w:sectPr w:rsidR="002A1758" w:rsidRPr="005E6B7C" w:rsidSect="002206BB">
          <w:type w:val="continuous"/>
          <w:pgSz w:w="10773" w:h="15309" w:code="9"/>
          <w:pgMar w:top="907" w:right="851" w:bottom="1418" w:left="851" w:header="397" w:footer="851" w:gutter="0"/>
          <w:cols w:space="284"/>
          <w:docGrid w:linePitch="360"/>
        </w:sectPr>
      </w:pPr>
    </w:p>
    <w:p w14:paraId="7EC3BE81"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1. Introduction</w:t>
      </w:r>
    </w:p>
    <w:p w14:paraId="367045B6" w14:textId="0EF16FC8" w:rsidR="00E049CB" w:rsidRPr="005E6B7C" w:rsidRDefault="00E049CB" w:rsidP="008C0D47">
      <w:pPr>
        <w:tabs>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i/>
          <w:iCs/>
          <w:color w:val="000000" w:themeColor="text1"/>
          <w:sz w:val="22"/>
          <w:szCs w:val="22"/>
        </w:rPr>
        <w:t xml:space="preserve">Knema globularia </w:t>
      </w:r>
      <w:r w:rsidRPr="005E6B7C">
        <w:rPr>
          <w:rFonts w:asciiTheme="majorHAnsi" w:eastAsia="Times New Roman" w:hAnsiTheme="majorHAnsi" w:cstheme="majorHAnsi"/>
          <w:color w:val="000000" w:themeColor="text1"/>
          <w:sz w:val="22"/>
          <w:szCs w:val="22"/>
        </w:rPr>
        <w:t xml:space="preserve">(Lamk.) Warb. belongs to the genus </w:t>
      </w:r>
      <w:r w:rsidRPr="005E6B7C">
        <w:rPr>
          <w:rFonts w:asciiTheme="majorHAnsi" w:eastAsia="Times New Roman" w:hAnsiTheme="majorHAnsi" w:cstheme="majorHAnsi"/>
          <w:i/>
          <w:iCs/>
          <w:color w:val="000000" w:themeColor="text1"/>
          <w:sz w:val="22"/>
          <w:szCs w:val="22"/>
        </w:rPr>
        <w:t>Knema</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rPr>
        <w:t>the third largest genus within the family Myristicaceae. This family is well known for its medicinal importance, and many species are</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rPr>
        <w:t xml:space="preserve">traditionally used as herbal remedies. Species of the genus </w:t>
      </w:r>
      <w:r w:rsidRPr="005E6B7C">
        <w:rPr>
          <w:rFonts w:asciiTheme="majorHAnsi" w:eastAsia="Times New Roman" w:hAnsiTheme="majorHAnsi" w:cstheme="majorHAnsi"/>
          <w:i/>
          <w:iCs/>
          <w:color w:val="000000" w:themeColor="text1"/>
          <w:sz w:val="22"/>
          <w:szCs w:val="22"/>
        </w:rPr>
        <w:t>Knema</w:t>
      </w:r>
      <w:r w:rsidRPr="005E6B7C">
        <w:rPr>
          <w:rFonts w:asciiTheme="majorHAnsi" w:eastAsia="Times New Roman" w:hAnsiTheme="majorHAnsi" w:cstheme="majorHAnsi"/>
          <w:color w:val="000000" w:themeColor="text1"/>
          <w:sz w:val="22"/>
          <w:szCs w:val="22"/>
        </w:rPr>
        <w:t xml:space="preserve"> contain a wide range of bioactive constituents, including essential oils </w:t>
      </w:r>
      <w:r w:rsidRPr="005E6B7C">
        <w:rPr>
          <w:rFonts w:asciiTheme="majorHAnsi" w:eastAsia="Times New Roman" w:hAnsiTheme="majorHAnsi" w:cstheme="majorHAnsi"/>
          <w:color w:val="000000" w:themeColor="text1"/>
          <w:sz w:val="22"/>
          <w:szCs w:val="22"/>
        </w:rPr>
        <w:fldChar w:fldCharType="begin">
          <w:fldData xml:space="preserve">PEVuZE5vdGU+PENpdGU+PEF1dGhvcj5TYWxsZWg8L0F1dGhvcj48WWVhcj4yMDIxPC9ZZWFyPjxS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</w:fldData>
        </w:fldChar>
      </w:r>
      <w:r w:rsidRPr="005E6B7C">
        <w:rPr>
          <w:rFonts w:asciiTheme="majorHAnsi" w:eastAsia="Times New Roman" w:hAnsiTheme="majorHAnsi" w:cstheme="majorHAnsi"/>
          <w:color w:val="000000" w:themeColor="text1"/>
          <w:sz w:val="22"/>
          <w:szCs w:val="22"/>
        </w:rPr>
        <w:instrText xml:space="preserve"> ADDIN EN.CITE </w:instrText>
      </w:r>
      <w:r w:rsidRPr="005E6B7C">
        <w:rPr>
          <w:rFonts w:asciiTheme="majorHAnsi" w:eastAsia="Times New Roman" w:hAnsiTheme="majorHAnsi" w:cstheme="majorHAnsi"/>
          <w:color w:val="000000" w:themeColor="text1"/>
          <w:sz w:val="22"/>
          <w:szCs w:val="22"/>
        </w:rPr>
        <w:fldChar w:fldCharType="begin">
          <w:fldData xml:space="preserve">PEVuZE5vdGU+PENpdGU+PEF1dGhvcj5TYWxsZWg8L0F1dGhvcj48WWVhcj4yMDIxPC9ZZWFyPjxS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</w:fldData>
        </w:fldChar>
      </w:r>
      <w:r w:rsidRPr="005E6B7C">
        <w:rPr>
          <w:rFonts w:asciiTheme="majorHAnsi" w:eastAsia="Times New Roman" w:hAnsiTheme="majorHAnsi" w:cstheme="majorHAnsi"/>
          <w:color w:val="000000" w:themeColor="text1"/>
          <w:sz w:val="22"/>
          <w:szCs w:val="22"/>
        </w:rPr>
        <w:instrText xml:space="preserve"> ADDIN EN.CITE.DATA </w:instrText>
      </w:r>
      <w:r w:rsidRPr="005E6B7C">
        <w:rPr>
          <w:rFonts w:asciiTheme="majorHAnsi" w:eastAsia="Times New Roman" w:hAnsiTheme="majorHAnsi" w:cstheme="majorHAnsi"/>
          <w:color w:val="000000" w:themeColor="text1"/>
          <w:sz w:val="22"/>
          <w:szCs w:val="22"/>
        </w:rPr>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[1]</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xml:space="preserve">. In Vietnam,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(Lamk.) Warb. is a medicinal plant widely distributed in low mountainous regions of northern and central Vietnam, including Son La, Phu</w:t>
      </w:r>
      <w:r w:rsidRPr="005E6B7C">
        <w:rPr>
          <w:rFonts w:asciiTheme="majorHAnsi" w:eastAsia="Times New Roman" w:hAnsiTheme="majorHAnsi" w:cstheme="majorHAnsi"/>
          <w:color w:val="000000" w:themeColor="text1"/>
          <w:sz w:val="22"/>
          <w:szCs w:val="22"/>
          <w:lang w:val="vi-VN"/>
        </w:rPr>
        <w:t xml:space="preserve"> Tho, </w:t>
      </w:r>
      <w:r w:rsidRPr="005E6B7C">
        <w:rPr>
          <w:rFonts w:asciiTheme="majorHAnsi" w:eastAsia="Times New Roman" w:hAnsiTheme="majorHAnsi" w:cstheme="majorHAnsi"/>
          <w:color w:val="000000" w:themeColor="text1"/>
          <w:sz w:val="22"/>
          <w:szCs w:val="22"/>
        </w:rPr>
        <w:t>and</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rPr>
        <w:t>Thanh Hoa provinces. The species, locally known as “m</w:t>
      </w:r>
      <w:r w:rsidRPr="005E6B7C">
        <w:rPr>
          <w:rFonts w:asciiTheme="majorHAnsi" w:eastAsia="Times New Roman" w:hAnsiTheme="majorHAnsi" w:cstheme="majorHAnsi"/>
          <w:color w:val="000000" w:themeColor="text1"/>
          <w:sz w:val="22"/>
          <w:szCs w:val="22"/>
          <w:lang w:val="vi-VN"/>
        </w:rPr>
        <w:t>a</w:t>
      </w:r>
      <w:r w:rsidRPr="005E6B7C">
        <w:rPr>
          <w:rFonts w:asciiTheme="majorHAnsi" w:eastAsia="Times New Roman" w:hAnsiTheme="majorHAnsi" w:cstheme="majorHAnsi"/>
          <w:color w:val="000000" w:themeColor="text1"/>
          <w:sz w:val="22"/>
          <w:szCs w:val="22"/>
        </w:rPr>
        <w:t>u ch</w:t>
      </w:r>
      <w:r w:rsidRPr="005E6B7C">
        <w:rPr>
          <w:rFonts w:asciiTheme="majorHAnsi" w:eastAsia="Times New Roman" w:hAnsiTheme="majorHAnsi" w:cstheme="majorHAnsi"/>
          <w:color w:val="000000" w:themeColor="text1"/>
          <w:sz w:val="22"/>
          <w:szCs w:val="22"/>
          <w:lang w:val="vi-VN"/>
        </w:rPr>
        <w:t>o</w:t>
      </w:r>
      <w:r w:rsidRPr="005E6B7C">
        <w:rPr>
          <w:rFonts w:asciiTheme="majorHAnsi" w:eastAsia="Times New Roman" w:hAnsiTheme="majorHAnsi" w:cstheme="majorHAnsi"/>
          <w:color w:val="000000" w:themeColor="text1"/>
          <w:sz w:val="22"/>
          <w:szCs w:val="22"/>
        </w:rPr>
        <w:t xml:space="preserve"> l</w:t>
      </w:r>
      <w:r w:rsidRPr="005E6B7C">
        <w:rPr>
          <w:rFonts w:asciiTheme="majorHAnsi" w:eastAsia="Times New Roman" w:hAnsiTheme="majorHAnsi" w:cstheme="majorHAnsi"/>
          <w:color w:val="000000" w:themeColor="text1"/>
          <w:sz w:val="22"/>
          <w:szCs w:val="22"/>
          <w:lang w:val="vi-VN"/>
        </w:rPr>
        <w:t>a</w:t>
      </w:r>
      <w:r w:rsidRPr="005E6B7C">
        <w:rPr>
          <w:rFonts w:asciiTheme="majorHAnsi" w:eastAsia="Times New Roman" w:hAnsiTheme="majorHAnsi" w:cstheme="majorHAnsi"/>
          <w:color w:val="000000" w:themeColor="text1"/>
          <w:sz w:val="22"/>
          <w:szCs w:val="22"/>
        </w:rPr>
        <w:t xml:space="preserve"> nh</w:t>
      </w:r>
      <w:r w:rsidRPr="005E6B7C">
        <w:rPr>
          <w:rFonts w:asciiTheme="majorHAnsi" w:eastAsia="Times New Roman" w:hAnsiTheme="majorHAnsi" w:cstheme="majorHAnsi"/>
          <w:color w:val="000000" w:themeColor="text1"/>
          <w:sz w:val="22"/>
          <w:szCs w:val="22"/>
          <w:lang w:val="vi-VN"/>
        </w:rPr>
        <w:t>o</w:t>
      </w:r>
      <w:r w:rsidRPr="005E6B7C">
        <w:rPr>
          <w:rFonts w:asciiTheme="majorHAnsi" w:eastAsia="Times New Roman" w:hAnsiTheme="majorHAnsi" w:cstheme="majorHAnsi"/>
          <w:color w:val="000000" w:themeColor="text1"/>
          <w:sz w:val="22"/>
          <w:szCs w:val="22"/>
        </w:rPr>
        <w:t xml:space="preserve">”, has been traditionally used as a blood tonic and for the treatment of scabies, skin ulcers, back pain, and musculoskeletal disorders </w:t>
      </w:r>
      <w:r w:rsidRPr="005E6B7C">
        <w:rPr>
          <w:rFonts w:asciiTheme="majorHAnsi" w:eastAsia="Times New Roman" w:hAnsiTheme="majorHAnsi" w:cstheme="majorHAnsi"/>
          <w:color w:val="000000" w:themeColor="text1"/>
          <w:sz w:val="22"/>
          <w:szCs w:val="22"/>
          <w:lang w:val="vi-VN"/>
        </w:rPr>
        <w:fldChar w:fldCharType="begin"/>
      </w:r>
      <w:r w:rsidRPr="005E6B7C">
        <w:rPr>
          <w:rFonts w:asciiTheme="majorHAnsi" w:eastAsia="Times New Roman" w:hAnsiTheme="majorHAnsi" w:cstheme="majorHAnsi"/>
          <w:color w:val="000000" w:themeColor="text1"/>
          <w:sz w:val="22"/>
          <w:szCs w:val="22"/>
          <w:lang w:val="vi-VN"/>
        </w:rPr>
        <w:instrText xml:space="preserve"> ADDIN EN.CITE &lt;EndNote&gt;&lt;Cite&gt;&lt;Author&gt;Brendler&lt;/Author&gt;&lt;Year&gt;2007&lt;/Year&gt;&lt;RecNum&gt;2&lt;/RecNum&gt;&lt;DisplayText&gt;[2, 3]&lt;/DisplayText&gt;&lt;record&gt;&lt;rec-number&gt;2&lt;/rec-number&gt;&lt;foreign-keys&gt;&lt;key app="EN" db-id="ests5zdscdrx0ke55w45va2tp5tasftw5xat" timestamp="1770428722"&gt;2&lt;/key&gt;&lt;/foreign-keys&gt;&lt;ref-type name="Journal Article"&gt;17&lt;/ref-type&gt;&lt;contributors&gt;&lt;authors&gt;&lt;author&gt;Brendler, Thomas&lt;/author&gt;&lt;/authors&gt;&lt;/contributors&gt;&lt;titles&gt;&lt;title&gt;Medicinal Plants of Asia and the Pacific&lt;/title&gt;&lt;secondary-title&gt;Economic Botany&lt;/secondary-title&gt;&lt;/titles&gt;&lt;periodical&gt;&lt;full-title&gt;Economic Botany&lt;/full-title&gt;&lt;/periodical&gt;&lt;pages&gt;199-200, 2&lt;/pages&gt;&lt;volume&gt;61&lt;/volume&gt;&lt;number&gt;2&lt;/number&gt;&lt;dates&gt;&lt;year&gt;2007&lt;/year&gt;&lt;/dates&gt;&lt;urls&gt;&lt;related-urls&gt;&lt;url&gt;https://doi.org/10.1663/0013-0001(2007)61[199:MPOAAT]2.0.CO;2&lt;/url&gt;&lt;/related-urls&gt;&lt;/urls&gt;&lt;/record&gt;&lt;/Cite&gt;&lt;Cite&gt;&lt;Author&gt;Pinto&lt;/Author&gt;&lt;Year&gt;1990&lt;/Year&gt;&lt;RecNum&gt;3&lt;/RecNum&gt;&lt;record&gt;&lt;rec-number&gt;3&lt;/rec-number&gt;&lt;foreign-keys&gt;&lt;key app="EN" db-id="ests5zdscdrx0ke55w45va2tp5tasftw5xat" timestamp="1770430451"&gt;3&lt;/key&gt;&lt;/foreign-keys&gt;&lt;ref-type name="Journal Article"&gt;17&lt;/ref-type&gt;&lt;contributors&gt;&lt;authors&gt;&lt;author&gt;Pinto, M. M. M.&lt;/author&gt;&lt;author&gt;Kijjoa, A.&lt;/author&gt;&lt;/authors&gt;&lt;/contributors&gt;&lt;titles&gt;&lt;title&gt;Chemical study of Knema species from Thailand&lt;/title&gt;&lt;secondary-title&gt;Química Nova&lt;/secondary-title&gt;&lt;/titles&gt;&lt;periodical&gt;&lt;full-title&gt;Química Nova&lt;/full-title&gt;&lt;/periodical&gt;&lt;pages&gt;243-244&lt;/pages&gt;&lt;volume&gt;13&lt;/volume&gt;&lt;number&gt;4&lt;/number&gt;&lt;dates&gt;&lt;year&gt;1990&lt;/year&gt;&lt;/dates&gt;&lt;urls&gt;&lt;related-urls&gt;&lt;url&gt;https://quimicanova.sbq.org.br/detalhe_artigo.asp?id=2726&lt;/url&gt;&lt;/related-urls&gt;&lt;/urls&gt;&lt;/record&gt;&lt;/Cite&gt;&lt;/EndNote&gt;</w:instrText>
      </w:r>
      <w:r w:rsidRPr="005E6B7C">
        <w:rPr>
          <w:rFonts w:asciiTheme="majorHAnsi" w:eastAsia="Times New Roman" w:hAnsiTheme="majorHAnsi" w:cstheme="majorHAnsi"/>
          <w:color w:val="000000" w:themeColor="text1"/>
          <w:sz w:val="22"/>
          <w:szCs w:val="22"/>
          <w:lang w:val="vi-VN"/>
        </w:rPr>
        <w:fldChar w:fldCharType="separate"/>
      </w:r>
      <w:r w:rsidRPr="005E6B7C">
        <w:rPr>
          <w:rFonts w:asciiTheme="majorHAnsi" w:eastAsia="Times New Roman" w:hAnsiTheme="majorHAnsi" w:cstheme="majorHAnsi"/>
          <w:noProof/>
          <w:color w:val="000000" w:themeColor="text1"/>
          <w:sz w:val="22"/>
          <w:szCs w:val="22"/>
          <w:lang w:val="vi-VN"/>
        </w:rPr>
        <w:t>[2</w:t>
      </w:r>
      <w:r w:rsidRPr="005E6B7C">
        <w:rPr>
          <w:rFonts w:asciiTheme="majorHAnsi" w:eastAsia="Times New Roman" w:hAnsiTheme="majorHAnsi" w:cstheme="majorHAnsi"/>
          <w:noProof/>
          <w:color w:val="000000" w:themeColor="text1"/>
          <w:sz w:val="22"/>
          <w:szCs w:val="22"/>
        </w:rPr>
        <w:t>]</w:t>
      </w:r>
      <w:r w:rsidRPr="005E6B7C">
        <w:rPr>
          <w:rFonts w:asciiTheme="majorHAnsi" w:eastAsia="Times New Roman" w:hAnsiTheme="majorHAnsi" w:cstheme="majorHAnsi"/>
          <w:noProof/>
          <w:color w:val="000000" w:themeColor="text1"/>
          <w:sz w:val="22"/>
          <w:szCs w:val="22"/>
          <w:lang w:val="vi-VN"/>
        </w:rPr>
        <w:t>,</w:t>
      </w:r>
      <w:r w:rsidRPr="005E6B7C">
        <w:rPr>
          <w:rFonts w:asciiTheme="majorHAnsi" w:eastAsia="Times New Roman" w:hAnsiTheme="majorHAnsi" w:cstheme="majorHAnsi"/>
          <w:noProof/>
          <w:color w:val="000000" w:themeColor="text1"/>
          <w:sz w:val="22"/>
          <w:szCs w:val="22"/>
        </w:rPr>
        <w:t>[</w:t>
      </w:r>
      <w:r w:rsidRPr="005E6B7C">
        <w:rPr>
          <w:rFonts w:asciiTheme="majorHAnsi" w:eastAsia="Times New Roman" w:hAnsiTheme="majorHAnsi" w:cstheme="majorHAnsi"/>
          <w:noProof/>
          <w:color w:val="000000" w:themeColor="text1"/>
          <w:sz w:val="22"/>
          <w:szCs w:val="22"/>
          <w:lang w:val="vi-VN"/>
        </w:rPr>
        <w:t>3]</w:t>
      </w:r>
      <w:r w:rsidRPr="005E6B7C">
        <w:rPr>
          <w:rFonts w:asciiTheme="majorHAnsi" w:eastAsia="Times New Roman" w:hAnsiTheme="majorHAnsi" w:cstheme="majorHAnsi"/>
          <w:color w:val="000000" w:themeColor="text1"/>
          <w:sz w:val="22"/>
          <w:szCs w:val="22"/>
          <w:lang w:val="vi-VN"/>
        </w:rPr>
        <w:fldChar w:fldCharType="end"/>
      </w:r>
      <w:r w:rsidRPr="005E6B7C">
        <w:rPr>
          <w:rFonts w:asciiTheme="majorHAnsi" w:eastAsia="Times New Roman" w:hAnsiTheme="majorHAnsi" w:cstheme="majorHAnsi"/>
          <w:color w:val="000000" w:themeColor="text1"/>
          <w:sz w:val="22"/>
          <w:szCs w:val="22"/>
        </w:rPr>
        <w:t xml:space="preserve">. Previous phytochemical studies on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have identified a variety of bioactive constituents, including flavonoids, proanthocyanidins, and sterols, while analyses of its essential oil have reported compounds such as </w:t>
      </w:r>
      <w:r w:rsidR="00FC2DB5" w:rsidRPr="005E6B7C">
        <w:rPr>
          <w:rFonts w:asciiTheme="majorHAnsi" w:eastAsia="Times New Roman" w:hAnsiTheme="majorHAnsi" w:cstheme="majorHAnsi"/>
          <w:color w:val="000000" w:themeColor="text1"/>
          <w:sz w:val="22"/>
          <w:szCs w:val="22"/>
        </w:rPr>
        <w:sym w:font="Symbol" w:char="F062"/>
      </w:r>
      <w:r w:rsidR="00FC2DB5" w:rsidRPr="005E6B7C">
        <w:rPr>
          <w:rFonts w:asciiTheme="majorHAnsi" w:eastAsia="Times New Roman" w:hAnsiTheme="majorHAnsi" w:cstheme="majorHAnsi"/>
          <w:color w:val="000000" w:themeColor="text1"/>
          <w:sz w:val="22"/>
          <w:szCs w:val="22"/>
          <w:lang w:val="vi-VN"/>
        </w:rPr>
        <w:t>-</w:t>
      </w:r>
      <w:r w:rsidRPr="005E6B7C">
        <w:rPr>
          <w:rFonts w:asciiTheme="majorHAnsi" w:eastAsia="Times New Roman" w:hAnsiTheme="majorHAnsi" w:cstheme="majorHAnsi"/>
          <w:color w:val="000000" w:themeColor="text1"/>
          <w:sz w:val="22"/>
          <w:szCs w:val="22"/>
        </w:rPr>
        <w:t xml:space="preserve">elemen, </w:t>
      </w:r>
      <w:r w:rsidRPr="005E6B7C">
        <w:rPr>
          <w:rFonts w:asciiTheme="majorHAnsi" w:eastAsia="Times New Roman" w:hAnsiTheme="majorHAnsi" w:cstheme="majorHAnsi"/>
          <w:i/>
          <w:iCs/>
          <w:color w:val="000000" w:themeColor="text1"/>
          <w:sz w:val="22"/>
          <w:szCs w:val="22"/>
        </w:rPr>
        <w:t>α</w:t>
      </w:r>
      <w:r w:rsidRPr="005E6B7C">
        <w:rPr>
          <w:rFonts w:asciiTheme="majorHAnsi" w:eastAsia="Times New Roman" w:hAnsiTheme="majorHAnsi" w:cstheme="majorHAnsi"/>
          <w:color w:val="000000" w:themeColor="text1"/>
          <w:sz w:val="22"/>
          <w:szCs w:val="22"/>
        </w:rPr>
        <w:t xml:space="preserve">-copaene, </w:t>
      </w:r>
      <w:r w:rsidRPr="005E6B7C">
        <w:rPr>
          <w:rFonts w:asciiTheme="majorHAnsi" w:eastAsia="Times New Roman" w:hAnsiTheme="majorHAnsi" w:cstheme="majorHAnsi"/>
          <w:i/>
          <w:iCs/>
          <w:color w:val="000000" w:themeColor="text1"/>
          <w:sz w:val="22"/>
          <w:szCs w:val="22"/>
        </w:rPr>
        <w:t>β</w:t>
      </w:r>
      <w:r w:rsidRPr="005E6B7C">
        <w:rPr>
          <w:rFonts w:asciiTheme="majorHAnsi" w:eastAsia="Times New Roman" w:hAnsiTheme="majorHAnsi" w:cstheme="majorHAnsi"/>
          <w:color w:val="000000" w:themeColor="text1"/>
          <w:sz w:val="22"/>
          <w:szCs w:val="22"/>
        </w:rPr>
        <w:t xml:space="preserve">-caryophyllene, and α-humulene as major components </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&lt;EndNote&gt;&lt;Cite&gt;&lt;Author&gt;Burkill&lt;/Author&gt;&lt;Year&gt;1966&lt;/Year&gt;&lt;RecNum&gt;4&lt;/RecNum&gt;&lt;DisplayText&gt;[4, 5]&lt;/DisplayText&gt;&lt;record&gt;&lt;rec-number&gt;4&lt;/rec-number&gt;&lt;foreign-keys&gt;&lt;key app="EN" db-id="ests5zdscdrx0ke55w45va2tp5tasftw5xat" timestamp="1770431216"&gt;4&lt;/key&gt;&lt;/foreign-keys&gt;&lt;ref-type name="Journal Article"&gt;17&lt;/ref-type&gt;&lt;contributors&gt;&lt;authors&gt;&lt;author&gt;Burkill, I. H.&lt;/author&gt;&lt;/authors&gt;&lt;/contributors&gt;&lt;titles&gt;&lt;title&gt;A Dictionary of the Economic Products of the Malay Peninsula&lt;/title&gt;&lt;secondary-title&gt;A Dictionary of the Economic Products of the Malay Peninsula.&lt;/secondary-title&gt;&lt;/titles&gt;&lt;periodical&gt;&lt;full-title&gt;A Dictionary of the Economic Products of the Malay Peninsula.&lt;/full-title&gt;&lt;/periodical&gt;&lt;pages&gt;2444 pp.&lt;/pages&gt;&lt;volume&gt;2&lt;/volume&gt;&lt;number&gt;2nd edition&lt;/number&gt;&lt;dates&gt;&lt;year&gt;1966&lt;/year&gt;&lt;/dates&gt;&lt;publisher&gt;Ministry of Agriculture and Co-operatives, Kuala Lumpur, Malaysia.&lt;/publisher&gt;&lt;work-type&gt;Journal article&lt;/work-type&gt;&lt;urls&gt;&lt;/urls&gt;&lt;remote-database-name&gt;CABI Databases&lt;/remote-database-name&gt;&lt;language&gt;Undetermined&lt;/language&gt;&lt;/record&gt;&lt;/Cite&gt;&lt;Cite&gt;&lt;Author&gt;Sriphana&lt;/Author&gt;&lt;Year&gt;2016&lt;/Year&gt;&lt;RecNum&gt;5&lt;/RecNum&gt;&lt;record&gt;&lt;rec-number&gt;5&lt;/rec-number&gt;&lt;foreign-keys&gt;&lt;key app="EN" db-id="ests5zdscdrx0ke55w45va2tp5tasftw5xat" timestamp="1770431451"&gt;5&lt;/key&gt;&lt;/foreign-keys&gt;&lt;ref-type name="Journal Article"&gt;17&lt;/ref-type&gt;&lt;contributors&gt;&lt;authors&gt;&lt;author&gt;Sriphana, U.&lt;/author&gt;&lt;author&gt;Yenjai, C.&lt;/author&gt;&lt;author&gt;Koatthada, M.&lt;/author&gt;&lt;/authors&gt;&lt;/contributors&gt;&lt;titles&gt;&lt;title&gt;Cytotoxicity of chemical constituents from the roots of Knema globularia&lt;/title&gt;&lt;secondary-title&gt;Phytochemistry Letters&lt;/secondary-title&gt;&lt;/titles&gt;&lt;periodical&gt;&lt;full-title&gt;Phytochemistry Letters&lt;/full-title&gt;&lt;/periodical&gt;&lt;pages&gt;129-133&lt;/pages&gt;&lt;volume&gt;16&lt;/volume&gt;&lt;dates&gt;&lt;year&gt;2016&lt;/year&gt;&lt;/dates&gt;&lt;isbn&gt;1874-3900&lt;/isbn&gt;&lt;urls&gt;&lt;related-urls&gt;&lt;url&gt;https://doi.org/10.1016/j.phytol.2016.03.010&lt;/url&gt;&lt;/related-urls&gt;&lt;/urls&gt;&lt;electronic-resource-num&gt;10.1016/j.phytol.2016.03.010&lt;/electronic-resource-num&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[4],[5]</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The chemical composition of leaf essential oils from plants collected in several regions of Vietnam, including Phu</w:t>
      </w:r>
      <w:r w:rsidRPr="005E6B7C">
        <w:rPr>
          <w:rFonts w:asciiTheme="majorHAnsi" w:eastAsia="Times New Roman" w:hAnsiTheme="majorHAnsi" w:cstheme="majorHAnsi"/>
          <w:color w:val="000000" w:themeColor="text1"/>
          <w:sz w:val="22"/>
          <w:szCs w:val="22"/>
          <w:lang w:val="vi-VN"/>
        </w:rPr>
        <w:t xml:space="preserve"> Tho (</w:t>
      </w:r>
      <w:r w:rsidRPr="005E6B7C">
        <w:rPr>
          <w:rFonts w:asciiTheme="majorHAnsi" w:eastAsia="Times New Roman" w:hAnsiTheme="majorHAnsi" w:cstheme="majorHAnsi"/>
          <w:color w:val="000000" w:themeColor="text1"/>
          <w:sz w:val="22"/>
          <w:szCs w:val="22"/>
        </w:rPr>
        <w:t>formerly Vinh Phuc Province</w:t>
      </w:r>
      <w:r w:rsidRPr="005E6B7C">
        <w:rPr>
          <w:rFonts w:asciiTheme="majorHAnsi" w:eastAsia="Times New Roman" w:hAnsiTheme="majorHAnsi" w:cstheme="majorHAnsi"/>
          <w:color w:val="000000" w:themeColor="text1"/>
          <w:sz w:val="22"/>
          <w:szCs w:val="22"/>
          <w:lang w:val="vi-VN"/>
        </w:rPr>
        <w:t>)</w:t>
      </w:r>
      <w:r w:rsidRPr="005E6B7C">
        <w:rPr>
          <w:rFonts w:asciiTheme="majorHAnsi" w:eastAsia="Times New Roman" w:hAnsiTheme="majorHAnsi" w:cstheme="majorHAnsi"/>
          <w:color w:val="000000" w:themeColor="text1"/>
          <w:sz w:val="22"/>
          <w:szCs w:val="22"/>
        </w:rPr>
        <w:t>, Ho</w:t>
      </w:r>
      <w:r w:rsidRPr="005E6B7C">
        <w:rPr>
          <w:rFonts w:asciiTheme="majorHAnsi" w:eastAsia="Times New Roman" w:hAnsiTheme="majorHAnsi" w:cstheme="majorHAnsi"/>
          <w:color w:val="000000" w:themeColor="text1"/>
          <w:sz w:val="22"/>
          <w:szCs w:val="22"/>
          <w:lang w:val="vi-VN"/>
        </w:rPr>
        <w:t xml:space="preserve"> Chi Minh City (formerly </w:t>
      </w:r>
      <w:r w:rsidRPr="005E6B7C">
        <w:rPr>
          <w:rFonts w:asciiTheme="majorHAnsi" w:eastAsia="Times New Roman" w:hAnsiTheme="majorHAnsi" w:cstheme="majorHAnsi"/>
          <w:color w:val="000000" w:themeColor="text1"/>
          <w:sz w:val="22"/>
          <w:szCs w:val="22"/>
        </w:rPr>
        <w:t>Vung Tau</w:t>
      </w:r>
      <w:r w:rsidRPr="005E6B7C">
        <w:rPr>
          <w:rFonts w:asciiTheme="majorHAnsi" w:eastAsia="Times New Roman" w:hAnsiTheme="majorHAnsi" w:cstheme="majorHAnsi"/>
          <w:color w:val="000000" w:themeColor="text1"/>
          <w:sz w:val="22"/>
          <w:szCs w:val="22"/>
          <w:lang w:val="vi-VN"/>
        </w:rPr>
        <w:t xml:space="preserve"> Province)</w:t>
      </w:r>
      <w:r w:rsidRPr="005E6B7C">
        <w:rPr>
          <w:rFonts w:asciiTheme="majorHAnsi" w:eastAsia="Times New Roman" w:hAnsiTheme="majorHAnsi" w:cstheme="majorHAnsi"/>
          <w:color w:val="000000" w:themeColor="text1"/>
          <w:sz w:val="22"/>
          <w:szCs w:val="22"/>
        </w:rPr>
        <w:t>, and Hue, has been described [5</w:t>
      </w:r>
      <w:r w:rsidR="00826294" w:rsidRPr="005E6B7C">
        <w:rPr>
          <w:rFonts w:asciiTheme="majorHAnsi" w:eastAsia="Times New Roman" w:hAnsiTheme="majorHAnsi" w:cstheme="majorHAnsi"/>
          <w:color w:val="000000" w:themeColor="text1"/>
          <w:sz w:val="22"/>
          <w:szCs w:val="22"/>
        </w:rPr>
        <w:t>],[6],[</w:t>
      </w:r>
      <w:r w:rsidRPr="005E6B7C">
        <w:rPr>
          <w:rFonts w:asciiTheme="majorHAnsi" w:eastAsia="Times New Roman" w:hAnsiTheme="majorHAnsi" w:cstheme="majorHAnsi"/>
          <w:color w:val="000000" w:themeColor="text1"/>
          <w:sz w:val="22"/>
          <w:szCs w:val="22"/>
        </w:rPr>
        <w:t xml:space="preserve">7]. However, the chemical composition of leaf essential oil from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collected in Thanh </w:t>
      </w:r>
      <w:r w:rsidRPr="005E6B7C">
        <w:rPr>
          <w:rFonts w:asciiTheme="majorHAnsi" w:eastAsia="Times New Roman" w:hAnsiTheme="majorHAnsi" w:cstheme="majorHAnsi"/>
          <w:color w:val="000000" w:themeColor="text1"/>
          <w:sz w:val="22"/>
          <w:szCs w:val="22"/>
        </w:rPr>
        <w:t xml:space="preserve">Hoa Province has not yet been reported, despite the species being widely distributed and abundant in this region. Several biological activities of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essential oil have been reported, including inhibition of α-amylase and tyrosinase </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&lt;EndNote&gt;&lt;Cite&gt;&lt;Author&gt;To&lt;/Author&gt;&lt;Year&gt;2024&lt;/Year&gt;&lt;RecNum&gt;6&lt;/RecNum&gt;&lt;DisplayText&gt;[6]&lt;/DisplayText&gt;&lt;record&gt;&lt;rec-number&gt;6&lt;/rec-number&gt;&lt;foreign-keys&gt;&lt;key app="EN" db-id="ests5zdscdrx0ke55w45va2tp5tasftw5xat" timestamp="1770431983"&gt;6&lt;/key&gt;&lt;/foreign-keys&gt;&lt;ref-type name="Journal Article"&gt;17&lt;/ref-type&gt;&lt;contributors&gt;&lt;authors&gt;&lt;author&gt;To,  Dao Cuong&lt;/author&gt;&lt;author&gt;Truong,  Phu Chi Hieu&lt;/author&gt;&lt;author&gt;Nguyen,  Phi-Hung&lt;/author&gt;&lt;author&gt;Hoang,  Le Minh&lt;/author&gt;&lt;author&gt;Nguyen,  Hoa Thi&lt;/author&gt;&lt;author&gt;Hoa,  Truong Thi Viet&lt;/author&gt;&lt;author&gt;Nhung,  Truong Thi Thuy&lt;/author&gt;&lt;author&gt;Nguyen,  Phuong Dai Nguyen&lt;/author&gt;&lt;author&gt;Nhan,  Ngu Truong&lt;/author&gt;&lt;author&gt;Tran,  Manh Hung&lt;/author&gt;&lt;/authors&gt;&lt;/contributors&gt;&lt;titles&gt;&lt;title&gt;Nitric Oxide Production Inhibitors from Vietnamese Knema globularia: An in Vitro and in Silico Study&lt;/title&gt;&lt;secondary-title&gt;Natural Product Communications&lt;/secondary-title&gt;&lt;/titles&gt;&lt;periodical&gt;&lt;full-title&gt;Natural Product Communications&lt;/full-title&gt;&lt;/periodical&gt;&lt;pages&gt;1934578X241280043&lt;/pages&gt;&lt;volume&gt;19&lt;/volume&gt;&lt;number&gt;8&lt;/number&gt;&lt;dates&gt;&lt;year&gt;2024&lt;/year&gt;&lt;pub-dates&gt;&lt;date&gt;2024/08/01&lt;/date&gt;&lt;/pub-dates&gt;&lt;/dates&gt;&lt;publisher&gt;SAGE Publications Inc&lt;/publisher&gt;&lt;isbn&gt;1934-578X&lt;/isbn&gt;&lt;urls&gt;&lt;related-urls&gt;&lt;url&gt;https://doi.org/10.1177/1934578X241280043&lt;/url&gt;&lt;/related-urls&gt;&lt;/urls&gt;&lt;electronic-resource-num&gt;10.1177/1934578X241280043&lt;/electronic-resource-num&gt;&lt;access-date&gt;2026/02/06&lt;/access-date&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[6]</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xml:space="preserve">, suppression of nitric oxide production </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&lt;EndNote&gt;&lt;Cite&gt;&lt;Author&gt;Pinto&lt;/Author&gt;&lt;Year&gt;1990&lt;/Year&gt;&lt;RecNum&gt;3&lt;/RecNum&gt;&lt;DisplayText&gt;[3]&lt;/DisplayText&gt;&lt;record&gt;&lt;rec-number&gt;3&lt;/rec-number&gt;&lt;foreign-keys&gt;&lt;key app="EN" db-id="ests5zdscdrx0ke55w45va2tp5tasftw5xat" timestamp="1770430451"&gt;3&lt;/key&gt;&lt;/foreign-keys&gt;&lt;ref-type name="Journal Article"&gt;17&lt;/ref-type&gt;&lt;contributors&gt;&lt;authors&gt;&lt;author&gt;Pinto, M. M. M.&lt;/author&gt;&lt;author&gt;Kijjoa, A.&lt;/author&gt;&lt;/authors&gt;&lt;/contributors&gt;&lt;titles&gt;&lt;title&gt;Chemical study of Knema species from Thailand&lt;/title&gt;&lt;secondary-title&gt;Química Nova&lt;/secondary-title&gt;&lt;/titles&gt;&lt;periodical&gt;&lt;full-title&gt;Química Nova&lt;/full-title&gt;&lt;/periodical&gt;&lt;pages&gt;243-244&lt;/pages&gt;&lt;volume&gt;13&lt;/volume&gt;&lt;number&gt;4&lt;/number&gt;&lt;dates&gt;&lt;year&gt;1990&lt;/year&gt;&lt;/dates&gt;&lt;urls&gt;&lt;related-urls&gt;&lt;url&gt;https://quimicanova.sbq.org.br/detalhe_artigo.asp?id=2726&lt;/url&gt;&lt;/related-urls&gt;&lt;/urls&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[3]</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xml:space="preserve">, and antioxidant effects </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&lt;EndNote&gt;&lt;Cite&gt;&lt;Author&gt;Salleh&lt;/Author&gt;&lt;Year&gt;2017&lt;/Year&gt;&lt;RecNum&gt;7&lt;/RecNum&gt;&lt;DisplayText&gt;[7]&lt;/DisplayText&gt;&lt;record&gt;&lt;rec-number&gt;7&lt;/rec-number&gt;&lt;foreign-keys&gt;&lt;key app="EN" db-id="ests5zdscdrx0ke55w45va2tp5tasftw5xat" timestamp="1770433042"&gt;7&lt;/key&gt;&lt;/foreign-keys&gt;&lt;ref-type name="Journal Article"&gt;17&lt;/ref-type&gt;&lt;contributors&gt;&lt;authors&gt;&lt;author&gt;Salleh, Wan Mohd Nuzul Hakimi Wan&lt;/author&gt;&lt;author&gt;Farediah, Ahmad&lt;/author&gt;&lt;/authors&gt;&lt;/contributors&gt;&lt;titles&gt;&lt;title&gt;Phytochemistry and Biological Activities of the Genus Knema (Myristicaceae)&lt;/title&gt;&lt;secondary-title&gt;Pharmaceutical Sciences&lt;/secondary-title&gt;&lt;/titles&gt;&lt;periodical&gt;&lt;full-title&gt;Pharmaceutical Sciences&lt;/full-title&gt;&lt;/periodical&gt;&lt;pages&gt;249-255&lt;/pages&gt;&lt;volume&gt;23&lt;/volume&gt;&lt;dates&gt;&lt;year&gt;2017&lt;/year&gt;&lt;pub-dates&gt;&lt;date&gt;12/01&lt;/date&gt;&lt;/pub-dates&gt;&lt;/dates&gt;&lt;urls&gt;&lt;/urls&gt;&lt;electronic-resource-num&gt;10.15171/PS.2017.37&lt;/electronic-resource-num&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[7]</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xml:space="preserve">. Moreover, cytotoxic activities have been reported for a number of compounds isolated from species of the genus </w:t>
      </w:r>
      <w:r w:rsidRPr="005E6B7C">
        <w:rPr>
          <w:rFonts w:asciiTheme="majorHAnsi" w:eastAsia="Times New Roman" w:hAnsiTheme="majorHAnsi" w:cstheme="majorHAnsi"/>
          <w:i/>
          <w:iCs/>
          <w:color w:val="000000" w:themeColor="text1"/>
          <w:sz w:val="22"/>
          <w:szCs w:val="22"/>
        </w:rPr>
        <w:t>Knema</w:t>
      </w:r>
      <w:r w:rsidRPr="005E6B7C">
        <w:rPr>
          <w:rFonts w:asciiTheme="majorHAnsi" w:eastAsia="Times New Roman" w:hAnsiTheme="majorHAnsi" w:cstheme="majorHAnsi"/>
          <w:color w:val="000000" w:themeColor="text1"/>
          <w:sz w:val="22"/>
          <w:szCs w:val="22"/>
        </w:rPr>
        <w:t>, indicating potential anticancer properties. Considering the traditional use of this plant for the treatment of skin infections and wounds, antimicrobial activity also represents a relevant biological property to be evaluated. However, antimicrobial</w:t>
      </w:r>
      <w:r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rPr>
        <w:t xml:space="preserve">and cytotoxic activities of the leaf essential oil of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have not yet been investigated. Therefore, the present study aimed to analyze the chemical composition of the leaf essential oil of </w:t>
      </w:r>
      <w:r w:rsidRPr="005E6B7C">
        <w:rPr>
          <w:rFonts w:asciiTheme="majorHAnsi" w:eastAsia="Times New Roman" w:hAnsiTheme="majorHAnsi" w:cstheme="majorHAnsi"/>
          <w:i/>
          <w:iCs/>
          <w:color w:val="000000" w:themeColor="text1"/>
          <w:sz w:val="22"/>
          <w:szCs w:val="22"/>
        </w:rPr>
        <w:t>K. globularia</w:t>
      </w:r>
      <w:r w:rsidRPr="005E6B7C">
        <w:rPr>
          <w:rFonts w:asciiTheme="majorHAnsi" w:eastAsia="Times New Roman" w:hAnsiTheme="majorHAnsi" w:cstheme="majorHAnsi"/>
          <w:color w:val="000000" w:themeColor="text1"/>
          <w:sz w:val="22"/>
          <w:szCs w:val="22"/>
        </w:rPr>
        <w:t xml:space="preserve"> collected in Thanh Hoa using GC–MS and to evaluate its antimicrobial and cytotoxic activities </w:t>
      </w:r>
      <w:r w:rsidR="00894500" w:rsidRPr="005E6B7C">
        <w:rPr>
          <w:rFonts w:asciiTheme="majorHAnsi" w:eastAsia="Times New Roman" w:hAnsiTheme="majorHAnsi" w:cstheme="majorHAnsi"/>
          <w:i/>
          <w:iCs/>
          <w:color w:val="000000" w:themeColor="text1"/>
          <w:sz w:val="22"/>
          <w:szCs w:val="22"/>
        </w:rPr>
        <w:t>in vitro</w:t>
      </w:r>
      <w:r w:rsidRPr="005E6B7C">
        <w:rPr>
          <w:rFonts w:asciiTheme="majorHAnsi" w:eastAsia="Times New Roman" w:hAnsiTheme="majorHAnsi" w:cstheme="majorHAnsi"/>
          <w:color w:val="000000" w:themeColor="text1"/>
          <w:sz w:val="22"/>
          <w:szCs w:val="22"/>
        </w:rPr>
        <w:t>.</w:t>
      </w:r>
    </w:p>
    <w:p w14:paraId="0C2F31DC"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2. Materials and methods</w:t>
      </w:r>
    </w:p>
    <w:p w14:paraId="09987721"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2.1. Materials</w:t>
      </w:r>
    </w:p>
    <w:p w14:paraId="391ED4ED"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Fresh leaves of </w:t>
      </w:r>
      <w:r w:rsidRPr="005E6B7C">
        <w:rPr>
          <w:rFonts w:asciiTheme="majorHAnsi" w:eastAsia="Yu Mincho" w:hAnsiTheme="majorHAnsi" w:cstheme="majorHAnsi"/>
          <w:i/>
          <w:iCs/>
          <w:color w:val="000000" w:themeColor="text1"/>
          <w:sz w:val="22"/>
          <w:szCs w:val="22"/>
          <w:lang w:val="vi-VN" w:eastAsia="ja-JP"/>
        </w:rPr>
        <w:t xml:space="preserve">Knema globularia </w:t>
      </w:r>
      <w:r w:rsidRPr="005E6B7C">
        <w:rPr>
          <w:rFonts w:asciiTheme="majorHAnsi" w:eastAsia="Yu Mincho" w:hAnsiTheme="majorHAnsi" w:cstheme="majorHAnsi"/>
          <w:color w:val="000000" w:themeColor="text1"/>
          <w:sz w:val="22"/>
          <w:szCs w:val="22"/>
          <w:lang w:eastAsia="ja-JP"/>
        </w:rPr>
        <w:t>(Lamk.)Warb.</w:t>
      </w:r>
      <w:r w:rsidRPr="005E6B7C">
        <w:rPr>
          <w:rFonts w:asciiTheme="majorHAnsi" w:eastAsia="Yu Mincho" w:hAnsiTheme="majorHAnsi" w:cstheme="majorHAnsi" w:hint="eastAsia"/>
          <w:color w:val="000000" w:themeColor="text1"/>
          <w:sz w:val="22"/>
          <w:szCs w:val="22"/>
          <w:lang w:val="vi-VN" w:eastAsia="ja-JP"/>
        </w:rPr>
        <w:t xml:space="preserve"> were collected in Thanh Hoa Province, Vietnam (20</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29</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68.58</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N, 105</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54</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05.89</w:t>
      </w:r>
      <w:r w:rsidRPr="005E6B7C">
        <w:rPr>
          <w:rFonts w:asciiTheme="majorHAnsi" w:eastAsia="Yu Mincho" w:hAnsiTheme="majorHAnsi" w:cstheme="majorHAnsi" w:hint="eastAsia"/>
          <w:color w:val="000000" w:themeColor="text1"/>
          <w:sz w:val="22"/>
          <w:szCs w:val="22"/>
          <w:lang w:val="vi-VN" w:eastAsia="ja-JP"/>
        </w:rPr>
        <w:t>″</w:t>
      </w:r>
      <w:r w:rsidRPr="005E6B7C">
        <w:rPr>
          <w:rFonts w:asciiTheme="majorHAnsi" w:eastAsia="Yu Mincho" w:hAnsiTheme="majorHAnsi" w:cstheme="majorHAnsi" w:hint="eastAsia"/>
          <w:color w:val="000000" w:themeColor="text1"/>
          <w:sz w:val="22"/>
          <w:szCs w:val="22"/>
          <w:lang w:val="vi-VN" w:eastAsia="ja-JP"/>
        </w:rPr>
        <w:t xml:space="preserve">E) in May 2025. The plant was identified by Assoc. Prof. Dr. Nguyen Hoang Tuan from the Faculty of Pharmacognosy and Traditional Medicine, Hanoi University of </w:t>
      </w:r>
      <w:r w:rsidRPr="005E6B7C">
        <w:rPr>
          <w:rFonts w:asciiTheme="majorHAnsi" w:eastAsia="Yu Mincho" w:hAnsiTheme="majorHAnsi" w:cstheme="majorHAnsi" w:hint="eastAsia"/>
          <w:color w:val="000000" w:themeColor="text1"/>
          <w:sz w:val="22"/>
          <w:szCs w:val="22"/>
          <w:lang w:val="vi-VN" w:eastAsia="ja-JP"/>
        </w:rPr>
        <w:lastRenderedPageBreak/>
        <w:t>Pharmacy.</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A voucher specimen (</w:t>
      </w:r>
      <w:r w:rsidRPr="005E6B7C">
        <w:rPr>
          <w:rFonts w:asciiTheme="majorHAnsi" w:eastAsia="Yu Mincho" w:hAnsiTheme="majorHAnsi" w:cstheme="majorHAnsi"/>
          <w:bCs/>
          <w:iCs/>
          <w:color w:val="000000" w:themeColor="text1"/>
          <w:sz w:val="22"/>
          <w:szCs w:val="22"/>
          <w:lang w:val="vi-VN" w:eastAsia="ja-JP"/>
        </w:rPr>
        <w:t>HMC-TH-001</w:t>
      </w:r>
      <w:r w:rsidRPr="005E6B7C">
        <w:rPr>
          <w:rFonts w:asciiTheme="majorHAnsi" w:eastAsia="Yu Mincho" w:hAnsiTheme="majorHAnsi" w:cstheme="majorHAnsi"/>
          <w:color w:val="000000" w:themeColor="text1"/>
          <w:sz w:val="22"/>
          <w:szCs w:val="22"/>
          <w:lang w:val="vi-VN" w:eastAsia="ja-JP"/>
        </w:rPr>
        <w:t>) was deposited at the Plant Herbarium of Hanoi Medical College (HMC), Hanoi, Vietnam.</w:t>
      </w:r>
    </w:p>
    <w:p w14:paraId="6EDB5AD1"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2.2. Methods</w:t>
      </w:r>
    </w:p>
    <w:p w14:paraId="7037F225"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2.2.1.</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Extraction of essential oil</w:t>
      </w:r>
      <w:r w:rsidR="00826294" w:rsidRPr="005E6B7C">
        <w:rPr>
          <w:rFonts w:asciiTheme="majorHAnsi" w:eastAsia="Yu Mincho" w:hAnsiTheme="majorHAnsi" w:cstheme="majorHAnsi"/>
          <w:bCs/>
          <w:iCs/>
          <w:color w:val="000000" w:themeColor="text1"/>
          <w:sz w:val="22"/>
          <w:szCs w:val="22"/>
          <w:lang w:eastAsia="ja-JP"/>
        </w:rPr>
        <w:t>:</w:t>
      </w:r>
    </w:p>
    <w:p w14:paraId="2D5156C6"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val="vi-VN" w:eastAsia="ja-JP"/>
        </w:rPr>
      </w:pPr>
      <w:r w:rsidRPr="005E6B7C">
        <w:rPr>
          <w:rFonts w:asciiTheme="majorHAnsi" w:eastAsia="Yu Mincho" w:hAnsiTheme="majorHAnsi" w:cstheme="majorHAnsi"/>
          <w:bCs/>
          <w:iCs/>
          <w:color w:val="000000" w:themeColor="text1"/>
          <w:sz w:val="22"/>
          <w:szCs w:val="22"/>
          <w:lang w:val="vi-VN" w:eastAsia="ja-JP"/>
        </w:rPr>
        <w:t xml:space="preserve">Fresh mature leaves of </w:t>
      </w:r>
      <w:r w:rsidRPr="005E6B7C">
        <w:rPr>
          <w:rFonts w:asciiTheme="majorHAnsi" w:eastAsia="Yu Mincho" w:hAnsiTheme="majorHAnsi" w:cstheme="majorHAnsi"/>
          <w:bCs/>
          <w:i/>
          <w:iCs/>
          <w:color w:val="000000" w:themeColor="text1"/>
          <w:sz w:val="22"/>
          <w:szCs w:val="22"/>
          <w:lang w:val="vi-VN" w:eastAsia="ja-JP"/>
        </w:rPr>
        <w:t>K. globularia</w:t>
      </w:r>
      <w:r w:rsidRPr="005E6B7C">
        <w:rPr>
          <w:rFonts w:asciiTheme="majorHAnsi" w:eastAsia="Yu Mincho" w:hAnsiTheme="majorHAnsi" w:cstheme="majorHAnsi"/>
          <w:bCs/>
          <w:iCs/>
          <w:color w:val="000000" w:themeColor="text1"/>
          <w:sz w:val="22"/>
          <w:szCs w:val="22"/>
          <w:lang w:val="vi-VN" w:eastAsia="ja-JP"/>
        </w:rPr>
        <w:t xml:space="preserve"> (500 g) were washed and minced into small pieces (≤</w:t>
      </w:r>
      <w:r w:rsidRPr="005E6B7C">
        <w:rPr>
          <w:rFonts w:asciiTheme="majorHAnsi" w:eastAsia="Yu Mincho" w:hAnsiTheme="majorHAnsi" w:cstheme="majorHAnsi"/>
          <w:bCs/>
          <w:iCs/>
          <w:color w:val="000000" w:themeColor="text1"/>
          <w:sz w:val="22"/>
          <w:szCs w:val="22"/>
          <w:lang w:eastAsia="ja-JP"/>
        </w:rPr>
        <w:t xml:space="preserve"> </w:t>
      </w:r>
      <w:r w:rsidRPr="005E6B7C">
        <w:rPr>
          <w:rFonts w:asciiTheme="majorHAnsi" w:eastAsia="Yu Mincho" w:hAnsiTheme="majorHAnsi" w:cstheme="majorHAnsi"/>
          <w:bCs/>
          <w:iCs/>
          <w:color w:val="000000" w:themeColor="text1"/>
          <w:sz w:val="22"/>
          <w:szCs w:val="22"/>
          <w:lang w:val="vi-VN" w:eastAsia="ja-JP"/>
        </w:rPr>
        <w:t>0.5 cm). The plant material was mixed with distilled water at a ratio of approximately 1:3 (w/v), ensuring complete immersion. Hydrodistillation was then carried out using a Clevenger-type apparatus. The process was performed in triplicate and continued until no further essential oil was recovered (approximately 4 h). The obtained essential oil was dried over anhydrous sodium sulfate and stored in amber glass vials at 4°C for subsequent chemical and biological analyses</w:t>
      </w:r>
      <w:r w:rsidRPr="005E6B7C">
        <w:rPr>
          <w:rFonts w:asciiTheme="majorHAnsi" w:eastAsia="Yu Mincho" w:hAnsiTheme="majorHAnsi" w:cstheme="majorHAnsi"/>
          <w:bCs/>
          <w:iCs/>
          <w:color w:val="000000" w:themeColor="text1"/>
          <w:sz w:val="22"/>
          <w:szCs w:val="22"/>
          <w:lang w:eastAsia="ja-JP"/>
        </w:rPr>
        <w:t xml:space="preserve"> </w:t>
      </w:r>
      <w:r w:rsidRPr="005E6B7C">
        <w:rPr>
          <w:rFonts w:asciiTheme="majorHAnsi" w:eastAsia="Yu Mincho" w:hAnsiTheme="majorHAnsi" w:cstheme="majorHAnsi"/>
          <w:bCs/>
          <w:iCs/>
          <w:color w:val="000000" w:themeColor="text1"/>
          <w:sz w:val="22"/>
          <w:szCs w:val="22"/>
          <w:lang w:val="vi-VN" w:eastAsia="ja-JP"/>
        </w:rPr>
        <w:fldChar w:fldCharType="begin"/>
      </w:r>
      <w:r w:rsidRPr="005E6B7C">
        <w:rPr>
          <w:rFonts w:asciiTheme="majorHAnsi" w:eastAsia="Yu Mincho" w:hAnsiTheme="majorHAnsi" w:cstheme="majorHAnsi"/>
          <w:bCs/>
          <w:iCs/>
          <w:color w:val="000000" w:themeColor="text1"/>
          <w:sz w:val="22"/>
          <w:szCs w:val="22"/>
          <w:lang w:val="vi-VN" w:eastAsia="ja-JP"/>
        </w:rPr>
        <w:instrText xml:space="preserve"> ADDIN EN.CITE &lt;EndNote&gt;&lt;Cite&gt;&lt;Author&gt;Health&lt;/Author&gt;&lt;Year&gt;2017&lt;/Year&gt;&lt;RecNum&gt;19&lt;/RecNum&gt;&lt;DisplayText&gt;[8]&lt;/DisplayText&gt;&lt;record&gt;&lt;rec-number&gt;19&lt;/rec-number&gt;&lt;foreign-keys&gt;&lt;key app="EN" db-id="ests5zdscdrx0ke55w45va2tp5tasftw5xat" timestamp="1770466728"&gt;19&lt;/key&gt;&lt;/foreign-keys&gt;&lt;ref-type name="Book"&gt;6&lt;/ref-type&gt;&lt;contributors&gt;&lt;authors&gt;&lt;author&gt;Ministry of Health&lt;/author&gt;&lt;/authors&gt;&lt;/contributors&gt;&lt;titles&gt;&lt;title&gt;Vietnam Pharmacopoeia&lt;/title&gt;&lt;/titles&gt;&lt;volume&gt;5&lt;/volume&gt;&lt;dates&gt;&lt;year&gt;2017&lt;/year&gt;&lt;/dates&gt;&lt;pub-location&gt;Hanoi&lt;/pub-location&gt;&lt;publisher&gt;Medical Publishing House&lt;/publisher&gt;&lt;urls&gt;&lt;/urls&gt;&lt;/record&gt;&lt;/Cite&gt;&lt;/EndNote&gt;</w:instrText>
      </w:r>
      <w:r w:rsidRPr="005E6B7C">
        <w:rPr>
          <w:rFonts w:asciiTheme="majorHAnsi" w:eastAsia="Yu Mincho" w:hAnsiTheme="majorHAnsi" w:cstheme="majorHAnsi"/>
          <w:bCs/>
          <w:iCs/>
          <w:color w:val="000000" w:themeColor="text1"/>
          <w:sz w:val="22"/>
          <w:szCs w:val="22"/>
          <w:lang w:val="vi-VN" w:eastAsia="ja-JP"/>
        </w:rPr>
        <w:fldChar w:fldCharType="separate"/>
      </w:r>
      <w:r w:rsidRPr="005E6B7C">
        <w:rPr>
          <w:rFonts w:asciiTheme="majorHAnsi" w:eastAsia="Yu Mincho" w:hAnsiTheme="majorHAnsi" w:cstheme="majorHAnsi"/>
          <w:bCs/>
          <w:iCs/>
          <w:noProof/>
          <w:color w:val="000000" w:themeColor="text1"/>
          <w:sz w:val="22"/>
          <w:szCs w:val="22"/>
          <w:lang w:val="vi-VN" w:eastAsia="ja-JP"/>
        </w:rPr>
        <w:t>[8]</w:t>
      </w:r>
      <w:r w:rsidRPr="005E6B7C">
        <w:rPr>
          <w:rFonts w:asciiTheme="majorHAnsi" w:eastAsia="Yu Mincho" w:hAnsiTheme="majorHAnsi" w:cstheme="majorHAnsi"/>
          <w:bCs/>
          <w:iCs/>
          <w:color w:val="000000" w:themeColor="text1"/>
          <w:sz w:val="22"/>
          <w:szCs w:val="22"/>
          <w:lang w:val="vi-VN" w:eastAsia="ja-JP"/>
        </w:rPr>
        <w:fldChar w:fldCharType="end"/>
      </w:r>
      <w:r w:rsidRPr="005E6B7C">
        <w:rPr>
          <w:rFonts w:asciiTheme="majorHAnsi" w:eastAsia="Yu Mincho" w:hAnsiTheme="majorHAnsi" w:cstheme="majorHAnsi"/>
          <w:bCs/>
          <w:iCs/>
          <w:color w:val="000000" w:themeColor="text1"/>
          <w:sz w:val="22"/>
          <w:szCs w:val="22"/>
          <w:lang w:val="vi-VN" w:eastAsia="ja-JP"/>
        </w:rPr>
        <w:t>.</w:t>
      </w:r>
    </w:p>
    <w:p w14:paraId="247AC1F9"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 xml:space="preserve">2.2.2. </w:t>
      </w:r>
      <w:r w:rsidRPr="005E6B7C">
        <w:rPr>
          <w:rFonts w:asciiTheme="majorHAnsi" w:eastAsia="Yu Mincho" w:hAnsiTheme="majorHAnsi" w:cstheme="majorHAnsi"/>
          <w:color w:val="000000" w:themeColor="text1"/>
          <w:sz w:val="22"/>
          <w:szCs w:val="22"/>
          <w:lang w:eastAsia="ja-JP"/>
        </w:rPr>
        <w:t>Gas chromatography–mass spectrometry (GC-MS) analysis</w:t>
      </w:r>
      <w:r w:rsidR="00826294" w:rsidRPr="005E6B7C">
        <w:rPr>
          <w:rFonts w:asciiTheme="majorHAnsi" w:eastAsia="Yu Mincho" w:hAnsiTheme="majorHAnsi" w:cstheme="majorHAnsi"/>
          <w:color w:val="000000" w:themeColor="text1"/>
          <w:sz w:val="22"/>
          <w:szCs w:val="22"/>
          <w:lang w:eastAsia="ja-JP"/>
        </w:rPr>
        <w:t>:</w:t>
      </w:r>
    </w:p>
    <w:p w14:paraId="14703158" w14:textId="5F5A020D"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volatile composition of </w:t>
      </w:r>
      <w:r w:rsidRPr="005E6B7C">
        <w:rPr>
          <w:rFonts w:asciiTheme="majorHAnsi" w:eastAsia="Yu Mincho" w:hAnsiTheme="majorHAnsi" w:cstheme="majorHAnsi"/>
          <w:i/>
          <w:iCs/>
          <w:color w:val="000000" w:themeColor="text1"/>
          <w:sz w:val="22"/>
          <w:szCs w:val="22"/>
          <w:lang w:eastAsia="ja-JP"/>
        </w:rPr>
        <w:t>Knema globularia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iCs/>
          <w:color w:val="000000" w:themeColor="text1"/>
          <w:sz w:val="22"/>
          <w:szCs w:val="22"/>
          <w:lang w:eastAsia="ja-JP"/>
        </w:rPr>
        <w:t xml:space="preserve">leaf </w:t>
      </w:r>
      <w:r w:rsidRPr="005E6B7C">
        <w:rPr>
          <w:rFonts w:asciiTheme="majorHAnsi" w:eastAsia="Yu Mincho" w:hAnsiTheme="majorHAnsi" w:cstheme="majorHAnsi"/>
          <w:color w:val="000000" w:themeColor="text1"/>
          <w:sz w:val="22"/>
          <w:szCs w:val="22"/>
          <w:lang w:eastAsia="ja-JP"/>
        </w:rPr>
        <w:t xml:space="preserve">essential oil was analyzed by gas chromatography–mass spectrometry (GC–MS) using an Agilent 7890B GC system coupled with an Agilent 5977B MSD equipped with an HP-5MS UI capillary column (30 m × 0.25 mm i.d.; 0.25 μm film thickness). The essential oil (1.0 μL injection from a 1:1000 dilution in dichloromethane) was analyzed under the following conditions: carrier gas (helium at 1.0 mL/min), injection mode (split ratio 40:1), MS source temperature (230°C), MS </w:t>
      </w:r>
      <w:r w:rsidR="00FC2DB5" w:rsidRPr="005E6B7C">
        <w:rPr>
          <w:rFonts w:asciiTheme="majorHAnsi" w:eastAsia="Yu Mincho" w:hAnsiTheme="majorHAnsi" w:cstheme="majorHAnsi"/>
          <w:color w:val="000000" w:themeColor="text1"/>
          <w:sz w:val="22"/>
          <w:szCs w:val="22"/>
          <w:lang w:eastAsia="ja-JP"/>
        </w:rPr>
        <w:t>quadrupole</w:t>
      </w:r>
      <w:r w:rsidR="00FC2DB5"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temperature (150°C), inlet temperature (300°C), and Aux-2 temperature (250°C). The oven temperature program was initiated at 50°C (3 min hold), increased to 180°C at a gradient of 3°C/min, subsequently increased to 280°C at 5°C/min, and held isothermally for 5 min. Mass spectra were recorded at 70 eV with a scan range of 50–550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at a scan rate of 2 scans/s. Identification of the constituents was carried out by comparing their mass spectra and retention indices (RIs), calculated relative to a homologous series of n-alkanes (C</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–C</w:t>
      </w:r>
      <w:r w:rsidRPr="005E6B7C">
        <w:rPr>
          <w:rFonts w:asciiTheme="majorHAnsi" w:eastAsia="Yu Mincho" w:hAnsiTheme="majorHAnsi" w:cstheme="majorHAnsi"/>
          <w:color w:val="000000" w:themeColor="text1"/>
          <w:sz w:val="22"/>
          <w:szCs w:val="22"/>
          <w:vertAlign w:val="subscript"/>
          <w:lang w:eastAsia="ja-JP"/>
        </w:rPr>
        <w:t>30</w:t>
      </w:r>
      <w:r w:rsidRPr="005E6B7C">
        <w:rPr>
          <w:rFonts w:asciiTheme="majorHAnsi" w:eastAsia="Yu Mincho" w:hAnsiTheme="majorHAnsi" w:cstheme="majorHAnsi"/>
          <w:color w:val="000000" w:themeColor="text1"/>
          <w:sz w:val="22"/>
          <w:szCs w:val="22"/>
          <w:lang w:eastAsia="ja-JP"/>
        </w:rPr>
        <w:t xml:space="preserve">), with those reported in the NIST 17 and Adams (2007) libraries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&lt;EndNote&gt;&lt;Cite&gt;&lt;Author&gt;Adams&lt;/Author&gt;&lt;Year&gt;2005&lt;/Year&gt;&lt;RecNum&gt;12&lt;/RecNum&gt;&lt;DisplayText&gt;[9]&lt;/DisplayText&gt;&lt;record&gt;&lt;rec-number&gt;12&lt;/rec-number&gt;&lt;foreign-keys&gt;&lt;key app="EN" db-id="ests5zdscdrx0ke55w45va2tp5tasftw5xat" timestamp="1770463619"&gt;12&lt;/key&gt;&lt;/foreign-keys&gt;&lt;ref-type name="Journal Article"&gt;17&lt;/ref-type&gt;&lt;contributors&gt;&lt;authors&gt;&lt;author&gt;Adams, Robert&lt;/author&gt;&lt;/authors&gt;&lt;/contributors&gt;&lt;titles&gt;&lt;title&gt;Identification of Essential Oil Components by Gas Chromatography/Quadrupole Mass Spectroscopy&lt;/title&gt;&lt;secondary-title&gt;Carol Stream&lt;/secondary-title&gt;&lt;/titles&gt;&lt;periodical&gt;&lt;full-title&gt;Carol Stream&lt;/full-title&gt;&lt;/periodical&gt;&lt;pages&gt;65-120&lt;/pages&gt;&lt;volume&gt;16&lt;/volume&gt;&lt;dates&gt;&lt;year&gt;2005&lt;/year&gt;&lt;pub-dates&gt;&lt;date&gt;01/01&lt;/date&gt;&lt;/pub-dates&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relative percentage of each component was calculated based on the total ion chromatogram (TIC) peak area.</w:t>
      </w:r>
    </w:p>
    <w:p w14:paraId="2F21C62D"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2.2.3. Antimicrobial assay</w:t>
      </w:r>
      <w:r w:rsidR="00826294" w:rsidRPr="005E6B7C">
        <w:rPr>
          <w:rFonts w:asciiTheme="majorHAnsi" w:eastAsia="Yu Mincho" w:hAnsiTheme="majorHAnsi" w:cstheme="majorHAnsi"/>
          <w:bCs/>
          <w:iCs/>
          <w:color w:val="000000" w:themeColor="text1"/>
          <w:sz w:val="22"/>
          <w:szCs w:val="22"/>
          <w:lang w:eastAsia="ja-JP"/>
        </w:rPr>
        <w:t>:</w:t>
      </w:r>
    </w:p>
    <w:p w14:paraId="3DBC7195" w14:textId="77777777"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val="vi-VN" w:eastAsia="ja-JP"/>
        </w:rPr>
      </w:pPr>
      <w:r w:rsidRPr="005E6B7C">
        <w:rPr>
          <w:rFonts w:asciiTheme="majorHAnsi" w:eastAsia="Yu Mincho" w:hAnsiTheme="majorHAnsi" w:cstheme="majorHAnsi"/>
          <w:bCs/>
          <w:iCs/>
          <w:color w:val="000000" w:themeColor="text1"/>
          <w:sz w:val="22"/>
          <w:szCs w:val="22"/>
          <w:lang w:eastAsia="ja-JP"/>
        </w:rPr>
        <w:t xml:space="preserve">The antimicrobial activity of the essential oil from </w:t>
      </w:r>
      <w:r w:rsidRPr="005E6B7C">
        <w:rPr>
          <w:rFonts w:asciiTheme="majorHAnsi" w:eastAsia="Yu Mincho" w:hAnsiTheme="majorHAnsi" w:cstheme="majorHAnsi"/>
          <w:bCs/>
          <w:i/>
          <w:color w:val="000000" w:themeColor="text1"/>
          <w:sz w:val="22"/>
          <w:szCs w:val="22"/>
          <w:lang w:eastAsia="ja-JP"/>
        </w:rPr>
        <w:t>K. globularia</w:t>
      </w:r>
      <w:r w:rsidRPr="005E6B7C">
        <w:rPr>
          <w:rFonts w:asciiTheme="majorHAnsi" w:eastAsia="Yu Mincho" w:hAnsiTheme="majorHAnsi" w:cstheme="majorHAnsi"/>
          <w:bCs/>
          <w:iCs/>
          <w:color w:val="000000" w:themeColor="text1"/>
          <w:sz w:val="22"/>
          <w:szCs w:val="22"/>
          <w:lang w:eastAsia="ja-JP"/>
        </w:rPr>
        <w:t xml:space="preserve"> leaves was evaluated against Gram-positive bacteria (</w:t>
      </w:r>
      <w:r w:rsidRPr="005E6B7C">
        <w:rPr>
          <w:rFonts w:asciiTheme="majorHAnsi" w:eastAsia="Yu Mincho" w:hAnsiTheme="majorHAnsi" w:cstheme="majorHAnsi"/>
          <w:bCs/>
          <w:i/>
          <w:color w:val="000000" w:themeColor="text1"/>
          <w:sz w:val="22"/>
          <w:szCs w:val="22"/>
          <w:lang w:eastAsia="ja-JP"/>
        </w:rPr>
        <w:t>Staphylococcus aureus</w:t>
      </w:r>
      <w:r w:rsidRPr="005E6B7C">
        <w:rPr>
          <w:rFonts w:asciiTheme="majorHAnsi" w:eastAsia="Yu Mincho" w:hAnsiTheme="majorHAnsi" w:cstheme="majorHAnsi"/>
          <w:bCs/>
          <w:iCs/>
          <w:color w:val="000000" w:themeColor="text1"/>
          <w:sz w:val="22"/>
          <w:szCs w:val="22"/>
          <w:lang w:eastAsia="ja-JP"/>
        </w:rPr>
        <w:t xml:space="preserve"> ATCC 13709, </w:t>
      </w:r>
      <w:r w:rsidRPr="005E6B7C">
        <w:rPr>
          <w:rFonts w:asciiTheme="majorHAnsi" w:eastAsia="Yu Mincho" w:hAnsiTheme="majorHAnsi" w:cstheme="majorHAnsi"/>
          <w:bCs/>
          <w:i/>
          <w:color w:val="000000" w:themeColor="text1"/>
          <w:sz w:val="22"/>
          <w:szCs w:val="22"/>
          <w:lang w:eastAsia="ja-JP"/>
        </w:rPr>
        <w:t>Bacillus subtilis</w:t>
      </w:r>
      <w:r w:rsidRPr="005E6B7C">
        <w:rPr>
          <w:rFonts w:asciiTheme="majorHAnsi" w:eastAsia="Yu Mincho" w:hAnsiTheme="majorHAnsi" w:cstheme="majorHAnsi"/>
          <w:bCs/>
          <w:iCs/>
          <w:color w:val="000000" w:themeColor="text1"/>
          <w:sz w:val="22"/>
          <w:szCs w:val="22"/>
          <w:lang w:eastAsia="ja-JP"/>
        </w:rPr>
        <w:t xml:space="preserve"> ATCC 6633, </w:t>
      </w:r>
      <w:r w:rsidRPr="005E6B7C">
        <w:rPr>
          <w:rFonts w:asciiTheme="majorHAnsi" w:eastAsia="Yu Mincho" w:hAnsiTheme="majorHAnsi" w:cstheme="majorHAnsi"/>
          <w:bCs/>
          <w:i/>
          <w:color w:val="000000" w:themeColor="text1"/>
          <w:sz w:val="22"/>
          <w:szCs w:val="22"/>
          <w:lang w:eastAsia="ja-JP"/>
        </w:rPr>
        <w:t>Lactobacillus fermentum</w:t>
      </w:r>
      <w:r w:rsidRPr="005E6B7C">
        <w:rPr>
          <w:rFonts w:asciiTheme="majorHAnsi" w:eastAsia="Yu Mincho" w:hAnsiTheme="majorHAnsi" w:cstheme="majorHAnsi"/>
          <w:bCs/>
          <w:iCs/>
          <w:color w:val="000000" w:themeColor="text1"/>
          <w:sz w:val="22"/>
          <w:szCs w:val="22"/>
          <w:lang w:eastAsia="ja-JP"/>
        </w:rPr>
        <w:t xml:space="preserve"> N4), Gram-negative bacteria (</w:t>
      </w:r>
      <w:r w:rsidRPr="005E6B7C">
        <w:rPr>
          <w:rFonts w:asciiTheme="majorHAnsi" w:eastAsia="Yu Mincho" w:hAnsiTheme="majorHAnsi" w:cstheme="majorHAnsi"/>
          <w:bCs/>
          <w:i/>
          <w:color w:val="000000" w:themeColor="text1"/>
          <w:sz w:val="22"/>
          <w:szCs w:val="22"/>
          <w:lang w:eastAsia="ja-JP"/>
        </w:rPr>
        <w:t>Escherichia coli</w:t>
      </w:r>
      <w:r w:rsidRPr="005E6B7C">
        <w:rPr>
          <w:rFonts w:asciiTheme="majorHAnsi" w:eastAsia="Yu Mincho" w:hAnsiTheme="majorHAnsi" w:cstheme="majorHAnsi"/>
          <w:bCs/>
          <w:iCs/>
          <w:color w:val="000000" w:themeColor="text1"/>
          <w:sz w:val="22"/>
          <w:szCs w:val="22"/>
          <w:lang w:eastAsia="ja-JP"/>
        </w:rPr>
        <w:t xml:space="preserve"> ATCC 25922, </w:t>
      </w:r>
      <w:r w:rsidRPr="005E6B7C">
        <w:rPr>
          <w:rFonts w:asciiTheme="majorHAnsi" w:eastAsia="Yu Mincho" w:hAnsiTheme="majorHAnsi" w:cstheme="majorHAnsi"/>
          <w:bCs/>
          <w:i/>
          <w:color w:val="000000" w:themeColor="text1"/>
          <w:sz w:val="22"/>
          <w:szCs w:val="22"/>
          <w:lang w:eastAsia="ja-JP"/>
        </w:rPr>
        <w:t>Pseudomonas aeruginosa</w:t>
      </w:r>
      <w:r w:rsidRPr="005E6B7C">
        <w:rPr>
          <w:rFonts w:asciiTheme="majorHAnsi" w:eastAsia="Yu Mincho" w:hAnsiTheme="majorHAnsi" w:cstheme="majorHAnsi"/>
          <w:bCs/>
          <w:iCs/>
          <w:color w:val="000000" w:themeColor="text1"/>
          <w:sz w:val="22"/>
          <w:szCs w:val="22"/>
          <w:lang w:eastAsia="ja-JP"/>
        </w:rPr>
        <w:t xml:space="preserve"> ATCC 15442, and </w:t>
      </w:r>
      <w:r w:rsidRPr="005E6B7C">
        <w:rPr>
          <w:rFonts w:asciiTheme="majorHAnsi" w:eastAsia="Yu Mincho" w:hAnsiTheme="majorHAnsi" w:cstheme="majorHAnsi"/>
          <w:bCs/>
          <w:i/>
          <w:color w:val="000000" w:themeColor="text1"/>
          <w:sz w:val="22"/>
          <w:szCs w:val="22"/>
          <w:lang w:eastAsia="ja-JP"/>
        </w:rPr>
        <w:t>Salmonella enterica</w:t>
      </w:r>
      <w:r w:rsidRPr="005E6B7C">
        <w:rPr>
          <w:rFonts w:asciiTheme="majorHAnsi" w:eastAsia="Yu Mincho" w:hAnsiTheme="majorHAnsi" w:cstheme="majorHAnsi"/>
          <w:bCs/>
          <w:iCs/>
          <w:color w:val="000000" w:themeColor="text1"/>
          <w:sz w:val="22"/>
          <w:szCs w:val="22"/>
          <w:lang w:eastAsia="ja-JP"/>
        </w:rPr>
        <w:t>),</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and yeast (</w:t>
      </w:r>
      <w:r w:rsidRPr="005E6B7C">
        <w:rPr>
          <w:rFonts w:asciiTheme="majorHAnsi" w:eastAsia="Yu Mincho" w:hAnsiTheme="majorHAnsi" w:cstheme="majorHAnsi"/>
          <w:bCs/>
          <w:i/>
          <w:color w:val="000000" w:themeColor="text1"/>
          <w:sz w:val="22"/>
          <w:szCs w:val="22"/>
          <w:lang w:eastAsia="ja-JP"/>
        </w:rPr>
        <w:t xml:space="preserve">Candida albicans </w:t>
      </w:r>
      <w:r w:rsidRPr="005E6B7C">
        <w:rPr>
          <w:rFonts w:asciiTheme="majorHAnsi" w:eastAsia="Yu Mincho" w:hAnsiTheme="majorHAnsi" w:cstheme="majorHAnsi"/>
          <w:bCs/>
          <w:iCs/>
          <w:color w:val="000000" w:themeColor="text1"/>
          <w:sz w:val="22"/>
          <w:szCs w:val="22"/>
          <w:lang w:eastAsia="ja-JP"/>
        </w:rPr>
        <w:t>ATCC 10231).</w:t>
      </w:r>
      <w:r w:rsidRPr="005E6B7C">
        <w:rPr>
          <w:rFonts w:asciiTheme="majorHAnsi" w:eastAsia="Yu Mincho" w:hAnsiTheme="majorHAnsi" w:cstheme="majorHAnsi"/>
          <w:bCs/>
          <w:iCs/>
          <w:color w:val="000000" w:themeColor="text1"/>
          <w:sz w:val="22"/>
          <w:szCs w:val="22"/>
          <w:lang w:val="vi-VN" w:eastAsia="ja-JP"/>
        </w:rPr>
        <w:t xml:space="preserve"> </w:t>
      </w:r>
    </w:p>
    <w:p w14:paraId="015E34AE" w14:textId="0A23372D" w:rsidR="00E049CB" w:rsidRPr="005E6B7C" w:rsidRDefault="00E049CB" w:rsidP="008C0D47">
      <w:pPr>
        <w:tabs>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val="vi-VN" w:eastAsia="ja-JP"/>
        </w:rPr>
      </w:pPr>
      <w:r w:rsidRPr="005E6B7C">
        <w:rPr>
          <w:rFonts w:asciiTheme="majorHAnsi" w:eastAsia="Yu Mincho" w:hAnsiTheme="majorHAnsi" w:cstheme="majorHAnsi"/>
          <w:bCs/>
          <w:iCs/>
          <w:color w:val="000000" w:themeColor="text1"/>
          <w:sz w:val="22"/>
          <w:szCs w:val="22"/>
          <w:lang w:eastAsia="ja-JP"/>
        </w:rPr>
        <w:t>The antimicrobial activity was evaluated using the broth microdilution method (serial dilution technique in liquid medium) to assess the antibacterial potency of the tested samples based on the turbidity of the culture medium.</w:t>
      </w:r>
      <w:r w:rsidRPr="005E6B7C">
        <w:rPr>
          <w:rFonts w:asciiTheme="majorHAnsi" w:eastAsia="Yu Mincho" w:hAnsiTheme="majorHAnsi" w:cstheme="majorHAnsi"/>
          <w:bCs/>
          <w:iCs/>
          <w:color w:val="000000" w:themeColor="text1"/>
          <w:sz w:val="22"/>
          <w:szCs w:val="22"/>
          <w:lang w:val="vi-VN" w:eastAsia="ja-JP"/>
        </w:rPr>
        <w:t xml:space="preserve"> The leaf essential oil of </w:t>
      </w:r>
      <w:r w:rsidRPr="005E6B7C">
        <w:rPr>
          <w:rFonts w:asciiTheme="majorHAnsi" w:eastAsia="Yu Mincho" w:hAnsiTheme="majorHAnsi" w:cstheme="majorHAnsi"/>
          <w:bCs/>
          <w:i/>
          <w:color w:val="000000" w:themeColor="text1"/>
          <w:sz w:val="22"/>
          <w:szCs w:val="22"/>
          <w:lang w:val="vi-VN" w:eastAsia="ja-JP"/>
        </w:rPr>
        <w:t>K. globularia</w:t>
      </w:r>
      <w:r w:rsidRPr="005E6B7C">
        <w:rPr>
          <w:rFonts w:asciiTheme="majorHAnsi" w:eastAsia="Yu Mincho" w:hAnsiTheme="majorHAnsi" w:cstheme="majorHAnsi"/>
          <w:bCs/>
          <w:iCs/>
          <w:color w:val="000000" w:themeColor="text1"/>
          <w:sz w:val="22"/>
          <w:szCs w:val="22"/>
          <w:lang w:val="vi-VN" w:eastAsia="ja-JP"/>
        </w:rPr>
        <w:t xml:space="preserve"> was dissolved in pure DMSO and diluted to obtain concentrations from 1 to 256 </w:t>
      </w:r>
      <w:r w:rsidR="00266B26" w:rsidRPr="005E6B7C">
        <w:rPr>
          <w:rFonts w:asciiTheme="majorHAnsi" w:eastAsia="Yu Mincho" w:hAnsiTheme="majorHAnsi" w:cstheme="majorHAnsi"/>
          <w:bCs/>
          <w:i/>
          <w:iCs/>
          <w:color w:val="000000" w:themeColor="text1"/>
          <w:sz w:val="22"/>
          <w:szCs w:val="22"/>
          <w:lang w:val="vi-VN" w:eastAsia="ja-JP"/>
        </w:rPr>
        <w:t>µ</w:t>
      </w:r>
      <w:r w:rsidRPr="005E6B7C">
        <w:rPr>
          <w:rFonts w:asciiTheme="majorHAnsi" w:eastAsia="Yu Mincho" w:hAnsiTheme="majorHAnsi" w:cstheme="majorHAnsi"/>
          <w:bCs/>
          <w:iCs/>
          <w:color w:val="000000" w:themeColor="text1"/>
          <w:sz w:val="22"/>
          <w:szCs w:val="22"/>
          <w:lang w:val="vi-VN" w:eastAsia="ja-JP"/>
        </w:rPr>
        <w:t>g/mL. Bacterial and yeast strains were prepared at final densities of 5 × 10</w:t>
      </w:r>
      <w:r w:rsidRPr="005E6B7C">
        <w:rPr>
          <w:rFonts w:asciiTheme="majorHAnsi" w:eastAsia="Yu Mincho" w:hAnsiTheme="majorHAnsi" w:cstheme="majorHAnsi"/>
          <w:bCs/>
          <w:iCs/>
          <w:color w:val="000000" w:themeColor="text1"/>
          <w:sz w:val="22"/>
          <w:szCs w:val="22"/>
          <w:vertAlign w:val="superscript"/>
          <w:lang w:eastAsia="ja-JP"/>
        </w:rPr>
        <w:t>5</w:t>
      </w:r>
      <w:r w:rsidRPr="005E6B7C">
        <w:rPr>
          <w:rFonts w:asciiTheme="majorHAnsi" w:eastAsia="Yu Mincho" w:hAnsiTheme="majorHAnsi" w:cstheme="majorHAnsi"/>
          <w:bCs/>
          <w:iCs/>
          <w:color w:val="000000" w:themeColor="text1"/>
          <w:sz w:val="22"/>
          <w:szCs w:val="22"/>
          <w:lang w:val="vi-VN" w:eastAsia="ja-JP"/>
        </w:rPr>
        <w:t xml:space="preserve"> CFU/mL and 1 × 10</w:t>
      </w:r>
      <w:r w:rsidRPr="005E6B7C">
        <w:rPr>
          <w:rFonts w:asciiTheme="majorHAnsi" w:eastAsia="Yu Mincho" w:hAnsiTheme="majorHAnsi" w:cstheme="majorHAnsi"/>
          <w:bCs/>
          <w:iCs/>
          <w:color w:val="000000" w:themeColor="text1"/>
          <w:sz w:val="22"/>
          <w:szCs w:val="22"/>
          <w:vertAlign w:val="superscript"/>
          <w:lang w:eastAsia="ja-JP"/>
        </w:rPr>
        <w:t>3</w:t>
      </w:r>
      <w:r w:rsidRPr="005E6B7C">
        <w:rPr>
          <w:rFonts w:asciiTheme="majorHAnsi" w:eastAsia="Yu Mincho" w:hAnsiTheme="majorHAnsi" w:cstheme="majorHAnsi"/>
          <w:bCs/>
          <w:iCs/>
          <w:color w:val="000000" w:themeColor="text1"/>
          <w:sz w:val="22"/>
          <w:szCs w:val="22"/>
          <w:lang w:val="vi-VN" w:eastAsia="ja-JP"/>
        </w:rPr>
        <w:t xml:space="preserve"> CFU/mL, respectively. In a 96‑well plate, 10 </w:t>
      </w:r>
      <w:r w:rsidR="00266B26" w:rsidRPr="005E6B7C">
        <w:rPr>
          <w:rFonts w:asciiTheme="majorHAnsi" w:eastAsia="Yu Mincho" w:hAnsiTheme="majorHAnsi" w:cstheme="majorHAnsi"/>
          <w:bCs/>
          <w:i/>
          <w:iCs/>
          <w:color w:val="000000" w:themeColor="text1"/>
          <w:sz w:val="22"/>
          <w:szCs w:val="22"/>
          <w:lang w:val="vi-VN" w:eastAsia="ja-JP"/>
        </w:rPr>
        <w:t>µ</w:t>
      </w:r>
      <w:r w:rsidRPr="005E6B7C">
        <w:rPr>
          <w:rFonts w:asciiTheme="majorHAnsi" w:eastAsia="Yu Mincho" w:hAnsiTheme="majorHAnsi" w:cstheme="majorHAnsi"/>
          <w:bCs/>
          <w:iCs/>
          <w:color w:val="000000" w:themeColor="text1"/>
          <w:sz w:val="22"/>
          <w:szCs w:val="22"/>
          <w:lang w:val="vi-VN" w:eastAsia="ja-JP"/>
        </w:rPr>
        <w:t xml:space="preserve">L of each </w:t>
      </w:r>
      <w:r w:rsidRPr="005E6B7C">
        <w:rPr>
          <w:rFonts w:asciiTheme="majorHAnsi" w:eastAsia="Yu Mincho" w:hAnsiTheme="majorHAnsi" w:cstheme="majorHAnsi"/>
          <w:iCs/>
          <w:color w:val="000000" w:themeColor="text1"/>
          <w:sz w:val="22"/>
          <w:szCs w:val="22"/>
          <w:lang w:val="vi-VN" w:eastAsia="ja-JP"/>
        </w:rPr>
        <w:t>essential</w:t>
      </w:r>
      <w:r w:rsidRPr="005E6B7C">
        <w:rPr>
          <w:rFonts w:asciiTheme="majorHAnsi" w:eastAsia="Yu Mincho" w:hAnsiTheme="majorHAnsi" w:cstheme="majorHAnsi"/>
          <w:bCs/>
          <w:iCs/>
          <w:color w:val="000000" w:themeColor="text1"/>
          <w:sz w:val="22"/>
          <w:szCs w:val="22"/>
          <w:lang w:val="vi-VN" w:eastAsia="ja-JP"/>
        </w:rPr>
        <w:t xml:space="preserve"> oil concentration was mixed with 190 </w:t>
      </w:r>
      <w:r w:rsidR="00266B26" w:rsidRPr="005E6B7C">
        <w:rPr>
          <w:rFonts w:asciiTheme="majorHAnsi" w:eastAsia="Yu Mincho" w:hAnsiTheme="majorHAnsi" w:cstheme="majorHAnsi"/>
          <w:bCs/>
          <w:i/>
          <w:iCs/>
          <w:color w:val="000000" w:themeColor="text1"/>
          <w:sz w:val="22"/>
          <w:szCs w:val="22"/>
          <w:lang w:val="vi-VN" w:eastAsia="ja-JP"/>
        </w:rPr>
        <w:t>µ</w:t>
      </w:r>
      <w:r w:rsidRPr="005E6B7C">
        <w:rPr>
          <w:rFonts w:asciiTheme="majorHAnsi" w:eastAsia="Yu Mincho" w:hAnsiTheme="majorHAnsi" w:cstheme="majorHAnsi"/>
          <w:bCs/>
          <w:iCs/>
          <w:color w:val="000000" w:themeColor="text1"/>
          <w:sz w:val="22"/>
          <w:szCs w:val="22"/>
          <w:lang w:val="vi-VN" w:eastAsia="ja-JP"/>
        </w:rPr>
        <w:t xml:space="preserve">L of microbial suspension. The plates were incubated at 37°C for 16–24 hours. </w:t>
      </w:r>
    </w:p>
    <w:p w14:paraId="161798A2" w14:textId="77777777" w:rsidR="00E049CB" w:rsidRPr="005E6B7C" w:rsidRDefault="00E049CB" w:rsidP="008C0D47">
      <w:pPr>
        <w:tabs>
          <w:tab w:val="left" w:pos="9270"/>
        </w:tabs>
        <w:spacing w:line="250" w:lineRule="exact"/>
        <w:ind w:firstLine="284"/>
        <w:contextualSpacing/>
        <w:jc w:val="both"/>
        <w:rPr>
          <w:rFonts w:asciiTheme="majorHAnsi" w:eastAsia="Yu Mincho" w:hAnsiTheme="majorHAnsi" w:cstheme="majorHAnsi"/>
          <w:bCs/>
          <w:iCs/>
          <w:color w:val="000000" w:themeColor="text1"/>
          <w:sz w:val="22"/>
          <w:szCs w:val="22"/>
          <w:lang w:val="vi-VN" w:eastAsia="ja-JP"/>
        </w:rPr>
      </w:pPr>
      <w:r w:rsidRPr="005E6B7C">
        <w:rPr>
          <w:rFonts w:asciiTheme="majorHAnsi" w:eastAsia="Yu Mincho" w:hAnsiTheme="majorHAnsi" w:cstheme="majorHAnsi"/>
          <w:bCs/>
          <w:iCs/>
          <w:color w:val="000000" w:themeColor="text1"/>
          <w:sz w:val="22"/>
          <w:szCs w:val="22"/>
          <w:lang w:eastAsia="ja-JP"/>
        </w:rPr>
        <w:t>Ampicillin and cefotaxime were used as positive controls for antibacterial activity, while nystatin was used as the positive control for antifungal activity. Dimethyl sulfoxide (DMSO, 100%) was used as the negative control. All experiments were conducted in triplicat</w:t>
      </w:r>
      <w:r w:rsidRPr="005E6B7C">
        <w:rPr>
          <w:rFonts w:asciiTheme="majorHAnsi" w:eastAsia="Yu Mincho" w:hAnsiTheme="majorHAnsi" w:cstheme="majorHAnsi"/>
          <w:bCs/>
          <w:iCs/>
          <w:color w:val="000000" w:themeColor="text1"/>
          <w:sz w:val="22"/>
          <w:szCs w:val="22"/>
          <w:lang w:val="vi-VN" w:eastAsia="ja-JP"/>
        </w:rPr>
        <w:t xml:space="preserve">e </w:t>
      </w:r>
      <w:r w:rsidRPr="005E6B7C">
        <w:rPr>
          <w:rFonts w:asciiTheme="majorHAnsi" w:eastAsia="Yu Mincho" w:hAnsiTheme="majorHAnsi" w:cstheme="majorHAnsi"/>
          <w:bCs/>
          <w:iCs/>
          <w:color w:val="000000" w:themeColor="text1"/>
          <w:sz w:val="22"/>
          <w:szCs w:val="22"/>
          <w:lang w:eastAsia="ja-JP"/>
        </w:rPr>
        <w:fldChar w:fldCharType="begin">
          <w:fldData xml:space="preserve">PEVuZE5vdGU+PENpdGU+PEF1dGhvcj5IYWRhY2VrPC9BdXRob3I+PFllYXI+MjAwMDwvWWVhcj48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</w:fldData>
        </w:fldChar>
      </w:r>
      <w:r w:rsidRPr="005E6B7C">
        <w:rPr>
          <w:rFonts w:asciiTheme="majorHAnsi" w:eastAsia="Yu Mincho" w:hAnsiTheme="majorHAnsi" w:cstheme="majorHAnsi"/>
          <w:bCs/>
          <w:iCs/>
          <w:color w:val="000000" w:themeColor="text1"/>
          <w:sz w:val="22"/>
          <w:szCs w:val="22"/>
          <w:lang w:eastAsia="ja-JP"/>
        </w:rPr>
        <w:instrText xml:space="preserve"> ADDIN EN.CITE </w:instrText>
      </w:r>
      <w:r w:rsidRPr="005E6B7C">
        <w:rPr>
          <w:rFonts w:asciiTheme="majorHAnsi" w:eastAsia="Yu Mincho" w:hAnsiTheme="majorHAnsi" w:cstheme="majorHAnsi"/>
          <w:bCs/>
          <w:iCs/>
          <w:color w:val="000000" w:themeColor="text1"/>
          <w:sz w:val="22"/>
          <w:szCs w:val="22"/>
          <w:lang w:eastAsia="ja-JP"/>
        </w:rPr>
        <w:fldChar w:fldCharType="begin">
          <w:fldData xml:space="preserve">PEVuZE5vdGU+PENpdGU+PEF1dGhvcj5IYWRhY2VrPC9BdXRob3I+PFllYXI+MjAwMDwvWWVhcj48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</w:fldData>
        </w:fldChar>
      </w:r>
      <w:r w:rsidRPr="005E6B7C">
        <w:rPr>
          <w:rFonts w:asciiTheme="majorHAnsi" w:eastAsia="Yu Mincho" w:hAnsiTheme="majorHAnsi" w:cstheme="majorHAnsi"/>
          <w:bCs/>
          <w:iCs/>
          <w:color w:val="000000" w:themeColor="text1"/>
          <w:sz w:val="22"/>
          <w:szCs w:val="22"/>
          <w:lang w:eastAsia="ja-JP"/>
        </w:rPr>
        <w:instrText xml:space="preserve"> ADDIN EN.CITE.DATA </w:instrText>
      </w:r>
      <w:r w:rsidRPr="005E6B7C">
        <w:rPr>
          <w:rFonts w:asciiTheme="majorHAnsi" w:eastAsia="Yu Mincho" w:hAnsiTheme="majorHAnsi" w:cstheme="majorHAnsi"/>
          <w:bCs/>
          <w:iCs/>
          <w:color w:val="000000" w:themeColor="text1"/>
          <w:sz w:val="22"/>
          <w:szCs w:val="22"/>
          <w:lang w:eastAsia="ja-JP"/>
        </w:rPr>
      </w:r>
      <w:r w:rsidRPr="005E6B7C">
        <w:rPr>
          <w:rFonts w:asciiTheme="majorHAnsi" w:eastAsia="Yu Mincho" w:hAnsiTheme="majorHAnsi" w:cstheme="majorHAnsi"/>
          <w:bCs/>
          <w:iCs/>
          <w:color w:val="000000" w:themeColor="text1"/>
          <w:sz w:val="22"/>
          <w:szCs w:val="22"/>
          <w:lang w:eastAsia="ja-JP"/>
        </w:rPr>
        <w:fldChar w:fldCharType="end"/>
      </w:r>
      <w:r w:rsidRPr="005E6B7C">
        <w:rPr>
          <w:rFonts w:asciiTheme="majorHAnsi" w:eastAsia="Yu Mincho" w:hAnsiTheme="majorHAnsi" w:cstheme="majorHAnsi"/>
          <w:bCs/>
          <w:iCs/>
          <w:color w:val="000000" w:themeColor="text1"/>
          <w:sz w:val="22"/>
          <w:szCs w:val="22"/>
          <w:lang w:eastAsia="ja-JP"/>
        </w:rPr>
      </w:r>
      <w:r w:rsidRPr="005E6B7C">
        <w:rPr>
          <w:rFonts w:asciiTheme="majorHAnsi" w:eastAsia="Yu Mincho" w:hAnsiTheme="majorHAnsi" w:cstheme="majorHAnsi"/>
          <w:bCs/>
          <w:iCs/>
          <w:color w:val="000000" w:themeColor="text1"/>
          <w:sz w:val="22"/>
          <w:szCs w:val="22"/>
          <w:lang w:eastAsia="ja-JP"/>
        </w:rPr>
        <w:fldChar w:fldCharType="separate"/>
      </w:r>
      <w:r w:rsidRPr="005E6B7C">
        <w:rPr>
          <w:rFonts w:asciiTheme="majorHAnsi" w:eastAsia="Yu Mincho" w:hAnsiTheme="majorHAnsi" w:cstheme="majorHAnsi"/>
          <w:bCs/>
          <w:iCs/>
          <w:noProof/>
          <w:color w:val="000000" w:themeColor="text1"/>
          <w:sz w:val="22"/>
          <w:szCs w:val="22"/>
          <w:lang w:eastAsia="ja-JP"/>
        </w:rPr>
        <w:t>[10</w:t>
      </w:r>
      <w:r w:rsidR="00826294" w:rsidRPr="005E6B7C">
        <w:rPr>
          <w:rFonts w:asciiTheme="majorHAnsi" w:eastAsia="Yu Mincho" w:hAnsiTheme="majorHAnsi" w:cstheme="majorHAnsi"/>
          <w:bCs/>
          <w:iCs/>
          <w:noProof/>
          <w:color w:val="000000" w:themeColor="text1"/>
          <w:sz w:val="22"/>
          <w:szCs w:val="22"/>
          <w:lang w:eastAsia="ja-JP"/>
        </w:rPr>
        <w:t>],[11],[</w:t>
      </w:r>
      <w:r w:rsidRPr="005E6B7C">
        <w:rPr>
          <w:rFonts w:asciiTheme="majorHAnsi" w:eastAsia="Yu Mincho" w:hAnsiTheme="majorHAnsi" w:cstheme="majorHAnsi"/>
          <w:bCs/>
          <w:iCs/>
          <w:noProof/>
          <w:color w:val="000000" w:themeColor="text1"/>
          <w:sz w:val="22"/>
          <w:szCs w:val="22"/>
          <w:lang w:eastAsia="ja-JP"/>
        </w:rPr>
        <w:t>12]</w:t>
      </w:r>
      <w:r w:rsidRPr="005E6B7C">
        <w:rPr>
          <w:rFonts w:asciiTheme="majorHAnsi" w:eastAsia="Yu Mincho" w:hAnsiTheme="majorHAnsi" w:cstheme="majorHAnsi"/>
          <w:bCs/>
          <w:iCs/>
          <w:color w:val="000000" w:themeColor="text1"/>
          <w:sz w:val="22"/>
          <w:szCs w:val="22"/>
          <w:lang w:eastAsia="ja-JP"/>
        </w:rPr>
        <w:fldChar w:fldCharType="end"/>
      </w:r>
      <w:r w:rsidRPr="005E6B7C">
        <w:rPr>
          <w:rFonts w:asciiTheme="majorHAnsi" w:eastAsia="Yu Mincho" w:hAnsiTheme="majorHAnsi" w:cstheme="majorHAnsi"/>
          <w:bCs/>
          <w:iCs/>
          <w:color w:val="000000" w:themeColor="text1"/>
          <w:sz w:val="22"/>
          <w:szCs w:val="22"/>
          <w:lang w:val="vi-VN" w:eastAsia="ja-JP"/>
        </w:rPr>
        <w:t>.</w:t>
      </w:r>
    </w:p>
    <w:p w14:paraId="224732C8" w14:textId="77777777" w:rsidR="00E049CB" w:rsidRPr="005E6B7C" w:rsidRDefault="00E049CB" w:rsidP="008C0D47">
      <w:pPr>
        <w:tabs>
          <w:tab w:val="left" w:pos="9270"/>
        </w:tabs>
        <w:spacing w:line="250" w:lineRule="exact"/>
        <w:ind w:firstLine="284"/>
        <w:contextualSpacing/>
        <w:jc w:val="both"/>
        <w:rPr>
          <w:rFonts w:asciiTheme="majorHAnsi" w:eastAsia="Yu Mincho" w:hAnsiTheme="majorHAnsi" w:cstheme="majorHAnsi"/>
          <w:bCs/>
          <w:iCs/>
          <w:color w:val="000000" w:themeColor="text1"/>
          <w:sz w:val="22"/>
          <w:szCs w:val="22"/>
          <w:lang w:val="vi-VN" w:eastAsia="ja-JP"/>
        </w:rPr>
      </w:pPr>
      <w:r w:rsidRPr="005E6B7C">
        <w:rPr>
          <w:rFonts w:asciiTheme="majorHAnsi" w:eastAsia="Yu Mincho" w:hAnsiTheme="majorHAnsi" w:cstheme="majorHAnsi"/>
          <w:bCs/>
          <w:iCs/>
          <w:color w:val="000000" w:themeColor="text1"/>
          <w:sz w:val="22"/>
          <w:szCs w:val="22"/>
          <w:lang w:eastAsia="ja-JP"/>
        </w:rPr>
        <w:t>The activity parameters were expressed as IC₅₀ (50% inhibitory concentration) and MIC (minimum inhibitory concentration).</w:t>
      </w:r>
      <w:r w:rsidRPr="005E6B7C">
        <w:rPr>
          <w:rFonts w:asciiTheme="majorHAnsi" w:eastAsia="Yu Mincho" w:hAnsiTheme="majorHAnsi" w:cstheme="majorHAnsi"/>
          <w:bCs/>
          <w:iCs/>
          <w:color w:val="000000" w:themeColor="text1"/>
          <w:sz w:val="22"/>
          <w:szCs w:val="22"/>
          <w:lang w:val="vi-VN" w:eastAsia="ja-JP"/>
        </w:rPr>
        <w:t xml:space="preserve"> The MIC value was defined as the lowest concentration of essential oil that completely inhibited visible microbial growth. The IC₅₀ value was calculated based on the percentage of growth inhibition using Rawdata software </w:t>
      </w:r>
      <w:r w:rsidRPr="005E6B7C">
        <w:rPr>
          <w:rFonts w:asciiTheme="majorHAnsi" w:eastAsia="Yu Mincho" w:hAnsiTheme="majorHAnsi" w:cstheme="majorHAnsi"/>
          <w:bCs/>
          <w:iCs/>
          <w:color w:val="000000" w:themeColor="text1"/>
          <w:sz w:val="22"/>
          <w:szCs w:val="22"/>
          <w:lang w:val="vi-VN" w:eastAsia="ja-JP"/>
        </w:rPr>
        <w:fldChar w:fldCharType="begin"/>
      </w:r>
      <w:r w:rsidRPr="005E6B7C">
        <w:rPr>
          <w:rFonts w:asciiTheme="majorHAnsi" w:eastAsia="Yu Mincho" w:hAnsiTheme="majorHAnsi" w:cstheme="majorHAnsi"/>
          <w:bCs/>
          <w:iCs/>
          <w:color w:val="000000" w:themeColor="text1"/>
          <w:sz w:val="22"/>
          <w:szCs w:val="22"/>
          <w:lang w:val="vi-VN" w:eastAsia="ja-JP"/>
        </w:rPr>
        <w:instrText xml:space="preserve"> ADDIN EN.CITE &lt;EndNote&gt;&lt;Cite&gt;&lt;Author&gt;Pual Cos&lt;/Author&gt;&lt;Year&gt;2005&lt;/Year&gt;&lt;RecNum&gt;14&lt;/RecNum&gt;&lt;DisplayText&gt;[11]&lt;/DisplayText&gt;&lt;record&gt;&lt;rec-number&gt;14&lt;/rec-number&gt;&lt;foreign-keys&gt;&lt;key app="EN" db-id="ests5zdscdrx0ke55w45va2tp5tasftw5xat" timestamp="1770465691"&gt;14&lt;/key&gt;&lt;/foreign-keys&gt;&lt;ref-type name="Book"&gt;6&lt;/ref-type&gt;&lt;contributors&gt;&lt;authors&gt;&lt;author&gt;Pual Cos, Louis Maes, Jean-Bosco Sindambiwe, Arnold J. Vlietinck, Dirk Vanden Berghe&lt;/author&gt;&lt;/authors&gt;&lt;/contributors&gt;&lt;titles&gt;&lt;title&gt;Bioassay for antibacterial and antifungal activities&lt;/title&gt;&lt;secondary-title&gt;Laboratory for Microbiology Parasitology and Hygien&lt;/secondary-title&gt;&lt;/titles&gt;&lt;pages&gt;1-13&lt;/pages&gt;&lt;dates&gt;&lt;year&gt;2005&lt;/year&gt;&lt;/dates&gt;&lt;pub-location&gt;Faculty of Pharmaceutical, Biomedical and Veterinary Sciences, University of Antwerp, Belgium&lt;/pub-location&gt;&lt;urls&gt;&lt;/urls&gt;&lt;/record&gt;&lt;/Cite&gt;&lt;/EndNote&gt;</w:instrText>
      </w:r>
      <w:r w:rsidRPr="005E6B7C">
        <w:rPr>
          <w:rFonts w:asciiTheme="majorHAnsi" w:eastAsia="Yu Mincho" w:hAnsiTheme="majorHAnsi" w:cstheme="majorHAnsi"/>
          <w:bCs/>
          <w:iCs/>
          <w:color w:val="000000" w:themeColor="text1"/>
          <w:sz w:val="22"/>
          <w:szCs w:val="22"/>
          <w:lang w:val="vi-VN" w:eastAsia="ja-JP"/>
        </w:rPr>
        <w:fldChar w:fldCharType="separate"/>
      </w:r>
      <w:r w:rsidRPr="005E6B7C">
        <w:rPr>
          <w:rFonts w:asciiTheme="majorHAnsi" w:eastAsia="Yu Mincho" w:hAnsiTheme="majorHAnsi" w:cstheme="majorHAnsi"/>
          <w:bCs/>
          <w:iCs/>
          <w:noProof/>
          <w:color w:val="000000" w:themeColor="text1"/>
          <w:sz w:val="22"/>
          <w:szCs w:val="22"/>
          <w:lang w:val="vi-VN" w:eastAsia="ja-JP"/>
        </w:rPr>
        <w:t>[11]</w:t>
      </w:r>
      <w:r w:rsidRPr="005E6B7C">
        <w:rPr>
          <w:rFonts w:asciiTheme="majorHAnsi" w:eastAsia="Yu Mincho" w:hAnsiTheme="majorHAnsi" w:cstheme="majorHAnsi"/>
          <w:bCs/>
          <w:iCs/>
          <w:color w:val="000000" w:themeColor="text1"/>
          <w:sz w:val="22"/>
          <w:szCs w:val="22"/>
          <w:lang w:val="vi-VN" w:eastAsia="ja-JP"/>
        </w:rPr>
        <w:fldChar w:fldCharType="end"/>
      </w:r>
      <w:r w:rsidRPr="005E6B7C">
        <w:rPr>
          <w:rFonts w:asciiTheme="majorHAnsi" w:eastAsia="Yu Mincho" w:hAnsiTheme="majorHAnsi" w:cstheme="majorHAnsi"/>
          <w:bCs/>
          <w:iCs/>
          <w:color w:val="000000" w:themeColor="text1"/>
          <w:sz w:val="22"/>
          <w:szCs w:val="22"/>
          <w:lang w:val="vi-VN" w:eastAsia="ja-JP"/>
        </w:rPr>
        <w:t>.</w:t>
      </w:r>
    </w:p>
    <w:tbl>
      <w:tblPr>
        <w:tblW w:w="0" w:type="auto"/>
        <w:tblLook w:val="04A0" w:firstRow="1" w:lastRow="0" w:firstColumn="1" w:lastColumn="0" w:noHBand="0" w:noVBand="1"/>
      </w:tblPr>
      <w:tblGrid>
        <w:gridCol w:w="1648"/>
        <w:gridCol w:w="222"/>
        <w:gridCol w:w="1604"/>
        <w:gridCol w:w="711"/>
      </w:tblGrid>
      <w:tr w:rsidR="00E049CB" w:rsidRPr="005E6B7C" w14:paraId="1729F164" w14:textId="77777777" w:rsidTr="002A1758">
        <w:tc>
          <w:tcPr>
            <w:tcW w:w="0" w:type="auto"/>
            <w:vMerge w:val="restart"/>
            <w:vAlign w:val="center"/>
          </w:tcPr>
          <w:p w14:paraId="2073DCEA"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Inhibition (%) =</w:t>
            </w:r>
          </w:p>
        </w:tc>
        <w:tc>
          <w:tcPr>
            <w:tcW w:w="0" w:type="auto"/>
          </w:tcPr>
          <w:p w14:paraId="17EECC52"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Borders>
              <w:bottom w:val="single" w:sz="4" w:space="0" w:color="auto"/>
            </w:tcBorders>
            <w:vAlign w:val="center"/>
          </w:tcPr>
          <w:p w14:paraId="3F2136AD"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OD</w:t>
            </w:r>
            <w:r w:rsidRPr="005E6B7C">
              <w:rPr>
                <w:rFonts w:asciiTheme="majorHAnsi" w:eastAsia="Yu Mincho" w:hAnsiTheme="majorHAnsi" w:cstheme="majorHAnsi"/>
                <w:color w:val="000000" w:themeColor="text1"/>
                <w:sz w:val="22"/>
                <w:szCs w:val="22"/>
                <w:vertAlign w:val="subscript"/>
                <w:lang w:val="vi-VN" w:eastAsia="ja-JP"/>
              </w:rPr>
              <w:t>(+)</w:t>
            </w:r>
            <w:r w:rsidRPr="005E6B7C">
              <w:rPr>
                <w:rFonts w:asciiTheme="majorHAnsi" w:eastAsia="Yu Mincho" w:hAnsiTheme="majorHAnsi" w:cstheme="majorHAnsi"/>
                <w:color w:val="000000" w:themeColor="text1"/>
                <w:sz w:val="22"/>
                <w:szCs w:val="22"/>
                <w:lang w:val="vi-VN" w:eastAsia="ja-JP"/>
              </w:rPr>
              <w:t xml:space="preserve"> - OD</w:t>
            </w:r>
            <w:r w:rsidRPr="005E6B7C">
              <w:rPr>
                <w:rFonts w:asciiTheme="majorHAnsi" w:eastAsia="Yu Mincho" w:hAnsiTheme="majorHAnsi" w:cstheme="majorHAnsi"/>
                <w:color w:val="000000" w:themeColor="text1"/>
                <w:sz w:val="22"/>
                <w:szCs w:val="22"/>
                <w:vertAlign w:val="subscript"/>
                <w:lang w:val="vi-VN" w:eastAsia="ja-JP"/>
              </w:rPr>
              <w:t>sample</w:t>
            </w:r>
          </w:p>
        </w:tc>
        <w:tc>
          <w:tcPr>
            <w:tcW w:w="0" w:type="auto"/>
            <w:vMerge w:val="restart"/>
            <w:vAlign w:val="center"/>
          </w:tcPr>
          <w:p w14:paraId="783B549D"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x 100</w:t>
            </w:r>
          </w:p>
        </w:tc>
      </w:tr>
      <w:tr w:rsidR="00E049CB" w:rsidRPr="005E6B7C" w14:paraId="4B70AC7E" w14:textId="77777777" w:rsidTr="002A1758">
        <w:tc>
          <w:tcPr>
            <w:tcW w:w="0" w:type="auto"/>
            <w:vMerge/>
            <w:vAlign w:val="center"/>
          </w:tcPr>
          <w:p w14:paraId="3F1E419A"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Pr>
          <w:p w14:paraId="06C7743C"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Borders>
              <w:top w:val="single" w:sz="4" w:space="0" w:color="auto"/>
            </w:tcBorders>
            <w:vAlign w:val="center"/>
          </w:tcPr>
          <w:p w14:paraId="2CC2D99F"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OD</w:t>
            </w:r>
            <w:r w:rsidRPr="005E6B7C">
              <w:rPr>
                <w:rFonts w:asciiTheme="majorHAnsi" w:eastAsia="Yu Mincho" w:hAnsiTheme="majorHAnsi" w:cstheme="majorHAnsi"/>
                <w:color w:val="000000" w:themeColor="text1"/>
                <w:sz w:val="22"/>
                <w:szCs w:val="22"/>
                <w:vertAlign w:val="subscript"/>
                <w:lang w:val="vi-VN" w:eastAsia="ja-JP"/>
              </w:rPr>
              <w:t>(+)</w:t>
            </w:r>
            <w:r w:rsidRPr="005E6B7C">
              <w:rPr>
                <w:rFonts w:asciiTheme="majorHAnsi" w:eastAsia="Yu Mincho" w:hAnsiTheme="majorHAnsi" w:cstheme="majorHAnsi"/>
                <w:color w:val="000000" w:themeColor="text1"/>
                <w:sz w:val="22"/>
                <w:szCs w:val="22"/>
                <w:lang w:val="vi-VN" w:eastAsia="ja-JP"/>
              </w:rPr>
              <w:t xml:space="preserve"> – OD</w:t>
            </w:r>
            <w:r w:rsidRPr="005E6B7C">
              <w:rPr>
                <w:rFonts w:asciiTheme="majorHAnsi" w:eastAsia="Yu Mincho" w:hAnsiTheme="majorHAnsi" w:cstheme="majorHAnsi"/>
                <w:color w:val="000000" w:themeColor="text1"/>
                <w:sz w:val="22"/>
                <w:szCs w:val="22"/>
                <w:vertAlign w:val="subscript"/>
                <w:lang w:val="vi-VN" w:eastAsia="ja-JP"/>
              </w:rPr>
              <w:t>(-)</w:t>
            </w:r>
          </w:p>
        </w:tc>
        <w:tc>
          <w:tcPr>
            <w:tcW w:w="0" w:type="auto"/>
            <w:vMerge/>
            <w:vAlign w:val="center"/>
          </w:tcPr>
          <w:p w14:paraId="4A23689A"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r>
    </w:tbl>
    <w:p w14:paraId="3C9641BA" w14:textId="75F21A4D" w:rsidR="00E049CB" w:rsidRPr="005E6B7C" w:rsidRDefault="00FB7B36"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val="vi-VN" w:eastAsia="ja-JP"/>
        </w:rPr>
        <w:t>Where</w:t>
      </w:r>
      <w:r w:rsidR="00E049CB" w:rsidRPr="005E6B7C">
        <w:rPr>
          <w:rFonts w:asciiTheme="majorHAnsi" w:eastAsia="Yu Mincho" w:hAnsiTheme="majorHAnsi" w:cstheme="majorHAnsi"/>
          <w:bCs/>
          <w:i/>
          <w:color w:val="000000" w:themeColor="text1"/>
          <w:sz w:val="22"/>
          <w:szCs w:val="22"/>
          <w:lang w:val="vi-VN" w:eastAsia="ja-JP"/>
        </w:rPr>
        <w:t xml:space="preserve"> </w:t>
      </w:r>
      <w:r w:rsidR="00E049CB" w:rsidRPr="005E6B7C">
        <w:rPr>
          <w:rFonts w:asciiTheme="majorHAnsi" w:eastAsia="Yu Mincho" w:hAnsiTheme="majorHAnsi" w:cstheme="majorHAnsi"/>
          <w:bCs/>
          <w:i/>
          <w:color w:val="000000" w:themeColor="text1"/>
          <w:sz w:val="22"/>
          <w:szCs w:val="22"/>
          <w:lang w:eastAsia="ja-JP"/>
        </w:rPr>
        <w:t>OD</w:t>
      </w:r>
      <w:r w:rsidR="00E049CB" w:rsidRPr="005E6B7C">
        <w:rPr>
          <w:rFonts w:asciiTheme="majorHAnsi" w:eastAsia="Yu Mincho" w:hAnsiTheme="majorHAnsi" w:cstheme="majorHAnsi"/>
          <w:bCs/>
          <w:i/>
          <w:color w:val="000000" w:themeColor="text1"/>
          <w:sz w:val="22"/>
          <w:szCs w:val="22"/>
          <w:vertAlign w:val="subscript"/>
          <w:lang w:eastAsia="ja-JP"/>
        </w:rPr>
        <w:t>(+)</w:t>
      </w:r>
      <w:r w:rsidR="00E049CB" w:rsidRPr="005E6B7C">
        <w:rPr>
          <w:rFonts w:asciiTheme="majorHAnsi" w:eastAsia="Yu Mincho" w:hAnsiTheme="majorHAnsi" w:cstheme="majorHAnsi"/>
          <w:bCs/>
          <w:i/>
          <w:color w:val="000000" w:themeColor="text1"/>
          <w:sz w:val="22"/>
          <w:szCs w:val="22"/>
          <w:lang w:eastAsia="ja-JP"/>
        </w:rPr>
        <w:t xml:space="preserve"> is the positive control, OD</w:t>
      </w:r>
      <w:r w:rsidR="00E049CB" w:rsidRPr="005E6B7C">
        <w:rPr>
          <w:rFonts w:asciiTheme="majorHAnsi" w:eastAsia="Yu Mincho" w:hAnsiTheme="majorHAnsi" w:cstheme="majorHAnsi"/>
          <w:bCs/>
          <w:i/>
          <w:color w:val="000000" w:themeColor="text1"/>
          <w:sz w:val="22"/>
          <w:szCs w:val="22"/>
          <w:vertAlign w:val="subscript"/>
          <w:lang w:eastAsia="ja-JP"/>
        </w:rPr>
        <w:t>(–)</w:t>
      </w:r>
      <w:r w:rsidR="00E049CB" w:rsidRPr="005E6B7C">
        <w:rPr>
          <w:rFonts w:asciiTheme="majorHAnsi" w:eastAsia="Yu Mincho" w:hAnsiTheme="majorHAnsi" w:cstheme="majorHAnsi"/>
          <w:bCs/>
          <w:i/>
          <w:color w:val="000000" w:themeColor="text1"/>
          <w:sz w:val="22"/>
          <w:szCs w:val="22"/>
          <w:lang w:eastAsia="ja-JP"/>
        </w:rPr>
        <w:t xml:space="preserve"> is the negative control, and OD</w:t>
      </w:r>
      <w:r w:rsidR="00E049CB" w:rsidRPr="005E6B7C">
        <w:rPr>
          <w:rFonts w:asciiTheme="majorHAnsi" w:eastAsia="Yu Mincho" w:hAnsiTheme="majorHAnsi" w:cstheme="majorHAnsi"/>
          <w:bCs/>
          <w:i/>
          <w:color w:val="000000" w:themeColor="text1"/>
          <w:sz w:val="22"/>
          <w:szCs w:val="22"/>
          <w:vertAlign w:val="subscript"/>
          <w:lang w:eastAsia="ja-JP"/>
        </w:rPr>
        <w:t>sample</w:t>
      </w:r>
      <w:r w:rsidR="00E049CB" w:rsidRPr="005E6B7C">
        <w:rPr>
          <w:rFonts w:asciiTheme="majorHAnsi" w:eastAsia="Yu Mincho" w:hAnsiTheme="majorHAnsi" w:cstheme="majorHAnsi"/>
          <w:bCs/>
          <w:i/>
          <w:color w:val="000000" w:themeColor="text1"/>
          <w:sz w:val="22"/>
          <w:szCs w:val="22"/>
          <w:lang w:eastAsia="ja-JP"/>
        </w:rPr>
        <w:t xml:space="preserve"> is the absorbance of the treated microbial suspension.</w:t>
      </w:r>
    </w:p>
    <w:p w14:paraId="6B64623F"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2.2.</w:t>
      </w:r>
      <w:r w:rsidRPr="005E6B7C">
        <w:rPr>
          <w:rFonts w:asciiTheme="majorHAnsi" w:eastAsia="Yu Mincho" w:hAnsiTheme="majorHAnsi" w:cstheme="majorHAnsi"/>
          <w:bCs/>
          <w:iCs/>
          <w:color w:val="000000" w:themeColor="text1"/>
          <w:sz w:val="22"/>
          <w:szCs w:val="22"/>
          <w:lang w:val="vi-VN" w:eastAsia="ja-JP"/>
        </w:rPr>
        <w:t>4</w:t>
      </w:r>
      <w:r w:rsidRPr="005E6B7C">
        <w:rPr>
          <w:rFonts w:asciiTheme="majorHAnsi" w:eastAsia="Yu Mincho" w:hAnsiTheme="majorHAnsi" w:cstheme="majorHAnsi"/>
          <w:bCs/>
          <w:iCs/>
          <w:color w:val="000000" w:themeColor="text1"/>
          <w:sz w:val="22"/>
          <w:szCs w:val="22"/>
          <w:lang w:eastAsia="ja-JP"/>
        </w:rPr>
        <w:t>. Cytotoxic assay</w:t>
      </w:r>
      <w:r w:rsidR="00826294" w:rsidRPr="005E6B7C">
        <w:rPr>
          <w:rFonts w:asciiTheme="majorHAnsi" w:eastAsia="Yu Mincho" w:hAnsiTheme="majorHAnsi" w:cstheme="majorHAnsi"/>
          <w:bCs/>
          <w:iCs/>
          <w:color w:val="000000" w:themeColor="text1"/>
          <w:sz w:val="22"/>
          <w:szCs w:val="22"/>
          <w:lang w:eastAsia="ja-JP"/>
        </w:rPr>
        <w:t>:</w:t>
      </w:r>
    </w:p>
    <w:p w14:paraId="0519F763" w14:textId="52AEB7C2"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 xml:space="preserve">The cytotoxic effects of the leaf essential oil of </w:t>
      </w:r>
      <w:r w:rsidRPr="005E6B7C">
        <w:rPr>
          <w:rFonts w:asciiTheme="majorHAnsi" w:eastAsia="Yu Mincho" w:hAnsiTheme="majorHAnsi" w:cstheme="majorHAnsi"/>
          <w:bCs/>
          <w:i/>
          <w:color w:val="000000" w:themeColor="text1"/>
          <w:sz w:val="22"/>
          <w:szCs w:val="22"/>
          <w:lang w:eastAsia="ja-JP"/>
        </w:rPr>
        <w:t>K. globularia</w:t>
      </w:r>
      <w:r w:rsidRPr="005E6B7C">
        <w:rPr>
          <w:rFonts w:asciiTheme="majorHAnsi" w:eastAsia="Yu Mincho" w:hAnsiTheme="majorHAnsi" w:cstheme="majorHAnsi"/>
          <w:bCs/>
          <w:iCs/>
          <w:color w:val="000000" w:themeColor="text1"/>
          <w:sz w:val="22"/>
          <w:szCs w:val="22"/>
          <w:lang w:eastAsia="ja-JP"/>
        </w:rPr>
        <w:t xml:space="preserve"> were evaluated against four human cancer cell lines: KB (human oral epidermoid carcinoma, CCL-17™), HepG2 (human hepatocellular carcinoma, HB-8065™), A549 (human lung carcinoma, CCL-185™), and MCF-7 (human breast adenocarcinoma, HTB-22™). The assay was performed using the MTT [3-(4,5-dimethylthiazol-2-yl)-2,5-diphenyltetrazolium bromide] method, originally described by Mosmann (1983) </w:t>
      </w:r>
      <w:r w:rsidRPr="005E6B7C">
        <w:rPr>
          <w:rFonts w:asciiTheme="majorHAnsi" w:eastAsia="Yu Mincho" w:hAnsiTheme="majorHAnsi" w:cstheme="majorHAnsi"/>
          <w:bCs/>
          <w:iCs/>
          <w:color w:val="000000" w:themeColor="text1"/>
          <w:sz w:val="22"/>
          <w:szCs w:val="22"/>
          <w:lang w:eastAsia="ja-JP"/>
        </w:rPr>
        <w:fldChar w:fldCharType="begin">
          <w:fldData xml:space="preserve">PEVuZE5vdGU+PENpdGU+PEF1dGhvcj5Nb3NtYW5uPC9BdXRob3I+PFllYXI+MTk4MzwvWWVhcj48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=
</w:fldData>
        </w:fldChar>
      </w:r>
      <w:r w:rsidRPr="005E6B7C">
        <w:rPr>
          <w:rFonts w:asciiTheme="majorHAnsi" w:eastAsia="Yu Mincho" w:hAnsiTheme="majorHAnsi" w:cstheme="majorHAnsi"/>
          <w:bCs/>
          <w:iCs/>
          <w:color w:val="000000" w:themeColor="text1"/>
          <w:sz w:val="22"/>
          <w:szCs w:val="22"/>
          <w:lang w:eastAsia="ja-JP"/>
        </w:rPr>
        <w:instrText xml:space="preserve"> ADDIN EN.CITE </w:instrText>
      </w:r>
      <w:r w:rsidRPr="005E6B7C">
        <w:rPr>
          <w:rFonts w:asciiTheme="majorHAnsi" w:eastAsia="Yu Mincho" w:hAnsiTheme="majorHAnsi" w:cstheme="majorHAnsi"/>
          <w:bCs/>
          <w:iCs/>
          <w:color w:val="000000" w:themeColor="text1"/>
          <w:sz w:val="22"/>
          <w:szCs w:val="22"/>
          <w:lang w:eastAsia="ja-JP"/>
        </w:rPr>
        <w:fldChar w:fldCharType="begin">
          <w:fldData xml:space="preserve">PEVuZE5vdGU+PENpdGU+PEF1dGhvcj5Nb3NtYW5uPC9BdXRob3I+PFllYXI+MTk4MzwvWWVhcj48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=
</w:fldData>
        </w:fldChar>
      </w:r>
      <w:r w:rsidRPr="005E6B7C">
        <w:rPr>
          <w:rFonts w:asciiTheme="majorHAnsi" w:eastAsia="Yu Mincho" w:hAnsiTheme="majorHAnsi" w:cstheme="majorHAnsi"/>
          <w:bCs/>
          <w:iCs/>
          <w:color w:val="000000" w:themeColor="text1"/>
          <w:sz w:val="22"/>
          <w:szCs w:val="22"/>
          <w:lang w:eastAsia="ja-JP"/>
        </w:rPr>
        <w:instrText xml:space="preserve"> ADDIN EN.CITE.DATA </w:instrText>
      </w:r>
      <w:r w:rsidRPr="005E6B7C">
        <w:rPr>
          <w:rFonts w:asciiTheme="majorHAnsi" w:eastAsia="Yu Mincho" w:hAnsiTheme="majorHAnsi" w:cstheme="majorHAnsi"/>
          <w:bCs/>
          <w:iCs/>
          <w:color w:val="000000" w:themeColor="text1"/>
          <w:sz w:val="22"/>
          <w:szCs w:val="22"/>
          <w:lang w:eastAsia="ja-JP"/>
        </w:rPr>
      </w:r>
      <w:r w:rsidRPr="005E6B7C">
        <w:rPr>
          <w:rFonts w:asciiTheme="majorHAnsi" w:eastAsia="Yu Mincho" w:hAnsiTheme="majorHAnsi" w:cstheme="majorHAnsi"/>
          <w:bCs/>
          <w:iCs/>
          <w:color w:val="000000" w:themeColor="text1"/>
          <w:sz w:val="22"/>
          <w:szCs w:val="22"/>
          <w:lang w:eastAsia="ja-JP"/>
        </w:rPr>
        <w:fldChar w:fldCharType="end"/>
      </w:r>
      <w:r w:rsidRPr="005E6B7C">
        <w:rPr>
          <w:rFonts w:asciiTheme="majorHAnsi" w:eastAsia="Yu Mincho" w:hAnsiTheme="majorHAnsi" w:cstheme="majorHAnsi"/>
          <w:bCs/>
          <w:iCs/>
          <w:color w:val="000000" w:themeColor="text1"/>
          <w:sz w:val="22"/>
          <w:szCs w:val="22"/>
          <w:lang w:eastAsia="ja-JP"/>
        </w:rPr>
      </w:r>
      <w:r w:rsidRPr="005E6B7C">
        <w:rPr>
          <w:rFonts w:asciiTheme="majorHAnsi" w:eastAsia="Yu Mincho" w:hAnsiTheme="majorHAnsi" w:cstheme="majorHAnsi"/>
          <w:bCs/>
          <w:iCs/>
          <w:color w:val="000000" w:themeColor="text1"/>
          <w:sz w:val="22"/>
          <w:szCs w:val="22"/>
          <w:lang w:eastAsia="ja-JP"/>
        </w:rPr>
        <w:fldChar w:fldCharType="separate"/>
      </w:r>
      <w:r w:rsidRPr="005E6B7C">
        <w:rPr>
          <w:rFonts w:asciiTheme="majorHAnsi" w:eastAsia="Yu Mincho" w:hAnsiTheme="majorHAnsi" w:cstheme="majorHAnsi"/>
          <w:bCs/>
          <w:iCs/>
          <w:noProof/>
          <w:color w:val="000000" w:themeColor="text1"/>
          <w:sz w:val="22"/>
          <w:szCs w:val="22"/>
          <w:lang w:eastAsia="ja-JP"/>
        </w:rPr>
        <w:t>[13],[14],[15]</w:t>
      </w:r>
      <w:r w:rsidRPr="005E6B7C">
        <w:rPr>
          <w:rFonts w:asciiTheme="majorHAnsi" w:eastAsia="Yu Mincho" w:hAnsiTheme="majorHAnsi" w:cstheme="majorHAnsi"/>
          <w:bCs/>
          <w:iCs/>
          <w:color w:val="000000" w:themeColor="text1"/>
          <w:sz w:val="22"/>
          <w:szCs w:val="22"/>
          <w:lang w:eastAsia="ja-JP"/>
        </w:rPr>
        <w:fldChar w:fldCharType="end"/>
      </w:r>
      <w:r w:rsidRPr="005E6B7C">
        <w:rPr>
          <w:rFonts w:asciiTheme="majorHAnsi" w:eastAsia="Yu Mincho" w:hAnsiTheme="majorHAnsi" w:cstheme="majorHAnsi"/>
          <w:bCs/>
          <w:iCs/>
          <w:color w:val="000000" w:themeColor="text1"/>
          <w:sz w:val="22"/>
          <w:szCs w:val="22"/>
          <w:lang w:eastAsia="ja-JP"/>
        </w:rPr>
        <w:t>. Briefly, cells were cultured in 96-well plates and treated with two-fold serial dilutions of the essential oil prepared in DMSO (initial concentration 20 mg/mL) to obtain final concentrations of</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 xml:space="preserve"> </w:t>
      </w:r>
      <w:r w:rsidRPr="005E6B7C">
        <w:rPr>
          <w:rFonts w:asciiTheme="majorHAnsi" w:eastAsia="Yu Mincho" w:hAnsiTheme="majorHAnsi" w:cstheme="majorHAnsi"/>
          <w:bCs/>
          <w:iCs/>
          <w:color w:val="000000" w:themeColor="text1"/>
          <w:sz w:val="22"/>
          <w:szCs w:val="22"/>
          <w:lang w:val="vi-VN" w:eastAsia="ja-JP"/>
        </w:rPr>
        <w:t>256, 64, 16,</w:t>
      </w:r>
      <w:r w:rsidRPr="005E6B7C">
        <w:rPr>
          <w:rFonts w:asciiTheme="majorHAnsi" w:eastAsia="Yu Mincho" w:hAnsiTheme="majorHAnsi" w:cstheme="majorHAnsi"/>
          <w:bCs/>
          <w:iCs/>
          <w:color w:val="000000" w:themeColor="text1"/>
          <w:sz w:val="22"/>
          <w:szCs w:val="22"/>
          <w:lang w:eastAsia="ja-JP"/>
        </w:rPr>
        <w:t xml:space="preserve"> and </w:t>
      </w:r>
      <w:r w:rsidRPr="005E6B7C">
        <w:rPr>
          <w:rFonts w:asciiTheme="majorHAnsi" w:eastAsia="Yu Mincho" w:hAnsiTheme="majorHAnsi" w:cstheme="majorHAnsi"/>
          <w:bCs/>
          <w:iCs/>
          <w:color w:val="000000" w:themeColor="text1"/>
          <w:sz w:val="22"/>
          <w:szCs w:val="22"/>
          <w:lang w:val="vi-VN" w:eastAsia="ja-JP"/>
        </w:rPr>
        <w:t>4</w:t>
      </w:r>
      <w:r w:rsidRPr="005E6B7C">
        <w:rPr>
          <w:rFonts w:asciiTheme="majorHAnsi" w:eastAsia="Yu Mincho" w:hAnsiTheme="majorHAnsi" w:cstheme="majorHAnsi"/>
          <w:bCs/>
          <w:iCs/>
          <w:color w:val="000000" w:themeColor="text1"/>
          <w:sz w:val="22"/>
          <w:szCs w:val="22"/>
          <w:lang w:eastAsia="ja-JP"/>
        </w:rPr>
        <w:t xml:space="preserve"> μg/mL.</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 xml:space="preserve">After 72h of incubation under </w:t>
      </w:r>
      <w:r w:rsidRPr="005E6B7C">
        <w:rPr>
          <w:rFonts w:asciiTheme="majorHAnsi" w:eastAsia="Yu Mincho" w:hAnsiTheme="majorHAnsi" w:cstheme="majorHAnsi"/>
          <w:bCs/>
          <w:iCs/>
          <w:color w:val="000000" w:themeColor="text1"/>
          <w:sz w:val="22"/>
          <w:szCs w:val="22"/>
          <w:lang w:eastAsia="ja-JP"/>
        </w:rPr>
        <w:lastRenderedPageBreak/>
        <w:t xml:space="preserve">standard conditions, 10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iCs/>
          <w:color w:val="000000" w:themeColor="text1"/>
          <w:sz w:val="22"/>
          <w:szCs w:val="22"/>
          <w:lang w:eastAsia="ja-JP"/>
        </w:rPr>
        <w:t xml:space="preserve">L of MTT solution (5 mg/mL) was added to each well and incubated for 4 h. Viable cells reduced MTT (yellow) to insoluble formazan crystals (purple) by mitochondrial dehydrogenase activity. The crystals were dissolved in 100 </w:t>
      </w:r>
      <w:r w:rsidR="00266B26" w:rsidRPr="005E6B7C">
        <w:rPr>
          <w:rFonts w:asciiTheme="majorHAnsi" w:eastAsia="Yu Mincho" w:hAnsiTheme="majorHAnsi" w:cstheme="majorHAnsi"/>
          <w:bCs/>
          <w:i/>
          <w:iCs/>
          <w:color w:val="000000" w:themeColor="text1"/>
          <w:sz w:val="22"/>
          <w:szCs w:val="22"/>
          <w:lang w:eastAsia="ja-JP"/>
        </w:rPr>
        <w:t>µ</w:t>
      </w:r>
      <w:r w:rsidRPr="005E6B7C">
        <w:rPr>
          <w:rFonts w:asciiTheme="majorHAnsi" w:eastAsia="Yu Mincho" w:hAnsiTheme="majorHAnsi" w:cstheme="majorHAnsi"/>
          <w:bCs/>
          <w:iCs/>
          <w:color w:val="000000" w:themeColor="text1"/>
          <w:sz w:val="22"/>
          <w:szCs w:val="22"/>
          <w:lang w:eastAsia="ja-JP"/>
        </w:rPr>
        <w:t>L DMSO, and the optical density (OD) was measured at 540 nm using a Biotek microplate reader.</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The percentage of growth inhibition was calculated as follows:</w:t>
      </w:r>
    </w:p>
    <w:tbl>
      <w:tblPr>
        <w:tblW w:w="0" w:type="auto"/>
        <w:tblLook w:val="04A0" w:firstRow="1" w:lastRow="0" w:firstColumn="1" w:lastColumn="0" w:noHBand="0" w:noVBand="1"/>
      </w:tblPr>
      <w:tblGrid>
        <w:gridCol w:w="1648"/>
        <w:gridCol w:w="222"/>
        <w:gridCol w:w="1604"/>
        <w:gridCol w:w="711"/>
      </w:tblGrid>
      <w:tr w:rsidR="00E049CB" w:rsidRPr="005E6B7C" w14:paraId="36306F4A" w14:textId="77777777" w:rsidTr="002A1758">
        <w:tc>
          <w:tcPr>
            <w:tcW w:w="0" w:type="auto"/>
            <w:vMerge w:val="restart"/>
            <w:vAlign w:val="center"/>
          </w:tcPr>
          <w:p w14:paraId="5034450A"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Inhibition (%) =</w:t>
            </w:r>
          </w:p>
        </w:tc>
        <w:tc>
          <w:tcPr>
            <w:tcW w:w="0" w:type="auto"/>
          </w:tcPr>
          <w:p w14:paraId="004973B1"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Borders>
              <w:bottom w:val="single" w:sz="4" w:space="0" w:color="auto"/>
            </w:tcBorders>
            <w:vAlign w:val="center"/>
          </w:tcPr>
          <w:p w14:paraId="1CE805B9"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OD</w:t>
            </w:r>
            <w:r w:rsidRPr="005E6B7C">
              <w:rPr>
                <w:rFonts w:asciiTheme="majorHAnsi" w:eastAsia="Yu Mincho" w:hAnsiTheme="majorHAnsi" w:cstheme="majorHAnsi"/>
                <w:color w:val="000000" w:themeColor="text1"/>
                <w:sz w:val="22"/>
                <w:szCs w:val="22"/>
                <w:vertAlign w:val="subscript"/>
                <w:lang w:val="vi-VN" w:eastAsia="ja-JP"/>
              </w:rPr>
              <w:t>(+)</w:t>
            </w:r>
            <w:r w:rsidRPr="005E6B7C">
              <w:rPr>
                <w:rFonts w:asciiTheme="majorHAnsi" w:eastAsia="Yu Mincho" w:hAnsiTheme="majorHAnsi" w:cstheme="majorHAnsi"/>
                <w:color w:val="000000" w:themeColor="text1"/>
                <w:sz w:val="22"/>
                <w:szCs w:val="22"/>
                <w:lang w:val="vi-VN" w:eastAsia="ja-JP"/>
              </w:rPr>
              <w:t xml:space="preserve"> - OD</w:t>
            </w:r>
            <w:r w:rsidRPr="005E6B7C">
              <w:rPr>
                <w:rFonts w:asciiTheme="majorHAnsi" w:eastAsia="Yu Mincho" w:hAnsiTheme="majorHAnsi" w:cstheme="majorHAnsi"/>
                <w:color w:val="000000" w:themeColor="text1"/>
                <w:sz w:val="22"/>
                <w:szCs w:val="22"/>
                <w:vertAlign w:val="subscript"/>
                <w:lang w:val="vi-VN" w:eastAsia="ja-JP"/>
              </w:rPr>
              <w:t>sample</w:t>
            </w:r>
          </w:p>
        </w:tc>
        <w:tc>
          <w:tcPr>
            <w:tcW w:w="0" w:type="auto"/>
            <w:vMerge w:val="restart"/>
            <w:vAlign w:val="center"/>
          </w:tcPr>
          <w:p w14:paraId="0C305B6F"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x 100</w:t>
            </w:r>
          </w:p>
        </w:tc>
      </w:tr>
      <w:tr w:rsidR="00E049CB" w:rsidRPr="005E6B7C" w14:paraId="28B8D395" w14:textId="77777777" w:rsidTr="002A1758">
        <w:tc>
          <w:tcPr>
            <w:tcW w:w="0" w:type="auto"/>
            <w:vMerge/>
            <w:vAlign w:val="center"/>
          </w:tcPr>
          <w:p w14:paraId="7B2A4C09"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Pr>
          <w:p w14:paraId="20B3F387"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c>
          <w:tcPr>
            <w:tcW w:w="0" w:type="auto"/>
            <w:tcBorders>
              <w:top w:val="single" w:sz="4" w:space="0" w:color="auto"/>
            </w:tcBorders>
            <w:vAlign w:val="center"/>
          </w:tcPr>
          <w:p w14:paraId="32923811"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OD</w:t>
            </w:r>
            <w:r w:rsidRPr="005E6B7C">
              <w:rPr>
                <w:rFonts w:asciiTheme="majorHAnsi" w:eastAsia="Yu Mincho" w:hAnsiTheme="majorHAnsi" w:cstheme="majorHAnsi"/>
                <w:color w:val="000000" w:themeColor="text1"/>
                <w:sz w:val="22"/>
                <w:szCs w:val="22"/>
                <w:vertAlign w:val="subscript"/>
                <w:lang w:val="vi-VN" w:eastAsia="ja-JP"/>
              </w:rPr>
              <w:t>(+)</w:t>
            </w:r>
            <w:r w:rsidRPr="005E6B7C">
              <w:rPr>
                <w:rFonts w:asciiTheme="majorHAnsi" w:eastAsia="Yu Mincho" w:hAnsiTheme="majorHAnsi" w:cstheme="majorHAnsi"/>
                <w:color w:val="000000" w:themeColor="text1"/>
                <w:sz w:val="22"/>
                <w:szCs w:val="22"/>
                <w:lang w:val="vi-VN" w:eastAsia="ja-JP"/>
              </w:rPr>
              <w:t xml:space="preserve"> – OD</w:t>
            </w:r>
            <w:r w:rsidRPr="005E6B7C">
              <w:rPr>
                <w:rFonts w:asciiTheme="majorHAnsi" w:eastAsia="Yu Mincho" w:hAnsiTheme="majorHAnsi" w:cstheme="majorHAnsi"/>
                <w:color w:val="000000" w:themeColor="text1"/>
                <w:sz w:val="22"/>
                <w:szCs w:val="22"/>
                <w:vertAlign w:val="subscript"/>
                <w:lang w:val="vi-VN" w:eastAsia="ja-JP"/>
              </w:rPr>
              <w:t>(-)</w:t>
            </w:r>
          </w:p>
        </w:tc>
        <w:tc>
          <w:tcPr>
            <w:tcW w:w="0" w:type="auto"/>
            <w:vMerge/>
            <w:vAlign w:val="center"/>
          </w:tcPr>
          <w:p w14:paraId="2E7DBC98"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vi-VN" w:eastAsia="ja-JP"/>
              </w:rPr>
            </w:pPr>
          </w:p>
        </w:tc>
      </w:tr>
    </w:tbl>
    <w:p w14:paraId="5599D617" w14:textId="563516EC" w:rsidR="00E049CB"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br w:type="column"/>
      </w:r>
      <w:r w:rsidR="00FB7B36" w:rsidRPr="005E6B7C">
        <w:rPr>
          <w:rFonts w:asciiTheme="majorHAnsi" w:eastAsia="Yu Mincho" w:hAnsiTheme="majorHAnsi" w:cstheme="majorHAnsi"/>
          <w:bCs/>
          <w:i/>
          <w:color w:val="000000" w:themeColor="text1"/>
          <w:sz w:val="22"/>
          <w:szCs w:val="22"/>
          <w:lang w:val="vi-VN" w:eastAsia="ja-JP"/>
        </w:rPr>
        <w:t xml:space="preserve">Where </w:t>
      </w:r>
      <w:r w:rsidR="00E049CB" w:rsidRPr="005E6B7C">
        <w:rPr>
          <w:rFonts w:asciiTheme="majorHAnsi" w:eastAsia="Yu Mincho" w:hAnsiTheme="majorHAnsi" w:cstheme="majorHAnsi"/>
          <w:bCs/>
          <w:i/>
          <w:color w:val="000000" w:themeColor="text1"/>
          <w:sz w:val="22"/>
          <w:szCs w:val="22"/>
          <w:lang w:eastAsia="ja-JP"/>
        </w:rPr>
        <w:t>OD</w:t>
      </w:r>
      <w:r w:rsidR="00E049CB" w:rsidRPr="005E6B7C">
        <w:rPr>
          <w:rFonts w:asciiTheme="majorHAnsi" w:eastAsia="Yu Mincho" w:hAnsiTheme="majorHAnsi" w:cstheme="majorHAnsi"/>
          <w:bCs/>
          <w:i/>
          <w:color w:val="000000" w:themeColor="text1"/>
          <w:sz w:val="22"/>
          <w:szCs w:val="22"/>
          <w:vertAlign w:val="subscript"/>
          <w:lang w:eastAsia="ja-JP"/>
        </w:rPr>
        <w:t>(+)</w:t>
      </w:r>
      <w:r w:rsidR="00E049CB" w:rsidRPr="005E6B7C">
        <w:rPr>
          <w:rFonts w:asciiTheme="majorHAnsi" w:eastAsia="Yu Mincho" w:hAnsiTheme="majorHAnsi" w:cstheme="majorHAnsi"/>
          <w:bCs/>
          <w:i/>
          <w:color w:val="000000" w:themeColor="text1"/>
          <w:sz w:val="22"/>
          <w:szCs w:val="22"/>
          <w:lang w:eastAsia="ja-JP"/>
        </w:rPr>
        <w:t xml:space="preserve"> is the positive control, OD</w:t>
      </w:r>
      <w:r w:rsidR="00E049CB" w:rsidRPr="005E6B7C">
        <w:rPr>
          <w:rFonts w:asciiTheme="majorHAnsi" w:eastAsia="Yu Mincho" w:hAnsiTheme="majorHAnsi" w:cstheme="majorHAnsi"/>
          <w:bCs/>
          <w:i/>
          <w:color w:val="000000" w:themeColor="text1"/>
          <w:sz w:val="22"/>
          <w:szCs w:val="22"/>
          <w:vertAlign w:val="subscript"/>
          <w:lang w:eastAsia="ja-JP"/>
        </w:rPr>
        <w:t>(–)</w:t>
      </w:r>
      <w:r w:rsidR="00E049CB" w:rsidRPr="005E6B7C">
        <w:rPr>
          <w:rFonts w:asciiTheme="majorHAnsi" w:eastAsia="Yu Mincho" w:hAnsiTheme="majorHAnsi" w:cstheme="majorHAnsi"/>
          <w:bCs/>
          <w:i/>
          <w:color w:val="000000" w:themeColor="text1"/>
          <w:sz w:val="22"/>
          <w:szCs w:val="22"/>
          <w:lang w:eastAsia="ja-JP"/>
        </w:rPr>
        <w:t xml:space="preserve"> is the negative control, and OD</w:t>
      </w:r>
      <w:r w:rsidR="00E049CB" w:rsidRPr="005E6B7C">
        <w:rPr>
          <w:rFonts w:asciiTheme="majorHAnsi" w:eastAsia="Yu Mincho" w:hAnsiTheme="majorHAnsi" w:cstheme="majorHAnsi"/>
          <w:bCs/>
          <w:i/>
          <w:color w:val="000000" w:themeColor="text1"/>
          <w:sz w:val="22"/>
          <w:szCs w:val="22"/>
          <w:vertAlign w:val="subscript"/>
          <w:lang w:eastAsia="ja-JP"/>
        </w:rPr>
        <w:t>sample</w:t>
      </w:r>
      <w:r w:rsidR="00E049CB" w:rsidRPr="005E6B7C">
        <w:rPr>
          <w:rFonts w:asciiTheme="majorHAnsi" w:eastAsia="Yu Mincho" w:hAnsiTheme="majorHAnsi" w:cstheme="majorHAnsi"/>
          <w:bCs/>
          <w:i/>
          <w:color w:val="000000" w:themeColor="text1"/>
          <w:sz w:val="22"/>
          <w:szCs w:val="22"/>
          <w:lang w:eastAsia="ja-JP"/>
        </w:rPr>
        <w:t xml:space="preserve"> is the absorbance of treated cells.</w:t>
      </w:r>
    </w:p>
    <w:p w14:paraId="09B71DD4"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val="vi-VN" w:eastAsia="ja-JP"/>
        </w:rPr>
        <w:t>I</w:t>
      </w:r>
      <w:r w:rsidRPr="005E6B7C">
        <w:rPr>
          <w:rFonts w:asciiTheme="majorHAnsi" w:eastAsia="Yu Mincho" w:hAnsiTheme="majorHAnsi" w:cstheme="majorHAnsi"/>
          <w:bCs/>
          <w:iCs/>
          <w:color w:val="000000" w:themeColor="text1"/>
          <w:sz w:val="22"/>
          <w:szCs w:val="22"/>
          <w:lang w:eastAsia="ja-JP"/>
        </w:rPr>
        <w:t>C</w:t>
      </w:r>
      <w:r w:rsidRPr="005E6B7C">
        <w:rPr>
          <w:rFonts w:asciiTheme="majorHAnsi" w:eastAsia="Yu Mincho" w:hAnsiTheme="majorHAnsi" w:cstheme="majorHAnsi"/>
          <w:bCs/>
          <w:iCs/>
          <w:color w:val="000000" w:themeColor="text1"/>
          <w:sz w:val="22"/>
          <w:szCs w:val="22"/>
          <w:vertAlign w:val="subscript"/>
          <w:lang w:eastAsia="ja-JP"/>
        </w:rPr>
        <w:t>50</w:t>
      </w:r>
      <w:r w:rsidRPr="005E6B7C">
        <w:rPr>
          <w:rFonts w:asciiTheme="majorHAnsi" w:eastAsia="Yu Mincho" w:hAnsiTheme="majorHAnsi" w:cstheme="majorHAnsi"/>
          <w:bCs/>
          <w:iCs/>
          <w:color w:val="000000" w:themeColor="text1"/>
          <w:sz w:val="22"/>
          <w:szCs w:val="22"/>
          <w:lang w:eastAsia="ja-JP"/>
        </w:rPr>
        <w:t xml:space="preserve"> values were determined from dose–response curves derived from the percentage of cell growth inhibition using Rawdata software</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val="vi-VN" w:eastAsia="ja-JP"/>
        </w:rPr>
        <w:fldChar w:fldCharType="begin"/>
      </w:r>
      <w:r w:rsidRPr="005E6B7C">
        <w:rPr>
          <w:rFonts w:asciiTheme="majorHAnsi" w:eastAsia="Yu Mincho" w:hAnsiTheme="majorHAnsi" w:cstheme="majorHAnsi"/>
          <w:bCs/>
          <w:iCs/>
          <w:color w:val="000000" w:themeColor="text1"/>
          <w:sz w:val="22"/>
          <w:szCs w:val="22"/>
          <w:lang w:val="vi-VN" w:eastAsia="ja-JP"/>
        </w:rPr>
        <w:instrText xml:space="preserve"> ADDIN EN.CITE &lt;EndNote&gt;&lt;Cite&gt;&lt;Author&gt;Mosmann&lt;/Author&gt;&lt;Year&gt;1983&lt;/Year&gt;&lt;RecNum&gt;16&lt;/RecNum&gt;&lt;DisplayText&gt;[13]&lt;/DisplayText&gt;&lt;record&gt;&lt;rec-number&gt;16&lt;/rec-number&gt;&lt;foreign-keys&gt;&lt;key app="EN" db-id="ests5zdscdrx0ke55w45va2tp5tasftw5xat" timestamp="1770466205"&gt;16&lt;/key&gt;&lt;/foreign-keys&gt;&lt;ref-type name="Journal Article"&gt;17&lt;/ref-type&gt;&lt;contributors&gt;&lt;authors&gt;&lt;author&gt;Mosmann, T.&lt;/author&gt;&lt;/authors&gt;&lt;/contributors&gt;&lt;titles&gt;&lt;title&gt;Rapid colorimetric assay for cellular growth and survival: application to proliferation and cytotoxicity assays&lt;/title&gt;&lt;secondary-title&gt;J Immunol Methods&lt;/secondary-title&gt;&lt;/titles&gt;&lt;periodical&gt;&lt;full-title&gt;J Immunol Methods&lt;/full-title&gt;&lt;/periodical&gt;&lt;pages&gt;55-63&lt;/pages&gt;&lt;volume&gt;65&lt;/volume&gt;&lt;number&gt;1-2&lt;/number&gt;&lt;keywords&gt;&lt;keyword&gt;Animals&lt;/keyword&gt;&lt;keyword&gt;Cell Line&lt;/keyword&gt;&lt;keyword&gt;Cell Survival&lt;/keyword&gt;&lt;keyword&gt;Colorimetry/*methods&lt;/keyword&gt;&lt;keyword&gt;Concanavalin A/pharmacology&lt;/keyword&gt;&lt;keyword&gt;Cytotoxicity Tests, Immunologic/*methods&lt;/keyword&gt;&lt;keyword&gt;Dose-Response Relationship, Immunologic&lt;/keyword&gt;&lt;keyword&gt;Interleukin-2/physiology&lt;/keyword&gt;&lt;keyword&gt;Lipopolysaccharides/pharmacology&lt;/keyword&gt;&lt;keyword&gt;*Lymphocyte Activation&lt;/keyword&gt;&lt;keyword&gt;Lymphocytes/*immunology/physiology&lt;/keyword&gt;&lt;keyword&gt;Lymphoma/immunology&lt;/keyword&gt;&lt;keyword&gt;Macrophage Activation&lt;/keyword&gt;&lt;keyword&gt;Mice&lt;/keyword&gt;&lt;keyword&gt;Mice, Inbred BALB C&lt;/keyword&gt;&lt;keyword&gt;Tetrazolium Salts&lt;/keyword&gt;&lt;keyword&gt;Thiazoles&lt;/keyword&gt;&lt;/keywords&gt;&lt;dates&gt;&lt;year&gt;1983&lt;/year&gt;&lt;pub-dates&gt;&lt;date&gt;Dec 16&lt;/date&gt;&lt;/pub-dates&gt;&lt;/dates&gt;&lt;isbn&gt;0022-1759 (Print)&amp;#xD;0022-1759&lt;/isbn&gt;&lt;accession-num&gt;6606682&lt;/accession-num&gt;&lt;urls&gt;&lt;/urls&gt;&lt;electronic-resource-num&gt;10.1016/0022-1759(83)90303-4&lt;/electronic-resource-num&gt;&lt;remote-database-provider&gt;NLM&lt;/remote-database-provider&gt;&lt;language&gt;eng&lt;/language&gt;&lt;/record&gt;&lt;/Cite&gt;&lt;/EndNote&gt;</w:instrText>
      </w:r>
      <w:r w:rsidRPr="005E6B7C">
        <w:rPr>
          <w:rFonts w:asciiTheme="majorHAnsi" w:eastAsia="Yu Mincho" w:hAnsiTheme="majorHAnsi" w:cstheme="majorHAnsi"/>
          <w:bCs/>
          <w:iCs/>
          <w:color w:val="000000" w:themeColor="text1"/>
          <w:sz w:val="22"/>
          <w:szCs w:val="22"/>
          <w:lang w:val="vi-VN" w:eastAsia="ja-JP"/>
        </w:rPr>
        <w:fldChar w:fldCharType="separate"/>
      </w:r>
      <w:r w:rsidRPr="005E6B7C">
        <w:rPr>
          <w:rFonts w:asciiTheme="majorHAnsi" w:eastAsia="Yu Mincho" w:hAnsiTheme="majorHAnsi" w:cstheme="majorHAnsi"/>
          <w:bCs/>
          <w:iCs/>
          <w:noProof/>
          <w:color w:val="000000" w:themeColor="text1"/>
          <w:sz w:val="22"/>
          <w:szCs w:val="22"/>
          <w:lang w:val="vi-VN" w:eastAsia="ja-JP"/>
        </w:rPr>
        <w:t>[13]</w:t>
      </w:r>
      <w:r w:rsidRPr="005E6B7C">
        <w:rPr>
          <w:rFonts w:asciiTheme="majorHAnsi" w:eastAsia="Yu Mincho" w:hAnsiTheme="majorHAnsi" w:cstheme="majorHAnsi"/>
          <w:bCs/>
          <w:iCs/>
          <w:color w:val="000000" w:themeColor="text1"/>
          <w:sz w:val="22"/>
          <w:szCs w:val="22"/>
          <w:lang w:val="vi-VN" w:eastAsia="ja-JP"/>
        </w:rPr>
        <w:fldChar w:fldCharType="end"/>
      </w:r>
      <w:r w:rsidRPr="005E6B7C">
        <w:rPr>
          <w:rFonts w:asciiTheme="majorHAnsi" w:eastAsia="Yu Mincho" w:hAnsiTheme="majorHAnsi" w:cstheme="majorHAnsi"/>
          <w:bCs/>
          <w:iCs/>
          <w:color w:val="000000" w:themeColor="text1"/>
          <w:sz w:val="22"/>
          <w:szCs w:val="22"/>
          <w:lang w:eastAsia="ja-JP"/>
        </w:rPr>
        <w:t>.</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eastAsia="ja-JP"/>
        </w:rPr>
        <w:t>Ellipticine was used as the positive control, while 1% DMSO served as the negative control. All experiments were performed in triplicate.</w:t>
      </w:r>
    </w:p>
    <w:p w14:paraId="51000FF4"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val="vi-VN" w:eastAsia="ja-JP"/>
        </w:rPr>
        <w:t>3. Results</w:t>
      </w:r>
      <w:r w:rsidRPr="005E6B7C">
        <w:rPr>
          <w:rFonts w:asciiTheme="majorHAnsi" w:eastAsia="Yu Mincho" w:hAnsiTheme="majorHAnsi" w:cstheme="majorHAnsi"/>
          <w:b/>
          <w:bCs/>
          <w:color w:val="000000" w:themeColor="text1"/>
          <w:sz w:val="22"/>
          <w:szCs w:val="22"/>
          <w:lang w:eastAsia="ja-JP"/>
        </w:rPr>
        <w:t xml:space="preserve"> and discussion</w:t>
      </w:r>
    </w:p>
    <w:p w14:paraId="0A70D77D"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color w:val="000000" w:themeColor="text1"/>
          <w:sz w:val="22"/>
          <w:szCs w:val="22"/>
          <w:lang w:val="vi-VN" w:eastAsia="ja-JP"/>
        </w:rPr>
      </w:pPr>
      <w:r w:rsidRPr="005E6B7C">
        <w:rPr>
          <w:rFonts w:asciiTheme="majorHAnsi" w:eastAsia="Yu Mincho" w:hAnsiTheme="majorHAnsi" w:cstheme="majorHAnsi"/>
          <w:i/>
          <w:color w:val="000000" w:themeColor="text1"/>
          <w:sz w:val="22"/>
          <w:szCs w:val="22"/>
          <w:lang w:val="vi-VN" w:eastAsia="ja-JP"/>
        </w:rPr>
        <w:t xml:space="preserve">3.1. Essential oil composition </w:t>
      </w:r>
    </w:p>
    <w:p w14:paraId="260793B4"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 xml:space="preserve">The essential oil obtained from the leaves of </w:t>
      </w:r>
      <w:r w:rsidRPr="005E6B7C">
        <w:rPr>
          <w:rFonts w:asciiTheme="majorHAnsi" w:eastAsia="Yu Mincho" w:hAnsiTheme="majorHAnsi" w:cstheme="majorHAnsi"/>
          <w:i/>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 xml:space="preserve"> was pale yellow in color and lighter than water. The yield of the essential oil was 0.16 ± 0.01% (calculated on a fresh weight basis). The chemical composition of the essential oil was analyzed by GC–MS, and the results are presented in </w:t>
      </w:r>
      <w:r w:rsidRPr="005E6B7C">
        <w:rPr>
          <w:rFonts w:asciiTheme="majorHAnsi" w:eastAsia="Yu Mincho" w:hAnsiTheme="majorHAnsi" w:cstheme="majorHAnsi"/>
          <w:b/>
          <w:bCs/>
          <w:iCs/>
          <w:color w:val="000000" w:themeColor="text1"/>
          <w:sz w:val="22"/>
          <w:szCs w:val="22"/>
          <w:lang w:val="vi-VN" w:eastAsia="ja-JP"/>
        </w:rPr>
        <w:t>Table 1</w:t>
      </w:r>
      <w:r w:rsidRPr="005E6B7C">
        <w:rPr>
          <w:rFonts w:asciiTheme="majorHAnsi" w:eastAsia="Yu Mincho" w:hAnsiTheme="majorHAnsi" w:cstheme="majorHAnsi"/>
          <w:iCs/>
          <w:color w:val="000000" w:themeColor="text1"/>
          <w:sz w:val="22"/>
          <w:szCs w:val="22"/>
          <w:lang w:val="vi-VN" w:eastAsia="ja-JP"/>
        </w:rPr>
        <w:t xml:space="preserve">. </w:t>
      </w:r>
    </w:p>
    <w:p w14:paraId="0BBA2A33" w14:textId="77777777" w:rsidR="002A1758" w:rsidRPr="005E6B7C" w:rsidRDefault="002A1758"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eastAsia="ja-JP"/>
        </w:rPr>
        <w:sectPr w:rsidR="002A1758" w:rsidRPr="005E6B7C" w:rsidSect="002A1758">
          <w:type w:val="continuous"/>
          <w:pgSz w:w="10773" w:h="15309" w:code="9"/>
          <w:pgMar w:top="907" w:right="851" w:bottom="1418" w:left="851" w:header="397" w:footer="851" w:gutter="0"/>
          <w:cols w:num="2" w:space="284"/>
          <w:docGrid w:linePitch="360"/>
        </w:sectPr>
      </w:pPr>
    </w:p>
    <w:p w14:paraId="7FF196C7" w14:textId="77777777" w:rsidR="00AF4AD1" w:rsidRPr="005E6B7C" w:rsidRDefault="00AF4AD1"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eastAsia="ja-JP"/>
        </w:rPr>
      </w:pPr>
    </w:p>
    <w:p w14:paraId="72324F98"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Table 1. </w:t>
      </w:r>
      <w:r w:rsidRPr="005E6B7C">
        <w:rPr>
          <w:rFonts w:asciiTheme="majorHAnsi" w:eastAsia="Yu Mincho" w:hAnsiTheme="majorHAnsi" w:cstheme="majorHAnsi"/>
          <w:iCs/>
          <w:color w:val="000000" w:themeColor="text1"/>
          <w:sz w:val="18"/>
          <w:szCs w:val="18"/>
          <w:lang w:val="vi-VN" w:eastAsia="ja-JP"/>
        </w:rPr>
        <w:t xml:space="preserve">Chemical composition of the essential oil from </w:t>
      </w:r>
      <w:r w:rsidRPr="005E6B7C">
        <w:rPr>
          <w:rFonts w:asciiTheme="majorHAnsi" w:eastAsia="Yu Mincho" w:hAnsiTheme="majorHAnsi" w:cstheme="majorHAnsi"/>
          <w:i/>
          <w:color w:val="000000" w:themeColor="text1"/>
          <w:sz w:val="18"/>
          <w:szCs w:val="18"/>
          <w:lang w:val="vi-VN" w:eastAsia="ja-JP"/>
        </w:rPr>
        <w:t>K. globularia</w:t>
      </w:r>
      <w:r w:rsidRPr="005E6B7C">
        <w:rPr>
          <w:rFonts w:asciiTheme="majorHAnsi" w:eastAsia="Yu Mincho" w:hAnsiTheme="majorHAnsi" w:cstheme="majorHAnsi"/>
          <w:iCs/>
          <w:color w:val="000000" w:themeColor="text1"/>
          <w:sz w:val="18"/>
          <w:szCs w:val="18"/>
          <w:lang w:val="vi-VN" w:eastAsia="ja-JP"/>
        </w:rPr>
        <w:t xml:space="preserve"> leaves</w:t>
      </w:r>
    </w:p>
    <w:p w14:paraId="0F246B70" w14:textId="77777777" w:rsidR="00AF4AD1" w:rsidRPr="005E6B7C" w:rsidRDefault="00AF4AD1" w:rsidP="008C0D47">
      <w:pPr>
        <w:tabs>
          <w:tab w:val="left" w:pos="270"/>
          <w:tab w:val="left" w:pos="540"/>
          <w:tab w:val="left" w:pos="9270"/>
        </w:tabs>
        <w:ind w:right="-20"/>
        <w:contextualSpacing/>
        <w:jc w:val="center"/>
        <w:rPr>
          <w:rFonts w:asciiTheme="majorHAnsi" w:eastAsia="Yu Mincho" w:hAnsiTheme="majorHAnsi" w:cstheme="majorHAnsi"/>
          <w:iCs/>
          <w:color w:val="000000" w:themeColor="text1"/>
          <w:sz w:val="18"/>
          <w:szCs w:val="18"/>
          <w:lang w:eastAsia="ja-JP"/>
        </w:rPr>
      </w:pPr>
    </w:p>
    <w:tbl>
      <w:tblPr>
        <w:tblStyle w:val="TableGrid10"/>
        <w:tblW w:w="9072" w:type="dxa"/>
        <w:jc w:val="center"/>
        <w:tblLayout w:type="fixed"/>
        <w:tblLook w:val="04A0" w:firstRow="1" w:lastRow="0" w:firstColumn="1" w:lastColumn="0" w:noHBand="0" w:noVBand="1"/>
      </w:tblPr>
      <w:tblGrid>
        <w:gridCol w:w="609"/>
        <w:gridCol w:w="1119"/>
        <w:gridCol w:w="1119"/>
        <w:gridCol w:w="949"/>
        <w:gridCol w:w="3373"/>
        <w:gridCol w:w="1085"/>
        <w:gridCol w:w="818"/>
      </w:tblGrid>
      <w:tr w:rsidR="00E049CB" w:rsidRPr="005E6B7C" w14:paraId="177D9E31" w14:textId="77777777" w:rsidTr="00AF4AD1">
        <w:trPr>
          <w:tblHeader/>
          <w:jc w:val="center"/>
        </w:trPr>
        <w:tc>
          <w:tcPr>
            <w:tcW w:w="630" w:type="dxa"/>
            <w:tcBorders>
              <w:top w:val="dotted" w:sz="4" w:space="0" w:color="auto"/>
              <w:left w:val="dotted" w:sz="4" w:space="0" w:color="auto"/>
              <w:bottom w:val="dotted" w:sz="4" w:space="0" w:color="auto"/>
              <w:right w:val="dotted" w:sz="4" w:space="0" w:color="auto"/>
            </w:tcBorders>
          </w:tcPr>
          <w:p w14:paraId="033A6CDA"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No.</w:t>
            </w:r>
          </w:p>
        </w:tc>
        <w:tc>
          <w:tcPr>
            <w:tcW w:w="1170" w:type="dxa"/>
            <w:tcBorders>
              <w:top w:val="dotted" w:sz="4" w:space="0" w:color="auto"/>
              <w:left w:val="dotted" w:sz="4" w:space="0" w:color="auto"/>
              <w:bottom w:val="dotted" w:sz="4" w:space="0" w:color="auto"/>
              <w:right w:val="dotted" w:sz="4" w:space="0" w:color="auto"/>
            </w:tcBorders>
          </w:tcPr>
          <w:p w14:paraId="736E8D68"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RT (min)</w:t>
            </w:r>
          </w:p>
        </w:tc>
        <w:tc>
          <w:tcPr>
            <w:tcW w:w="1170" w:type="dxa"/>
            <w:tcBorders>
              <w:top w:val="dotted" w:sz="4" w:space="0" w:color="auto"/>
              <w:left w:val="dotted" w:sz="4" w:space="0" w:color="auto"/>
              <w:bottom w:val="dotted" w:sz="4" w:space="0" w:color="auto"/>
              <w:right w:val="dotted" w:sz="4" w:space="0" w:color="auto"/>
            </w:tcBorders>
          </w:tcPr>
          <w:p w14:paraId="7333C10C"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RI (exp.)</w:t>
            </w:r>
          </w:p>
        </w:tc>
        <w:tc>
          <w:tcPr>
            <w:tcW w:w="990" w:type="dxa"/>
            <w:tcBorders>
              <w:top w:val="dotted" w:sz="4" w:space="0" w:color="auto"/>
              <w:left w:val="dotted" w:sz="4" w:space="0" w:color="auto"/>
              <w:bottom w:val="dotted" w:sz="4" w:space="0" w:color="auto"/>
              <w:right w:val="dotted" w:sz="4" w:space="0" w:color="auto"/>
            </w:tcBorders>
          </w:tcPr>
          <w:p w14:paraId="2381DA47"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RI</w:t>
            </w:r>
            <w:r w:rsidRPr="005E6B7C">
              <w:rPr>
                <w:rFonts w:asciiTheme="majorHAnsi" w:eastAsia="Yu Mincho" w:hAnsiTheme="majorHAnsi" w:cstheme="majorHAnsi"/>
                <w:b/>
                <w:bCs/>
                <w:color w:val="000000" w:themeColor="text1"/>
                <w:sz w:val="18"/>
                <w:szCs w:val="18"/>
                <w:lang w:val="vi-VN" w:eastAsia="ja-JP"/>
              </w:rPr>
              <w:t xml:space="preserve"> (lit.)</w:t>
            </w:r>
          </w:p>
        </w:tc>
        <w:tc>
          <w:tcPr>
            <w:tcW w:w="3553" w:type="dxa"/>
            <w:tcBorders>
              <w:top w:val="dotted" w:sz="4" w:space="0" w:color="auto"/>
              <w:left w:val="dotted" w:sz="4" w:space="0" w:color="auto"/>
              <w:bottom w:val="dotted" w:sz="4" w:space="0" w:color="auto"/>
              <w:right w:val="dotted" w:sz="4" w:space="0" w:color="auto"/>
            </w:tcBorders>
          </w:tcPr>
          <w:p w14:paraId="479FA571" w14:textId="77777777" w:rsidR="00E049CB" w:rsidRPr="005E6B7C" w:rsidRDefault="00E049CB" w:rsidP="008C0D47">
            <w:pPr>
              <w:tabs>
                <w:tab w:val="left" w:pos="270"/>
                <w:tab w:val="left" w:pos="540"/>
                <w:tab w:val="left" w:pos="9270"/>
              </w:tabs>
              <w:ind w:right="-20"/>
              <w:contextualSpacing/>
              <w:jc w:val="both"/>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Compounds</w:t>
            </w:r>
          </w:p>
        </w:tc>
        <w:tc>
          <w:tcPr>
            <w:tcW w:w="1134" w:type="dxa"/>
            <w:tcBorders>
              <w:top w:val="dotted" w:sz="4" w:space="0" w:color="auto"/>
              <w:left w:val="dotted" w:sz="4" w:space="0" w:color="auto"/>
              <w:bottom w:val="dotted" w:sz="4" w:space="0" w:color="auto"/>
              <w:right w:val="dotted" w:sz="4" w:space="0" w:color="auto"/>
            </w:tcBorders>
          </w:tcPr>
          <w:p w14:paraId="529ABD1C"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MF</w:t>
            </w:r>
          </w:p>
        </w:tc>
        <w:tc>
          <w:tcPr>
            <w:tcW w:w="851" w:type="dxa"/>
            <w:tcBorders>
              <w:top w:val="dotted" w:sz="4" w:space="0" w:color="auto"/>
              <w:left w:val="dotted" w:sz="4" w:space="0" w:color="auto"/>
              <w:bottom w:val="dotted" w:sz="4" w:space="0" w:color="auto"/>
              <w:right w:val="dotted" w:sz="4" w:space="0" w:color="auto"/>
            </w:tcBorders>
          </w:tcPr>
          <w:p w14:paraId="1555CBF1"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w:t>
            </w:r>
          </w:p>
        </w:tc>
      </w:tr>
      <w:tr w:rsidR="00E049CB" w:rsidRPr="005E6B7C" w14:paraId="14309FDC"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492A75C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w:t>
            </w:r>
          </w:p>
        </w:tc>
        <w:tc>
          <w:tcPr>
            <w:tcW w:w="1170" w:type="dxa"/>
            <w:tcBorders>
              <w:top w:val="dotted" w:sz="4" w:space="0" w:color="auto"/>
              <w:left w:val="dotted" w:sz="4" w:space="0" w:color="auto"/>
              <w:bottom w:val="dotted" w:sz="4" w:space="0" w:color="auto"/>
              <w:right w:val="dotted" w:sz="4" w:space="0" w:color="auto"/>
            </w:tcBorders>
          </w:tcPr>
          <w:p w14:paraId="7CF4FAB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7.061</w:t>
            </w:r>
          </w:p>
        </w:tc>
        <w:tc>
          <w:tcPr>
            <w:tcW w:w="1170" w:type="dxa"/>
            <w:tcBorders>
              <w:top w:val="dotted" w:sz="4" w:space="0" w:color="auto"/>
              <w:left w:val="dotted" w:sz="4" w:space="0" w:color="auto"/>
              <w:bottom w:val="dotted" w:sz="4" w:space="0" w:color="auto"/>
              <w:right w:val="dotted" w:sz="4" w:space="0" w:color="auto"/>
            </w:tcBorders>
          </w:tcPr>
          <w:p w14:paraId="5D42BA0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929</w:t>
            </w:r>
          </w:p>
        </w:tc>
        <w:tc>
          <w:tcPr>
            <w:tcW w:w="990" w:type="dxa"/>
            <w:tcBorders>
              <w:top w:val="dotted" w:sz="4" w:space="0" w:color="auto"/>
              <w:left w:val="dotted" w:sz="4" w:space="0" w:color="auto"/>
              <w:bottom w:val="dotted" w:sz="4" w:space="0" w:color="auto"/>
              <w:right w:val="dotted" w:sz="4" w:space="0" w:color="auto"/>
            </w:tcBorders>
          </w:tcPr>
          <w:p w14:paraId="63E8B63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929</w:t>
            </w:r>
          </w:p>
        </w:tc>
        <w:tc>
          <w:tcPr>
            <w:tcW w:w="3553" w:type="dxa"/>
            <w:tcBorders>
              <w:top w:val="dotted" w:sz="4" w:space="0" w:color="auto"/>
              <w:left w:val="dotted" w:sz="4" w:space="0" w:color="auto"/>
              <w:bottom w:val="dotted" w:sz="4" w:space="0" w:color="auto"/>
              <w:right w:val="dotted" w:sz="4" w:space="0" w:color="auto"/>
            </w:tcBorders>
          </w:tcPr>
          <w:p w14:paraId="71A3B4AC"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-Thujene</w:t>
            </w:r>
          </w:p>
        </w:tc>
        <w:tc>
          <w:tcPr>
            <w:tcW w:w="1134" w:type="dxa"/>
            <w:tcBorders>
              <w:top w:val="dotted" w:sz="4" w:space="0" w:color="auto"/>
              <w:left w:val="dotted" w:sz="4" w:space="0" w:color="auto"/>
              <w:bottom w:val="dotted" w:sz="4" w:space="0" w:color="auto"/>
              <w:right w:val="dotted" w:sz="4" w:space="0" w:color="auto"/>
            </w:tcBorders>
          </w:tcPr>
          <w:p w14:paraId="3057100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170E21B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0.19</w:t>
            </w:r>
          </w:p>
        </w:tc>
      </w:tr>
      <w:tr w:rsidR="00E049CB" w:rsidRPr="005E6B7C" w14:paraId="36DCE364"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87172B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2</w:t>
            </w:r>
          </w:p>
        </w:tc>
        <w:tc>
          <w:tcPr>
            <w:tcW w:w="1170" w:type="dxa"/>
            <w:tcBorders>
              <w:top w:val="dotted" w:sz="4" w:space="0" w:color="auto"/>
              <w:left w:val="dotted" w:sz="4" w:space="0" w:color="auto"/>
              <w:bottom w:val="dotted" w:sz="4" w:space="0" w:color="auto"/>
              <w:right w:val="dotted" w:sz="4" w:space="0" w:color="auto"/>
            </w:tcBorders>
          </w:tcPr>
          <w:p w14:paraId="234BC93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7.317</w:t>
            </w:r>
          </w:p>
        </w:tc>
        <w:tc>
          <w:tcPr>
            <w:tcW w:w="1170" w:type="dxa"/>
            <w:tcBorders>
              <w:top w:val="dotted" w:sz="4" w:space="0" w:color="auto"/>
              <w:left w:val="dotted" w:sz="4" w:space="0" w:color="auto"/>
              <w:bottom w:val="dotted" w:sz="4" w:space="0" w:color="auto"/>
              <w:right w:val="dotted" w:sz="4" w:space="0" w:color="auto"/>
            </w:tcBorders>
          </w:tcPr>
          <w:p w14:paraId="2D73869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937</w:t>
            </w:r>
          </w:p>
        </w:tc>
        <w:tc>
          <w:tcPr>
            <w:tcW w:w="990" w:type="dxa"/>
            <w:tcBorders>
              <w:top w:val="dotted" w:sz="4" w:space="0" w:color="auto"/>
              <w:left w:val="dotted" w:sz="4" w:space="0" w:color="auto"/>
              <w:bottom w:val="dotted" w:sz="4" w:space="0" w:color="auto"/>
              <w:right w:val="dotted" w:sz="4" w:space="0" w:color="auto"/>
            </w:tcBorders>
          </w:tcPr>
          <w:p w14:paraId="44003F5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937</w:t>
            </w:r>
          </w:p>
        </w:tc>
        <w:tc>
          <w:tcPr>
            <w:tcW w:w="3553" w:type="dxa"/>
            <w:tcBorders>
              <w:top w:val="dotted" w:sz="4" w:space="0" w:color="auto"/>
              <w:left w:val="dotted" w:sz="4" w:space="0" w:color="auto"/>
              <w:bottom w:val="dotted" w:sz="4" w:space="0" w:color="auto"/>
              <w:right w:val="dotted" w:sz="4" w:space="0" w:color="auto"/>
            </w:tcBorders>
          </w:tcPr>
          <w:p w14:paraId="588B455F"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
                <w:color w:val="000000" w:themeColor="text1"/>
                <w:sz w:val="18"/>
                <w:szCs w:val="18"/>
                <w:lang w:eastAsia="ja-JP"/>
              </w:rPr>
              <w:t>α</w:t>
            </w:r>
            <w:r w:rsidRPr="005E6B7C">
              <w:rPr>
                <w:rFonts w:asciiTheme="majorHAnsi" w:eastAsia="Yu Mincho" w:hAnsiTheme="majorHAnsi" w:cstheme="majorHAnsi"/>
                <w:b/>
                <w:bCs/>
                <w:color w:val="000000" w:themeColor="text1"/>
                <w:sz w:val="18"/>
                <w:szCs w:val="18"/>
                <w:lang w:eastAsia="ja-JP"/>
              </w:rPr>
              <w:t>-Pinene</w:t>
            </w:r>
          </w:p>
        </w:tc>
        <w:tc>
          <w:tcPr>
            <w:tcW w:w="1134" w:type="dxa"/>
            <w:tcBorders>
              <w:top w:val="dotted" w:sz="4" w:space="0" w:color="auto"/>
              <w:left w:val="dotted" w:sz="4" w:space="0" w:color="auto"/>
              <w:bottom w:val="dotted" w:sz="4" w:space="0" w:color="auto"/>
              <w:right w:val="dotted" w:sz="4" w:space="0" w:color="auto"/>
            </w:tcBorders>
          </w:tcPr>
          <w:p w14:paraId="71F13A0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C</w:t>
            </w:r>
            <w:r w:rsidRPr="005E6B7C">
              <w:rPr>
                <w:rFonts w:asciiTheme="majorHAnsi" w:eastAsia="Yu Mincho" w:hAnsiTheme="majorHAnsi" w:cstheme="majorHAnsi"/>
                <w:b/>
                <w:bCs/>
                <w:color w:val="000000" w:themeColor="text1"/>
                <w:sz w:val="18"/>
                <w:szCs w:val="18"/>
                <w:vertAlign w:val="subscript"/>
                <w:lang w:eastAsia="ja-JP"/>
              </w:rPr>
              <w:t>10</w:t>
            </w:r>
            <w:r w:rsidRPr="005E6B7C">
              <w:rPr>
                <w:rFonts w:asciiTheme="majorHAnsi" w:eastAsia="Yu Mincho" w:hAnsiTheme="majorHAnsi" w:cstheme="majorHAnsi"/>
                <w:b/>
                <w:bCs/>
                <w:color w:val="000000" w:themeColor="text1"/>
                <w:sz w:val="18"/>
                <w:szCs w:val="18"/>
                <w:lang w:eastAsia="ja-JP"/>
              </w:rPr>
              <w:t>H</w:t>
            </w:r>
            <w:r w:rsidRPr="005E6B7C">
              <w:rPr>
                <w:rFonts w:asciiTheme="majorHAnsi" w:eastAsia="Yu Mincho" w:hAnsiTheme="majorHAnsi" w:cstheme="majorHAnsi"/>
                <w:b/>
                <w:bCs/>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4E4B392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18.44</w:t>
            </w:r>
          </w:p>
        </w:tc>
      </w:tr>
      <w:tr w:rsidR="00E049CB" w:rsidRPr="005E6B7C" w14:paraId="70F76505"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30C32B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w:t>
            </w:r>
          </w:p>
        </w:tc>
        <w:tc>
          <w:tcPr>
            <w:tcW w:w="1170" w:type="dxa"/>
            <w:tcBorders>
              <w:top w:val="dotted" w:sz="4" w:space="0" w:color="auto"/>
              <w:left w:val="dotted" w:sz="4" w:space="0" w:color="auto"/>
              <w:bottom w:val="dotted" w:sz="4" w:space="0" w:color="auto"/>
              <w:right w:val="dotted" w:sz="4" w:space="0" w:color="auto"/>
            </w:tcBorders>
          </w:tcPr>
          <w:p w14:paraId="160289F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7.800</w:t>
            </w:r>
          </w:p>
        </w:tc>
        <w:tc>
          <w:tcPr>
            <w:tcW w:w="1170" w:type="dxa"/>
            <w:tcBorders>
              <w:top w:val="dotted" w:sz="4" w:space="0" w:color="auto"/>
              <w:left w:val="dotted" w:sz="4" w:space="0" w:color="auto"/>
              <w:bottom w:val="dotted" w:sz="4" w:space="0" w:color="auto"/>
              <w:right w:val="dotted" w:sz="4" w:space="0" w:color="auto"/>
            </w:tcBorders>
          </w:tcPr>
          <w:p w14:paraId="7A72DF3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951</w:t>
            </w:r>
          </w:p>
        </w:tc>
        <w:tc>
          <w:tcPr>
            <w:tcW w:w="990" w:type="dxa"/>
            <w:tcBorders>
              <w:top w:val="dotted" w:sz="4" w:space="0" w:color="auto"/>
              <w:left w:val="dotted" w:sz="4" w:space="0" w:color="auto"/>
              <w:bottom w:val="dotted" w:sz="4" w:space="0" w:color="auto"/>
              <w:right w:val="dotted" w:sz="4" w:space="0" w:color="auto"/>
            </w:tcBorders>
          </w:tcPr>
          <w:p w14:paraId="23EABDD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952</w:t>
            </w:r>
          </w:p>
        </w:tc>
        <w:tc>
          <w:tcPr>
            <w:tcW w:w="3553" w:type="dxa"/>
            <w:tcBorders>
              <w:top w:val="dotted" w:sz="4" w:space="0" w:color="auto"/>
              <w:left w:val="dotted" w:sz="4" w:space="0" w:color="auto"/>
              <w:bottom w:val="dotted" w:sz="4" w:space="0" w:color="auto"/>
              <w:right w:val="dotted" w:sz="4" w:space="0" w:color="auto"/>
            </w:tcBorders>
          </w:tcPr>
          <w:p w14:paraId="7F82A29F"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Camphene</w:t>
            </w:r>
          </w:p>
        </w:tc>
        <w:tc>
          <w:tcPr>
            <w:tcW w:w="1134" w:type="dxa"/>
            <w:tcBorders>
              <w:top w:val="dotted" w:sz="4" w:space="0" w:color="auto"/>
              <w:left w:val="dotted" w:sz="4" w:space="0" w:color="auto"/>
              <w:bottom w:val="dotted" w:sz="4" w:space="0" w:color="auto"/>
              <w:right w:val="dotted" w:sz="4" w:space="0" w:color="auto"/>
            </w:tcBorders>
          </w:tcPr>
          <w:p w14:paraId="51A597B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58B9F4F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0.36</w:t>
            </w:r>
          </w:p>
        </w:tc>
      </w:tr>
      <w:tr w:rsidR="00E049CB" w:rsidRPr="005E6B7C" w14:paraId="419B306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DEB60F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w:t>
            </w:r>
          </w:p>
        </w:tc>
        <w:tc>
          <w:tcPr>
            <w:tcW w:w="1170" w:type="dxa"/>
            <w:tcBorders>
              <w:top w:val="dotted" w:sz="4" w:space="0" w:color="auto"/>
              <w:left w:val="dotted" w:sz="4" w:space="0" w:color="auto"/>
              <w:bottom w:val="dotted" w:sz="4" w:space="0" w:color="auto"/>
              <w:right w:val="dotted" w:sz="4" w:space="0" w:color="auto"/>
            </w:tcBorders>
          </w:tcPr>
          <w:p w14:paraId="29F47A3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8.754</w:t>
            </w:r>
          </w:p>
        </w:tc>
        <w:tc>
          <w:tcPr>
            <w:tcW w:w="1170" w:type="dxa"/>
            <w:tcBorders>
              <w:top w:val="dotted" w:sz="4" w:space="0" w:color="auto"/>
              <w:left w:val="dotted" w:sz="4" w:space="0" w:color="auto"/>
              <w:bottom w:val="dotted" w:sz="4" w:space="0" w:color="auto"/>
              <w:right w:val="dotted" w:sz="4" w:space="0" w:color="auto"/>
            </w:tcBorders>
          </w:tcPr>
          <w:p w14:paraId="2302561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975</w:t>
            </w:r>
          </w:p>
        </w:tc>
        <w:tc>
          <w:tcPr>
            <w:tcW w:w="990" w:type="dxa"/>
            <w:tcBorders>
              <w:top w:val="dotted" w:sz="4" w:space="0" w:color="auto"/>
              <w:left w:val="dotted" w:sz="4" w:space="0" w:color="auto"/>
              <w:bottom w:val="dotted" w:sz="4" w:space="0" w:color="auto"/>
              <w:right w:val="dotted" w:sz="4" w:space="0" w:color="auto"/>
            </w:tcBorders>
          </w:tcPr>
          <w:p w14:paraId="2BACB73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974</w:t>
            </w:r>
          </w:p>
        </w:tc>
        <w:tc>
          <w:tcPr>
            <w:tcW w:w="3553" w:type="dxa"/>
            <w:tcBorders>
              <w:top w:val="dotted" w:sz="4" w:space="0" w:color="auto"/>
              <w:left w:val="dotted" w:sz="4" w:space="0" w:color="auto"/>
              <w:bottom w:val="dotted" w:sz="4" w:space="0" w:color="auto"/>
              <w:right w:val="dotted" w:sz="4" w:space="0" w:color="auto"/>
            </w:tcBorders>
          </w:tcPr>
          <w:p w14:paraId="1BFCDE05"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Sabinene</w:t>
            </w:r>
          </w:p>
        </w:tc>
        <w:tc>
          <w:tcPr>
            <w:tcW w:w="1134" w:type="dxa"/>
            <w:tcBorders>
              <w:top w:val="dotted" w:sz="4" w:space="0" w:color="auto"/>
              <w:left w:val="dotted" w:sz="4" w:space="0" w:color="auto"/>
              <w:bottom w:val="dotted" w:sz="4" w:space="0" w:color="auto"/>
              <w:right w:val="dotted" w:sz="4" w:space="0" w:color="auto"/>
            </w:tcBorders>
          </w:tcPr>
          <w:p w14:paraId="4EDE2C0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3C4BC39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0.05</w:t>
            </w:r>
          </w:p>
        </w:tc>
      </w:tr>
      <w:tr w:rsidR="00E049CB" w:rsidRPr="005E6B7C" w14:paraId="281773EF"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799DA4C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5</w:t>
            </w:r>
          </w:p>
        </w:tc>
        <w:tc>
          <w:tcPr>
            <w:tcW w:w="1170" w:type="dxa"/>
            <w:tcBorders>
              <w:top w:val="dotted" w:sz="4" w:space="0" w:color="auto"/>
              <w:left w:val="dotted" w:sz="4" w:space="0" w:color="auto"/>
              <w:bottom w:val="dotted" w:sz="4" w:space="0" w:color="auto"/>
              <w:right w:val="dotted" w:sz="4" w:space="0" w:color="auto"/>
            </w:tcBorders>
          </w:tcPr>
          <w:p w14:paraId="2FC6742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8.874</w:t>
            </w:r>
          </w:p>
        </w:tc>
        <w:tc>
          <w:tcPr>
            <w:tcW w:w="1170" w:type="dxa"/>
            <w:tcBorders>
              <w:top w:val="dotted" w:sz="4" w:space="0" w:color="auto"/>
              <w:left w:val="dotted" w:sz="4" w:space="0" w:color="auto"/>
              <w:bottom w:val="dotted" w:sz="4" w:space="0" w:color="auto"/>
              <w:right w:val="dotted" w:sz="4" w:space="0" w:color="auto"/>
            </w:tcBorders>
          </w:tcPr>
          <w:p w14:paraId="6B63CA1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978</w:t>
            </w:r>
          </w:p>
        </w:tc>
        <w:tc>
          <w:tcPr>
            <w:tcW w:w="990" w:type="dxa"/>
            <w:tcBorders>
              <w:top w:val="dotted" w:sz="4" w:space="0" w:color="auto"/>
              <w:left w:val="dotted" w:sz="4" w:space="0" w:color="auto"/>
              <w:bottom w:val="dotted" w:sz="4" w:space="0" w:color="auto"/>
              <w:right w:val="dotted" w:sz="4" w:space="0" w:color="auto"/>
            </w:tcBorders>
          </w:tcPr>
          <w:p w14:paraId="6E4DF70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979</w:t>
            </w:r>
          </w:p>
        </w:tc>
        <w:tc>
          <w:tcPr>
            <w:tcW w:w="3553" w:type="dxa"/>
            <w:tcBorders>
              <w:top w:val="dotted" w:sz="4" w:space="0" w:color="auto"/>
              <w:left w:val="dotted" w:sz="4" w:space="0" w:color="auto"/>
              <w:bottom w:val="dotted" w:sz="4" w:space="0" w:color="auto"/>
              <w:right w:val="dotted" w:sz="4" w:space="0" w:color="auto"/>
            </w:tcBorders>
          </w:tcPr>
          <w:p w14:paraId="400BAE3A"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
                <w:color w:val="000000" w:themeColor="text1"/>
                <w:sz w:val="18"/>
                <w:szCs w:val="18"/>
                <w:lang w:eastAsia="ja-JP"/>
              </w:rPr>
              <w:t>β</w:t>
            </w:r>
            <w:r w:rsidRPr="005E6B7C">
              <w:rPr>
                <w:rFonts w:asciiTheme="majorHAnsi" w:eastAsia="Yu Mincho" w:hAnsiTheme="majorHAnsi" w:cstheme="majorHAnsi"/>
                <w:b/>
                <w:bCs/>
                <w:color w:val="000000" w:themeColor="text1"/>
                <w:sz w:val="18"/>
                <w:szCs w:val="18"/>
                <w:lang w:eastAsia="ja-JP"/>
              </w:rPr>
              <w:t>-Pinene</w:t>
            </w:r>
          </w:p>
        </w:tc>
        <w:tc>
          <w:tcPr>
            <w:tcW w:w="1134" w:type="dxa"/>
            <w:tcBorders>
              <w:top w:val="dotted" w:sz="4" w:space="0" w:color="auto"/>
              <w:left w:val="dotted" w:sz="4" w:space="0" w:color="auto"/>
              <w:bottom w:val="dotted" w:sz="4" w:space="0" w:color="auto"/>
              <w:right w:val="dotted" w:sz="4" w:space="0" w:color="auto"/>
            </w:tcBorders>
          </w:tcPr>
          <w:p w14:paraId="1B27AE5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C</w:t>
            </w:r>
            <w:r w:rsidRPr="005E6B7C">
              <w:rPr>
                <w:rFonts w:asciiTheme="majorHAnsi" w:eastAsia="Yu Mincho" w:hAnsiTheme="majorHAnsi" w:cstheme="majorHAnsi"/>
                <w:b/>
                <w:bCs/>
                <w:color w:val="000000" w:themeColor="text1"/>
                <w:sz w:val="18"/>
                <w:szCs w:val="18"/>
                <w:vertAlign w:val="subscript"/>
                <w:lang w:eastAsia="ja-JP"/>
              </w:rPr>
              <w:t>10</w:t>
            </w:r>
            <w:r w:rsidRPr="005E6B7C">
              <w:rPr>
                <w:rFonts w:asciiTheme="majorHAnsi" w:eastAsia="Yu Mincho" w:hAnsiTheme="majorHAnsi" w:cstheme="majorHAnsi"/>
                <w:b/>
                <w:bCs/>
                <w:color w:val="000000" w:themeColor="text1"/>
                <w:sz w:val="18"/>
                <w:szCs w:val="18"/>
                <w:lang w:eastAsia="ja-JP"/>
              </w:rPr>
              <w:t>H</w:t>
            </w:r>
            <w:r w:rsidRPr="005E6B7C">
              <w:rPr>
                <w:rFonts w:asciiTheme="majorHAnsi" w:eastAsia="Yu Mincho" w:hAnsiTheme="majorHAnsi" w:cstheme="majorHAnsi"/>
                <w:b/>
                <w:bCs/>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5C579C6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13.04</w:t>
            </w:r>
          </w:p>
        </w:tc>
      </w:tr>
      <w:tr w:rsidR="00E049CB" w:rsidRPr="005E6B7C" w14:paraId="5BA85BE1"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6C755D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6</w:t>
            </w:r>
          </w:p>
        </w:tc>
        <w:tc>
          <w:tcPr>
            <w:tcW w:w="1170" w:type="dxa"/>
            <w:tcBorders>
              <w:top w:val="dotted" w:sz="4" w:space="0" w:color="auto"/>
              <w:left w:val="dotted" w:sz="4" w:space="0" w:color="auto"/>
              <w:bottom w:val="dotted" w:sz="4" w:space="0" w:color="auto"/>
              <w:right w:val="dotted" w:sz="4" w:space="0" w:color="auto"/>
            </w:tcBorders>
          </w:tcPr>
          <w:p w14:paraId="4835E86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9.456</w:t>
            </w:r>
          </w:p>
        </w:tc>
        <w:tc>
          <w:tcPr>
            <w:tcW w:w="1170" w:type="dxa"/>
            <w:tcBorders>
              <w:top w:val="dotted" w:sz="4" w:space="0" w:color="auto"/>
              <w:left w:val="dotted" w:sz="4" w:space="0" w:color="auto"/>
              <w:bottom w:val="dotted" w:sz="4" w:space="0" w:color="auto"/>
              <w:right w:val="dotted" w:sz="4" w:space="0" w:color="auto"/>
            </w:tcBorders>
          </w:tcPr>
          <w:p w14:paraId="5721D7E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992</w:t>
            </w:r>
          </w:p>
        </w:tc>
        <w:tc>
          <w:tcPr>
            <w:tcW w:w="990" w:type="dxa"/>
            <w:tcBorders>
              <w:top w:val="dotted" w:sz="4" w:space="0" w:color="auto"/>
              <w:left w:val="dotted" w:sz="4" w:space="0" w:color="auto"/>
              <w:bottom w:val="dotted" w:sz="4" w:space="0" w:color="auto"/>
              <w:right w:val="dotted" w:sz="4" w:space="0" w:color="auto"/>
            </w:tcBorders>
          </w:tcPr>
          <w:p w14:paraId="486508B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991</w:t>
            </w:r>
          </w:p>
        </w:tc>
        <w:tc>
          <w:tcPr>
            <w:tcW w:w="3553" w:type="dxa"/>
            <w:tcBorders>
              <w:top w:val="dotted" w:sz="4" w:space="0" w:color="auto"/>
              <w:left w:val="dotted" w:sz="4" w:space="0" w:color="auto"/>
              <w:bottom w:val="dotted" w:sz="4" w:space="0" w:color="auto"/>
              <w:right w:val="dotted" w:sz="4" w:space="0" w:color="auto"/>
            </w:tcBorders>
          </w:tcPr>
          <w:p w14:paraId="670B629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-Myrcene</w:t>
            </w:r>
          </w:p>
        </w:tc>
        <w:tc>
          <w:tcPr>
            <w:tcW w:w="1134" w:type="dxa"/>
            <w:tcBorders>
              <w:top w:val="dotted" w:sz="4" w:space="0" w:color="auto"/>
              <w:left w:val="dotted" w:sz="4" w:space="0" w:color="auto"/>
              <w:bottom w:val="dotted" w:sz="4" w:space="0" w:color="auto"/>
              <w:right w:val="dotted" w:sz="4" w:space="0" w:color="auto"/>
            </w:tcBorders>
          </w:tcPr>
          <w:p w14:paraId="3AD2111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27E6C88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1.02</w:t>
            </w:r>
          </w:p>
        </w:tc>
      </w:tr>
      <w:tr w:rsidR="00E049CB" w:rsidRPr="005E6B7C" w14:paraId="14820D8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4D9A95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7</w:t>
            </w:r>
          </w:p>
        </w:tc>
        <w:tc>
          <w:tcPr>
            <w:tcW w:w="1170" w:type="dxa"/>
            <w:tcBorders>
              <w:top w:val="dotted" w:sz="4" w:space="0" w:color="auto"/>
              <w:left w:val="dotted" w:sz="4" w:space="0" w:color="auto"/>
              <w:bottom w:val="dotted" w:sz="4" w:space="0" w:color="auto"/>
              <w:right w:val="dotted" w:sz="4" w:space="0" w:color="auto"/>
            </w:tcBorders>
          </w:tcPr>
          <w:p w14:paraId="0D42704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10.793</w:t>
            </w:r>
          </w:p>
        </w:tc>
        <w:tc>
          <w:tcPr>
            <w:tcW w:w="1170" w:type="dxa"/>
            <w:tcBorders>
              <w:top w:val="dotted" w:sz="4" w:space="0" w:color="auto"/>
              <w:left w:val="dotted" w:sz="4" w:space="0" w:color="auto"/>
              <w:bottom w:val="dotted" w:sz="4" w:space="0" w:color="auto"/>
              <w:right w:val="dotted" w:sz="4" w:space="0" w:color="auto"/>
            </w:tcBorders>
          </w:tcPr>
          <w:p w14:paraId="48DB4A4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1026</w:t>
            </w:r>
          </w:p>
        </w:tc>
        <w:tc>
          <w:tcPr>
            <w:tcW w:w="990" w:type="dxa"/>
            <w:tcBorders>
              <w:top w:val="dotted" w:sz="4" w:space="0" w:color="auto"/>
              <w:left w:val="dotted" w:sz="4" w:space="0" w:color="auto"/>
              <w:bottom w:val="dotted" w:sz="4" w:space="0" w:color="auto"/>
              <w:right w:val="dotted" w:sz="4" w:space="0" w:color="auto"/>
            </w:tcBorders>
          </w:tcPr>
          <w:p w14:paraId="1FBDA63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1025</w:t>
            </w:r>
          </w:p>
        </w:tc>
        <w:tc>
          <w:tcPr>
            <w:tcW w:w="3553" w:type="dxa"/>
            <w:tcBorders>
              <w:top w:val="dotted" w:sz="4" w:space="0" w:color="auto"/>
              <w:left w:val="dotted" w:sz="4" w:space="0" w:color="auto"/>
              <w:bottom w:val="dotted" w:sz="4" w:space="0" w:color="auto"/>
              <w:right w:val="dotted" w:sz="4" w:space="0" w:color="auto"/>
            </w:tcBorders>
          </w:tcPr>
          <w:p w14:paraId="499E61B3"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p</w:t>
            </w:r>
            <w:r w:rsidRPr="005E6B7C">
              <w:rPr>
                <w:rFonts w:asciiTheme="majorHAnsi" w:eastAsia="Yu Mincho" w:hAnsiTheme="majorHAnsi" w:cstheme="majorHAnsi"/>
                <w:color w:val="000000" w:themeColor="text1"/>
                <w:sz w:val="18"/>
                <w:szCs w:val="18"/>
                <w:lang w:eastAsia="ja-JP"/>
              </w:rPr>
              <w:t>-Cymene</w:t>
            </w:r>
          </w:p>
        </w:tc>
        <w:tc>
          <w:tcPr>
            <w:tcW w:w="1134" w:type="dxa"/>
            <w:tcBorders>
              <w:top w:val="dotted" w:sz="4" w:space="0" w:color="auto"/>
              <w:left w:val="dotted" w:sz="4" w:space="0" w:color="auto"/>
              <w:bottom w:val="dotted" w:sz="4" w:space="0" w:color="auto"/>
              <w:right w:val="dotted" w:sz="4" w:space="0" w:color="auto"/>
            </w:tcBorders>
          </w:tcPr>
          <w:p w14:paraId="5C16E21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w:t>
            </w:r>
            <w:r w:rsidRPr="005E6B7C">
              <w:rPr>
                <w:rFonts w:asciiTheme="majorHAnsi" w:eastAsia="Yu Mincho" w:hAnsiTheme="majorHAnsi" w:cstheme="majorHAnsi"/>
                <w:color w:val="000000" w:themeColor="text1"/>
                <w:sz w:val="18"/>
                <w:szCs w:val="18"/>
                <w:vertAlign w:val="subscript"/>
                <w:lang w:val="vi-VN" w:eastAsia="ja-JP"/>
              </w:rPr>
              <w:t>4</w:t>
            </w:r>
          </w:p>
        </w:tc>
        <w:tc>
          <w:tcPr>
            <w:tcW w:w="851" w:type="dxa"/>
            <w:tcBorders>
              <w:top w:val="dotted" w:sz="4" w:space="0" w:color="auto"/>
              <w:left w:val="dotted" w:sz="4" w:space="0" w:color="auto"/>
              <w:bottom w:val="dotted" w:sz="4" w:space="0" w:color="auto"/>
              <w:right w:val="dotted" w:sz="4" w:space="0" w:color="auto"/>
            </w:tcBorders>
          </w:tcPr>
          <w:p w14:paraId="74EBC8C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0.05</w:t>
            </w:r>
          </w:p>
        </w:tc>
      </w:tr>
      <w:tr w:rsidR="00E049CB" w:rsidRPr="005E6B7C" w14:paraId="4E0A752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C4EA7E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8</w:t>
            </w:r>
          </w:p>
        </w:tc>
        <w:tc>
          <w:tcPr>
            <w:tcW w:w="1170" w:type="dxa"/>
            <w:tcBorders>
              <w:top w:val="dotted" w:sz="4" w:space="0" w:color="auto"/>
              <w:left w:val="dotted" w:sz="4" w:space="0" w:color="auto"/>
              <w:bottom w:val="dotted" w:sz="4" w:space="0" w:color="auto"/>
              <w:right w:val="dotted" w:sz="4" w:space="0" w:color="auto"/>
            </w:tcBorders>
          </w:tcPr>
          <w:p w14:paraId="508CF06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10.966</w:t>
            </w:r>
          </w:p>
        </w:tc>
        <w:tc>
          <w:tcPr>
            <w:tcW w:w="1170" w:type="dxa"/>
            <w:tcBorders>
              <w:top w:val="dotted" w:sz="4" w:space="0" w:color="auto"/>
              <w:left w:val="dotted" w:sz="4" w:space="0" w:color="auto"/>
              <w:bottom w:val="dotted" w:sz="4" w:space="0" w:color="auto"/>
              <w:right w:val="dotted" w:sz="4" w:space="0" w:color="auto"/>
            </w:tcBorders>
          </w:tcPr>
          <w:p w14:paraId="49F0BB2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1030</w:t>
            </w:r>
          </w:p>
        </w:tc>
        <w:tc>
          <w:tcPr>
            <w:tcW w:w="990" w:type="dxa"/>
            <w:tcBorders>
              <w:top w:val="dotted" w:sz="4" w:space="0" w:color="auto"/>
              <w:left w:val="dotted" w:sz="4" w:space="0" w:color="auto"/>
              <w:bottom w:val="dotted" w:sz="4" w:space="0" w:color="auto"/>
              <w:right w:val="dotted" w:sz="4" w:space="0" w:color="auto"/>
            </w:tcBorders>
          </w:tcPr>
          <w:p w14:paraId="33487F1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1030</w:t>
            </w:r>
          </w:p>
        </w:tc>
        <w:tc>
          <w:tcPr>
            <w:tcW w:w="3553" w:type="dxa"/>
            <w:tcBorders>
              <w:top w:val="dotted" w:sz="4" w:space="0" w:color="auto"/>
              <w:left w:val="dotted" w:sz="4" w:space="0" w:color="auto"/>
              <w:bottom w:val="dotted" w:sz="4" w:space="0" w:color="auto"/>
              <w:right w:val="dotted" w:sz="4" w:space="0" w:color="auto"/>
            </w:tcBorders>
          </w:tcPr>
          <w:p w14:paraId="7F3F75FB"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-Limonene</w:t>
            </w:r>
          </w:p>
        </w:tc>
        <w:tc>
          <w:tcPr>
            <w:tcW w:w="1134" w:type="dxa"/>
            <w:tcBorders>
              <w:top w:val="dotted" w:sz="4" w:space="0" w:color="auto"/>
              <w:left w:val="dotted" w:sz="4" w:space="0" w:color="auto"/>
              <w:bottom w:val="dotted" w:sz="4" w:space="0" w:color="auto"/>
              <w:right w:val="dotted" w:sz="4" w:space="0" w:color="auto"/>
            </w:tcBorders>
          </w:tcPr>
          <w:p w14:paraId="409E10F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0AFE04C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1.68</w:t>
            </w:r>
          </w:p>
        </w:tc>
      </w:tr>
      <w:tr w:rsidR="00E049CB" w:rsidRPr="005E6B7C" w14:paraId="516514D4"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023E173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9</w:t>
            </w:r>
          </w:p>
        </w:tc>
        <w:tc>
          <w:tcPr>
            <w:tcW w:w="1170" w:type="dxa"/>
            <w:tcBorders>
              <w:top w:val="dotted" w:sz="4" w:space="0" w:color="auto"/>
              <w:left w:val="dotted" w:sz="4" w:space="0" w:color="auto"/>
              <w:bottom w:val="dotted" w:sz="4" w:space="0" w:color="auto"/>
              <w:right w:val="dotted" w:sz="4" w:space="0" w:color="auto"/>
            </w:tcBorders>
          </w:tcPr>
          <w:p w14:paraId="230E5B7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11.422</w:t>
            </w:r>
          </w:p>
        </w:tc>
        <w:tc>
          <w:tcPr>
            <w:tcW w:w="1170" w:type="dxa"/>
            <w:tcBorders>
              <w:top w:val="dotted" w:sz="4" w:space="0" w:color="auto"/>
              <w:left w:val="dotted" w:sz="4" w:space="0" w:color="auto"/>
              <w:bottom w:val="dotted" w:sz="4" w:space="0" w:color="auto"/>
              <w:right w:val="dotted" w:sz="4" w:space="0" w:color="auto"/>
            </w:tcBorders>
          </w:tcPr>
          <w:p w14:paraId="78D8026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1041</w:t>
            </w:r>
          </w:p>
        </w:tc>
        <w:tc>
          <w:tcPr>
            <w:tcW w:w="990" w:type="dxa"/>
            <w:tcBorders>
              <w:top w:val="dotted" w:sz="4" w:space="0" w:color="auto"/>
              <w:left w:val="dotted" w:sz="4" w:space="0" w:color="auto"/>
              <w:bottom w:val="dotted" w:sz="4" w:space="0" w:color="auto"/>
              <w:right w:val="dotted" w:sz="4" w:space="0" w:color="auto"/>
            </w:tcBorders>
          </w:tcPr>
          <w:p w14:paraId="11E12B4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1038</w:t>
            </w:r>
          </w:p>
        </w:tc>
        <w:tc>
          <w:tcPr>
            <w:tcW w:w="3553" w:type="dxa"/>
            <w:tcBorders>
              <w:top w:val="dotted" w:sz="4" w:space="0" w:color="auto"/>
              <w:left w:val="dotted" w:sz="4" w:space="0" w:color="auto"/>
              <w:bottom w:val="dotted" w:sz="4" w:space="0" w:color="auto"/>
              <w:right w:val="dotted" w:sz="4" w:space="0" w:color="auto"/>
            </w:tcBorders>
          </w:tcPr>
          <w:p w14:paraId="0645C7AB"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Z</w:t>
            </w:r>
            <w:r w:rsidRPr="005E6B7C">
              <w:rPr>
                <w:rFonts w:asciiTheme="majorHAnsi" w:eastAsia="Yu Mincho" w:hAnsiTheme="majorHAnsi" w:cstheme="majorHAnsi"/>
                <w:color w:val="000000" w:themeColor="text1"/>
                <w:sz w:val="18"/>
                <w:szCs w:val="18"/>
                <w:lang w:eastAsia="ja-JP"/>
              </w:rPr>
              <w:t>)-Ocimene</w:t>
            </w:r>
          </w:p>
        </w:tc>
        <w:tc>
          <w:tcPr>
            <w:tcW w:w="1134" w:type="dxa"/>
            <w:tcBorders>
              <w:top w:val="dotted" w:sz="4" w:space="0" w:color="auto"/>
              <w:left w:val="dotted" w:sz="4" w:space="0" w:color="auto"/>
              <w:bottom w:val="dotted" w:sz="4" w:space="0" w:color="auto"/>
              <w:right w:val="dotted" w:sz="4" w:space="0" w:color="auto"/>
            </w:tcBorders>
          </w:tcPr>
          <w:p w14:paraId="3E09972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10F9920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0.32</w:t>
            </w:r>
          </w:p>
        </w:tc>
      </w:tr>
      <w:tr w:rsidR="00E049CB" w:rsidRPr="005E6B7C" w14:paraId="0F8E236B"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DDCD88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w:t>
            </w:r>
          </w:p>
        </w:tc>
        <w:tc>
          <w:tcPr>
            <w:tcW w:w="1170" w:type="dxa"/>
            <w:tcBorders>
              <w:top w:val="dotted" w:sz="4" w:space="0" w:color="auto"/>
              <w:left w:val="dotted" w:sz="4" w:space="0" w:color="auto"/>
              <w:bottom w:val="dotted" w:sz="4" w:space="0" w:color="auto"/>
              <w:right w:val="dotted" w:sz="4" w:space="0" w:color="auto"/>
            </w:tcBorders>
          </w:tcPr>
          <w:p w14:paraId="0C6B0F1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11.653</w:t>
            </w:r>
          </w:p>
        </w:tc>
        <w:tc>
          <w:tcPr>
            <w:tcW w:w="1170" w:type="dxa"/>
            <w:tcBorders>
              <w:top w:val="dotted" w:sz="4" w:space="0" w:color="auto"/>
              <w:left w:val="dotted" w:sz="4" w:space="0" w:color="auto"/>
              <w:bottom w:val="dotted" w:sz="4" w:space="0" w:color="auto"/>
              <w:right w:val="dotted" w:sz="4" w:space="0" w:color="auto"/>
            </w:tcBorders>
          </w:tcPr>
          <w:p w14:paraId="022E44E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1047</w:t>
            </w:r>
          </w:p>
        </w:tc>
        <w:tc>
          <w:tcPr>
            <w:tcW w:w="990" w:type="dxa"/>
            <w:tcBorders>
              <w:top w:val="dotted" w:sz="4" w:space="0" w:color="auto"/>
              <w:left w:val="dotted" w:sz="4" w:space="0" w:color="auto"/>
              <w:bottom w:val="dotted" w:sz="4" w:space="0" w:color="auto"/>
              <w:right w:val="dotted" w:sz="4" w:space="0" w:color="auto"/>
            </w:tcBorders>
          </w:tcPr>
          <w:p w14:paraId="441685E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1045</w:t>
            </w:r>
          </w:p>
        </w:tc>
        <w:tc>
          <w:tcPr>
            <w:tcW w:w="3553" w:type="dxa"/>
            <w:tcBorders>
              <w:top w:val="dotted" w:sz="4" w:space="0" w:color="auto"/>
              <w:left w:val="dotted" w:sz="4" w:space="0" w:color="auto"/>
              <w:bottom w:val="dotted" w:sz="4" w:space="0" w:color="auto"/>
              <w:right w:val="dotted" w:sz="4" w:space="0" w:color="auto"/>
            </w:tcBorders>
          </w:tcPr>
          <w:p w14:paraId="2F1B8793"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1-Methylhexyl acetate</w:t>
            </w:r>
          </w:p>
        </w:tc>
        <w:tc>
          <w:tcPr>
            <w:tcW w:w="1134" w:type="dxa"/>
            <w:tcBorders>
              <w:top w:val="dotted" w:sz="4" w:space="0" w:color="auto"/>
              <w:left w:val="dotted" w:sz="4" w:space="0" w:color="auto"/>
              <w:bottom w:val="dotted" w:sz="4" w:space="0" w:color="auto"/>
              <w:right w:val="dotted" w:sz="4" w:space="0" w:color="auto"/>
            </w:tcBorders>
          </w:tcPr>
          <w:p w14:paraId="4E2CD3A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9</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r w:rsidRPr="005E6B7C">
              <w:rPr>
                <w:rFonts w:asciiTheme="majorHAnsi" w:eastAsia="Yu Mincho" w:hAnsiTheme="majorHAnsi" w:cstheme="majorHAnsi"/>
                <w:color w:val="000000" w:themeColor="text1"/>
                <w:sz w:val="18"/>
                <w:szCs w:val="18"/>
                <w:lang w:eastAsia="ja-JP"/>
              </w:rPr>
              <w:t>O</w:t>
            </w:r>
            <w:r w:rsidRPr="005E6B7C">
              <w:rPr>
                <w:rFonts w:asciiTheme="majorHAnsi" w:eastAsia="Yu Mincho" w:hAnsiTheme="majorHAnsi" w:cstheme="majorHAnsi"/>
                <w:color w:val="000000" w:themeColor="text1"/>
                <w:sz w:val="18"/>
                <w:szCs w:val="18"/>
                <w:vertAlign w:val="subscript"/>
                <w:lang w:eastAsia="ja-JP"/>
              </w:rPr>
              <w:t>2</w:t>
            </w:r>
          </w:p>
        </w:tc>
        <w:tc>
          <w:tcPr>
            <w:tcW w:w="851" w:type="dxa"/>
            <w:tcBorders>
              <w:top w:val="dotted" w:sz="4" w:space="0" w:color="auto"/>
              <w:left w:val="dotted" w:sz="4" w:space="0" w:color="auto"/>
              <w:bottom w:val="dotted" w:sz="4" w:space="0" w:color="auto"/>
              <w:right w:val="dotted" w:sz="4" w:space="0" w:color="auto"/>
            </w:tcBorders>
          </w:tcPr>
          <w:p w14:paraId="28C1029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0.37</w:t>
            </w:r>
          </w:p>
        </w:tc>
      </w:tr>
      <w:tr w:rsidR="00E049CB" w:rsidRPr="005E6B7C" w14:paraId="7B96BA73"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AF1864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w:t>
            </w:r>
          </w:p>
        </w:tc>
        <w:tc>
          <w:tcPr>
            <w:tcW w:w="1170" w:type="dxa"/>
            <w:tcBorders>
              <w:top w:val="dotted" w:sz="4" w:space="0" w:color="auto"/>
              <w:left w:val="dotted" w:sz="4" w:space="0" w:color="auto"/>
              <w:bottom w:val="dotted" w:sz="4" w:space="0" w:color="auto"/>
              <w:right w:val="dotted" w:sz="4" w:space="0" w:color="auto"/>
            </w:tcBorders>
          </w:tcPr>
          <w:p w14:paraId="7EBA2E4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11.873</w:t>
            </w:r>
          </w:p>
        </w:tc>
        <w:tc>
          <w:tcPr>
            <w:tcW w:w="1170" w:type="dxa"/>
            <w:tcBorders>
              <w:top w:val="dotted" w:sz="4" w:space="0" w:color="auto"/>
              <w:left w:val="dotted" w:sz="4" w:space="0" w:color="auto"/>
              <w:bottom w:val="dotted" w:sz="4" w:space="0" w:color="auto"/>
              <w:right w:val="dotted" w:sz="4" w:space="0" w:color="auto"/>
            </w:tcBorders>
          </w:tcPr>
          <w:p w14:paraId="478E791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1052</w:t>
            </w:r>
          </w:p>
        </w:tc>
        <w:tc>
          <w:tcPr>
            <w:tcW w:w="990" w:type="dxa"/>
            <w:tcBorders>
              <w:top w:val="dotted" w:sz="4" w:space="0" w:color="auto"/>
              <w:left w:val="dotted" w:sz="4" w:space="0" w:color="auto"/>
              <w:bottom w:val="dotted" w:sz="4" w:space="0" w:color="auto"/>
              <w:right w:val="dotted" w:sz="4" w:space="0" w:color="auto"/>
            </w:tcBorders>
          </w:tcPr>
          <w:p w14:paraId="3FC847C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1049</w:t>
            </w:r>
          </w:p>
        </w:tc>
        <w:tc>
          <w:tcPr>
            <w:tcW w:w="3553" w:type="dxa"/>
            <w:tcBorders>
              <w:top w:val="dotted" w:sz="4" w:space="0" w:color="auto"/>
              <w:left w:val="dotted" w:sz="4" w:space="0" w:color="auto"/>
              <w:bottom w:val="dotted" w:sz="4" w:space="0" w:color="auto"/>
              <w:right w:val="dotted" w:sz="4" w:space="0" w:color="auto"/>
            </w:tcBorders>
          </w:tcPr>
          <w:p w14:paraId="0176E17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)-Ocimene</w:t>
            </w:r>
          </w:p>
        </w:tc>
        <w:tc>
          <w:tcPr>
            <w:tcW w:w="1134" w:type="dxa"/>
            <w:tcBorders>
              <w:top w:val="dotted" w:sz="4" w:space="0" w:color="auto"/>
              <w:left w:val="dotted" w:sz="4" w:space="0" w:color="auto"/>
              <w:bottom w:val="dotted" w:sz="4" w:space="0" w:color="auto"/>
              <w:right w:val="dotted" w:sz="4" w:space="0" w:color="auto"/>
            </w:tcBorders>
          </w:tcPr>
          <w:p w14:paraId="48B40D8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3E77236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3.89</w:t>
            </w:r>
          </w:p>
        </w:tc>
      </w:tr>
      <w:tr w:rsidR="00E049CB" w:rsidRPr="005E6B7C" w14:paraId="456205B1"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07BD44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12</w:t>
            </w:r>
          </w:p>
        </w:tc>
        <w:tc>
          <w:tcPr>
            <w:tcW w:w="1170" w:type="dxa"/>
            <w:tcBorders>
              <w:top w:val="dotted" w:sz="4" w:space="0" w:color="auto"/>
              <w:left w:val="dotted" w:sz="4" w:space="0" w:color="auto"/>
              <w:bottom w:val="dotted" w:sz="4" w:space="0" w:color="auto"/>
              <w:right w:val="dotted" w:sz="4" w:space="0" w:color="auto"/>
            </w:tcBorders>
          </w:tcPr>
          <w:p w14:paraId="098B5D1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12.282</w:t>
            </w:r>
          </w:p>
        </w:tc>
        <w:tc>
          <w:tcPr>
            <w:tcW w:w="1170" w:type="dxa"/>
            <w:tcBorders>
              <w:top w:val="dotted" w:sz="4" w:space="0" w:color="auto"/>
              <w:left w:val="dotted" w:sz="4" w:space="0" w:color="auto"/>
              <w:bottom w:val="dotted" w:sz="4" w:space="0" w:color="auto"/>
              <w:right w:val="dotted" w:sz="4" w:space="0" w:color="auto"/>
            </w:tcBorders>
          </w:tcPr>
          <w:p w14:paraId="427E34A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1061</w:t>
            </w:r>
          </w:p>
        </w:tc>
        <w:tc>
          <w:tcPr>
            <w:tcW w:w="990" w:type="dxa"/>
            <w:tcBorders>
              <w:top w:val="dotted" w:sz="4" w:space="0" w:color="auto"/>
              <w:left w:val="dotted" w:sz="4" w:space="0" w:color="auto"/>
              <w:bottom w:val="dotted" w:sz="4" w:space="0" w:color="auto"/>
              <w:right w:val="dotted" w:sz="4" w:space="0" w:color="auto"/>
            </w:tcBorders>
          </w:tcPr>
          <w:p w14:paraId="7EB6146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1060</w:t>
            </w:r>
          </w:p>
        </w:tc>
        <w:tc>
          <w:tcPr>
            <w:tcW w:w="3553" w:type="dxa"/>
            <w:tcBorders>
              <w:top w:val="dotted" w:sz="4" w:space="0" w:color="auto"/>
              <w:left w:val="dotted" w:sz="4" w:space="0" w:color="auto"/>
              <w:bottom w:val="dotted" w:sz="4" w:space="0" w:color="auto"/>
              <w:right w:val="dotted" w:sz="4" w:space="0" w:color="auto"/>
            </w:tcBorders>
          </w:tcPr>
          <w:p w14:paraId="2A3A70D1"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γ</w:t>
            </w:r>
            <w:r w:rsidRPr="005E6B7C">
              <w:rPr>
                <w:rFonts w:asciiTheme="majorHAnsi" w:eastAsia="Yu Mincho" w:hAnsiTheme="majorHAnsi" w:cstheme="majorHAnsi"/>
                <w:color w:val="000000" w:themeColor="text1"/>
                <w:sz w:val="18"/>
                <w:szCs w:val="18"/>
                <w:lang w:eastAsia="ja-JP"/>
              </w:rPr>
              <w:t>-Terpinene</w:t>
            </w:r>
          </w:p>
        </w:tc>
        <w:tc>
          <w:tcPr>
            <w:tcW w:w="1134" w:type="dxa"/>
            <w:tcBorders>
              <w:top w:val="dotted" w:sz="4" w:space="0" w:color="auto"/>
              <w:left w:val="dotted" w:sz="4" w:space="0" w:color="auto"/>
              <w:bottom w:val="dotted" w:sz="4" w:space="0" w:color="auto"/>
              <w:right w:val="dotted" w:sz="4" w:space="0" w:color="auto"/>
            </w:tcBorders>
          </w:tcPr>
          <w:p w14:paraId="1F06C5E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61E265A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0.16</w:t>
            </w:r>
          </w:p>
        </w:tc>
      </w:tr>
      <w:tr w:rsidR="00E049CB" w:rsidRPr="005E6B7C" w14:paraId="7ADCF46E"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C812B3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w:t>
            </w:r>
          </w:p>
        </w:tc>
        <w:tc>
          <w:tcPr>
            <w:tcW w:w="1170" w:type="dxa"/>
            <w:tcBorders>
              <w:top w:val="dotted" w:sz="4" w:space="0" w:color="auto"/>
              <w:left w:val="dotted" w:sz="4" w:space="0" w:color="auto"/>
              <w:bottom w:val="dotted" w:sz="4" w:space="0" w:color="auto"/>
              <w:right w:val="dotted" w:sz="4" w:space="0" w:color="auto"/>
            </w:tcBorders>
          </w:tcPr>
          <w:p w14:paraId="6263EDF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13.576</w:t>
            </w:r>
          </w:p>
        </w:tc>
        <w:tc>
          <w:tcPr>
            <w:tcW w:w="1170" w:type="dxa"/>
            <w:tcBorders>
              <w:top w:val="dotted" w:sz="4" w:space="0" w:color="auto"/>
              <w:left w:val="dotted" w:sz="4" w:space="0" w:color="auto"/>
              <w:bottom w:val="dotted" w:sz="4" w:space="0" w:color="auto"/>
              <w:right w:val="dotted" w:sz="4" w:space="0" w:color="auto"/>
            </w:tcBorders>
          </w:tcPr>
          <w:p w14:paraId="2EAD08C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1088</w:t>
            </w:r>
          </w:p>
        </w:tc>
        <w:tc>
          <w:tcPr>
            <w:tcW w:w="990" w:type="dxa"/>
            <w:tcBorders>
              <w:top w:val="dotted" w:sz="4" w:space="0" w:color="auto"/>
              <w:left w:val="dotted" w:sz="4" w:space="0" w:color="auto"/>
              <w:bottom w:val="dotted" w:sz="4" w:space="0" w:color="auto"/>
              <w:right w:val="dotted" w:sz="4" w:space="0" w:color="auto"/>
            </w:tcBorders>
          </w:tcPr>
          <w:p w14:paraId="3F36914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1088</w:t>
            </w:r>
          </w:p>
        </w:tc>
        <w:tc>
          <w:tcPr>
            <w:tcW w:w="3553" w:type="dxa"/>
            <w:tcBorders>
              <w:top w:val="dotted" w:sz="4" w:space="0" w:color="auto"/>
              <w:left w:val="dotted" w:sz="4" w:space="0" w:color="auto"/>
              <w:bottom w:val="dotted" w:sz="4" w:space="0" w:color="auto"/>
              <w:right w:val="dotted" w:sz="4" w:space="0" w:color="auto"/>
            </w:tcBorders>
          </w:tcPr>
          <w:p w14:paraId="2B7072F0"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-Terpinolene</w:t>
            </w:r>
          </w:p>
        </w:tc>
        <w:tc>
          <w:tcPr>
            <w:tcW w:w="1134" w:type="dxa"/>
            <w:tcBorders>
              <w:top w:val="dotted" w:sz="4" w:space="0" w:color="auto"/>
              <w:left w:val="dotted" w:sz="4" w:space="0" w:color="auto"/>
              <w:bottom w:val="dotted" w:sz="4" w:space="0" w:color="auto"/>
              <w:right w:val="dotted" w:sz="4" w:space="0" w:color="auto"/>
            </w:tcBorders>
          </w:tcPr>
          <w:p w14:paraId="13F63DB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68AAC88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0.26</w:t>
            </w:r>
          </w:p>
        </w:tc>
      </w:tr>
      <w:tr w:rsidR="00E049CB" w:rsidRPr="005E6B7C" w14:paraId="644B58AA"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099A220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w:t>
            </w:r>
          </w:p>
        </w:tc>
        <w:tc>
          <w:tcPr>
            <w:tcW w:w="1170" w:type="dxa"/>
            <w:tcBorders>
              <w:top w:val="dotted" w:sz="4" w:space="0" w:color="auto"/>
              <w:left w:val="dotted" w:sz="4" w:space="0" w:color="auto"/>
              <w:bottom w:val="dotted" w:sz="4" w:space="0" w:color="auto"/>
              <w:right w:val="dotted" w:sz="4" w:space="0" w:color="auto"/>
            </w:tcBorders>
          </w:tcPr>
          <w:p w14:paraId="791899B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14.148</w:t>
            </w:r>
          </w:p>
        </w:tc>
        <w:tc>
          <w:tcPr>
            <w:tcW w:w="1170" w:type="dxa"/>
            <w:tcBorders>
              <w:top w:val="dotted" w:sz="4" w:space="0" w:color="auto"/>
              <w:left w:val="dotted" w:sz="4" w:space="0" w:color="auto"/>
              <w:bottom w:val="dotted" w:sz="4" w:space="0" w:color="auto"/>
              <w:right w:val="dotted" w:sz="4" w:space="0" w:color="auto"/>
            </w:tcBorders>
          </w:tcPr>
          <w:p w14:paraId="3FCD271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1099</w:t>
            </w:r>
          </w:p>
        </w:tc>
        <w:tc>
          <w:tcPr>
            <w:tcW w:w="990" w:type="dxa"/>
            <w:tcBorders>
              <w:top w:val="dotted" w:sz="4" w:space="0" w:color="auto"/>
              <w:left w:val="dotted" w:sz="4" w:space="0" w:color="auto"/>
              <w:bottom w:val="dotted" w:sz="4" w:space="0" w:color="auto"/>
              <w:right w:val="dotted" w:sz="4" w:space="0" w:color="auto"/>
            </w:tcBorders>
          </w:tcPr>
          <w:p w14:paraId="3C6281A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1099</w:t>
            </w:r>
          </w:p>
        </w:tc>
        <w:tc>
          <w:tcPr>
            <w:tcW w:w="3553" w:type="dxa"/>
            <w:tcBorders>
              <w:top w:val="dotted" w:sz="4" w:space="0" w:color="auto"/>
              <w:left w:val="dotted" w:sz="4" w:space="0" w:color="auto"/>
              <w:bottom w:val="dotted" w:sz="4" w:space="0" w:color="auto"/>
              <w:right w:val="dotted" w:sz="4" w:space="0" w:color="auto"/>
            </w:tcBorders>
          </w:tcPr>
          <w:p w14:paraId="2A143EF4"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-Linalool</w:t>
            </w:r>
          </w:p>
        </w:tc>
        <w:tc>
          <w:tcPr>
            <w:tcW w:w="1134" w:type="dxa"/>
            <w:tcBorders>
              <w:top w:val="dotted" w:sz="4" w:space="0" w:color="auto"/>
              <w:left w:val="dotted" w:sz="4" w:space="0" w:color="auto"/>
              <w:bottom w:val="dotted" w:sz="4" w:space="0" w:color="auto"/>
              <w:right w:val="dotted" w:sz="4" w:space="0" w:color="auto"/>
            </w:tcBorders>
          </w:tcPr>
          <w:p w14:paraId="65BFF05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0F73B09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0.06</w:t>
            </w:r>
          </w:p>
        </w:tc>
      </w:tr>
      <w:tr w:rsidR="00E049CB" w:rsidRPr="005E6B7C" w14:paraId="3142FC46"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995659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w:t>
            </w:r>
          </w:p>
        </w:tc>
        <w:tc>
          <w:tcPr>
            <w:tcW w:w="1170" w:type="dxa"/>
            <w:tcBorders>
              <w:top w:val="dotted" w:sz="4" w:space="0" w:color="auto"/>
              <w:left w:val="dotted" w:sz="4" w:space="0" w:color="auto"/>
              <w:bottom w:val="dotted" w:sz="4" w:space="0" w:color="auto"/>
              <w:right w:val="dotted" w:sz="4" w:space="0" w:color="auto"/>
            </w:tcBorders>
          </w:tcPr>
          <w:p w14:paraId="3367716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14.913</w:t>
            </w:r>
          </w:p>
        </w:tc>
        <w:tc>
          <w:tcPr>
            <w:tcW w:w="1170" w:type="dxa"/>
            <w:tcBorders>
              <w:top w:val="dotted" w:sz="4" w:space="0" w:color="auto"/>
              <w:left w:val="dotted" w:sz="4" w:space="0" w:color="auto"/>
              <w:bottom w:val="dotted" w:sz="4" w:space="0" w:color="auto"/>
              <w:right w:val="dotted" w:sz="4" w:space="0" w:color="auto"/>
            </w:tcBorders>
          </w:tcPr>
          <w:p w14:paraId="2275651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1118</w:t>
            </w:r>
          </w:p>
        </w:tc>
        <w:tc>
          <w:tcPr>
            <w:tcW w:w="990" w:type="dxa"/>
            <w:tcBorders>
              <w:top w:val="dotted" w:sz="4" w:space="0" w:color="auto"/>
              <w:left w:val="dotted" w:sz="4" w:space="0" w:color="auto"/>
              <w:bottom w:val="dotted" w:sz="4" w:space="0" w:color="auto"/>
              <w:right w:val="dotted" w:sz="4" w:space="0" w:color="auto"/>
            </w:tcBorders>
          </w:tcPr>
          <w:p w14:paraId="0CB2F3F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1116</w:t>
            </w:r>
          </w:p>
        </w:tc>
        <w:tc>
          <w:tcPr>
            <w:tcW w:w="3553" w:type="dxa"/>
            <w:tcBorders>
              <w:top w:val="dotted" w:sz="4" w:space="0" w:color="auto"/>
              <w:left w:val="dotted" w:sz="4" w:space="0" w:color="auto"/>
              <w:bottom w:val="dotted" w:sz="4" w:space="0" w:color="auto"/>
              <w:right w:val="dotted" w:sz="4" w:space="0" w:color="auto"/>
            </w:tcBorders>
          </w:tcPr>
          <w:p w14:paraId="484582A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)-4,8-Dimethylnona-1,3,7-triene</w:t>
            </w:r>
          </w:p>
        </w:tc>
        <w:tc>
          <w:tcPr>
            <w:tcW w:w="1134" w:type="dxa"/>
            <w:tcBorders>
              <w:top w:val="dotted" w:sz="4" w:space="0" w:color="auto"/>
              <w:left w:val="dotted" w:sz="4" w:space="0" w:color="auto"/>
              <w:bottom w:val="dotted" w:sz="4" w:space="0" w:color="auto"/>
              <w:right w:val="dotted" w:sz="4" w:space="0" w:color="auto"/>
            </w:tcBorders>
          </w:tcPr>
          <w:p w14:paraId="2DB1FE2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11</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p>
        </w:tc>
        <w:tc>
          <w:tcPr>
            <w:tcW w:w="851" w:type="dxa"/>
            <w:tcBorders>
              <w:top w:val="dotted" w:sz="4" w:space="0" w:color="auto"/>
              <w:left w:val="dotted" w:sz="4" w:space="0" w:color="auto"/>
              <w:bottom w:val="dotted" w:sz="4" w:space="0" w:color="auto"/>
              <w:right w:val="dotted" w:sz="4" w:space="0" w:color="auto"/>
            </w:tcBorders>
          </w:tcPr>
          <w:p w14:paraId="20712FC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2.11</w:t>
            </w:r>
          </w:p>
        </w:tc>
      </w:tr>
      <w:tr w:rsidR="00E049CB" w:rsidRPr="005E6B7C" w14:paraId="29E4D0C9"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71D4E37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w:t>
            </w:r>
          </w:p>
        </w:tc>
        <w:tc>
          <w:tcPr>
            <w:tcW w:w="1170" w:type="dxa"/>
            <w:tcBorders>
              <w:top w:val="dotted" w:sz="4" w:space="0" w:color="auto"/>
              <w:left w:val="dotted" w:sz="4" w:space="0" w:color="auto"/>
              <w:bottom w:val="dotted" w:sz="4" w:space="0" w:color="auto"/>
              <w:right w:val="dotted" w:sz="4" w:space="0" w:color="auto"/>
            </w:tcBorders>
          </w:tcPr>
          <w:p w14:paraId="0F283F5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15.453</w:t>
            </w:r>
          </w:p>
        </w:tc>
        <w:tc>
          <w:tcPr>
            <w:tcW w:w="1170" w:type="dxa"/>
            <w:tcBorders>
              <w:top w:val="dotted" w:sz="4" w:space="0" w:color="auto"/>
              <w:left w:val="dotted" w:sz="4" w:space="0" w:color="auto"/>
              <w:bottom w:val="dotted" w:sz="4" w:space="0" w:color="auto"/>
              <w:right w:val="dotted" w:sz="4" w:space="0" w:color="auto"/>
            </w:tcBorders>
          </w:tcPr>
          <w:p w14:paraId="16132CC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1131</w:t>
            </w:r>
          </w:p>
        </w:tc>
        <w:tc>
          <w:tcPr>
            <w:tcW w:w="990" w:type="dxa"/>
            <w:tcBorders>
              <w:top w:val="dotted" w:sz="4" w:space="0" w:color="auto"/>
              <w:left w:val="dotted" w:sz="4" w:space="0" w:color="auto"/>
              <w:bottom w:val="dotted" w:sz="4" w:space="0" w:color="auto"/>
              <w:right w:val="dotted" w:sz="4" w:space="0" w:color="auto"/>
            </w:tcBorders>
          </w:tcPr>
          <w:p w14:paraId="78AA646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1131</w:t>
            </w:r>
          </w:p>
        </w:tc>
        <w:tc>
          <w:tcPr>
            <w:tcW w:w="3553" w:type="dxa"/>
            <w:tcBorders>
              <w:top w:val="dotted" w:sz="4" w:space="0" w:color="auto"/>
              <w:left w:val="dotted" w:sz="4" w:space="0" w:color="auto"/>
              <w:bottom w:val="dotted" w:sz="4" w:space="0" w:color="auto"/>
              <w:right w:val="dotted" w:sz="4" w:space="0" w:color="auto"/>
            </w:tcBorders>
          </w:tcPr>
          <w:p w14:paraId="3BDB8D07"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i/>
                <w:color w:val="000000" w:themeColor="text1"/>
                <w:sz w:val="18"/>
                <w:szCs w:val="18"/>
                <w:lang w:eastAsia="ja-JP"/>
              </w:rPr>
              <w:t>Z</w:t>
            </w:r>
            <w:r w:rsidRPr="005E6B7C">
              <w:rPr>
                <w:rFonts w:asciiTheme="majorHAnsi" w:eastAsia="Yu Mincho" w:hAnsiTheme="majorHAnsi" w:cstheme="majorHAnsi"/>
                <w:color w:val="000000" w:themeColor="text1"/>
                <w:sz w:val="18"/>
                <w:szCs w:val="18"/>
                <w:lang w:eastAsia="ja-JP"/>
              </w:rPr>
              <w:t>)-allo-Ocimene</w:t>
            </w:r>
          </w:p>
        </w:tc>
        <w:tc>
          <w:tcPr>
            <w:tcW w:w="1134" w:type="dxa"/>
            <w:tcBorders>
              <w:top w:val="dotted" w:sz="4" w:space="0" w:color="auto"/>
              <w:left w:val="dotted" w:sz="4" w:space="0" w:color="auto"/>
              <w:bottom w:val="dotted" w:sz="4" w:space="0" w:color="auto"/>
              <w:right w:val="dotted" w:sz="4" w:space="0" w:color="auto"/>
            </w:tcBorders>
          </w:tcPr>
          <w:p w14:paraId="70BE20E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16</w:t>
            </w:r>
          </w:p>
        </w:tc>
        <w:tc>
          <w:tcPr>
            <w:tcW w:w="851" w:type="dxa"/>
            <w:tcBorders>
              <w:top w:val="dotted" w:sz="4" w:space="0" w:color="auto"/>
              <w:left w:val="dotted" w:sz="4" w:space="0" w:color="auto"/>
              <w:bottom w:val="dotted" w:sz="4" w:space="0" w:color="auto"/>
              <w:right w:val="dotted" w:sz="4" w:space="0" w:color="auto"/>
            </w:tcBorders>
          </w:tcPr>
          <w:p w14:paraId="490041B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0.07</w:t>
            </w:r>
          </w:p>
        </w:tc>
      </w:tr>
      <w:tr w:rsidR="00E049CB" w:rsidRPr="005E6B7C" w14:paraId="0354EFC1"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4A2A6C5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17</w:t>
            </w:r>
          </w:p>
        </w:tc>
        <w:tc>
          <w:tcPr>
            <w:tcW w:w="1170" w:type="dxa"/>
            <w:tcBorders>
              <w:top w:val="dotted" w:sz="4" w:space="0" w:color="auto"/>
              <w:left w:val="dotted" w:sz="4" w:space="0" w:color="auto"/>
              <w:bottom w:val="dotted" w:sz="4" w:space="0" w:color="auto"/>
              <w:right w:val="dotted" w:sz="4" w:space="0" w:color="auto"/>
            </w:tcBorders>
          </w:tcPr>
          <w:p w14:paraId="588A02D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17.592</w:t>
            </w:r>
          </w:p>
        </w:tc>
        <w:tc>
          <w:tcPr>
            <w:tcW w:w="1170" w:type="dxa"/>
            <w:tcBorders>
              <w:top w:val="dotted" w:sz="4" w:space="0" w:color="auto"/>
              <w:left w:val="dotted" w:sz="4" w:space="0" w:color="auto"/>
              <w:bottom w:val="dotted" w:sz="4" w:space="0" w:color="auto"/>
              <w:right w:val="dotted" w:sz="4" w:space="0" w:color="auto"/>
            </w:tcBorders>
          </w:tcPr>
          <w:p w14:paraId="419CD54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1178</w:t>
            </w:r>
          </w:p>
        </w:tc>
        <w:tc>
          <w:tcPr>
            <w:tcW w:w="990" w:type="dxa"/>
            <w:tcBorders>
              <w:top w:val="dotted" w:sz="4" w:space="0" w:color="auto"/>
              <w:left w:val="dotted" w:sz="4" w:space="0" w:color="auto"/>
              <w:bottom w:val="dotted" w:sz="4" w:space="0" w:color="auto"/>
              <w:right w:val="dotted" w:sz="4" w:space="0" w:color="auto"/>
            </w:tcBorders>
          </w:tcPr>
          <w:p w14:paraId="38AE6AA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1177</w:t>
            </w:r>
          </w:p>
        </w:tc>
        <w:tc>
          <w:tcPr>
            <w:tcW w:w="3553" w:type="dxa"/>
            <w:tcBorders>
              <w:top w:val="dotted" w:sz="4" w:space="0" w:color="auto"/>
              <w:left w:val="dotted" w:sz="4" w:space="0" w:color="auto"/>
              <w:bottom w:val="dotted" w:sz="4" w:space="0" w:color="auto"/>
              <w:right w:val="dotted" w:sz="4" w:space="0" w:color="auto"/>
            </w:tcBorders>
          </w:tcPr>
          <w:p w14:paraId="163E06B9"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Terpinen-4-ol</w:t>
            </w:r>
          </w:p>
        </w:tc>
        <w:tc>
          <w:tcPr>
            <w:tcW w:w="1134" w:type="dxa"/>
            <w:tcBorders>
              <w:top w:val="dotted" w:sz="4" w:space="0" w:color="auto"/>
              <w:left w:val="dotted" w:sz="4" w:space="0" w:color="auto"/>
              <w:bottom w:val="dotted" w:sz="4" w:space="0" w:color="auto"/>
              <w:right w:val="dotted" w:sz="4" w:space="0" w:color="auto"/>
            </w:tcBorders>
          </w:tcPr>
          <w:p w14:paraId="6494A55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35972AE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0.07</w:t>
            </w:r>
          </w:p>
        </w:tc>
      </w:tr>
      <w:tr w:rsidR="00E049CB" w:rsidRPr="005E6B7C" w14:paraId="2E7074C4"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C7E75C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18</w:t>
            </w:r>
          </w:p>
        </w:tc>
        <w:tc>
          <w:tcPr>
            <w:tcW w:w="1170" w:type="dxa"/>
            <w:tcBorders>
              <w:top w:val="dotted" w:sz="4" w:space="0" w:color="auto"/>
              <w:left w:val="dotted" w:sz="4" w:space="0" w:color="auto"/>
              <w:bottom w:val="dotted" w:sz="4" w:space="0" w:color="auto"/>
              <w:right w:val="dotted" w:sz="4" w:space="0" w:color="auto"/>
            </w:tcBorders>
          </w:tcPr>
          <w:p w14:paraId="4A7A76F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18.132</w:t>
            </w:r>
          </w:p>
        </w:tc>
        <w:tc>
          <w:tcPr>
            <w:tcW w:w="1170" w:type="dxa"/>
            <w:tcBorders>
              <w:top w:val="dotted" w:sz="4" w:space="0" w:color="auto"/>
              <w:left w:val="dotted" w:sz="4" w:space="0" w:color="auto"/>
              <w:bottom w:val="dotted" w:sz="4" w:space="0" w:color="auto"/>
              <w:right w:val="dotted" w:sz="4" w:space="0" w:color="auto"/>
            </w:tcBorders>
          </w:tcPr>
          <w:p w14:paraId="5732E0B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1188</w:t>
            </w:r>
          </w:p>
        </w:tc>
        <w:tc>
          <w:tcPr>
            <w:tcW w:w="990" w:type="dxa"/>
            <w:tcBorders>
              <w:top w:val="dotted" w:sz="4" w:space="0" w:color="auto"/>
              <w:left w:val="dotted" w:sz="4" w:space="0" w:color="auto"/>
              <w:bottom w:val="dotted" w:sz="4" w:space="0" w:color="auto"/>
              <w:right w:val="dotted" w:sz="4" w:space="0" w:color="auto"/>
            </w:tcBorders>
          </w:tcPr>
          <w:p w14:paraId="55E4619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1187</w:t>
            </w:r>
          </w:p>
        </w:tc>
        <w:tc>
          <w:tcPr>
            <w:tcW w:w="3553" w:type="dxa"/>
            <w:tcBorders>
              <w:top w:val="dotted" w:sz="4" w:space="0" w:color="auto"/>
              <w:left w:val="dotted" w:sz="4" w:space="0" w:color="auto"/>
              <w:bottom w:val="dotted" w:sz="4" w:space="0" w:color="auto"/>
              <w:right w:val="dotted" w:sz="4" w:space="0" w:color="auto"/>
            </w:tcBorders>
          </w:tcPr>
          <w:p w14:paraId="357FC647"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Z</w:t>
            </w:r>
            <w:r w:rsidRPr="005E6B7C">
              <w:rPr>
                <w:rFonts w:asciiTheme="majorHAnsi" w:eastAsia="Yu Mincho" w:hAnsiTheme="majorHAnsi" w:cstheme="majorHAnsi"/>
                <w:color w:val="000000" w:themeColor="text1"/>
                <w:sz w:val="18"/>
                <w:szCs w:val="18"/>
                <w:lang w:eastAsia="ja-JP"/>
              </w:rPr>
              <w:t>)-Hex-3-enyl butanoate</w:t>
            </w:r>
          </w:p>
        </w:tc>
        <w:tc>
          <w:tcPr>
            <w:tcW w:w="1134" w:type="dxa"/>
            <w:tcBorders>
              <w:top w:val="dotted" w:sz="4" w:space="0" w:color="auto"/>
              <w:left w:val="dotted" w:sz="4" w:space="0" w:color="auto"/>
              <w:bottom w:val="dotted" w:sz="4" w:space="0" w:color="auto"/>
              <w:right w:val="dotted" w:sz="4" w:space="0" w:color="auto"/>
            </w:tcBorders>
          </w:tcPr>
          <w:p w14:paraId="01E65A0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r w:rsidRPr="005E6B7C">
              <w:rPr>
                <w:rFonts w:asciiTheme="majorHAnsi" w:eastAsia="Yu Mincho" w:hAnsiTheme="majorHAnsi" w:cstheme="majorHAnsi"/>
                <w:color w:val="000000" w:themeColor="text1"/>
                <w:sz w:val="18"/>
                <w:szCs w:val="18"/>
                <w:lang w:eastAsia="ja-JP"/>
              </w:rPr>
              <w:t>O</w:t>
            </w:r>
            <w:r w:rsidRPr="005E6B7C">
              <w:rPr>
                <w:rFonts w:asciiTheme="majorHAnsi" w:eastAsia="Yu Mincho" w:hAnsiTheme="majorHAnsi" w:cstheme="majorHAnsi"/>
                <w:color w:val="000000" w:themeColor="text1"/>
                <w:sz w:val="18"/>
                <w:szCs w:val="18"/>
                <w:vertAlign w:val="subscript"/>
                <w:lang w:eastAsia="ja-JP"/>
              </w:rPr>
              <w:t>2</w:t>
            </w:r>
          </w:p>
        </w:tc>
        <w:tc>
          <w:tcPr>
            <w:tcW w:w="851" w:type="dxa"/>
            <w:tcBorders>
              <w:top w:val="dotted" w:sz="4" w:space="0" w:color="auto"/>
              <w:left w:val="dotted" w:sz="4" w:space="0" w:color="auto"/>
              <w:bottom w:val="dotted" w:sz="4" w:space="0" w:color="auto"/>
              <w:right w:val="dotted" w:sz="4" w:space="0" w:color="auto"/>
            </w:tcBorders>
          </w:tcPr>
          <w:p w14:paraId="7D1875E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0.06</w:t>
            </w:r>
          </w:p>
        </w:tc>
      </w:tr>
      <w:tr w:rsidR="00E049CB" w:rsidRPr="005E6B7C" w14:paraId="65398E27"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B3C5D3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19</w:t>
            </w:r>
          </w:p>
        </w:tc>
        <w:tc>
          <w:tcPr>
            <w:tcW w:w="1170" w:type="dxa"/>
            <w:tcBorders>
              <w:top w:val="dotted" w:sz="4" w:space="0" w:color="auto"/>
              <w:left w:val="dotted" w:sz="4" w:space="0" w:color="auto"/>
              <w:bottom w:val="dotted" w:sz="4" w:space="0" w:color="auto"/>
              <w:right w:val="dotted" w:sz="4" w:space="0" w:color="auto"/>
            </w:tcBorders>
          </w:tcPr>
          <w:p w14:paraId="45D0006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18.205</w:t>
            </w:r>
          </w:p>
        </w:tc>
        <w:tc>
          <w:tcPr>
            <w:tcW w:w="1170" w:type="dxa"/>
            <w:tcBorders>
              <w:top w:val="dotted" w:sz="4" w:space="0" w:color="auto"/>
              <w:left w:val="dotted" w:sz="4" w:space="0" w:color="auto"/>
              <w:bottom w:val="dotted" w:sz="4" w:space="0" w:color="auto"/>
              <w:right w:val="dotted" w:sz="4" w:space="0" w:color="auto"/>
            </w:tcBorders>
          </w:tcPr>
          <w:p w14:paraId="57AC8D4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1190</w:t>
            </w:r>
          </w:p>
        </w:tc>
        <w:tc>
          <w:tcPr>
            <w:tcW w:w="990" w:type="dxa"/>
            <w:tcBorders>
              <w:top w:val="dotted" w:sz="4" w:space="0" w:color="auto"/>
              <w:left w:val="dotted" w:sz="4" w:space="0" w:color="auto"/>
              <w:bottom w:val="dotted" w:sz="4" w:space="0" w:color="auto"/>
              <w:right w:val="dotted" w:sz="4" w:space="0" w:color="auto"/>
            </w:tcBorders>
          </w:tcPr>
          <w:p w14:paraId="11B5453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1189</w:t>
            </w:r>
          </w:p>
        </w:tc>
        <w:tc>
          <w:tcPr>
            <w:tcW w:w="3553" w:type="dxa"/>
            <w:tcBorders>
              <w:top w:val="dotted" w:sz="4" w:space="0" w:color="auto"/>
              <w:left w:val="dotted" w:sz="4" w:space="0" w:color="auto"/>
              <w:bottom w:val="dotted" w:sz="4" w:space="0" w:color="auto"/>
              <w:right w:val="dotted" w:sz="4" w:space="0" w:color="auto"/>
            </w:tcBorders>
          </w:tcPr>
          <w:p w14:paraId="722D606A"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-Terpineol</w:t>
            </w:r>
          </w:p>
        </w:tc>
        <w:tc>
          <w:tcPr>
            <w:tcW w:w="1134" w:type="dxa"/>
            <w:tcBorders>
              <w:top w:val="dotted" w:sz="4" w:space="0" w:color="auto"/>
              <w:left w:val="dotted" w:sz="4" w:space="0" w:color="auto"/>
              <w:bottom w:val="dotted" w:sz="4" w:space="0" w:color="auto"/>
              <w:right w:val="dotted" w:sz="4" w:space="0" w:color="auto"/>
            </w:tcBorders>
          </w:tcPr>
          <w:p w14:paraId="51D8B20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18</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01318EA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0.26</w:t>
            </w:r>
          </w:p>
        </w:tc>
      </w:tr>
      <w:tr w:rsidR="00E049CB" w:rsidRPr="005E6B7C" w14:paraId="17863B66"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C0F5BF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20</w:t>
            </w:r>
          </w:p>
        </w:tc>
        <w:tc>
          <w:tcPr>
            <w:tcW w:w="1170" w:type="dxa"/>
            <w:tcBorders>
              <w:top w:val="dotted" w:sz="4" w:space="0" w:color="auto"/>
              <w:left w:val="dotted" w:sz="4" w:space="0" w:color="auto"/>
              <w:bottom w:val="dotted" w:sz="4" w:space="0" w:color="auto"/>
              <w:right w:val="dotted" w:sz="4" w:space="0" w:color="auto"/>
            </w:tcBorders>
          </w:tcPr>
          <w:p w14:paraId="2446EF7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18.347</w:t>
            </w:r>
          </w:p>
        </w:tc>
        <w:tc>
          <w:tcPr>
            <w:tcW w:w="1170" w:type="dxa"/>
            <w:tcBorders>
              <w:top w:val="dotted" w:sz="4" w:space="0" w:color="auto"/>
              <w:left w:val="dotted" w:sz="4" w:space="0" w:color="auto"/>
              <w:bottom w:val="dotted" w:sz="4" w:space="0" w:color="auto"/>
              <w:right w:val="dotted" w:sz="4" w:space="0" w:color="auto"/>
            </w:tcBorders>
          </w:tcPr>
          <w:p w14:paraId="505D63A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1193</w:t>
            </w:r>
          </w:p>
        </w:tc>
        <w:tc>
          <w:tcPr>
            <w:tcW w:w="990" w:type="dxa"/>
            <w:tcBorders>
              <w:top w:val="dotted" w:sz="4" w:space="0" w:color="auto"/>
              <w:left w:val="dotted" w:sz="4" w:space="0" w:color="auto"/>
              <w:bottom w:val="dotted" w:sz="4" w:space="0" w:color="auto"/>
              <w:right w:val="dotted" w:sz="4" w:space="0" w:color="auto"/>
            </w:tcBorders>
          </w:tcPr>
          <w:p w14:paraId="29C4B2B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1192</w:t>
            </w:r>
          </w:p>
        </w:tc>
        <w:tc>
          <w:tcPr>
            <w:tcW w:w="3553" w:type="dxa"/>
            <w:tcBorders>
              <w:top w:val="dotted" w:sz="4" w:space="0" w:color="auto"/>
              <w:left w:val="dotted" w:sz="4" w:space="0" w:color="auto"/>
              <w:bottom w:val="dotted" w:sz="4" w:space="0" w:color="auto"/>
              <w:right w:val="dotted" w:sz="4" w:space="0" w:color="auto"/>
            </w:tcBorders>
          </w:tcPr>
          <w:p w14:paraId="7A090765"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Methyl salicylate</w:t>
            </w:r>
          </w:p>
        </w:tc>
        <w:tc>
          <w:tcPr>
            <w:tcW w:w="1134" w:type="dxa"/>
            <w:tcBorders>
              <w:top w:val="dotted" w:sz="4" w:space="0" w:color="auto"/>
              <w:left w:val="dotted" w:sz="4" w:space="0" w:color="auto"/>
              <w:bottom w:val="dotted" w:sz="4" w:space="0" w:color="auto"/>
              <w:right w:val="dotted" w:sz="4" w:space="0" w:color="auto"/>
            </w:tcBorders>
          </w:tcPr>
          <w:p w14:paraId="476DA3A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8</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8</w:t>
            </w:r>
            <w:r w:rsidRPr="005E6B7C">
              <w:rPr>
                <w:rFonts w:asciiTheme="majorHAnsi" w:eastAsia="Yu Mincho" w:hAnsiTheme="majorHAnsi" w:cstheme="majorHAnsi"/>
                <w:color w:val="000000" w:themeColor="text1"/>
                <w:sz w:val="18"/>
                <w:szCs w:val="18"/>
                <w:lang w:eastAsia="ja-JP"/>
              </w:rPr>
              <w:t>O</w:t>
            </w:r>
            <w:r w:rsidRPr="005E6B7C">
              <w:rPr>
                <w:rFonts w:asciiTheme="majorHAnsi" w:eastAsia="Yu Mincho" w:hAnsiTheme="majorHAnsi" w:cstheme="majorHAnsi"/>
                <w:color w:val="000000" w:themeColor="text1"/>
                <w:sz w:val="18"/>
                <w:szCs w:val="18"/>
                <w:vertAlign w:val="subscript"/>
                <w:lang w:eastAsia="ja-JP"/>
              </w:rPr>
              <w:t>3</w:t>
            </w:r>
          </w:p>
        </w:tc>
        <w:tc>
          <w:tcPr>
            <w:tcW w:w="851" w:type="dxa"/>
            <w:tcBorders>
              <w:top w:val="dotted" w:sz="4" w:space="0" w:color="auto"/>
              <w:left w:val="dotted" w:sz="4" w:space="0" w:color="auto"/>
              <w:bottom w:val="dotted" w:sz="4" w:space="0" w:color="auto"/>
              <w:right w:val="dotted" w:sz="4" w:space="0" w:color="auto"/>
            </w:tcBorders>
          </w:tcPr>
          <w:p w14:paraId="542B2DB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0.42</w:t>
            </w:r>
          </w:p>
        </w:tc>
      </w:tr>
      <w:tr w:rsidR="00E049CB" w:rsidRPr="005E6B7C" w14:paraId="04E4F3E0"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13A1711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21</w:t>
            </w:r>
          </w:p>
        </w:tc>
        <w:tc>
          <w:tcPr>
            <w:tcW w:w="1170" w:type="dxa"/>
            <w:tcBorders>
              <w:top w:val="dotted" w:sz="4" w:space="0" w:color="auto"/>
              <w:left w:val="dotted" w:sz="4" w:space="0" w:color="auto"/>
              <w:bottom w:val="dotted" w:sz="4" w:space="0" w:color="auto"/>
              <w:right w:val="dotted" w:sz="4" w:space="0" w:color="auto"/>
            </w:tcBorders>
          </w:tcPr>
          <w:p w14:paraId="337BC88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21.775</w:t>
            </w:r>
          </w:p>
        </w:tc>
        <w:tc>
          <w:tcPr>
            <w:tcW w:w="1170" w:type="dxa"/>
            <w:tcBorders>
              <w:top w:val="dotted" w:sz="4" w:space="0" w:color="auto"/>
              <w:left w:val="dotted" w:sz="4" w:space="0" w:color="auto"/>
              <w:bottom w:val="dotted" w:sz="4" w:space="0" w:color="auto"/>
              <w:right w:val="dotted" w:sz="4" w:space="0" w:color="auto"/>
            </w:tcBorders>
          </w:tcPr>
          <w:p w14:paraId="2EC7FE9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1270</w:t>
            </w:r>
          </w:p>
        </w:tc>
        <w:tc>
          <w:tcPr>
            <w:tcW w:w="990" w:type="dxa"/>
            <w:tcBorders>
              <w:top w:val="dotted" w:sz="4" w:space="0" w:color="auto"/>
              <w:left w:val="dotted" w:sz="4" w:space="0" w:color="auto"/>
              <w:bottom w:val="dotted" w:sz="4" w:space="0" w:color="auto"/>
              <w:right w:val="dotted" w:sz="4" w:space="0" w:color="auto"/>
            </w:tcBorders>
          </w:tcPr>
          <w:p w14:paraId="497DC44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1270</w:t>
            </w:r>
          </w:p>
        </w:tc>
        <w:tc>
          <w:tcPr>
            <w:tcW w:w="3553" w:type="dxa"/>
            <w:tcBorders>
              <w:top w:val="dotted" w:sz="4" w:space="0" w:color="auto"/>
              <w:left w:val="dotted" w:sz="4" w:space="0" w:color="auto"/>
              <w:bottom w:val="dotted" w:sz="4" w:space="0" w:color="auto"/>
              <w:right w:val="dotted" w:sz="4" w:space="0" w:color="auto"/>
            </w:tcBorders>
          </w:tcPr>
          <w:p w14:paraId="78DF1208"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Ethyl salicylate</w:t>
            </w:r>
          </w:p>
        </w:tc>
        <w:tc>
          <w:tcPr>
            <w:tcW w:w="1134" w:type="dxa"/>
            <w:tcBorders>
              <w:top w:val="dotted" w:sz="4" w:space="0" w:color="auto"/>
              <w:left w:val="dotted" w:sz="4" w:space="0" w:color="auto"/>
              <w:bottom w:val="dotted" w:sz="4" w:space="0" w:color="auto"/>
              <w:right w:val="dotted" w:sz="4" w:space="0" w:color="auto"/>
            </w:tcBorders>
          </w:tcPr>
          <w:p w14:paraId="20C3B8F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9</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10</w:t>
            </w:r>
            <w:r w:rsidRPr="005E6B7C">
              <w:rPr>
                <w:rFonts w:asciiTheme="majorHAnsi" w:eastAsia="Yu Mincho" w:hAnsiTheme="majorHAnsi" w:cstheme="majorHAnsi"/>
                <w:color w:val="000000" w:themeColor="text1"/>
                <w:sz w:val="18"/>
                <w:szCs w:val="18"/>
                <w:lang w:eastAsia="ja-JP"/>
              </w:rPr>
              <w:t>O</w:t>
            </w:r>
            <w:r w:rsidRPr="005E6B7C">
              <w:rPr>
                <w:rFonts w:asciiTheme="majorHAnsi" w:eastAsia="Yu Mincho" w:hAnsiTheme="majorHAnsi" w:cstheme="majorHAnsi"/>
                <w:color w:val="000000" w:themeColor="text1"/>
                <w:sz w:val="18"/>
                <w:szCs w:val="18"/>
                <w:vertAlign w:val="subscript"/>
                <w:lang w:eastAsia="ja-JP"/>
              </w:rPr>
              <w:t>3</w:t>
            </w:r>
          </w:p>
        </w:tc>
        <w:tc>
          <w:tcPr>
            <w:tcW w:w="851" w:type="dxa"/>
            <w:tcBorders>
              <w:top w:val="dotted" w:sz="4" w:space="0" w:color="auto"/>
              <w:left w:val="dotted" w:sz="4" w:space="0" w:color="auto"/>
              <w:bottom w:val="dotted" w:sz="4" w:space="0" w:color="auto"/>
              <w:right w:val="dotted" w:sz="4" w:space="0" w:color="auto"/>
            </w:tcBorders>
          </w:tcPr>
          <w:p w14:paraId="0F9C93F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0.12</w:t>
            </w:r>
          </w:p>
        </w:tc>
      </w:tr>
      <w:tr w:rsidR="00E049CB" w:rsidRPr="005E6B7C" w14:paraId="7A054FFB"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E6C91F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22</w:t>
            </w:r>
          </w:p>
        </w:tc>
        <w:tc>
          <w:tcPr>
            <w:tcW w:w="1170" w:type="dxa"/>
            <w:tcBorders>
              <w:top w:val="dotted" w:sz="4" w:space="0" w:color="auto"/>
              <w:left w:val="dotted" w:sz="4" w:space="0" w:color="auto"/>
              <w:bottom w:val="dotted" w:sz="4" w:space="0" w:color="auto"/>
              <w:right w:val="dotted" w:sz="4" w:space="0" w:color="auto"/>
            </w:tcBorders>
          </w:tcPr>
          <w:p w14:paraId="0629B14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24.721</w:t>
            </w:r>
          </w:p>
        </w:tc>
        <w:tc>
          <w:tcPr>
            <w:tcW w:w="1170" w:type="dxa"/>
            <w:tcBorders>
              <w:top w:val="dotted" w:sz="4" w:space="0" w:color="auto"/>
              <w:left w:val="dotted" w:sz="4" w:space="0" w:color="auto"/>
              <w:bottom w:val="dotted" w:sz="4" w:space="0" w:color="auto"/>
              <w:right w:val="dotted" w:sz="4" w:space="0" w:color="auto"/>
            </w:tcBorders>
          </w:tcPr>
          <w:p w14:paraId="0882381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1337</w:t>
            </w:r>
          </w:p>
        </w:tc>
        <w:tc>
          <w:tcPr>
            <w:tcW w:w="990" w:type="dxa"/>
            <w:tcBorders>
              <w:top w:val="dotted" w:sz="4" w:space="0" w:color="auto"/>
              <w:left w:val="dotted" w:sz="4" w:space="0" w:color="auto"/>
              <w:bottom w:val="dotted" w:sz="4" w:space="0" w:color="auto"/>
              <w:right w:val="dotted" w:sz="4" w:space="0" w:color="auto"/>
            </w:tcBorders>
          </w:tcPr>
          <w:p w14:paraId="06ADF77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1338</w:t>
            </w:r>
          </w:p>
        </w:tc>
        <w:tc>
          <w:tcPr>
            <w:tcW w:w="3553" w:type="dxa"/>
            <w:tcBorders>
              <w:top w:val="dotted" w:sz="4" w:space="0" w:color="auto"/>
              <w:left w:val="dotted" w:sz="4" w:space="0" w:color="auto"/>
              <w:bottom w:val="dotted" w:sz="4" w:space="0" w:color="auto"/>
              <w:right w:val="dotted" w:sz="4" w:space="0" w:color="auto"/>
            </w:tcBorders>
          </w:tcPr>
          <w:p w14:paraId="5AFC2DEE"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lang w:eastAsia="ja-JP"/>
              </w:rPr>
              <w:t>-Elemene</w:t>
            </w:r>
          </w:p>
        </w:tc>
        <w:tc>
          <w:tcPr>
            <w:tcW w:w="1134" w:type="dxa"/>
            <w:tcBorders>
              <w:top w:val="dotted" w:sz="4" w:space="0" w:color="auto"/>
              <w:left w:val="dotted" w:sz="4" w:space="0" w:color="auto"/>
              <w:bottom w:val="dotted" w:sz="4" w:space="0" w:color="auto"/>
              <w:right w:val="dotted" w:sz="4" w:space="0" w:color="auto"/>
            </w:tcBorders>
          </w:tcPr>
          <w:p w14:paraId="177AF42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62F55D3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0.26</w:t>
            </w:r>
          </w:p>
        </w:tc>
      </w:tr>
      <w:tr w:rsidR="00E049CB" w:rsidRPr="005E6B7C" w14:paraId="3E11F172"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8DA43F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23</w:t>
            </w:r>
          </w:p>
        </w:tc>
        <w:tc>
          <w:tcPr>
            <w:tcW w:w="1170" w:type="dxa"/>
            <w:tcBorders>
              <w:top w:val="dotted" w:sz="4" w:space="0" w:color="auto"/>
              <w:left w:val="dotted" w:sz="4" w:space="0" w:color="auto"/>
              <w:bottom w:val="dotted" w:sz="4" w:space="0" w:color="auto"/>
              <w:right w:val="dotted" w:sz="4" w:space="0" w:color="auto"/>
            </w:tcBorders>
          </w:tcPr>
          <w:p w14:paraId="286D8D2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26.362</w:t>
            </w:r>
          </w:p>
        </w:tc>
        <w:tc>
          <w:tcPr>
            <w:tcW w:w="1170" w:type="dxa"/>
            <w:tcBorders>
              <w:top w:val="dotted" w:sz="4" w:space="0" w:color="auto"/>
              <w:left w:val="dotted" w:sz="4" w:space="0" w:color="auto"/>
              <w:bottom w:val="dotted" w:sz="4" w:space="0" w:color="auto"/>
              <w:right w:val="dotted" w:sz="4" w:space="0" w:color="auto"/>
            </w:tcBorders>
          </w:tcPr>
          <w:p w14:paraId="0DCDF7A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1375</w:t>
            </w:r>
          </w:p>
        </w:tc>
        <w:tc>
          <w:tcPr>
            <w:tcW w:w="990" w:type="dxa"/>
            <w:tcBorders>
              <w:top w:val="dotted" w:sz="4" w:space="0" w:color="auto"/>
              <w:left w:val="dotted" w:sz="4" w:space="0" w:color="auto"/>
              <w:bottom w:val="dotted" w:sz="4" w:space="0" w:color="auto"/>
              <w:right w:val="dotted" w:sz="4" w:space="0" w:color="auto"/>
            </w:tcBorders>
          </w:tcPr>
          <w:p w14:paraId="31A18DC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1376</w:t>
            </w:r>
          </w:p>
        </w:tc>
        <w:tc>
          <w:tcPr>
            <w:tcW w:w="3553" w:type="dxa"/>
            <w:tcBorders>
              <w:top w:val="dotted" w:sz="4" w:space="0" w:color="auto"/>
              <w:left w:val="dotted" w:sz="4" w:space="0" w:color="auto"/>
              <w:bottom w:val="dotted" w:sz="4" w:space="0" w:color="auto"/>
              <w:right w:val="dotted" w:sz="4" w:space="0" w:color="auto"/>
            </w:tcBorders>
          </w:tcPr>
          <w:p w14:paraId="1DC86D79"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-Copaene</w:t>
            </w:r>
          </w:p>
        </w:tc>
        <w:tc>
          <w:tcPr>
            <w:tcW w:w="1134" w:type="dxa"/>
            <w:tcBorders>
              <w:top w:val="dotted" w:sz="4" w:space="0" w:color="auto"/>
              <w:left w:val="dotted" w:sz="4" w:space="0" w:color="auto"/>
              <w:bottom w:val="dotted" w:sz="4" w:space="0" w:color="auto"/>
              <w:right w:val="dotted" w:sz="4" w:space="0" w:color="auto"/>
            </w:tcBorders>
          </w:tcPr>
          <w:p w14:paraId="2D1C898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3AD5FB2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0.28</w:t>
            </w:r>
          </w:p>
        </w:tc>
      </w:tr>
      <w:tr w:rsidR="00E049CB" w:rsidRPr="005E6B7C" w14:paraId="33A6AF75"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168852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24</w:t>
            </w:r>
          </w:p>
        </w:tc>
        <w:tc>
          <w:tcPr>
            <w:tcW w:w="1170" w:type="dxa"/>
            <w:tcBorders>
              <w:top w:val="dotted" w:sz="4" w:space="0" w:color="auto"/>
              <w:left w:val="dotted" w:sz="4" w:space="0" w:color="auto"/>
              <w:bottom w:val="dotted" w:sz="4" w:space="0" w:color="auto"/>
              <w:right w:val="dotted" w:sz="4" w:space="0" w:color="auto"/>
            </w:tcBorders>
          </w:tcPr>
          <w:p w14:paraId="31C9ABE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27.08</w:t>
            </w:r>
          </w:p>
        </w:tc>
        <w:tc>
          <w:tcPr>
            <w:tcW w:w="1170" w:type="dxa"/>
            <w:tcBorders>
              <w:top w:val="dotted" w:sz="4" w:space="0" w:color="auto"/>
              <w:left w:val="dotted" w:sz="4" w:space="0" w:color="auto"/>
              <w:bottom w:val="dotted" w:sz="4" w:space="0" w:color="auto"/>
              <w:right w:val="dotted" w:sz="4" w:space="0" w:color="auto"/>
            </w:tcBorders>
          </w:tcPr>
          <w:p w14:paraId="20D451E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1391</w:t>
            </w:r>
          </w:p>
        </w:tc>
        <w:tc>
          <w:tcPr>
            <w:tcW w:w="990" w:type="dxa"/>
            <w:tcBorders>
              <w:top w:val="dotted" w:sz="4" w:space="0" w:color="auto"/>
              <w:left w:val="dotted" w:sz="4" w:space="0" w:color="auto"/>
              <w:bottom w:val="dotted" w:sz="4" w:space="0" w:color="auto"/>
              <w:right w:val="dotted" w:sz="4" w:space="0" w:color="auto"/>
            </w:tcBorders>
          </w:tcPr>
          <w:p w14:paraId="0C56B90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1391</w:t>
            </w:r>
          </w:p>
        </w:tc>
        <w:tc>
          <w:tcPr>
            <w:tcW w:w="3553" w:type="dxa"/>
            <w:tcBorders>
              <w:top w:val="dotted" w:sz="4" w:space="0" w:color="auto"/>
              <w:left w:val="dotted" w:sz="4" w:space="0" w:color="auto"/>
              <w:bottom w:val="dotted" w:sz="4" w:space="0" w:color="auto"/>
              <w:right w:val="dotted" w:sz="4" w:space="0" w:color="auto"/>
            </w:tcBorders>
          </w:tcPr>
          <w:p w14:paraId="760403AC"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-Elemene</w:t>
            </w:r>
          </w:p>
        </w:tc>
        <w:tc>
          <w:tcPr>
            <w:tcW w:w="1134" w:type="dxa"/>
            <w:tcBorders>
              <w:top w:val="dotted" w:sz="4" w:space="0" w:color="auto"/>
              <w:left w:val="dotted" w:sz="4" w:space="0" w:color="auto"/>
              <w:bottom w:val="dotted" w:sz="4" w:space="0" w:color="auto"/>
              <w:right w:val="dotted" w:sz="4" w:space="0" w:color="auto"/>
            </w:tcBorders>
          </w:tcPr>
          <w:p w14:paraId="130DD30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14664D0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0.31</w:t>
            </w:r>
          </w:p>
        </w:tc>
      </w:tr>
      <w:tr w:rsidR="00E049CB" w:rsidRPr="005E6B7C" w14:paraId="2CA1B5A1"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1CA5FD2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25</w:t>
            </w:r>
          </w:p>
        </w:tc>
        <w:tc>
          <w:tcPr>
            <w:tcW w:w="1170" w:type="dxa"/>
            <w:tcBorders>
              <w:top w:val="dotted" w:sz="4" w:space="0" w:color="auto"/>
              <w:left w:val="dotted" w:sz="4" w:space="0" w:color="auto"/>
              <w:bottom w:val="dotted" w:sz="4" w:space="0" w:color="auto"/>
              <w:right w:val="dotted" w:sz="4" w:space="0" w:color="auto"/>
            </w:tcBorders>
          </w:tcPr>
          <w:p w14:paraId="26ECF53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27.672</w:t>
            </w:r>
          </w:p>
        </w:tc>
        <w:tc>
          <w:tcPr>
            <w:tcW w:w="1170" w:type="dxa"/>
            <w:tcBorders>
              <w:top w:val="dotted" w:sz="4" w:space="0" w:color="auto"/>
              <w:left w:val="dotted" w:sz="4" w:space="0" w:color="auto"/>
              <w:bottom w:val="dotted" w:sz="4" w:space="0" w:color="auto"/>
              <w:right w:val="dotted" w:sz="4" w:space="0" w:color="auto"/>
            </w:tcBorders>
          </w:tcPr>
          <w:p w14:paraId="6B872B9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1405</w:t>
            </w:r>
          </w:p>
        </w:tc>
        <w:tc>
          <w:tcPr>
            <w:tcW w:w="990" w:type="dxa"/>
            <w:tcBorders>
              <w:top w:val="dotted" w:sz="4" w:space="0" w:color="auto"/>
              <w:left w:val="dotted" w:sz="4" w:space="0" w:color="auto"/>
              <w:bottom w:val="dotted" w:sz="4" w:space="0" w:color="auto"/>
              <w:right w:val="dotted" w:sz="4" w:space="0" w:color="auto"/>
            </w:tcBorders>
          </w:tcPr>
          <w:p w14:paraId="3BA05B6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1406</w:t>
            </w:r>
          </w:p>
        </w:tc>
        <w:tc>
          <w:tcPr>
            <w:tcW w:w="3553" w:type="dxa"/>
            <w:tcBorders>
              <w:top w:val="dotted" w:sz="4" w:space="0" w:color="auto"/>
              <w:left w:val="dotted" w:sz="4" w:space="0" w:color="auto"/>
              <w:bottom w:val="dotted" w:sz="4" w:space="0" w:color="auto"/>
              <w:right w:val="dotted" w:sz="4" w:space="0" w:color="auto"/>
            </w:tcBorders>
          </w:tcPr>
          <w:p w14:paraId="11DF81EC"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Z</w:t>
            </w:r>
            <w:r w:rsidRPr="005E6B7C">
              <w:rPr>
                <w:rFonts w:asciiTheme="majorHAnsi" w:eastAsia="Yu Mincho" w:hAnsiTheme="majorHAnsi" w:cstheme="majorHAnsi"/>
                <w:color w:val="000000" w:themeColor="text1"/>
                <w:sz w:val="18"/>
                <w:szCs w:val="18"/>
                <w:lang w:eastAsia="ja-JP"/>
              </w:rPr>
              <w:t>)-Caryophyllene</w:t>
            </w:r>
          </w:p>
        </w:tc>
        <w:tc>
          <w:tcPr>
            <w:tcW w:w="1134" w:type="dxa"/>
            <w:tcBorders>
              <w:top w:val="dotted" w:sz="4" w:space="0" w:color="auto"/>
              <w:left w:val="dotted" w:sz="4" w:space="0" w:color="auto"/>
              <w:bottom w:val="dotted" w:sz="4" w:space="0" w:color="auto"/>
              <w:right w:val="dotted" w:sz="4" w:space="0" w:color="auto"/>
            </w:tcBorders>
          </w:tcPr>
          <w:p w14:paraId="4687E5B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66858DE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0.82</w:t>
            </w:r>
          </w:p>
        </w:tc>
      </w:tr>
      <w:tr w:rsidR="00E049CB" w:rsidRPr="005E6B7C" w14:paraId="1487CEAA"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2C1ABB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26</w:t>
            </w:r>
          </w:p>
        </w:tc>
        <w:tc>
          <w:tcPr>
            <w:tcW w:w="1170" w:type="dxa"/>
            <w:tcBorders>
              <w:top w:val="dotted" w:sz="4" w:space="0" w:color="auto"/>
              <w:left w:val="dotted" w:sz="4" w:space="0" w:color="auto"/>
              <w:bottom w:val="dotted" w:sz="4" w:space="0" w:color="auto"/>
              <w:right w:val="dotted" w:sz="4" w:space="0" w:color="auto"/>
            </w:tcBorders>
          </w:tcPr>
          <w:p w14:paraId="6AE6721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27.793</w:t>
            </w:r>
          </w:p>
        </w:tc>
        <w:tc>
          <w:tcPr>
            <w:tcW w:w="1170" w:type="dxa"/>
            <w:tcBorders>
              <w:top w:val="dotted" w:sz="4" w:space="0" w:color="auto"/>
              <w:left w:val="dotted" w:sz="4" w:space="0" w:color="auto"/>
              <w:bottom w:val="dotted" w:sz="4" w:space="0" w:color="auto"/>
              <w:right w:val="dotted" w:sz="4" w:space="0" w:color="auto"/>
            </w:tcBorders>
          </w:tcPr>
          <w:p w14:paraId="25B39C9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1408</w:t>
            </w:r>
          </w:p>
        </w:tc>
        <w:tc>
          <w:tcPr>
            <w:tcW w:w="990" w:type="dxa"/>
            <w:tcBorders>
              <w:top w:val="dotted" w:sz="4" w:space="0" w:color="auto"/>
              <w:left w:val="dotted" w:sz="4" w:space="0" w:color="auto"/>
              <w:bottom w:val="dotted" w:sz="4" w:space="0" w:color="auto"/>
              <w:right w:val="dotted" w:sz="4" w:space="0" w:color="auto"/>
            </w:tcBorders>
          </w:tcPr>
          <w:p w14:paraId="768A5A2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1409</w:t>
            </w:r>
          </w:p>
        </w:tc>
        <w:tc>
          <w:tcPr>
            <w:tcW w:w="3553" w:type="dxa"/>
            <w:tcBorders>
              <w:top w:val="dotted" w:sz="4" w:space="0" w:color="auto"/>
              <w:left w:val="dotted" w:sz="4" w:space="0" w:color="auto"/>
              <w:bottom w:val="dotted" w:sz="4" w:space="0" w:color="auto"/>
              <w:right w:val="dotted" w:sz="4" w:space="0" w:color="auto"/>
            </w:tcBorders>
          </w:tcPr>
          <w:p w14:paraId="34B0ED6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-Gurjunene</w:t>
            </w:r>
          </w:p>
        </w:tc>
        <w:tc>
          <w:tcPr>
            <w:tcW w:w="1134" w:type="dxa"/>
            <w:tcBorders>
              <w:top w:val="dotted" w:sz="4" w:space="0" w:color="auto"/>
              <w:left w:val="dotted" w:sz="4" w:space="0" w:color="auto"/>
              <w:bottom w:val="dotted" w:sz="4" w:space="0" w:color="auto"/>
              <w:right w:val="dotted" w:sz="4" w:space="0" w:color="auto"/>
            </w:tcBorders>
          </w:tcPr>
          <w:p w14:paraId="02901F2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6E06C38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0.08</w:t>
            </w:r>
          </w:p>
        </w:tc>
      </w:tr>
      <w:tr w:rsidR="00E049CB" w:rsidRPr="005E6B7C" w14:paraId="4C6517CC"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910183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27</w:t>
            </w:r>
          </w:p>
        </w:tc>
        <w:tc>
          <w:tcPr>
            <w:tcW w:w="1170" w:type="dxa"/>
            <w:tcBorders>
              <w:top w:val="dotted" w:sz="4" w:space="0" w:color="auto"/>
              <w:left w:val="dotted" w:sz="4" w:space="0" w:color="auto"/>
              <w:bottom w:val="dotted" w:sz="4" w:space="0" w:color="auto"/>
              <w:right w:val="dotted" w:sz="4" w:space="0" w:color="auto"/>
            </w:tcBorders>
          </w:tcPr>
          <w:p w14:paraId="397DC24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28.259</w:t>
            </w:r>
          </w:p>
        </w:tc>
        <w:tc>
          <w:tcPr>
            <w:tcW w:w="1170" w:type="dxa"/>
            <w:tcBorders>
              <w:top w:val="dotted" w:sz="4" w:space="0" w:color="auto"/>
              <w:left w:val="dotted" w:sz="4" w:space="0" w:color="auto"/>
              <w:bottom w:val="dotted" w:sz="4" w:space="0" w:color="auto"/>
              <w:right w:val="dotted" w:sz="4" w:space="0" w:color="auto"/>
            </w:tcBorders>
          </w:tcPr>
          <w:p w14:paraId="2892345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1420</w:t>
            </w:r>
          </w:p>
        </w:tc>
        <w:tc>
          <w:tcPr>
            <w:tcW w:w="990" w:type="dxa"/>
            <w:tcBorders>
              <w:top w:val="dotted" w:sz="4" w:space="0" w:color="auto"/>
              <w:left w:val="dotted" w:sz="4" w:space="0" w:color="auto"/>
              <w:bottom w:val="dotted" w:sz="4" w:space="0" w:color="auto"/>
              <w:right w:val="dotted" w:sz="4" w:space="0" w:color="auto"/>
            </w:tcBorders>
          </w:tcPr>
          <w:p w14:paraId="0BEFE48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1419</w:t>
            </w:r>
          </w:p>
        </w:tc>
        <w:tc>
          <w:tcPr>
            <w:tcW w:w="3553" w:type="dxa"/>
            <w:tcBorders>
              <w:top w:val="dotted" w:sz="4" w:space="0" w:color="auto"/>
              <w:left w:val="dotted" w:sz="4" w:space="0" w:color="auto"/>
              <w:bottom w:val="dotted" w:sz="4" w:space="0" w:color="auto"/>
              <w:right w:val="dotted" w:sz="4" w:space="0" w:color="auto"/>
            </w:tcBorders>
          </w:tcPr>
          <w:p w14:paraId="0D1FA601"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
                <w:color w:val="000000" w:themeColor="text1"/>
                <w:sz w:val="18"/>
                <w:szCs w:val="18"/>
                <w:lang w:eastAsia="ja-JP"/>
              </w:rPr>
              <w:t>β</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b/>
                <w:bCs/>
                <w:i/>
                <w:color w:val="000000" w:themeColor="text1"/>
                <w:sz w:val="18"/>
                <w:szCs w:val="18"/>
                <w:lang w:eastAsia="ja-JP"/>
              </w:rPr>
              <w:t>E</w:t>
            </w:r>
            <w:r w:rsidRPr="005E6B7C">
              <w:rPr>
                <w:rFonts w:asciiTheme="majorHAnsi" w:eastAsia="Yu Mincho" w:hAnsiTheme="majorHAnsi" w:cstheme="majorHAnsi"/>
                <w:b/>
                <w:bCs/>
                <w:color w:val="000000" w:themeColor="text1"/>
                <w:sz w:val="18"/>
                <w:szCs w:val="18"/>
                <w:lang w:eastAsia="ja-JP"/>
              </w:rPr>
              <w:t>)-Caryophyllene</w:t>
            </w:r>
          </w:p>
        </w:tc>
        <w:tc>
          <w:tcPr>
            <w:tcW w:w="1134" w:type="dxa"/>
            <w:tcBorders>
              <w:top w:val="dotted" w:sz="4" w:space="0" w:color="auto"/>
              <w:left w:val="dotted" w:sz="4" w:space="0" w:color="auto"/>
              <w:bottom w:val="dotted" w:sz="4" w:space="0" w:color="auto"/>
              <w:right w:val="dotted" w:sz="4" w:space="0" w:color="auto"/>
            </w:tcBorders>
          </w:tcPr>
          <w:p w14:paraId="1230315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C</w:t>
            </w:r>
            <w:r w:rsidRPr="005E6B7C">
              <w:rPr>
                <w:rFonts w:asciiTheme="majorHAnsi" w:eastAsia="Yu Mincho" w:hAnsiTheme="majorHAnsi" w:cstheme="majorHAnsi"/>
                <w:b/>
                <w:bCs/>
                <w:color w:val="000000" w:themeColor="text1"/>
                <w:sz w:val="18"/>
                <w:szCs w:val="18"/>
                <w:vertAlign w:val="subscript"/>
                <w:lang w:eastAsia="ja-JP"/>
              </w:rPr>
              <w:t>15</w:t>
            </w:r>
            <w:r w:rsidRPr="005E6B7C">
              <w:rPr>
                <w:rFonts w:asciiTheme="majorHAnsi" w:eastAsia="Yu Mincho" w:hAnsiTheme="majorHAnsi" w:cstheme="majorHAnsi"/>
                <w:b/>
                <w:bCs/>
                <w:color w:val="000000" w:themeColor="text1"/>
                <w:sz w:val="18"/>
                <w:szCs w:val="18"/>
                <w:lang w:eastAsia="ja-JP"/>
              </w:rPr>
              <w:t>H</w:t>
            </w:r>
            <w:r w:rsidRPr="005E6B7C">
              <w:rPr>
                <w:rFonts w:asciiTheme="majorHAnsi" w:eastAsia="Yu Mincho" w:hAnsiTheme="majorHAnsi" w:cstheme="majorHAnsi"/>
                <w:b/>
                <w:bCs/>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5DE2445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26.24</w:t>
            </w:r>
          </w:p>
        </w:tc>
      </w:tr>
      <w:tr w:rsidR="00E049CB" w:rsidRPr="005E6B7C" w14:paraId="5355DEE0"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D4EC48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28</w:t>
            </w:r>
          </w:p>
        </w:tc>
        <w:tc>
          <w:tcPr>
            <w:tcW w:w="1170" w:type="dxa"/>
            <w:tcBorders>
              <w:top w:val="dotted" w:sz="4" w:space="0" w:color="auto"/>
              <w:left w:val="dotted" w:sz="4" w:space="0" w:color="auto"/>
              <w:bottom w:val="dotted" w:sz="4" w:space="0" w:color="auto"/>
              <w:right w:val="dotted" w:sz="4" w:space="0" w:color="auto"/>
            </w:tcBorders>
          </w:tcPr>
          <w:p w14:paraId="31D72E1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28.799</w:t>
            </w:r>
          </w:p>
        </w:tc>
        <w:tc>
          <w:tcPr>
            <w:tcW w:w="1170" w:type="dxa"/>
            <w:tcBorders>
              <w:top w:val="dotted" w:sz="4" w:space="0" w:color="auto"/>
              <w:left w:val="dotted" w:sz="4" w:space="0" w:color="auto"/>
              <w:bottom w:val="dotted" w:sz="4" w:space="0" w:color="auto"/>
              <w:right w:val="dotted" w:sz="4" w:space="0" w:color="auto"/>
            </w:tcBorders>
          </w:tcPr>
          <w:p w14:paraId="270FEC2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1433</w:t>
            </w:r>
          </w:p>
        </w:tc>
        <w:tc>
          <w:tcPr>
            <w:tcW w:w="990" w:type="dxa"/>
            <w:tcBorders>
              <w:top w:val="dotted" w:sz="4" w:space="0" w:color="auto"/>
              <w:left w:val="dotted" w:sz="4" w:space="0" w:color="auto"/>
              <w:bottom w:val="dotted" w:sz="4" w:space="0" w:color="auto"/>
              <w:right w:val="dotted" w:sz="4" w:space="0" w:color="auto"/>
            </w:tcBorders>
          </w:tcPr>
          <w:p w14:paraId="28E3EFD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1433</w:t>
            </w:r>
          </w:p>
        </w:tc>
        <w:tc>
          <w:tcPr>
            <w:tcW w:w="3553" w:type="dxa"/>
            <w:tcBorders>
              <w:top w:val="dotted" w:sz="4" w:space="0" w:color="auto"/>
              <w:left w:val="dotted" w:sz="4" w:space="0" w:color="auto"/>
              <w:bottom w:val="dotted" w:sz="4" w:space="0" w:color="auto"/>
              <w:right w:val="dotted" w:sz="4" w:space="0" w:color="auto"/>
            </w:tcBorders>
          </w:tcPr>
          <w:p w14:paraId="4B759447"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γ</w:t>
            </w:r>
            <w:r w:rsidRPr="005E6B7C">
              <w:rPr>
                <w:rFonts w:asciiTheme="majorHAnsi" w:eastAsia="Yu Mincho" w:hAnsiTheme="majorHAnsi" w:cstheme="majorHAnsi"/>
                <w:color w:val="000000" w:themeColor="text1"/>
                <w:sz w:val="18"/>
                <w:szCs w:val="18"/>
                <w:lang w:eastAsia="ja-JP"/>
              </w:rPr>
              <w:t>-Elemene</w:t>
            </w:r>
          </w:p>
        </w:tc>
        <w:tc>
          <w:tcPr>
            <w:tcW w:w="1134" w:type="dxa"/>
            <w:tcBorders>
              <w:top w:val="dotted" w:sz="4" w:space="0" w:color="auto"/>
              <w:left w:val="dotted" w:sz="4" w:space="0" w:color="auto"/>
              <w:bottom w:val="dotted" w:sz="4" w:space="0" w:color="auto"/>
              <w:right w:val="dotted" w:sz="4" w:space="0" w:color="auto"/>
            </w:tcBorders>
          </w:tcPr>
          <w:p w14:paraId="78C63AF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67D0E10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0.05</w:t>
            </w:r>
          </w:p>
        </w:tc>
      </w:tr>
      <w:tr w:rsidR="00E049CB" w:rsidRPr="005E6B7C" w14:paraId="53F3F088"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054119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29</w:t>
            </w:r>
          </w:p>
        </w:tc>
        <w:tc>
          <w:tcPr>
            <w:tcW w:w="1170" w:type="dxa"/>
            <w:tcBorders>
              <w:top w:val="dotted" w:sz="4" w:space="0" w:color="auto"/>
              <w:left w:val="dotted" w:sz="4" w:space="0" w:color="auto"/>
              <w:bottom w:val="dotted" w:sz="4" w:space="0" w:color="auto"/>
              <w:right w:val="dotted" w:sz="4" w:space="0" w:color="auto"/>
            </w:tcBorders>
          </w:tcPr>
          <w:p w14:paraId="54339C0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28.978</w:t>
            </w:r>
          </w:p>
        </w:tc>
        <w:tc>
          <w:tcPr>
            <w:tcW w:w="1170" w:type="dxa"/>
            <w:tcBorders>
              <w:top w:val="dotted" w:sz="4" w:space="0" w:color="auto"/>
              <w:left w:val="dotted" w:sz="4" w:space="0" w:color="auto"/>
              <w:bottom w:val="dotted" w:sz="4" w:space="0" w:color="auto"/>
              <w:right w:val="dotted" w:sz="4" w:space="0" w:color="auto"/>
            </w:tcBorders>
          </w:tcPr>
          <w:p w14:paraId="5AF4BD8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1438</w:t>
            </w:r>
          </w:p>
        </w:tc>
        <w:tc>
          <w:tcPr>
            <w:tcW w:w="990" w:type="dxa"/>
            <w:tcBorders>
              <w:top w:val="dotted" w:sz="4" w:space="0" w:color="auto"/>
              <w:left w:val="dotted" w:sz="4" w:space="0" w:color="auto"/>
              <w:bottom w:val="dotted" w:sz="4" w:space="0" w:color="auto"/>
              <w:right w:val="dotted" w:sz="4" w:space="0" w:color="auto"/>
            </w:tcBorders>
          </w:tcPr>
          <w:p w14:paraId="7A171AA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1440</w:t>
            </w:r>
          </w:p>
        </w:tc>
        <w:tc>
          <w:tcPr>
            <w:tcW w:w="3553" w:type="dxa"/>
            <w:tcBorders>
              <w:top w:val="dotted" w:sz="4" w:space="0" w:color="auto"/>
              <w:left w:val="dotted" w:sz="4" w:space="0" w:color="auto"/>
              <w:bottom w:val="dotted" w:sz="4" w:space="0" w:color="auto"/>
              <w:right w:val="dotted" w:sz="4" w:space="0" w:color="auto"/>
            </w:tcBorders>
          </w:tcPr>
          <w:p w14:paraId="6367B271"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Aromadendrene</w:t>
            </w:r>
          </w:p>
        </w:tc>
        <w:tc>
          <w:tcPr>
            <w:tcW w:w="1134" w:type="dxa"/>
            <w:tcBorders>
              <w:top w:val="dotted" w:sz="4" w:space="0" w:color="auto"/>
              <w:left w:val="dotted" w:sz="4" w:space="0" w:color="auto"/>
              <w:bottom w:val="dotted" w:sz="4" w:space="0" w:color="auto"/>
              <w:right w:val="dotted" w:sz="4" w:space="0" w:color="auto"/>
            </w:tcBorders>
          </w:tcPr>
          <w:p w14:paraId="1C35977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4F00276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0.54</w:t>
            </w:r>
          </w:p>
        </w:tc>
      </w:tr>
      <w:tr w:rsidR="00E049CB" w:rsidRPr="005E6B7C" w14:paraId="25213017"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05F7D0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30</w:t>
            </w:r>
          </w:p>
        </w:tc>
        <w:tc>
          <w:tcPr>
            <w:tcW w:w="1170" w:type="dxa"/>
            <w:tcBorders>
              <w:top w:val="dotted" w:sz="4" w:space="0" w:color="auto"/>
              <w:left w:val="dotted" w:sz="4" w:space="0" w:color="auto"/>
              <w:bottom w:val="dotted" w:sz="4" w:space="0" w:color="auto"/>
              <w:right w:val="dotted" w:sz="4" w:space="0" w:color="auto"/>
            </w:tcBorders>
          </w:tcPr>
          <w:p w14:paraId="7A4B62E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29.586</w:t>
            </w:r>
          </w:p>
        </w:tc>
        <w:tc>
          <w:tcPr>
            <w:tcW w:w="1170" w:type="dxa"/>
            <w:tcBorders>
              <w:top w:val="dotted" w:sz="4" w:space="0" w:color="auto"/>
              <w:left w:val="dotted" w:sz="4" w:space="0" w:color="auto"/>
              <w:bottom w:val="dotted" w:sz="4" w:space="0" w:color="auto"/>
              <w:right w:val="dotted" w:sz="4" w:space="0" w:color="auto"/>
            </w:tcBorders>
          </w:tcPr>
          <w:p w14:paraId="391E4C6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1453</w:t>
            </w:r>
          </w:p>
        </w:tc>
        <w:tc>
          <w:tcPr>
            <w:tcW w:w="990" w:type="dxa"/>
            <w:tcBorders>
              <w:top w:val="dotted" w:sz="4" w:space="0" w:color="auto"/>
              <w:left w:val="dotted" w:sz="4" w:space="0" w:color="auto"/>
              <w:bottom w:val="dotted" w:sz="4" w:space="0" w:color="auto"/>
              <w:right w:val="dotted" w:sz="4" w:space="0" w:color="auto"/>
            </w:tcBorders>
          </w:tcPr>
          <w:p w14:paraId="5A66CC0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1454</w:t>
            </w:r>
          </w:p>
        </w:tc>
        <w:tc>
          <w:tcPr>
            <w:tcW w:w="3553" w:type="dxa"/>
            <w:tcBorders>
              <w:top w:val="dotted" w:sz="4" w:space="0" w:color="auto"/>
              <w:left w:val="dotted" w:sz="4" w:space="0" w:color="auto"/>
              <w:bottom w:val="dotted" w:sz="4" w:space="0" w:color="auto"/>
              <w:right w:val="dotted" w:sz="4" w:space="0" w:color="auto"/>
            </w:tcBorders>
          </w:tcPr>
          <w:p w14:paraId="34AE5853"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-Caryophyllene</w:t>
            </w:r>
          </w:p>
        </w:tc>
        <w:tc>
          <w:tcPr>
            <w:tcW w:w="1134" w:type="dxa"/>
            <w:tcBorders>
              <w:top w:val="dotted" w:sz="4" w:space="0" w:color="auto"/>
              <w:left w:val="dotted" w:sz="4" w:space="0" w:color="auto"/>
              <w:bottom w:val="dotted" w:sz="4" w:space="0" w:color="auto"/>
              <w:right w:val="dotted" w:sz="4" w:space="0" w:color="auto"/>
            </w:tcBorders>
          </w:tcPr>
          <w:p w14:paraId="1F7F46F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70D1366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4.54</w:t>
            </w:r>
          </w:p>
        </w:tc>
      </w:tr>
      <w:tr w:rsidR="00E049CB" w:rsidRPr="005E6B7C" w14:paraId="3A961558"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053EA30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31</w:t>
            </w:r>
          </w:p>
        </w:tc>
        <w:tc>
          <w:tcPr>
            <w:tcW w:w="1170" w:type="dxa"/>
            <w:tcBorders>
              <w:top w:val="dotted" w:sz="4" w:space="0" w:color="auto"/>
              <w:left w:val="dotted" w:sz="4" w:space="0" w:color="auto"/>
              <w:bottom w:val="dotted" w:sz="4" w:space="0" w:color="auto"/>
              <w:right w:val="dotted" w:sz="4" w:space="0" w:color="auto"/>
            </w:tcBorders>
          </w:tcPr>
          <w:p w14:paraId="4F00C74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29.869</w:t>
            </w:r>
          </w:p>
        </w:tc>
        <w:tc>
          <w:tcPr>
            <w:tcW w:w="1170" w:type="dxa"/>
            <w:tcBorders>
              <w:top w:val="dotted" w:sz="4" w:space="0" w:color="auto"/>
              <w:left w:val="dotted" w:sz="4" w:space="0" w:color="auto"/>
              <w:bottom w:val="dotted" w:sz="4" w:space="0" w:color="auto"/>
              <w:right w:val="dotted" w:sz="4" w:space="0" w:color="auto"/>
            </w:tcBorders>
          </w:tcPr>
          <w:p w14:paraId="6BEA3ED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1460</w:t>
            </w:r>
          </w:p>
        </w:tc>
        <w:tc>
          <w:tcPr>
            <w:tcW w:w="990" w:type="dxa"/>
            <w:tcBorders>
              <w:top w:val="dotted" w:sz="4" w:space="0" w:color="auto"/>
              <w:left w:val="dotted" w:sz="4" w:space="0" w:color="auto"/>
              <w:bottom w:val="dotted" w:sz="4" w:space="0" w:color="auto"/>
              <w:right w:val="dotted" w:sz="4" w:space="0" w:color="auto"/>
            </w:tcBorders>
          </w:tcPr>
          <w:p w14:paraId="147AB47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1461</w:t>
            </w:r>
          </w:p>
        </w:tc>
        <w:tc>
          <w:tcPr>
            <w:tcW w:w="3553" w:type="dxa"/>
            <w:tcBorders>
              <w:top w:val="dotted" w:sz="4" w:space="0" w:color="auto"/>
              <w:left w:val="dotted" w:sz="4" w:space="0" w:color="auto"/>
              <w:bottom w:val="dotted" w:sz="4" w:space="0" w:color="auto"/>
              <w:right w:val="dotted" w:sz="4" w:space="0" w:color="auto"/>
            </w:tcBorders>
          </w:tcPr>
          <w:p w14:paraId="42696589"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Alloaromadendrene</w:t>
            </w:r>
          </w:p>
        </w:tc>
        <w:tc>
          <w:tcPr>
            <w:tcW w:w="1134" w:type="dxa"/>
            <w:tcBorders>
              <w:top w:val="dotted" w:sz="4" w:space="0" w:color="auto"/>
              <w:left w:val="dotted" w:sz="4" w:space="0" w:color="auto"/>
              <w:bottom w:val="dotted" w:sz="4" w:space="0" w:color="auto"/>
              <w:right w:val="dotted" w:sz="4" w:space="0" w:color="auto"/>
            </w:tcBorders>
          </w:tcPr>
          <w:p w14:paraId="606916B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3A99D53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0.25</w:t>
            </w:r>
          </w:p>
        </w:tc>
      </w:tr>
      <w:tr w:rsidR="00E049CB" w:rsidRPr="005E6B7C" w14:paraId="210E2029"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ABDB3C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32</w:t>
            </w:r>
          </w:p>
        </w:tc>
        <w:tc>
          <w:tcPr>
            <w:tcW w:w="1170" w:type="dxa"/>
            <w:tcBorders>
              <w:top w:val="dotted" w:sz="4" w:space="0" w:color="auto"/>
              <w:left w:val="dotted" w:sz="4" w:space="0" w:color="auto"/>
              <w:bottom w:val="dotted" w:sz="4" w:space="0" w:color="auto"/>
              <w:right w:val="dotted" w:sz="4" w:space="0" w:color="auto"/>
            </w:tcBorders>
          </w:tcPr>
          <w:p w14:paraId="4AA7895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30.555</w:t>
            </w:r>
          </w:p>
        </w:tc>
        <w:tc>
          <w:tcPr>
            <w:tcW w:w="1170" w:type="dxa"/>
            <w:tcBorders>
              <w:top w:val="dotted" w:sz="4" w:space="0" w:color="auto"/>
              <w:left w:val="dotted" w:sz="4" w:space="0" w:color="auto"/>
              <w:bottom w:val="dotted" w:sz="4" w:space="0" w:color="auto"/>
              <w:right w:val="dotted" w:sz="4" w:space="0" w:color="auto"/>
            </w:tcBorders>
          </w:tcPr>
          <w:p w14:paraId="184D1F4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1476</w:t>
            </w:r>
          </w:p>
        </w:tc>
        <w:tc>
          <w:tcPr>
            <w:tcW w:w="990" w:type="dxa"/>
            <w:tcBorders>
              <w:top w:val="dotted" w:sz="4" w:space="0" w:color="auto"/>
              <w:left w:val="dotted" w:sz="4" w:space="0" w:color="auto"/>
              <w:bottom w:val="dotted" w:sz="4" w:space="0" w:color="auto"/>
              <w:right w:val="dotted" w:sz="4" w:space="0" w:color="auto"/>
            </w:tcBorders>
          </w:tcPr>
          <w:p w14:paraId="61B5E1F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1473</w:t>
            </w:r>
          </w:p>
        </w:tc>
        <w:tc>
          <w:tcPr>
            <w:tcW w:w="3553" w:type="dxa"/>
            <w:tcBorders>
              <w:top w:val="dotted" w:sz="4" w:space="0" w:color="auto"/>
              <w:left w:val="dotted" w:sz="4" w:space="0" w:color="auto"/>
              <w:bottom w:val="dotted" w:sz="4" w:space="0" w:color="auto"/>
              <w:right w:val="dotted" w:sz="4" w:space="0" w:color="auto"/>
            </w:tcBorders>
          </w:tcPr>
          <w:p w14:paraId="19AAFEFA"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γ</w:t>
            </w:r>
            <w:r w:rsidRPr="005E6B7C">
              <w:rPr>
                <w:rFonts w:asciiTheme="majorHAnsi" w:eastAsia="Yu Mincho" w:hAnsiTheme="majorHAnsi" w:cstheme="majorHAnsi"/>
                <w:color w:val="000000" w:themeColor="text1"/>
                <w:sz w:val="18"/>
                <w:szCs w:val="18"/>
                <w:lang w:eastAsia="ja-JP"/>
              </w:rPr>
              <w:t>-Gurjunene</w:t>
            </w:r>
          </w:p>
        </w:tc>
        <w:tc>
          <w:tcPr>
            <w:tcW w:w="1134" w:type="dxa"/>
            <w:tcBorders>
              <w:top w:val="dotted" w:sz="4" w:space="0" w:color="auto"/>
              <w:left w:val="dotted" w:sz="4" w:space="0" w:color="auto"/>
              <w:bottom w:val="dotted" w:sz="4" w:space="0" w:color="auto"/>
              <w:right w:val="dotted" w:sz="4" w:space="0" w:color="auto"/>
            </w:tcBorders>
          </w:tcPr>
          <w:p w14:paraId="5004776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5665F8F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0.16</w:t>
            </w:r>
          </w:p>
        </w:tc>
      </w:tr>
      <w:tr w:rsidR="00E049CB" w:rsidRPr="005E6B7C" w14:paraId="66C293B6"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5F4905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33</w:t>
            </w:r>
          </w:p>
        </w:tc>
        <w:tc>
          <w:tcPr>
            <w:tcW w:w="1170" w:type="dxa"/>
            <w:tcBorders>
              <w:top w:val="dotted" w:sz="4" w:space="0" w:color="auto"/>
              <w:left w:val="dotted" w:sz="4" w:space="0" w:color="auto"/>
              <w:bottom w:val="dotted" w:sz="4" w:space="0" w:color="auto"/>
              <w:right w:val="dotted" w:sz="4" w:space="0" w:color="auto"/>
            </w:tcBorders>
          </w:tcPr>
          <w:p w14:paraId="02527CC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30.891</w:t>
            </w:r>
          </w:p>
        </w:tc>
        <w:tc>
          <w:tcPr>
            <w:tcW w:w="1170" w:type="dxa"/>
            <w:tcBorders>
              <w:top w:val="dotted" w:sz="4" w:space="0" w:color="auto"/>
              <w:left w:val="dotted" w:sz="4" w:space="0" w:color="auto"/>
              <w:bottom w:val="dotted" w:sz="4" w:space="0" w:color="auto"/>
              <w:right w:val="dotted" w:sz="4" w:space="0" w:color="auto"/>
            </w:tcBorders>
          </w:tcPr>
          <w:p w14:paraId="318A8F7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1484</w:t>
            </w:r>
          </w:p>
        </w:tc>
        <w:tc>
          <w:tcPr>
            <w:tcW w:w="990" w:type="dxa"/>
            <w:tcBorders>
              <w:top w:val="dotted" w:sz="4" w:space="0" w:color="auto"/>
              <w:left w:val="dotted" w:sz="4" w:space="0" w:color="auto"/>
              <w:bottom w:val="dotted" w:sz="4" w:space="0" w:color="auto"/>
              <w:right w:val="dotted" w:sz="4" w:space="0" w:color="auto"/>
            </w:tcBorders>
          </w:tcPr>
          <w:p w14:paraId="2BAF0E5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1486</w:t>
            </w:r>
          </w:p>
        </w:tc>
        <w:tc>
          <w:tcPr>
            <w:tcW w:w="3553" w:type="dxa"/>
            <w:tcBorders>
              <w:top w:val="dotted" w:sz="4" w:space="0" w:color="auto"/>
              <w:left w:val="dotted" w:sz="4" w:space="0" w:color="auto"/>
              <w:bottom w:val="dotted" w:sz="4" w:space="0" w:color="auto"/>
              <w:right w:val="dotted" w:sz="4" w:space="0" w:color="auto"/>
            </w:tcBorders>
          </w:tcPr>
          <w:p w14:paraId="75C61A5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-Eudesmene</w:t>
            </w:r>
          </w:p>
        </w:tc>
        <w:tc>
          <w:tcPr>
            <w:tcW w:w="1134" w:type="dxa"/>
            <w:tcBorders>
              <w:top w:val="dotted" w:sz="4" w:space="0" w:color="auto"/>
              <w:left w:val="dotted" w:sz="4" w:space="0" w:color="auto"/>
              <w:bottom w:val="dotted" w:sz="4" w:space="0" w:color="auto"/>
              <w:right w:val="dotted" w:sz="4" w:space="0" w:color="auto"/>
            </w:tcBorders>
          </w:tcPr>
          <w:p w14:paraId="4BED435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683C277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0.21</w:t>
            </w:r>
          </w:p>
        </w:tc>
      </w:tr>
      <w:tr w:rsidR="00E049CB" w:rsidRPr="005E6B7C" w14:paraId="1EB90CF4"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1A98FA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w:t>
            </w:r>
          </w:p>
        </w:tc>
        <w:tc>
          <w:tcPr>
            <w:tcW w:w="1170" w:type="dxa"/>
            <w:tcBorders>
              <w:top w:val="dotted" w:sz="4" w:space="0" w:color="auto"/>
              <w:left w:val="dotted" w:sz="4" w:space="0" w:color="auto"/>
              <w:bottom w:val="dotted" w:sz="4" w:space="0" w:color="auto"/>
              <w:right w:val="dotted" w:sz="4" w:space="0" w:color="auto"/>
            </w:tcBorders>
          </w:tcPr>
          <w:p w14:paraId="70F8A7A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31.378</w:t>
            </w:r>
          </w:p>
        </w:tc>
        <w:tc>
          <w:tcPr>
            <w:tcW w:w="1170" w:type="dxa"/>
            <w:tcBorders>
              <w:top w:val="dotted" w:sz="4" w:space="0" w:color="auto"/>
              <w:left w:val="dotted" w:sz="4" w:space="0" w:color="auto"/>
              <w:bottom w:val="dotted" w:sz="4" w:space="0" w:color="auto"/>
              <w:right w:val="dotted" w:sz="4" w:space="0" w:color="auto"/>
            </w:tcBorders>
          </w:tcPr>
          <w:p w14:paraId="0E455F8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1495</w:t>
            </w:r>
          </w:p>
        </w:tc>
        <w:tc>
          <w:tcPr>
            <w:tcW w:w="990" w:type="dxa"/>
            <w:tcBorders>
              <w:top w:val="dotted" w:sz="4" w:space="0" w:color="auto"/>
              <w:left w:val="dotted" w:sz="4" w:space="0" w:color="auto"/>
              <w:bottom w:val="dotted" w:sz="4" w:space="0" w:color="auto"/>
              <w:right w:val="dotted" w:sz="4" w:space="0" w:color="auto"/>
            </w:tcBorders>
          </w:tcPr>
          <w:p w14:paraId="166F9DF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1491</w:t>
            </w:r>
          </w:p>
        </w:tc>
        <w:tc>
          <w:tcPr>
            <w:tcW w:w="3553" w:type="dxa"/>
            <w:tcBorders>
              <w:top w:val="dotted" w:sz="4" w:space="0" w:color="auto"/>
              <w:left w:val="dotted" w:sz="4" w:space="0" w:color="auto"/>
              <w:bottom w:val="dotted" w:sz="4" w:space="0" w:color="auto"/>
              <w:right w:val="dotted" w:sz="4" w:space="0" w:color="auto"/>
            </w:tcBorders>
          </w:tcPr>
          <w:p w14:paraId="530C8664"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w:t>
            </w:r>
            <w:r w:rsidRPr="005E6B7C">
              <w:rPr>
                <w:rFonts w:asciiTheme="majorHAnsi" w:eastAsia="Yu Mincho" w:hAnsiTheme="majorHAnsi" w:cstheme="majorHAnsi"/>
                <w:i/>
                <w:color w:val="000000" w:themeColor="text1"/>
                <w:sz w:val="18"/>
                <w:szCs w:val="18"/>
                <w:lang w:eastAsia="ja-JP"/>
              </w:rPr>
              <w:t>Z</w:t>
            </w: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-Farnesene</w:t>
            </w:r>
          </w:p>
        </w:tc>
        <w:tc>
          <w:tcPr>
            <w:tcW w:w="1134" w:type="dxa"/>
            <w:tcBorders>
              <w:top w:val="dotted" w:sz="4" w:space="0" w:color="auto"/>
              <w:left w:val="dotted" w:sz="4" w:space="0" w:color="auto"/>
              <w:bottom w:val="dotted" w:sz="4" w:space="0" w:color="auto"/>
              <w:right w:val="dotted" w:sz="4" w:space="0" w:color="auto"/>
            </w:tcBorders>
          </w:tcPr>
          <w:p w14:paraId="228C8CD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0504A84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1.56</w:t>
            </w:r>
          </w:p>
        </w:tc>
      </w:tr>
      <w:tr w:rsidR="00E049CB" w:rsidRPr="005E6B7C" w14:paraId="580AD482"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C32BFF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35</w:t>
            </w:r>
          </w:p>
        </w:tc>
        <w:tc>
          <w:tcPr>
            <w:tcW w:w="1170" w:type="dxa"/>
            <w:tcBorders>
              <w:top w:val="dotted" w:sz="4" w:space="0" w:color="auto"/>
              <w:left w:val="dotted" w:sz="4" w:space="0" w:color="auto"/>
              <w:bottom w:val="dotted" w:sz="4" w:space="0" w:color="auto"/>
              <w:right w:val="dotted" w:sz="4" w:space="0" w:color="auto"/>
            </w:tcBorders>
          </w:tcPr>
          <w:p w14:paraId="01FB199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31.724</w:t>
            </w:r>
          </w:p>
        </w:tc>
        <w:tc>
          <w:tcPr>
            <w:tcW w:w="1170" w:type="dxa"/>
            <w:tcBorders>
              <w:top w:val="dotted" w:sz="4" w:space="0" w:color="auto"/>
              <w:left w:val="dotted" w:sz="4" w:space="0" w:color="auto"/>
              <w:bottom w:val="dotted" w:sz="4" w:space="0" w:color="auto"/>
              <w:right w:val="dotted" w:sz="4" w:space="0" w:color="auto"/>
            </w:tcBorders>
          </w:tcPr>
          <w:p w14:paraId="191235F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1504</w:t>
            </w:r>
          </w:p>
        </w:tc>
        <w:tc>
          <w:tcPr>
            <w:tcW w:w="990" w:type="dxa"/>
            <w:tcBorders>
              <w:top w:val="dotted" w:sz="4" w:space="0" w:color="auto"/>
              <w:left w:val="dotted" w:sz="4" w:space="0" w:color="auto"/>
              <w:bottom w:val="dotted" w:sz="4" w:space="0" w:color="auto"/>
              <w:right w:val="dotted" w:sz="4" w:space="0" w:color="auto"/>
            </w:tcBorders>
          </w:tcPr>
          <w:p w14:paraId="6AACF25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1505</w:t>
            </w:r>
          </w:p>
        </w:tc>
        <w:tc>
          <w:tcPr>
            <w:tcW w:w="3553" w:type="dxa"/>
            <w:tcBorders>
              <w:top w:val="dotted" w:sz="4" w:space="0" w:color="auto"/>
              <w:left w:val="dotted" w:sz="4" w:space="0" w:color="auto"/>
              <w:bottom w:val="dotted" w:sz="4" w:space="0" w:color="auto"/>
              <w:right w:val="dotted" w:sz="4" w:space="0" w:color="auto"/>
            </w:tcBorders>
          </w:tcPr>
          <w:p w14:paraId="07DABC05"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-Bulnesene</w:t>
            </w:r>
          </w:p>
        </w:tc>
        <w:tc>
          <w:tcPr>
            <w:tcW w:w="1134" w:type="dxa"/>
            <w:tcBorders>
              <w:top w:val="dotted" w:sz="4" w:space="0" w:color="auto"/>
              <w:left w:val="dotted" w:sz="4" w:space="0" w:color="auto"/>
              <w:bottom w:val="dotted" w:sz="4" w:space="0" w:color="auto"/>
              <w:right w:val="dotted" w:sz="4" w:space="0" w:color="auto"/>
            </w:tcBorders>
          </w:tcPr>
          <w:p w14:paraId="6D6BC44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5A57094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w:t>
            </w:r>
          </w:p>
        </w:tc>
      </w:tr>
      <w:tr w:rsidR="00E049CB" w:rsidRPr="005E6B7C" w14:paraId="10BE22D0"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2876D8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36</w:t>
            </w:r>
          </w:p>
        </w:tc>
        <w:tc>
          <w:tcPr>
            <w:tcW w:w="1170" w:type="dxa"/>
            <w:tcBorders>
              <w:top w:val="dotted" w:sz="4" w:space="0" w:color="auto"/>
              <w:left w:val="dotted" w:sz="4" w:space="0" w:color="auto"/>
              <w:bottom w:val="dotted" w:sz="4" w:space="0" w:color="auto"/>
              <w:right w:val="dotted" w:sz="4" w:space="0" w:color="auto"/>
            </w:tcBorders>
          </w:tcPr>
          <w:p w14:paraId="10816F8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31.96</w:t>
            </w:r>
          </w:p>
        </w:tc>
        <w:tc>
          <w:tcPr>
            <w:tcW w:w="1170" w:type="dxa"/>
            <w:tcBorders>
              <w:top w:val="dotted" w:sz="4" w:space="0" w:color="auto"/>
              <w:left w:val="dotted" w:sz="4" w:space="0" w:color="auto"/>
              <w:bottom w:val="dotted" w:sz="4" w:space="0" w:color="auto"/>
              <w:right w:val="dotted" w:sz="4" w:space="0" w:color="auto"/>
            </w:tcBorders>
          </w:tcPr>
          <w:p w14:paraId="50A0F45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1511</w:t>
            </w:r>
          </w:p>
        </w:tc>
        <w:tc>
          <w:tcPr>
            <w:tcW w:w="990" w:type="dxa"/>
            <w:tcBorders>
              <w:top w:val="dotted" w:sz="4" w:space="0" w:color="auto"/>
              <w:left w:val="dotted" w:sz="4" w:space="0" w:color="auto"/>
              <w:bottom w:val="dotted" w:sz="4" w:space="0" w:color="auto"/>
              <w:right w:val="dotted" w:sz="4" w:space="0" w:color="auto"/>
            </w:tcBorders>
          </w:tcPr>
          <w:p w14:paraId="49CBC84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1508</w:t>
            </w:r>
          </w:p>
        </w:tc>
        <w:tc>
          <w:tcPr>
            <w:tcW w:w="3553" w:type="dxa"/>
            <w:tcBorders>
              <w:top w:val="dotted" w:sz="4" w:space="0" w:color="auto"/>
              <w:left w:val="dotted" w:sz="4" w:space="0" w:color="auto"/>
              <w:bottom w:val="dotted" w:sz="4" w:space="0" w:color="auto"/>
              <w:right w:val="dotted" w:sz="4" w:space="0" w:color="auto"/>
            </w:tcBorders>
          </w:tcPr>
          <w:p w14:paraId="29CF8850"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(3</w:t>
            </w:r>
            <w:r w:rsidRPr="005E6B7C">
              <w:rPr>
                <w:rFonts w:asciiTheme="majorHAnsi" w:eastAsia="Yu Mincho" w:hAnsiTheme="majorHAnsi" w:cstheme="majorHAnsi"/>
                <w:b/>
                <w:bCs/>
                <w:i/>
                <w:color w:val="000000" w:themeColor="text1"/>
                <w:sz w:val="18"/>
                <w:szCs w:val="18"/>
                <w:lang w:eastAsia="ja-JP"/>
              </w:rPr>
              <w:t>E</w:t>
            </w:r>
            <w:r w:rsidRPr="005E6B7C">
              <w:rPr>
                <w:rFonts w:asciiTheme="majorHAnsi" w:eastAsia="Yu Mincho" w:hAnsiTheme="majorHAnsi" w:cstheme="majorHAnsi"/>
                <w:b/>
                <w:bCs/>
                <w:color w:val="000000" w:themeColor="text1"/>
                <w:sz w:val="18"/>
                <w:szCs w:val="18"/>
                <w:lang w:eastAsia="ja-JP"/>
              </w:rPr>
              <w:t>,6</w:t>
            </w:r>
            <w:r w:rsidRPr="005E6B7C">
              <w:rPr>
                <w:rFonts w:asciiTheme="majorHAnsi" w:eastAsia="Yu Mincho" w:hAnsiTheme="majorHAnsi" w:cstheme="majorHAnsi"/>
                <w:b/>
                <w:bCs/>
                <w:i/>
                <w:color w:val="000000" w:themeColor="text1"/>
                <w:sz w:val="18"/>
                <w:szCs w:val="18"/>
                <w:lang w:eastAsia="ja-JP"/>
              </w:rPr>
              <w:t>E</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b/>
                <w:bCs/>
                <w:i/>
                <w:color w:val="000000" w:themeColor="text1"/>
                <w:sz w:val="18"/>
                <w:szCs w:val="18"/>
                <w:lang w:eastAsia="ja-JP"/>
              </w:rPr>
              <w:t>α</w:t>
            </w:r>
            <w:r w:rsidRPr="005E6B7C">
              <w:rPr>
                <w:rFonts w:asciiTheme="majorHAnsi" w:eastAsia="Yu Mincho" w:hAnsiTheme="majorHAnsi" w:cstheme="majorHAnsi"/>
                <w:b/>
                <w:bCs/>
                <w:color w:val="000000" w:themeColor="text1"/>
                <w:sz w:val="18"/>
                <w:szCs w:val="18"/>
                <w:lang w:eastAsia="ja-JP"/>
              </w:rPr>
              <w:t>-Farnesene</w:t>
            </w:r>
          </w:p>
        </w:tc>
        <w:tc>
          <w:tcPr>
            <w:tcW w:w="1134" w:type="dxa"/>
            <w:tcBorders>
              <w:top w:val="dotted" w:sz="4" w:space="0" w:color="auto"/>
              <w:left w:val="dotted" w:sz="4" w:space="0" w:color="auto"/>
              <w:bottom w:val="dotted" w:sz="4" w:space="0" w:color="auto"/>
              <w:right w:val="dotted" w:sz="4" w:space="0" w:color="auto"/>
            </w:tcBorders>
          </w:tcPr>
          <w:p w14:paraId="19AD3F3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C</w:t>
            </w:r>
            <w:r w:rsidRPr="005E6B7C">
              <w:rPr>
                <w:rFonts w:asciiTheme="majorHAnsi" w:eastAsia="Yu Mincho" w:hAnsiTheme="majorHAnsi" w:cstheme="majorHAnsi"/>
                <w:b/>
                <w:bCs/>
                <w:color w:val="000000" w:themeColor="text1"/>
                <w:sz w:val="18"/>
                <w:szCs w:val="18"/>
                <w:vertAlign w:val="subscript"/>
                <w:lang w:eastAsia="ja-JP"/>
              </w:rPr>
              <w:t>15</w:t>
            </w:r>
            <w:r w:rsidRPr="005E6B7C">
              <w:rPr>
                <w:rFonts w:asciiTheme="majorHAnsi" w:eastAsia="Yu Mincho" w:hAnsiTheme="majorHAnsi" w:cstheme="majorHAnsi"/>
                <w:b/>
                <w:bCs/>
                <w:color w:val="000000" w:themeColor="text1"/>
                <w:sz w:val="18"/>
                <w:szCs w:val="18"/>
                <w:lang w:eastAsia="ja-JP"/>
              </w:rPr>
              <w:t>H</w:t>
            </w:r>
            <w:r w:rsidRPr="005E6B7C">
              <w:rPr>
                <w:rFonts w:asciiTheme="majorHAnsi" w:eastAsia="Yu Mincho" w:hAnsiTheme="majorHAnsi" w:cstheme="majorHAnsi"/>
                <w:b/>
                <w:bCs/>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265E751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14.36</w:t>
            </w:r>
          </w:p>
        </w:tc>
      </w:tr>
      <w:tr w:rsidR="00E049CB" w:rsidRPr="005E6B7C" w14:paraId="6E5CC0C1"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94A2EE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37</w:t>
            </w:r>
          </w:p>
        </w:tc>
        <w:tc>
          <w:tcPr>
            <w:tcW w:w="1170" w:type="dxa"/>
            <w:tcBorders>
              <w:top w:val="dotted" w:sz="4" w:space="0" w:color="auto"/>
              <w:left w:val="dotted" w:sz="4" w:space="0" w:color="auto"/>
              <w:bottom w:val="dotted" w:sz="4" w:space="0" w:color="auto"/>
              <w:right w:val="dotted" w:sz="4" w:space="0" w:color="auto"/>
            </w:tcBorders>
          </w:tcPr>
          <w:p w14:paraId="5DF6F7C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32.464</w:t>
            </w:r>
          </w:p>
        </w:tc>
        <w:tc>
          <w:tcPr>
            <w:tcW w:w="1170" w:type="dxa"/>
            <w:tcBorders>
              <w:top w:val="dotted" w:sz="4" w:space="0" w:color="auto"/>
              <w:left w:val="dotted" w:sz="4" w:space="0" w:color="auto"/>
              <w:bottom w:val="dotted" w:sz="4" w:space="0" w:color="auto"/>
              <w:right w:val="dotted" w:sz="4" w:space="0" w:color="auto"/>
            </w:tcBorders>
          </w:tcPr>
          <w:p w14:paraId="668BE07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1525</w:t>
            </w:r>
          </w:p>
        </w:tc>
        <w:tc>
          <w:tcPr>
            <w:tcW w:w="990" w:type="dxa"/>
            <w:tcBorders>
              <w:top w:val="dotted" w:sz="4" w:space="0" w:color="auto"/>
              <w:left w:val="dotted" w:sz="4" w:space="0" w:color="auto"/>
              <w:bottom w:val="dotted" w:sz="4" w:space="0" w:color="auto"/>
              <w:right w:val="dotted" w:sz="4" w:space="0" w:color="auto"/>
            </w:tcBorders>
          </w:tcPr>
          <w:p w14:paraId="1F2FDD6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1524</w:t>
            </w:r>
          </w:p>
        </w:tc>
        <w:tc>
          <w:tcPr>
            <w:tcW w:w="3553" w:type="dxa"/>
            <w:tcBorders>
              <w:top w:val="dotted" w:sz="4" w:space="0" w:color="auto"/>
              <w:left w:val="dotted" w:sz="4" w:space="0" w:color="auto"/>
              <w:bottom w:val="dotted" w:sz="4" w:space="0" w:color="auto"/>
              <w:right w:val="dotted" w:sz="4" w:space="0" w:color="auto"/>
            </w:tcBorders>
          </w:tcPr>
          <w:p w14:paraId="0A4E530D"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-Sesquiphellandrene</w:t>
            </w:r>
          </w:p>
        </w:tc>
        <w:tc>
          <w:tcPr>
            <w:tcW w:w="1134" w:type="dxa"/>
            <w:tcBorders>
              <w:top w:val="dotted" w:sz="4" w:space="0" w:color="auto"/>
              <w:left w:val="dotted" w:sz="4" w:space="0" w:color="auto"/>
              <w:bottom w:val="dotted" w:sz="4" w:space="0" w:color="auto"/>
              <w:right w:val="dotted" w:sz="4" w:space="0" w:color="auto"/>
            </w:tcBorders>
          </w:tcPr>
          <w:p w14:paraId="79D4D2E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p>
        </w:tc>
        <w:tc>
          <w:tcPr>
            <w:tcW w:w="851" w:type="dxa"/>
            <w:tcBorders>
              <w:top w:val="dotted" w:sz="4" w:space="0" w:color="auto"/>
              <w:left w:val="dotted" w:sz="4" w:space="0" w:color="auto"/>
              <w:bottom w:val="dotted" w:sz="4" w:space="0" w:color="auto"/>
              <w:right w:val="dotted" w:sz="4" w:space="0" w:color="auto"/>
            </w:tcBorders>
          </w:tcPr>
          <w:p w14:paraId="74AB655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0.71</w:t>
            </w:r>
          </w:p>
        </w:tc>
      </w:tr>
      <w:tr w:rsidR="00E049CB" w:rsidRPr="005E6B7C" w14:paraId="017DC5CE"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775BA4D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38</w:t>
            </w:r>
          </w:p>
        </w:tc>
        <w:tc>
          <w:tcPr>
            <w:tcW w:w="1170" w:type="dxa"/>
            <w:tcBorders>
              <w:top w:val="dotted" w:sz="4" w:space="0" w:color="auto"/>
              <w:left w:val="dotted" w:sz="4" w:space="0" w:color="auto"/>
              <w:bottom w:val="dotted" w:sz="4" w:space="0" w:color="auto"/>
              <w:right w:val="dotted" w:sz="4" w:space="0" w:color="auto"/>
            </w:tcBorders>
          </w:tcPr>
          <w:p w14:paraId="11CEFE1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33.171</w:t>
            </w:r>
          </w:p>
        </w:tc>
        <w:tc>
          <w:tcPr>
            <w:tcW w:w="1170" w:type="dxa"/>
            <w:tcBorders>
              <w:top w:val="dotted" w:sz="4" w:space="0" w:color="auto"/>
              <w:left w:val="dotted" w:sz="4" w:space="0" w:color="auto"/>
              <w:bottom w:val="dotted" w:sz="4" w:space="0" w:color="auto"/>
              <w:right w:val="dotted" w:sz="4" w:space="0" w:color="auto"/>
            </w:tcBorders>
          </w:tcPr>
          <w:p w14:paraId="4CF7285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1544</w:t>
            </w:r>
          </w:p>
        </w:tc>
        <w:tc>
          <w:tcPr>
            <w:tcW w:w="990" w:type="dxa"/>
            <w:tcBorders>
              <w:top w:val="dotted" w:sz="4" w:space="0" w:color="auto"/>
              <w:left w:val="dotted" w:sz="4" w:space="0" w:color="auto"/>
              <w:bottom w:val="dotted" w:sz="4" w:space="0" w:color="auto"/>
              <w:right w:val="dotted" w:sz="4" w:space="0" w:color="auto"/>
            </w:tcBorders>
          </w:tcPr>
          <w:p w14:paraId="40D3D6A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1542</w:t>
            </w:r>
          </w:p>
        </w:tc>
        <w:tc>
          <w:tcPr>
            <w:tcW w:w="3553" w:type="dxa"/>
            <w:tcBorders>
              <w:top w:val="dotted" w:sz="4" w:space="0" w:color="auto"/>
              <w:left w:val="dotted" w:sz="4" w:space="0" w:color="auto"/>
              <w:bottom w:val="dotted" w:sz="4" w:space="0" w:color="auto"/>
              <w:right w:val="dotted" w:sz="4" w:space="0" w:color="auto"/>
            </w:tcBorders>
          </w:tcPr>
          <w:p w14:paraId="19DF2D0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-Calacorene</w:t>
            </w:r>
          </w:p>
        </w:tc>
        <w:tc>
          <w:tcPr>
            <w:tcW w:w="1134" w:type="dxa"/>
            <w:tcBorders>
              <w:top w:val="dotted" w:sz="4" w:space="0" w:color="auto"/>
              <w:left w:val="dotted" w:sz="4" w:space="0" w:color="auto"/>
              <w:bottom w:val="dotted" w:sz="4" w:space="0" w:color="auto"/>
              <w:right w:val="dotted" w:sz="4" w:space="0" w:color="auto"/>
            </w:tcBorders>
          </w:tcPr>
          <w:p w14:paraId="21CEFCE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w:t>
            </w:r>
            <w:r w:rsidRPr="005E6B7C">
              <w:rPr>
                <w:rFonts w:asciiTheme="majorHAnsi" w:eastAsia="Yu Mincho" w:hAnsiTheme="majorHAnsi" w:cstheme="majorHAnsi"/>
                <w:color w:val="000000" w:themeColor="text1"/>
                <w:sz w:val="18"/>
                <w:szCs w:val="18"/>
                <w:vertAlign w:val="subscript"/>
                <w:lang w:val="vi-VN" w:eastAsia="ja-JP"/>
              </w:rPr>
              <w:t>0</w:t>
            </w:r>
          </w:p>
        </w:tc>
        <w:tc>
          <w:tcPr>
            <w:tcW w:w="851" w:type="dxa"/>
            <w:tcBorders>
              <w:top w:val="dotted" w:sz="4" w:space="0" w:color="auto"/>
              <w:left w:val="dotted" w:sz="4" w:space="0" w:color="auto"/>
              <w:bottom w:val="dotted" w:sz="4" w:space="0" w:color="auto"/>
              <w:right w:val="dotted" w:sz="4" w:space="0" w:color="auto"/>
            </w:tcBorders>
          </w:tcPr>
          <w:p w14:paraId="1CC9B6F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0.07</w:t>
            </w:r>
          </w:p>
        </w:tc>
      </w:tr>
      <w:tr w:rsidR="00E049CB" w:rsidRPr="005E6B7C" w14:paraId="07C5A25E"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11A24A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39</w:t>
            </w:r>
          </w:p>
        </w:tc>
        <w:tc>
          <w:tcPr>
            <w:tcW w:w="1170" w:type="dxa"/>
            <w:tcBorders>
              <w:top w:val="dotted" w:sz="4" w:space="0" w:color="auto"/>
              <w:left w:val="dotted" w:sz="4" w:space="0" w:color="auto"/>
              <w:bottom w:val="dotted" w:sz="4" w:space="0" w:color="auto"/>
              <w:right w:val="dotted" w:sz="4" w:space="0" w:color="auto"/>
            </w:tcBorders>
          </w:tcPr>
          <w:p w14:paraId="72FD436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34.015</w:t>
            </w:r>
          </w:p>
        </w:tc>
        <w:tc>
          <w:tcPr>
            <w:tcW w:w="1170" w:type="dxa"/>
            <w:tcBorders>
              <w:top w:val="dotted" w:sz="4" w:space="0" w:color="auto"/>
              <w:left w:val="dotted" w:sz="4" w:space="0" w:color="auto"/>
              <w:bottom w:val="dotted" w:sz="4" w:space="0" w:color="auto"/>
              <w:right w:val="dotted" w:sz="4" w:space="0" w:color="auto"/>
            </w:tcBorders>
          </w:tcPr>
          <w:p w14:paraId="790FD42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1567</w:t>
            </w:r>
          </w:p>
        </w:tc>
        <w:tc>
          <w:tcPr>
            <w:tcW w:w="990" w:type="dxa"/>
            <w:tcBorders>
              <w:top w:val="dotted" w:sz="4" w:space="0" w:color="auto"/>
              <w:left w:val="dotted" w:sz="4" w:space="0" w:color="auto"/>
              <w:bottom w:val="dotted" w:sz="4" w:space="0" w:color="auto"/>
              <w:right w:val="dotted" w:sz="4" w:space="0" w:color="auto"/>
            </w:tcBorders>
          </w:tcPr>
          <w:p w14:paraId="6F4BDC0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1564</w:t>
            </w:r>
          </w:p>
        </w:tc>
        <w:tc>
          <w:tcPr>
            <w:tcW w:w="3553" w:type="dxa"/>
            <w:tcBorders>
              <w:top w:val="dotted" w:sz="4" w:space="0" w:color="auto"/>
              <w:left w:val="dotted" w:sz="4" w:space="0" w:color="auto"/>
              <w:bottom w:val="dotted" w:sz="4" w:space="0" w:color="auto"/>
              <w:right w:val="dotted" w:sz="4" w:space="0" w:color="auto"/>
            </w:tcBorders>
          </w:tcPr>
          <w:p w14:paraId="4C44C100"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(6</w:t>
            </w:r>
            <w:r w:rsidRPr="005E6B7C">
              <w:rPr>
                <w:rFonts w:asciiTheme="majorHAnsi" w:eastAsia="Yu Mincho" w:hAnsiTheme="majorHAnsi" w:cstheme="majorHAnsi"/>
                <w:i/>
                <w:color w:val="000000" w:themeColor="text1"/>
                <w:sz w:val="18"/>
                <w:szCs w:val="18"/>
                <w:lang w:eastAsia="ja-JP"/>
              </w:rPr>
              <w:t>E</w:t>
            </w:r>
            <w:r w:rsidRPr="005E6B7C">
              <w:rPr>
                <w:rFonts w:asciiTheme="majorHAnsi" w:eastAsia="Yu Mincho" w:hAnsiTheme="majorHAnsi" w:cstheme="majorHAnsi"/>
                <w:color w:val="000000" w:themeColor="text1"/>
                <w:sz w:val="18"/>
                <w:szCs w:val="18"/>
                <w:lang w:eastAsia="ja-JP"/>
              </w:rPr>
              <w:t>)-Nerolidol</w:t>
            </w:r>
          </w:p>
        </w:tc>
        <w:tc>
          <w:tcPr>
            <w:tcW w:w="1134" w:type="dxa"/>
            <w:tcBorders>
              <w:top w:val="dotted" w:sz="4" w:space="0" w:color="auto"/>
              <w:left w:val="dotted" w:sz="4" w:space="0" w:color="auto"/>
              <w:bottom w:val="dotted" w:sz="4" w:space="0" w:color="auto"/>
              <w:right w:val="dotted" w:sz="4" w:space="0" w:color="auto"/>
            </w:tcBorders>
          </w:tcPr>
          <w:p w14:paraId="04ACE95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7880FF0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2.17</w:t>
            </w:r>
          </w:p>
        </w:tc>
      </w:tr>
      <w:tr w:rsidR="00E049CB" w:rsidRPr="005E6B7C" w14:paraId="717FB5D6"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43F2A16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40</w:t>
            </w:r>
          </w:p>
        </w:tc>
        <w:tc>
          <w:tcPr>
            <w:tcW w:w="1170" w:type="dxa"/>
            <w:tcBorders>
              <w:top w:val="dotted" w:sz="4" w:space="0" w:color="auto"/>
              <w:left w:val="dotted" w:sz="4" w:space="0" w:color="auto"/>
              <w:bottom w:val="dotted" w:sz="4" w:space="0" w:color="auto"/>
              <w:right w:val="dotted" w:sz="4" w:space="0" w:color="auto"/>
            </w:tcBorders>
          </w:tcPr>
          <w:p w14:paraId="4E25C6A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34.136</w:t>
            </w:r>
          </w:p>
        </w:tc>
        <w:tc>
          <w:tcPr>
            <w:tcW w:w="1170" w:type="dxa"/>
            <w:tcBorders>
              <w:top w:val="dotted" w:sz="4" w:space="0" w:color="auto"/>
              <w:left w:val="dotted" w:sz="4" w:space="0" w:color="auto"/>
              <w:bottom w:val="dotted" w:sz="4" w:space="0" w:color="auto"/>
              <w:right w:val="dotted" w:sz="4" w:space="0" w:color="auto"/>
            </w:tcBorders>
          </w:tcPr>
          <w:p w14:paraId="1A43BCC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1570</w:t>
            </w:r>
          </w:p>
        </w:tc>
        <w:tc>
          <w:tcPr>
            <w:tcW w:w="990" w:type="dxa"/>
            <w:tcBorders>
              <w:top w:val="dotted" w:sz="4" w:space="0" w:color="auto"/>
              <w:left w:val="dotted" w:sz="4" w:space="0" w:color="auto"/>
              <w:bottom w:val="dotted" w:sz="4" w:space="0" w:color="auto"/>
              <w:right w:val="dotted" w:sz="4" w:space="0" w:color="auto"/>
            </w:tcBorders>
          </w:tcPr>
          <w:p w14:paraId="33AE07A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1568</w:t>
            </w:r>
          </w:p>
        </w:tc>
        <w:tc>
          <w:tcPr>
            <w:tcW w:w="3553" w:type="dxa"/>
            <w:tcBorders>
              <w:top w:val="dotted" w:sz="4" w:space="0" w:color="auto"/>
              <w:left w:val="dotted" w:sz="4" w:space="0" w:color="auto"/>
              <w:bottom w:val="dotted" w:sz="4" w:space="0" w:color="auto"/>
              <w:right w:val="dotted" w:sz="4" w:space="0" w:color="auto"/>
            </w:tcBorders>
          </w:tcPr>
          <w:p w14:paraId="36680741"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Palustrol</w:t>
            </w:r>
          </w:p>
        </w:tc>
        <w:tc>
          <w:tcPr>
            <w:tcW w:w="1134" w:type="dxa"/>
            <w:tcBorders>
              <w:top w:val="dotted" w:sz="4" w:space="0" w:color="auto"/>
              <w:left w:val="dotted" w:sz="4" w:space="0" w:color="auto"/>
              <w:bottom w:val="dotted" w:sz="4" w:space="0" w:color="auto"/>
              <w:right w:val="dotted" w:sz="4" w:space="0" w:color="auto"/>
            </w:tcBorders>
          </w:tcPr>
          <w:p w14:paraId="4FEB18F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09287E3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0.09</w:t>
            </w:r>
          </w:p>
        </w:tc>
      </w:tr>
      <w:tr w:rsidR="00E049CB" w:rsidRPr="005E6B7C" w14:paraId="429070FE"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4B6FBE1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41</w:t>
            </w:r>
          </w:p>
        </w:tc>
        <w:tc>
          <w:tcPr>
            <w:tcW w:w="1170" w:type="dxa"/>
            <w:tcBorders>
              <w:top w:val="dotted" w:sz="4" w:space="0" w:color="auto"/>
              <w:left w:val="dotted" w:sz="4" w:space="0" w:color="auto"/>
              <w:bottom w:val="dotted" w:sz="4" w:space="0" w:color="auto"/>
              <w:right w:val="dotted" w:sz="4" w:space="0" w:color="auto"/>
            </w:tcBorders>
          </w:tcPr>
          <w:p w14:paraId="18DD439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34.424</w:t>
            </w:r>
          </w:p>
        </w:tc>
        <w:tc>
          <w:tcPr>
            <w:tcW w:w="1170" w:type="dxa"/>
            <w:tcBorders>
              <w:top w:val="dotted" w:sz="4" w:space="0" w:color="auto"/>
              <w:left w:val="dotted" w:sz="4" w:space="0" w:color="auto"/>
              <w:bottom w:val="dotted" w:sz="4" w:space="0" w:color="auto"/>
              <w:right w:val="dotted" w:sz="4" w:space="0" w:color="auto"/>
            </w:tcBorders>
          </w:tcPr>
          <w:p w14:paraId="7B77B92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1578</w:t>
            </w:r>
          </w:p>
        </w:tc>
        <w:tc>
          <w:tcPr>
            <w:tcW w:w="990" w:type="dxa"/>
            <w:tcBorders>
              <w:top w:val="dotted" w:sz="4" w:space="0" w:color="auto"/>
              <w:left w:val="dotted" w:sz="4" w:space="0" w:color="auto"/>
              <w:bottom w:val="dotted" w:sz="4" w:space="0" w:color="auto"/>
              <w:right w:val="dotted" w:sz="4" w:space="0" w:color="auto"/>
            </w:tcBorders>
          </w:tcPr>
          <w:p w14:paraId="3B06BBD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1576</w:t>
            </w:r>
          </w:p>
        </w:tc>
        <w:tc>
          <w:tcPr>
            <w:tcW w:w="3553" w:type="dxa"/>
            <w:tcBorders>
              <w:top w:val="dotted" w:sz="4" w:space="0" w:color="auto"/>
              <w:left w:val="dotted" w:sz="4" w:space="0" w:color="auto"/>
              <w:bottom w:val="dotted" w:sz="4" w:space="0" w:color="auto"/>
              <w:right w:val="dotted" w:sz="4" w:space="0" w:color="auto"/>
            </w:tcBorders>
          </w:tcPr>
          <w:p w14:paraId="0C6153F8"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Spathulenol</w:t>
            </w:r>
          </w:p>
        </w:tc>
        <w:tc>
          <w:tcPr>
            <w:tcW w:w="1134" w:type="dxa"/>
            <w:tcBorders>
              <w:top w:val="dotted" w:sz="4" w:space="0" w:color="auto"/>
              <w:left w:val="dotted" w:sz="4" w:space="0" w:color="auto"/>
              <w:bottom w:val="dotted" w:sz="4" w:space="0" w:color="auto"/>
              <w:right w:val="dotted" w:sz="4" w:space="0" w:color="auto"/>
            </w:tcBorders>
          </w:tcPr>
          <w:p w14:paraId="0CDF064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630143B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0.22</w:t>
            </w:r>
          </w:p>
        </w:tc>
      </w:tr>
      <w:tr w:rsidR="00E049CB" w:rsidRPr="005E6B7C" w14:paraId="685BAEE2"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3A4B971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lastRenderedPageBreak/>
              <w:t>42</w:t>
            </w:r>
          </w:p>
        </w:tc>
        <w:tc>
          <w:tcPr>
            <w:tcW w:w="1170" w:type="dxa"/>
            <w:tcBorders>
              <w:top w:val="dotted" w:sz="4" w:space="0" w:color="auto"/>
              <w:left w:val="dotted" w:sz="4" w:space="0" w:color="auto"/>
              <w:bottom w:val="dotted" w:sz="4" w:space="0" w:color="auto"/>
              <w:right w:val="dotted" w:sz="4" w:space="0" w:color="auto"/>
            </w:tcBorders>
          </w:tcPr>
          <w:p w14:paraId="00F1216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34.618</w:t>
            </w:r>
          </w:p>
        </w:tc>
        <w:tc>
          <w:tcPr>
            <w:tcW w:w="1170" w:type="dxa"/>
            <w:tcBorders>
              <w:top w:val="dotted" w:sz="4" w:space="0" w:color="auto"/>
              <w:left w:val="dotted" w:sz="4" w:space="0" w:color="auto"/>
              <w:bottom w:val="dotted" w:sz="4" w:space="0" w:color="auto"/>
              <w:right w:val="dotted" w:sz="4" w:space="0" w:color="auto"/>
            </w:tcBorders>
          </w:tcPr>
          <w:p w14:paraId="3D9A6B0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1583</w:t>
            </w:r>
          </w:p>
        </w:tc>
        <w:tc>
          <w:tcPr>
            <w:tcW w:w="990" w:type="dxa"/>
            <w:tcBorders>
              <w:top w:val="dotted" w:sz="4" w:space="0" w:color="auto"/>
              <w:left w:val="dotted" w:sz="4" w:space="0" w:color="auto"/>
              <w:bottom w:val="dotted" w:sz="4" w:space="0" w:color="auto"/>
              <w:right w:val="dotted" w:sz="4" w:space="0" w:color="auto"/>
            </w:tcBorders>
          </w:tcPr>
          <w:p w14:paraId="68085E0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1581</w:t>
            </w:r>
          </w:p>
        </w:tc>
        <w:tc>
          <w:tcPr>
            <w:tcW w:w="3553" w:type="dxa"/>
            <w:tcBorders>
              <w:top w:val="dotted" w:sz="4" w:space="0" w:color="auto"/>
              <w:left w:val="dotted" w:sz="4" w:space="0" w:color="auto"/>
              <w:bottom w:val="dotted" w:sz="4" w:space="0" w:color="auto"/>
              <w:right w:val="dotted" w:sz="4" w:space="0" w:color="auto"/>
            </w:tcBorders>
          </w:tcPr>
          <w:p w14:paraId="240D3014"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-Caryophyllene epoxide</w:t>
            </w:r>
          </w:p>
        </w:tc>
        <w:tc>
          <w:tcPr>
            <w:tcW w:w="1134" w:type="dxa"/>
            <w:tcBorders>
              <w:top w:val="dotted" w:sz="4" w:space="0" w:color="auto"/>
              <w:left w:val="dotted" w:sz="4" w:space="0" w:color="auto"/>
              <w:bottom w:val="dotted" w:sz="4" w:space="0" w:color="auto"/>
              <w:right w:val="dotted" w:sz="4" w:space="0" w:color="auto"/>
            </w:tcBorders>
          </w:tcPr>
          <w:p w14:paraId="28FA45C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24</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2454E82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0.99</w:t>
            </w:r>
          </w:p>
        </w:tc>
      </w:tr>
      <w:tr w:rsidR="00E049CB" w:rsidRPr="005E6B7C" w14:paraId="36E77B83"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050F83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43</w:t>
            </w:r>
          </w:p>
        </w:tc>
        <w:tc>
          <w:tcPr>
            <w:tcW w:w="1170" w:type="dxa"/>
            <w:tcBorders>
              <w:top w:val="dotted" w:sz="4" w:space="0" w:color="auto"/>
              <w:left w:val="dotted" w:sz="4" w:space="0" w:color="auto"/>
              <w:bottom w:val="dotted" w:sz="4" w:space="0" w:color="auto"/>
              <w:right w:val="dotted" w:sz="4" w:space="0" w:color="auto"/>
            </w:tcBorders>
          </w:tcPr>
          <w:p w14:paraId="5D4ED68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34.917</w:t>
            </w:r>
          </w:p>
        </w:tc>
        <w:tc>
          <w:tcPr>
            <w:tcW w:w="1170" w:type="dxa"/>
            <w:tcBorders>
              <w:top w:val="dotted" w:sz="4" w:space="0" w:color="auto"/>
              <w:left w:val="dotted" w:sz="4" w:space="0" w:color="auto"/>
              <w:bottom w:val="dotted" w:sz="4" w:space="0" w:color="auto"/>
              <w:right w:val="dotted" w:sz="4" w:space="0" w:color="auto"/>
            </w:tcBorders>
          </w:tcPr>
          <w:p w14:paraId="3487F71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1591</w:t>
            </w:r>
          </w:p>
        </w:tc>
        <w:tc>
          <w:tcPr>
            <w:tcW w:w="990" w:type="dxa"/>
            <w:tcBorders>
              <w:top w:val="dotted" w:sz="4" w:space="0" w:color="auto"/>
              <w:left w:val="dotted" w:sz="4" w:space="0" w:color="auto"/>
              <w:bottom w:val="dotted" w:sz="4" w:space="0" w:color="auto"/>
              <w:right w:val="dotted" w:sz="4" w:space="0" w:color="auto"/>
            </w:tcBorders>
          </w:tcPr>
          <w:p w14:paraId="5F20151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1591</w:t>
            </w:r>
          </w:p>
        </w:tc>
        <w:tc>
          <w:tcPr>
            <w:tcW w:w="3553" w:type="dxa"/>
            <w:tcBorders>
              <w:top w:val="dotted" w:sz="4" w:space="0" w:color="auto"/>
              <w:left w:val="dotted" w:sz="4" w:space="0" w:color="auto"/>
              <w:bottom w:val="dotted" w:sz="4" w:space="0" w:color="auto"/>
              <w:right w:val="dotted" w:sz="4" w:space="0" w:color="auto"/>
            </w:tcBorders>
          </w:tcPr>
          <w:p w14:paraId="6CD5C900"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Viridiflorol</w:t>
            </w:r>
          </w:p>
        </w:tc>
        <w:tc>
          <w:tcPr>
            <w:tcW w:w="1134" w:type="dxa"/>
            <w:tcBorders>
              <w:top w:val="dotted" w:sz="4" w:space="0" w:color="auto"/>
              <w:left w:val="dotted" w:sz="4" w:space="0" w:color="auto"/>
              <w:bottom w:val="dotted" w:sz="4" w:space="0" w:color="auto"/>
              <w:right w:val="dotted" w:sz="4" w:space="0" w:color="auto"/>
            </w:tcBorders>
          </w:tcPr>
          <w:p w14:paraId="608D074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1D5DEA0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0.14</w:t>
            </w:r>
          </w:p>
        </w:tc>
      </w:tr>
      <w:tr w:rsidR="00E049CB" w:rsidRPr="005E6B7C" w14:paraId="095CF239"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97A252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44</w:t>
            </w:r>
          </w:p>
        </w:tc>
        <w:tc>
          <w:tcPr>
            <w:tcW w:w="1170" w:type="dxa"/>
            <w:tcBorders>
              <w:top w:val="dotted" w:sz="4" w:space="0" w:color="auto"/>
              <w:left w:val="dotted" w:sz="4" w:space="0" w:color="auto"/>
              <w:bottom w:val="dotted" w:sz="4" w:space="0" w:color="auto"/>
              <w:right w:val="dotted" w:sz="4" w:space="0" w:color="auto"/>
            </w:tcBorders>
          </w:tcPr>
          <w:p w14:paraId="0DF158B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36.227</w:t>
            </w:r>
          </w:p>
        </w:tc>
        <w:tc>
          <w:tcPr>
            <w:tcW w:w="1170" w:type="dxa"/>
            <w:tcBorders>
              <w:top w:val="dotted" w:sz="4" w:space="0" w:color="auto"/>
              <w:left w:val="dotted" w:sz="4" w:space="0" w:color="auto"/>
              <w:bottom w:val="dotted" w:sz="4" w:space="0" w:color="auto"/>
              <w:right w:val="dotted" w:sz="4" w:space="0" w:color="auto"/>
            </w:tcBorders>
          </w:tcPr>
          <w:p w14:paraId="7EE41EE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1633</w:t>
            </w:r>
          </w:p>
        </w:tc>
        <w:tc>
          <w:tcPr>
            <w:tcW w:w="990" w:type="dxa"/>
            <w:tcBorders>
              <w:top w:val="dotted" w:sz="4" w:space="0" w:color="auto"/>
              <w:left w:val="dotted" w:sz="4" w:space="0" w:color="auto"/>
              <w:bottom w:val="dotted" w:sz="4" w:space="0" w:color="auto"/>
              <w:right w:val="dotted" w:sz="4" w:space="0" w:color="auto"/>
            </w:tcBorders>
          </w:tcPr>
          <w:p w14:paraId="1082118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1631</w:t>
            </w:r>
          </w:p>
        </w:tc>
        <w:tc>
          <w:tcPr>
            <w:tcW w:w="3553" w:type="dxa"/>
            <w:tcBorders>
              <w:top w:val="dotted" w:sz="4" w:space="0" w:color="auto"/>
              <w:left w:val="dotted" w:sz="4" w:space="0" w:color="auto"/>
              <w:bottom w:val="dotted" w:sz="4" w:space="0" w:color="auto"/>
              <w:right w:val="dotted" w:sz="4" w:space="0" w:color="auto"/>
            </w:tcBorders>
          </w:tcPr>
          <w:p w14:paraId="68E850D2"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eastAsia="ja-JP"/>
              </w:rPr>
              <w:t>γ</w:t>
            </w:r>
            <w:r w:rsidRPr="005E6B7C">
              <w:rPr>
                <w:rFonts w:asciiTheme="majorHAnsi" w:eastAsia="Yu Mincho" w:hAnsiTheme="majorHAnsi" w:cstheme="majorHAnsi"/>
                <w:color w:val="000000" w:themeColor="text1"/>
                <w:sz w:val="18"/>
                <w:szCs w:val="18"/>
                <w:lang w:eastAsia="ja-JP"/>
              </w:rPr>
              <w:t>-Eudesmole</w:t>
            </w:r>
          </w:p>
        </w:tc>
        <w:tc>
          <w:tcPr>
            <w:tcW w:w="1134" w:type="dxa"/>
            <w:tcBorders>
              <w:top w:val="dotted" w:sz="4" w:space="0" w:color="auto"/>
              <w:left w:val="dotted" w:sz="4" w:space="0" w:color="auto"/>
              <w:bottom w:val="dotted" w:sz="4" w:space="0" w:color="auto"/>
              <w:right w:val="dotted" w:sz="4" w:space="0" w:color="auto"/>
            </w:tcBorders>
          </w:tcPr>
          <w:p w14:paraId="3371792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2340D5F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0.08</w:t>
            </w:r>
          </w:p>
        </w:tc>
      </w:tr>
      <w:tr w:rsidR="00E049CB" w:rsidRPr="005E6B7C" w14:paraId="737B59FF"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4DC51C7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45</w:t>
            </w:r>
          </w:p>
        </w:tc>
        <w:tc>
          <w:tcPr>
            <w:tcW w:w="1170" w:type="dxa"/>
            <w:tcBorders>
              <w:top w:val="dotted" w:sz="4" w:space="0" w:color="auto"/>
              <w:left w:val="dotted" w:sz="4" w:space="0" w:color="auto"/>
              <w:bottom w:val="dotted" w:sz="4" w:space="0" w:color="auto"/>
              <w:right w:val="dotted" w:sz="4" w:space="0" w:color="auto"/>
            </w:tcBorders>
          </w:tcPr>
          <w:p w14:paraId="1DE2F8E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36.547</w:t>
            </w:r>
          </w:p>
        </w:tc>
        <w:tc>
          <w:tcPr>
            <w:tcW w:w="1170" w:type="dxa"/>
            <w:tcBorders>
              <w:top w:val="dotted" w:sz="4" w:space="0" w:color="auto"/>
              <w:left w:val="dotted" w:sz="4" w:space="0" w:color="auto"/>
              <w:bottom w:val="dotted" w:sz="4" w:space="0" w:color="auto"/>
              <w:right w:val="dotted" w:sz="4" w:space="0" w:color="auto"/>
            </w:tcBorders>
          </w:tcPr>
          <w:p w14:paraId="277445D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1643</w:t>
            </w:r>
          </w:p>
        </w:tc>
        <w:tc>
          <w:tcPr>
            <w:tcW w:w="990" w:type="dxa"/>
            <w:tcBorders>
              <w:top w:val="dotted" w:sz="4" w:space="0" w:color="auto"/>
              <w:left w:val="dotted" w:sz="4" w:space="0" w:color="auto"/>
              <w:bottom w:val="dotted" w:sz="4" w:space="0" w:color="auto"/>
              <w:right w:val="dotted" w:sz="4" w:space="0" w:color="auto"/>
            </w:tcBorders>
          </w:tcPr>
          <w:p w14:paraId="32A7DCE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1640</w:t>
            </w:r>
          </w:p>
        </w:tc>
        <w:tc>
          <w:tcPr>
            <w:tcW w:w="3553" w:type="dxa"/>
            <w:tcBorders>
              <w:top w:val="dotted" w:sz="4" w:space="0" w:color="auto"/>
              <w:left w:val="dotted" w:sz="4" w:space="0" w:color="auto"/>
              <w:bottom w:val="dotted" w:sz="4" w:space="0" w:color="auto"/>
              <w:right w:val="dotted" w:sz="4" w:space="0" w:color="auto"/>
            </w:tcBorders>
          </w:tcPr>
          <w:p w14:paraId="6CD1C881" w14:textId="4DBD30B4"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tau-Cadinol</w:t>
            </w:r>
          </w:p>
        </w:tc>
        <w:tc>
          <w:tcPr>
            <w:tcW w:w="1134" w:type="dxa"/>
            <w:tcBorders>
              <w:top w:val="dotted" w:sz="4" w:space="0" w:color="auto"/>
              <w:left w:val="dotted" w:sz="4" w:space="0" w:color="auto"/>
              <w:bottom w:val="dotted" w:sz="4" w:space="0" w:color="auto"/>
              <w:right w:val="dotted" w:sz="4" w:space="0" w:color="auto"/>
            </w:tcBorders>
          </w:tcPr>
          <w:p w14:paraId="4705E71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48800CE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0.05</w:t>
            </w:r>
          </w:p>
        </w:tc>
      </w:tr>
      <w:tr w:rsidR="00E049CB" w:rsidRPr="005E6B7C" w14:paraId="7B6EB41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E387D4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46</w:t>
            </w:r>
          </w:p>
        </w:tc>
        <w:tc>
          <w:tcPr>
            <w:tcW w:w="1170" w:type="dxa"/>
            <w:tcBorders>
              <w:top w:val="dotted" w:sz="4" w:space="0" w:color="auto"/>
              <w:left w:val="dotted" w:sz="4" w:space="0" w:color="auto"/>
              <w:bottom w:val="dotted" w:sz="4" w:space="0" w:color="auto"/>
              <w:right w:val="dotted" w:sz="4" w:space="0" w:color="auto"/>
            </w:tcBorders>
          </w:tcPr>
          <w:p w14:paraId="382BE1F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36.898</w:t>
            </w:r>
          </w:p>
        </w:tc>
        <w:tc>
          <w:tcPr>
            <w:tcW w:w="1170" w:type="dxa"/>
            <w:tcBorders>
              <w:top w:val="dotted" w:sz="4" w:space="0" w:color="auto"/>
              <w:left w:val="dotted" w:sz="4" w:space="0" w:color="auto"/>
              <w:bottom w:val="dotted" w:sz="4" w:space="0" w:color="auto"/>
              <w:right w:val="dotted" w:sz="4" w:space="0" w:color="auto"/>
            </w:tcBorders>
          </w:tcPr>
          <w:p w14:paraId="0687B4C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1655</w:t>
            </w:r>
          </w:p>
        </w:tc>
        <w:tc>
          <w:tcPr>
            <w:tcW w:w="990" w:type="dxa"/>
            <w:tcBorders>
              <w:top w:val="dotted" w:sz="4" w:space="0" w:color="auto"/>
              <w:left w:val="dotted" w:sz="4" w:space="0" w:color="auto"/>
              <w:bottom w:val="dotted" w:sz="4" w:space="0" w:color="auto"/>
              <w:right w:val="dotted" w:sz="4" w:space="0" w:color="auto"/>
            </w:tcBorders>
          </w:tcPr>
          <w:p w14:paraId="1F2E915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1655</w:t>
            </w:r>
          </w:p>
        </w:tc>
        <w:tc>
          <w:tcPr>
            <w:tcW w:w="3553" w:type="dxa"/>
            <w:tcBorders>
              <w:top w:val="dotted" w:sz="4" w:space="0" w:color="auto"/>
              <w:left w:val="dotted" w:sz="4" w:space="0" w:color="auto"/>
              <w:bottom w:val="dotted" w:sz="4" w:space="0" w:color="auto"/>
              <w:right w:val="dotted" w:sz="4" w:space="0" w:color="auto"/>
            </w:tcBorders>
          </w:tcPr>
          <w:p w14:paraId="588B14D7"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Pogostole</w:t>
            </w:r>
          </w:p>
        </w:tc>
        <w:tc>
          <w:tcPr>
            <w:tcW w:w="1134" w:type="dxa"/>
            <w:tcBorders>
              <w:top w:val="dotted" w:sz="4" w:space="0" w:color="auto"/>
              <w:left w:val="dotted" w:sz="4" w:space="0" w:color="auto"/>
              <w:bottom w:val="dotted" w:sz="4" w:space="0" w:color="auto"/>
              <w:right w:val="dotted" w:sz="4" w:space="0" w:color="auto"/>
            </w:tcBorders>
          </w:tcPr>
          <w:p w14:paraId="6AAB729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15</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26</w:t>
            </w:r>
            <w:r w:rsidRPr="005E6B7C">
              <w:rPr>
                <w:rFonts w:asciiTheme="majorHAnsi" w:eastAsia="Yu Mincho" w:hAnsiTheme="majorHAnsi" w:cstheme="majorHAnsi"/>
                <w:color w:val="000000" w:themeColor="text1"/>
                <w:sz w:val="18"/>
                <w:szCs w:val="18"/>
                <w:lang w:eastAsia="ja-JP"/>
              </w:rPr>
              <w:t>O</w:t>
            </w:r>
          </w:p>
        </w:tc>
        <w:tc>
          <w:tcPr>
            <w:tcW w:w="851" w:type="dxa"/>
            <w:tcBorders>
              <w:top w:val="dotted" w:sz="4" w:space="0" w:color="auto"/>
              <w:left w:val="dotted" w:sz="4" w:space="0" w:color="auto"/>
              <w:bottom w:val="dotted" w:sz="4" w:space="0" w:color="auto"/>
              <w:right w:val="dotted" w:sz="4" w:space="0" w:color="auto"/>
            </w:tcBorders>
          </w:tcPr>
          <w:p w14:paraId="4E57052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0.23</w:t>
            </w:r>
          </w:p>
        </w:tc>
      </w:tr>
      <w:tr w:rsidR="00E049CB" w:rsidRPr="005E6B7C" w14:paraId="4738407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6100A6C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47</w:t>
            </w:r>
          </w:p>
        </w:tc>
        <w:tc>
          <w:tcPr>
            <w:tcW w:w="1170" w:type="dxa"/>
            <w:tcBorders>
              <w:top w:val="dotted" w:sz="4" w:space="0" w:color="auto"/>
              <w:left w:val="dotted" w:sz="4" w:space="0" w:color="auto"/>
              <w:bottom w:val="dotted" w:sz="4" w:space="0" w:color="auto"/>
              <w:right w:val="dotted" w:sz="4" w:space="0" w:color="auto"/>
            </w:tcBorders>
          </w:tcPr>
          <w:p w14:paraId="710B365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39.886</w:t>
            </w:r>
          </w:p>
        </w:tc>
        <w:tc>
          <w:tcPr>
            <w:tcW w:w="1170" w:type="dxa"/>
            <w:tcBorders>
              <w:top w:val="dotted" w:sz="4" w:space="0" w:color="auto"/>
              <w:left w:val="dotted" w:sz="4" w:space="0" w:color="auto"/>
              <w:bottom w:val="dotted" w:sz="4" w:space="0" w:color="auto"/>
              <w:right w:val="dotted" w:sz="4" w:space="0" w:color="auto"/>
            </w:tcBorders>
          </w:tcPr>
          <w:p w14:paraId="5631D40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1765</w:t>
            </w:r>
          </w:p>
        </w:tc>
        <w:tc>
          <w:tcPr>
            <w:tcW w:w="990" w:type="dxa"/>
            <w:tcBorders>
              <w:top w:val="dotted" w:sz="4" w:space="0" w:color="auto"/>
              <w:left w:val="dotted" w:sz="4" w:space="0" w:color="auto"/>
              <w:bottom w:val="dotted" w:sz="4" w:space="0" w:color="auto"/>
              <w:right w:val="dotted" w:sz="4" w:space="0" w:color="auto"/>
            </w:tcBorders>
          </w:tcPr>
          <w:p w14:paraId="50A09BD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1762</w:t>
            </w:r>
          </w:p>
        </w:tc>
        <w:tc>
          <w:tcPr>
            <w:tcW w:w="3553" w:type="dxa"/>
            <w:tcBorders>
              <w:top w:val="dotted" w:sz="4" w:space="0" w:color="auto"/>
              <w:left w:val="dotted" w:sz="4" w:space="0" w:color="auto"/>
              <w:bottom w:val="dotted" w:sz="4" w:space="0" w:color="auto"/>
              <w:right w:val="dotted" w:sz="4" w:space="0" w:color="auto"/>
            </w:tcBorders>
          </w:tcPr>
          <w:p w14:paraId="3C865108" w14:textId="6E02427A"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 xml:space="preserve">Benzyl </w:t>
            </w:r>
            <w:r w:rsidR="00FB7B36" w:rsidRPr="005E6B7C">
              <w:rPr>
                <w:rFonts w:asciiTheme="majorHAnsi" w:eastAsia="Yu Mincho" w:hAnsiTheme="majorHAnsi" w:cstheme="majorHAnsi"/>
                <w:color w:val="000000" w:themeColor="text1"/>
                <w:sz w:val="18"/>
                <w:szCs w:val="18"/>
                <w:lang w:eastAsia="ja-JP"/>
              </w:rPr>
              <w:t>b</w:t>
            </w:r>
            <w:r w:rsidRPr="005E6B7C">
              <w:rPr>
                <w:rFonts w:asciiTheme="majorHAnsi" w:eastAsia="Yu Mincho" w:hAnsiTheme="majorHAnsi" w:cstheme="majorHAnsi"/>
                <w:color w:val="000000" w:themeColor="text1"/>
                <w:sz w:val="18"/>
                <w:szCs w:val="18"/>
                <w:lang w:eastAsia="ja-JP"/>
              </w:rPr>
              <w:t>enzoate</w:t>
            </w:r>
          </w:p>
        </w:tc>
        <w:tc>
          <w:tcPr>
            <w:tcW w:w="1134" w:type="dxa"/>
            <w:tcBorders>
              <w:top w:val="dotted" w:sz="4" w:space="0" w:color="auto"/>
              <w:left w:val="dotted" w:sz="4" w:space="0" w:color="auto"/>
              <w:bottom w:val="dotted" w:sz="4" w:space="0" w:color="auto"/>
              <w:right w:val="dotted" w:sz="4" w:space="0" w:color="auto"/>
            </w:tcBorders>
          </w:tcPr>
          <w:p w14:paraId="07DF6AE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vertAlign w:val="subscript"/>
                <w:lang w:eastAsia="ja-JP"/>
              </w:rPr>
              <w:t>14</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vertAlign w:val="subscript"/>
                <w:lang w:eastAsia="ja-JP"/>
              </w:rPr>
              <w:t>12</w:t>
            </w:r>
            <w:r w:rsidRPr="005E6B7C">
              <w:rPr>
                <w:rFonts w:asciiTheme="majorHAnsi" w:eastAsia="Yu Mincho" w:hAnsiTheme="majorHAnsi" w:cstheme="majorHAnsi"/>
                <w:color w:val="000000" w:themeColor="text1"/>
                <w:sz w:val="18"/>
                <w:szCs w:val="18"/>
                <w:lang w:eastAsia="ja-JP"/>
              </w:rPr>
              <w:t>O</w:t>
            </w:r>
            <w:r w:rsidRPr="005E6B7C">
              <w:rPr>
                <w:rFonts w:asciiTheme="majorHAnsi" w:eastAsia="Yu Mincho" w:hAnsiTheme="majorHAnsi" w:cstheme="majorHAnsi"/>
                <w:color w:val="000000" w:themeColor="text1"/>
                <w:sz w:val="18"/>
                <w:szCs w:val="18"/>
                <w:vertAlign w:val="subscript"/>
                <w:lang w:eastAsia="ja-JP"/>
              </w:rPr>
              <w:t>2</w:t>
            </w:r>
          </w:p>
        </w:tc>
        <w:tc>
          <w:tcPr>
            <w:tcW w:w="851" w:type="dxa"/>
            <w:tcBorders>
              <w:top w:val="dotted" w:sz="4" w:space="0" w:color="auto"/>
              <w:left w:val="dotted" w:sz="4" w:space="0" w:color="auto"/>
              <w:bottom w:val="dotted" w:sz="4" w:space="0" w:color="auto"/>
              <w:right w:val="dotted" w:sz="4" w:space="0" w:color="auto"/>
            </w:tcBorders>
          </w:tcPr>
          <w:p w14:paraId="21153FA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0.21</w:t>
            </w:r>
          </w:p>
        </w:tc>
      </w:tr>
      <w:tr w:rsidR="00E049CB" w:rsidRPr="005E6B7C" w14:paraId="388DAFF6"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540ECC2F"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1170" w:type="dxa"/>
            <w:tcBorders>
              <w:top w:val="dotted" w:sz="4" w:space="0" w:color="auto"/>
              <w:left w:val="dotted" w:sz="4" w:space="0" w:color="auto"/>
              <w:bottom w:val="dotted" w:sz="4" w:space="0" w:color="auto"/>
              <w:right w:val="dotted" w:sz="4" w:space="0" w:color="auto"/>
            </w:tcBorders>
          </w:tcPr>
          <w:p w14:paraId="56BBF992"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1170" w:type="dxa"/>
            <w:tcBorders>
              <w:top w:val="dotted" w:sz="4" w:space="0" w:color="auto"/>
              <w:left w:val="dotted" w:sz="4" w:space="0" w:color="auto"/>
              <w:bottom w:val="dotted" w:sz="4" w:space="0" w:color="auto"/>
              <w:right w:val="dotted" w:sz="4" w:space="0" w:color="auto"/>
            </w:tcBorders>
          </w:tcPr>
          <w:p w14:paraId="04622F5C"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990" w:type="dxa"/>
            <w:tcBorders>
              <w:top w:val="dotted" w:sz="4" w:space="0" w:color="auto"/>
              <w:left w:val="dotted" w:sz="4" w:space="0" w:color="auto"/>
              <w:bottom w:val="dotted" w:sz="4" w:space="0" w:color="auto"/>
              <w:right w:val="dotted" w:sz="4" w:space="0" w:color="auto"/>
            </w:tcBorders>
          </w:tcPr>
          <w:p w14:paraId="45BF7D51"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3553" w:type="dxa"/>
            <w:tcBorders>
              <w:top w:val="dotted" w:sz="4" w:space="0" w:color="auto"/>
              <w:left w:val="dotted" w:sz="4" w:space="0" w:color="auto"/>
              <w:bottom w:val="dotted" w:sz="4" w:space="0" w:color="auto"/>
              <w:right w:val="dotted" w:sz="4" w:space="0" w:color="auto"/>
            </w:tcBorders>
          </w:tcPr>
          <w:p w14:paraId="5E375C4C"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Total</w:t>
            </w:r>
          </w:p>
        </w:tc>
        <w:tc>
          <w:tcPr>
            <w:tcW w:w="1134" w:type="dxa"/>
            <w:tcBorders>
              <w:top w:val="dotted" w:sz="4" w:space="0" w:color="auto"/>
              <w:left w:val="dotted" w:sz="4" w:space="0" w:color="auto"/>
              <w:bottom w:val="dotted" w:sz="4" w:space="0" w:color="auto"/>
              <w:right w:val="dotted" w:sz="4" w:space="0" w:color="auto"/>
            </w:tcBorders>
          </w:tcPr>
          <w:p w14:paraId="0CDCC19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0BFB08C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97.82</w:t>
            </w:r>
          </w:p>
        </w:tc>
      </w:tr>
      <w:tr w:rsidR="00E049CB" w:rsidRPr="005E6B7C" w14:paraId="0E8C1215"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EA44423"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6883" w:type="dxa"/>
            <w:gridSpan w:val="4"/>
            <w:tcBorders>
              <w:top w:val="dotted" w:sz="4" w:space="0" w:color="auto"/>
              <w:left w:val="dotted" w:sz="4" w:space="0" w:color="auto"/>
              <w:bottom w:val="dotted" w:sz="4" w:space="0" w:color="auto"/>
              <w:right w:val="dotted" w:sz="4" w:space="0" w:color="auto"/>
            </w:tcBorders>
          </w:tcPr>
          <w:p w14:paraId="6ED6CF6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Monoterpene hydrocarbons (Sr. No. 1–9, 11–13, 16)</w:t>
            </w:r>
          </w:p>
        </w:tc>
        <w:tc>
          <w:tcPr>
            <w:tcW w:w="1134" w:type="dxa"/>
            <w:tcBorders>
              <w:top w:val="dotted" w:sz="4" w:space="0" w:color="auto"/>
              <w:left w:val="dotted" w:sz="4" w:space="0" w:color="auto"/>
              <w:bottom w:val="dotted" w:sz="4" w:space="0" w:color="auto"/>
              <w:right w:val="dotted" w:sz="4" w:space="0" w:color="auto"/>
            </w:tcBorders>
          </w:tcPr>
          <w:p w14:paraId="41DF705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33E5B63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39.53</w:t>
            </w:r>
          </w:p>
        </w:tc>
      </w:tr>
      <w:tr w:rsidR="00E049CB" w:rsidRPr="005E6B7C" w14:paraId="4CE1560C"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2E9E68A7"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6883" w:type="dxa"/>
            <w:gridSpan w:val="4"/>
            <w:tcBorders>
              <w:top w:val="dotted" w:sz="4" w:space="0" w:color="auto"/>
              <w:left w:val="dotted" w:sz="4" w:space="0" w:color="auto"/>
              <w:bottom w:val="dotted" w:sz="4" w:space="0" w:color="auto"/>
              <w:right w:val="dotted" w:sz="4" w:space="0" w:color="auto"/>
            </w:tcBorders>
          </w:tcPr>
          <w:p w14:paraId="0E218AEA"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Oxygenated monoterpenes (Sr. No. 14, 17, 19-21)</w:t>
            </w:r>
          </w:p>
        </w:tc>
        <w:tc>
          <w:tcPr>
            <w:tcW w:w="1134" w:type="dxa"/>
            <w:tcBorders>
              <w:top w:val="dotted" w:sz="4" w:space="0" w:color="auto"/>
              <w:left w:val="dotted" w:sz="4" w:space="0" w:color="auto"/>
              <w:bottom w:val="dotted" w:sz="4" w:space="0" w:color="auto"/>
              <w:right w:val="dotted" w:sz="4" w:space="0" w:color="auto"/>
            </w:tcBorders>
          </w:tcPr>
          <w:p w14:paraId="37DAE7F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6402722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0.93</w:t>
            </w:r>
          </w:p>
        </w:tc>
      </w:tr>
      <w:tr w:rsidR="00E049CB" w:rsidRPr="005E6B7C" w14:paraId="618825CD"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7BAEE013"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6883" w:type="dxa"/>
            <w:gridSpan w:val="4"/>
            <w:tcBorders>
              <w:top w:val="dotted" w:sz="4" w:space="0" w:color="auto"/>
              <w:left w:val="dotted" w:sz="4" w:space="0" w:color="auto"/>
              <w:bottom w:val="dotted" w:sz="4" w:space="0" w:color="auto"/>
              <w:right w:val="dotted" w:sz="4" w:space="0" w:color="auto"/>
            </w:tcBorders>
          </w:tcPr>
          <w:p w14:paraId="7ED7314F"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Sesquiterpene hydrocarbons (Sr. No. 22–38), </w:t>
            </w:r>
          </w:p>
        </w:tc>
        <w:tc>
          <w:tcPr>
            <w:tcW w:w="1134" w:type="dxa"/>
            <w:tcBorders>
              <w:top w:val="dotted" w:sz="4" w:space="0" w:color="auto"/>
              <w:left w:val="dotted" w:sz="4" w:space="0" w:color="auto"/>
              <w:bottom w:val="dotted" w:sz="4" w:space="0" w:color="auto"/>
              <w:right w:val="dotted" w:sz="4" w:space="0" w:color="auto"/>
            </w:tcBorders>
          </w:tcPr>
          <w:p w14:paraId="208BA00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27862D6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50.34</w:t>
            </w:r>
          </w:p>
        </w:tc>
      </w:tr>
      <w:tr w:rsidR="00E049CB" w:rsidRPr="005E6B7C" w14:paraId="4B5E88A8" w14:textId="77777777" w:rsidTr="00AF4AD1">
        <w:trPr>
          <w:trHeight w:val="199"/>
          <w:jc w:val="center"/>
        </w:trPr>
        <w:tc>
          <w:tcPr>
            <w:tcW w:w="630" w:type="dxa"/>
            <w:tcBorders>
              <w:top w:val="dotted" w:sz="4" w:space="0" w:color="auto"/>
              <w:left w:val="dotted" w:sz="4" w:space="0" w:color="auto"/>
              <w:bottom w:val="dotted" w:sz="4" w:space="0" w:color="auto"/>
              <w:right w:val="dotted" w:sz="4" w:space="0" w:color="auto"/>
            </w:tcBorders>
          </w:tcPr>
          <w:p w14:paraId="3F1F0676"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6883" w:type="dxa"/>
            <w:gridSpan w:val="4"/>
            <w:tcBorders>
              <w:top w:val="dotted" w:sz="4" w:space="0" w:color="auto"/>
              <w:left w:val="dotted" w:sz="4" w:space="0" w:color="auto"/>
              <w:bottom w:val="dotted" w:sz="4" w:space="0" w:color="auto"/>
              <w:right w:val="dotted" w:sz="4" w:space="0" w:color="auto"/>
            </w:tcBorders>
          </w:tcPr>
          <w:p w14:paraId="2447A04E"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Oxygenated sesquiterpenes (Sr. No. 39–46)</w:t>
            </w:r>
          </w:p>
        </w:tc>
        <w:tc>
          <w:tcPr>
            <w:tcW w:w="1134" w:type="dxa"/>
            <w:tcBorders>
              <w:top w:val="dotted" w:sz="4" w:space="0" w:color="auto"/>
              <w:left w:val="dotted" w:sz="4" w:space="0" w:color="auto"/>
              <w:bottom w:val="dotted" w:sz="4" w:space="0" w:color="auto"/>
              <w:right w:val="dotted" w:sz="4" w:space="0" w:color="auto"/>
            </w:tcBorders>
          </w:tcPr>
          <w:p w14:paraId="6ADD961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51D3F4A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3.97</w:t>
            </w:r>
          </w:p>
        </w:tc>
      </w:tr>
      <w:tr w:rsidR="00E049CB" w:rsidRPr="005E6B7C" w14:paraId="4D868485" w14:textId="77777777" w:rsidTr="00AF4AD1">
        <w:trPr>
          <w:jc w:val="center"/>
        </w:trPr>
        <w:tc>
          <w:tcPr>
            <w:tcW w:w="630" w:type="dxa"/>
            <w:tcBorders>
              <w:top w:val="dotted" w:sz="4" w:space="0" w:color="auto"/>
              <w:left w:val="dotted" w:sz="4" w:space="0" w:color="auto"/>
              <w:bottom w:val="dotted" w:sz="4" w:space="0" w:color="auto"/>
              <w:right w:val="dotted" w:sz="4" w:space="0" w:color="auto"/>
            </w:tcBorders>
          </w:tcPr>
          <w:p w14:paraId="04AD7FE2"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6883" w:type="dxa"/>
            <w:gridSpan w:val="4"/>
            <w:tcBorders>
              <w:top w:val="dotted" w:sz="4" w:space="0" w:color="auto"/>
              <w:left w:val="dotted" w:sz="4" w:space="0" w:color="auto"/>
              <w:bottom w:val="dotted" w:sz="4" w:space="0" w:color="auto"/>
              <w:right w:val="dotted" w:sz="4" w:space="0" w:color="auto"/>
            </w:tcBorders>
          </w:tcPr>
          <w:p w14:paraId="0F0FB554" w14:textId="77777777" w:rsidR="00E049CB" w:rsidRPr="005E6B7C" w:rsidRDefault="00E049CB" w:rsidP="008C0D47">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Others (Sr. No. 10, 15, 18, 47)</w:t>
            </w:r>
          </w:p>
        </w:tc>
        <w:tc>
          <w:tcPr>
            <w:tcW w:w="1134" w:type="dxa"/>
            <w:tcBorders>
              <w:top w:val="dotted" w:sz="4" w:space="0" w:color="auto"/>
              <w:left w:val="dotted" w:sz="4" w:space="0" w:color="auto"/>
              <w:bottom w:val="dotted" w:sz="4" w:space="0" w:color="auto"/>
              <w:right w:val="dotted" w:sz="4" w:space="0" w:color="auto"/>
            </w:tcBorders>
          </w:tcPr>
          <w:p w14:paraId="68AC222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851" w:type="dxa"/>
            <w:tcBorders>
              <w:top w:val="dotted" w:sz="4" w:space="0" w:color="auto"/>
              <w:left w:val="dotted" w:sz="4" w:space="0" w:color="auto"/>
              <w:bottom w:val="dotted" w:sz="4" w:space="0" w:color="auto"/>
              <w:right w:val="dotted" w:sz="4" w:space="0" w:color="auto"/>
            </w:tcBorders>
          </w:tcPr>
          <w:p w14:paraId="2EA6BBF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2.75</w:t>
            </w:r>
          </w:p>
        </w:tc>
      </w:tr>
    </w:tbl>
    <w:p w14:paraId="3C96B137" w14:textId="77777777" w:rsidR="00AF4AD1" w:rsidRPr="005E6B7C" w:rsidRDefault="00AF4AD1" w:rsidP="008C0D47">
      <w:pPr>
        <w:tabs>
          <w:tab w:val="left" w:pos="270"/>
          <w:tab w:val="left" w:pos="540"/>
          <w:tab w:val="left" w:pos="9270"/>
        </w:tabs>
        <w:ind w:firstLine="284"/>
        <w:contextualSpacing/>
        <w:jc w:val="both"/>
        <w:rPr>
          <w:rFonts w:asciiTheme="majorHAnsi" w:eastAsia="Yu Mincho" w:hAnsiTheme="majorHAnsi" w:cstheme="majorHAnsi"/>
          <w:i/>
          <w:color w:val="000000" w:themeColor="text1"/>
          <w:sz w:val="6"/>
          <w:szCs w:val="6"/>
          <w:lang w:eastAsia="ja-JP"/>
        </w:rPr>
      </w:pPr>
    </w:p>
    <w:p w14:paraId="7C196F15" w14:textId="77777777" w:rsidR="00E049CB" w:rsidRPr="005E6B7C" w:rsidRDefault="00E049CB" w:rsidP="008C0D47">
      <w:pPr>
        <w:tabs>
          <w:tab w:val="left" w:pos="270"/>
          <w:tab w:val="left" w:pos="540"/>
          <w:tab w:val="left" w:pos="9270"/>
        </w:tabs>
        <w:spacing w:before="120"/>
        <w:ind w:right="-20" w:firstLine="284"/>
        <w:contextualSpacing/>
        <w:jc w:val="both"/>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val="vi-VN" w:eastAsia="ja-JP"/>
        </w:rPr>
        <w:t>(RT: Retention time (min); RI (exp.) and RI (lit.): Retention indices obtained from the experiment and the literature, respectively; MF: Molecular formula)</w:t>
      </w:r>
      <w:r w:rsidR="00826294" w:rsidRPr="005E6B7C">
        <w:rPr>
          <w:rFonts w:asciiTheme="majorHAnsi" w:eastAsia="Yu Mincho" w:hAnsiTheme="majorHAnsi" w:cstheme="majorHAnsi"/>
          <w:i/>
          <w:color w:val="000000" w:themeColor="text1"/>
          <w:sz w:val="18"/>
          <w:szCs w:val="18"/>
          <w:lang w:eastAsia="ja-JP"/>
        </w:rPr>
        <w:t>.</w:t>
      </w:r>
    </w:p>
    <w:p w14:paraId="76C76C3E" w14:textId="77777777" w:rsidR="00F5234A" w:rsidRPr="005E6B7C" w:rsidRDefault="00F5234A" w:rsidP="008C0D47">
      <w:pPr>
        <w:tabs>
          <w:tab w:val="left" w:pos="270"/>
          <w:tab w:val="left" w:pos="540"/>
          <w:tab w:val="left" w:pos="9270"/>
        </w:tabs>
        <w:ind w:right="-20"/>
        <w:contextualSpacing/>
        <w:jc w:val="both"/>
        <w:rPr>
          <w:rFonts w:asciiTheme="majorHAnsi" w:eastAsia="Yu Mincho" w:hAnsiTheme="majorHAnsi" w:cstheme="majorHAnsi"/>
          <w:iCs/>
          <w:color w:val="000000" w:themeColor="text1"/>
          <w:sz w:val="22"/>
          <w:szCs w:val="22"/>
          <w:lang w:eastAsia="ja-JP"/>
        </w:rPr>
      </w:pPr>
    </w:p>
    <w:p w14:paraId="5B906ADA"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sectPr w:rsidR="0074352D" w:rsidRPr="005E6B7C" w:rsidSect="002206BB">
          <w:type w:val="continuous"/>
          <w:pgSz w:w="10773" w:h="15309" w:code="9"/>
          <w:pgMar w:top="907" w:right="851" w:bottom="1418" w:left="851" w:header="397" w:footer="851" w:gutter="0"/>
          <w:cols w:space="284"/>
          <w:docGrid w:linePitch="360"/>
        </w:sectPr>
      </w:pPr>
    </w:p>
    <w:p w14:paraId="4E600F6D"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 xml:space="preserve">GC–MS analysis identified 47 constituents, accounting for 97.82% of the total essential oil. The essential oil consisted predominantly of sesquiterpene hydrocarbons (50.34%) and monoterpene hydrocarbons (39.53%), followed by oxygenated sesquiterpenes (3.97%), oxygenated monoterpenes (0.93%), and other compounds (2.75%). The major constituents were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
          <w:iCs/>
          <w:color w:val="000000" w:themeColor="text1"/>
          <w:sz w:val="22"/>
          <w:szCs w:val="22"/>
          <w:lang w:val="vi-VN" w:eastAsia="ja-JP"/>
        </w:rPr>
        <w:t>E</w:t>
      </w:r>
      <w:r w:rsidRPr="005E6B7C">
        <w:rPr>
          <w:rFonts w:asciiTheme="majorHAnsi" w:eastAsia="Yu Mincho" w:hAnsiTheme="majorHAnsi" w:cstheme="majorHAnsi"/>
          <w:iCs/>
          <w:color w:val="000000" w:themeColor="text1"/>
          <w:sz w:val="22"/>
          <w:szCs w:val="22"/>
          <w:lang w:val="vi-VN" w:eastAsia="ja-JP"/>
        </w:rPr>
        <w:t xml:space="preserve">)-caryophyllene (26.24%), </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-pinene (18.44%), (3</w:t>
      </w:r>
      <w:r w:rsidRPr="005E6B7C">
        <w:rPr>
          <w:rFonts w:asciiTheme="majorHAnsi" w:eastAsia="Yu Mincho" w:hAnsiTheme="majorHAnsi" w:cstheme="majorHAnsi"/>
          <w:i/>
          <w:iCs/>
          <w:color w:val="000000" w:themeColor="text1"/>
          <w:sz w:val="22"/>
          <w:szCs w:val="22"/>
          <w:lang w:val="vi-VN" w:eastAsia="ja-JP"/>
        </w:rPr>
        <w:t>E</w:t>
      </w:r>
      <w:r w:rsidRPr="005E6B7C">
        <w:rPr>
          <w:rFonts w:asciiTheme="majorHAnsi" w:eastAsia="Yu Mincho" w:hAnsiTheme="majorHAnsi" w:cstheme="majorHAnsi"/>
          <w:iCs/>
          <w:color w:val="000000" w:themeColor="text1"/>
          <w:sz w:val="22"/>
          <w:szCs w:val="22"/>
          <w:lang w:val="vi-VN" w:eastAsia="ja-JP"/>
        </w:rPr>
        <w:t>,6</w:t>
      </w:r>
      <w:r w:rsidRPr="005E6B7C">
        <w:rPr>
          <w:rFonts w:asciiTheme="majorHAnsi" w:eastAsia="Yu Mincho" w:hAnsiTheme="majorHAnsi" w:cstheme="majorHAnsi"/>
          <w:i/>
          <w:iCs/>
          <w:color w:val="000000" w:themeColor="text1"/>
          <w:sz w:val="22"/>
          <w:szCs w:val="22"/>
          <w:lang w:val="vi-VN" w:eastAsia="ja-JP"/>
        </w:rPr>
        <w:t>E</w:t>
      </w:r>
      <w:r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 xml:space="preserve">-farnesene (14.36%), and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-pinene (13.04%),</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val="vi-VN" w:eastAsia="ja-JP"/>
        </w:rPr>
        <w:t xml:space="preserve">which together comprised more than 70% of the total essential oil. Other notable constituents included </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 xml:space="preserve">-caryophyllene (4.54%),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
          <w:iCs/>
          <w:color w:val="000000" w:themeColor="text1"/>
          <w:sz w:val="22"/>
          <w:szCs w:val="22"/>
          <w:lang w:val="vi-VN" w:eastAsia="ja-JP"/>
        </w:rPr>
        <w:t>E</w:t>
      </w:r>
      <w:r w:rsidRPr="005E6B7C">
        <w:rPr>
          <w:rFonts w:asciiTheme="majorHAnsi" w:eastAsia="Yu Mincho" w:hAnsiTheme="majorHAnsi" w:cstheme="majorHAnsi"/>
          <w:iCs/>
          <w:color w:val="000000" w:themeColor="text1"/>
          <w:sz w:val="22"/>
          <w:szCs w:val="22"/>
          <w:lang w:val="vi-VN" w:eastAsia="ja-JP"/>
        </w:rPr>
        <w:t>)-ocimene (3.89%), and (6</w:t>
      </w:r>
      <w:r w:rsidRPr="005E6B7C">
        <w:rPr>
          <w:rFonts w:asciiTheme="majorHAnsi" w:eastAsia="Yu Mincho" w:hAnsiTheme="majorHAnsi" w:cstheme="majorHAnsi"/>
          <w:i/>
          <w:iCs/>
          <w:color w:val="000000" w:themeColor="text1"/>
          <w:sz w:val="22"/>
          <w:szCs w:val="22"/>
          <w:lang w:val="vi-VN" w:eastAsia="ja-JP"/>
        </w:rPr>
        <w:t>E</w:t>
      </w:r>
      <w:r w:rsidRPr="005E6B7C">
        <w:rPr>
          <w:rFonts w:asciiTheme="majorHAnsi" w:eastAsia="Yu Mincho" w:hAnsiTheme="majorHAnsi" w:cstheme="majorHAnsi"/>
          <w:iCs/>
          <w:color w:val="000000" w:themeColor="text1"/>
          <w:sz w:val="22"/>
          <w:szCs w:val="22"/>
          <w:lang w:val="vi-VN" w:eastAsia="ja-JP"/>
        </w:rPr>
        <w:t>)-nerolidol (2.17%).</w:t>
      </w:r>
    </w:p>
    <w:p w14:paraId="563CA775"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 xml:space="preserve">A previous study showed that the leaf essential oil of Vietnamese </w:t>
      </w:r>
      <w:r w:rsidRPr="005E6B7C">
        <w:rPr>
          <w:rFonts w:asciiTheme="majorHAnsi" w:eastAsia="Yu Mincho" w:hAnsiTheme="majorHAnsi" w:cstheme="majorHAnsi"/>
          <w:i/>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 xml:space="preserve"> was mainly composed of sesquiterpenes, with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 xml:space="preserve">-elemene (25.48%) and </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 xml:space="preserve">-copaene (17.05%) as the major components, and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 xml:space="preserve">-caryophyllene at 9.37% </w:t>
      </w:r>
      <w:r w:rsidRPr="005E6B7C">
        <w:rPr>
          <w:rFonts w:asciiTheme="majorHAnsi" w:eastAsia="Yu Mincho" w:hAnsiTheme="majorHAnsi" w:cstheme="majorHAnsi"/>
          <w:iCs/>
          <w:color w:val="000000" w:themeColor="text1"/>
          <w:sz w:val="22"/>
          <w:szCs w:val="22"/>
          <w:lang w:val="vi-VN" w:eastAsia="ja-JP"/>
        </w:rPr>
        <w:fldChar w:fldCharType="begin">
          <w:fldData xml:space="preserve">PEVuZE5vdGU+PENpdGU+PEF1dGhvcj5UaGluaDwvQXV0aG9yPjxZZWFyPjIwMjM8L1llYXI+PFJl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</w:fldData>
        </w:fldChar>
      </w:r>
      <w:r w:rsidRPr="005E6B7C">
        <w:rPr>
          <w:rFonts w:asciiTheme="majorHAnsi" w:eastAsia="Yu Mincho" w:hAnsiTheme="majorHAnsi" w:cstheme="majorHAnsi"/>
          <w:iCs/>
          <w:color w:val="000000" w:themeColor="text1"/>
          <w:sz w:val="22"/>
          <w:szCs w:val="22"/>
          <w:lang w:val="vi-VN" w:eastAsia="ja-JP"/>
        </w:rPr>
        <w:instrText xml:space="preserve"> ADDIN EN.CITE </w:instrText>
      </w:r>
      <w:r w:rsidRPr="005E6B7C">
        <w:rPr>
          <w:rFonts w:asciiTheme="majorHAnsi" w:eastAsia="Yu Mincho" w:hAnsiTheme="majorHAnsi" w:cstheme="majorHAnsi"/>
          <w:iCs/>
          <w:color w:val="000000" w:themeColor="text1"/>
          <w:sz w:val="22"/>
          <w:szCs w:val="22"/>
          <w:lang w:val="vi-VN" w:eastAsia="ja-JP"/>
        </w:rPr>
        <w:fldChar w:fldCharType="begin">
          <w:fldData xml:space="preserve">PEVuZE5vdGU+PENpdGU+PEF1dGhvcj5UaGluaDwvQXV0aG9yPjxZZWFyPjIwMjM8L1llYXI+PFJl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</w:fldData>
        </w:fldChar>
      </w:r>
      <w:r w:rsidRPr="005E6B7C">
        <w:rPr>
          <w:rFonts w:asciiTheme="majorHAnsi" w:eastAsia="Yu Mincho" w:hAnsiTheme="majorHAnsi" w:cstheme="majorHAnsi"/>
          <w:iCs/>
          <w:color w:val="000000" w:themeColor="text1"/>
          <w:sz w:val="22"/>
          <w:szCs w:val="22"/>
          <w:lang w:val="vi-VN" w:eastAsia="ja-JP"/>
        </w:rPr>
        <w:instrText xml:space="preserve"> ADDIN EN.CITE.DATA </w:instrText>
      </w:r>
      <w:r w:rsidRPr="005E6B7C">
        <w:rPr>
          <w:rFonts w:asciiTheme="majorHAnsi" w:eastAsia="Yu Mincho" w:hAnsiTheme="majorHAnsi" w:cstheme="majorHAnsi"/>
          <w:iCs/>
          <w:color w:val="000000" w:themeColor="text1"/>
          <w:sz w:val="22"/>
          <w:szCs w:val="22"/>
          <w:lang w:val="vi-VN" w:eastAsia="ja-JP"/>
        </w:rPr>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r>
      <w:r w:rsidRPr="005E6B7C">
        <w:rPr>
          <w:rFonts w:asciiTheme="majorHAnsi" w:eastAsia="Yu Mincho" w:hAnsiTheme="majorHAnsi" w:cstheme="majorHAnsi"/>
          <w:iCs/>
          <w:color w:val="000000" w:themeColor="text1"/>
          <w:sz w:val="22"/>
          <w:szCs w:val="22"/>
          <w:lang w:val="vi-VN" w:eastAsia="ja-JP"/>
        </w:rPr>
        <w:fldChar w:fldCharType="separate"/>
      </w:r>
      <w:r w:rsidRPr="005E6B7C">
        <w:rPr>
          <w:rFonts w:asciiTheme="majorHAnsi" w:eastAsia="Yu Mincho" w:hAnsiTheme="majorHAnsi" w:cstheme="majorHAnsi"/>
          <w:iCs/>
          <w:noProof/>
          <w:color w:val="000000" w:themeColor="text1"/>
          <w:sz w:val="22"/>
          <w:szCs w:val="22"/>
          <w:lang w:val="vi-VN" w:eastAsia="ja-JP"/>
        </w:rPr>
        <w:t>[16]</w:t>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t xml:space="preserve">. The leaf essential oil of </w:t>
      </w:r>
      <w:r w:rsidRPr="005E6B7C">
        <w:rPr>
          <w:rFonts w:asciiTheme="majorHAnsi" w:eastAsia="Yu Mincho" w:hAnsiTheme="majorHAnsi" w:cstheme="majorHAnsi"/>
          <w:i/>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 xml:space="preserve"> from Thua Thien Hue also contained high levels of sesquiterpenes, especially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 xml:space="preserve">-caryophyllene (54.11%) and </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 xml:space="preserve">-humulene (12.67%) </w:t>
      </w:r>
      <w:r w:rsidRPr="005E6B7C">
        <w:rPr>
          <w:rFonts w:asciiTheme="majorHAnsi" w:eastAsia="Yu Mincho" w:hAnsiTheme="majorHAnsi" w:cstheme="majorHAnsi"/>
          <w:iCs/>
          <w:color w:val="000000" w:themeColor="text1"/>
          <w:sz w:val="22"/>
          <w:szCs w:val="22"/>
          <w:lang w:val="vi-VN" w:eastAsia="ja-JP"/>
        </w:rPr>
        <w:fldChar w:fldCharType="begin"/>
      </w:r>
      <w:r w:rsidRPr="005E6B7C">
        <w:rPr>
          <w:rFonts w:asciiTheme="majorHAnsi" w:eastAsia="Yu Mincho" w:hAnsiTheme="majorHAnsi" w:cstheme="majorHAnsi"/>
          <w:iCs/>
          <w:color w:val="000000" w:themeColor="text1"/>
          <w:sz w:val="22"/>
          <w:szCs w:val="22"/>
          <w:lang w:val="vi-VN" w:eastAsia="ja-JP"/>
        </w:rPr>
        <w:instrText xml:space="preserve"> ADDIN EN.CITE &lt;EndNote&gt;&lt;Cite&gt;&lt;Author&gt;Ngan&lt;/Author&gt;&lt;Year&gt;2024&lt;/Year&gt;&lt;RecNum&gt;21&lt;/RecNum&gt;&lt;DisplayText&gt;[17]&lt;/DisplayText&gt;&lt;record&gt;&lt;rec-number&gt;21&lt;/rec-number&gt;&lt;foreign-keys&gt;&lt;key app="EN" db-id="ests5zdscdrx0ke55w45va2tp5tasftw5xat" timestamp="1770480103"&gt;21&lt;/key&gt;&lt;/foreign-keys&gt;&lt;ref-type name="Journal Article"&gt;17&lt;/ref-type&gt;&lt;contributors&gt;&lt;authors&gt;&lt;author&gt;Ngan, Nguyen Thi&lt;/author&gt;&lt;author&gt;Nguyen, Trang H. D.&lt;/author&gt;&lt;author&gt;Vu, Danh C.&lt;/author&gt;&lt;author&gt;Ha, Nguyen Xuan&lt;/author&gt;&lt;author&gt;Tran-Trung, Hieu&lt;/author&gt;&lt;author&gt;Giang, Le Duc&lt;/author&gt;&lt;author&gt;Thuy, Phan Thi&lt;/author&gt;&lt;author&gt;Thuan, Vi Thi&lt;/author&gt;&lt;author&gt;Van Huong, Bui&lt;/author&gt;&lt;author&gt;Van, Sy Vo&lt;/author&gt;&lt;author&gt;Van Trung, Hoang&lt;/author&gt;&lt;/authors&gt;&lt;/contributors&gt;&lt;titles&gt;&lt;title&gt;Chemical composition, enzyme inhibitory activities, and molecular docking studies of essential oil of Knema globularia leaves from Vietnam&lt;/title&gt;&lt;secondary-title&gt;Journal of Essential Oil Bearing Plants&lt;/secondary-title&gt;&lt;/titles&gt;&lt;periodical&gt;&lt;full-title&gt;Journal of Essential Oil Bearing Plants&lt;/full-title&gt;&lt;/periodical&gt;&lt;pages&gt;584-593&lt;/pages&gt;&lt;volume&gt;27&lt;/volume&gt;&lt;number&gt;2&lt;/number&gt;&lt;dates&gt;&lt;year&gt;2024&lt;/year&gt;&lt;pub-dates&gt;&lt;date&gt;2024/03/03&lt;/date&gt;&lt;/pub-dates&gt;&lt;/dates&gt;&lt;publisher&gt;Taylor &amp;amp; Francis&lt;/publisher&gt;&lt;isbn&gt;0972-060X&lt;/isbn&gt;&lt;urls&gt;&lt;related-urls&gt;&lt;url&gt;https://doi.org/10.1080/0972060X.2024.2325089&lt;/url&gt;&lt;/related-urls&gt;&lt;/urls&gt;&lt;electronic-resource-num&gt;10.1080/0972060X.2024.2325089&lt;/electronic-resource-num&gt;&lt;/record&gt;&lt;/Cite&gt;&lt;/EndNote&gt;</w:instrText>
      </w:r>
      <w:r w:rsidRPr="005E6B7C">
        <w:rPr>
          <w:rFonts w:asciiTheme="majorHAnsi" w:eastAsia="Yu Mincho" w:hAnsiTheme="majorHAnsi" w:cstheme="majorHAnsi"/>
          <w:iCs/>
          <w:color w:val="000000" w:themeColor="text1"/>
          <w:sz w:val="22"/>
          <w:szCs w:val="22"/>
          <w:lang w:val="vi-VN" w:eastAsia="ja-JP"/>
        </w:rPr>
        <w:fldChar w:fldCharType="separate"/>
      </w:r>
      <w:r w:rsidRPr="005E6B7C">
        <w:rPr>
          <w:rFonts w:asciiTheme="majorHAnsi" w:eastAsia="Yu Mincho" w:hAnsiTheme="majorHAnsi" w:cstheme="majorHAnsi"/>
          <w:iCs/>
          <w:noProof/>
          <w:color w:val="000000" w:themeColor="text1"/>
          <w:sz w:val="22"/>
          <w:szCs w:val="22"/>
          <w:lang w:val="vi-VN" w:eastAsia="ja-JP"/>
        </w:rPr>
        <w:t>[17]</w:t>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t xml:space="preserve">. In Ba Ria–Vung Tau, leaf essential oils of </w:t>
      </w:r>
      <w:r w:rsidRPr="005E6B7C">
        <w:rPr>
          <w:rFonts w:asciiTheme="majorHAnsi" w:eastAsia="Yu Mincho" w:hAnsiTheme="majorHAnsi" w:cstheme="majorHAnsi"/>
          <w:i/>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 xml:space="preserve"> were rich in </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 xml:space="preserve">-caryophyllene (76.06%) and </w:t>
      </w:r>
      <w:r w:rsidRPr="005E6B7C">
        <w:rPr>
          <w:rFonts w:asciiTheme="majorHAnsi" w:eastAsia="Yu Mincho" w:hAnsiTheme="majorHAnsi" w:cstheme="majorHAnsi"/>
          <w:i/>
          <w:iCs/>
          <w:color w:val="000000" w:themeColor="text1"/>
          <w:sz w:val="22"/>
          <w:szCs w:val="22"/>
          <w:lang w:val="vi-VN" w:eastAsia="ja-JP"/>
        </w:rPr>
        <w:t>α</w:t>
      </w:r>
      <w:r w:rsidRPr="005E6B7C">
        <w:rPr>
          <w:rFonts w:asciiTheme="majorHAnsi" w:eastAsia="Yu Mincho" w:hAnsiTheme="majorHAnsi" w:cstheme="majorHAnsi"/>
          <w:iCs/>
          <w:color w:val="000000" w:themeColor="text1"/>
          <w:sz w:val="22"/>
          <w:szCs w:val="22"/>
          <w:lang w:val="vi-VN" w:eastAsia="ja-JP"/>
        </w:rPr>
        <w:t xml:space="preserve">-caryophyllene (10.56%), whereas peel essential oils from the same area were mainly composed of </w:t>
      </w:r>
      <w:r w:rsidRPr="005E6B7C">
        <w:rPr>
          <w:rFonts w:asciiTheme="majorHAnsi" w:eastAsia="Yu Mincho" w:hAnsiTheme="majorHAnsi" w:cstheme="majorHAnsi"/>
          <w:i/>
          <w:iCs/>
          <w:color w:val="000000" w:themeColor="text1"/>
          <w:sz w:val="22"/>
          <w:szCs w:val="22"/>
          <w:lang w:val="vi-VN" w:eastAsia="ja-JP"/>
        </w:rPr>
        <w:t>trans</w:t>
      </w:r>
      <w:r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
          <w:iCs/>
          <w:color w:val="000000" w:themeColor="text1"/>
          <w:sz w:val="22"/>
          <w:szCs w:val="22"/>
          <w:lang w:val="vi-VN" w:eastAsia="ja-JP"/>
        </w:rPr>
        <w:t>β</w:t>
      </w:r>
      <w:r w:rsidRPr="005E6B7C">
        <w:rPr>
          <w:rFonts w:asciiTheme="majorHAnsi" w:eastAsia="Yu Mincho" w:hAnsiTheme="majorHAnsi" w:cstheme="majorHAnsi"/>
          <w:iCs/>
          <w:color w:val="000000" w:themeColor="text1"/>
          <w:sz w:val="22"/>
          <w:szCs w:val="22"/>
          <w:lang w:val="vi-VN" w:eastAsia="ja-JP"/>
        </w:rPr>
        <w:t xml:space="preserve">-ocimene (45.19%) </w:t>
      </w:r>
      <w:r w:rsidRPr="005E6B7C">
        <w:rPr>
          <w:rFonts w:asciiTheme="majorHAnsi" w:eastAsia="Yu Mincho" w:hAnsiTheme="majorHAnsi" w:cstheme="majorHAnsi"/>
          <w:iCs/>
          <w:color w:val="000000" w:themeColor="text1"/>
          <w:sz w:val="22"/>
          <w:szCs w:val="22"/>
          <w:lang w:val="vi-VN" w:eastAsia="ja-JP"/>
        </w:rPr>
        <w:fldChar w:fldCharType="begin"/>
      </w:r>
      <w:r w:rsidRPr="005E6B7C">
        <w:rPr>
          <w:rFonts w:asciiTheme="majorHAnsi" w:eastAsia="Yu Mincho" w:hAnsiTheme="majorHAnsi" w:cstheme="majorHAnsi"/>
          <w:iCs/>
          <w:color w:val="000000" w:themeColor="text1"/>
          <w:sz w:val="22"/>
          <w:szCs w:val="22"/>
          <w:lang w:val="vi-VN" w:eastAsia="ja-JP"/>
        </w:rPr>
        <w:instrText xml:space="preserve"> ADDIN EN.CITE &lt;EndNote&gt;&lt;Cite&gt;&lt;Author&gt;Bui&lt;/Author&gt;&lt;Year&gt;2024&lt;/Year&gt;&lt;RecNum&gt;22&lt;/RecNum&gt;&lt;DisplayText&gt;[18]&lt;/DisplayText&gt;&lt;record&gt;&lt;rec-number&gt;22&lt;/rec-number&gt;&lt;foreign-keys&gt;&lt;key app="EN" db-id="ests5zdscdrx0ke55w45va2tp5tasftw5xat" timestamp="1770480304"&gt;22&lt;/key&gt;&lt;/foreign-keys&gt;&lt;ref-type name="Journal Article"&gt;17&lt;/ref-type&gt;&lt;contributors&gt;&lt;authors&gt;&lt;author&gt;Bui, Huong&lt;/author&gt;&lt;author&gt;Van Hai, Do&lt;/author&gt;&lt;author&gt;Dang, Nguyen&lt;/author&gt;&lt;author&gt;luu dam, Ngoc&lt;/author&gt;&lt;/authors&gt;&lt;/contributors&gt;&lt;titles&gt;&lt;title&gt;KNEMA GLOBULARIA (LAM.) WARB. – BOTANY AND ITS ESSENTIAL OILS&lt;/title&gt;&lt;secondary-title&gt;TNU Journal of Science and Technology&lt;/secondary-title&gt;&lt;/titles&gt;&lt;periodical&gt;&lt;full-title&gt;TNU Journal of Science and Technology&lt;/full-title&gt;&lt;/periodical&gt;&lt;pages&gt;336-342&lt;/pages&gt;&lt;volume&gt;229&lt;/volume&gt;&lt;dates&gt;&lt;year&gt;2024&lt;/year&gt;&lt;pub-dates&gt;&lt;date&gt;06/11&lt;/date&gt;&lt;/pub-dates&gt;&lt;/dates&gt;&lt;urls&gt;&lt;/urls&gt;&lt;electronic-resource-num&gt;10.34238/tnu-jst.9842&lt;/electronic-resource-num&gt;&lt;/record&gt;&lt;/Cite&gt;&lt;/EndNote&gt;</w:instrText>
      </w:r>
      <w:r w:rsidRPr="005E6B7C">
        <w:rPr>
          <w:rFonts w:asciiTheme="majorHAnsi" w:eastAsia="Yu Mincho" w:hAnsiTheme="majorHAnsi" w:cstheme="majorHAnsi"/>
          <w:iCs/>
          <w:color w:val="000000" w:themeColor="text1"/>
          <w:sz w:val="22"/>
          <w:szCs w:val="22"/>
          <w:lang w:val="vi-VN" w:eastAsia="ja-JP"/>
        </w:rPr>
        <w:fldChar w:fldCharType="separate"/>
      </w:r>
      <w:r w:rsidRPr="005E6B7C">
        <w:rPr>
          <w:rFonts w:asciiTheme="majorHAnsi" w:eastAsia="Yu Mincho" w:hAnsiTheme="majorHAnsi" w:cstheme="majorHAnsi"/>
          <w:iCs/>
          <w:noProof/>
          <w:color w:val="000000" w:themeColor="text1"/>
          <w:sz w:val="22"/>
          <w:szCs w:val="22"/>
          <w:lang w:val="vi-VN" w:eastAsia="ja-JP"/>
        </w:rPr>
        <w:t>[18]</w:t>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val="vi-VN" w:eastAsia="ja-JP"/>
        </w:rPr>
        <w:t xml:space="preserve">These results indicate that the Thanh Hoa essential oil differs not only in the number of identified compounds but also in the proportion of monoterpenes and sesquiterpenes. In most previously reported </w:t>
      </w:r>
      <w:r w:rsidRPr="005E6B7C">
        <w:rPr>
          <w:rFonts w:asciiTheme="majorHAnsi" w:eastAsia="Yu Mincho" w:hAnsiTheme="majorHAnsi" w:cstheme="majorHAnsi"/>
          <w:iCs/>
          <w:color w:val="000000" w:themeColor="text1"/>
          <w:sz w:val="22"/>
          <w:szCs w:val="22"/>
          <w:lang w:val="vi-VN" w:eastAsia="ja-JP"/>
        </w:rPr>
        <w:t xml:space="preserve">samples, one or two sesquiterpenes accounted for the majority of the essential oil. In contrast, the Thanh Hoa essential oil contained considerable amounts of both monoterpenes and sesquiterpenes. This composition may be related to its potential biological activities, including antimicrobial, anti-inflammatory, antioxidant, and cytotoxic effects. The differences among samples may be explained by geographical factors (soil, altitude, and climate), harvesting time, plant maturity, plant part used (leaves or peels), and variations in hydrodistillation and GC–MS conditions. Overall, the Thanh Hoa sample shows a distinct chemical composition, supporting the importance of regional studies for the development of standardized essential oils of </w:t>
      </w:r>
      <w:r w:rsidRPr="005E6B7C">
        <w:rPr>
          <w:rFonts w:asciiTheme="majorHAnsi" w:eastAsia="Yu Mincho" w:hAnsiTheme="majorHAnsi" w:cstheme="majorHAnsi"/>
          <w:i/>
          <w:iCs/>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w:t>
      </w:r>
    </w:p>
    <w:p w14:paraId="6FF10BB1"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color w:val="000000" w:themeColor="text1"/>
          <w:sz w:val="22"/>
          <w:szCs w:val="22"/>
          <w:lang w:val="vi-VN" w:eastAsia="ja-JP"/>
        </w:rPr>
      </w:pPr>
      <w:r w:rsidRPr="005E6B7C">
        <w:rPr>
          <w:rFonts w:asciiTheme="majorHAnsi" w:eastAsia="Yu Mincho" w:hAnsiTheme="majorHAnsi" w:cstheme="majorHAnsi"/>
          <w:i/>
          <w:color w:val="000000" w:themeColor="text1"/>
          <w:sz w:val="22"/>
          <w:szCs w:val="22"/>
          <w:lang w:val="vi-VN" w:eastAsia="ja-JP"/>
        </w:rPr>
        <w:t>3.2. Antimicrobial activity of the essential oil</w:t>
      </w:r>
    </w:p>
    <w:p w14:paraId="0D5A7D7D" w14:textId="08E9B8ED" w:rsidR="0074352D"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val="vi-VN" w:eastAsia="ja-JP"/>
        </w:rPr>
        <w:t xml:space="preserve">To date, no published studies have specifically reported the antimicrobial activity of essential oil obtained from the leaves of </w:t>
      </w:r>
      <w:r w:rsidRPr="005E6B7C">
        <w:rPr>
          <w:rFonts w:asciiTheme="majorHAnsi" w:eastAsia="Yu Mincho" w:hAnsiTheme="majorHAnsi" w:cstheme="majorHAnsi"/>
          <w:i/>
          <w:iCs/>
          <w:color w:val="000000" w:themeColor="text1"/>
          <w:sz w:val="22"/>
          <w:szCs w:val="22"/>
          <w:lang w:val="vi-VN" w:eastAsia="ja-JP"/>
        </w:rPr>
        <w:t>K. globularia</w:t>
      </w:r>
      <w:r w:rsidRPr="005E6B7C">
        <w:rPr>
          <w:rFonts w:asciiTheme="majorHAnsi" w:eastAsia="Yu Mincho" w:hAnsiTheme="majorHAnsi" w:cstheme="majorHAnsi"/>
          <w:iCs/>
          <w:color w:val="000000" w:themeColor="text1"/>
          <w:sz w:val="22"/>
          <w:szCs w:val="22"/>
          <w:lang w:val="vi-VN" w:eastAsia="ja-JP"/>
        </w:rPr>
        <w:t>. Previous research has mainly focused on botanical characteristics, chemical composition, antioxidant activity, and enzyme inhibition, without providing quantitative antimicrobial parameters such as IC</w:t>
      </w:r>
      <w:r w:rsidRPr="005E6B7C">
        <w:rPr>
          <w:rFonts w:asciiTheme="majorHAnsi" w:eastAsia="Yu Mincho" w:hAnsiTheme="majorHAnsi" w:cstheme="majorHAnsi"/>
          <w:iCs/>
          <w:color w:val="000000" w:themeColor="text1"/>
          <w:sz w:val="22"/>
          <w:szCs w:val="22"/>
          <w:vertAlign w:val="subscript"/>
          <w:lang w:eastAsia="ja-JP"/>
        </w:rPr>
        <w:t>50</w:t>
      </w:r>
      <w:r w:rsidRPr="005E6B7C">
        <w:rPr>
          <w:rFonts w:asciiTheme="majorHAnsi" w:eastAsia="Yu Mincho" w:hAnsiTheme="majorHAnsi" w:cstheme="majorHAnsi"/>
          <w:iCs/>
          <w:color w:val="000000" w:themeColor="text1"/>
          <w:sz w:val="22"/>
          <w:szCs w:val="22"/>
          <w:lang w:val="vi-VN" w:eastAsia="ja-JP"/>
        </w:rPr>
        <w:t xml:space="preserve"> or MIC values </w:t>
      </w:r>
      <w:r w:rsidRPr="005E6B7C">
        <w:rPr>
          <w:rFonts w:asciiTheme="majorHAnsi" w:eastAsia="Yu Mincho" w:hAnsiTheme="majorHAnsi" w:cstheme="majorHAnsi"/>
          <w:iCs/>
          <w:color w:val="000000" w:themeColor="text1"/>
          <w:sz w:val="22"/>
          <w:szCs w:val="22"/>
          <w:lang w:val="vi-VN" w:eastAsia="ja-JP"/>
        </w:rPr>
        <w:fldChar w:fldCharType="begin">
          <w:fldData xml:space="preserve">PEVuZE5vdGU+PENpdGU+PEF1dGhvcj5CdWk8L0F1dGhvcj48WWVhcj4yMDI0PC9ZZWFyPjxSZWNO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</w:fldData>
        </w:fldChar>
      </w:r>
      <w:r w:rsidRPr="005E6B7C">
        <w:rPr>
          <w:rFonts w:asciiTheme="majorHAnsi" w:eastAsia="Yu Mincho" w:hAnsiTheme="majorHAnsi" w:cstheme="majorHAnsi"/>
          <w:iCs/>
          <w:color w:val="000000" w:themeColor="text1"/>
          <w:sz w:val="22"/>
          <w:szCs w:val="22"/>
          <w:lang w:val="vi-VN" w:eastAsia="ja-JP"/>
        </w:rPr>
        <w:instrText xml:space="preserve"> ADDIN EN.CITE </w:instrText>
      </w:r>
      <w:r w:rsidRPr="005E6B7C">
        <w:rPr>
          <w:rFonts w:asciiTheme="majorHAnsi" w:eastAsia="Yu Mincho" w:hAnsiTheme="majorHAnsi" w:cstheme="majorHAnsi"/>
          <w:iCs/>
          <w:color w:val="000000" w:themeColor="text1"/>
          <w:sz w:val="22"/>
          <w:szCs w:val="22"/>
          <w:lang w:val="vi-VN" w:eastAsia="ja-JP"/>
        </w:rPr>
        <w:fldChar w:fldCharType="begin">
          <w:fldData xml:space="preserve">PEVuZE5vdGU+PENpdGU+PEF1dGhvcj5CdWk8L0F1dGhvcj48WWVhcj4yMDI0PC9ZZWFyPjxSZWNO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</w:fldData>
        </w:fldChar>
      </w:r>
      <w:r w:rsidRPr="005E6B7C">
        <w:rPr>
          <w:rFonts w:asciiTheme="majorHAnsi" w:eastAsia="Yu Mincho" w:hAnsiTheme="majorHAnsi" w:cstheme="majorHAnsi"/>
          <w:iCs/>
          <w:color w:val="000000" w:themeColor="text1"/>
          <w:sz w:val="22"/>
          <w:szCs w:val="22"/>
          <w:lang w:val="vi-VN" w:eastAsia="ja-JP"/>
        </w:rPr>
        <w:instrText xml:space="preserve"> ADDIN EN.CITE.DATA </w:instrText>
      </w:r>
      <w:r w:rsidRPr="005E6B7C">
        <w:rPr>
          <w:rFonts w:asciiTheme="majorHAnsi" w:eastAsia="Yu Mincho" w:hAnsiTheme="majorHAnsi" w:cstheme="majorHAnsi"/>
          <w:iCs/>
          <w:color w:val="000000" w:themeColor="text1"/>
          <w:sz w:val="22"/>
          <w:szCs w:val="22"/>
          <w:lang w:val="vi-VN" w:eastAsia="ja-JP"/>
        </w:rPr>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r>
      <w:r w:rsidRPr="005E6B7C">
        <w:rPr>
          <w:rFonts w:asciiTheme="majorHAnsi" w:eastAsia="Yu Mincho" w:hAnsiTheme="majorHAnsi" w:cstheme="majorHAnsi"/>
          <w:iCs/>
          <w:color w:val="000000" w:themeColor="text1"/>
          <w:sz w:val="22"/>
          <w:szCs w:val="22"/>
          <w:lang w:val="vi-VN" w:eastAsia="ja-JP"/>
        </w:rPr>
        <w:fldChar w:fldCharType="separate"/>
      </w:r>
      <w:r w:rsidRPr="005E6B7C">
        <w:rPr>
          <w:rFonts w:asciiTheme="majorHAnsi" w:eastAsia="Yu Mincho" w:hAnsiTheme="majorHAnsi" w:cstheme="majorHAnsi"/>
          <w:iCs/>
          <w:noProof/>
          <w:color w:val="000000" w:themeColor="text1"/>
          <w:sz w:val="22"/>
          <w:szCs w:val="22"/>
          <w:lang w:val="vi-VN" w:eastAsia="ja-JP"/>
        </w:rPr>
        <w:t>[16</w:t>
      </w:r>
      <w:r w:rsidR="00B857B1"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noProof/>
          <w:color w:val="000000" w:themeColor="text1"/>
          <w:sz w:val="22"/>
          <w:szCs w:val="22"/>
          <w:lang w:val="vi-VN" w:eastAsia="ja-JP"/>
        </w:rPr>
        <w:t>,</w:t>
      </w:r>
      <w:r w:rsidR="00B857B1"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noProof/>
          <w:color w:val="000000" w:themeColor="text1"/>
          <w:sz w:val="22"/>
          <w:szCs w:val="22"/>
          <w:lang w:val="vi-VN" w:eastAsia="ja-JP"/>
        </w:rPr>
        <w:t>18]</w:t>
      </w:r>
      <w:r w:rsidRPr="005E6B7C">
        <w:rPr>
          <w:rFonts w:asciiTheme="majorHAnsi" w:eastAsia="Yu Mincho" w:hAnsiTheme="majorHAnsi" w:cstheme="majorHAnsi"/>
          <w:iCs/>
          <w:color w:val="000000" w:themeColor="text1"/>
          <w:sz w:val="22"/>
          <w:szCs w:val="22"/>
          <w:lang w:val="vi-VN" w:eastAsia="ja-JP"/>
        </w:rPr>
        <w:fldChar w:fldCharType="end"/>
      </w:r>
      <w:r w:rsidRPr="005E6B7C">
        <w:rPr>
          <w:rFonts w:asciiTheme="majorHAnsi" w:eastAsia="Yu Mincho" w:hAnsiTheme="majorHAnsi" w:cstheme="majorHAnsi"/>
          <w:iCs/>
          <w:color w:val="000000" w:themeColor="text1"/>
          <w:sz w:val="22"/>
          <w:szCs w:val="22"/>
          <w:lang w:val="vi-VN" w:eastAsia="ja-JP"/>
        </w:rPr>
        <w:t xml:space="preserve">. To our knowledge, this study provides the first quantitative evaluation of the antimicrobial activity of </w:t>
      </w:r>
      <w:r w:rsidRPr="005E6B7C">
        <w:rPr>
          <w:rFonts w:asciiTheme="majorHAnsi" w:eastAsia="Yu Mincho" w:hAnsiTheme="majorHAnsi" w:cstheme="majorHAnsi"/>
          <w:i/>
          <w:iCs/>
          <w:color w:val="000000" w:themeColor="text1"/>
          <w:sz w:val="22"/>
          <w:szCs w:val="22"/>
          <w:lang w:val="vi-VN" w:eastAsia="ja-JP"/>
        </w:rPr>
        <w:t xml:space="preserve">K. globularia </w:t>
      </w:r>
      <w:r w:rsidRPr="005E6B7C">
        <w:rPr>
          <w:rFonts w:asciiTheme="majorHAnsi" w:eastAsia="Yu Mincho" w:hAnsiTheme="majorHAnsi" w:cstheme="majorHAnsi"/>
          <w:iCs/>
          <w:color w:val="000000" w:themeColor="text1"/>
          <w:sz w:val="22"/>
          <w:szCs w:val="22"/>
          <w:lang w:val="vi-VN" w:eastAsia="ja-JP"/>
        </w:rPr>
        <w:t>leaf essential oil against Gram-positive bacteria, Gram-negative bacteria, and yeast.</w:t>
      </w:r>
      <w:r w:rsidRPr="005E6B7C">
        <w:rPr>
          <w:rFonts w:asciiTheme="majorHAnsi" w:eastAsia="Yu Mincho" w:hAnsiTheme="majorHAnsi" w:cstheme="majorHAnsi"/>
          <w:iCs/>
          <w:color w:val="000000" w:themeColor="text1"/>
          <w:sz w:val="22"/>
          <w:szCs w:val="22"/>
          <w:lang w:eastAsia="ja-JP"/>
        </w:rPr>
        <w:t xml:space="preserve"> The antimicrobial activity is summarized in </w:t>
      </w:r>
      <w:r w:rsidRPr="005E6B7C">
        <w:rPr>
          <w:rFonts w:asciiTheme="majorHAnsi" w:eastAsia="Yu Mincho" w:hAnsiTheme="majorHAnsi" w:cstheme="majorHAnsi"/>
          <w:b/>
          <w:iCs/>
          <w:color w:val="000000" w:themeColor="text1"/>
          <w:sz w:val="22"/>
          <w:szCs w:val="22"/>
          <w:lang w:eastAsia="ja-JP"/>
        </w:rPr>
        <w:t>Tables 2</w:t>
      </w:r>
      <w:r w:rsidRPr="005E6B7C">
        <w:rPr>
          <w:rFonts w:asciiTheme="majorHAnsi" w:eastAsia="Yu Mincho" w:hAnsiTheme="majorHAnsi" w:cstheme="majorHAnsi"/>
          <w:iCs/>
          <w:color w:val="000000" w:themeColor="text1"/>
          <w:sz w:val="22"/>
          <w:szCs w:val="22"/>
          <w:lang w:val="vi-VN" w:eastAsia="ja-JP"/>
        </w:rPr>
        <w:t xml:space="preserve">, </w:t>
      </w:r>
      <w:r w:rsidRPr="005E6B7C">
        <w:rPr>
          <w:rFonts w:asciiTheme="majorHAnsi" w:eastAsia="Yu Mincho" w:hAnsiTheme="majorHAnsi" w:cstheme="majorHAnsi"/>
          <w:b/>
          <w:bCs/>
          <w:iCs/>
          <w:color w:val="000000" w:themeColor="text1"/>
          <w:sz w:val="22"/>
          <w:szCs w:val="22"/>
          <w:lang w:val="vi-VN" w:eastAsia="ja-JP"/>
        </w:rPr>
        <w:t>3</w:t>
      </w:r>
      <w:r w:rsidRPr="005E6B7C">
        <w:rPr>
          <w:rFonts w:asciiTheme="majorHAnsi" w:eastAsia="Yu Mincho" w:hAnsiTheme="majorHAnsi" w:cstheme="majorHAnsi"/>
          <w:bCs/>
          <w:iCs/>
          <w:color w:val="000000" w:themeColor="text1"/>
          <w:sz w:val="22"/>
          <w:szCs w:val="22"/>
          <w:lang w:val="vi-VN" w:eastAsia="ja-JP"/>
        </w:rPr>
        <w:t>,</w:t>
      </w:r>
      <w:r w:rsidRPr="005E6B7C">
        <w:rPr>
          <w:rFonts w:asciiTheme="majorHAnsi" w:eastAsia="Yu Mincho" w:hAnsiTheme="majorHAnsi" w:cstheme="majorHAnsi"/>
          <w:iCs/>
          <w:color w:val="000000" w:themeColor="text1"/>
          <w:sz w:val="22"/>
          <w:szCs w:val="22"/>
          <w:lang w:val="vi-VN" w:eastAsia="ja-JP"/>
        </w:rPr>
        <w:t xml:space="preserve"> and </w:t>
      </w:r>
      <w:r w:rsidRPr="005E6B7C">
        <w:rPr>
          <w:rFonts w:asciiTheme="majorHAnsi" w:eastAsia="Yu Mincho" w:hAnsiTheme="majorHAnsi" w:cstheme="majorHAnsi"/>
          <w:b/>
          <w:bCs/>
          <w:iCs/>
          <w:color w:val="000000" w:themeColor="text1"/>
          <w:sz w:val="22"/>
          <w:szCs w:val="22"/>
          <w:lang w:val="vi-VN" w:eastAsia="ja-JP"/>
        </w:rPr>
        <w:t>4</w:t>
      </w:r>
      <w:r w:rsidRPr="005E6B7C">
        <w:rPr>
          <w:rFonts w:asciiTheme="majorHAnsi" w:eastAsia="Yu Mincho" w:hAnsiTheme="majorHAnsi" w:cstheme="majorHAnsi"/>
          <w:iCs/>
          <w:color w:val="000000" w:themeColor="text1"/>
          <w:sz w:val="22"/>
          <w:szCs w:val="22"/>
          <w:lang w:val="vi-VN" w:eastAsia="ja-JP"/>
        </w:rPr>
        <w:t>.</w:t>
      </w:r>
    </w:p>
    <w:p w14:paraId="638CE55F"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eastAsia="ja-JP"/>
        </w:rPr>
        <w:sectPr w:rsidR="0074352D" w:rsidRPr="005E6B7C" w:rsidSect="0074352D">
          <w:type w:val="continuous"/>
          <w:pgSz w:w="10773" w:h="15309" w:code="9"/>
          <w:pgMar w:top="907" w:right="851" w:bottom="1418" w:left="851" w:header="397" w:footer="851" w:gutter="0"/>
          <w:cols w:num="2" w:space="284"/>
          <w:docGrid w:linePitch="360"/>
        </w:sectPr>
      </w:pPr>
    </w:p>
    <w:p w14:paraId="2F4859DC" w14:textId="77777777" w:rsidR="0074352D" w:rsidRPr="005E6B7C" w:rsidRDefault="0074352D" w:rsidP="008C0D47">
      <w:pPr>
        <w:tabs>
          <w:tab w:val="left" w:pos="270"/>
          <w:tab w:val="left" w:pos="540"/>
          <w:tab w:val="left" w:pos="9270"/>
        </w:tabs>
        <w:spacing w:line="200" w:lineRule="exact"/>
        <w:ind w:right="-23"/>
        <w:contextualSpacing/>
        <w:jc w:val="center"/>
        <w:rPr>
          <w:rFonts w:asciiTheme="majorHAnsi" w:eastAsia="Yu Mincho" w:hAnsiTheme="majorHAnsi" w:cstheme="majorHAnsi"/>
          <w:b/>
          <w:bCs/>
          <w:iCs/>
          <w:color w:val="000000" w:themeColor="text1"/>
          <w:sz w:val="18"/>
          <w:szCs w:val="18"/>
          <w:lang w:eastAsia="ja-JP"/>
        </w:rPr>
      </w:pPr>
    </w:p>
    <w:p w14:paraId="05AC196D" w14:textId="77777777" w:rsidR="00E049CB" w:rsidRPr="005E6B7C" w:rsidRDefault="00E049CB" w:rsidP="008C0D47">
      <w:pPr>
        <w:tabs>
          <w:tab w:val="left" w:pos="270"/>
          <w:tab w:val="left" w:pos="540"/>
          <w:tab w:val="left" w:pos="9270"/>
        </w:tabs>
        <w:spacing w:line="20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Table 2. </w:t>
      </w:r>
      <w:r w:rsidRPr="005E6B7C">
        <w:rPr>
          <w:rFonts w:asciiTheme="majorHAnsi" w:eastAsia="Yu Mincho" w:hAnsiTheme="majorHAnsi" w:cstheme="majorHAnsi"/>
          <w:iCs/>
          <w:color w:val="000000" w:themeColor="text1"/>
          <w:sz w:val="18"/>
          <w:szCs w:val="18"/>
          <w:lang w:val="vi-VN" w:eastAsia="ja-JP"/>
        </w:rPr>
        <w:t xml:space="preserve">Antimicrobial activity of the essential oil of </w:t>
      </w:r>
      <w:r w:rsidRPr="005E6B7C">
        <w:rPr>
          <w:rFonts w:asciiTheme="majorHAnsi" w:eastAsia="Yu Mincho" w:hAnsiTheme="majorHAnsi" w:cstheme="majorHAnsi"/>
          <w:i/>
          <w:color w:val="000000" w:themeColor="text1"/>
          <w:sz w:val="18"/>
          <w:szCs w:val="18"/>
          <w:lang w:val="vi-VN" w:eastAsia="ja-JP"/>
        </w:rPr>
        <w:t>K. globularia</w:t>
      </w:r>
      <w:r w:rsidRPr="005E6B7C">
        <w:rPr>
          <w:rFonts w:asciiTheme="majorHAnsi" w:eastAsia="Yu Mincho" w:hAnsiTheme="majorHAnsi" w:cstheme="majorHAnsi"/>
          <w:iCs/>
          <w:color w:val="000000" w:themeColor="text1"/>
          <w:sz w:val="18"/>
          <w:szCs w:val="18"/>
          <w:lang w:val="vi-VN" w:eastAsia="ja-JP"/>
        </w:rPr>
        <w:t xml:space="preserve"> leaves (EO) against Gram-positive bacteria</w:t>
      </w:r>
    </w:p>
    <w:p w14:paraId="36582F88" w14:textId="77777777" w:rsidR="0074352D" w:rsidRPr="005E6B7C" w:rsidRDefault="0074352D" w:rsidP="008C0D47">
      <w:pPr>
        <w:tabs>
          <w:tab w:val="left" w:pos="270"/>
          <w:tab w:val="left" w:pos="540"/>
          <w:tab w:val="left" w:pos="9270"/>
        </w:tabs>
        <w:spacing w:line="200" w:lineRule="exact"/>
        <w:ind w:right="-23"/>
        <w:contextualSpacing/>
        <w:jc w:val="center"/>
        <w:rPr>
          <w:rFonts w:asciiTheme="majorHAnsi" w:eastAsia="Yu Mincho" w:hAnsiTheme="majorHAnsi" w:cstheme="majorHAnsi"/>
          <w:iCs/>
          <w:color w:val="000000" w:themeColor="text1"/>
          <w:sz w:val="18"/>
          <w:szCs w:val="18"/>
          <w:lang w:eastAsia="ja-JP"/>
        </w:rPr>
      </w:pPr>
    </w:p>
    <w:tbl>
      <w:tblPr>
        <w:tblStyle w:val="TableGrid10"/>
        <w:tblW w:w="9072" w:type="dxa"/>
        <w:jc w:val="center"/>
        <w:tblLook w:val="04A0" w:firstRow="1" w:lastRow="0" w:firstColumn="1" w:lastColumn="0" w:noHBand="0" w:noVBand="1"/>
      </w:tblPr>
      <w:tblGrid>
        <w:gridCol w:w="1244"/>
        <w:gridCol w:w="1142"/>
        <w:gridCol w:w="1018"/>
        <w:gridCol w:w="1866"/>
        <w:gridCol w:w="2008"/>
        <w:gridCol w:w="1794"/>
      </w:tblGrid>
      <w:tr w:rsidR="00E049CB" w:rsidRPr="005E6B7C" w14:paraId="50056791" w14:textId="77777777" w:rsidTr="0074352D">
        <w:trPr>
          <w:tblHeader/>
          <w:jc w:val="center"/>
        </w:trPr>
        <w:tc>
          <w:tcPr>
            <w:tcW w:w="1268" w:type="dxa"/>
            <w:tcBorders>
              <w:top w:val="dotted" w:sz="4" w:space="0" w:color="auto"/>
              <w:left w:val="dotted" w:sz="4" w:space="0" w:color="auto"/>
              <w:bottom w:val="dotted" w:sz="4" w:space="0" w:color="auto"/>
              <w:right w:val="dotted" w:sz="4" w:space="0" w:color="auto"/>
            </w:tcBorders>
            <w:vAlign w:val="center"/>
          </w:tcPr>
          <w:p w14:paraId="7024527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Sample</w:t>
            </w:r>
          </w:p>
        </w:tc>
        <w:tc>
          <w:tcPr>
            <w:tcW w:w="1163" w:type="dxa"/>
            <w:tcBorders>
              <w:top w:val="dotted" w:sz="4" w:space="0" w:color="auto"/>
              <w:left w:val="dotted" w:sz="4" w:space="0" w:color="auto"/>
              <w:bottom w:val="dotted" w:sz="4" w:space="0" w:color="auto"/>
              <w:right w:val="dotted" w:sz="4" w:space="0" w:color="auto"/>
            </w:tcBorders>
            <w:vAlign w:val="center"/>
          </w:tcPr>
          <w:p w14:paraId="3C7B915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p>
        </w:tc>
        <w:tc>
          <w:tcPr>
            <w:tcW w:w="1035" w:type="dxa"/>
            <w:tcBorders>
              <w:top w:val="dotted" w:sz="4" w:space="0" w:color="auto"/>
              <w:left w:val="dotted" w:sz="4" w:space="0" w:color="auto"/>
              <w:bottom w:val="dotted" w:sz="4" w:space="0" w:color="auto"/>
              <w:right w:val="dotted" w:sz="4" w:space="0" w:color="auto"/>
            </w:tcBorders>
            <w:vAlign w:val="center"/>
          </w:tcPr>
          <w:p w14:paraId="6B82A95D" w14:textId="23EC3CDE"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Conc. (</w:t>
            </w:r>
            <w:r w:rsidR="00266B26" w:rsidRPr="005E6B7C">
              <w:rPr>
                <w:rFonts w:asciiTheme="majorHAnsi" w:eastAsia="Yu Mincho" w:hAnsiTheme="majorHAnsi" w:cstheme="majorHAnsi"/>
                <w:b/>
                <w:bCs/>
                <w:i/>
                <w:iCs/>
                <w:color w:val="000000" w:themeColor="text1"/>
                <w:sz w:val="18"/>
                <w:szCs w:val="18"/>
                <w:lang w:val="vi-VN" w:eastAsia="ja-JP"/>
              </w:rPr>
              <w:t>µ</w:t>
            </w:r>
            <w:r w:rsidRPr="005E6B7C">
              <w:rPr>
                <w:rFonts w:asciiTheme="majorHAnsi" w:eastAsia="Yu Mincho" w:hAnsiTheme="majorHAnsi" w:cstheme="majorHAnsi"/>
                <w:b/>
                <w:bCs/>
                <w:iCs/>
                <w:color w:val="000000" w:themeColor="text1"/>
                <w:sz w:val="18"/>
                <w:szCs w:val="18"/>
                <w:lang w:val="vi-VN" w:eastAsia="ja-JP"/>
              </w:rPr>
              <w:t>g/mL)</w:t>
            </w:r>
          </w:p>
        </w:tc>
        <w:tc>
          <w:tcPr>
            <w:tcW w:w="1916" w:type="dxa"/>
            <w:tcBorders>
              <w:top w:val="dotted" w:sz="4" w:space="0" w:color="auto"/>
              <w:left w:val="dotted" w:sz="4" w:space="0" w:color="auto"/>
              <w:bottom w:val="dotted" w:sz="4" w:space="0" w:color="auto"/>
              <w:right w:val="dotted" w:sz="4" w:space="0" w:color="auto"/>
            </w:tcBorders>
            <w:vAlign w:val="center"/>
          </w:tcPr>
          <w:p w14:paraId="0EA845E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Staphylococcus aureus</w:t>
            </w:r>
          </w:p>
        </w:tc>
        <w:tc>
          <w:tcPr>
            <w:tcW w:w="2126" w:type="dxa"/>
            <w:tcBorders>
              <w:top w:val="dotted" w:sz="4" w:space="0" w:color="auto"/>
              <w:left w:val="dotted" w:sz="4" w:space="0" w:color="auto"/>
              <w:bottom w:val="dotted" w:sz="4" w:space="0" w:color="auto"/>
              <w:right w:val="dotted" w:sz="4" w:space="0" w:color="auto"/>
            </w:tcBorders>
            <w:vAlign w:val="center"/>
          </w:tcPr>
          <w:p w14:paraId="688F79B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Bacillus subtilis</w:t>
            </w:r>
          </w:p>
        </w:tc>
        <w:tc>
          <w:tcPr>
            <w:tcW w:w="1852" w:type="dxa"/>
            <w:tcBorders>
              <w:top w:val="dotted" w:sz="4" w:space="0" w:color="auto"/>
              <w:left w:val="dotted" w:sz="4" w:space="0" w:color="auto"/>
              <w:bottom w:val="dotted" w:sz="4" w:space="0" w:color="auto"/>
              <w:right w:val="dotted" w:sz="4" w:space="0" w:color="auto"/>
            </w:tcBorders>
            <w:vAlign w:val="center"/>
          </w:tcPr>
          <w:p w14:paraId="633DAC3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Lactobacillus fermentum</w:t>
            </w:r>
          </w:p>
        </w:tc>
      </w:tr>
      <w:tr w:rsidR="00E049CB" w:rsidRPr="005E6B7C" w14:paraId="0099DBB2" w14:textId="77777777" w:rsidTr="00AF4AD1">
        <w:trPr>
          <w:jc w:val="center"/>
        </w:trPr>
        <w:tc>
          <w:tcPr>
            <w:tcW w:w="1268" w:type="dxa"/>
            <w:vMerge w:val="restart"/>
            <w:tcBorders>
              <w:top w:val="dotted" w:sz="4" w:space="0" w:color="auto"/>
              <w:left w:val="dotted" w:sz="4" w:space="0" w:color="auto"/>
              <w:bottom w:val="dotted" w:sz="4" w:space="0" w:color="auto"/>
              <w:right w:val="dotted" w:sz="4" w:space="0" w:color="auto"/>
            </w:tcBorders>
            <w:vAlign w:val="center"/>
          </w:tcPr>
          <w:p w14:paraId="7A63037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EO</w:t>
            </w:r>
          </w:p>
        </w:tc>
        <w:tc>
          <w:tcPr>
            <w:tcW w:w="1163" w:type="dxa"/>
            <w:vMerge w:val="restart"/>
            <w:tcBorders>
              <w:top w:val="dotted" w:sz="4" w:space="0" w:color="auto"/>
              <w:left w:val="dotted" w:sz="4" w:space="0" w:color="auto"/>
              <w:bottom w:val="dotted" w:sz="4" w:space="0" w:color="auto"/>
              <w:right w:val="dotted" w:sz="4" w:space="0" w:color="auto"/>
            </w:tcBorders>
            <w:vAlign w:val="center"/>
          </w:tcPr>
          <w:p w14:paraId="438995C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Inhibition (%)</w:t>
            </w:r>
          </w:p>
        </w:tc>
        <w:tc>
          <w:tcPr>
            <w:tcW w:w="1035" w:type="dxa"/>
            <w:tcBorders>
              <w:top w:val="dotted" w:sz="4" w:space="0" w:color="auto"/>
              <w:left w:val="dotted" w:sz="4" w:space="0" w:color="auto"/>
              <w:bottom w:val="dotted" w:sz="4" w:space="0" w:color="auto"/>
              <w:right w:val="dotted" w:sz="4" w:space="0" w:color="auto"/>
            </w:tcBorders>
            <w:vAlign w:val="center"/>
          </w:tcPr>
          <w:p w14:paraId="10438BC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256</w:t>
            </w:r>
          </w:p>
        </w:tc>
        <w:tc>
          <w:tcPr>
            <w:tcW w:w="1916" w:type="dxa"/>
            <w:tcBorders>
              <w:top w:val="dotted" w:sz="4" w:space="0" w:color="auto"/>
              <w:left w:val="dotted" w:sz="4" w:space="0" w:color="auto"/>
              <w:bottom w:val="dotted" w:sz="4" w:space="0" w:color="auto"/>
              <w:right w:val="dotted" w:sz="4" w:space="0" w:color="auto"/>
            </w:tcBorders>
          </w:tcPr>
          <w:p w14:paraId="0A56D3C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92</w:t>
            </w:r>
          </w:p>
        </w:tc>
        <w:tc>
          <w:tcPr>
            <w:tcW w:w="2126" w:type="dxa"/>
            <w:tcBorders>
              <w:top w:val="dotted" w:sz="4" w:space="0" w:color="auto"/>
              <w:left w:val="dotted" w:sz="4" w:space="0" w:color="auto"/>
              <w:bottom w:val="dotted" w:sz="4" w:space="0" w:color="auto"/>
              <w:right w:val="dotted" w:sz="4" w:space="0" w:color="auto"/>
            </w:tcBorders>
          </w:tcPr>
          <w:p w14:paraId="400805E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w:t>
            </w:r>
          </w:p>
        </w:tc>
        <w:tc>
          <w:tcPr>
            <w:tcW w:w="1852" w:type="dxa"/>
            <w:tcBorders>
              <w:top w:val="dotted" w:sz="4" w:space="0" w:color="auto"/>
              <w:left w:val="dotted" w:sz="4" w:space="0" w:color="auto"/>
              <w:bottom w:val="dotted" w:sz="4" w:space="0" w:color="auto"/>
              <w:right w:val="dotted" w:sz="4" w:space="0" w:color="auto"/>
            </w:tcBorders>
          </w:tcPr>
          <w:p w14:paraId="0ED79C7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13F3B16E"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298DEF1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451929E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35" w:type="dxa"/>
            <w:tcBorders>
              <w:top w:val="dotted" w:sz="4" w:space="0" w:color="auto"/>
              <w:left w:val="dotted" w:sz="4" w:space="0" w:color="auto"/>
              <w:bottom w:val="dotted" w:sz="4" w:space="0" w:color="auto"/>
              <w:right w:val="dotted" w:sz="4" w:space="0" w:color="auto"/>
            </w:tcBorders>
            <w:vAlign w:val="center"/>
          </w:tcPr>
          <w:p w14:paraId="716885B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w:t>
            </w:r>
          </w:p>
        </w:tc>
        <w:tc>
          <w:tcPr>
            <w:tcW w:w="1916" w:type="dxa"/>
            <w:tcBorders>
              <w:top w:val="dotted" w:sz="4" w:space="0" w:color="auto"/>
              <w:left w:val="dotted" w:sz="4" w:space="0" w:color="auto"/>
              <w:bottom w:val="dotted" w:sz="4" w:space="0" w:color="auto"/>
              <w:right w:val="dotted" w:sz="4" w:space="0" w:color="auto"/>
            </w:tcBorders>
          </w:tcPr>
          <w:p w14:paraId="51DFF33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2126" w:type="dxa"/>
            <w:tcBorders>
              <w:top w:val="dotted" w:sz="4" w:space="0" w:color="auto"/>
              <w:left w:val="dotted" w:sz="4" w:space="0" w:color="auto"/>
              <w:bottom w:val="dotted" w:sz="4" w:space="0" w:color="auto"/>
              <w:right w:val="dotted" w:sz="4" w:space="0" w:color="auto"/>
            </w:tcBorders>
          </w:tcPr>
          <w:p w14:paraId="17823E2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w:t>
            </w:r>
          </w:p>
        </w:tc>
        <w:tc>
          <w:tcPr>
            <w:tcW w:w="1852" w:type="dxa"/>
            <w:tcBorders>
              <w:top w:val="dotted" w:sz="4" w:space="0" w:color="auto"/>
              <w:left w:val="dotted" w:sz="4" w:space="0" w:color="auto"/>
              <w:bottom w:val="dotted" w:sz="4" w:space="0" w:color="auto"/>
              <w:right w:val="dotted" w:sz="4" w:space="0" w:color="auto"/>
            </w:tcBorders>
          </w:tcPr>
          <w:p w14:paraId="7A97285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6FA2224A"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06EA8D6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6F3E492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35" w:type="dxa"/>
            <w:tcBorders>
              <w:top w:val="dotted" w:sz="4" w:space="0" w:color="auto"/>
              <w:left w:val="dotted" w:sz="4" w:space="0" w:color="auto"/>
              <w:bottom w:val="dotted" w:sz="4" w:space="0" w:color="auto"/>
              <w:right w:val="dotted" w:sz="4" w:space="0" w:color="auto"/>
            </w:tcBorders>
            <w:vAlign w:val="center"/>
          </w:tcPr>
          <w:p w14:paraId="43886C1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916" w:type="dxa"/>
            <w:tcBorders>
              <w:top w:val="dotted" w:sz="4" w:space="0" w:color="auto"/>
              <w:left w:val="dotted" w:sz="4" w:space="0" w:color="auto"/>
              <w:bottom w:val="dotted" w:sz="4" w:space="0" w:color="auto"/>
              <w:right w:val="dotted" w:sz="4" w:space="0" w:color="auto"/>
            </w:tcBorders>
          </w:tcPr>
          <w:p w14:paraId="63A7F7B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126" w:type="dxa"/>
            <w:tcBorders>
              <w:top w:val="dotted" w:sz="4" w:space="0" w:color="auto"/>
              <w:left w:val="dotted" w:sz="4" w:space="0" w:color="auto"/>
              <w:bottom w:val="dotted" w:sz="4" w:space="0" w:color="auto"/>
              <w:right w:val="dotted" w:sz="4" w:space="0" w:color="auto"/>
            </w:tcBorders>
          </w:tcPr>
          <w:p w14:paraId="3DD5F76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w:t>
            </w:r>
          </w:p>
        </w:tc>
        <w:tc>
          <w:tcPr>
            <w:tcW w:w="1852" w:type="dxa"/>
            <w:tcBorders>
              <w:top w:val="dotted" w:sz="4" w:space="0" w:color="auto"/>
              <w:left w:val="dotted" w:sz="4" w:space="0" w:color="auto"/>
              <w:bottom w:val="dotted" w:sz="4" w:space="0" w:color="auto"/>
              <w:right w:val="dotted" w:sz="4" w:space="0" w:color="auto"/>
            </w:tcBorders>
          </w:tcPr>
          <w:p w14:paraId="5480E37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012D3978"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3A0A729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3DDAA82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35" w:type="dxa"/>
            <w:tcBorders>
              <w:top w:val="dotted" w:sz="4" w:space="0" w:color="auto"/>
              <w:left w:val="dotted" w:sz="4" w:space="0" w:color="auto"/>
              <w:bottom w:val="dotted" w:sz="4" w:space="0" w:color="auto"/>
              <w:right w:val="dotted" w:sz="4" w:space="0" w:color="auto"/>
            </w:tcBorders>
            <w:vAlign w:val="center"/>
          </w:tcPr>
          <w:p w14:paraId="0871BAD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916" w:type="dxa"/>
            <w:tcBorders>
              <w:top w:val="dotted" w:sz="4" w:space="0" w:color="auto"/>
              <w:left w:val="dotted" w:sz="4" w:space="0" w:color="auto"/>
              <w:bottom w:val="dotted" w:sz="4" w:space="0" w:color="auto"/>
              <w:right w:val="dotted" w:sz="4" w:space="0" w:color="auto"/>
            </w:tcBorders>
          </w:tcPr>
          <w:p w14:paraId="0E194EF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126" w:type="dxa"/>
            <w:tcBorders>
              <w:top w:val="dotted" w:sz="4" w:space="0" w:color="auto"/>
              <w:left w:val="dotted" w:sz="4" w:space="0" w:color="auto"/>
              <w:bottom w:val="dotted" w:sz="4" w:space="0" w:color="auto"/>
              <w:right w:val="dotted" w:sz="4" w:space="0" w:color="auto"/>
            </w:tcBorders>
          </w:tcPr>
          <w:p w14:paraId="7BF79F3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52" w:type="dxa"/>
            <w:tcBorders>
              <w:top w:val="dotted" w:sz="4" w:space="0" w:color="auto"/>
              <w:left w:val="dotted" w:sz="4" w:space="0" w:color="auto"/>
              <w:bottom w:val="dotted" w:sz="4" w:space="0" w:color="auto"/>
              <w:right w:val="dotted" w:sz="4" w:space="0" w:color="auto"/>
            </w:tcBorders>
          </w:tcPr>
          <w:p w14:paraId="65A4DFD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6D325E82"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3F0260B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59447E0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35" w:type="dxa"/>
            <w:tcBorders>
              <w:top w:val="dotted" w:sz="4" w:space="0" w:color="auto"/>
              <w:left w:val="dotted" w:sz="4" w:space="0" w:color="auto"/>
              <w:bottom w:val="dotted" w:sz="4" w:space="0" w:color="auto"/>
              <w:right w:val="dotted" w:sz="4" w:space="0" w:color="auto"/>
            </w:tcBorders>
            <w:vAlign w:val="center"/>
          </w:tcPr>
          <w:p w14:paraId="33A3D76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916" w:type="dxa"/>
            <w:tcBorders>
              <w:top w:val="dotted" w:sz="4" w:space="0" w:color="auto"/>
              <w:left w:val="dotted" w:sz="4" w:space="0" w:color="auto"/>
              <w:bottom w:val="dotted" w:sz="4" w:space="0" w:color="auto"/>
              <w:right w:val="dotted" w:sz="4" w:space="0" w:color="auto"/>
            </w:tcBorders>
          </w:tcPr>
          <w:p w14:paraId="2F8AF30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126" w:type="dxa"/>
            <w:tcBorders>
              <w:top w:val="dotted" w:sz="4" w:space="0" w:color="auto"/>
              <w:left w:val="dotted" w:sz="4" w:space="0" w:color="auto"/>
              <w:bottom w:val="dotted" w:sz="4" w:space="0" w:color="auto"/>
              <w:right w:val="dotted" w:sz="4" w:space="0" w:color="auto"/>
            </w:tcBorders>
          </w:tcPr>
          <w:p w14:paraId="009AAD1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52" w:type="dxa"/>
            <w:tcBorders>
              <w:top w:val="dotted" w:sz="4" w:space="0" w:color="auto"/>
              <w:left w:val="dotted" w:sz="4" w:space="0" w:color="auto"/>
              <w:bottom w:val="dotted" w:sz="4" w:space="0" w:color="auto"/>
              <w:right w:val="dotted" w:sz="4" w:space="0" w:color="auto"/>
            </w:tcBorders>
          </w:tcPr>
          <w:p w14:paraId="48EDFDE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00766A9E"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4060937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2198" w:type="dxa"/>
            <w:gridSpan w:val="2"/>
            <w:tcBorders>
              <w:top w:val="dotted" w:sz="4" w:space="0" w:color="auto"/>
              <w:left w:val="dotted" w:sz="4" w:space="0" w:color="auto"/>
              <w:bottom w:val="dotted" w:sz="4" w:space="0" w:color="auto"/>
              <w:right w:val="dotted" w:sz="4" w:space="0" w:color="auto"/>
            </w:tcBorders>
            <w:vAlign w:val="center"/>
          </w:tcPr>
          <w:p w14:paraId="540722C3" w14:textId="30195D41"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916" w:type="dxa"/>
            <w:tcBorders>
              <w:top w:val="dotted" w:sz="4" w:space="0" w:color="auto"/>
              <w:left w:val="dotted" w:sz="4" w:space="0" w:color="auto"/>
              <w:bottom w:val="dotted" w:sz="4" w:space="0" w:color="auto"/>
              <w:right w:val="dotted" w:sz="4" w:space="0" w:color="auto"/>
            </w:tcBorders>
          </w:tcPr>
          <w:p w14:paraId="30CD727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80.00 ± 4.05</w:t>
            </w:r>
          </w:p>
        </w:tc>
        <w:tc>
          <w:tcPr>
            <w:tcW w:w="2126" w:type="dxa"/>
            <w:tcBorders>
              <w:top w:val="dotted" w:sz="4" w:space="0" w:color="auto"/>
              <w:left w:val="dotted" w:sz="4" w:space="0" w:color="auto"/>
              <w:bottom w:val="dotted" w:sz="4" w:space="0" w:color="auto"/>
              <w:right w:val="dotted" w:sz="4" w:space="0" w:color="auto"/>
            </w:tcBorders>
          </w:tcPr>
          <w:p w14:paraId="54AC76E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64.00 ± 3.98</w:t>
            </w:r>
          </w:p>
        </w:tc>
        <w:tc>
          <w:tcPr>
            <w:tcW w:w="1852" w:type="dxa"/>
            <w:tcBorders>
              <w:top w:val="dotted" w:sz="4" w:space="0" w:color="auto"/>
              <w:left w:val="dotted" w:sz="4" w:space="0" w:color="auto"/>
              <w:bottom w:val="dotted" w:sz="4" w:space="0" w:color="auto"/>
              <w:right w:val="dotted" w:sz="4" w:space="0" w:color="auto"/>
            </w:tcBorders>
          </w:tcPr>
          <w:p w14:paraId="775B311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710C682C"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59E4D23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2198" w:type="dxa"/>
            <w:gridSpan w:val="2"/>
            <w:tcBorders>
              <w:top w:val="dotted" w:sz="4" w:space="0" w:color="auto"/>
              <w:left w:val="dotted" w:sz="4" w:space="0" w:color="auto"/>
              <w:bottom w:val="dotted" w:sz="4" w:space="0" w:color="auto"/>
              <w:right w:val="dotted" w:sz="4" w:space="0" w:color="auto"/>
            </w:tcBorders>
            <w:vAlign w:val="center"/>
          </w:tcPr>
          <w:p w14:paraId="3A6259C2" w14:textId="29819FA8"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916" w:type="dxa"/>
            <w:tcBorders>
              <w:top w:val="dotted" w:sz="4" w:space="0" w:color="auto"/>
              <w:left w:val="dotted" w:sz="4" w:space="0" w:color="auto"/>
              <w:bottom w:val="dotted" w:sz="4" w:space="0" w:color="auto"/>
              <w:right w:val="dotted" w:sz="4" w:space="0" w:color="auto"/>
            </w:tcBorders>
          </w:tcPr>
          <w:p w14:paraId="6A1A467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256 ± 0.00</w:t>
            </w:r>
          </w:p>
        </w:tc>
        <w:tc>
          <w:tcPr>
            <w:tcW w:w="2126" w:type="dxa"/>
            <w:tcBorders>
              <w:top w:val="dotted" w:sz="4" w:space="0" w:color="auto"/>
              <w:left w:val="dotted" w:sz="4" w:space="0" w:color="auto"/>
              <w:bottom w:val="dotted" w:sz="4" w:space="0" w:color="auto"/>
              <w:right w:val="dotted" w:sz="4" w:space="0" w:color="auto"/>
            </w:tcBorders>
          </w:tcPr>
          <w:p w14:paraId="0D0EE92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c>
          <w:tcPr>
            <w:tcW w:w="1852" w:type="dxa"/>
            <w:tcBorders>
              <w:top w:val="dotted" w:sz="4" w:space="0" w:color="auto"/>
              <w:left w:val="dotted" w:sz="4" w:space="0" w:color="auto"/>
              <w:bottom w:val="dotted" w:sz="4" w:space="0" w:color="auto"/>
              <w:right w:val="dotted" w:sz="4" w:space="0" w:color="auto"/>
            </w:tcBorders>
          </w:tcPr>
          <w:p w14:paraId="10142CE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12316E08" w14:textId="77777777" w:rsidTr="00AF4AD1">
        <w:trPr>
          <w:jc w:val="center"/>
        </w:trPr>
        <w:tc>
          <w:tcPr>
            <w:tcW w:w="1268" w:type="dxa"/>
            <w:vMerge w:val="restart"/>
            <w:tcBorders>
              <w:top w:val="dotted" w:sz="4" w:space="0" w:color="auto"/>
              <w:left w:val="dotted" w:sz="4" w:space="0" w:color="auto"/>
              <w:bottom w:val="dotted" w:sz="4" w:space="0" w:color="auto"/>
              <w:right w:val="dotted" w:sz="4" w:space="0" w:color="auto"/>
            </w:tcBorders>
            <w:vAlign w:val="center"/>
          </w:tcPr>
          <w:p w14:paraId="0405454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Ampicillin</w:t>
            </w:r>
          </w:p>
        </w:tc>
        <w:tc>
          <w:tcPr>
            <w:tcW w:w="2198" w:type="dxa"/>
            <w:gridSpan w:val="2"/>
            <w:tcBorders>
              <w:top w:val="dotted" w:sz="4" w:space="0" w:color="auto"/>
              <w:left w:val="dotted" w:sz="4" w:space="0" w:color="auto"/>
              <w:bottom w:val="dotted" w:sz="4" w:space="0" w:color="auto"/>
              <w:right w:val="dotted" w:sz="4" w:space="0" w:color="auto"/>
            </w:tcBorders>
            <w:vAlign w:val="center"/>
          </w:tcPr>
          <w:p w14:paraId="593FF189" w14:textId="039E8922"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916" w:type="dxa"/>
            <w:tcBorders>
              <w:top w:val="dotted" w:sz="4" w:space="0" w:color="auto"/>
              <w:left w:val="dotted" w:sz="4" w:space="0" w:color="auto"/>
              <w:bottom w:val="dotted" w:sz="4" w:space="0" w:color="auto"/>
              <w:right w:val="dotted" w:sz="4" w:space="0" w:color="auto"/>
            </w:tcBorders>
          </w:tcPr>
          <w:p w14:paraId="052203D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0.020 ± 0.005</w:t>
            </w:r>
          </w:p>
        </w:tc>
        <w:tc>
          <w:tcPr>
            <w:tcW w:w="2126" w:type="dxa"/>
            <w:tcBorders>
              <w:top w:val="dotted" w:sz="4" w:space="0" w:color="auto"/>
              <w:left w:val="dotted" w:sz="4" w:space="0" w:color="auto"/>
              <w:bottom w:val="dotted" w:sz="4" w:space="0" w:color="auto"/>
              <w:right w:val="dotted" w:sz="4" w:space="0" w:color="auto"/>
            </w:tcBorders>
          </w:tcPr>
          <w:p w14:paraId="04F923C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3.62 ± 0.15</w:t>
            </w:r>
          </w:p>
        </w:tc>
        <w:tc>
          <w:tcPr>
            <w:tcW w:w="1852" w:type="dxa"/>
            <w:tcBorders>
              <w:top w:val="dotted" w:sz="4" w:space="0" w:color="auto"/>
              <w:left w:val="dotted" w:sz="4" w:space="0" w:color="auto"/>
              <w:bottom w:val="dotted" w:sz="4" w:space="0" w:color="auto"/>
              <w:right w:val="dotted" w:sz="4" w:space="0" w:color="auto"/>
            </w:tcBorders>
          </w:tcPr>
          <w:p w14:paraId="64DD206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1.03 ± 0.07</w:t>
            </w:r>
          </w:p>
        </w:tc>
      </w:tr>
      <w:tr w:rsidR="00E049CB" w:rsidRPr="005E6B7C" w14:paraId="6B0B8164" w14:textId="77777777" w:rsidTr="00AF4AD1">
        <w:trPr>
          <w:jc w:val="center"/>
        </w:trPr>
        <w:tc>
          <w:tcPr>
            <w:tcW w:w="1268" w:type="dxa"/>
            <w:vMerge/>
            <w:tcBorders>
              <w:top w:val="dotted" w:sz="4" w:space="0" w:color="auto"/>
              <w:left w:val="dotted" w:sz="4" w:space="0" w:color="auto"/>
              <w:bottom w:val="dotted" w:sz="4" w:space="0" w:color="auto"/>
              <w:right w:val="dotted" w:sz="4" w:space="0" w:color="auto"/>
            </w:tcBorders>
            <w:vAlign w:val="center"/>
          </w:tcPr>
          <w:p w14:paraId="0D56F57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2198" w:type="dxa"/>
            <w:gridSpan w:val="2"/>
            <w:tcBorders>
              <w:top w:val="dotted" w:sz="4" w:space="0" w:color="auto"/>
              <w:left w:val="dotted" w:sz="4" w:space="0" w:color="auto"/>
              <w:bottom w:val="dotted" w:sz="4" w:space="0" w:color="auto"/>
              <w:right w:val="dotted" w:sz="4" w:space="0" w:color="auto"/>
            </w:tcBorders>
            <w:vAlign w:val="center"/>
          </w:tcPr>
          <w:p w14:paraId="5C1461F3" w14:textId="2CF9B6FC"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916" w:type="dxa"/>
            <w:tcBorders>
              <w:top w:val="dotted" w:sz="4" w:space="0" w:color="auto"/>
              <w:left w:val="dotted" w:sz="4" w:space="0" w:color="auto"/>
              <w:bottom w:val="dotted" w:sz="4" w:space="0" w:color="auto"/>
              <w:right w:val="dotted" w:sz="4" w:space="0" w:color="auto"/>
            </w:tcBorders>
          </w:tcPr>
          <w:p w14:paraId="14FE813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0.125 ± 0.000</w:t>
            </w:r>
          </w:p>
        </w:tc>
        <w:tc>
          <w:tcPr>
            <w:tcW w:w="2126" w:type="dxa"/>
            <w:tcBorders>
              <w:top w:val="dotted" w:sz="4" w:space="0" w:color="auto"/>
              <w:left w:val="dotted" w:sz="4" w:space="0" w:color="auto"/>
              <w:bottom w:val="dotted" w:sz="4" w:space="0" w:color="auto"/>
              <w:right w:val="dotted" w:sz="4" w:space="0" w:color="auto"/>
            </w:tcBorders>
          </w:tcPr>
          <w:p w14:paraId="02AF0D7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 ± 0.00</w:t>
            </w:r>
          </w:p>
        </w:tc>
        <w:tc>
          <w:tcPr>
            <w:tcW w:w="1852" w:type="dxa"/>
            <w:tcBorders>
              <w:top w:val="dotted" w:sz="4" w:space="0" w:color="auto"/>
              <w:left w:val="dotted" w:sz="4" w:space="0" w:color="auto"/>
              <w:bottom w:val="dotted" w:sz="4" w:space="0" w:color="auto"/>
              <w:right w:val="dotted" w:sz="4" w:space="0" w:color="auto"/>
            </w:tcBorders>
          </w:tcPr>
          <w:p w14:paraId="10A37D5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 ± 0.00</w:t>
            </w:r>
          </w:p>
        </w:tc>
      </w:tr>
    </w:tbl>
    <w:p w14:paraId="336FB890" w14:textId="77777777" w:rsidR="00AF4AD1" w:rsidRPr="005E6B7C" w:rsidRDefault="00AF4AD1" w:rsidP="008C0D47">
      <w:pPr>
        <w:tabs>
          <w:tab w:val="left" w:pos="270"/>
          <w:tab w:val="left" w:pos="540"/>
          <w:tab w:val="left" w:pos="9270"/>
        </w:tabs>
        <w:spacing w:before="120" w:after="120"/>
        <w:ind w:right="-20"/>
        <w:contextualSpacing/>
        <w:jc w:val="center"/>
        <w:rPr>
          <w:rFonts w:asciiTheme="majorHAnsi" w:eastAsia="Yu Mincho" w:hAnsiTheme="majorHAnsi" w:cstheme="majorHAnsi"/>
          <w:b/>
          <w:bCs/>
          <w:iCs/>
          <w:color w:val="000000" w:themeColor="text1"/>
          <w:sz w:val="18"/>
          <w:szCs w:val="18"/>
          <w:lang w:eastAsia="ja-JP"/>
        </w:rPr>
      </w:pPr>
    </w:p>
    <w:p w14:paraId="6008410E" w14:textId="77777777" w:rsidR="00E049CB" w:rsidRPr="005E6B7C" w:rsidRDefault="00E049CB" w:rsidP="008C0D47">
      <w:pPr>
        <w:tabs>
          <w:tab w:val="left" w:pos="270"/>
          <w:tab w:val="left" w:pos="540"/>
          <w:tab w:val="left" w:pos="9270"/>
        </w:tabs>
        <w:spacing w:before="120" w:after="120"/>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Table 3. </w:t>
      </w:r>
      <w:r w:rsidRPr="005E6B7C">
        <w:rPr>
          <w:rFonts w:asciiTheme="majorHAnsi" w:eastAsia="Yu Mincho" w:hAnsiTheme="majorHAnsi" w:cstheme="majorHAnsi"/>
          <w:iCs/>
          <w:color w:val="000000" w:themeColor="text1"/>
          <w:sz w:val="18"/>
          <w:szCs w:val="18"/>
          <w:lang w:val="vi-VN" w:eastAsia="ja-JP"/>
        </w:rPr>
        <w:t xml:space="preserve">Antimicrobial activity of the essential oil of </w:t>
      </w:r>
      <w:r w:rsidRPr="005E6B7C">
        <w:rPr>
          <w:rFonts w:asciiTheme="majorHAnsi" w:eastAsia="Yu Mincho" w:hAnsiTheme="majorHAnsi" w:cstheme="majorHAnsi"/>
          <w:i/>
          <w:color w:val="000000" w:themeColor="text1"/>
          <w:sz w:val="18"/>
          <w:szCs w:val="18"/>
          <w:lang w:val="vi-VN" w:eastAsia="ja-JP"/>
        </w:rPr>
        <w:t>K. globularia</w:t>
      </w:r>
      <w:r w:rsidRPr="005E6B7C">
        <w:rPr>
          <w:rFonts w:asciiTheme="majorHAnsi" w:eastAsia="Yu Mincho" w:hAnsiTheme="majorHAnsi" w:cstheme="majorHAnsi"/>
          <w:iCs/>
          <w:color w:val="000000" w:themeColor="text1"/>
          <w:sz w:val="18"/>
          <w:szCs w:val="18"/>
          <w:lang w:val="vi-VN" w:eastAsia="ja-JP"/>
        </w:rPr>
        <w:t xml:space="preserve"> leaves (EO) against Gram-negative bacteria</w:t>
      </w:r>
    </w:p>
    <w:p w14:paraId="37B4A0A3" w14:textId="77777777" w:rsidR="00AF4AD1" w:rsidRPr="005E6B7C" w:rsidRDefault="00AF4AD1" w:rsidP="008C0D47">
      <w:pPr>
        <w:tabs>
          <w:tab w:val="left" w:pos="270"/>
          <w:tab w:val="left" w:pos="540"/>
          <w:tab w:val="left" w:pos="9270"/>
        </w:tabs>
        <w:spacing w:before="120" w:after="120"/>
        <w:ind w:right="-20"/>
        <w:contextualSpacing/>
        <w:jc w:val="center"/>
        <w:rPr>
          <w:rFonts w:asciiTheme="majorHAnsi" w:eastAsia="Yu Mincho" w:hAnsiTheme="majorHAnsi" w:cstheme="majorHAnsi"/>
          <w:iCs/>
          <w:color w:val="000000" w:themeColor="text1"/>
          <w:sz w:val="18"/>
          <w:szCs w:val="18"/>
          <w:lang w:eastAsia="ja-JP"/>
        </w:rPr>
      </w:pPr>
    </w:p>
    <w:tbl>
      <w:tblPr>
        <w:tblStyle w:val="TableGrid10"/>
        <w:tblW w:w="9072" w:type="dxa"/>
        <w:jc w:val="center"/>
        <w:tblLook w:val="04A0" w:firstRow="1" w:lastRow="0" w:firstColumn="1" w:lastColumn="0" w:noHBand="0" w:noVBand="1"/>
      </w:tblPr>
      <w:tblGrid>
        <w:gridCol w:w="1310"/>
        <w:gridCol w:w="1141"/>
        <w:gridCol w:w="1042"/>
        <w:gridCol w:w="1804"/>
        <w:gridCol w:w="1993"/>
        <w:gridCol w:w="1782"/>
      </w:tblGrid>
      <w:tr w:rsidR="00E049CB" w:rsidRPr="005E6B7C" w14:paraId="759E10E6" w14:textId="77777777" w:rsidTr="00AF4AD1">
        <w:trPr>
          <w:jc w:val="center"/>
        </w:trPr>
        <w:tc>
          <w:tcPr>
            <w:tcW w:w="1336" w:type="dxa"/>
            <w:tcBorders>
              <w:top w:val="dotted" w:sz="4" w:space="0" w:color="auto"/>
              <w:left w:val="dotted" w:sz="4" w:space="0" w:color="auto"/>
              <w:bottom w:val="dotted" w:sz="4" w:space="0" w:color="auto"/>
              <w:right w:val="dotted" w:sz="4" w:space="0" w:color="auto"/>
            </w:tcBorders>
            <w:vAlign w:val="center"/>
          </w:tcPr>
          <w:p w14:paraId="27834BE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Sample</w:t>
            </w:r>
          </w:p>
        </w:tc>
        <w:tc>
          <w:tcPr>
            <w:tcW w:w="1163" w:type="dxa"/>
            <w:tcBorders>
              <w:top w:val="dotted" w:sz="4" w:space="0" w:color="auto"/>
              <w:left w:val="dotted" w:sz="4" w:space="0" w:color="auto"/>
              <w:bottom w:val="dotted" w:sz="4" w:space="0" w:color="auto"/>
              <w:right w:val="dotted" w:sz="4" w:space="0" w:color="auto"/>
            </w:tcBorders>
            <w:vAlign w:val="center"/>
          </w:tcPr>
          <w:p w14:paraId="7304C492"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p>
        </w:tc>
        <w:tc>
          <w:tcPr>
            <w:tcW w:w="1061" w:type="dxa"/>
            <w:tcBorders>
              <w:top w:val="dotted" w:sz="4" w:space="0" w:color="auto"/>
              <w:left w:val="dotted" w:sz="4" w:space="0" w:color="auto"/>
              <w:bottom w:val="dotted" w:sz="4" w:space="0" w:color="auto"/>
              <w:right w:val="dotted" w:sz="4" w:space="0" w:color="auto"/>
            </w:tcBorders>
            <w:vAlign w:val="center"/>
          </w:tcPr>
          <w:p w14:paraId="18F61073" w14:textId="727D3630"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Conc. (</w:t>
            </w:r>
            <w:r w:rsidR="00266B26" w:rsidRPr="005E6B7C">
              <w:rPr>
                <w:rFonts w:asciiTheme="majorHAnsi" w:eastAsia="Yu Mincho" w:hAnsiTheme="majorHAnsi" w:cstheme="majorHAnsi"/>
                <w:b/>
                <w:bCs/>
                <w:i/>
                <w:iCs/>
                <w:color w:val="000000" w:themeColor="text1"/>
                <w:sz w:val="18"/>
                <w:szCs w:val="18"/>
                <w:lang w:val="vi-VN" w:eastAsia="ja-JP"/>
              </w:rPr>
              <w:t>µ</w:t>
            </w:r>
            <w:r w:rsidRPr="005E6B7C">
              <w:rPr>
                <w:rFonts w:asciiTheme="majorHAnsi" w:eastAsia="Yu Mincho" w:hAnsiTheme="majorHAnsi" w:cstheme="majorHAnsi"/>
                <w:b/>
                <w:bCs/>
                <w:iCs/>
                <w:color w:val="000000" w:themeColor="text1"/>
                <w:sz w:val="18"/>
                <w:szCs w:val="18"/>
                <w:lang w:val="vi-VN" w:eastAsia="ja-JP"/>
              </w:rPr>
              <w:t>g/mL)</w:t>
            </w:r>
          </w:p>
        </w:tc>
        <w:tc>
          <w:tcPr>
            <w:tcW w:w="1880" w:type="dxa"/>
            <w:tcBorders>
              <w:top w:val="dotted" w:sz="4" w:space="0" w:color="auto"/>
              <w:left w:val="dotted" w:sz="4" w:space="0" w:color="auto"/>
              <w:bottom w:val="dotted" w:sz="4" w:space="0" w:color="auto"/>
              <w:right w:val="dotted" w:sz="4" w:space="0" w:color="auto"/>
            </w:tcBorders>
            <w:vAlign w:val="center"/>
          </w:tcPr>
          <w:p w14:paraId="32E1C58C"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Salmonella enterica</w:t>
            </w:r>
          </w:p>
        </w:tc>
        <w:tc>
          <w:tcPr>
            <w:tcW w:w="2083" w:type="dxa"/>
            <w:tcBorders>
              <w:top w:val="dotted" w:sz="4" w:space="0" w:color="auto"/>
              <w:left w:val="dotted" w:sz="4" w:space="0" w:color="auto"/>
              <w:bottom w:val="dotted" w:sz="4" w:space="0" w:color="auto"/>
              <w:right w:val="dotted" w:sz="4" w:space="0" w:color="auto"/>
            </w:tcBorders>
            <w:vAlign w:val="center"/>
          </w:tcPr>
          <w:p w14:paraId="1A64676D"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Escherichia coli</w:t>
            </w:r>
          </w:p>
        </w:tc>
        <w:tc>
          <w:tcPr>
            <w:tcW w:w="1837" w:type="dxa"/>
            <w:tcBorders>
              <w:top w:val="dotted" w:sz="4" w:space="0" w:color="auto"/>
              <w:left w:val="dotted" w:sz="4" w:space="0" w:color="auto"/>
              <w:bottom w:val="dotted" w:sz="4" w:space="0" w:color="auto"/>
              <w:right w:val="dotted" w:sz="4" w:space="0" w:color="auto"/>
            </w:tcBorders>
            <w:vAlign w:val="center"/>
          </w:tcPr>
          <w:p w14:paraId="18E072B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Pseudomonas aeruginosa</w:t>
            </w:r>
          </w:p>
        </w:tc>
      </w:tr>
      <w:tr w:rsidR="00E049CB" w:rsidRPr="005E6B7C" w14:paraId="4DD3F533" w14:textId="77777777" w:rsidTr="00AF4AD1">
        <w:trPr>
          <w:jc w:val="center"/>
        </w:trPr>
        <w:tc>
          <w:tcPr>
            <w:tcW w:w="1336" w:type="dxa"/>
            <w:vMerge w:val="restart"/>
            <w:tcBorders>
              <w:top w:val="dotted" w:sz="4" w:space="0" w:color="auto"/>
              <w:left w:val="dotted" w:sz="4" w:space="0" w:color="auto"/>
              <w:bottom w:val="dotted" w:sz="4" w:space="0" w:color="auto"/>
              <w:right w:val="dotted" w:sz="4" w:space="0" w:color="auto"/>
            </w:tcBorders>
            <w:vAlign w:val="center"/>
          </w:tcPr>
          <w:p w14:paraId="4BFB44C2"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EO</w:t>
            </w:r>
          </w:p>
        </w:tc>
        <w:tc>
          <w:tcPr>
            <w:tcW w:w="1163" w:type="dxa"/>
            <w:vMerge w:val="restart"/>
            <w:tcBorders>
              <w:top w:val="dotted" w:sz="4" w:space="0" w:color="auto"/>
              <w:left w:val="dotted" w:sz="4" w:space="0" w:color="auto"/>
              <w:bottom w:val="dotted" w:sz="4" w:space="0" w:color="auto"/>
              <w:right w:val="dotted" w:sz="4" w:space="0" w:color="auto"/>
            </w:tcBorders>
            <w:vAlign w:val="center"/>
          </w:tcPr>
          <w:p w14:paraId="0189B467"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Inhibition (%)</w:t>
            </w:r>
          </w:p>
        </w:tc>
        <w:tc>
          <w:tcPr>
            <w:tcW w:w="1061" w:type="dxa"/>
            <w:tcBorders>
              <w:top w:val="dotted" w:sz="4" w:space="0" w:color="auto"/>
              <w:left w:val="dotted" w:sz="4" w:space="0" w:color="auto"/>
              <w:bottom w:val="dotted" w:sz="4" w:space="0" w:color="auto"/>
              <w:right w:val="dotted" w:sz="4" w:space="0" w:color="auto"/>
            </w:tcBorders>
            <w:vAlign w:val="center"/>
          </w:tcPr>
          <w:p w14:paraId="1ADA727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256</w:t>
            </w:r>
          </w:p>
        </w:tc>
        <w:tc>
          <w:tcPr>
            <w:tcW w:w="1880" w:type="dxa"/>
            <w:tcBorders>
              <w:top w:val="dotted" w:sz="4" w:space="0" w:color="auto"/>
              <w:left w:val="dotted" w:sz="4" w:space="0" w:color="auto"/>
              <w:bottom w:val="dotted" w:sz="4" w:space="0" w:color="auto"/>
              <w:right w:val="dotted" w:sz="4" w:space="0" w:color="auto"/>
            </w:tcBorders>
          </w:tcPr>
          <w:p w14:paraId="4965142C"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2083" w:type="dxa"/>
            <w:tcBorders>
              <w:top w:val="dotted" w:sz="4" w:space="0" w:color="auto"/>
              <w:left w:val="dotted" w:sz="4" w:space="0" w:color="auto"/>
              <w:bottom w:val="dotted" w:sz="4" w:space="0" w:color="auto"/>
              <w:right w:val="dotted" w:sz="4" w:space="0" w:color="auto"/>
            </w:tcBorders>
          </w:tcPr>
          <w:p w14:paraId="45C3A706"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37" w:type="dxa"/>
            <w:tcBorders>
              <w:top w:val="dotted" w:sz="4" w:space="0" w:color="auto"/>
              <w:left w:val="dotted" w:sz="4" w:space="0" w:color="auto"/>
              <w:bottom w:val="dotted" w:sz="4" w:space="0" w:color="auto"/>
              <w:right w:val="dotted" w:sz="4" w:space="0" w:color="auto"/>
            </w:tcBorders>
          </w:tcPr>
          <w:p w14:paraId="7DEB7AD3"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20C87211"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57728BCE"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606A355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61" w:type="dxa"/>
            <w:tcBorders>
              <w:top w:val="dotted" w:sz="4" w:space="0" w:color="auto"/>
              <w:left w:val="dotted" w:sz="4" w:space="0" w:color="auto"/>
              <w:bottom w:val="dotted" w:sz="4" w:space="0" w:color="auto"/>
              <w:right w:val="dotted" w:sz="4" w:space="0" w:color="auto"/>
            </w:tcBorders>
            <w:vAlign w:val="center"/>
          </w:tcPr>
          <w:p w14:paraId="658D9D87"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w:t>
            </w:r>
          </w:p>
        </w:tc>
        <w:tc>
          <w:tcPr>
            <w:tcW w:w="1880" w:type="dxa"/>
            <w:tcBorders>
              <w:top w:val="dotted" w:sz="4" w:space="0" w:color="auto"/>
              <w:left w:val="dotted" w:sz="4" w:space="0" w:color="auto"/>
              <w:bottom w:val="dotted" w:sz="4" w:space="0" w:color="auto"/>
              <w:right w:val="dotted" w:sz="4" w:space="0" w:color="auto"/>
            </w:tcBorders>
          </w:tcPr>
          <w:p w14:paraId="04E12A19"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083" w:type="dxa"/>
            <w:tcBorders>
              <w:top w:val="dotted" w:sz="4" w:space="0" w:color="auto"/>
              <w:left w:val="dotted" w:sz="4" w:space="0" w:color="auto"/>
              <w:bottom w:val="dotted" w:sz="4" w:space="0" w:color="auto"/>
              <w:right w:val="dotted" w:sz="4" w:space="0" w:color="auto"/>
            </w:tcBorders>
          </w:tcPr>
          <w:p w14:paraId="4D18C3B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37" w:type="dxa"/>
            <w:tcBorders>
              <w:top w:val="dotted" w:sz="4" w:space="0" w:color="auto"/>
              <w:left w:val="dotted" w:sz="4" w:space="0" w:color="auto"/>
              <w:bottom w:val="dotted" w:sz="4" w:space="0" w:color="auto"/>
              <w:right w:val="dotted" w:sz="4" w:space="0" w:color="auto"/>
            </w:tcBorders>
          </w:tcPr>
          <w:p w14:paraId="4A18497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4E37BE88"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44CCC35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7E6F30F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61" w:type="dxa"/>
            <w:tcBorders>
              <w:top w:val="dotted" w:sz="4" w:space="0" w:color="auto"/>
              <w:left w:val="dotted" w:sz="4" w:space="0" w:color="auto"/>
              <w:bottom w:val="dotted" w:sz="4" w:space="0" w:color="auto"/>
              <w:right w:val="dotted" w:sz="4" w:space="0" w:color="auto"/>
            </w:tcBorders>
            <w:vAlign w:val="center"/>
          </w:tcPr>
          <w:p w14:paraId="0AB6EC7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880" w:type="dxa"/>
            <w:tcBorders>
              <w:top w:val="dotted" w:sz="4" w:space="0" w:color="auto"/>
              <w:left w:val="dotted" w:sz="4" w:space="0" w:color="auto"/>
              <w:bottom w:val="dotted" w:sz="4" w:space="0" w:color="auto"/>
              <w:right w:val="dotted" w:sz="4" w:space="0" w:color="auto"/>
            </w:tcBorders>
          </w:tcPr>
          <w:p w14:paraId="269B796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083" w:type="dxa"/>
            <w:tcBorders>
              <w:top w:val="dotted" w:sz="4" w:space="0" w:color="auto"/>
              <w:left w:val="dotted" w:sz="4" w:space="0" w:color="auto"/>
              <w:bottom w:val="dotted" w:sz="4" w:space="0" w:color="auto"/>
              <w:right w:val="dotted" w:sz="4" w:space="0" w:color="auto"/>
            </w:tcBorders>
          </w:tcPr>
          <w:p w14:paraId="358D909B"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37" w:type="dxa"/>
            <w:tcBorders>
              <w:top w:val="dotted" w:sz="4" w:space="0" w:color="auto"/>
              <w:left w:val="dotted" w:sz="4" w:space="0" w:color="auto"/>
              <w:bottom w:val="dotted" w:sz="4" w:space="0" w:color="auto"/>
              <w:right w:val="dotted" w:sz="4" w:space="0" w:color="auto"/>
            </w:tcBorders>
          </w:tcPr>
          <w:p w14:paraId="12F14D86"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31FC9940"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4B9551BB"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3A6D431C"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61" w:type="dxa"/>
            <w:tcBorders>
              <w:top w:val="dotted" w:sz="4" w:space="0" w:color="auto"/>
              <w:left w:val="dotted" w:sz="4" w:space="0" w:color="auto"/>
              <w:bottom w:val="dotted" w:sz="4" w:space="0" w:color="auto"/>
              <w:right w:val="dotted" w:sz="4" w:space="0" w:color="auto"/>
            </w:tcBorders>
            <w:vAlign w:val="center"/>
          </w:tcPr>
          <w:p w14:paraId="0CB44A4A"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880" w:type="dxa"/>
            <w:tcBorders>
              <w:top w:val="dotted" w:sz="4" w:space="0" w:color="auto"/>
              <w:left w:val="dotted" w:sz="4" w:space="0" w:color="auto"/>
              <w:bottom w:val="dotted" w:sz="4" w:space="0" w:color="auto"/>
              <w:right w:val="dotted" w:sz="4" w:space="0" w:color="auto"/>
            </w:tcBorders>
          </w:tcPr>
          <w:p w14:paraId="7B92A670"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083" w:type="dxa"/>
            <w:tcBorders>
              <w:top w:val="dotted" w:sz="4" w:space="0" w:color="auto"/>
              <w:left w:val="dotted" w:sz="4" w:space="0" w:color="auto"/>
              <w:bottom w:val="dotted" w:sz="4" w:space="0" w:color="auto"/>
              <w:right w:val="dotted" w:sz="4" w:space="0" w:color="auto"/>
            </w:tcBorders>
          </w:tcPr>
          <w:p w14:paraId="4408014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37" w:type="dxa"/>
            <w:tcBorders>
              <w:top w:val="dotted" w:sz="4" w:space="0" w:color="auto"/>
              <w:left w:val="dotted" w:sz="4" w:space="0" w:color="auto"/>
              <w:bottom w:val="dotted" w:sz="4" w:space="0" w:color="auto"/>
              <w:right w:val="dotted" w:sz="4" w:space="0" w:color="auto"/>
            </w:tcBorders>
          </w:tcPr>
          <w:p w14:paraId="02271FD3"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322DFB29"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428FFD8D"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63" w:type="dxa"/>
            <w:vMerge/>
            <w:tcBorders>
              <w:top w:val="dotted" w:sz="4" w:space="0" w:color="auto"/>
              <w:left w:val="dotted" w:sz="4" w:space="0" w:color="auto"/>
              <w:bottom w:val="dotted" w:sz="4" w:space="0" w:color="auto"/>
              <w:right w:val="dotted" w:sz="4" w:space="0" w:color="auto"/>
            </w:tcBorders>
            <w:vAlign w:val="center"/>
          </w:tcPr>
          <w:p w14:paraId="28FED7C6"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p>
        </w:tc>
        <w:tc>
          <w:tcPr>
            <w:tcW w:w="1061" w:type="dxa"/>
            <w:tcBorders>
              <w:top w:val="dotted" w:sz="4" w:space="0" w:color="auto"/>
              <w:left w:val="dotted" w:sz="4" w:space="0" w:color="auto"/>
              <w:bottom w:val="dotted" w:sz="4" w:space="0" w:color="auto"/>
              <w:right w:val="dotted" w:sz="4" w:space="0" w:color="auto"/>
            </w:tcBorders>
            <w:vAlign w:val="center"/>
          </w:tcPr>
          <w:p w14:paraId="53A8A0B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880" w:type="dxa"/>
            <w:tcBorders>
              <w:top w:val="dotted" w:sz="4" w:space="0" w:color="auto"/>
              <w:left w:val="dotted" w:sz="4" w:space="0" w:color="auto"/>
              <w:bottom w:val="dotted" w:sz="4" w:space="0" w:color="auto"/>
              <w:right w:val="dotted" w:sz="4" w:space="0" w:color="auto"/>
            </w:tcBorders>
          </w:tcPr>
          <w:p w14:paraId="0729975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2083" w:type="dxa"/>
            <w:tcBorders>
              <w:top w:val="dotted" w:sz="4" w:space="0" w:color="auto"/>
              <w:left w:val="dotted" w:sz="4" w:space="0" w:color="auto"/>
              <w:bottom w:val="dotted" w:sz="4" w:space="0" w:color="auto"/>
              <w:right w:val="dotted" w:sz="4" w:space="0" w:color="auto"/>
            </w:tcBorders>
          </w:tcPr>
          <w:p w14:paraId="61A0CEA8"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c>
          <w:tcPr>
            <w:tcW w:w="1837" w:type="dxa"/>
            <w:tcBorders>
              <w:top w:val="dotted" w:sz="4" w:space="0" w:color="auto"/>
              <w:left w:val="dotted" w:sz="4" w:space="0" w:color="auto"/>
              <w:bottom w:val="dotted" w:sz="4" w:space="0" w:color="auto"/>
              <w:right w:val="dotted" w:sz="4" w:space="0" w:color="auto"/>
            </w:tcBorders>
          </w:tcPr>
          <w:p w14:paraId="7124F73E"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6EF96771"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290934A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2224" w:type="dxa"/>
            <w:gridSpan w:val="2"/>
            <w:tcBorders>
              <w:top w:val="dotted" w:sz="4" w:space="0" w:color="auto"/>
              <w:left w:val="dotted" w:sz="4" w:space="0" w:color="auto"/>
              <w:bottom w:val="dotted" w:sz="4" w:space="0" w:color="auto"/>
              <w:right w:val="dotted" w:sz="4" w:space="0" w:color="auto"/>
            </w:tcBorders>
            <w:vAlign w:val="center"/>
          </w:tcPr>
          <w:p w14:paraId="6134CB12" w14:textId="1113E211"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880" w:type="dxa"/>
            <w:tcBorders>
              <w:top w:val="dotted" w:sz="4" w:space="0" w:color="auto"/>
              <w:left w:val="dotted" w:sz="4" w:space="0" w:color="auto"/>
              <w:bottom w:val="dotted" w:sz="4" w:space="0" w:color="auto"/>
              <w:right w:val="dotted" w:sz="4" w:space="0" w:color="auto"/>
            </w:tcBorders>
          </w:tcPr>
          <w:p w14:paraId="415F4F6D"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c>
          <w:tcPr>
            <w:tcW w:w="2083" w:type="dxa"/>
            <w:tcBorders>
              <w:top w:val="dotted" w:sz="4" w:space="0" w:color="auto"/>
              <w:left w:val="dotted" w:sz="4" w:space="0" w:color="auto"/>
              <w:bottom w:val="dotted" w:sz="4" w:space="0" w:color="auto"/>
              <w:right w:val="dotted" w:sz="4" w:space="0" w:color="auto"/>
            </w:tcBorders>
          </w:tcPr>
          <w:p w14:paraId="0076D2EE"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c>
          <w:tcPr>
            <w:tcW w:w="1837" w:type="dxa"/>
            <w:tcBorders>
              <w:top w:val="dotted" w:sz="4" w:space="0" w:color="auto"/>
              <w:left w:val="dotted" w:sz="4" w:space="0" w:color="auto"/>
              <w:bottom w:val="dotted" w:sz="4" w:space="0" w:color="auto"/>
              <w:right w:val="dotted" w:sz="4" w:space="0" w:color="auto"/>
            </w:tcBorders>
          </w:tcPr>
          <w:p w14:paraId="6986AF2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76CE50A2"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71025947"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2224" w:type="dxa"/>
            <w:gridSpan w:val="2"/>
            <w:tcBorders>
              <w:top w:val="dotted" w:sz="4" w:space="0" w:color="auto"/>
              <w:left w:val="dotted" w:sz="4" w:space="0" w:color="auto"/>
              <w:bottom w:val="dotted" w:sz="4" w:space="0" w:color="auto"/>
              <w:right w:val="dotted" w:sz="4" w:space="0" w:color="auto"/>
            </w:tcBorders>
            <w:vAlign w:val="center"/>
          </w:tcPr>
          <w:p w14:paraId="0227E31F" w14:textId="66525AEB"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880" w:type="dxa"/>
            <w:tcBorders>
              <w:top w:val="dotted" w:sz="4" w:space="0" w:color="auto"/>
              <w:left w:val="dotted" w:sz="4" w:space="0" w:color="auto"/>
              <w:bottom w:val="dotted" w:sz="4" w:space="0" w:color="auto"/>
              <w:right w:val="dotted" w:sz="4" w:space="0" w:color="auto"/>
            </w:tcBorders>
          </w:tcPr>
          <w:p w14:paraId="4F40C625"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c>
          <w:tcPr>
            <w:tcW w:w="2083" w:type="dxa"/>
            <w:tcBorders>
              <w:top w:val="dotted" w:sz="4" w:space="0" w:color="auto"/>
              <w:left w:val="dotted" w:sz="4" w:space="0" w:color="auto"/>
              <w:bottom w:val="dotted" w:sz="4" w:space="0" w:color="auto"/>
              <w:right w:val="dotted" w:sz="4" w:space="0" w:color="auto"/>
            </w:tcBorders>
          </w:tcPr>
          <w:p w14:paraId="02FE67E4"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c>
          <w:tcPr>
            <w:tcW w:w="1837" w:type="dxa"/>
            <w:tcBorders>
              <w:top w:val="dotted" w:sz="4" w:space="0" w:color="auto"/>
              <w:left w:val="dotted" w:sz="4" w:space="0" w:color="auto"/>
              <w:bottom w:val="dotted" w:sz="4" w:space="0" w:color="auto"/>
              <w:right w:val="dotted" w:sz="4" w:space="0" w:color="auto"/>
            </w:tcBorders>
          </w:tcPr>
          <w:p w14:paraId="74E45643"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1B243226" w14:textId="77777777" w:rsidTr="00AF4AD1">
        <w:trPr>
          <w:jc w:val="center"/>
        </w:trPr>
        <w:tc>
          <w:tcPr>
            <w:tcW w:w="1336" w:type="dxa"/>
            <w:vMerge w:val="restart"/>
            <w:tcBorders>
              <w:top w:val="dotted" w:sz="4" w:space="0" w:color="auto"/>
              <w:left w:val="dotted" w:sz="4" w:space="0" w:color="auto"/>
              <w:bottom w:val="dotted" w:sz="4" w:space="0" w:color="auto"/>
              <w:right w:val="dotted" w:sz="4" w:space="0" w:color="auto"/>
            </w:tcBorders>
            <w:vAlign w:val="center"/>
          </w:tcPr>
          <w:p w14:paraId="63F85734"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Cefotaxime</w:t>
            </w:r>
          </w:p>
        </w:tc>
        <w:tc>
          <w:tcPr>
            <w:tcW w:w="2224" w:type="dxa"/>
            <w:gridSpan w:val="2"/>
            <w:tcBorders>
              <w:top w:val="dotted" w:sz="4" w:space="0" w:color="auto"/>
              <w:left w:val="dotted" w:sz="4" w:space="0" w:color="auto"/>
              <w:bottom w:val="dotted" w:sz="4" w:space="0" w:color="auto"/>
              <w:right w:val="dotted" w:sz="4" w:space="0" w:color="auto"/>
            </w:tcBorders>
            <w:vAlign w:val="center"/>
          </w:tcPr>
          <w:p w14:paraId="49364593" w14:textId="68B58E92"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880" w:type="dxa"/>
            <w:tcBorders>
              <w:top w:val="dotted" w:sz="4" w:space="0" w:color="auto"/>
              <w:left w:val="dotted" w:sz="4" w:space="0" w:color="auto"/>
              <w:bottom w:val="dotted" w:sz="4" w:space="0" w:color="auto"/>
              <w:right w:val="dotted" w:sz="4" w:space="0" w:color="auto"/>
            </w:tcBorders>
          </w:tcPr>
          <w:p w14:paraId="4217F085"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0.43 ± 0.05</w:t>
            </w:r>
          </w:p>
        </w:tc>
        <w:tc>
          <w:tcPr>
            <w:tcW w:w="2083" w:type="dxa"/>
            <w:tcBorders>
              <w:top w:val="dotted" w:sz="4" w:space="0" w:color="auto"/>
              <w:left w:val="dotted" w:sz="4" w:space="0" w:color="auto"/>
              <w:bottom w:val="dotted" w:sz="4" w:space="0" w:color="auto"/>
              <w:right w:val="dotted" w:sz="4" w:space="0" w:color="auto"/>
            </w:tcBorders>
          </w:tcPr>
          <w:p w14:paraId="2B72E92C"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0.007 ± 0.002</w:t>
            </w:r>
          </w:p>
        </w:tc>
        <w:tc>
          <w:tcPr>
            <w:tcW w:w="1837" w:type="dxa"/>
            <w:tcBorders>
              <w:top w:val="dotted" w:sz="4" w:space="0" w:color="auto"/>
              <w:left w:val="dotted" w:sz="4" w:space="0" w:color="auto"/>
              <w:bottom w:val="dotted" w:sz="4" w:space="0" w:color="auto"/>
              <w:right w:val="dotted" w:sz="4" w:space="0" w:color="auto"/>
            </w:tcBorders>
          </w:tcPr>
          <w:p w14:paraId="72680211"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4.34 ± 0.15</w:t>
            </w:r>
          </w:p>
        </w:tc>
      </w:tr>
      <w:tr w:rsidR="00E049CB" w:rsidRPr="005E6B7C" w14:paraId="20755100" w14:textId="77777777" w:rsidTr="00AF4AD1">
        <w:trPr>
          <w:jc w:val="center"/>
        </w:trPr>
        <w:tc>
          <w:tcPr>
            <w:tcW w:w="1336" w:type="dxa"/>
            <w:vMerge/>
            <w:tcBorders>
              <w:top w:val="dotted" w:sz="4" w:space="0" w:color="auto"/>
              <w:left w:val="dotted" w:sz="4" w:space="0" w:color="auto"/>
              <w:bottom w:val="dotted" w:sz="4" w:space="0" w:color="auto"/>
              <w:right w:val="dotted" w:sz="4" w:space="0" w:color="auto"/>
            </w:tcBorders>
            <w:vAlign w:val="center"/>
          </w:tcPr>
          <w:p w14:paraId="56A4ABE7"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2224" w:type="dxa"/>
            <w:gridSpan w:val="2"/>
            <w:tcBorders>
              <w:top w:val="dotted" w:sz="4" w:space="0" w:color="auto"/>
              <w:left w:val="dotted" w:sz="4" w:space="0" w:color="auto"/>
              <w:bottom w:val="dotted" w:sz="4" w:space="0" w:color="auto"/>
              <w:right w:val="dotted" w:sz="4" w:space="0" w:color="auto"/>
            </w:tcBorders>
            <w:vAlign w:val="center"/>
          </w:tcPr>
          <w:p w14:paraId="06639D6E" w14:textId="525A32E6"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880" w:type="dxa"/>
            <w:tcBorders>
              <w:top w:val="dotted" w:sz="4" w:space="0" w:color="auto"/>
              <w:left w:val="dotted" w:sz="4" w:space="0" w:color="auto"/>
              <w:bottom w:val="dotted" w:sz="4" w:space="0" w:color="auto"/>
              <w:right w:val="dotted" w:sz="4" w:space="0" w:color="auto"/>
            </w:tcBorders>
          </w:tcPr>
          <w:p w14:paraId="369B36A4"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 ± 0.00</w:t>
            </w:r>
          </w:p>
        </w:tc>
        <w:tc>
          <w:tcPr>
            <w:tcW w:w="2083" w:type="dxa"/>
            <w:tcBorders>
              <w:top w:val="dotted" w:sz="4" w:space="0" w:color="auto"/>
              <w:left w:val="dotted" w:sz="4" w:space="0" w:color="auto"/>
              <w:bottom w:val="dotted" w:sz="4" w:space="0" w:color="auto"/>
              <w:right w:val="dotted" w:sz="4" w:space="0" w:color="auto"/>
            </w:tcBorders>
          </w:tcPr>
          <w:p w14:paraId="7B8BF576"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0.500 ± 0.000</w:t>
            </w:r>
          </w:p>
        </w:tc>
        <w:tc>
          <w:tcPr>
            <w:tcW w:w="1837" w:type="dxa"/>
            <w:tcBorders>
              <w:top w:val="dotted" w:sz="4" w:space="0" w:color="auto"/>
              <w:left w:val="dotted" w:sz="4" w:space="0" w:color="auto"/>
              <w:bottom w:val="dotted" w:sz="4" w:space="0" w:color="auto"/>
              <w:right w:val="dotted" w:sz="4" w:space="0" w:color="auto"/>
            </w:tcBorders>
          </w:tcPr>
          <w:p w14:paraId="43549F6F" w14:textId="77777777" w:rsidR="00E049CB" w:rsidRPr="005E6B7C" w:rsidRDefault="00E049CB" w:rsidP="008C0D47">
            <w:pPr>
              <w:tabs>
                <w:tab w:val="left" w:pos="270"/>
                <w:tab w:val="left" w:pos="540"/>
                <w:tab w:val="left" w:pos="9270"/>
              </w:tabs>
              <w:spacing w:line="16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 ± 0.00</w:t>
            </w:r>
          </w:p>
        </w:tc>
      </w:tr>
    </w:tbl>
    <w:p w14:paraId="4FB12126" w14:textId="77777777" w:rsidR="00AF4AD1" w:rsidRPr="005E6B7C" w:rsidRDefault="00AF4AD1" w:rsidP="008C0D47">
      <w:pPr>
        <w:tabs>
          <w:tab w:val="left" w:pos="270"/>
          <w:tab w:val="left" w:pos="540"/>
          <w:tab w:val="left" w:pos="9270"/>
        </w:tabs>
        <w:ind w:right="-20"/>
        <w:contextualSpacing/>
        <w:jc w:val="center"/>
        <w:rPr>
          <w:rFonts w:asciiTheme="majorHAnsi" w:eastAsia="Yu Mincho" w:hAnsiTheme="majorHAnsi" w:cstheme="majorHAnsi"/>
          <w:b/>
          <w:bCs/>
          <w:iCs/>
          <w:color w:val="000000" w:themeColor="text1"/>
          <w:sz w:val="18"/>
          <w:szCs w:val="18"/>
          <w:lang w:eastAsia="ja-JP"/>
        </w:rPr>
      </w:pPr>
    </w:p>
    <w:p w14:paraId="595198D4" w14:textId="77777777" w:rsidR="00E049CB" w:rsidRPr="005E6B7C" w:rsidRDefault="00E049CB" w:rsidP="008C0D47">
      <w:pPr>
        <w:tabs>
          <w:tab w:val="left" w:pos="270"/>
          <w:tab w:val="left" w:pos="540"/>
          <w:tab w:val="left" w:pos="9270"/>
        </w:tabs>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Table 4. </w:t>
      </w:r>
      <w:r w:rsidRPr="005E6B7C">
        <w:rPr>
          <w:rFonts w:asciiTheme="majorHAnsi" w:eastAsia="Yu Mincho" w:hAnsiTheme="majorHAnsi" w:cstheme="majorHAnsi"/>
          <w:iCs/>
          <w:color w:val="000000" w:themeColor="text1"/>
          <w:sz w:val="18"/>
          <w:szCs w:val="18"/>
          <w:lang w:val="vi-VN" w:eastAsia="ja-JP"/>
        </w:rPr>
        <w:t xml:space="preserve">Antimicrobial activity of the essential oil of </w:t>
      </w:r>
      <w:r w:rsidRPr="005E6B7C">
        <w:rPr>
          <w:rFonts w:asciiTheme="majorHAnsi" w:eastAsia="Yu Mincho" w:hAnsiTheme="majorHAnsi" w:cstheme="majorHAnsi"/>
          <w:i/>
          <w:color w:val="000000" w:themeColor="text1"/>
          <w:sz w:val="18"/>
          <w:szCs w:val="18"/>
          <w:lang w:val="vi-VN" w:eastAsia="ja-JP"/>
        </w:rPr>
        <w:t>K. globularia</w:t>
      </w:r>
      <w:r w:rsidRPr="005E6B7C">
        <w:rPr>
          <w:rFonts w:asciiTheme="majorHAnsi" w:eastAsia="Yu Mincho" w:hAnsiTheme="majorHAnsi" w:cstheme="majorHAnsi"/>
          <w:iCs/>
          <w:color w:val="000000" w:themeColor="text1"/>
          <w:sz w:val="18"/>
          <w:szCs w:val="18"/>
          <w:lang w:val="vi-VN" w:eastAsia="ja-JP"/>
        </w:rPr>
        <w:t xml:space="preserve"> leaves (EO) against yeast</w:t>
      </w:r>
    </w:p>
    <w:p w14:paraId="2A60D7AE" w14:textId="77777777" w:rsidR="00AF4AD1" w:rsidRPr="005E6B7C" w:rsidRDefault="00AF4AD1" w:rsidP="008C0D47">
      <w:pPr>
        <w:tabs>
          <w:tab w:val="left" w:pos="270"/>
          <w:tab w:val="left" w:pos="540"/>
          <w:tab w:val="left" w:pos="9270"/>
        </w:tabs>
        <w:ind w:right="-20"/>
        <w:contextualSpacing/>
        <w:jc w:val="center"/>
        <w:rPr>
          <w:rFonts w:asciiTheme="majorHAnsi" w:eastAsia="Yu Mincho" w:hAnsiTheme="majorHAnsi" w:cstheme="majorHAnsi"/>
          <w:iCs/>
          <w:color w:val="000000" w:themeColor="text1"/>
          <w:sz w:val="18"/>
          <w:szCs w:val="18"/>
          <w:lang w:eastAsia="ja-JP"/>
        </w:rPr>
      </w:pPr>
    </w:p>
    <w:tbl>
      <w:tblPr>
        <w:tblStyle w:val="TableGrid10"/>
        <w:tblW w:w="9072" w:type="dxa"/>
        <w:jc w:val="center"/>
        <w:tblLook w:val="04A0" w:firstRow="1" w:lastRow="0" w:firstColumn="1" w:lastColumn="0" w:noHBand="0" w:noVBand="1"/>
      </w:tblPr>
      <w:tblGrid>
        <w:gridCol w:w="1312"/>
        <w:gridCol w:w="1151"/>
        <w:gridCol w:w="1366"/>
        <w:gridCol w:w="5243"/>
      </w:tblGrid>
      <w:tr w:rsidR="00E049CB" w:rsidRPr="005E6B7C" w14:paraId="770D7197" w14:textId="77777777" w:rsidTr="0074352D">
        <w:trPr>
          <w:jc w:val="center"/>
        </w:trPr>
        <w:tc>
          <w:tcPr>
            <w:tcW w:w="1312" w:type="dxa"/>
            <w:tcBorders>
              <w:top w:val="dotted" w:sz="4" w:space="0" w:color="auto"/>
              <w:left w:val="dotted" w:sz="4" w:space="0" w:color="auto"/>
              <w:bottom w:val="dotted" w:sz="4" w:space="0" w:color="auto"/>
              <w:right w:val="dotted" w:sz="4" w:space="0" w:color="auto"/>
            </w:tcBorders>
            <w:vAlign w:val="center"/>
          </w:tcPr>
          <w:p w14:paraId="603EFFCE"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Sample</w:t>
            </w:r>
          </w:p>
        </w:tc>
        <w:tc>
          <w:tcPr>
            <w:tcW w:w="1151" w:type="dxa"/>
            <w:tcBorders>
              <w:top w:val="dotted" w:sz="4" w:space="0" w:color="auto"/>
              <w:left w:val="dotted" w:sz="4" w:space="0" w:color="auto"/>
              <w:bottom w:val="dotted" w:sz="4" w:space="0" w:color="auto"/>
              <w:right w:val="dotted" w:sz="4" w:space="0" w:color="auto"/>
            </w:tcBorders>
            <w:vAlign w:val="center"/>
          </w:tcPr>
          <w:p w14:paraId="6BE87A9E"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b/>
                <w:bCs/>
                <w:iCs/>
                <w:color w:val="000000" w:themeColor="text1"/>
                <w:sz w:val="18"/>
                <w:szCs w:val="18"/>
                <w:lang w:eastAsia="ja-JP"/>
              </w:rPr>
            </w:pPr>
          </w:p>
        </w:tc>
        <w:tc>
          <w:tcPr>
            <w:tcW w:w="1366" w:type="dxa"/>
            <w:tcBorders>
              <w:top w:val="dotted" w:sz="4" w:space="0" w:color="auto"/>
              <w:left w:val="dotted" w:sz="4" w:space="0" w:color="auto"/>
              <w:bottom w:val="dotted" w:sz="4" w:space="0" w:color="auto"/>
              <w:right w:val="dotted" w:sz="4" w:space="0" w:color="auto"/>
            </w:tcBorders>
            <w:vAlign w:val="center"/>
          </w:tcPr>
          <w:p w14:paraId="50B4F81B" w14:textId="0E2D6D74"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Conc. (</w:t>
            </w:r>
            <w:r w:rsidR="00266B26" w:rsidRPr="005E6B7C">
              <w:rPr>
                <w:rFonts w:asciiTheme="majorHAnsi" w:eastAsia="Yu Mincho" w:hAnsiTheme="majorHAnsi" w:cstheme="majorHAnsi"/>
                <w:b/>
                <w:bCs/>
                <w:i/>
                <w:iCs/>
                <w:color w:val="000000" w:themeColor="text1"/>
                <w:sz w:val="18"/>
                <w:szCs w:val="18"/>
                <w:lang w:val="vi-VN" w:eastAsia="ja-JP"/>
              </w:rPr>
              <w:t>µ</w:t>
            </w:r>
            <w:r w:rsidRPr="005E6B7C">
              <w:rPr>
                <w:rFonts w:asciiTheme="majorHAnsi" w:eastAsia="Yu Mincho" w:hAnsiTheme="majorHAnsi" w:cstheme="majorHAnsi"/>
                <w:b/>
                <w:bCs/>
                <w:iCs/>
                <w:color w:val="000000" w:themeColor="text1"/>
                <w:sz w:val="18"/>
                <w:szCs w:val="18"/>
                <w:lang w:val="vi-VN" w:eastAsia="ja-JP"/>
              </w:rPr>
              <w:t>g/mL)</w:t>
            </w:r>
          </w:p>
        </w:tc>
        <w:tc>
          <w:tcPr>
            <w:tcW w:w="5243" w:type="dxa"/>
            <w:tcBorders>
              <w:top w:val="dotted" w:sz="4" w:space="0" w:color="auto"/>
              <w:left w:val="dotted" w:sz="4" w:space="0" w:color="auto"/>
              <w:bottom w:val="dotted" w:sz="4" w:space="0" w:color="auto"/>
              <w:right w:val="dotted" w:sz="4" w:space="0" w:color="auto"/>
            </w:tcBorders>
            <w:vAlign w:val="center"/>
          </w:tcPr>
          <w:p w14:paraId="499F15A0" w14:textId="7135230D"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val="vi-VN" w:eastAsia="ja-JP"/>
              </w:rPr>
              <w:t>Candida albican</w:t>
            </w:r>
            <w:r w:rsidR="00FC2DB5" w:rsidRPr="005E6B7C">
              <w:rPr>
                <w:rFonts w:asciiTheme="majorHAnsi" w:eastAsia="Yu Mincho" w:hAnsiTheme="majorHAnsi" w:cstheme="majorHAnsi"/>
                <w:b/>
                <w:bCs/>
                <w:i/>
                <w:color w:val="000000" w:themeColor="text1"/>
                <w:sz w:val="18"/>
                <w:szCs w:val="18"/>
                <w:lang w:val="vi-VN" w:eastAsia="ja-JP"/>
              </w:rPr>
              <w:t>s</w:t>
            </w:r>
          </w:p>
        </w:tc>
      </w:tr>
      <w:tr w:rsidR="00E049CB" w:rsidRPr="005E6B7C" w14:paraId="76EB2F15" w14:textId="77777777" w:rsidTr="0074352D">
        <w:trPr>
          <w:jc w:val="center"/>
        </w:trPr>
        <w:tc>
          <w:tcPr>
            <w:tcW w:w="1312" w:type="dxa"/>
            <w:vMerge w:val="restart"/>
            <w:tcBorders>
              <w:top w:val="dotted" w:sz="4" w:space="0" w:color="auto"/>
              <w:left w:val="dotted" w:sz="4" w:space="0" w:color="auto"/>
              <w:bottom w:val="dotted" w:sz="4" w:space="0" w:color="auto"/>
              <w:right w:val="dotted" w:sz="4" w:space="0" w:color="auto"/>
            </w:tcBorders>
            <w:vAlign w:val="center"/>
          </w:tcPr>
          <w:p w14:paraId="59CB9F39"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EO</w:t>
            </w:r>
          </w:p>
        </w:tc>
        <w:tc>
          <w:tcPr>
            <w:tcW w:w="1151" w:type="dxa"/>
            <w:vMerge w:val="restart"/>
            <w:tcBorders>
              <w:top w:val="dotted" w:sz="4" w:space="0" w:color="auto"/>
              <w:left w:val="dotted" w:sz="4" w:space="0" w:color="auto"/>
              <w:bottom w:val="dotted" w:sz="4" w:space="0" w:color="auto"/>
              <w:right w:val="dotted" w:sz="4" w:space="0" w:color="auto"/>
            </w:tcBorders>
            <w:vAlign w:val="center"/>
          </w:tcPr>
          <w:p w14:paraId="73A820CD"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Inhibition (%)</w:t>
            </w:r>
          </w:p>
        </w:tc>
        <w:tc>
          <w:tcPr>
            <w:tcW w:w="1366" w:type="dxa"/>
            <w:tcBorders>
              <w:top w:val="dotted" w:sz="4" w:space="0" w:color="auto"/>
              <w:left w:val="dotted" w:sz="4" w:space="0" w:color="auto"/>
              <w:bottom w:val="dotted" w:sz="4" w:space="0" w:color="auto"/>
              <w:right w:val="dotted" w:sz="4" w:space="0" w:color="auto"/>
            </w:tcBorders>
            <w:vAlign w:val="center"/>
          </w:tcPr>
          <w:p w14:paraId="13FF432C"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256</w:t>
            </w:r>
          </w:p>
        </w:tc>
        <w:tc>
          <w:tcPr>
            <w:tcW w:w="5243" w:type="dxa"/>
            <w:tcBorders>
              <w:top w:val="dotted" w:sz="4" w:space="0" w:color="auto"/>
              <w:left w:val="dotted" w:sz="4" w:space="0" w:color="auto"/>
              <w:bottom w:val="dotted" w:sz="4" w:space="0" w:color="auto"/>
              <w:right w:val="dotted" w:sz="4" w:space="0" w:color="auto"/>
            </w:tcBorders>
          </w:tcPr>
          <w:p w14:paraId="42C0BBA3"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w:t>
            </w:r>
          </w:p>
        </w:tc>
      </w:tr>
      <w:tr w:rsidR="00E049CB" w:rsidRPr="005E6B7C" w14:paraId="327949F2"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377A34C9"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151" w:type="dxa"/>
            <w:vMerge/>
            <w:tcBorders>
              <w:top w:val="dotted" w:sz="4" w:space="0" w:color="auto"/>
              <w:left w:val="dotted" w:sz="4" w:space="0" w:color="auto"/>
              <w:bottom w:val="dotted" w:sz="4" w:space="0" w:color="auto"/>
              <w:right w:val="dotted" w:sz="4" w:space="0" w:color="auto"/>
            </w:tcBorders>
            <w:vAlign w:val="center"/>
          </w:tcPr>
          <w:p w14:paraId="6647DC1B"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366" w:type="dxa"/>
            <w:tcBorders>
              <w:top w:val="dotted" w:sz="4" w:space="0" w:color="auto"/>
              <w:left w:val="dotted" w:sz="4" w:space="0" w:color="auto"/>
              <w:bottom w:val="dotted" w:sz="4" w:space="0" w:color="auto"/>
              <w:right w:val="dotted" w:sz="4" w:space="0" w:color="auto"/>
            </w:tcBorders>
            <w:vAlign w:val="center"/>
          </w:tcPr>
          <w:p w14:paraId="6DD3F6E2"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w:t>
            </w:r>
          </w:p>
        </w:tc>
        <w:tc>
          <w:tcPr>
            <w:tcW w:w="5243" w:type="dxa"/>
            <w:tcBorders>
              <w:top w:val="dotted" w:sz="4" w:space="0" w:color="auto"/>
              <w:left w:val="dotted" w:sz="4" w:space="0" w:color="auto"/>
              <w:bottom w:val="dotted" w:sz="4" w:space="0" w:color="auto"/>
              <w:right w:val="dotted" w:sz="4" w:space="0" w:color="auto"/>
            </w:tcBorders>
          </w:tcPr>
          <w:p w14:paraId="77B33EB3"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r>
      <w:tr w:rsidR="00E049CB" w:rsidRPr="005E6B7C" w14:paraId="08053EDE"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7216988F"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151" w:type="dxa"/>
            <w:vMerge/>
            <w:tcBorders>
              <w:top w:val="dotted" w:sz="4" w:space="0" w:color="auto"/>
              <w:left w:val="dotted" w:sz="4" w:space="0" w:color="auto"/>
              <w:bottom w:val="dotted" w:sz="4" w:space="0" w:color="auto"/>
              <w:right w:val="dotted" w:sz="4" w:space="0" w:color="auto"/>
            </w:tcBorders>
            <w:vAlign w:val="center"/>
          </w:tcPr>
          <w:p w14:paraId="67E7A95F"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366" w:type="dxa"/>
            <w:tcBorders>
              <w:top w:val="dotted" w:sz="4" w:space="0" w:color="auto"/>
              <w:left w:val="dotted" w:sz="4" w:space="0" w:color="auto"/>
              <w:bottom w:val="dotted" w:sz="4" w:space="0" w:color="auto"/>
              <w:right w:val="dotted" w:sz="4" w:space="0" w:color="auto"/>
            </w:tcBorders>
            <w:vAlign w:val="center"/>
          </w:tcPr>
          <w:p w14:paraId="3D59926E"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5243" w:type="dxa"/>
            <w:tcBorders>
              <w:top w:val="dotted" w:sz="4" w:space="0" w:color="auto"/>
              <w:left w:val="dotted" w:sz="4" w:space="0" w:color="auto"/>
              <w:bottom w:val="dotted" w:sz="4" w:space="0" w:color="auto"/>
              <w:right w:val="dotted" w:sz="4" w:space="0" w:color="auto"/>
            </w:tcBorders>
          </w:tcPr>
          <w:p w14:paraId="30535589"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65341E1A"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4C4972CF"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151" w:type="dxa"/>
            <w:vMerge/>
            <w:tcBorders>
              <w:top w:val="dotted" w:sz="4" w:space="0" w:color="auto"/>
              <w:left w:val="dotted" w:sz="4" w:space="0" w:color="auto"/>
              <w:bottom w:val="dotted" w:sz="4" w:space="0" w:color="auto"/>
              <w:right w:val="dotted" w:sz="4" w:space="0" w:color="auto"/>
            </w:tcBorders>
            <w:vAlign w:val="center"/>
          </w:tcPr>
          <w:p w14:paraId="38C656D3"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366" w:type="dxa"/>
            <w:tcBorders>
              <w:top w:val="dotted" w:sz="4" w:space="0" w:color="auto"/>
              <w:left w:val="dotted" w:sz="4" w:space="0" w:color="auto"/>
              <w:bottom w:val="dotted" w:sz="4" w:space="0" w:color="auto"/>
              <w:right w:val="dotted" w:sz="4" w:space="0" w:color="auto"/>
            </w:tcBorders>
            <w:vAlign w:val="center"/>
          </w:tcPr>
          <w:p w14:paraId="2BFDBE83"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5243" w:type="dxa"/>
            <w:tcBorders>
              <w:top w:val="dotted" w:sz="4" w:space="0" w:color="auto"/>
              <w:left w:val="dotted" w:sz="4" w:space="0" w:color="auto"/>
              <w:bottom w:val="dotted" w:sz="4" w:space="0" w:color="auto"/>
              <w:right w:val="dotted" w:sz="4" w:space="0" w:color="auto"/>
            </w:tcBorders>
          </w:tcPr>
          <w:p w14:paraId="4082639C"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0D9E4E84"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1B73C1C2"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151" w:type="dxa"/>
            <w:vMerge/>
            <w:tcBorders>
              <w:top w:val="dotted" w:sz="4" w:space="0" w:color="auto"/>
              <w:left w:val="dotted" w:sz="4" w:space="0" w:color="auto"/>
              <w:bottom w:val="dotted" w:sz="4" w:space="0" w:color="auto"/>
              <w:right w:val="dotted" w:sz="4" w:space="0" w:color="auto"/>
            </w:tcBorders>
            <w:vAlign w:val="center"/>
          </w:tcPr>
          <w:p w14:paraId="42DD020C"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p>
        </w:tc>
        <w:tc>
          <w:tcPr>
            <w:tcW w:w="1366" w:type="dxa"/>
            <w:tcBorders>
              <w:top w:val="dotted" w:sz="4" w:space="0" w:color="auto"/>
              <w:left w:val="dotted" w:sz="4" w:space="0" w:color="auto"/>
              <w:bottom w:val="dotted" w:sz="4" w:space="0" w:color="auto"/>
              <w:right w:val="dotted" w:sz="4" w:space="0" w:color="auto"/>
            </w:tcBorders>
            <w:vAlign w:val="center"/>
          </w:tcPr>
          <w:p w14:paraId="33A466A5"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5243" w:type="dxa"/>
            <w:tcBorders>
              <w:top w:val="dotted" w:sz="4" w:space="0" w:color="auto"/>
              <w:left w:val="dotted" w:sz="4" w:space="0" w:color="auto"/>
              <w:bottom w:val="dotted" w:sz="4" w:space="0" w:color="auto"/>
              <w:right w:val="dotted" w:sz="4" w:space="0" w:color="auto"/>
            </w:tcBorders>
          </w:tcPr>
          <w:p w14:paraId="45028B14"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w:t>
            </w:r>
          </w:p>
        </w:tc>
      </w:tr>
      <w:tr w:rsidR="00E049CB" w:rsidRPr="005E6B7C" w14:paraId="3C816A83"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0D36E60A"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color w:val="000000" w:themeColor="text1"/>
                <w:sz w:val="18"/>
                <w:szCs w:val="18"/>
                <w:lang w:eastAsia="ja-JP"/>
              </w:rPr>
            </w:pPr>
          </w:p>
        </w:tc>
        <w:tc>
          <w:tcPr>
            <w:tcW w:w="2517" w:type="dxa"/>
            <w:gridSpan w:val="2"/>
            <w:tcBorders>
              <w:top w:val="dotted" w:sz="4" w:space="0" w:color="auto"/>
              <w:left w:val="dotted" w:sz="4" w:space="0" w:color="auto"/>
              <w:bottom w:val="dotted" w:sz="4" w:space="0" w:color="auto"/>
              <w:right w:val="dotted" w:sz="4" w:space="0" w:color="auto"/>
            </w:tcBorders>
            <w:vAlign w:val="center"/>
          </w:tcPr>
          <w:p w14:paraId="0E23B712" w14:textId="6C701CC1"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5243" w:type="dxa"/>
            <w:tcBorders>
              <w:top w:val="dotted" w:sz="4" w:space="0" w:color="auto"/>
              <w:left w:val="dotted" w:sz="4" w:space="0" w:color="auto"/>
              <w:bottom w:val="dotted" w:sz="4" w:space="0" w:color="auto"/>
              <w:right w:val="dotted" w:sz="4" w:space="0" w:color="auto"/>
            </w:tcBorders>
          </w:tcPr>
          <w:p w14:paraId="0B32F22D"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50E70F48"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4BDFE5FA"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color w:val="000000" w:themeColor="text1"/>
                <w:sz w:val="18"/>
                <w:szCs w:val="18"/>
                <w:lang w:eastAsia="ja-JP"/>
              </w:rPr>
            </w:pPr>
          </w:p>
        </w:tc>
        <w:tc>
          <w:tcPr>
            <w:tcW w:w="2517" w:type="dxa"/>
            <w:gridSpan w:val="2"/>
            <w:tcBorders>
              <w:top w:val="dotted" w:sz="4" w:space="0" w:color="auto"/>
              <w:left w:val="dotted" w:sz="4" w:space="0" w:color="auto"/>
              <w:bottom w:val="dotted" w:sz="4" w:space="0" w:color="auto"/>
              <w:right w:val="dotted" w:sz="4" w:space="0" w:color="auto"/>
            </w:tcBorders>
            <w:vAlign w:val="center"/>
          </w:tcPr>
          <w:p w14:paraId="67867F1C" w14:textId="7DE2BA9E"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5243" w:type="dxa"/>
            <w:tcBorders>
              <w:top w:val="dotted" w:sz="4" w:space="0" w:color="auto"/>
              <w:left w:val="dotted" w:sz="4" w:space="0" w:color="auto"/>
              <w:bottom w:val="dotted" w:sz="4" w:space="0" w:color="auto"/>
              <w:right w:val="dotted" w:sz="4" w:space="0" w:color="auto"/>
            </w:tcBorders>
          </w:tcPr>
          <w:p w14:paraId="2DC74677"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&gt;256</w:t>
            </w:r>
          </w:p>
        </w:tc>
      </w:tr>
      <w:tr w:rsidR="00E049CB" w:rsidRPr="005E6B7C" w14:paraId="415A7C80" w14:textId="77777777" w:rsidTr="0074352D">
        <w:trPr>
          <w:jc w:val="center"/>
        </w:trPr>
        <w:tc>
          <w:tcPr>
            <w:tcW w:w="1312" w:type="dxa"/>
            <w:vMerge w:val="restart"/>
            <w:tcBorders>
              <w:top w:val="dotted" w:sz="4" w:space="0" w:color="auto"/>
              <w:left w:val="dotted" w:sz="4" w:space="0" w:color="auto"/>
              <w:bottom w:val="dotted" w:sz="4" w:space="0" w:color="auto"/>
              <w:right w:val="dotted" w:sz="4" w:space="0" w:color="auto"/>
            </w:tcBorders>
            <w:vAlign w:val="center"/>
          </w:tcPr>
          <w:p w14:paraId="4B422502"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Nystatin</w:t>
            </w:r>
          </w:p>
        </w:tc>
        <w:tc>
          <w:tcPr>
            <w:tcW w:w="2517" w:type="dxa"/>
            <w:gridSpan w:val="2"/>
            <w:tcBorders>
              <w:top w:val="dotted" w:sz="4" w:space="0" w:color="auto"/>
              <w:left w:val="dotted" w:sz="4" w:space="0" w:color="auto"/>
              <w:bottom w:val="dotted" w:sz="4" w:space="0" w:color="auto"/>
              <w:right w:val="dotted" w:sz="4" w:space="0" w:color="auto"/>
            </w:tcBorders>
            <w:vAlign w:val="center"/>
          </w:tcPr>
          <w:p w14:paraId="43928E20" w14:textId="6B71D222"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5243" w:type="dxa"/>
            <w:tcBorders>
              <w:top w:val="dotted" w:sz="4" w:space="0" w:color="auto"/>
              <w:left w:val="dotted" w:sz="4" w:space="0" w:color="auto"/>
              <w:bottom w:val="dotted" w:sz="4" w:space="0" w:color="auto"/>
              <w:right w:val="dotted" w:sz="4" w:space="0" w:color="auto"/>
            </w:tcBorders>
          </w:tcPr>
          <w:p w14:paraId="686337A4"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1.32 ± 0.05</w:t>
            </w:r>
          </w:p>
        </w:tc>
      </w:tr>
      <w:tr w:rsidR="00E049CB" w:rsidRPr="005E6B7C" w14:paraId="166811F2" w14:textId="77777777" w:rsidTr="0074352D">
        <w:trPr>
          <w:jc w:val="center"/>
        </w:trPr>
        <w:tc>
          <w:tcPr>
            <w:tcW w:w="1312" w:type="dxa"/>
            <w:vMerge/>
            <w:tcBorders>
              <w:top w:val="dotted" w:sz="4" w:space="0" w:color="auto"/>
              <w:left w:val="dotted" w:sz="4" w:space="0" w:color="auto"/>
              <w:bottom w:val="dotted" w:sz="4" w:space="0" w:color="auto"/>
              <w:right w:val="dotted" w:sz="4" w:space="0" w:color="auto"/>
            </w:tcBorders>
            <w:vAlign w:val="center"/>
          </w:tcPr>
          <w:p w14:paraId="4766FFE2"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color w:val="000000" w:themeColor="text1"/>
                <w:sz w:val="18"/>
                <w:szCs w:val="18"/>
                <w:lang w:eastAsia="ja-JP"/>
              </w:rPr>
            </w:pPr>
          </w:p>
        </w:tc>
        <w:tc>
          <w:tcPr>
            <w:tcW w:w="2517" w:type="dxa"/>
            <w:gridSpan w:val="2"/>
            <w:tcBorders>
              <w:top w:val="dotted" w:sz="4" w:space="0" w:color="auto"/>
              <w:left w:val="dotted" w:sz="4" w:space="0" w:color="auto"/>
              <w:bottom w:val="dotted" w:sz="4" w:space="0" w:color="auto"/>
              <w:right w:val="dotted" w:sz="4" w:space="0" w:color="auto"/>
            </w:tcBorders>
            <w:vAlign w:val="center"/>
          </w:tcPr>
          <w:p w14:paraId="55736295" w14:textId="301D50D2"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MIC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5243" w:type="dxa"/>
            <w:tcBorders>
              <w:top w:val="dotted" w:sz="4" w:space="0" w:color="auto"/>
              <w:left w:val="dotted" w:sz="4" w:space="0" w:color="auto"/>
              <w:bottom w:val="dotted" w:sz="4" w:space="0" w:color="auto"/>
              <w:right w:val="dotted" w:sz="4" w:space="0" w:color="auto"/>
            </w:tcBorders>
          </w:tcPr>
          <w:p w14:paraId="4699D408" w14:textId="77777777" w:rsidR="00E049CB" w:rsidRPr="005E6B7C" w:rsidRDefault="00E049CB" w:rsidP="008C0D47">
            <w:pPr>
              <w:tabs>
                <w:tab w:val="left" w:pos="270"/>
                <w:tab w:val="left" w:pos="540"/>
                <w:tab w:val="left" w:pos="9270"/>
              </w:tabs>
              <w:spacing w:line="16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8 ± 0.0</w:t>
            </w:r>
          </w:p>
        </w:tc>
      </w:tr>
    </w:tbl>
    <w:p w14:paraId="31853EFE" w14:textId="77777777" w:rsidR="00F5234A" w:rsidRPr="005E6B7C" w:rsidRDefault="00F5234A" w:rsidP="008C0D47">
      <w:pPr>
        <w:tabs>
          <w:tab w:val="left" w:pos="270"/>
          <w:tab w:val="left" w:pos="540"/>
          <w:tab w:val="left" w:pos="9270"/>
        </w:tabs>
        <w:ind w:right="-20"/>
        <w:contextualSpacing/>
        <w:jc w:val="both"/>
        <w:rPr>
          <w:rFonts w:asciiTheme="majorHAnsi" w:eastAsia="Yu Mincho" w:hAnsiTheme="majorHAnsi" w:cstheme="majorHAnsi"/>
          <w:iCs/>
          <w:color w:val="000000" w:themeColor="text1"/>
          <w:sz w:val="22"/>
          <w:szCs w:val="22"/>
          <w:lang w:eastAsia="ja-JP"/>
        </w:rPr>
      </w:pPr>
    </w:p>
    <w:p w14:paraId="5FCE5416"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sectPr w:rsidR="0074352D" w:rsidRPr="005E6B7C" w:rsidSect="002206BB">
          <w:type w:val="continuous"/>
          <w:pgSz w:w="10773" w:h="15309" w:code="9"/>
          <w:pgMar w:top="907" w:right="851" w:bottom="1418" w:left="851" w:header="397" w:footer="851" w:gutter="0"/>
          <w:cols w:space="284"/>
          <w:docGrid w:linePitch="360"/>
        </w:sectPr>
      </w:pPr>
    </w:p>
    <w:p w14:paraId="097CCA94" w14:textId="782E9023"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2"/>
          <w:sz w:val="22"/>
          <w:szCs w:val="22"/>
          <w:lang w:val="vi-VN" w:eastAsia="ja-JP"/>
        </w:rPr>
      </w:pPr>
      <w:r w:rsidRPr="005E6B7C">
        <w:rPr>
          <w:rFonts w:asciiTheme="majorHAnsi" w:eastAsia="Yu Mincho" w:hAnsiTheme="majorHAnsi" w:cstheme="majorHAnsi"/>
          <w:iCs/>
          <w:color w:val="000000" w:themeColor="text1"/>
          <w:sz w:val="22"/>
          <w:szCs w:val="22"/>
          <w:lang w:val="vi-VN" w:eastAsia="ja-JP"/>
        </w:rPr>
        <w:t xml:space="preserve">The results indicate that the essential oil exhibited inhibitory activity only against certain Gram-positive bacteria, while no detectable activity was observed against Gram-negative bacteria or yeast at the tested concentrations. As shown in the tables, the Thanh Hoa leaf essential </w:t>
      </w:r>
      <w:r w:rsidRPr="005E6B7C">
        <w:rPr>
          <w:rFonts w:asciiTheme="majorHAnsi" w:eastAsia="Yu Mincho" w:hAnsiTheme="majorHAnsi" w:cstheme="majorHAnsi"/>
          <w:iCs/>
          <w:color w:val="000000" w:themeColor="text1"/>
          <w:spacing w:val="-2"/>
          <w:sz w:val="22"/>
          <w:szCs w:val="22"/>
          <w:lang w:val="vi-VN" w:eastAsia="ja-JP"/>
        </w:rPr>
        <w:t>oil exhibited moderate and selective antimicrobial activity. It inhibited Gram-positive bacteria, with IC</w:t>
      </w:r>
      <w:r w:rsidRPr="005E6B7C">
        <w:rPr>
          <w:rFonts w:asciiTheme="majorHAnsi" w:eastAsia="Yu Mincho" w:hAnsiTheme="majorHAnsi" w:cstheme="majorHAnsi"/>
          <w:iCs/>
          <w:color w:val="000000" w:themeColor="text1"/>
          <w:spacing w:val="-2"/>
          <w:sz w:val="22"/>
          <w:szCs w:val="22"/>
          <w:vertAlign w:val="subscript"/>
          <w:lang w:eastAsia="ja-JP"/>
        </w:rPr>
        <w:t>50</w:t>
      </w:r>
      <w:r w:rsidRPr="005E6B7C">
        <w:rPr>
          <w:rFonts w:asciiTheme="majorHAnsi" w:eastAsia="Yu Mincho" w:hAnsiTheme="majorHAnsi" w:cstheme="majorHAnsi"/>
          <w:iCs/>
          <w:color w:val="000000" w:themeColor="text1"/>
          <w:spacing w:val="-2"/>
          <w:sz w:val="22"/>
          <w:szCs w:val="22"/>
          <w:lang w:val="vi-VN" w:eastAsia="ja-JP"/>
        </w:rPr>
        <w:t xml:space="preserve"> values of 80.00 ± 4.05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 xml:space="preserve">g/mL for </w:t>
      </w:r>
      <w:r w:rsidRPr="005E6B7C">
        <w:rPr>
          <w:rFonts w:asciiTheme="majorHAnsi" w:eastAsia="Yu Mincho" w:hAnsiTheme="majorHAnsi" w:cstheme="majorHAnsi"/>
          <w:i/>
          <w:iCs/>
          <w:color w:val="000000" w:themeColor="text1"/>
          <w:spacing w:val="-2"/>
          <w:sz w:val="22"/>
          <w:szCs w:val="22"/>
          <w:lang w:val="vi-VN" w:eastAsia="ja-JP"/>
        </w:rPr>
        <w:t>S. aureus</w:t>
      </w:r>
      <w:r w:rsidRPr="005E6B7C">
        <w:rPr>
          <w:rFonts w:asciiTheme="majorHAnsi" w:eastAsia="Yu Mincho" w:hAnsiTheme="majorHAnsi" w:cstheme="majorHAnsi"/>
          <w:iCs/>
          <w:color w:val="000000" w:themeColor="text1"/>
          <w:spacing w:val="-2"/>
          <w:sz w:val="22"/>
          <w:szCs w:val="22"/>
          <w:lang w:val="vi-VN" w:eastAsia="ja-JP"/>
        </w:rPr>
        <w:t xml:space="preserve"> and 64.00 ± 3.98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 xml:space="preserve">g/mL for </w:t>
      </w:r>
      <w:r w:rsidRPr="005E6B7C">
        <w:rPr>
          <w:rFonts w:asciiTheme="majorHAnsi" w:eastAsia="Yu Mincho" w:hAnsiTheme="majorHAnsi" w:cstheme="majorHAnsi"/>
          <w:i/>
          <w:iCs/>
          <w:color w:val="000000" w:themeColor="text1"/>
          <w:spacing w:val="-2"/>
          <w:sz w:val="22"/>
          <w:szCs w:val="22"/>
          <w:lang w:val="vi-VN" w:eastAsia="ja-JP"/>
        </w:rPr>
        <w:t>B. subtilis</w:t>
      </w:r>
      <w:r w:rsidRPr="005E6B7C">
        <w:rPr>
          <w:rFonts w:asciiTheme="majorHAnsi" w:eastAsia="Yu Mincho" w:hAnsiTheme="majorHAnsi" w:cstheme="majorHAnsi"/>
          <w:iCs/>
          <w:color w:val="000000" w:themeColor="text1"/>
          <w:spacing w:val="-2"/>
          <w:sz w:val="22"/>
          <w:szCs w:val="22"/>
          <w:lang w:val="vi-VN" w:eastAsia="ja-JP"/>
        </w:rPr>
        <w:t xml:space="preserve">. A MIC value of 256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 xml:space="preserve">g/mL was observed only for </w:t>
      </w:r>
      <w:r w:rsidRPr="005E6B7C">
        <w:rPr>
          <w:rFonts w:asciiTheme="majorHAnsi" w:eastAsia="Yu Mincho" w:hAnsiTheme="majorHAnsi" w:cstheme="majorHAnsi"/>
          <w:i/>
          <w:iCs/>
          <w:color w:val="000000" w:themeColor="text1"/>
          <w:spacing w:val="-2"/>
          <w:sz w:val="22"/>
          <w:szCs w:val="22"/>
          <w:lang w:val="vi-VN" w:eastAsia="ja-JP"/>
        </w:rPr>
        <w:t>S. aureus</w:t>
      </w:r>
      <w:r w:rsidRPr="005E6B7C">
        <w:rPr>
          <w:rFonts w:asciiTheme="majorHAnsi" w:eastAsia="Yu Mincho" w:hAnsiTheme="majorHAnsi" w:cstheme="majorHAnsi"/>
          <w:iCs/>
          <w:color w:val="000000" w:themeColor="text1"/>
          <w:spacing w:val="-2"/>
          <w:sz w:val="22"/>
          <w:szCs w:val="22"/>
          <w:lang w:val="vi-VN" w:eastAsia="ja-JP"/>
        </w:rPr>
        <w:t xml:space="preserve">. No inhibitory effect was detected against </w:t>
      </w:r>
      <w:r w:rsidRPr="005E6B7C">
        <w:rPr>
          <w:rFonts w:asciiTheme="majorHAnsi" w:eastAsia="Yu Mincho" w:hAnsiTheme="majorHAnsi" w:cstheme="majorHAnsi"/>
          <w:i/>
          <w:iCs/>
          <w:color w:val="000000" w:themeColor="text1"/>
          <w:spacing w:val="-2"/>
          <w:sz w:val="22"/>
          <w:szCs w:val="22"/>
          <w:lang w:val="vi-VN" w:eastAsia="ja-JP"/>
        </w:rPr>
        <w:t>L. fermentum</w:t>
      </w:r>
      <w:r w:rsidRPr="005E6B7C">
        <w:rPr>
          <w:rFonts w:asciiTheme="majorHAnsi" w:eastAsia="Yu Mincho" w:hAnsiTheme="majorHAnsi" w:cstheme="majorHAnsi"/>
          <w:iCs/>
          <w:color w:val="000000" w:themeColor="text1"/>
          <w:spacing w:val="-2"/>
          <w:sz w:val="22"/>
          <w:szCs w:val="22"/>
          <w:lang w:val="vi-VN" w:eastAsia="ja-JP"/>
        </w:rPr>
        <w:t>, Gram-negative bacteria (</w:t>
      </w:r>
      <w:r w:rsidRPr="005E6B7C">
        <w:rPr>
          <w:rFonts w:asciiTheme="majorHAnsi" w:eastAsia="Yu Mincho" w:hAnsiTheme="majorHAnsi" w:cstheme="majorHAnsi"/>
          <w:i/>
          <w:iCs/>
          <w:color w:val="000000" w:themeColor="text1"/>
          <w:spacing w:val="-2"/>
          <w:sz w:val="22"/>
          <w:szCs w:val="22"/>
          <w:lang w:val="vi-VN" w:eastAsia="ja-JP"/>
        </w:rPr>
        <w:t>E. coli</w:t>
      </w:r>
      <w:r w:rsidRPr="005E6B7C">
        <w:rPr>
          <w:rFonts w:asciiTheme="majorHAnsi" w:eastAsia="Yu Mincho" w:hAnsiTheme="majorHAnsi" w:cstheme="majorHAnsi"/>
          <w:iCs/>
          <w:color w:val="000000" w:themeColor="text1"/>
          <w:spacing w:val="-2"/>
          <w:sz w:val="22"/>
          <w:szCs w:val="22"/>
          <w:lang w:val="vi-VN" w:eastAsia="ja-JP"/>
        </w:rPr>
        <w:t xml:space="preserve">, </w:t>
      </w:r>
      <w:r w:rsidRPr="005E6B7C">
        <w:rPr>
          <w:rFonts w:asciiTheme="majorHAnsi" w:eastAsia="Yu Mincho" w:hAnsiTheme="majorHAnsi" w:cstheme="majorHAnsi"/>
          <w:i/>
          <w:iCs/>
          <w:color w:val="000000" w:themeColor="text1"/>
          <w:spacing w:val="-2"/>
          <w:sz w:val="22"/>
          <w:szCs w:val="22"/>
          <w:lang w:val="vi-VN" w:eastAsia="ja-JP"/>
        </w:rPr>
        <w:t>S. enterica</w:t>
      </w:r>
      <w:r w:rsidRPr="005E6B7C">
        <w:rPr>
          <w:rFonts w:asciiTheme="majorHAnsi" w:eastAsia="Yu Mincho" w:hAnsiTheme="majorHAnsi" w:cstheme="majorHAnsi"/>
          <w:iCs/>
          <w:color w:val="000000" w:themeColor="text1"/>
          <w:spacing w:val="-2"/>
          <w:sz w:val="22"/>
          <w:szCs w:val="22"/>
          <w:lang w:val="vi-VN" w:eastAsia="ja-JP"/>
        </w:rPr>
        <w:t xml:space="preserve">, and </w:t>
      </w:r>
      <w:r w:rsidRPr="005E6B7C">
        <w:rPr>
          <w:rFonts w:asciiTheme="majorHAnsi" w:eastAsia="Yu Mincho" w:hAnsiTheme="majorHAnsi" w:cstheme="majorHAnsi"/>
          <w:i/>
          <w:iCs/>
          <w:color w:val="000000" w:themeColor="text1"/>
          <w:spacing w:val="-2"/>
          <w:sz w:val="22"/>
          <w:szCs w:val="22"/>
          <w:lang w:val="vi-VN" w:eastAsia="ja-JP"/>
        </w:rPr>
        <w:t>P. aeruginosa</w:t>
      </w:r>
      <w:r w:rsidRPr="005E6B7C">
        <w:rPr>
          <w:rFonts w:asciiTheme="majorHAnsi" w:eastAsia="Yu Mincho" w:hAnsiTheme="majorHAnsi" w:cstheme="majorHAnsi"/>
          <w:iCs/>
          <w:color w:val="000000" w:themeColor="text1"/>
          <w:spacing w:val="-2"/>
          <w:sz w:val="22"/>
          <w:szCs w:val="22"/>
          <w:lang w:val="vi-VN" w:eastAsia="ja-JP"/>
        </w:rPr>
        <w:t xml:space="preserve">), or </w:t>
      </w:r>
      <w:r w:rsidRPr="005E6B7C">
        <w:rPr>
          <w:rFonts w:asciiTheme="majorHAnsi" w:eastAsia="Yu Mincho" w:hAnsiTheme="majorHAnsi" w:cstheme="majorHAnsi"/>
          <w:i/>
          <w:iCs/>
          <w:color w:val="000000" w:themeColor="text1"/>
          <w:spacing w:val="-2"/>
          <w:sz w:val="22"/>
          <w:szCs w:val="22"/>
          <w:lang w:val="vi-VN" w:eastAsia="ja-JP"/>
        </w:rPr>
        <w:t>C. albicans</w:t>
      </w:r>
      <w:r w:rsidRPr="005E6B7C">
        <w:rPr>
          <w:rFonts w:asciiTheme="majorHAnsi" w:eastAsia="Yu Mincho" w:hAnsiTheme="majorHAnsi" w:cstheme="majorHAnsi"/>
          <w:iCs/>
          <w:color w:val="000000" w:themeColor="text1"/>
          <w:spacing w:val="-2"/>
          <w:sz w:val="22"/>
          <w:szCs w:val="22"/>
          <w:lang w:val="vi-VN" w:eastAsia="ja-JP"/>
        </w:rPr>
        <w:t xml:space="preserve"> at concentrations up to 256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g/mL.</w:t>
      </w:r>
      <w:r w:rsidRPr="005E6B7C">
        <w:rPr>
          <w:rFonts w:asciiTheme="majorHAnsi" w:eastAsia="Yu Mincho" w:hAnsiTheme="majorHAnsi" w:cstheme="majorHAnsi"/>
          <w:iCs/>
          <w:color w:val="000000" w:themeColor="text1"/>
          <w:spacing w:val="-2"/>
          <w:sz w:val="22"/>
          <w:szCs w:val="22"/>
          <w:lang w:eastAsia="ja-JP"/>
        </w:rPr>
        <w:t xml:space="preserve"> </w:t>
      </w:r>
      <w:r w:rsidRPr="005E6B7C">
        <w:rPr>
          <w:rFonts w:asciiTheme="majorHAnsi" w:eastAsia="Yu Mincho" w:hAnsiTheme="majorHAnsi" w:cstheme="majorHAnsi"/>
          <w:iCs/>
          <w:color w:val="000000" w:themeColor="text1"/>
          <w:spacing w:val="-2"/>
          <w:sz w:val="22"/>
          <w:szCs w:val="22"/>
          <w:lang w:val="vi-VN" w:eastAsia="ja-JP"/>
        </w:rPr>
        <w:t xml:space="preserve">These findings indicate that the essential oil mainly acts against certain Gram-positive strains. The lower activity against Gram-negative bacteria may be related to their outer membrane, which limits the penetration of hydrophobic terpenoids. Although </w:t>
      </w:r>
      <w:r w:rsidRPr="005E6B7C">
        <w:rPr>
          <w:rFonts w:asciiTheme="majorHAnsi" w:eastAsia="Yu Mincho" w:hAnsiTheme="majorHAnsi" w:cstheme="majorHAnsi"/>
          <w:i/>
          <w:color w:val="000000" w:themeColor="text1"/>
          <w:spacing w:val="-2"/>
          <w:sz w:val="22"/>
          <w:szCs w:val="22"/>
          <w:lang w:val="vi-VN" w:eastAsia="ja-JP"/>
        </w:rPr>
        <w:t>Lactobacillus fermentum</w:t>
      </w:r>
      <w:r w:rsidRPr="005E6B7C">
        <w:rPr>
          <w:rFonts w:asciiTheme="majorHAnsi" w:eastAsia="Yu Mincho" w:hAnsiTheme="majorHAnsi" w:cstheme="majorHAnsi"/>
          <w:iCs/>
          <w:color w:val="000000" w:themeColor="text1"/>
          <w:spacing w:val="-2"/>
          <w:sz w:val="22"/>
          <w:szCs w:val="22"/>
          <w:lang w:val="vi-VN" w:eastAsia="ja-JP"/>
        </w:rPr>
        <w:t xml:space="preserve"> is a Gram-positive bacterium, the essential oil of </w:t>
      </w:r>
      <w:r w:rsidRPr="005E6B7C">
        <w:rPr>
          <w:rFonts w:asciiTheme="majorHAnsi" w:eastAsia="Yu Mincho" w:hAnsiTheme="majorHAnsi" w:cstheme="majorHAnsi"/>
          <w:i/>
          <w:color w:val="000000" w:themeColor="text1"/>
          <w:spacing w:val="-2"/>
          <w:sz w:val="22"/>
          <w:szCs w:val="22"/>
          <w:lang w:val="vi-VN" w:eastAsia="ja-JP"/>
        </w:rPr>
        <w:t>Knema globularia</w:t>
      </w:r>
      <w:r w:rsidRPr="005E6B7C">
        <w:rPr>
          <w:rFonts w:asciiTheme="majorHAnsi" w:eastAsia="Yu Mincho" w:hAnsiTheme="majorHAnsi" w:cstheme="majorHAnsi"/>
          <w:iCs/>
          <w:color w:val="000000" w:themeColor="text1"/>
          <w:spacing w:val="-2"/>
          <w:sz w:val="22"/>
          <w:szCs w:val="22"/>
          <w:lang w:val="vi-VN" w:eastAsia="ja-JP"/>
        </w:rPr>
        <w:t xml:space="preserve"> did not inhibit its growth in this study. This may be due to the intrinsic tolerance of lactic acid bacteria to plant-derived essential oils, associated with adaptive mechanisms such as membrane fatty-acid modification, stress-response systems, and detoxification pathways </w:t>
      </w:r>
      <w:r w:rsidRPr="005E6B7C">
        <w:rPr>
          <w:rFonts w:asciiTheme="majorHAnsi" w:eastAsia="Yu Mincho" w:hAnsiTheme="majorHAnsi" w:cstheme="majorHAnsi"/>
          <w:iCs/>
          <w:color w:val="000000" w:themeColor="text1"/>
          <w:spacing w:val="-2"/>
          <w:sz w:val="22"/>
          <w:szCs w:val="22"/>
          <w:lang w:val="vi-VN" w:eastAsia="ja-JP"/>
        </w:rPr>
        <w:fldChar w:fldCharType="begin"/>
      </w:r>
      <w:r w:rsidRPr="005E6B7C">
        <w:rPr>
          <w:rFonts w:asciiTheme="majorHAnsi" w:eastAsia="Yu Mincho" w:hAnsiTheme="majorHAnsi" w:cstheme="majorHAnsi"/>
          <w:iCs/>
          <w:color w:val="000000" w:themeColor="text1"/>
          <w:spacing w:val="-2"/>
          <w:sz w:val="22"/>
          <w:szCs w:val="22"/>
          <w:lang w:val="vi-VN" w:eastAsia="ja-JP"/>
        </w:rPr>
        <w:instrText xml:space="preserve"> ADDIN EN.CITE &lt;EndNote&gt;&lt;Cite&gt;&lt;Author&gt;Filannino&lt;/Author&gt;&lt;Year&gt;2018&lt;/Year&gt;&lt;RecNum&gt;32&lt;/RecNum&gt;&lt;DisplayText&gt;[19]&lt;/DisplayText&gt;&lt;record&gt;&lt;rec-number&gt;32&lt;/rec-number&gt;&lt;foreign-keys&gt;&lt;key app="EN" db-id="ests5zdscdrx0ke55w45va2tp5tasftw5xat" timestamp="1772764992"&gt;32&lt;/key&gt;&lt;/foreign-keys&gt;&lt;ref-type name="Journal Article"&gt;17&lt;/ref-type&gt;&lt;contributors&gt;&lt;authors&gt;&lt;author&gt;Filannino, P.&lt;/author&gt;&lt;author&gt;Di Cagno, R.&lt;/author&gt;&lt;author&gt;Gobbetti, M.&lt;/author&gt;&lt;/authors&gt;&lt;/contributors&gt;&lt;auth-address&gt;Department of Soil, Plant and Food Science, University of Bari Aldo Moro, 70126 Bari, Italy.&amp;#xD;Faculty of Sciences and Technology, Libera Università di Bolzano, 39100 Bolzano, Italy. Electronic address: raffaella.dicagno@unibz.it.&amp;#xD;Faculty of Sciences and Technology, Libera Università di Bolzano, 39100 Bolzano, Italy.&lt;/auth-address&gt;&lt;titles&gt;&lt;title&gt;Metabolic and functional paths of lactic acid bacteria in plant foods: get out of the labyrinth&lt;/title&gt;&lt;secondary-title&gt;Curr Opin Biotechnol&lt;/secondary-title&gt;&lt;/titles&gt;&lt;periodical&gt;&lt;full-title&gt;Curr Opin Biotechnol&lt;/full-title&gt;&lt;/periodical&gt;&lt;pages&gt;64-72&lt;/pages&gt;&lt;volume&gt;49&lt;/volume&gt;&lt;edition&gt;20170819&lt;/edition&gt;&lt;keywords&gt;&lt;keyword&gt;Bacteria/metabolism&lt;/keyword&gt;&lt;keyword&gt;Food&lt;/keyword&gt;&lt;keyword&gt;Health&lt;/keyword&gt;&lt;keyword&gt;Humans&lt;/keyword&gt;&lt;keyword&gt;Lactobacillales/*metabolism&lt;/keyword&gt;&lt;keyword&gt;Phytochemicals/metabolism&lt;/keyword&gt;&lt;keyword&gt;Plants/*metabolism&lt;/keyword&gt;&lt;/keywords&gt;&lt;dates&gt;&lt;year&gt;2018&lt;/year&gt;&lt;pub-dates&gt;&lt;date&gt;Feb&lt;/date&gt;&lt;/pub-dates&gt;&lt;/dates&gt;&lt;isbn&gt;0958-1669&lt;/isbn&gt;&lt;accession-num&gt;28830019&lt;/accession-num&gt;&lt;urls&gt;&lt;/urls&gt;&lt;electronic-resource-num&gt;10.1016/j.copbio.2017.07.016&lt;/electronic-resource-num&gt;&lt;remote-database-provider&gt;NLM&lt;/remote-database-provider&gt;&lt;language&gt;eng&lt;/language&gt;&lt;/record&gt;&lt;/Cite&gt;&lt;/EndNote&gt;</w:instrText>
      </w:r>
      <w:r w:rsidRPr="005E6B7C">
        <w:rPr>
          <w:rFonts w:asciiTheme="majorHAnsi" w:eastAsia="Yu Mincho" w:hAnsiTheme="majorHAnsi" w:cstheme="majorHAnsi"/>
          <w:iCs/>
          <w:color w:val="000000" w:themeColor="text1"/>
          <w:spacing w:val="-2"/>
          <w:sz w:val="22"/>
          <w:szCs w:val="22"/>
          <w:lang w:val="vi-VN" w:eastAsia="ja-JP"/>
        </w:rPr>
        <w:fldChar w:fldCharType="separate"/>
      </w:r>
      <w:r w:rsidRPr="005E6B7C">
        <w:rPr>
          <w:rFonts w:asciiTheme="majorHAnsi" w:eastAsia="Yu Mincho" w:hAnsiTheme="majorHAnsi" w:cstheme="majorHAnsi"/>
          <w:iCs/>
          <w:noProof/>
          <w:color w:val="000000" w:themeColor="text1"/>
          <w:spacing w:val="-2"/>
          <w:sz w:val="22"/>
          <w:szCs w:val="22"/>
          <w:lang w:val="vi-VN" w:eastAsia="ja-JP"/>
        </w:rPr>
        <w:t>[19]</w:t>
      </w:r>
      <w:r w:rsidRPr="005E6B7C">
        <w:rPr>
          <w:rFonts w:asciiTheme="majorHAnsi" w:eastAsia="Yu Mincho" w:hAnsiTheme="majorHAnsi" w:cstheme="majorHAnsi"/>
          <w:iCs/>
          <w:color w:val="000000" w:themeColor="text1"/>
          <w:spacing w:val="-2"/>
          <w:sz w:val="22"/>
          <w:szCs w:val="22"/>
          <w:lang w:val="vi-VN" w:eastAsia="ja-JP"/>
        </w:rPr>
        <w:fldChar w:fldCharType="end"/>
      </w:r>
      <w:r w:rsidRPr="005E6B7C">
        <w:rPr>
          <w:rFonts w:asciiTheme="majorHAnsi" w:eastAsia="Yu Mincho" w:hAnsiTheme="majorHAnsi" w:cstheme="majorHAnsi"/>
          <w:iCs/>
          <w:color w:val="000000" w:themeColor="text1"/>
          <w:spacing w:val="-2"/>
          <w:sz w:val="22"/>
          <w:szCs w:val="22"/>
          <w:lang w:val="vi-VN" w:eastAsia="ja-JP"/>
        </w:rPr>
        <w:t xml:space="preserve">. Moreover, the </w:t>
      </w:r>
      <w:r w:rsidRPr="005E6B7C">
        <w:rPr>
          <w:rFonts w:asciiTheme="majorHAnsi" w:eastAsia="Yu Mincho" w:hAnsiTheme="majorHAnsi" w:cstheme="majorHAnsi"/>
          <w:iCs/>
          <w:color w:val="000000" w:themeColor="text1"/>
          <w:spacing w:val="-2"/>
          <w:sz w:val="22"/>
          <w:szCs w:val="22"/>
          <w:lang w:val="vi-VN" w:eastAsia="ja-JP"/>
        </w:rPr>
        <w:t xml:space="preserve">frequent association of </w:t>
      </w:r>
      <w:r w:rsidRPr="005E6B7C">
        <w:rPr>
          <w:rFonts w:asciiTheme="majorHAnsi" w:eastAsia="Yu Mincho" w:hAnsiTheme="majorHAnsi" w:cstheme="majorHAnsi"/>
          <w:i/>
          <w:color w:val="000000" w:themeColor="text1"/>
          <w:spacing w:val="-2"/>
          <w:sz w:val="22"/>
          <w:szCs w:val="22"/>
          <w:lang w:val="vi-VN" w:eastAsia="ja-JP"/>
        </w:rPr>
        <w:t>Lactobacillus</w:t>
      </w:r>
      <w:r w:rsidRPr="005E6B7C">
        <w:rPr>
          <w:rFonts w:asciiTheme="majorHAnsi" w:eastAsia="Yu Mincho" w:hAnsiTheme="majorHAnsi" w:cstheme="majorHAnsi"/>
          <w:iCs/>
          <w:color w:val="000000" w:themeColor="text1"/>
          <w:spacing w:val="-2"/>
          <w:sz w:val="22"/>
          <w:szCs w:val="22"/>
          <w:lang w:val="vi-VN" w:eastAsia="ja-JP"/>
        </w:rPr>
        <w:t xml:space="preserve"> species with plant environments and fermented foods suggests an evolutionary adaptation to phytochemicals </w:t>
      </w:r>
      <w:r w:rsidRPr="005E6B7C">
        <w:rPr>
          <w:rFonts w:asciiTheme="majorHAnsi" w:eastAsia="Yu Mincho" w:hAnsiTheme="majorHAnsi" w:cstheme="majorHAnsi"/>
          <w:iCs/>
          <w:color w:val="000000" w:themeColor="text1"/>
          <w:spacing w:val="-2"/>
          <w:sz w:val="22"/>
          <w:szCs w:val="22"/>
          <w:lang w:val="vi-VN" w:eastAsia="ja-JP"/>
        </w:rPr>
        <w:fldChar w:fldCharType="begin"/>
      </w:r>
      <w:r w:rsidRPr="005E6B7C">
        <w:rPr>
          <w:rFonts w:asciiTheme="majorHAnsi" w:eastAsia="Yu Mincho" w:hAnsiTheme="majorHAnsi" w:cstheme="majorHAnsi"/>
          <w:iCs/>
          <w:color w:val="000000" w:themeColor="text1"/>
          <w:spacing w:val="-2"/>
          <w:sz w:val="22"/>
          <w:szCs w:val="22"/>
          <w:lang w:val="vi-VN" w:eastAsia="ja-JP"/>
        </w:rPr>
        <w:instrText xml:space="preserve"> ADDIN EN.CITE &lt;EndNote&gt;&lt;Cite&gt;&lt;Author&gt;Axelsson&lt;/Author&gt;&lt;Year&gt;2004&lt;/Year&gt;&lt;RecNum&gt;33&lt;/RecNum&gt;&lt;DisplayText&gt;[20]&lt;/DisplayText&gt;&lt;record&gt;&lt;rec-number&gt;33&lt;/rec-number&gt;&lt;foreign-keys&gt;&lt;key app="EN" db-id="ests5zdscdrx0ke55w45va2tp5tasftw5xat" timestamp="1772765138"&gt;33&lt;/key&gt;&lt;/foreign-keys&gt;&lt;ref-type name="Book Section"&gt;5&lt;/ref-type&gt;&lt;contributors&gt;&lt;authors&gt;&lt;author&gt;Axelsson, Lars&lt;/author&gt;&lt;/authors&gt;&lt;/contributors&gt;&lt;titles&gt;&lt;title&gt;Lactic Acid Bacteria: Classification and Physiology&lt;/title&gt;&lt;alt-title&gt;Lactic acid bacteria: microbiology and functional aspects&lt;/alt-title&gt;&lt;/titles&gt;&lt;pages&gt;1-66&lt;/pages&gt;&lt;dates&gt;&lt;year&gt;2004&lt;/year&gt;&lt;/dates&gt;&lt;urls&gt;&lt;/urls&gt;&lt;/record&gt;&lt;/Cite&gt;&lt;/EndNote&gt;</w:instrText>
      </w:r>
      <w:r w:rsidRPr="005E6B7C">
        <w:rPr>
          <w:rFonts w:asciiTheme="majorHAnsi" w:eastAsia="Yu Mincho" w:hAnsiTheme="majorHAnsi" w:cstheme="majorHAnsi"/>
          <w:iCs/>
          <w:color w:val="000000" w:themeColor="text1"/>
          <w:spacing w:val="-2"/>
          <w:sz w:val="22"/>
          <w:szCs w:val="22"/>
          <w:lang w:val="vi-VN" w:eastAsia="ja-JP"/>
        </w:rPr>
        <w:fldChar w:fldCharType="separate"/>
      </w:r>
      <w:r w:rsidRPr="005E6B7C">
        <w:rPr>
          <w:rFonts w:asciiTheme="majorHAnsi" w:eastAsia="Yu Mincho" w:hAnsiTheme="majorHAnsi" w:cstheme="majorHAnsi"/>
          <w:iCs/>
          <w:noProof/>
          <w:color w:val="000000" w:themeColor="text1"/>
          <w:spacing w:val="-2"/>
          <w:sz w:val="22"/>
          <w:szCs w:val="22"/>
          <w:lang w:val="vi-VN" w:eastAsia="ja-JP"/>
        </w:rPr>
        <w:t>[20]</w:t>
      </w:r>
      <w:r w:rsidRPr="005E6B7C">
        <w:rPr>
          <w:rFonts w:asciiTheme="majorHAnsi" w:eastAsia="Yu Mincho" w:hAnsiTheme="majorHAnsi" w:cstheme="majorHAnsi"/>
          <w:iCs/>
          <w:color w:val="000000" w:themeColor="text1"/>
          <w:spacing w:val="-2"/>
          <w:sz w:val="22"/>
          <w:szCs w:val="22"/>
          <w:lang w:val="vi-VN" w:eastAsia="ja-JP"/>
        </w:rPr>
        <w:fldChar w:fldCharType="end"/>
      </w:r>
      <w:r w:rsidRPr="005E6B7C">
        <w:rPr>
          <w:rFonts w:asciiTheme="majorHAnsi" w:eastAsia="Yu Mincho" w:hAnsiTheme="majorHAnsi" w:cstheme="majorHAnsi"/>
          <w:iCs/>
          <w:color w:val="000000" w:themeColor="text1"/>
          <w:spacing w:val="-2"/>
          <w:sz w:val="22"/>
          <w:szCs w:val="22"/>
          <w:lang w:val="vi-VN" w:eastAsia="ja-JP"/>
        </w:rPr>
        <w:t>.</w:t>
      </w:r>
    </w:p>
    <w:p w14:paraId="1374498A" w14:textId="500C5FE9"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6"/>
          <w:sz w:val="22"/>
          <w:szCs w:val="22"/>
          <w:lang w:val="vi-VN" w:eastAsia="ja-JP"/>
        </w:rPr>
      </w:pPr>
      <w:r w:rsidRPr="005E6B7C">
        <w:rPr>
          <w:rFonts w:asciiTheme="majorHAnsi" w:eastAsia="Yu Mincho" w:hAnsiTheme="majorHAnsi" w:cstheme="majorHAnsi"/>
          <w:iCs/>
          <w:color w:val="000000" w:themeColor="text1"/>
          <w:spacing w:val="-6"/>
          <w:sz w:val="22"/>
          <w:szCs w:val="22"/>
          <w:lang w:val="vi-VN" w:eastAsia="ja-JP"/>
        </w:rPr>
        <w:t xml:space="preserve">Compared with other </w:t>
      </w:r>
      <w:r w:rsidRPr="005E6B7C">
        <w:rPr>
          <w:rFonts w:asciiTheme="majorHAnsi" w:eastAsia="Yu Mincho" w:hAnsiTheme="majorHAnsi" w:cstheme="majorHAnsi"/>
          <w:i/>
          <w:iCs/>
          <w:color w:val="000000" w:themeColor="text1"/>
          <w:spacing w:val="-6"/>
          <w:sz w:val="22"/>
          <w:szCs w:val="22"/>
          <w:lang w:val="vi-VN" w:eastAsia="ja-JP"/>
        </w:rPr>
        <w:t>Knema</w:t>
      </w:r>
      <w:r w:rsidRPr="005E6B7C">
        <w:rPr>
          <w:rFonts w:asciiTheme="majorHAnsi" w:eastAsia="Yu Mincho" w:hAnsiTheme="majorHAnsi" w:cstheme="majorHAnsi"/>
          <w:iCs/>
          <w:color w:val="000000" w:themeColor="text1"/>
          <w:spacing w:val="-6"/>
          <w:sz w:val="22"/>
          <w:szCs w:val="22"/>
          <w:lang w:val="vi-VN" w:eastAsia="ja-JP"/>
        </w:rPr>
        <w:t xml:space="preserve"> species, the Thanh Hoa </w:t>
      </w:r>
      <w:r w:rsidRPr="005E6B7C">
        <w:rPr>
          <w:rFonts w:asciiTheme="majorHAnsi" w:eastAsia="Yu Mincho" w:hAnsiTheme="majorHAnsi" w:cstheme="majorHAnsi"/>
          <w:i/>
          <w:iCs/>
          <w:color w:val="000000" w:themeColor="text1"/>
          <w:spacing w:val="-6"/>
          <w:sz w:val="22"/>
          <w:szCs w:val="22"/>
          <w:lang w:val="vi-VN" w:eastAsia="ja-JP"/>
        </w:rPr>
        <w:t>K. globularia</w:t>
      </w:r>
      <w:r w:rsidRPr="005E6B7C">
        <w:rPr>
          <w:rFonts w:asciiTheme="majorHAnsi" w:eastAsia="Yu Mincho" w:hAnsiTheme="majorHAnsi" w:cstheme="majorHAnsi"/>
          <w:iCs/>
          <w:color w:val="000000" w:themeColor="text1"/>
          <w:spacing w:val="-6"/>
          <w:sz w:val="22"/>
          <w:szCs w:val="22"/>
          <w:lang w:val="vi-VN" w:eastAsia="ja-JP"/>
        </w:rPr>
        <w:t xml:space="preserve"> essential oil shows a narrower antimicrobial spectrum. Essential oils from leaves and twigs of </w:t>
      </w:r>
      <w:r w:rsidRPr="005E6B7C">
        <w:rPr>
          <w:rFonts w:asciiTheme="majorHAnsi" w:eastAsia="Yu Mincho" w:hAnsiTheme="majorHAnsi" w:cstheme="majorHAnsi"/>
          <w:i/>
          <w:iCs/>
          <w:color w:val="000000" w:themeColor="text1"/>
          <w:spacing w:val="-6"/>
          <w:sz w:val="22"/>
          <w:szCs w:val="22"/>
          <w:lang w:val="vi-VN" w:eastAsia="ja-JP"/>
        </w:rPr>
        <w:t>K. tonkinensis</w:t>
      </w:r>
      <w:r w:rsidRPr="005E6B7C">
        <w:rPr>
          <w:rFonts w:asciiTheme="majorHAnsi" w:eastAsia="Yu Mincho" w:hAnsiTheme="majorHAnsi" w:cstheme="majorHAnsi"/>
          <w:iCs/>
          <w:color w:val="000000" w:themeColor="text1"/>
          <w:spacing w:val="-6"/>
          <w:sz w:val="22"/>
          <w:szCs w:val="22"/>
          <w:lang w:val="vi-VN" w:eastAsia="ja-JP"/>
        </w:rPr>
        <w:t xml:space="preserve"> have been reported to inhibit a broader range of bacteria and fungi </w:t>
      </w:r>
      <w:r w:rsidRPr="005E6B7C">
        <w:rPr>
          <w:rFonts w:asciiTheme="majorHAnsi" w:eastAsia="Yu Mincho" w:hAnsiTheme="majorHAnsi" w:cstheme="majorHAnsi"/>
          <w:iCs/>
          <w:color w:val="000000" w:themeColor="text1"/>
          <w:spacing w:val="-6"/>
          <w:sz w:val="22"/>
          <w:szCs w:val="22"/>
          <w:lang w:val="vi-VN" w:eastAsia="ja-JP"/>
        </w:rPr>
        <w:fldChar w:fldCharType="begin"/>
      </w:r>
      <w:r w:rsidRPr="005E6B7C">
        <w:rPr>
          <w:rFonts w:asciiTheme="majorHAnsi" w:eastAsia="Yu Mincho" w:hAnsiTheme="majorHAnsi" w:cstheme="majorHAnsi"/>
          <w:iCs/>
          <w:color w:val="000000" w:themeColor="text1"/>
          <w:spacing w:val="-6"/>
          <w:sz w:val="22"/>
          <w:szCs w:val="22"/>
          <w:lang w:val="vi-VN" w:eastAsia="ja-JP"/>
        </w:rPr>
        <w:instrText xml:space="preserve"> ADDIN EN.CITE &lt;EndNote&gt;&lt;Cite&gt;&lt;Author&gt;Bui&lt;/Author&gt;&lt;Year&gt;2024&lt;/Year&gt;&lt;RecNum&gt;23&lt;/RecNum&gt;&lt;DisplayText&gt;[21]&lt;/DisplayText&gt;&lt;record&gt;&lt;rec-number&gt;23&lt;/rec-number&gt;&lt;foreign-keys&gt;&lt;key app="EN" db-id="ests5zdscdrx0ke55w45va2tp5tasftw5xat" timestamp="1770484318"&gt;23&lt;/key&gt;&lt;/foreign-keys&gt;&lt;ref-type name="Journal Article"&gt;17&lt;/ref-type&gt;&lt;contributors&gt;&lt;authors&gt;&lt;author&gt;Bui, Huong&lt;/author&gt;&lt;author&gt;Dang, Nguyen&lt;/author&gt;&lt;author&gt;Van Hai, Do&lt;/author&gt;&lt;author&gt;luu dam, Ngoc&lt;/author&gt;&lt;author&gt;Thanh, B.&lt;/author&gt;&lt;author&gt;Vuong, T.&lt;/author&gt;&lt;/authors&gt;&lt;/contributors&gt;&lt;titles&gt;&lt;title&gt;Chemical Composition and Antimicrobial Activity of Essential Oil from the Leaves and Twigs of Knema tonkinensis&lt;/title&gt;&lt;secondary-title&gt;Chemistry of Natural Compounds&lt;/secondary-title&gt;&lt;/titles&gt;&lt;periodical&gt;&lt;full-title&gt;Chemistry of Natural Compounds&lt;/full-title&gt;&lt;/periodical&gt;&lt;volume&gt;60&lt;/volume&gt;&lt;dates&gt;&lt;year&gt;2024&lt;/year&gt;&lt;pub-dates&gt;&lt;date&gt;05/24&lt;/date&gt;&lt;/pub-dates&gt;&lt;/dates&gt;&lt;urls&gt;&lt;/urls&gt;&lt;electronic-resource-num&gt;10.1007/s10600-024-04376-6&lt;/electronic-resource-num&gt;&lt;/record&gt;&lt;/Cite&gt;&lt;/EndNote&gt;</w:instrText>
      </w:r>
      <w:r w:rsidRPr="005E6B7C">
        <w:rPr>
          <w:rFonts w:asciiTheme="majorHAnsi" w:eastAsia="Yu Mincho" w:hAnsiTheme="majorHAnsi" w:cstheme="majorHAnsi"/>
          <w:iCs/>
          <w:color w:val="000000" w:themeColor="text1"/>
          <w:spacing w:val="-6"/>
          <w:sz w:val="22"/>
          <w:szCs w:val="22"/>
          <w:lang w:val="vi-VN" w:eastAsia="ja-JP"/>
        </w:rPr>
        <w:fldChar w:fldCharType="separate"/>
      </w:r>
      <w:r w:rsidRPr="005E6B7C">
        <w:rPr>
          <w:rFonts w:asciiTheme="majorHAnsi" w:eastAsia="Yu Mincho" w:hAnsiTheme="majorHAnsi" w:cstheme="majorHAnsi"/>
          <w:iCs/>
          <w:noProof/>
          <w:color w:val="000000" w:themeColor="text1"/>
          <w:spacing w:val="-6"/>
          <w:sz w:val="22"/>
          <w:szCs w:val="22"/>
          <w:lang w:val="vi-VN" w:eastAsia="ja-JP"/>
        </w:rPr>
        <w:t>[21]</w:t>
      </w:r>
      <w:r w:rsidRPr="005E6B7C">
        <w:rPr>
          <w:rFonts w:asciiTheme="majorHAnsi" w:eastAsia="Yu Mincho" w:hAnsiTheme="majorHAnsi" w:cstheme="majorHAnsi"/>
          <w:iCs/>
          <w:color w:val="000000" w:themeColor="text1"/>
          <w:spacing w:val="-6"/>
          <w:sz w:val="22"/>
          <w:szCs w:val="22"/>
          <w:lang w:val="vi-VN" w:eastAsia="ja-JP"/>
        </w:rPr>
        <w:fldChar w:fldCharType="end"/>
      </w:r>
      <w:r w:rsidRPr="005E6B7C">
        <w:rPr>
          <w:rFonts w:asciiTheme="majorHAnsi" w:eastAsia="Yu Mincho" w:hAnsiTheme="majorHAnsi" w:cstheme="majorHAnsi"/>
          <w:iCs/>
          <w:color w:val="000000" w:themeColor="text1"/>
          <w:spacing w:val="-6"/>
          <w:sz w:val="22"/>
          <w:szCs w:val="22"/>
          <w:lang w:val="vi-VN" w:eastAsia="ja-JP"/>
        </w:rPr>
        <w:t xml:space="preserve">. Similarly, </w:t>
      </w:r>
      <w:r w:rsidRPr="005E6B7C">
        <w:rPr>
          <w:rFonts w:asciiTheme="majorHAnsi" w:eastAsia="Yu Mincho" w:hAnsiTheme="majorHAnsi" w:cstheme="majorHAnsi"/>
          <w:i/>
          <w:iCs/>
          <w:color w:val="000000" w:themeColor="text1"/>
          <w:spacing w:val="-6"/>
          <w:sz w:val="22"/>
          <w:szCs w:val="22"/>
          <w:lang w:val="vi-VN" w:eastAsia="ja-JP"/>
        </w:rPr>
        <w:t>K. squamulosa</w:t>
      </w:r>
      <w:r w:rsidRPr="005E6B7C">
        <w:rPr>
          <w:rFonts w:asciiTheme="majorHAnsi" w:eastAsia="Yu Mincho" w:hAnsiTheme="majorHAnsi" w:cstheme="majorHAnsi"/>
          <w:iCs/>
          <w:color w:val="000000" w:themeColor="text1"/>
          <w:spacing w:val="-6"/>
          <w:sz w:val="22"/>
          <w:szCs w:val="22"/>
          <w:lang w:val="vi-VN" w:eastAsia="ja-JP"/>
        </w:rPr>
        <w:t xml:space="preserve"> leaf essential oil exhibited moderate activity against </w:t>
      </w:r>
      <w:r w:rsidRPr="005E6B7C">
        <w:rPr>
          <w:rFonts w:asciiTheme="majorHAnsi" w:eastAsia="Yu Mincho" w:hAnsiTheme="majorHAnsi" w:cstheme="majorHAnsi"/>
          <w:i/>
          <w:iCs/>
          <w:color w:val="000000" w:themeColor="text1"/>
          <w:spacing w:val="-6"/>
          <w:sz w:val="22"/>
          <w:szCs w:val="22"/>
          <w:lang w:val="vi-VN" w:eastAsia="ja-JP"/>
        </w:rPr>
        <w:t>S. aureus</w:t>
      </w:r>
      <w:r w:rsidRPr="005E6B7C">
        <w:rPr>
          <w:rFonts w:asciiTheme="majorHAnsi" w:eastAsia="Yu Mincho" w:hAnsiTheme="majorHAnsi" w:cstheme="majorHAnsi"/>
          <w:iCs/>
          <w:color w:val="000000" w:themeColor="text1"/>
          <w:spacing w:val="-6"/>
          <w:sz w:val="22"/>
          <w:szCs w:val="22"/>
          <w:lang w:val="vi-VN" w:eastAsia="ja-JP"/>
        </w:rPr>
        <w:t xml:space="preserve">, </w:t>
      </w:r>
      <w:r w:rsidRPr="005E6B7C">
        <w:rPr>
          <w:rFonts w:asciiTheme="majorHAnsi" w:eastAsia="Yu Mincho" w:hAnsiTheme="majorHAnsi" w:cstheme="majorHAnsi"/>
          <w:i/>
          <w:iCs/>
          <w:color w:val="000000" w:themeColor="text1"/>
          <w:spacing w:val="-6"/>
          <w:sz w:val="22"/>
          <w:szCs w:val="22"/>
          <w:lang w:val="vi-VN" w:eastAsia="ja-JP"/>
        </w:rPr>
        <w:t>P. aeruginosa</w:t>
      </w:r>
      <w:r w:rsidRPr="005E6B7C">
        <w:rPr>
          <w:rFonts w:asciiTheme="majorHAnsi" w:eastAsia="Yu Mincho" w:hAnsiTheme="majorHAnsi" w:cstheme="majorHAnsi"/>
          <w:iCs/>
          <w:color w:val="000000" w:themeColor="text1"/>
          <w:spacing w:val="-6"/>
          <w:sz w:val="22"/>
          <w:szCs w:val="22"/>
          <w:lang w:val="vi-VN" w:eastAsia="ja-JP"/>
        </w:rPr>
        <w:t xml:space="preserve">, and </w:t>
      </w:r>
      <w:r w:rsidRPr="005E6B7C">
        <w:rPr>
          <w:rFonts w:asciiTheme="majorHAnsi" w:eastAsia="Yu Mincho" w:hAnsiTheme="majorHAnsi" w:cstheme="majorHAnsi"/>
          <w:i/>
          <w:iCs/>
          <w:color w:val="000000" w:themeColor="text1"/>
          <w:spacing w:val="-6"/>
          <w:sz w:val="22"/>
          <w:szCs w:val="22"/>
          <w:lang w:val="vi-VN" w:eastAsia="ja-JP"/>
        </w:rPr>
        <w:t>C. albicans</w:t>
      </w:r>
      <w:r w:rsidRPr="005E6B7C">
        <w:rPr>
          <w:rFonts w:asciiTheme="majorHAnsi" w:eastAsia="Yu Mincho" w:hAnsiTheme="majorHAnsi" w:cstheme="majorHAnsi"/>
          <w:iCs/>
          <w:color w:val="000000" w:themeColor="text1"/>
          <w:spacing w:val="-6"/>
          <w:sz w:val="22"/>
          <w:szCs w:val="22"/>
          <w:lang w:val="vi-VN" w:eastAsia="ja-JP"/>
        </w:rPr>
        <w:t xml:space="preserve"> (MIC 200 </w:t>
      </w:r>
      <w:r w:rsidR="00266B26" w:rsidRPr="005E6B7C">
        <w:rPr>
          <w:rFonts w:asciiTheme="majorHAnsi" w:eastAsia="Yu Mincho" w:hAnsiTheme="majorHAnsi" w:cstheme="majorHAnsi"/>
          <w:i/>
          <w:iCs/>
          <w:color w:val="000000" w:themeColor="text1"/>
          <w:spacing w:val="-6"/>
          <w:sz w:val="22"/>
          <w:szCs w:val="22"/>
          <w:lang w:val="vi-VN" w:eastAsia="ja-JP"/>
        </w:rPr>
        <w:t>µ</w:t>
      </w:r>
      <w:r w:rsidRPr="005E6B7C">
        <w:rPr>
          <w:rFonts w:asciiTheme="majorHAnsi" w:eastAsia="Yu Mincho" w:hAnsiTheme="majorHAnsi" w:cstheme="majorHAnsi"/>
          <w:iCs/>
          <w:color w:val="000000" w:themeColor="text1"/>
          <w:spacing w:val="-6"/>
          <w:sz w:val="22"/>
          <w:szCs w:val="22"/>
          <w:lang w:val="vi-VN" w:eastAsia="ja-JP"/>
        </w:rPr>
        <w:t xml:space="preserve">g/mL), although it showed no effect against </w:t>
      </w:r>
      <w:r w:rsidRPr="005E6B7C">
        <w:rPr>
          <w:rFonts w:asciiTheme="majorHAnsi" w:eastAsia="Yu Mincho" w:hAnsiTheme="majorHAnsi" w:cstheme="majorHAnsi"/>
          <w:i/>
          <w:iCs/>
          <w:color w:val="000000" w:themeColor="text1"/>
          <w:spacing w:val="-6"/>
          <w:sz w:val="22"/>
          <w:szCs w:val="22"/>
          <w:lang w:val="vi-VN" w:eastAsia="ja-JP"/>
        </w:rPr>
        <w:t>E. coli</w:t>
      </w:r>
      <w:r w:rsidRPr="005E6B7C">
        <w:rPr>
          <w:rFonts w:asciiTheme="majorHAnsi" w:eastAsia="Yu Mincho" w:hAnsiTheme="majorHAnsi" w:cstheme="majorHAnsi"/>
          <w:iCs/>
          <w:color w:val="000000" w:themeColor="text1"/>
          <w:spacing w:val="-6"/>
          <w:sz w:val="22"/>
          <w:szCs w:val="22"/>
          <w:lang w:val="vi-VN" w:eastAsia="ja-JP"/>
        </w:rPr>
        <w:t xml:space="preserve"> or </w:t>
      </w:r>
      <w:r w:rsidRPr="005E6B7C">
        <w:rPr>
          <w:rFonts w:asciiTheme="majorHAnsi" w:eastAsia="Yu Mincho" w:hAnsiTheme="majorHAnsi" w:cstheme="majorHAnsi"/>
          <w:i/>
          <w:iCs/>
          <w:color w:val="000000" w:themeColor="text1"/>
          <w:spacing w:val="-6"/>
          <w:sz w:val="22"/>
          <w:szCs w:val="22"/>
          <w:lang w:val="vi-VN" w:eastAsia="ja-JP"/>
        </w:rPr>
        <w:t>Bacillus cereus</w:t>
      </w:r>
      <w:r w:rsidRPr="005E6B7C">
        <w:rPr>
          <w:rFonts w:asciiTheme="majorHAnsi" w:eastAsia="Yu Mincho" w:hAnsiTheme="majorHAnsi" w:cstheme="majorHAnsi"/>
          <w:iCs/>
          <w:color w:val="000000" w:themeColor="text1"/>
          <w:spacing w:val="-6"/>
          <w:sz w:val="22"/>
          <w:szCs w:val="22"/>
          <w:lang w:val="vi-VN" w:eastAsia="ja-JP"/>
        </w:rPr>
        <w:t>. These differences among species are likely related to variations in chemical composition</w:t>
      </w:r>
      <w:r w:rsidRPr="005E6B7C">
        <w:rPr>
          <w:rFonts w:asciiTheme="majorHAnsi" w:eastAsia="Yu Mincho" w:hAnsiTheme="majorHAnsi" w:cstheme="majorHAnsi"/>
          <w:iCs/>
          <w:color w:val="000000" w:themeColor="text1"/>
          <w:spacing w:val="-6"/>
          <w:sz w:val="22"/>
          <w:szCs w:val="22"/>
          <w:lang w:eastAsia="ja-JP"/>
        </w:rPr>
        <w:t xml:space="preserve"> </w:t>
      </w:r>
      <w:r w:rsidRPr="005E6B7C">
        <w:rPr>
          <w:rFonts w:asciiTheme="majorHAnsi" w:eastAsia="Yu Mincho" w:hAnsiTheme="majorHAnsi" w:cstheme="majorHAnsi"/>
          <w:iCs/>
          <w:color w:val="000000" w:themeColor="text1"/>
          <w:spacing w:val="-6"/>
          <w:sz w:val="22"/>
          <w:szCs w:val="22"/>
          <w:lang w:val="vi-VN" w:eastAsia="ja-JP"/>
        </w:rPr>
        <w:fldChar w:fldCharType="begin"/>
      </w:r>
      <w:r w:rsidRPr="005E6B7C">
        <w:rPr>
          <w:rFonts w:asciiTheme="majorHAnsi" w:eastAsia="Yu Mincho" w:hAnsiTheme="majorHAnsi" w:cstheme="majorHAnsi"/>
          <w:iCs/>
          <w:color w:val="000000" w:themeColor="text1"/>
          <w:spacing w:val="-6"/>
          <w:sz w:val="22"/>
          <w:szCs w:val="22"/>
          <w:lang w:val="vi-VN" w:eastAsia="ja-JP"/>
        </w:rPr>
        <w:instrText xml:space="preserve"> ADDIN EN.CITE &lt;EndNote&gt;&lt;Cite&gt;&lt;Author&gt;Thin&lt;/Author&gt;&lt;Year&gt;2025&lt;/Year&gt;&lt;RecNum&gt;25&lt;/RecNum&gt;&lt;DisplayText&gt;[22]&lt;/DisplayText&gt;&lt;record&gt;&lt;rec-number&gt;25&lt;/rec-number&gt;&lt;foreign-keys&gt;&lt;key app="EN" db-id="ests5zdscdrx0ke55w45va2tp5tasftw5xat" timestamp="1770489929"&gt;25&lt;/key&gt;&lt;/foreign-keys&gt;&lt;ref-type name="Journal Article"&gt;17&lt;/ref-type&gt;&lt;contributors&gt;&lt;authors&gt;&lt;author&gt;Thin, Dau Ba&lt;/author&gt;&lt;author&gt;Thinh, Bui Bao&lt;/author&gt;&lt;/authors&gt;&lt;/contributors&gt;&lt;titles&gt;&lt;title&gt;Chemical Composition of Essential Oil from Knema squamulosa and its Biological Activity&lt;/title&gt;&lt;secondary-title&gt;Chemistry of Natural Compounds&lt;/secondary-title&gt;&lt;/titles&gt;&lt;periodical&gt;&lt;full-title&gt;Chemistry of Natural Compounds&lt;/full-title&gt;&lt;/periodical&gt;&lt;pages&gt;188-190&lt;/pages&gt;&lt;volume&gt;61&lt;/volume&gt;&lt;number&gt;1&lt;/number&gt;&lt;dates&gt;&lt;year&gt;2025&lt;/year&gt;&lt;pub-dates&gt;&lt;date&gt;2025/01/01&lt;/date&gt;&lt;/pub-dates&gt;&lt;/dates&gt;&lt;isbn&gt;1573-8388&lt;/isbn&gt;&lt;urls&gt;&lt;related-urls&gt;&lt;url&gt;https://doi.org/10.1007/s10600-025-04608-3&lt;/url&gt;&lt;/related-urls&gt;&lt;/urls&gt;&lt;electronic-resource-num&gt;10.1007/s10600-025-04608-3&lt;/electronic-resource-num&gt;&lt;/record&gt;&lt;/Cite&gt;&lt;/EndNote&gt;</w:instrText>
      </w:r>
      <w:r w:rsidRPr="005E6B7C">
        <w:rPr>
          <w:rFonts w:asciiTheme="majorHAnsi" w:eastAsia="Yu Mincho" w:hAnsiTheme="majorHAnsi" w:cstheme="majorHAnsi"/>
          <w:iCs/>
          <w:color w:val="000000" w:themeColor="text1"/>
          <w:spacing w:val="-6"/>
          <w:sz w:val="22"/>
          <w:szCs w:val="22"/>
          <w:lang w:val="vi-VN" w:eastAsia="ja-JP"/>
        </w:rPr>
        <w:fldChar w:fldCharType="separate"/>
      </w:r>
      <w:r w:rsidRPr="005E6B7C">
        <w:rPr>
          <w:rFonts w:asciiTheme="majorHAnsi" w:eastAsia="Yu Mincho" w:hAnsiTheme="majorHAnsi" w:cstheme="majorHAnsi"/>
          <w:iCs/>
          <w:noProof/>
          <w:color w:val="000000" w:themeColor="text1"/>
          <w:spacing w:val="-6"/>
          <w:sz w:val="22"/>
          <w:szCs w:val="22"/>
          <w:lang w:val="vi-VN" w:eastAsia="ja-JP"/>
        </w:rPr>
        <w:t>[22]</w:t>
      </w:r>
      <w:r w:rsidRPr="005E6B7C">
        <w:rPr>
          <w:rFonts w:asciiTheme="majorHAnsi" w:eastAsia="Yu Mincho" w:hAnsiTheme="majorHAnsi" w:cstheme="majorHAnsi"/>
          <w:iCs/>
          <w:color w:val="000000" w:themeColor="text1"/>
          <w:spacing w:val="-6"/>
          <w:sz w:val="22"/>
          <w:szCs w:val="22"/>
          <w:lang w:val="vi-VN" w:eastAsia="ja-JP"/>
        </w:rPr>
        <w:fldChar w:fldCharType="end"/>
      </w:r>
      <w:r w:rsidRPr="005E6B7C">
        <w:rPr>
          <w:rFonts w:asciiTheme="majorHAnsi" w:eastAsia="Yu Mincho" w:hAnsiTheme="majorHAnsi" w:cstheme="majorHAnsi"/>
          <w:iCs/>
          <w:color w:val="000000" w:themeColor="text1"/>
          <w:spacing w:val="-6"/>
          <w:sz w:val="22"/>
          <w:szCs w:val="22"/>
          <w:lang w:val="vi-VN" w:eastAsia="ja-JP"/>
        </w:rPr>
        <w:t>.</w:t>
      </w:r>
      <w:r w:rsidRPr="005E6B7C">
        <w:rPr>
          <w:rFonts w:asciiTheme="majorHAnsi" w:eastAsia="Yu Mincho" w:hAnsiTheme="majorHAnsi" w:cstheme="majorHAnsi"/>
          <w:iCs/>
          <w:color w:val="000000" w:themeColor="text1"/>
          <w:spacing w:val="-6"/>
          <w:sz w:val="22"/>
          <w:szCs w:val="22"/>
          <w:lang w:eastAsia="ja-JP"/>
        </w:rPr>
        <w:t xml:space="preserve"> </w:t>
      </w:r>
      <w:r w:rsidRPr="005E6B7C">
        <w:rPr>
          <w:rFonts w:asciiTheme="majorHAnsi" w:eastAsia="Yu Mincho" w:hAnsiTheme="majorHAnsi" w:cstheme="majorHAnsi"/>
          <w:iCs/>
          <w:color w:val="000000" w:themeColor="text1"/>
          <w:spacing w:val="-6"/>
          <w:sz w:val="22"/>
          <w:szCs w:val="22"/>
          <w:lang w:val="vi-VN" w:eastAsia="ja-JP"/>
        </w:rPr>
        <w:t xml:space="preserve">The antimicrobial activity of the Thanh Hoa essential oil may be associated with its major constituents, including </w:t>
      </w:r>
      <w:r w:rsidRPr="005E6B7C">
        <w:rPr>
          <w:rFonts w:asciiTheme="majorHAnsi" w:eastAsia="Yu Mincho" w:hAnsiTheme="majorHAnsi" w:cstheme="majorHAnsi"/>
          <w:i/>
          <w:iCs/>
          <w:color w:val="000000" w:themeColor="text1"/>
          <w:spacing w:val="-6"/>
          <w:sz w:val="22"/>
          <w:szCs w:val="22"/>
          <w:lang w:val="vi-VN" w:eastAsia="ja-JP"/>
        </w:rPr>
        <w:t>β</w:t>
      </w:r>
      <w:r w:rsidRPr="005E6B7C">
        <w:rPr>
          <w:rFonts w:asciiTheme="majorHAnsi" w:eastAsia="Yu Mincho" w:hAnsiTheme="majorHAnsi" w:cstheme="majorHAnsi"/>
          <w:iCs/>
          <w:color w:val="000000" w:themeColor="text1"/>
          <w:spacing w:val="-6"/>
          <w:sz w:val="22"/>
          <w:szCs w:val="22"/>
          <w:lang w:val="vi-VN" w:eastAsia="ja-JP"/>
        </w:rPr>
        <w:t>-(</w:t>
      </w:r>
      <w:r w:rsidRPr="005E6B7C">
        <w:rPr>
          <w:rFonts w:asciiTheme="majorHAnsi" w:eastAsia="Yu Mincho" w:hAnsiTheme="majorHAnsi" w:cstheme="majorHAnsi"/>
          <w:i/>
          <w:iCs/>
          <w:color w:val="000000" w:themeColor="text1"/>
          <w:spacing w:val="-6"/>
          <w:sz w:val="22"/>
          <w:szCs w:val="22"/>
          <w:lang w:val="vi-VN" w:eastAsia="ja-JP"/>
        </w:rPr>
        <w:t>E</w:t>
      </w:r>
      <w:r w:rsidRPr="005E6B7C">
        <w:rPr>
          <w:rFonts w:asciiTheme="majorHAnsi" w:eastAsia="Yu Mincho" w:hAnsiTheme="majorHAnsi" w:cstheme="majorHAnsi"/>
          <w:iCs/>
          <w:color w:val="000000" w:themeColor="text1"/>
          <w:spacing w:val="-6"/>
          <w:sz w:val="22"/>
          <w:szCs w:val="22"/>
          <w:lang w:val="vi-VN" w:eastAsia="ja-JP"/>
        </w:rPr>
        <w:t xml:space="preserve">)-caryophyllene, </w:t>
      </w:r>
      <w:r w:rsidRPr="005E6B7C">
        <w:rPr>
          <w:rFonts w:asciiTheme="majorHAnsi" w:eastAsia="Yu Mincho" w:hAnsiTheme="majorHAnsi" w:cstheme="majorHAnsi"/>
          <w:i/>
          <w:iCs/>
          <w:color w:val="000000" w:themeColor="text1"/>
          <w:spacing w:val="-6"/>
          <w:sz w:val="22"/>
          <w:szCs w:val="22"/>
          <w:lang w:val="vi-VN" w:eastAsia="ja-JP"/>
        </w:rPr>
        <w:t>α</w:t>
      </w:r>
      <w:r w:rsidRPr="005E6B7C">
        <w:rPr>
          <w:rFonts w:asciiTheme="majorHAnsi" w:eastAsia="Yu Mincho" w:hAnsiTheme="majorHAnsi" w:cstheme="majorHAnsi"/>
          <w:iCs/>
          <w:color w:val="000000" w:themeColor="text1"/>
          <w:spacing w:val="-6"/>
          <w:sz w:val="22"/>
          <w:szCs w:val="22"/>
          <w:lang w:val="vi-VN" w:eastAsia="ja-JP"/>
        </w:rPr>
        <w:t xml:space="preserve">-pinene, </w:t>
      </w:r>
      <w:r w:rsidRPr="005E6B7C">
        <w:rPr>
          <w:rFonts w:asciiTheme="majorHAnsi" w:eastAsia="Yu Mincho" w:hAnsiTheme="majorHAnsi" w:cstheme="majorHAnsi"/>
          <w:i/>
          <w:iCs/>
          <w:color w:val="000000" w:themeColor="text1"/>
          <w:spacing w:val="-6"/>
          <w:sz w:val="22"/>
          <w:szCs w:val="22"/>
          <w:lang w:val="vi-VN" w:eastAsia="ja-JP"/>
        </w:rPr>
        <w:t>β</w:t>
      </w:r>
      <w:r w:rsidRPr="005E6B7C">
        <w:rPr>
          <w:rFonts w:asciiTheme="majorHAnsi" w:eastAsia="Yu Mincho" w:hAnsiTheme="majorHAnsi" w:cstheme="majorHAnsi"/>
          <w:iCs/>
          <w:color w:val="000000" w:themeColor="text1"/>
          <w:spacing w:val="-6"/>
          <w:sz w:val="22"/>
          <w:szCs w:val="22"/>
          <w:lang w:val="vi-VN" w:eastAsia="ja-JP"/>
        </w:rPr>
        <w:t xml:space="preserve">-pinene, and </w:t>
      </w:r>
      <w:r w:rsidRPr="005E6B7C">
        <w:rPr>
          <w:rFonts w:asciiTheme="majorHAnsi" w:eastAsia="Yu Mincho" w:hAnsiTheme="majorHAnsi" w:cstheme="majorHAnsi"/>
          <w:i/>
          <w:iCs/>
          <w:color w:val="000000" w:themeColor="text1"/>
          <w:spacing w:val="-6"/>
          <w:sz w:val="22"/>
          <w:szCs w:val="22"/>
          <w:lang w:val="vi-VN" w:eastAsia="ja-JP"/>
        </w:rPr>
        <w:t>α</w:t>
      </w:r>
      <w:r w:rsidRPr="005E6B7C">
        <w:rPr>
          <w:rFonts w:asciiTheme="majorHAnsi" w:eastAsia="Yu Mincho" w:hAnsiTheme="majorHAnsi" w:cstheme="majorHAnsi"/>
          <w:iCs/>
          <w:color w:val="000000" w:themeColor="text1"/>
          <w:spacing w:val="-6"/>
          <w:sz w:val="22"/>
          <w:szCs w:val="22"/>
          <w:lang w:val="vi-VN" w:eastAsia="ja-JP"/>
        </w:rPr>
        <w:t xml:space="preserve">-farnesene. Terpenoids are known to affect microbial cell membranes and disrupt cellular processes. In addition, synergistic interactions among essential oil components may contribute to the observed activity </w:t>
      </w:r>
      <w:r w:rsidRPr="005E6B7C">
        <w:rPr>
          <w:rFonts w:asciiTheme="majorHAnsi" w:eastAsia="Yu Mincho" w:hAnsiTheme="majorHAnsi" w:cstheme="majorHAnsi"/>
          <w:iCs/>
          <w:color w:val="000000" w:themeColor="text1"/>
          <w:spacing w:val="-6"/>
          <w:sz w:val="22"/>
          <w:szCs w:val="22"/>
          <w:lang w:val="vi-VN" w:eastAsia="ja-JP"/>
        </w:rPr>
        <w:fldChar w:fldCharType="begin"/>
      </w:r>
      <w:r w:rsidRPr="005E6B7C">
        <w:rPr>
          <w:rFonts w:asciiTheme="majorHAnsi" w:eastAsia="Yu Mincho" w:hAnsiTheme="majorHAnsi" w:cstheme="majorHAnsi"/>
          <w:iCs/>
          <w:color w:val="000000" w:themeColor="text1"/>
          <w:spacing w:val="-6"/>
          <w:sz w:val="22"/>
          <w:szCs w:val="22"/>
          <w:lang w:val="vi-VN" w:eastAsia="ja-JP"/>
        </w:rPr>
        <w:instrText xml:space="preserve"> ADDIN EN.CITE &lt;EndNote&gt;&lt;Cite&gt;&lt;Author&gt;Bassolé&lt;/Author&gt;&lt;Year&gt;2012&lt;/Year&gt;&lt;RecNum&gt;26&lt;/RecNum&gt;&lt;DisplayText&gt;[23]&lt;/DisplayText&gt;&lt;record&gt;&lt;rec-number&gt;26&lt;/rec-number&gt;&lt;foreign-keys&gt;&lt;key app="EN" db-id="ests5zdscdrx0ke55w45va2tp5tasftw5xat" timestamp="1770490552"&gt;26&lt;/key&gt;&lt;/foreign-keys&gt;&lt;ref-type name="Journal Article"&gt;17&lt;/ref-type&gt;&lt;contributors&gt;&lt;authors&gt;&lt;author&gt;Bassolé, I. H.&lt;/author&gt;&lt;author&gt;Juliani, H. R.&lt;/author&gt;&lt;/authors&gt;&lt;/contributors&gt;&lt;auth-address&gt;Laboratoire BAEBIB, UFR-SVT, Université de Ouagadougou, 09 BP 848 Ouagadougou, Burkina Faso. hbassole@hotmail.com&lt;/auth-address&gt;&lt;titles&gt;&lt;title&gt;Essential oils in combination and their antimicrobial properties&lt;/title&gt;&lt;secondary-title&gt;Molecules&lt;/secondary-title&gt;&lt;/titles&gt;&lt;periodical&gt;&lt;full-title&gt;Molecules&lt;/full-title&gt;&lt;/periodical&gt;&lt;pages&gt;3989-4006&lt;/pages&gt;&lt;volume&gt;17&lt;/volume&gt;&lt;number&gt;4&lt;/number&gt;&lt;edition&gt;20120402&lt;/edition&gt;&lt;keywords&gt;&lt;keyword&gt;Anti-Infective Agents/chemistry/*pharmacology&lt;/keyword&gt;&lt;keyword&gt;Drug Combinations&lt;/keyword&gt;&lt;keyword&gt;Drug Synergism&lt;/keyword&gt;&lt;keyword&gt;Microbial Sensitivity Tests&lt;/keyword&gt;&lt;keyword&gt;Oils, Volatile/chemistry/*pharmacology&lt;/keyword&gt;&lt;/keywords&gt;&lt;dates&gt;&lt;year&gt;2012&lt;/year&gt;&lt;pub-dates&gt;&lt;date&gt;Apr 2&lt;/date&gt;&lt;/pub-dates&gt;&lt;/dates&gt;&lt;isbn&gt;1420-3049&lt;/isbn&gt;&lt;accession-num&gt;22469594&lt;/accession-num&gt;&lt;urls&gt;&lt;/urls&gt;&lt;custom2&gt;PMC6268925&lt;/custom2&gt;&lt;electronic-resource-num&gt;10.3390/molecules17043989&lt;/electronic-resource-num&gt;&lt;remote-database-provider&gt;NLM&lt;/remote-database-provider&gt;&lt;language&gt;eng&lt;/language&gt;&lt;/record&gt;&lt;/Cite&gt;&lt;/EndNote&gt;</w:instrText>
      </w:r>
      <w:r w:rsidRPr="005E6B7C">
        <w:rPr>
          <w:rFonts w:asciiTheme="majorHAnsi" w:eastAsia="Yu Mincho" w:hAnsiTheme="majorHAnsi" w:cstheme="majorHAnsi"/>
          <w:iCs/>
          <w:color w:val="000000" w:themeColor="text1"/>
          <w:spacing w:val="-6"/>
          <w:sz w:val="22"/>
          <w:szCs w:val="22"/>
          <w:lang w:val="vi-VN" w:eastAsia="ja-JP"/>
        </w:rPr>
        <w:fldChar w:fldCharType="separate"/>
      </w:r>
      <w:r w:rsidRPr="005E6B7C">
        <w:rPr>
          <w:rFonts w:asciiTheme="majorHAnsi" w:eastAsia="Yu Mincho" w:hAnsiTheme="majorHAnsi" w:cstheme="majorHAnsi"/>
          <w:iCs/>
          <w:noProof/>
          <w:color w:val="000000" w:themeColor="text1"/>
          <w:spacing w:val="-6"/>
          <w:sz w:val="22"/>
          <w:szCs w:val="22"/>
          <w:lang w:val="vi-VN" w:eastAsia="ja-JP"/>
        </w:rPr>
        <w:t>[23]</w:t>
      </w:r>
      <w:r w:rsidRPr="005E6B7C">
        <w:rPr>
          <w:rFonts w:asciiTheme="majorHAnsi" w:eastAsia="Yu Mincho" w:hAnsiTheme="majorHAnsi" w:cstheme="majorHAnsi"/>
          <w:iCs/>
          <w:color w:val="000000" w:themeColor="text1"/>
          <w:spacing w:val="-6"/>
          <w:sz w:val="22"/>
          <w:szCs w:val="22"/>
          <w:lang w:val="vi-VN" w:eastAsia="ja-JP"/>
        </w:rPr>
        <w:fldChar w:fldCharType="end"/>
      </w:r>
      <w:r w:rsidRPr="005E6B7C">
        <w:rPr>
          <w:rFonts w:asciiTheme="majorHAnsi" w:eastAsia="Yu Mincho" w:hAnsiTheme="majorHAnsi" w:cstheme="majorHAnsi"/>
          <w:iCs/>
          <w:color w:val="000000" w:themeColor="text1"/>
          <w:spacing w:val="-6"/>
          <w:sz w:val="22"/>
          <w:szCs w:val="22"/>
          <w:lang w:val="vi-VN" w:eastAsia="ja-JP"/>
        </w:rPr>
        <w:t>.</w:t>
      </w:r>
      <w:r w:rsidRPr="005E6B7C">
        <w:rPr>
          <w:rFonts w:asciiTheme="majorHAnsi" w:eastAsia="Yu Mincho" w:hAnsiTheme="majorHAnsi" w:cstheme="majorHAnsi"/>
          <w:iCs/>
          <w:color w:val="000000" w:themeColor="text1"/>
          <w:spacing w:val="-6"/>
          <w:sz w:val="22"/>
          <w:szCs w:val="22"/>
          <w:lang w:eastAsia="ja-JP"/>
        </w:rPr>
        <w:t xml:space="preserve"> </w:t>
      </w:r>
      <w:r w:rsidRPr="005E6B7C">
        <w:rPr>
          <w:rFonts w:asciiTheme="majorHAnsi" w:eastAsia="Yu Mincho" w:hAnsiTheme="majorHAnsi" w:cstheme="majorHAnsi"/>
          <w:iCs/>
          <w:color w:val="000000" w:themeColor="text1"/>
          <w:spacing w:val="-6"/>
          <w:sz w:val="22"/>
          <w:szCs w:val="22"/>
          <w:lang w:val="vi-VN" w:eastAsia="ja-JP"/>
        </w:rPr>
        <w:t xml:space="preserve">Although the essential oil is less potent than standard antibiotics, its measurable inhibition of Gram-positive bacteria suggests potential for further investigation, particularly in studies on the mechanism of action, fractionation, and evaluation of individual or combined constituents. Further research is also needed to determine whether </w:t>
      </w:r>
      <w:r w:rsidRPr="005E6B7C">
        <w:rPr>
          <w:rFonts w:asciiTheme="majorHAnsi" w:eastAsia="Yu Mincho" w:hAnsiTheme="majorHAnsi" w:cstheme="majorHAnsi"/>
          <w:iCs/>
          <w:color w:val="000000" w:themeColor="text1"/>
          <w:spacing w:val="-6"/>
          <w:sz w:val="22"/>
          <w:szCs w:val="22"/>
          <w:lang w:val="vi-VN" w:eastAsia="ja-JP"/>
        </w:rPr>
        <w:lastRenderedPageBreak/>
        <w:t xml:space="preserve">the effect is bacteriostatic or bactericidal and to assess its activity </w:t>
      </w:r>
      <w:r w:rsidR="00894500" w:rsidRPr="005E6B7C">
        <w:rPr>
          <w:rFonts w:asciiTheme="majorHAnsi" w:eastAsia="Yu Mincho" w:hAnsiTheme="majorHAnsi" w:cstheme="majorHAnsi"/>
          <w:i/>
          <w:iCs/>
          <w:color w:val="000000" w:themeColor="text1"/>
          <w:spacing w:val="-6"/>
          <w:sz w:val="22"/>
          <w:szCs w:val="22"/>
          <w:lang w:val="vi-VN" w:eastAsia="ja-JP"/>
        </w:rPr>
        <w:t>in vivo</w:t>
      </w:r>
      <w:r w:rsidRPr="005E6B7C">
        <w:rPr>
          <w:rFonts w:asciiTheme="majorHAnsi" w:eastAsia="Yu Mincho" w:hAnsiTheme="majorHAnsi" w:cstheme="majorHAnsi"/>
          <w:iCs/>
          <w:color w:val="000000" w:themeColor="text1"/>
          <w:spacing w:val="-6"/>
          <w:sz w:val="22"/>
          <w:szCs w:val="22"/>
          <w:lang w:val="vi-VN" w:eastAsia="ja-JP"/>
        </w:rPr>
        <w:t>.</w:t>
      </w:r>
    </w:p>
    <w:p w14:paraId="6F35E854"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color w:val="000000" w:themeColor="text1"/>
          <w:spacing w:val="-2"/>
          <w:sz w:val="22"/>
          <w:szCs w:val="22"/>
          <w:lang w:val="vi-VN" w:eastAsia="ja-JP"/>
        </w:rPr>
      </w:pPr>
      <w:r w:rsidRPr="005E6B7C">
        <w:rPr>
          <w:rFonts w:asciiTheme="majorHAnsi" w:eastAsia="Yu Mincho" w:hAnsiTheme="majorHAnsi" w:cstheme="majorHAnsi"/>
          <w:i/>
          <w:color w:val="000000" w:themeColor="text1"/>
          <w:spacing w:val="-2"/>
          <w:sz w:val="22"/>
          <w:szCs w:val="22"/>
          <w:lang w:val="vi-VN" w:eastAsia="ja-JP"/>
        </w:rPr>
        <w:t>3.3. Cytotoxic activity of the essential oil</w:t>
      </w:r>
    </w:p>
    <w:p w14:paraId="021EDD60" w14:textId="67BD4166" w:rsidR="0074352D"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2"/>
          <w:sz w:val="22"/>
          <w:szCs w:val="22"/>
          <w:lang w:eastAsia="ja-JP"/>
        </w:rPr>
      </w:pPr>
      <w:r w:rsidRPr="005E6B7C">
        <w:rPr>
          <w:rFonts w:asciiTheme="majorHAnsi" w:eastAsia="Yu Mincho" w:hAnsiTheme="majorHAnsi" w:cstheme="majorHAnsi"/>
          <w:iCs/>
          <w:color w:val="000000" w:themeColor="text1"/>
          <w:spacing w:val="-2"/>
          <w:sz w:val="22"/>
          <w:szCs w:val="22"/>
          <w:lang w:val="vi-VN" w:eastAsia="ja-JP"/>
        </w:rPr>
        <w:t xml:space="preserve">The cytotoxic activity of the leaf essential oil of </w:t>
      </w:r>
      <w:r w:rsidRPr="005E6B7C">
        <w:rPr>
          <w:rFonts w:asciiTheme="majorHAnsi" w:eastAsia="Yu Mincho" w:hAnsiTheme="majorHAnsi" w:cstheme="majorHAnsi"/>
          <w:i/>
          <w:color w:val="000000" w:themeColor="text1"/>
          <w:spacing w:val="-2"/>
          <w:sz w:val="22"/>
          <w:szCs w:val="22"/>
          <w:lang w:val="vi-VN" w:eastAsia="ja-JP"/>
        </w:rPr>
        <w:t>K</w:t>
      </w:r>
      <w:r w:rsidRPr="005E6B7C">
        <w:rPr>
          <w:rFonts w:asciiTheme="majorHAnsi" w:eastAsia="Yu Mincho" w:hAnsiTheme="majorHAnsi" w:cstheme="majorHAnsi"/>
          <w:i/>
          <w:color w:val="000000" w:themeColor="text1"/>
          <w:spacing w:val="-2"/>
          <w:sz w:val="22"/>
          <w:szCs w:val="22"/>
          <w:lang w:eastAsia="ja-JP"/>
        </w:rPr>
        <w:t>.</w:t>
      </w:r>
      <w:r w:rsidRPr="005E6B7C">
        <w:rPr>
          <w:rFonts w:asciiTheme="majorHAnsi" w:eastAsia="Yu Mincho" w:hAnsiTheme="majorHAnsi" w:cstheme="majorHAnsi"/>
          <w:i/>
          <w:color w:val="000000" w:themeColor="text1"/>
          <w:spacing w:val="-2"/>
          <w:sz w:val="22"/>
          <w:szCs w:val="22"/>
          <w:lang w:val="vi-VN" w:eastAsia="ja-JP"/>
        </w:rPr>
        <w:t xml:space="preserve"> globularia</w:t>
      </w:r>
      <w:r w:rsidRPr="005E6B7C">
        <w:rPr>
          <w:rFonts w:asciiTheme="majorHAnsi" w:eastAsia="Yu Mincho" w:hAnsiTheme="majorHAnsi" w:cstheme="majorHAnsi"/>
          <w:iCs/>
          <w:color w:val="000000" w:themeColor="text1"/>
          <w:spacing w:val="-2"/>
          <w:sz w:val="22"/>
          <w:szCs w:val="22"/>
          <w:lang w:val="vi-VN" w:eastAsia="ja-JP"/>
        </w:rPr>
        <w:t xml:space="preserve"> against four human cancer cell lines is summarized in </w:t>
      </w:r>
      <w:r w:rsidRPr="005E6B7C">
        <w:rPr>
          <w:rFonts w:asciiTheme="majorHAnsi" w:eastAsia="Yu Mincho" w:hAnsiTheme="majorHAnsi" w:cstheme="majorHAnsi"/>
          <w:b/>
          <w:bCs/>
          <w:iCs/>
          <w:color w:val="000000" w:themeColor="text1"/>
          <w:spacing w:val="-2"/>
          <w:sz w:val="22"/>
          <w:szCs w:val="22"/>
          <w:lang w:val="vi-VN" w:eastAsia="ja-JP"/>
        </w:rPr>
        <w:t xml:space="preserve">Table </w:t>
      </w:r>
      <w:r w:rsidR="00FC2DB5" w:rsidRPr="005E6B7C">
        <w:rPr>
          <w:rFonts w:asciiTheme="majorHAnsi" w:eastAsia="Yu Mincho" w:hAnsiTheme="majorHAnsi" w:cstheme="majorHAnsi"/>
          <w:b/>
          <w:bCs/>
          <w:iCs/>
          <w:color w:val="000000" w:themeColor="text1"/>
          <w:spacing w:val="-2"/>
          <w:sz w:val="22"/>
          <w:szCs w:val="22"/>
          <w:lang w:val="vi-VN" w:eastAsia="ja-JP"/>
        </w:rPr>
        <w:t>5</w:t>
      </w:r>
      <w:r w:rsidRPr="005E6B7C">
        <w:rPr>
          <w:rFonts w:asciiTheme="majorHAnsi" w:eastAsia="Yu Mincho" w:hAnsiTheme="majorHAnsi" w:cstheme="majorHAnsi"/>
          <w:iCs/>
          <w:color w:val="000000" w:themeColor="text1"/>
          <w:spacing w:val="-2"/>
          <w:sz w:val="22"/>
          <w:szCs w:val="22"/>
          <w:lang w:val="vi-VN" w:eastAsia="ja-JP"/>
        </w:rPr>
        <w:t>.</w:t>
      </w:r>
    </w:p>
    <w:p w14:paraId="751F4CEA"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eastAsia="ja-JP"/>
        </w:rPr>
        <w:sectPr w:rsidR="0074352D" w:rsidRPr="005E6B7C" w:rsidSect="0074352D">
          <w:type w:val="continuous"/>
          <w:pgSz w:w="10773" w:h="15309" w:code="9"/>
          <w:pgMar w:top="907" w:right="851" w:bottom="1418" w:left="851" w:header="397" w:footer="851" w:gutter="0"/>
          <w:cols w:num="2" w:space="284"/>
          <w:docGrid w:linePitch="360"/>
        </w:sectPr>
      </w:pPr>
    </w:p>
    <w:p w14:paraId="4CD6B12F" w14:textId="77777777" w:rsidR="0074352D" w:rsidRPr="005E6B7C" w:rsidRDefault="0074352D" w:rsidP="008C0D47">
      <w:pPr>
        <w:tabs>
          <w:tab w:val="left" w:pos="270"/>
          <w:tab w:val="left" w:pos="540"/>
          <w:tab w:val="left" w:pos="9270"/>
        </w:tabs>
        <w:spacing w:line="180" w:lineRule="exact"/>
        <w:ind w:right="-23"/>
        <w:contextualSpacing/>
        <w:jc w:val="center"/>
        <w:rPr>
          <w:rFonts w:asciiTheme="majorHAnsi" w:eastAsia="Yu Mincho" w:hAnsiTheme="majorHAnsi" w:cstheme="majorHAnsi"/>
          <w:b/>
          <w:bCs/>
          <w:iCs/>
          <w:color w:val="000000" w:themeColor="text1"/>
          <w:sz w:val="18"/>
          <w:szCs w:val="18"/>
          <w:lang w:eastAsia="ja-JP"/>
        </w:rPr>
      </w:pPr>
    </w:p>
    <w:p w14:paraId="63583283" w14:textId="77777777" w:rsidR="00E049CB" w:rsidRPr="005E6B7C" w:rsidRDefault="00E049CB" w:rsidP="008C0D47">
      <w:pPr>
        <w:tabs>
          <w:tab w:val="left" w:pos="270"/>
          <w:tab w:val="left" w:pos="540"/>
          <w:tab w:val="left" w:pos="9270"/>
        </w:tabs>
        <w:spacing w:line="180" w:lineRule="exact"/>
        <w:ind w:right="-23"/>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Table 5. </w:t>
      </w:r>
      <w:r w:rsidRPr="005E6B7C">
        <w:rPr>
          <w:rFonts w:asciiTheme="majorHAnsi" w:eastAsia="Yu Mincho" w:hAnsiTheme="majorHAnsi" w:cstheme="majorHAnsi"/>
          <w:iCs/>
          <w:color w:val="000000" w:themeColor="text1"/>
          <w:sz w:val="18"/>
          <w:szCs w:val="18"/>
          <w:lang w:val="vi-VN" w:eastAsia="ja-JP"/>
        </w:rPr>
        <w:t xml:space="preserve">Cytotoxic activity of the essential oils from </w:t>
      </w:r>
      <w:r w:rsidRPr="005E6B7C">
        <w:rPr>
          <w:rFonts w:asciiTheme="majorHAnsi" w:eastAsia="Yu Mincho" w:hAnsiTheme="majorHAnsi" w:cstheme="majorHAnsi"/>
          <w:i/>
          <w:color w:val="000000" w:themeColor="text1"/>
          <w:sz w:val="18"/>
          <w:szCs w:val="18"/>
          <w:lang w:val="vi-VN" w:eastAsia="ja-JP"/>
        </w:rPr>
        <w:t>K. globularia</w:t>
      </w:r>
      <w:r w:rsidRPr="005E6B7C">
        <w:rPr>
          <w:rFonts w:asciiTheme="majorHAnsi" w:eastAsia="Yu Mincho" w:hAnsiTheme="majorHAnsi" w:cstheme="majorHAnsi"/>
          <w:iCs/>
          <w:color w:val="000000" w:themeColor="text1"/>
          <w:sz w:val="18"/>
          <w:szCs w:val="18"/>
          <w:lang w:val="vi-VN" w:eastAsia="ja-JP"/>
        </w:rPr>
        <w:t xml:space="preserve"> leaves (EO)</w:t>
      </w:r>
    </w:p>
    <w:p w14:paraId="4996AEA5" w14:textId="77777777" w:rsidR="00AF4AD1" w:rsidRPr="005E6B7C" w:rsidRDefault="00AF4AD1" w:rsidP="008C0D47">
      <w:pPr>
        <w:tabs>
          <w:tab w:val="left" w:pos="270"/>
          <w:tab w:val="left" w:pos="540"/>
          <w:tab w:val="left" w:pos="9270"/>
        </w:tabs>
        <w:spacing w:after="120" w:line="180" w:lineRule="exact"/>
        <w:contextualSpacing/>
        <w:jc w:val="center"/>
        <w:rPr>
          <w:rFonts w:asciiTheme="majorHAnsi" w:eastAsia="Yu Mincho" w:hAnsiTheme="majorHAnsi" w:cstheme="majorHAnsi"/>
          <w:iCs/>
          <w:color w:val="000000" w:themeColor="text1"/>
          <w:sz w:val="18"/>
          <w:szCs w:val="18"/>
          <w:lang w:eastAsia="ja-JP"/>
        </w:rPr>
      </w:pPr>
    </w:p>
    <w:tbl>
      <w:tblPr>
        <w:tblStyle w:val="TableGrid10"/>
        <w:tblW w:w="9072" w:type="dxa"/>
        <w:jc w:val="center"/>
        <w:tblLayout w:type="fixed"/>
        <w:tblLook w:val="04A0" w:firstRow="1" w:lastRow="0" w:firstColumn="1" w:lastColumn="0" w:noHBand="0" w:noVBand="1"/>
      </w:tblPr>
      <w:tblGrid>
        <w:gridCol w:w="1182"/>
        <w:gridCol w:w="1177"/>
        <w:gridCol w:w="1048"/>
        <w:gridCol w:w="1433"/>
        <w:gridCol w:w="1434"/>
        <w:gridCol w:w="1433"/>
        <w:gridCol w:w="1365"/>
      </w:tblGrid>
      <w:tr w:rsidR="00E049CB" w:rsidRPr="005E6B7C" w14:paraId="5B3E07CF" w14:textId="77777777" w:rsidTr="00F5234A">
        <w:trPr>
          <w:jc w:val="center"/>
        </w:trPr>
        <w:tc>
          <w:tcPr>
            <w:tcW w:w="1281" w:type="dxa"/>
            <w:tcBorders>
              <w:top w:val="dotted" w:sz="4" w:space="0" w:color="auto"/>
              <w:left w:val="dotted" w:sz="4" w:space="0" w:color="auto"/>
              <w:bottom w:val="dotted" w:sz="4" w:space="0" w:color="auto"/>
              <w:right w:val="dotted" w:sz="4" w:space="0" w:color="auto"/>
            </w:tcBorders>
            <w:vAlign w:val="center"/>
          </w:tcPr>
          <w:p w14:paraId="34B6CEB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Sample</w:t>
            </w:r>
          </w:p>
        </w:tc>
        <w:tc>
          <w:tcPr>
            <w:tcW w:w="1276" w:type="dxa"/>
            <w:tcBorders>
              <w:top w:val="dotted" w:sz="4" w:space="0" w:color="auto"/>
              <w:left w:val="dotted" w:sz="4" w:space="0" w:color="auto"/>
              <w:bottom w:val="dotted" w:sz="4" w:space="0" w:color="auto"/>
              <w:right w:val="dotted" w:sz="4" w:space="0" w:color="auto"/>
            </w:tcBorders>
            <w:vAlign w:val="center"/>
          </w:tcPr>
          <w:p w14:paraId="642586C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p>
        </w:tc>
        <w:tc>
          <w:tcPr>
            <w:tcW w:w="1134" w:type="dxa"/>
            <w:tcBorders>
              <w:top w:val="dotted" w:sz="4" w:space="0" w:color="auto"/>
              <w:left w:val="dotted" w:sz="4" w:space="0" w:color="auto"/>
              <w:bottom w:val="dotted" w:sz="4" w:space="0" w:color="auto"/>
              <w:right w:val="dotted" w:sz="4" w:space="0" w:color="auto"/>
            </w:tcBorders>
            <w:vAlign w:val="center"/>
          </w:tcPr>
          <w:p w14:paraId="0EB0EFB1" w14:textId="72762EAB"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Conc. (</w:t>
            </w:r>
            <w:r w:rsidR="00266B26" w:rsidRPr="005E6B7C">
              <w:rPr>
                <w:rFonts w:asciiTheme="majorHAnsi" w:eastAsia="Yu Mincho" w:hAnsiTheme="majorHAnsi" w:cstheme="majorHAnsi"/>
                <w:b/>
                <w:bCs/>
                <w:i/>
                <w:iCs/>
                <w:color w:val="000000" w:themeColor="text1"/>
                <w:sz w:val="18"/>
                <w:szCs w:val="18"/>
                <w:lang w:val="vi-VN" w:eastAsia="ja-JP"/>
              </w:rPr>
              <w:t>µ</w:t>
            </w:r>
            <w:r w:rsidRPr="005E6B7C">
              <w:rPr>
                <w:rFonts w:asciiTheme="majorHAnsi" w:eastAsia="Yu Mincho" w:hAnsiTheme="majorHAnsi" w:cstheme="majorHAnsi"/>
                <w:b/>
                <w:bCs/>
                <w:iCs/>
                <w:color w:val="000000" w:themeColor="text1"/>
                <w:sz w:val="18"/>
                <w:szCs w:val="18"/>
                <w:lang w:val="vi-VN" w:eastAsia="ja-JP"/>
              </w:rPr>
              <w:t>g/mL)</w:t>
            </w:r>
          </w:p>
        </w:tc>
        <w:tc>
          <w:tcPr>
            <w:tcW w:w="1559" w:type="dxa"/>
            <w:tcBorders>
              <w:top w:val="dotted" w:sz="4" w:space="0" w:color="auto"/>
              <w:left w:val="dotted" w:sz="4" w:space="0" w:color="auto"/>
              <w:bottom w:val="dotted" w:sz="4" w:space="0" w:color="auto"/>
              <w:right w:val="dotted" w:sz="4" w:space="0" w:color="auto"/>
            </w:tcBorders>
            <w:vAlign w:val="center"/>
          </w:tcPr>
          <w:p w14:paraId="34E819E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KB</w:t>
            </w:r>
          </w:p>
        </w:tc>
        <w:tc>
          <w:tcPr>
            <w:tcW w:w="1560" w:type="dxa"/>
            <w:tcBorders>
              <w:top w:val="dotted" w:sz="4" w:space="0" w:color="auto"/>
              <w:left w:val="dotted" w:sz="4" w:space="0" w:color="auto"/>
              <w:bottom w:val="dotted" w:sz="4" w:space="0" w:color="auto"/>
              <w:right w:val="dotted" w:sz="4" w:space="0" w:color="auto"/>
            </w:tcBorders>
            <w:vAlign w:val="center"/>
          </w:tcPr>
          <w:p w14:paraId="4736095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HepG2</w:t>
            </w:r>
          </w:p>
        </w:tc>
        <w:tc>
          <w:tcPr>
            <w:tcW w:w="1559" w:type="dxa"/>
            <w:tcBorders>
              <w:top w:val="dotted" w:sz="4" w:space="0" w:color="auto"/>
              <w:left w:val="dotted" w:sz="4" w:space="0" w:color="auto"/>
              <w:bottom w:val="dotted" w:sz="4" w:space="0" w:color="auto"/>
              <w:right w:val="dotted" w:sz="4" w:space="0" w:color="auto"/>
            </w:tcBorders>
            <w:vAlign w:val="center"/>
          </w:tcPr>
          <w:p w14:paraId="7F10E2F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A549</w:t>
            </w:r>
          </w:p>
        </w:tc>
        <w:tc>
          <w:tcPr>
            <w:tcW w:w="1484" w:type="dxa"/>
            <w:tcBorders>
              <w:top w:val="dotted" w:sz="4" w:space="0" w:color="auto"/>
              <w:left w:val="dotted" w:sz="4" w:space="0" w:color="auto"/>
              <w:bottom w:val="dotted" w:sz="4" w:space="0" w:color="auto"/>
              <w:right w:val="dotted" w:sz="4" w:space="0" w:color="auto"/>
            </w:tcBorders>
            <w:vAlign w:val="center"/>
          </w:tcPr>
          <w:p w14:paraId="45E0C6F9" w14:textId="01C5BD3E"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val="vi-VN" w:eastAsia="ja-JP"/>
              </w:rPr>
            </w:pPr>
            <w:r w:rsidRPr="005E6B7C">
              <w:rPr>
                <w:rFonts w:asciiTheme="majorHAnsi" w:eastAsia="Yu Mincho" w:hAnsiTheme="majorHAnsi" w:cstheme="majorHAnsi"/>
                <w:b/>
                <w:bCs/>
                <w:iCs/>
                <w:color w:val="000000" w:themeColor="text1"/>
                <w:sz w:val="18"/>
                <w:szCs w:val="18"/>
                <w:lang w:val="vi-VN" w:eastAsia="ja-JP"/>
              </w:rPr>
              <w:t>MCF</w:t>
            </w:r>
            <w:r w:rsidR="00FB7B36" w:rsidRPr="005E6B7C">
              <w:rPr>
                <w:rFonts w:asciiTheme="majorHAnsi" w:eastAsia="Yu Mincho" w:hAnsiTheme="majorHAnsi" w:cstheme="majorHAnsi"/>
                <w:b/>
                <w:bCs/>
                <w:iCs/>
                <w:color w:val="000000" w:themeColor="text1"/>
                <w:sz w:val="18"/>
                <w:szCs w:val="18"/>
                <w:lang w:val="vi-VN" w:eastAsia="ja-JP"/>
              </w:rPr>
              <w:t>-</w:t>
            </w:r>
            <w:r w:rsidRPr="005E6B7C">
              <w:rPr>
                <w:rFonts w:asciiTheme="majorHAnsi" w:eastAsia="Yu Mincho" w:hAnsiTheme="majorHAnsi" w:cstheme="majorHAnsi"/>
                <w:b/>
                <w:bCs/>
                <w:iCs/>
                <w:color w:val="000000" w:themeColor="text1"/>
                <w:sz w:val="18"/>
                <w:szCs w:val="18"/>
                <w:lang w:val="vi-VN" w:eastAsia="ja-JP"/>
              </w:rPr>
              <w:t>7</w:t>
            </w:r>
          </w:p>
        </w:tc>
      </w:tr>
      <w:tr w:rsidR="00E049CB" w:rsidRPr="005E6B7C" w14:paraId="339AB36C" w14:textId="77777777" w:rsidTr="00F5234A">
        <w:trPr>
          <w:jc w:val="center"/>
        </w:trPr>
        <w:tc>
          <w:tcPr>
            <w:tcW w:w="1281" w:type="dxa"/>
            <w:vMerge w:val="restart"/>
            <w:tcBorders>
              <w:top w:val="dotted" w:sz="4" w:space="0" w:color="auto"/>
              <w:left w:val="dotted" w:sz="4" w:space="0" w:color="auto"/>
              <w:bottom w:val="dotted" w:sz="4" w:space="0" w:color="auto"/>
              <w:right w:val="dotted" w:sz="4" w:space="0" w:color="auto"/>
            </w:tcBorders>
            <w:vAlign w:val="center"/>
          </w:tcPr>
          <w:p w14:paraId="75BE89BB"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EO</w:t>
            </w:r>
          </w:p>
        </w:tc>
        <w:tc>
          <w:tcPr>
            <w:tcW w:w="1276" w:type="dxa"/>
            <w:vMerge w:val="restart"/>
            <w:tcBorders>
              <w:top w:val="dotted" w:sz="4" w:space="0" w:color="auto"/>
              <w:left w:val="dotted" w:sz="4" w:space="0" w:color="auto"/>
              <w:bottom w:val="dotted" w:sz="4" w:space="0" w:color="auto"/>
              <w:right w:val="dotted" w:sz="4" w:space="0" w:color="auto"/>
            </w:tcBorders>
            <w:vAlign w:val="center"/>
          </w:tcPr>
          <w:p w14:paraId="29B6BC9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Inhibition (%)</w:t>
            </w:r>
          </w:p>
        </w:tc>
        <w:tc>
          <w:tcPr>
            <w:tcW w:w="1134" w:type="dxa"/>
            <w:tcBorders>
              <w:top w:val="dotted" w:sz="4" w:space="0" w:color="auto"/>
              <w:left w:val="dotted" w:sz="4" w:space="0" w:color="auto"/>
              <w:bottom w:val="dotted" w:sz="4" w:space="0" w:color="auto"/>
              <w:right w:val="dotted" w:sz="4" w:space="0" w:color="auto"/>
            </w:tcBorders>
            <w:vAlign w:val="center"/>
          </w:tcPr>
          <w:p w14:paraId="626E288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256</w:t>
            </w:r>
          </w:p>
        </w:tc>
        <w:tc>
          <w:tcPr>
            <w:tcW w:w="1559" w:type="dxa"/>
            <w:tcBorders>
              <w:top w:val="dotted" w:sz="4" w:space="0" w:color="auto"/>
              <w:left w:val="dotted" w:sz="4" w:space="0" w:color="auto"/>
              <w:bottom w:val="dotted" w:sz="4" w:space="0" w:color="auto"/>
              <w:right w:val="dotted" w:sz="4" w:space="0" w:color="auto"/>
            </w:tcBorders>
            <w:vAlign w:val="center"/>
          </w:tcPr>
          <w:p w14:paraId="3716837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85</w:t>
            </w:r>
          </w:p>
        </w:tc>
        <w:tc>
          <w:tcPr>
            <w:tcW w:w="1560" w:type="dxa"/>
            <w:tcBorders>
              <w:top w:val="dotted" w:sz="4" w:space="0" w:color="auto"/>
              <w:left w:val="dotted" w:sz="4" w:space="0" w:color="auto"/>
              <w:bottom w:val="dotted" w:sz="4" w:space="0" w:color="auto"/>
              <w:right w:val="dotted" w:sz="4" w:space="0" w:color="auto"/>
            </w:tcBorders>
            <w:vAlign w:val="center"/>
          </w:tcPr>
          <w:p w14:paraId="75BD2DD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88</w:t>
            </w:r>
          </w:p>
        </w:tc>
        <w:tc>
          <w:tcPr>
            <w:tcW w:w="1559" w:type="dxa"/>
            <w:tcBorders>
              <w:top w:val="dotted" w:sz="4" w:space="0" w:color="auto"/>
              <w:left w:val="dotted" w:sz="4" w:space="0" w:color="auto"/>
              <w:bottom w:val="dotted" w:sz="4" w:space="0" w:color="auto"/>
              <w:right w:val="dotted" w:sz="4" w:space="0" w:color="auto"/>
            </w:tcBorders>
            <w:vAlign w:val="center"/>
          </w:tcPr>
          <w:p w14:paraId="759455E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91</w:t>
            </w:r>
          </w:p>
        </w:tc>
        <w:tc>
          <w:tcPr>
            <w:tcW w:w="1484" w:type="dxa"/>
            <w:tcBorders>
              <w:top w:val="dotted" w:sz="4" w:space="0" w:color="auto"/>
              <w:left w:val="dotted" w:sz="4" w:space="0" w:color="auto"/>
              <w:bottom w:val="dotted" w:sz="4" w:space="0" w:color="auto"/>
              <w:right w:val="dotted" w:sz="4" w:space="0" w:color="auto"/>
            </w:tcBorders>
            <w:vAlign w:val="center"/>
          </w:tcPr>
          <w:p w14:paraId="56AFDC1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87</w:t>
            </w:r>
          </w:p>
        </w:tc>
      </w:tr>
      <w:tr w:rsidR="00E049CB" w:rsidRPr="005E6B7C" w14:paraId="51BAFA52" w14:textId="77777777" w:rsidTr="00F5234A">
        <w:trPr>
          <w:jc w:val="center"/>
        </w:trPr>
        <w:tc>
          <w:tcPr>
            <w:tcW w:w="1281" w:type="dxa"/>
            <w:vMerge/>
            <w:tcBorders>
              <w:top w:val="dotted" w:sz="4" w:space="0" w:color="auto"/>
              <w:left w:val="dotted" w:sz="4" w:space="0" w:color="auto"/>
              <w:bottom w:val="dotted" w:sz="4" w:space="0" w:color="auto"/>
              <w:right w:val="dotted" w:sz="4" w:space="0" w:color="auto"/>
            </w:tcBorders>
            <w:vAlign w:val="center"/>
          </w:tcPr>
          <w:p w14:paraId="50E20D00"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276" w:type="dxa"/>
            <w:vMerge/>
            <w:tcBorders>
              <w:top w:val="dotted" w:sz="4" w:space="0" w:color="auto"/>
              <w:left w:val="dotted" w:sz="4" w:space="0" w:color="auto"/>
              <w:bottom w:val="dotted" w:sz="4" w:space="0" w:color="auto"/>
              <w:right w:val="dotted" w:sz="4" w:space="0" w:color="auto"/>
            </w:tcBorders>
            <w:vAlign w:val="center"/>
          </w:tcPr>
          <w:p w14:paraId="0B199FE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34" w:type="dxa"/>
            <w:tcBorders>
              <w:top w:val="dotted" w:sz="4" w:space="0" w:color="auto"/>
              <w:left w:val="dotted" w:sz="4" w:space="0" w:color="auto"/>
              <w:bottom w:val="dotted" w:sz="4" w:space="0" w:color="auto"/>
              <w:right w:val="dotted" w:sz="4" w:space="0" w:color="auto"/>
            </w:tcBorders>
            <w:vAlign w:val="center"/>
          </w:tcPr>
          <w:p w14:paraId="71173D4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64</w:t>
            </w:r>
          </w:p>
        </w:tc>
        <w:tc>
          <w:tcPr>
            <w:tcW w:w="1559" w:type="dxa"/>
            <w:tcBorders>
              <w:top w:val="dotted" w:sz="4" w:space="0" w:color="auto"/>
              <w:left w:val="dotted" w:sz="4" w:space="0" w:color="auto"/>
              <w:bottom w:val="dotted" w:sz="4" w:space="0" w:color="auto"/>
              <w:right w:val="dotted" w:sz="4" w:space="0" w:color="auto"/>
            </w:tcBorders>
            <w:vAlign w:val="center"/>
          </w:tcPr>
          <w:p w14:paraId="23968BA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52</w:t>
            </w:r>
          </w:p>
        </w:tc>
        <w:tc>
          <w:tcPr>
            <w:tcW w:w="1560" w:type="dxa"/>
            <w:tcBorders>
              <w:top w:val="dotted" w:sz="4" w:space="0" w:color="auto"/>
              <w:left w:val="dotted" w:sz="4" w:space="0" w:color="auto"/>
              <w:bottom w:val="dotted" w:sz="4" w:space="0" w:color="auto"/>
              <w:right w:val="dotted" w:sz="4" w:space="0" w:color="auto"/>
            </w:tcBorders>
            <w:vAlign w:val="center"/>
          </w:tcPr>
          <w:p w14:paraId="6178952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56</w:t>
            </w:r>
          </w:p>
        </w:tc>
        <w:tc>
          <w:tcPr>
            <w:tcW w:w="1559" w:type="dxa"/>
            <w:tcBorders>
              <w:top w:val="dotted" w:sz="4" w:space="0" w:color="auto"/>
              <w:left w:val="dotted" w:sz="4" w:space="0" w:color="auto"/>
              <w:bottom w:val="dotted" w:sz="4" w:space="0" w:color="auto"/>
              <w:right w:val="dotted" w:sz="4" w:space="0" w:color="auto"/>
            </w:tcBorders>
            <w:vAlign w:val="center"/>
          </w:tcPr>
          <w:p w14:paraId="69FEF34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74</w:t>
            </w:r>
          </w:p>
        </w:tc>
        <w:tc>
          <w:tcPr>
            <w:tcW w:w="1484" w:type="dxa"/>
            <w:tcBorders>
              <w:top w:val="dotted" w:sz="4" w:space="0" w:color="auto"/>
              <w:left w:val="dotted" w:sz="4" w:space="0" w:color="auto"/>
              <w:bottom w:val="dotted" w:sz="4" w:space="0" w:color="auto"/>
              <w:right w:val="dotted" w:sz="4" w:space="0" w:color="auto"/>
            </w:tcBorders>
            <w:vAlign w:val="center"/>
          </w:tcPr>
          <w:p w14:paraId="74C8ADA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53</w:t>
            </w:r>
          </w:p>
        </w:tc>
      </w:tr>
      <w:tr w:rsidR="00E049CB" w:rsidRPr="005E6B7C" w14:paraId="70CD6284" w14:textId="77777777" w:rsidTr="00F5234A">
        <w:trPr>
          <w:jc w:val="center"/>
        </w:trPr>
        <w:tc>
          <w:tcPr>
            <w:tcW w:w="1281" w:type="dxa"/>
            <w:vMerge/>
            <w:tcBorders>
              <w:top w:val="dotted" w:sz="4" w:space="0" w:color="auto"/>
              <w:left w:val="dotted" w:sz="4" w:space="0" w:color="auto"/>
              <w:bottom w:val="dotted" w:sz="4" w:space="0" w:color="auto"/>
              <w:right w:val="dotted" w:sz="4" w:space="0" w:color="auto"/>
            </w:tcBorders>
            <w:vAlign w:val="center"/>
          </w:tcPr>
          <w:p w14:paraId="0D21F20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276" w:type="dxa"/>
            <w:vMerge/>
            <w:tcBorders>
              <w:top w:val="dotted" w:sz="4" w:space="0" w:color="auto"/>
              <w:left w:val="dotted" w:sz="4" w:space="0" w:color="auto"/>
              <w:bottom w:val="dotted" w:sz="4" w:space="0" w:color="auto"/>
              <w:right w:val="dotted" w:sz="4" w:space="0" w:color="auto"/>
            </w:tcBorders>
            <w:vAlign w:val="center"/>
          </w:tcPr>
          <w:p w14:paraId="6A4EF95E"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34" w:type="dxa"/>
            <w:tcBorders>
              <w:top w:val="dotted" w:sz="4" w:space="0" w:color="auto"/>
              <w:left w:val="dotted" w:sz="4" w:space="0" w:color="auto"/>
              <w:bottom w:val="dotted" w:sz="4" w:space="0" w:color="auto"/>
              <w:right w:val="dotted" w:sz="4" w:space="0" w:color="auto"/>
            </w:tcBorders>
            <w:vAlign w:val="center"/>
          </w:tcPr>
          <w:p w14:paraId="72C16A8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559" w:type="dxa"/>
            <w:tcBorders>
              <w:top w:val="dotted" w:sz="4" w:space="0" w:color="auto"/>
              <w:left w:val="dotted" w:sz="4" w:space="0" w:color="auto"/>
              <w:bottom w:val="dotted" w:sz="4" w:space="0" w:color="auto"/>
              <w:right w:val="dotted" w:sz="4" w:space="0" w:color="auto"/>
            </w:tcBorders>
            <w:vAlign w:val="center"/>
          </w:tcPr>
          <w:p w14:paraId="0120C60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16.5</w:t>
            </w:r>
          </w:p>
        </w:tc>
        <w:tc>
          <w:tcPr>
            <w:tcW w:w="1560" w:type="dxa"/>
            <w:tcBorders>
              <w:top w:val="dotted" w:sz="4" w:space="0" w:color="auto"/>
              <w:left w:val="dotted" w:sz="4" w:space="0" w:color="auto"/>
              <w:bottom w:val="dotted" w:sz="4" w:space="0" w:color="auto"/>
              <w:right w:val="dotted" w:sz="4" w:space="0" w:color="auto"/>
            </w:tcBorders>
            <w:vAlign w:val="center"/>
          </w:tcPr>
          <w:p w14:paraId="61593C6D"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28.5</w:t>
            </w:r>
          </w:p>
        </w:tc>
        <w:tc>
          <w:tcPr>
            <w:tcW w:w="1559" w:type="dxa"/>
            <w:tcBorders>
              <w:top w:val="dotted" w:sz="4" w:space="0" w:color="auto"/>
              <w:left w:val="dotted" w:sz="4" w:space="0" w:color="auto"/>
              <w:bottom w:val="dotted" w:sz="4" w:space="0" w:color="auto"/>
              <w:right w:val="dotted" w:sz="4" w:space="0" w:color="auto"/>
            </w:tcBorders>
            <w:vAlign w:val="center"/>
          </w:tcPr>
          <w:p w14:paraId="37700B8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14</w:t>
            </w:r>
          </w:p>
        </w:tc>
        <w:tc>
          <w:tcPr>
            <w:tcW w:w="1484" w:type="dxa"/>
            <w:tcBorders>
              <w:top w:val="dotted" w:sz="4" w:space="0" w:color="auto"/>
              <w:left w:val="dotted" w:sz="4" w:space="0" w:color="auto"/>
              <w:bottom w:val="dotted" w:sz="4" w:space="0" w:color="auto"/>
              <w:right w:val="dotted" w:sz="4" w:space="0" w:color="auto"/>
            </w:tcBorders>
            <w:vAlign w:val="center"/>
          </w:tcPr>
          <w:p w14:paraId="6077D90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18</w:t>
            </w:r>
          </w:p>
        </w:tc>
      </w:tr>
      <w:tr w:rsidR="00E049CB" w:rsidRPr="005E6B7C" w14:paraId="1A39B0D6" w14:textId="77777777" w:rsidTr="00F5234A">
        <w:trPr>
          <w:trHeight w:val="273"/>
          <w:jc w:val="center"/>
        </w:trPr>
        <w:tc>
          <w:tcPr>
            <w:tcW w:w="1281" w:type="dxa"/>
            <w:vMerge/>
            <w:tcBorders>
              <w:top w:val="dotted" w:sz="4" w:space="0" w:color="auto"/>
              <w:left w:val="dotted" w:sz="4" w:space="0" w:color="auto"/>
              <w:bottom w:val="dotted" w:sz="4" w:space="0" w:color="auto"/>
              <w:right w:val="dotted" w:sz="4" w:space="0" w:color="auto"/>
            </w:tcBorders>
            <w:vAlign w:val="center"/>
          </w:tcPr>
          <w:p w14:paraId="124949A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276" w:type="dxa"/>
            <w:vMerge/>
            <w:tcBorders>
              <w:top w:val="dotted" w:sz="4" w:space="0" w:color="auto"/>
              <w:left w:val="dotted" w:sz="4" w:space="0" w:color="auto"/>
              <w:bottom w:val="dotted" w:sz="4" w:space="0" w:color="auto"/>
              <w:right w:val="dotted" w:sz="4" w:space="0" w:color="auto"/>
            </w:tcBorders>
            <w:vAlign w:val="center"/>
          </w:tcPr>
          <w:p w14:paraId="209B747F"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p>
        </w:tc>
        <w:tc>
          <w:tcPr>
            <w:tcW w:w="1134" w:type="dxa"/>
            <w:tcBorders>
              <w:top w:val="dotted" w:sz="4" w:space="0" w:color="auto"/>
              <w:left w:val="dotted" w:sz="4" w:space="0" w:color="auto"/>
              <w:bottom w:val="dotted" w:sz="4" w:space="0" w:color="auto"/>
              <w:right w:val="dotted" w:sz="4" w:space="0" w:color="auto"/>
            </w:tcBorders>
            <w:vAlign w:val="center"/>
          </w:tcPr>
          <w:p w14:paraId="06D0E40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559" w:type="dxa"/>
            <w:tcBorders>
              <w:top w:val="dotted" w:sz="4" w:space="0" w:color="auto"/>
              <w:left w:val="dotted" w:sz="4" w:space="0" w:color="auto"/>
              <w:bottom w:val="dotted" w:sz="4" w:space="0" w:color="auto"/>
              <w:right w:val="dotted" w:sz="4" w:space="0" w:color="auto"/>
            </w:tcBorders>
            <w:vAlign w:val="center"/>
          </w:tcPr>
          <w:p w14:paraId="16C8F414"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2</w:t>
            </w:r>
          </w:p>
        </w:tc>
        <w:tc>
          <w:tcPr>
            <w:tcW w:w="1560" w:type="dxa"/>
            <w:tcBorders>
              <w:top w:val="dotted" w:sz="4" w:space="0" w:color="auto"/>
              <w:left w:val="dotted" w:sz="4" w:space="0" w:color="auto"/>
              <w:bottom w:val="dotted" w:sz="4" w:space="0" w:color="auto"/>
              <w:right w:val="dotted" w:sz="4" w:space="0" w:color="auto"/>
            </w:tcBorders>
            <w:vAlign w:val="center"/>
          </w:tcPr>
          <w:p w14:paraId="36486FB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11</w:t>
            </w:r>
          </w:p>
        </w:tc>
        <w:tc>
          <w:tcPr>
            <w:tcW w:w="1559" w:type="dxa"/>
            <w:tcBorders>
              <w:top w:val="dotted" w:sz="4" w:space="0" w:color="auto"/>
              <w:left w:val="dotted" w:sz="4" w:space="0" w:color="auto"/>
              <w:bottom w:val="dotted" w:sz="4" w:space="0" w:color="auto"/>
              <w:right w:val="dotted" w:sz="4" w:space="0" w:color="auto"/>
            </w:tcBorders>
            <w:vAlign w:val="center"/>
          </w:tcPr>
          <w:p w14:paraId="13F1BDA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3</w:t>
            </w:r>
          </w:p>
        </w:tc>
        <w:tc>
          <w:tcPr>
            <w:tcW w:w="1484" w:type="dxa"/>
            <w:tcBorders>
              <w:top w:val="dotted" w:sz="4" w:space="0" w:color="auto"/>
              <w:left w:val="dotted" w:sz="4" w:space="0" w:color="auto"/>
              <w:bottom w:val="dotted" w:sz="4" w:space="0" w:color="auto"/>
              <w:right w:val="dotted" w:sz="4" w:space="0" w:color="auto"/>
            </w:tcBorders>
            <w:vAlign w:val="center"/>
          </w:tcPr>
          <w:p w14:paraId="3C04ABA5"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5</w:t>
            </w:r>
          </w:p>
        </w:tc>
      </w:tr>
      <w:tr w:rsidR="00E049CB" w:rsidRPr="005E6B7C" w14:paraId="1B3FFFE4" w14:textId="77777777" w:rsidTr="00F5234A">
        <w:trPr>
          <w:jc w:val="center"/>
        </w:trPr>
        <w:tc>
          <w:tcPr>
            <w:tcW w:w="1281" w:type="dxa"/>
            <w:vMerge/>
            <w:tcBorders>
              <w:top w:val="dotted" w:sz="4" w:space="0" w:color="auto"/>
              <w:left w:val="dotted" w:sz="4" w:space="0" w:color="auto"/>
              <w:bottom w:val="dotted" w:sz="4" w:space="0" w:color="auto"/>
              <w:right w:val="dotted" w:sz="4" w:space="0" w:color="auto"/>
            </w:tcBorders>
            <w:vAlign w:val="center"/>
          </w:tcPr>
          <w:p w14:paraId="3241B7B1"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p>
        </w:tc>
        <w:tc>
          <w:tcPr>
            <w:tcW w:w="2410" w:type="dxa"/>
            <w:gridSpan w:val="2"/>
            <w:tcBorders>
              <w:top w:val="dotted" w:sz="4" w:space="0" w:color="auto"/>
              <w:left w:val="dotted" w:sz="4" w:space="0" w:color="auto"/>
              <w:bottom w:val="dotted" w:sz="4" w:space="0" w:color="auto"/>
              <w:right w:val="dotted" w:sz="4" w:space="0" w:color="auto"/>
            </w:tcBorders>
            <w:vAlign w:val="center"/>
          </w:tcPr>
          <w:p w14:paraId="1E30D2C0" w14:textId="23EC67F9"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559" w:type="dxa"/>
            <w:tcBorders>
              <w:top w:val="dotted" w:sz="4" w:space="0" w:color="auto"/>
              <w:left w:val="dotted" w:sz="4" w:space="0" w:color="auto"/>
              <w:bottom w:val="dotted" w:sz="4" w:space="0" w:color="auto"/>
              <w:right w:val="dotted" w:sz="4" w:space="0" w:color="auto"/>
            </w:tcBorders>
            <w:vAlign w:val="center"/>
          </w:tcPr>
          <w:p w14:paraId="5211D43C"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61.28</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1.97</w:t>
            </w:r>
          </w:p>
        </w:tc>
        <w:tc>
          <w:tcPr>
            <w:tcW w:w="1560" w:type="dxa"/>
            <w:tcBorders>
              <w:top w:val="dotted" w:sz="4" w:space="0" w:color="auto"/>
              <w:left w:val="dotted" w:sz="4" w:space="0" w:color="auto"/>
              <w:bottom w:val="dotted" w:sz="4" w:space="0" w:color="auto"/>
              <w:right w:val="dotted" w:sz="4" w:space="0" w:color="auto"/>
            </w:tcBorders>
            <w:vAlign w:val="center"/>
          </w:tcPr>
          <w:p w14:paraId="1107DC63"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b/>
                <w:bCs/>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53.81</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3.10</w:t>
            </w:r>
          </w:p>
        </w:tc>
        <w:tc>
          <w:tcPr>
            <w:tcW w:w="1559" w:type="dxa"/>
            <w:tcBorders>
              <w:top w:val="dotted" w:sz="4" w:space="0" w:color="auto"/>
              <w:left w:val="dotted" w:sz="4" w:space="0" w:color="auto"/>
              <w:bottom w:val="dotted" w:sz="4" w:space="0" w:color="auto"/>
              <w:right w:val="dotted" w:sz="4" w:space="0" w:color="auto"/>
            </w:tcBorders>
            <w:vAlign w:val="center"/>
          </w:tcPr>
          <w:p w14:paraId="759E8C97"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44.82</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1.81</w:t>
            </w:r>
          </w:p>
        </w:tc>
        <w:tc>
          <w:tcPr>
            <w:tcW w:w="1484" w:type="dxa"/>
            <w:tcBorders>
              <w:top w:val="dotted" w:sz="4" w:space="0" w:color="auto"/>
              <w:left w:val="dotted" w:sz="4" w:space="0" w:color="auto"/>
              <w:bottom w:val="dotted" w:sz="4" w:space="0" w:color="auto"/>
              <w:right w:val="dotted" w:sz="4" w:space="0" w:color="auto"/>
            </w:tcBorders>
            <w:vAlign w:val="center"/>
          </w:tcPr>
          <w:p w14:paraId="5E8479C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59.89</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color w:val="000000" w:themeColor="text1"/>
                <w:sz w:val="18"/>
                <w:szCs w:val="18"/>
                <w:lang w:val="vi-VN" w:eastAsia="ja-JP"/>
              </w:rPr>
              <w:t>1.94</w:t>
            </w:r>
          </w:p>
        </w:tc>
      </w:tr>
      <w:tr w:rsidR="00E049CB" w:rsidRPr="005E6B7C" w14:paraId="07CD2FB4" w14:textId="77777777" w:rsidTr="00F5234A">
        <w:trPr>
          <w:jc w:val="center"/>
        </w:trPr>
        <w:tc>
          <w:tcPr>
            <w:tcW w:w="1281" w:type="dxa"/>
            <w:tcBorders>
              <w:top w:val="dotted" w:sz="4" w:space="0" w:color="auto"/>
              <w:left w:val="dotted" w:sz="4" w:space="0" w:color="auto"/>
              <w:bottom w:val="dotted" w:sz="4" w:space="0" w:color="auto"/>
              <w:right w:val="dotted" w:sz="4" w:space="0" w:color="auto"/>
            </w:tcBorders>
            <w:vAlign w:val="center"/>
          </w:tcPr>
          <w:p w14:paraId="01487D56"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Cs/>
                <w:color w:val="000000" w:themeColor="text1"/>
                <w:sz w:val="18"/>
                <w:szCs w:val="18"/>
                <w:lang w:val="vi-VN" w:eastAsia="ja-JP"/>
              </w:rPr>
              <w:t>Ellipticine</w:t>
            </w:r>
          </w:p>
        </w:tc>
        <w:tc>
          <w:tcPr>
            <w:tcW w:w="2410" w:type="dxa"/>
            <w:gridSpan w:val="2"/>
            <w:tcBorders>
              <w:top w:val="dotted" w:sz="4" w:space="0" w:color="auto"/>
              <w:left w:val="dotted" w:sz="4" w:space="0" w:color="auto"/>
              <w:bottom w:val="dotted" w:sz="4" w:space="0" w:color="auto"/>
              <w:right w:val="dotted" w:sz="4" w:space="0" w:color="auto"/>
            </w:tcBorders>
            <w:vAlign w:val="center"/>
          </w:tcPr>
          <w:p w14:paraId="54FD05DC" w14:textId="02CE0673"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vertAlign w:val="subscript"/>
                <w:lang w:val="vi-VN" w:eastAsia="ja-JP"/>
              </w:rPr>
              <w:t xml:space="preserve"> </w:t>
            </w:r>
            <w:r w:rsidRPr="005E6B7C">
              <w:rPr>
                <w:rFonts w:asciiTheme="majorHAnsi" w:eastAsia="Yu Mincho" w:hAnsiTheme="majorHAnsi" w:cstheme="majorHAnsi"/>
                <w:iCs/>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Cs/>
                <w:color w:val="000000" w:themeColor="text1"/>
                <w:sz w:val="18"/>
                <w:szCs w:val="18"/>
                <w:lang w:val="vi-VN" w:eastAsia="ja-JP"/>
              </w:rPr>
              <w:t>g/mL)</w:t>
            </w:r>
          </w:p>
        </w:tc>
        <w:tc>
          <w:tcPr>
            <w:tcW w:w="1559" w:type="dxa"/>
            <w:tcBorders>
              <w:top w:val="dotted" w:sz="4" w:space="0" w:color="auto"/>
              <w:left w:val="dotted" w:sz="4" w:space="0" w:color="auto"/>
              <w:bottom w:val="dotted" w:sz="4" w:space="0" w:color="auto"/>
              <w:right w:val="dotted" w:sz="4" w:space="0" w:color="auto"/>
            </w:tcBorders>
            <w:vAlign w:val="center"/>
          </w:tcPr>
          <w:p w14:paraId="09D6BCEA"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0.46</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0.02</w:t>
            </w:r>
          </w:p>
        </w:tc>
        <w:tc>
          <w:tcPr>
            <w:tcW w:w="1560" w:type="dxa"/>
            <w:tcBorders>
              <w:top w:val="dotted" w:sz="4" w:space="0" w:color="auto"/>
              <w:left w:val="dotted" w:sz="4" w:space="0" w:color="auto"/>
              <w:bottom w:val="dotted" w:sz="4" w:space="0" w:color="auto"/>
              <w:right w:val="dotted" w:sz="4" w:space="0" w:color="auto"/>
            </w:tcBorders>
            <w:vAlign w:val="center"/>
          </w:tcPr>
          <w:p w14:paraId="0E1A22D8"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0.47</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0.02</w:t>
            </w:r>
          </w:p>
        </w:tc>
        <w:tc>
          <w:tcPr>
            <w:tcW w:w="1559" w:type="dxa"/>
            <w:tcBorders>
              <w:top w:val="dotted" w:sz="4" w:space="0" w:color="auto"/>
              <w:left w:val="dotted" w:sz="4" w:space="0" w:color="auto"/>
              <w:bottom w:val="dotted" w:sz="4" w:space="0" w:color="auto"/>
              <w:right w:val="dotted" w:sz="4" w:space="0" w:color="auto"/>
            </w:tcBorders>
            <w:vAlign w:val="center"/>
          </w:tcPr>
          <w:p w14:paraId="1BB77709"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0.45</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0.02</w:t>
            </w:r>
          </w:p>
        </w:tc>
        <w:tc>
          <w:tcPr>
            <w:tcW w:w="1484" w:type="dxa"/>
            <w:tcBorders>
              <w:top w:val="dotted" w:sz="4" w:space="0" w:color="auto"/>
              <w:left w:val="dotted" w:sz="4" w:space="0" w:color="auto"/>
              <w:bottom w:val="dotted" w:sz="4" w:space="0" w:color="auto"/>
              <w:right w:val="dotted" w:sz="4" w:space="0" w:color="auto"/>
            </w:tcBorders>
            <w:vAlign w:val="center"/>
          </w:tcPr>
          <w:p w14:paraId="685E6172" w14:textId="77777777" w:rsidR="00E049CB" w:rsidRPr="005E6B7C" w:rsidRDefault="00E049CB" w:rsidP="008C0D47">
            <w:pPr>
              <w:tabs>
                <w:tab w:val="left" w:pos="270"/>
                <w:tab w:val="left" w:pos="540"/>
                <w:tab w:val="left" w:pos="9270"/>
              </w:tabs>
              <w:spacing w:line="18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Cs/>
                <w:color w:val="000000" w:themeColor="text1"/>
                <w:sz w:val="18"/>
                <w:szCs w:val="18"/>
                <w:lang w:val="vi-VN" w:eastAsia="ja-JP"/>
              </w:rPr>
              <w:t>0.46</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Cs/>
                <w:color w:val="000000" w:themeColor="text1"/>
                <w:sz w:val="18"/>
                <w:szCs w:val="18"/>
                <w:lang w:val="vi-VN" w:eastAsia="ja-JP"/>
              </w:rPr>
              <w:t>0.02</w:t>
            </w:r>
          </w:p>
        </w:tc>
      </w:tr>
    </w:tbl>
    <w:p w14:paraId="65ABC556" w14:textId="77777777" w:rsidR="00F5234A" w:rsidRPr="005E6B7C" w:rsidRDefault="00F5234A" w:rsidP="008C0D47">
      <w:pPr>
        <w:tabs>
          <w:tab w:val="left" w:pos="270"/>
          <w:tab w:val="left" w:pos="540"/>
          <w:tab w:val="left" w:pos="9270"/>
        </w:tabs>
        <w:ind w:right="-20"/>
        <w:contextualSpacing/>
        <w:jc w:val="both"/>
        <w:rPr>
          <w:rFonts w:asciiTheme="majorHAnsi" w:eastAsia="Yu Mincho" w:hAnsiTheme="majorHAnsi" w:cstheme="majorHAnsi"/>
          <w:iCs/>
          <w:color w:val="000000" w:themeColor="text1"/>
          <w:sz w:val="22"/>
          <w:szCs w:val="22"/>
          <w:lang w:eastAsia="ja-JP"/>
        </w:rPr>
      </w:pPr>
    </w:p>
    <w:p w14:paraId="09BE4FE2"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val="vi-VN" w:eastAsia="ja-JP"/>
        </w:rPr>
        <w:sectPr w:rsidR="0074352D" w:rsidRPr="005E6B7C" w:rsidSect="002206BB">
          <w:type w:val="continuous"/>
          <w:pgSz w:w="10773" w:h="15309" w:code="9"/>
          <w:pgMar w:top="907" w:right="851" w:bottom="1418" w:left="851" w:header="397" w:footer="851" w:gutter="0"/>
          <w:cols w:space="284"/>
          <w:docGrid w:linePitch="360"/>
        </w:sectPr>
      </w:pPr>
    </w:p>
    <w:p w14:paraId="650B4A32" w14:textId="4F08BFA3"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4"/>
          <w:sz w:val="22"/>
          <w:szCs w:val="22"/>
          <w:lang w:eastAsia="ja-JP"/>
        </w:rPr>
      </w:pPr>
      <w:r w:rsidRPr="005E6B7C">
        <w:rPr>
          <w:rFonts w:asciiTheme="majorHAnsi" w:eastAsia="Yu Mincho" w:hAnsiTheme="majorHAnsi" w:cstheme="majorHAnsi"/>
          <w:iCs/>
          <w:color w:val="000000" w:themeColor="text1"/>
          <w:spacing w:val="-4"/>
          <w:sz w:val="22"/>
          <w:szCs w:val="22"/>
          <w:lang w:val="vi-VN" w:eastAsia="ja-JP"/>
        </w:rPr>
        <w:t xml:space="preserve">The leaf essential oil of </w:t>
      </w:r>
      <w:r w:rsidRPr="005E6B7C">
        <w:rPr>
          <w:rFonts w:asciiTheme="majorHAnsi" w:eastAsia="Yu Mincho" w:hAnsiTheme="majorHAnsi" w:cstheme="majorHAnsi"/>
          <w:i/>
          <w:iCs/>
          <w:color w:val="000000" w:themeColor="text1"/>
          <w:spacing w:val="-4"/>
          <w:sz w:val="22"/>
          <w:szCs w:val="22"/>
          <w:lang w:val="vi-VN" w:eastAsia="ja-JP"/>
        </w:rPr>
        <w:t>K. globularia</w:t>
      </w:r>
      <w:r w:rsidRPr="005E6B7C">
        <w:rPr>
          <w:rFonts w:asciiTheme="majorHAnsi" w:eastAsia="Yu Mincho" w:hAnsiTheme="majorHAnsi" w:cstheme="majorHAnsi"/>
          <w:iCs/>
          <w:color w:val="000000" w:themeColor="text1"/>
          <w:spacing w:val="-4"/>
          <w:sz w:val="22"/>
          <w:szCs w:val="22"/>
          <w:lang w:val="vi-VN" w:eastAsia="ja-JP"/>
        </w:rPr>
        <w:t xml:space="preserve"> collected in Thanh Hoa </w:t>
      </w:r>
      <w:r w:rsidRPr="005E6B7C">
        <w:rPr>
          <w:rFonts w:asciiTheme="majorHAnsi" w:eastAsia="Yu Mincho" w:hAnsiTheme="majorHAnsi" w:cstheme="majorHAnsi"/>
          <w:iCs/>
          <w:color w:val="000000" w:themeColor="text1"/>
          <w:spacing w:val="-4"/>
          <w:sz w:val="22"/>
          <w:szCs w:val="22"/>
          <w:lang w:eastAsia="ja-JP"/>
        </w:rPr>
        <w:t>p</w:t>
      </w:r>
      <w:r w:rsidRPr="005E6B7C">
        <w:rPr>
          <w:rFonts w:asciiTheme="majorHAnsi" w:eastAsia="Yu Mincho" w:hAnsiTheme="majorHAnsi" w:cstheme="majorHAnsi"/>
          <w:iCs/>
          <w:color w:val="000000" w:themeColor="text1"/>
          <w:spacing w:val="-4"/>
          <w:sz w:val="22"/>
          <w:szCs w:val="22"/>
          <w:lang w:val="vi-VN" w:eastAsia="ja-JP"/>
        </w:rPr>
        <w:t>rovince exhibited moderate and selective cytotoxic activity against human cancer cell lines. The IC</w:t>
      </w:r>
      <w:r w:rsidRPr="005E6B7C">
        <w:rPr>
          <w:rFonts w:asciiTheme="majorHAnsi" w:eastAsia="Yu Mincho" w:hAnsiTheme="majorHAnsi" w:cstheme="majorHAnsi"/>
          <w:iCs/>
          <w:color w:val="000000" w:themeColor="text1"/>
          <w:spacing w:val="-4"/>
          <w:sz w:val="22"/>
          <w:szCs w:val="22"/>
          <w:vertAlign w:val="subscript"/>
          <w:lang w:eastAsia="ja-JP"/>
        </w:rPr>
        <w:t>50</w:t>
      </w:r>
      <w:r w:rsidRPr="005E6B7C">
        <w:rPr>
          <w:rFonts w:asciiTheme="majorHAnsi" w:eastAsia="Yu Mincho" w:hAnsiTheme="majorHAnsi" w:cstheme="majorHAnsi"/>
          <w:iCs/>
          <w:color w:val="000000" w:themeColor="text1"/>
          <w:spacing w:val="-4"/>
          <w:sz w:val="22"/>
          <w:szCs w:val="22"/>
          <w:lang w:val="vi-VN" w:eastAsia="ja-JP"/>
        </w:rPr>
        <w:t xml:space="preserve"> values were 61.28 ± 1.97 </w:t>
      </w:r>
      <w:r w:rsidR="00266B26" w:rsidRPr="005E6B7C">
        <w:rPr>
          <w:rFonts w:asciiTheme="majorHAnsi" w:eastAsia="Yu Mincho" w:hAnsiTheme="majorHAnsi" w:cstheme="majorHAnsi"/>
          <w:i/>
          <w:iCs/>
          <w:color w:val="000000" w:themeColor="text1"/>
          <w:spacing w:val="-4"/>
          <w:sz w:val="22"/>
          <w:szCs w:val="22"/>
          <w:lang w:val="vi-VN" w:eastAsia="ja-JP"/>
        </w:rPr>
        <w:t>µ</w:t>
      </w:r>
      <w:r w:rsidRPr="005E6B7C">
        <w:rPr>
          <w:rFonts w:asciiTheme="majorHAnsi" w:eastAsia="Yu Mincho" w:hAnsiTheme="majorHAnsi" w:cstheme="majorHAnsi"/>
          <w:iCs/>
          <w:color w:val="000000" w:themeColor="text1"/>
          <w:spacing w:val="-4"/>
          <w:sz w:val="22"/>
          <w:szCs w:val="22"/>
          <w:lang w:val="vi-VN" w:eastAsia="ja-JP"/>
        </w:rPr>
        <w:t xml:space="preserve">g/mL (KB), 53.81 ± 3.10 </w:t>
      </w:r>
      <w:r w:rsidR="00266B26" w:rsidRPr="005E6B7C">
        <w:rPr>
          <w:rFonts w:asciiTheme="majorHAnsi" w:eastAsia="Yu Mincho" w:hAnsiTheme="majorHAnsi" w:cstheme="majorHAnsi"/>
          <w:i/>
          <w:iCs/>
          <w:color w:val="000000" w:themeColor="text1"/>
          <w:spacing w:val="-4"/>
          <w:sz w:val="22"/>
          <w:szCs w:val="22"/>
          <w:lang w:val="vi-VN" w:eastAsia="ja-JP"/>
        </w:rPr>
        <w:t>µ</w:t>
      </w:r>
      <w:r w:rsidRPr="005E6B7C">
        <w:rPr>
          <w:rFonts w:asciiTheme="majorHAnsi" w:eastAsia="Yu Mincho" w:hAnsiTheme="majorHAnsi" w:cstheme="majorHAnsi"/>
          <w:iCs/>
          <w:color w:val="000000" w:themeColor="text1"/>
          <w:spacing w:val="-4"/>
          <w:sz w:val="22"/>
          <w:szCs w:val="22"/>
          <w:lang w:val="vi-VN" w:eastAsia="ja-JP"/>
        </w:rPr>
        <w:t xml:space="preserve">g/mL (HepG2), 44.82 ± 1.81 </w:t>
      </w:r>
      <w:r w:rsidR="00266B26" w:rsidRPr="005E6B7C">
        <w:rPr>
          <w:rFonts w:asciiTheme="majorHAnsi" w:eastAsia="Yu Mincho" w:hAnsiTheme="majorHAnsi" w:cstheme="majorHAnsi"/>
          <w:i/>
          <w:iCs/>
          <w:color w:val="000000" w:themeColor="text1"/>
          <w:spacing w:val="-4"/>
          <w:sz w:val="22"/>
          <w:szCs w:val="22"/>
          <w:lang w:val="vi-VN" w:eastAsia="ja-JP"/>
        </w:rPr>
        <w:t>µ</w:t>
      </w:r>
      <w:r w:rsidRPr="005E6B7C">
        <w:rPr>
          <w:rFonts w:asciiTheme="majorHAnsi" w:eastAsia="Yu Mincho" w:hAnsiTheme="majorHAnsi" w:cstheme="majorHAnsi"/>
          <w:iCs/>
          <w:color w:val="000000" w:themeColor="text1"/>
          <w:spacing w:val="-4"/>
          <w:sz w:val="22"/>
          <w:szCs w:val="22"/>
          <w:lang w:val="vi-VN" w:eastAsia="ja-JP"/>
        </w:rPr>
        <w:t xml:space="preserve">g/mL (A549), and 59.89 ± 1.94 </w:t>
      </w:r>
      <w:r w:rsidR="00266B26" w:rsidRPr="005E6B7C">
        <w:rPr>
          <w:rFonts w:asciiTheme="majorHAnsi" w:eastAsia="Yu Mincho" w:hAnsiTheme="majorHAnsi" w:cstheme="majorHAnsi"/>
          <w:i/>
          <w:iCs/>
          <w:color w:val="000000" w:themeColor="text1"/>
          <w:spacing w:val="-4"/>
          <w:sz w:val="22"/>
          <w:szCs w:val="22"/>
          <w:lang w:val="vi-VN" w:eastAsia="ja-JP"/>
        </w:rPr>
        <w:t>µ</w:t>
      </w:r>
      <w:r w:rsidRPr="005E6B7C">
        <w:rPr>
          <w:rFonts w:asciiTheme="majorHAnsi" w:eastAsia="Yu Mincho" w:hAnsiTheme="majorHAnsi" w:cstheme="majorHAnsi"/>
          <w:iCs/>
          <w:color w:val="000000" w:themeColor="text1"/>
          <w:spacing w:val="-4"/>
          <w:sz w:val="22"/>
          <w:szCs w:val="22"/>
          <w:lang w:val="vi-VN" w:eastAsia="ja-JP"/>
        </w:rPr>
        <w:t>g/mL (MCF-7). The US National Cancer Institute (NCI) classifies the cytotoxic activity (IC</w:t>
      </w:r>
      <w:r w:rsidRPr="005E6B7C">
        <w:rPr>
          <w:rFonts w:asciiTheme="majorHAnsi" w:eastAsia="Yu Mincho" w:hAnsiTheme="majorHAnsi" w:cstheme="majorHAnsi"/>
          <w:iCs/>
          <w:color w:val="000000" w:themeColor="text1"/>
          <w:spacing w:val="-4"/>
          <w:sz w:val="22"/>
          <w:szCs w:val="22"/>
          <w:vertAlign w:val="subscript"/>
          <w:lang w:val="vi-VN" w:eastAsia="ja-JP"/>
        </w:rPr>
        <w:t>50</w:t>
      </w:r>
      <w:r w:rsidRPr="005E6B7C">
        <w:rPr>
          <w:rFonts w:asciiTheme="majorHAnsi" w:eastAsia="Yu Mincho" w:hAnsiTheme="majorHAnsi" w:cstheme="majorHAnsi"/>
          <w:iCs/>
          <w:color w:val="000000" w:themeColor="text1"/>
          <w:spacing w:val="-4"/>
          <w:sz w:val="22"/>
          <w:szCs w:val="22"/>
          <w:lang w:val="vi-VN" w:eastAsia="ja-JP"/>
        </w:rPr>
        <w:t>) values as follows: IC</w:t>
      </w:r>
      <w:r w:rsidRPr="005E6B7C">
        <w:rPr>
          <w:rFonts w:asciiTheme="majorHAnsi" w:eastAsia="Yu Mincho" w:hAnsiTheme="majorHAnsi" w:cstheme="majorHAnsi"/>
          <w:iCs/>
          <w:color w:val="000000" w:themeColor="text1"/>
          <w:spacing w:val="-4"/>
          <w:sz w:val="22"/>
          <w:szCs w:val="22"/>
          <w:vertAlign w:val="subscript"/>
          <w:lang w:val="vi-VN" w:eastAsia="ja-JP"/>
        </w:rPr>
        <w:t>50</w:t>
      </w:r>
      <w:r w:rsidRPr="005E6B7C">
        <w:rPr>
          <w:rFonts w:asciiTheme="majorHAnsi" w:eastAsia="Yu Mincho" w:hAnsiTheme="majorHAnsi" w:cstheme="majorHAnsi"/>
          <w:iCs/>
          <w:color w:val="000000" w:themeColor="text1"/>
          <w:spacing w:val="-4"/>
          <w:sz w:val="22"/>
          <w:szCs w:val="22"/>
          <w:lang w:val="vi-VN" w:eastAsia="ja-JP"/>
        </w:rPr>
        <w:t> &lt; 20 μg/mL in the high category, IC</w:t>
      </w:r>
      <w:r w:rsidRPr="005E6B7C">
        <w:rPr>
          <w:rFonts w:asciiTheme="majorHAnsi" w:eastAsia="Yu Mincho" w:hAnsiTheme="majorHAnsi" w:cstheme="majorHAnsi"/>
          <w:iCs/>
          <w:color w:val="000000" w:themeColor="text1"/>
          <w:spacing w:val="-4"/>
          <w:sz w:val="22"/>
          <w:szCs w:val="22"/>
          <w:vertAlign w:val="subscript"/>
          <w:lang w:val="vi-VN" w:eastAsia="ja-JP"/>
        </w:rPr>
        <w:t>50</w:t>
      </w:r>
      <w:r w:rsidRPr="005E6B7C">
        <w:rPr>
          <w:rFonts w:asciiTheme="majorHAnsi" w:eastAsia="Yu Mincho" w:hAnsiTheme="majorHAnsi" w:cstheme="majorHAnsi"/>
          <w:iCs/>
          <w:color w:val="000000" w:themeColor="text1"/>
          <w:spacing w:val="-4"/>
          <w:sz w:val="22"/>
          <w:szCs w:val="22"/>
          <w:lang w:val="vi-VN" w:eastAsia="ja-JP"/>
        </w:rPr>
        <w:t xml:space="preserve"> 20–100 μg/mL in the moderate category, IC</w:t>
      </w:r>
      <w:r w:rsidRPr="005E6B7C">
        <w:rPr>
          <w:rFonts w:asciiTheme="majorHAnsi" w:eastAsia="Yu Mincho" w:hAnsiTheme="majorHAnsi" w:cstheme="majorHAnsi"/>
          <w:iCs/>
          <w:color w:val="000000" w:themeColor="text1"/>
          <w:spacing w:val="-4"/>
          <w:sz w:val="22"/>
          <w:szCs w:val="22"/>
          <w:vertAlign w:val="subscript"/>
          <w:lang w:val="vi-VN" w:eastAsia="ja-JP"/>
        </w:rPr>
        <w:t>50</w:t>
      </w:r>
      <w:r w:rsidRPr="005E6B7C">
        <w:rPr>
          <w:rFonts w:asciiTheme="majorHAnsi" w:eastAsia="Yu Mincho" w:hAnsiTheme="majorHAnsi" w:cstheme="majorHAnsi"/>
          <w:iCs/>
          <w:color w:val="000000" w:themeColor="text1"/>
          <w:spacing w:val="-4"/>
          <w:sz w:val="22"/>
          <w:szCs w:val="22"/>
          <w:lang w:val="vi-VN" w:eastAsia="ja-JP"/>
        </w:rPr>
        <w:t xml:space="preserve"> 101–500 μg/mL in the weak category, and IC</w:t>
      </w:r>
      <w:r w:rsidRPr="005E6B7C">
        <w:rPr>
          <w:rFonts w:asciiTheme="majorHAnsi" w:eastAsia="Yu Mincho" w:hAnsiTheme="majorHAnsi" w:cstheme="majorHAnsi"/>
          <w:iCs/>
          <w:color w:val="000000" w:themeColor="text1"/>
          <w:spacing w:val="-4"/>
          <w:sz w:val="22"/>
          <w:szCs w:val="22"/>
          <w:vertAlign w:val="subscript"/>
          <w:lang w:val="vi-VN" w:eastAsia="ja-JP"/>
        </w:rPr>
        <w:t>50</w:t>
      </w:r>
      <w:r w:rsidRPr="005E6B7C">
        <w:rPr>
          <w:rFonts w:asciiTheme="majorHAnsi" w:eastAsia="Yu Mincho" w:hAnsiTheme="majorHAnsi" w:cstheme="majorHAnsi"/>
          <w:iCs/>
          <w:color w:val="000000" w:themeColor="text1"/>
          <w:spacing w:val="-4"/>
          <w:sz w:val="22"/>
          <w:szCs w:val="22"/>
          <w:lang w:val="vi-VN" w:eastAsia="ja-JP"/>
        </w:rPr>
        <w:t xml:space="preserve"> &gt; 500 μg/mL in the inactive category as an anticancer </w:t>
      </w:r>
      <w:r w:rsidRPr="005E6B7C">
        <w:rPr>
          <w:rFonts w:asciiTheme="majorHAnsi" w:eastAsia="Yu Mincho" w:hAnsiTheme="majorHAnsi" w:cstheme="majorHAnsi"/>
          <w:iCs/>
          <w:color w:val="000000" w:themeColor="text1"/>
          <w:spacing w:val="-4"/>
          <w:sz w:val="22"/>
          <w:szCs w:val="22"/>
          <w:lang w:val="vi-VN" w:eastAsia="ja-JP"/>
        </w:rPr>
        <w:fldChar w:fldCharType="begin"/>
      </w:r>
      <w:r w:rsidRPr="005E6B7C">
        <w:rPr>
          <w:rFonts w:asciiTheme="majorHAnsi" w:eastAsia="Yu Mincho" w:hAnsiTheme="majorHAnsi" w:cstheme="majorHAnsi"/>
          <w:iCs/>
          <w:color w:val="000000" w:themeColor="text1"/>
          <w:spacing w:val="-4"/>
          <w:sz w:val="22"/>
          <w:szCs w:val="22"/>
          <w:lang w:val="vi-VN" w:eastAsia="ja-JP"/>
        </w:rPr>
        <w:instrText xml:space="preserve"> ADDIN EN.CITE &lt;EndNote&gt;&lt;Cite&gt;&lt;Author&gt;Gurning&lt;/Author&gt;&lt;Year&gt;2025&lt;/Year&gt;&lt;RecNum&gt;38&lt;/RecNum&gt;&lt;DisplayText&gt;[24]&lt;/DisplayText&gt;&lt;record&gt;&lt;rec-number&gt;38&lt;/rec-number&gt;&lt;foreign-keys&gt;&lt;key app="EN" db-id="ests5zdscdrx0ke55w45va2tp5tasftw5xat" timestamp="1772817107"&gt;38&lt;/key&gt;&lt;/foreign-keys&gt;&lt;ref-type name="Journal Article"&gt;17&lt;/ref-type&gt;&lt;contributors&gt;&lt;authors&gt;&lt;author&gt;Gurning, Kasta&lt;/author&gt;&lt;author&gt;Primahana, Gian&lt;/author&gt;&lt;author&gt;Astuti, Endang&lt;/author&gt;&lt;author&gt;Haryadi, Winarto&lt;/author&gt;&lt;/authors&gt;&lt;/contributors&gt;&lt;titles&gt;&lt;title&gt;In Vitro Cytotoxic and Molecular Docking Studies of the Network Pharmacology Approach From Bioactive Compounds of Coleus amboinicus Leaves Against Lung and Breast Cancer Cells&lt;/title&gt;&lt;secondary-title&gt;Advances in Pharmacological and Pharmaceutical Sciences&lt;/secondary-title&gt;&lt;/titles&gt;&lt;periodical&gt;&lt;full-title&gt;Advances in Pharmacological and Pharmaceutical Sciences&lt;/full-title&gt;&lt;/periodical&gt;&lt;volume&gt;2025&lt;/volume&gt;&lt;dates&gt;&lt;year&gt;2025&lt;/year&gt;&lt;pub-dates&gt;&lt;date&gt;07/12&lt;/date&gt;&lt;/pub-dates&gt;&lt;/dates&gt;&lt;urls&gt;&lt;/urls&gt;&lt;electronic-resource-num&gt;10.1155/adpp/5946648&lt;/electronic-resource-num&gt;&lt;/record&gt;&lt;/Cite&gt;&lt;/EndNote&gt;</w:instrText>
      </w:r>
      <w:r w:rsidRPr="005E6B7C">
        <w:rPr>
          <w:rFonts w:asciiTheme="majorHAnsi" w:eastAsia="Yu Mincho" w:hAnsiTheme="majorHAnsi" w:cstheme="majorHAnsi"/>
          <w:iCs/>
          <w:color w:val="000000" w:themeColor="text1"/>
          <w:spacing w:val="-4"/>
          <w:sz w:val="22"/>
          <w:szCs w:val="22"/>
          <w:lang w:val="vi-VN" w:eastAsia="ja-JP"/>
        </w:rPr>
        <w:fldChar w:fldCharType="separate"/>
      </w:r>
      <w:r w:rsidRPr="005E6B7C">
        <w:rPr>
          <w:rFonts w:asciiTheme="majorHAnsi" w:eastAsia="Yu Mincho" w:hAnsiTheme="majorHAnsi" w:cstheme="majorHAnsi"/>
          <w:iCs/>
          <w:noProof/>
          <w:color w:val="000000" w:themeColor="text1"/>
          <w:spacing w:val="-4"/>
          <w:sz w:val="22"/>
          <w:szCs w:val="22"/>
          <w:lang w:val="vi-VN" w:eastAsia="ja-JP"/>
        </w:rPr>
        <w:t>[24]</w:t>
      </w:r>
      <w:r w:rsidRPr="005E6B7C">
        <w:rPr>
          <w:rFonts w:asciiTheme="majorHAnsi" w:eastAsia="Yu Mincho" w:hAnsiTheme="majorHAnsi" w:cstheme="majorHAnsi"/>
          <w:iCs/>
          <w:color w:val="000000" w:themeColor="text1"/>
          <w:spacing w:val="-4"/>
          <w:sz w:val="22"/>
          <w:szCs w:val="22"/>
          <w:lang w:val="vi-VN" w:eastAsia="ja-JP"/>
        </w:rPr>
        <w:fldChar w:fldCharType="end"/>
      </w:r>
      <w:r w:rsidRPr="005E6B7C">
        <w:rPr>
          <w:rFonts w:asciiTheme="majorHAnsi" w:eastAsia="Yu Mincho" w:hAnsiTheme="majorHAnsi" w:cstheme="majorHAnsi"/>
          <w:iCs/>
          <w:color w:val="000000" w:themeColor="text1"/>
          <w:spacing w:val="-4"/>
          <w:sz w:val="22"/>
          <w:szCs w:val="22"/>
          <w:lang w:val="vi-VN" w:eastAsia="ja-JP"/>
        </w:rPr>
        <w:t>; therefore, the present essential oil can be classified as moderately active. Slightly stronger inhibition was observed against A549 cells, suggesting some degree of cell-line selectivity.</w:t>
      </w:r>
      <w:r w:rsidRPr="005E6B7C">
        <w:rPr>
          <w:rFonts w:asciiTheme="majorHAnsi" w:eastAsia="Yu Mincho" w:hAnsiTheme="majorHAnsi" w:cstheme="majorHAnsi"/>
          <w:iCs/>
          <w:color w:val="000000" w:themeColor="text1"/>
          <w:spacing w:val="-4"/>
          <w:sz w:val="22"/>
          <w:szCs w:val="22"/>
          <w:lang w:eastAsia="ja-JP"/>
        </w:rPr>
        <w:t xml:space="preserve"> The observed cytotoxicity may be related to the high content of </w:t>
      </w:r>
      <w:r w:rsidRPr="005E6B7C">
        <w:rPr>
          <w:rFonts w:asciiTheme="majorHAnsi" w:eastAsia="Yu Mincho" w:hAnsiTheme="majorHAnsi" w:cstheme="majorHAnsi"/>
          <w:i/>
          <w:iCs/>
          <w:color w:val="000000" w:themeColor="text1"/>
          <w:spacing w:val="-4"/>
          <w:sz w:val="22"/>
          <w:szCs w:val="22"/>
          <w:lang w:eastAsia="ja-JP"/>
        </w:rPr>
        <w:t>β</w:t>
      </w:r>
      <w:r w:rsidRPr="005E6B7C">
        <w:rPr>
          <w:rFonts w:asciiTheme="majorHAnsi" w:eastAsia="Yu Mincho" w:hAnsiTheme="majorHAnsi" w:cstheme="majorHAnsi"/>
          <w:iCs/>
          <w:color w:val="000000" w:themeColor="text1"/>
          <w:spacing w:val="-4"/>
          <w:sz w:val="22"/>
          <w:szCs w:val="22"/>
          <w:lang w:eastAsia="ja-JP"/>
        </w:rPr>
        <w:t>-(</w:t>
      </w:r>
      <w:r w:rsidRPr="005E6B7C">
        <w:rPr>
          <w:rFonts w:asciiTheme="majorHAnsi" w:eastAsia="Yu Mincho" w:hAnsiTheme="majorHAnsi" w:cstheme="majorHAnsi"/>
          <w:i/>
          <w:iCs/>
          <w:color w:val="000000" w:themeColor="text1"/>
          <w:spacing w:val="-4"/>
          <w:sz w:val="22"/>
          <w:szCs w:val="22"/>
          <w:lang w:eastAsia="ja-JP"/>
        </w:rPr>
        <w:t>E</w:t>
      </w:r>
      <w:r w:rsidRPr="005E6B7C">
        <w:rPr>
          <w:rFonts w:asciiTheme="majorHAnsi" w:eastAsia="Yu Mincho" w:hAnsiTheme="majorHAnsi" w:cstheme="majorHAnsi"/>
          <w:iCs/>
          <w:color w:val="000000" w:themeColor="text1"/>
          <w:spacing w:val="-4"/>
          <w:sz w:val="22"/>
          <w:szCs w:val="22"/>
          <w:lang w:eastAsia="ja-JP"/>
        </w:rPr>
        <w:t xml:space="preserve">)-caryophyllene and other sesquiterpenes, including </w:t>
      </w:r>
      <w:r w:rsidRPr="005E6B7C">
        <w:rPr>
          <w:rFonts w:asciiTheme="majorHAnsi" w:eastAsia="Yu Mincho" w:hAnsiTheme="majorHAnsi" w:cstheme="majorHAnsi"/>
          <w:i/>
          <w:iCs/>
          <w:color w:val="000000" w:themeColor="text1"/>
          <w:spacing w:val="-4"/>
          <w:sz w:val="22"/>
          <w:szCs w:val="22"/>
          <w:lang w:eastAsia="ja-JP"/>
        </w:rPr>
        <w:t>α</w:t>
      </w:r>
      <w:r w:rsidRPr="005E6B7C">
        <w:rPr>
          <w:rFonts w:asciiTheme="majorHAnsi" w:eastAsia="Yu Mincho" w:hAnsiTheme="majorHAnsi" w:cstheme="majorHAnsi"/>
          <w:iCs/>
          <w:color w:val="000000" w:themeColor="text1"/>
          <w:spacing w:val="-4"/>
          <w:sz w:val="22"/>
          <w:szCs w:val="22"/>
          <w:lang w:eastAsia="ja-JP"/>
        </w:rPr>
        <w:t xml:space="preserve">-farnesene. </w:t>
      </w:r>
      <w:r w:rsidRPr="005E6B7C">
        <w:rPr>
          <w:rFonts w:asciiTheme="majorHAnsi" w:eastAsia="Yu Mincho" w:hAnsiTheme="majorHAnsi" w:cstheme="majorHAnsi"/>
          <w:i/>
          <w:iCs/>
          <w:color w:val="000000" w:themeColor="text1"/>
          <w:spacing w:val="-4"/>
          <w:sz w:val="22"/>
          <w:szCs w:val="22"/>
          <w:lang w:eastAsia="ja-JP"/>
        </w:rPr>
        <w:t>β</w:t>
      </w:r>
      <w:r w:rsidRPr="005E6B7C">
        <w:rPr>
          <w:rFonts w:asciiTheme="majorHAnsi" w:eastAsia="Yu Mincho" w:hAnsiTheme="majorHAnsi" w:cstheme="majorHAnsi"/>
          <w:iCs/>
          <w:color w:val="000000" w:themeColor="text1"/>
          <w:spacing w:val="-4"/>
          <w:sz w:val="22"/>
          <w:szCs w:val="22"/>
          <w:lang w:eastAsia="ja-JP"/>
        </w:rPr>
        <w:t>-Caryophyllene has been reported to show antiproliferative effects in several cancer cell lines and may enhance activity in complex essential oil mixtures</w:t>
      </w:r>
      <w:r w:rsidRPr="005E6B7C">
        <w:rPr>
          <w:rFonts w:asciiTheme="majorHAnsi" w:eastAsia="Yu Mincho" w:hAnsiTheme="majorHAnsi" w:cstheme="majorHAnsi"/>
          <w:iCs/>
          <w:color w:val="000000" w:themeColor="text1"/>
          <w:spacing w:val="-4"/>
          <w:sz w:val="22"/>
          <w:szCs w:val="22"/>
          <w:lang w:val="vi-VN" w:eastAsia="ja-JP"/>
        </w:rPr>
        <w:t xml:space="preserve"> </w:t>
      </w:r>
      <w:r w:rsidRPr="005E6B7C">
        <w:rPr>
          <w:rFonts w:asciiTheme="majorHAnsi" w:eastAsia="Yu Mincho" w:hAnsiTheme="majorHAnsi" w:cstheme="majorHAnsi"/>
          <w:iCs/>
          <w:color w:val="000000" w:themeColor="text1"/>
          <w:spacing w:val="-4"/>
          <w:sz w:val="22"/>
          <w:szCs w:val="22"/>
          <w:lang w:eastAsia="ja-JP"/>
        </w:rPr>
        <w:fldChar w:fldCharType="begin">
          <w:fldData xml:space="preserve">PEVuZE5vdGU+PENpdGU+PEF1dGhvcj5EYWhoYW08L0F1dGhvcj48WWVhcj4yMDE1PC9ZZWFyPjxS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</w:fldData>
        </w:fldChar>
      </w:r>
      <w:r w:rsidRPr="005E6B7C">
        <w:rPr>
          <w:rFonts w:asciiTheme="majorHAnsi" w:eastAsia="Yu Mincho" w:hAnsiTheme="majorHAnsi" w:cstheme="majorHAnsi"/>
          <w:iCs/>
          <w:color w:val="000000" w:themeColor="text1"/>
          <w:spacing w:val="-4"/>
          <w:sz w:val="22"/>
          <w:szCs w:val="22"/>
          <w:lang w:eastAsia="ja-JP"/>
        </w:rPr>
        <w:instrText xml:space="preserve"> ADDIN EN.CITE </w:instrText>
      </w:r>
      <w:r w:rsidRPr="005E6B7C">
        <w:rPr>
          <w:rFonts w:asciiTheme="majorHAnsi" w:eastAsia="Yu Mincho" w:hAnsiTheme="majorHAnsi" w:cstheme="majorHAnsi"/>
          <w:iCs/>
          <w:color w:val="000000" w:themeColor="text1"/>
          <w:spacing w:val="-4"/>
          <w:sz w:val="22"/>
          <w:szCs w:val="22"/>
          <w:lang w:eastAsia="ja-JP"/>
        </w:rPr>
        <w:fldChar w:fldCharType="begin">
          <w:fldData xml:space="preserve">PEVuZE5vdGU+PENpdGU+PEF1dGhvcj5EYWhoYW08L0F1dGhvcj48WWVhcj4yMDE1PC9ZZWFyPjxS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</w:fldData>
        </w:fldChar>
      </w:r>
      <w:r w:rsidRPr="005E6B7C">
        <w:rPr>
          <w:rFonts w:asciiTheme="majorHAnsi" w:eastAsia="Yu Mincho" w:hAnsiTheme="majorHAnsi" w:cstheme="majorHAnsi"/>
          <w:iCs/>
          <w:color w:val="000000" w:themeColor="text1"/>
          <w:spacing w:val="-4"/>
          <w:sz w:val="22"/>
          <w:szCs w:val="22"/>
          <w:lang w:eastAsia="ja-JP"/>
        </w:rPr>
        <w:instrText xml:space="preserve"> ADDIN EN.CITE.DATA </w:instrText>
      </w:r>
      <w:r w:rsidRPr="005E6B7C">
        <w:rPr>
          <w:rFonts w:asciiTheme="majorHAnsi" w:eastAsia="Yu Mincho" w:hAnsiTheme="majorHAnsi" w:cstheme="majorHAnsi"/>
          <w:iCs/>
          <w:color w:val="000000" w:themeColor="text1"/>
          <w:spacing w:val="-4"/>
          <w:sz w:val="22"/>
          <w:szCs w:val="22"/>
          <w:lang w:eastAsia="ja-JP"/>
        </w:rPr>
      </w:r>
      <w:r w:rsidRPr="005E6B7C">
        <w:rPr>
          <w:rFonts w:asciiTheme="majorHAnsi" w:eastAsia="Yu Mincho" w:hAnsiTheme="majorHAnsi" w:cstheme="majorHAnsi"/>
          <w:iCs/>
          <w:color w:val="000000" w:themeColor="text1"/>
          <w:spacing w:val="-4"/>
          <w:sz w:val="22"/>
          <w:szCs w:val="22"/>
          <w:lang w:eastAsia="ja-JP"/>
        </w:rPr>
        <w:fldChar w:fldCharType="end"/>
      </w:r>
      <w:r w:rsidRPr="005E6B7C">
        <w:rPr>
          <w:rFonts w:asciiTheme="majorHAnsi" w:eastAsia="Yu Mincho" w:hAnsiTheme="majorHAnsi" w:cstheme="majorHAnsi"/>
          <w:iCs/>
          <w:color w:val="000000" w:themeColor="text1"/>
          <w:spacing w:val="-4"/>
          <w:sz w:val="22"/>
          <w:szCs w:val="22"/>
          <w:lang w:eastAsia="ja-JP"/>
        </w:rPr>
      </w:r>
      <w:r w:rsidRPr="005E6B7C">
        <w:rPr>
          <w:rFonts w:asciiTheme="majorHAnsi" w:eastAsia="Yu Mincho" w:hAnsiTheme="majorHAnsi" w:cstheme="majorHAnsi"/>
          <w:iCs/>
          <w:color w:val="000000" w:themeColor="text1"/>
          <w:spacing w:val="-4"/>
          <w:sz w:val="22"/>
          <w:szCs w:val="22"/>
          <w:lang w:eastAsia="ja-JP"/>
        </w:rPr>
        <w:fldChar w:fldCharType="separate"/>
      </w:r>
      <w:r w:rsidRPr="005E6B7C">
        <w:rPr>
          <w:rFonts w:asciiTheme="majorHAnsi" w:eastAsia="Yu Mincho" w:hAnsiTheme="majorHAnsi" w:cstheme="majorHAnsi"/>
          <w:iCs/>
          <w:noProof/>
          <w:color w:val="000000" w:themeColor="text1"/>
          <w:spacing w:val="-4"/>
          <w:sz w:val="22"/>
          <w:szCs w:val="22"/>
          <w:lang w:eastAsia="ja-JP"/>
        </w:rPr>
        <w:t>[25</w:t>
      </w:r>
      <w:r w:rsidR="00826294" w:rsidRPr="005E6B7C">
        <w:rPr>
          <w:rFonts w:asciiTheme="majorHAnsi" w:eastAsia="Yu Mincho" w:hAnsiTheme="majorHAnsi" w:cstheme="majorHAnsi"/>
          <w:iCs/>
          <w:noProof/>
          <w:color w:val="000000" w:themeColor="text1"/>
          <w:spacing w:val="-4"/>
          <w:sz w:val="22"/>
          <w:szCs w:val="22"/>
          <w:lang w:eastAsia="ja-JP"/>
        </w:rPr>
        <w:t>]</w:t>
      </w:r>
      <w:r w:rsidRPr="005E6B7C">
        <w:rPr>
          <w:rFonts w:asciiTheme="majorHAnsi" w:eastAsia="Yu Mincho" w:hAnsiTheme="majorHAnsi" w:cstheme="majorHAnsi"/>
          <w:iCs/>
          <w:noProof/>
          <w:color w:val="000000" w:themeColor="text1"/>
          <w:spacing w:val="-4"/>
          <w:sz w:val="22"/>
          <w:szCs w:val="22"/>
          <w:lang w:eastAsia="ja-JP"/>
        </w:rPr>
        <w:t>,</w:t>
      </w:r>
      <w:r w:rsidR="00826294" w:rsidRPr="005E6B7C">
        <w:rPr>
          <w:rFonts w:asciiTheme="majorHAnsi" w:eastAsia="Yu Mincho" w:hAnsiTheme="majorHAnsi" w:cstheme="majorHAnsi"/>
          <w:iCs/>
          <w:noProof/>
          <w:color w:val="000000" w:themeColor="text1"/>
          <w:spacing w:val="-4"/>
          <w:sz w:val="22"/>
          <w:szCs w:val="22"/>
          <w:lang w:eastAsia="ja-JP"/>
        </w:rPr>
        <w:t>[</w:t>
      </w:r>
      <w:r w:rsidRPr="005E6B7C">
        <w:rPr>
          <w:rFonts w:asciiTheme="majorHAnsi" w:eastAsia="Yu Mincho" w:hAnsiTheme="majorHAnsi" w:cstheme="majorHAnsi"/>
          <w:iCs/>
          <w:noProof/>
          <w:color w:val="000000" w:themeColor="text1"/>
          <w:spacing w:val="-4"/>
          <w:sz w:val="22"/>
          <w:szCs w:val="22"/>
          <w:lang w:eastAsia="ja-JP"/>
        </w:rPr>
        <w:t>26]</w:t>
      </w:r>
      <w:r w:rsidRPr="005E6B7C">
        <w:rPr>
          <w:rFonts w:asciiTheme="majorHAnsi" w:eastAsia="Yu Mincho" w:hAnsiTheme="majorHAnsi" w:cstheme="majorHAnsi"/>
          <w:iCs/>
          <w:color w:val="000000" w:themeColor="text1"/>
          <w:spacing w:val="-4"/>
          <w:sz w:val="22"/>
          <w:szCs w:val="22"/>
          <w:lang w:eastAsia="ja-JP"/>
        </w:rPr>
        <w:fldChar w:fldCharType="end"/>
      </w:r>
      <w:r w:rsidRPr="005E6B7C">
        <w:rPr>
          <w:rFonts w:asciiTheme="majorHAnsi" w:eastAsia="Yu Mincho" w:hAnsiTheme="majorHAnsi" w:cstheme="majorHAnsi"/>
          <w:iCs/>
          <w:color w:val="000000" w:themeColor="text1"/>
          <w:spacing w:val="-4"/>
          <w:sz w:val="22"/>
          <w:szCs w:val="22"/>
          <w:lang w:eastAsia="ja-JP"/>
        </w:rPr>
        <w:t>. However, the overall potency of the</w:t>
      </w:r>
      <w:r w:rsidRPr="005E6B7C">
        <w:rPr>
          <w:rFonts w:asciiTheme="majorHAnsi" w:eastAsia="Yu Mincho" w:hAnsiTheme="majorHAnsi" w:cstheme="majorHAnsi"/>
          <w:iCs/>
          <w:color w:val="000000" w:themeColor="text1"/>
          <w:spacing w:val="-4"/>
          <w:sz w:val="22"/>
          <w:szCs w:val="22"/>
          <w:lang w:val="vi-VN" w:eastAsia="ja-JP"/>
        </w:rPr>
        <w:t xml:space="preserve"> essential</w:t>
      </w:r>
      <w:r w:rsidRPr="005E6B7C">
        <w:rPr>
          <w:rFonts w:asciiTheme="majorHAnsi" w:eastAsia="Yu Mincho" w:hAnsiTheme="majorHAnsi" w:cstheme="majorHAnsi"/>
          <w:iCs/>
          <w:color w:val="000000" w:themeColor="text1"/>
          <w:spacing w:val="-4"/>
          <w:sz w:val="22"/>
          <w:szCs w:val="22"/>
          <w:lang w:eastAsia="ja-JP"/>
        </w:rPr>
        <w:t xml:space="preserve"> oil remains lower than that of the positive control, ellipticine.</w:t>
      </w:r>
    </w:p>
    <w:p w14:paraId="7D2A49BC" w14:textId="337AEF4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2"/>
          <w:sz w:val="22"/>
          <w:szCs w:val="22"/>
          <w:lang w:val="vi-VN" w:eastAsia="ja-JP"/>
        </w:rPr>
      </w:pPr>
      <w:r w:rsidRPr="005E6B7C">
        <w:rPr>
          <w:rFonts w:asciiTheme="majorHAnsi" w:eastAsia="Yu Mincho" w:hAnsiTheme="majorHAnsi" w:cstheme="majorHAnsi"/>
          <w:iCs/>
          <w:color w:val="000000" w:themeColor="text1"/>
          <w:spacing w:val="-2"/>
          <w:sz w:val="22"/>
          <w:szCs w:val="22"/>
          <w:lang w:val="vi-VN" w:eastAsia="ja-JP"/>
        </w:rPr>
        <w:t xml:space="preserve">Compared with root-derived extracts of </w:t>
      </w:r>
      <w:r w:rsidRPr="005E6B7C">
        <w:rPr>
          <w:rFonts w:asciiTheme="majorHAnsi" w:eastAsia="Yu Mincho" w:hAnsiTheme="majorHAnsi" w:cstheme="majorHAnsi"/>
          <w:i/>
          <w:iCs/>
          <w:color w:val="000000" w:themeColor="text1"/>
          <w:spacing w:val="-2"/>
          <w:sz w:val="22"/>
          <w:szCs w:val="22"/>
          <w:lang w:val="vi-VN" w:eastAsia="ja-JP"/>
        </w:rPr>
        <w:t>K. globularia</w:t>
      </w:r>
      <w:r w:rsidRPr="005E6B7C">
        <w:rPr>
          <w:rFonts w:asciiTheme="majorHAnsi" w:eastAsia="Yu Mincho" w:hAnsiTheme="majorHAnsi" w:cstheme="majorHAnsi"/>
          <w:iCs/>
          <w:color w:val="000000" w:themeColor="text1"/>
          <w:spacing w:val="-2"/>
          <w:sz w:val="22"/>
          <w:szCs w:val="22"/>
          <w:lang w:val="vi-VN" w:eastAsia="ja-JP"/>
        </w:rPr>
        <w:t xml:space="preserve">, the leaf essential oil shows a different activity pattern. Most crude root extracts were inactive against KB and MCF-7 at concentrations above 50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g/mL, while only a few isolated compounds displayed moderate cytotoxicity. In contrast, the leaf essential oil demonstrated measurable activity across all tested cell lines. Although its IC</w:t>
      </w:r>
      <w:r w:rsidRPr="005E6B7C">
        <w:rPr>
          <w:rFonts w:asciiTheme="majorHAnsi" w:eastAsia="Yu Mincho" w:hAnsiTheme="majorHAnsi" w:cstheme="majorHAnsi"/>
          <w:iCs/>
          <w:color w:val="000000" w:themeColor="text1"/>
          <w:spacing w:val="-2"/>
          <w:sz w:val="22"/>
          <w:szCs w:val="22"/>
          <w:vertAlign w:val="subscript"/>
          <w:lang w:eastAsia="ja-JP"/>
        </w:rPr>
        <w:t>50</w:t>
      </w:r>
      <w:r w:rsidRPr="005E6B7C">
        <w:rPr>
          <w:rFonts w:asciiTheme="majorHAnsi" w:eastAsia="Yu Mincho" w:hAnsiTheme="majorHAnsi" w:cstheme="majorHAnsi"/>
          <w:iCs/>
          <w:color w:val="000000" w:themeColor="text1"/>
          <w:spacing w:val="-2"/>
          <w:sz w:val="22"/>
          <w:szCs w:val="22"/>
          <w:lang w:val="vi-VN" w:eastAsia="ja-JP"/>
        </w:rPr>
        <w:t xml:space="preserve"> values are higher than those of the most active isolated compounds, the essential oil exhibited activity against multiple cell lines rather than a limited response</w:t>
      </w:r>
      <w:r w:rsidRPr="005E6B7C">
        <w:rPr>
          <w:rFonts w:asciiTheme="majorHAnsi" w:eastAsia="Yu Mincho" w:hAnsiTheme="majorHAnsi" w:cstheme="majorHAnsi"/>
          <w:iCs/>
          <w:color w:val="000000" w:themeColor="text1"/>
          <w:spacing w:val="-2"/>
          <w:sz w:val="22"/>
          <w:szCs w:val="22"/>
          <w:lang w:eastAsia="ja-JP"/>
        </w:rPr>
        <w:t xml:space="preserve"> </w:t>
      </w:r>
      <w:r w:rsidRPr="005E6B7C">
        <w:rPr>
          <w:rFonts w:asciiTheme="majorHAnsi" w:eastAsia="Yu Mincho" w:hAnsiTheme="majorHAnsi" w:cstheme="majorHAnsi"/>
          <w:iCs/>
          <w:color w:val="000000" w:themeColor="text1"/>
          <w:spacing w:val="-2"/>
          <w:sz w:val="22"/>
          <w:szCs w:val="22"/>
          <w:lang w:val="vi-VN" w:eastAsia="ja-JP"/>
        </w:rPr>
        <w:fldChar w:fldCharType="begin"/>
      </w:r>
      <w:r w:rsidRPr="005E6B7C">
        <w:rPr>
          <w:rFonts w:asciiTheme="majorHAnsi" w:eastAsia="Yu Mincho" w:hAnsiTheme="majorHAnsi" w:cstheme="majorHAnsi"/>
          <w:iCs/>
          <w:color w:val="000000" w:themeColor="text1"/>
          <w:spacing w:val="-2"/>
          <w:sz w:val="22"/>
          <w:szCs w:val="22"/>
          <w:lang w:val="vi-VN" w:eastAsia="ja-JP"/>
        </w:rPr>
        <w:instrText xml:space="preserve"> ADDIN EN.CITE &lt;EndNote&gt;&lt;Cite&gt;&lt;Author&gt;Sriphana&lt;/Author&gt;&lt;Year&gt;2016&lt;/Year&gt;&lt;RecNum&gt;27&lt;/RecNum&gt;&lt;DisplayText&gt;[5]&lt;/DisplayText&gt;&lt;record&gt;&lt;rec-number&gt;27&lt;/rec-number&gt;&lt;foreign-keys&gt;&lt;key app="EN" db-id="ests5zdscdrx0ke55w45va2tp5tasftw5xat" timestamp="1770492904"&gt;27&lt;/key&gt;&lt;/foreign-keys&gt;&lt;ref-type name="Journal Article"&gt;17&lt;/ref-type&gt;&lt;contributors&gt;&lt;authors&gt;&lt;author&gt;Sriphana, Uraiwan&lt;/author&gt;&lt;author&gt;Yenjai, Chavi&lt;/author&gt;&lt;author&gt;Koatthada, Mayrin&lt;/author&gt;&lt;/authors&gt;&lt;/contributors&gt;&lt;titles&gt;&lt;title&gt;Cytotoxicity of chemical constituents from the roots of Knema globularia&lt;/title&gt;&lt;secondary-title&gt;Phytochemistry Letters&lt;/secondary-title&gt;&lt;/titles&gt;&lt;periodical&gt;&lt;full-title&gt;Phytochemistry Letters&lt;/full-title&gt;&lt;/periodical&gt;&lt;pages&gt;129-133&lt;/pages&gt;&lt;volume&gt;16&lt;/volume&gt;&lt;keywords&gt;&lt;keyword&gt;Kneglobularic acid A–B&lt;/keyword&gt;&lt;keyword&gt;Kneglobularone A&lt;/keyword&gt;&lt;keyword&gt;Cytotoxicity&lt;/keyword&gt;&lt;/keywords&gt;&lt;dates&gt;&lt;year&gt;2016&lt;/year&gt;&lt;pub-dates&gt;&lt;date&gt;2016/06/01/&lt;/date&gt;&lt;/pub-dates&gt;&lt;/dates&gt;&lt;isbn&gt;1874-3900&lt;/isbn&gt;&lt;urls&gt;&lt;related-urls&gt;&lt;url&gt;https://www.sciencedirect.com/science/article/pii/S1874390016300362&lt;/url&gt;&lt;/related-urls&gt;&lt;/urls&gt;&lt;electronic-resource-num&gt;https://doi.org/10.1016/j.phytol.2016.03.010&lt;/electronic-resource-num&gt;&lt;/record&gt;&lt;/Cite&gt;&lt;/EndNote&gt;</w:instrText>
      </w:r>
      <w:r w:rsidRPr="005E6B7C">
        <w:rPr>
          <w:rFonts w:asciiTheme="majorHAnsi" w:eastAsia="Yu Mincho" w:hAnsiTheme="majorHAnsi" w:cstheme="majorHAnsi"/>
          <w:iCs/>
          <w:color w:val="000000" w:themeColor="text1"/>
          <w:spacing w:val="-2"/>
          <w:sz w:val="22"/>
          <w:szCs w:val="22"/>
          <w:lang w:val="vi-VN" w:eastAsia="ja-JP"/>
        </w:rPr>
        <w:fldChar w:fldCharType="separate"/>
      </w:r>
      <w:r w:rsidRPr="005E6B7C">
        <w:rPr>
          <w:rFonts w:asciiTheme="majorHAnsi" w:eastAsia="Yu Mincho" w:hAnsiTheme="majorHAnsi" w:cstheme="majorHAnsi"/>
          <w:iCs/>
          <w:noProof/>
          <w:color w:val="000000" w:themeColor="text1"/>
          <w:spacing w:val="-2"/>
          <w:sz w:val="22"/>
          <w:szCs w:val="22"/>
          <w:lang w:val="vi-VN" w:eastAsia="ja-JP"/>
        </w:rPr>
        <w:t>[5]</w:t>
      </w:r>
      <w:r w:rsidRPr="005E6B7C">
        <w:rPr>
          <w:rFonts w:asciiTheme="majorHAnsi" w:eastAsia="Yu Mincho" w:hAnsiTheme="majorHAnsi" w:cstheme="majorHAnsi"/>
          <w:iCs/>
          <w:color w:val="000000" w:themeColor="text1"/>
          <w:spacing w:val="-2"/>
          <w:sz w:val="22"/>
          <w:szCs w:val="22"/>
          <w:lang w:val="vi-VN" w:eastAsia="ja-JP"/>
        </w:rPr>
        <w:fldChar w:fldCharType="end"/>
      </w:r>
      <w:r w:rsidRPr="005E6B7C">
        <w:rPr>
          <w:rFonts w:asciiTheme="majorHAnsi" w:eastAsia="Yu Mincho" w:hAnsiTheme="majorHAnsi" w:cstheme="majorHAnsi"/>
          <w:iCs/>
          <w:color w:val="000000" w:themeColor="text1"/>
          <w:spacing w:val="-2"/>
          <w:sz w:val="22"/>
          <w:szCs w:val="22"/>
          <w:lang w:val="vi-VN" w:eastAsia="ja-JP"/>
        </w:rPr>
        <w:t>. Similarly, studies on fruit-derived constituents reported several isolated compounds, including knecorticosanones A–B, of which knecorticosanone B and malabaricone D showed moderate cytotoxicity (IC</w:t>
      </w:r>
      <w:r w:rsidRPr="005E6B7C">
        <w:rPr>
          <w:rFonts w:asciiTheme="majorHAnsi" w:eastAsia="Yu Mincho" w:hAnsiTheme="majorHAnsi" w:cstheme="majorHAnsi"/>
          <w:iCs/>
          <w:color w:val="000000" w:themeColor="text1"/>
          <w:spacing w:val="-2"/>
          <w:sz w:val="22"/>
          <w:szCs w:val="22"/>
          <w:vertAlign w:val="subscript"/>
          <w:lang w:eastAsia="ja-JP"/>
        </w:rPr>
        <w:t>50</w:t>
      </w:r>
      <w:r w:rsidRPr="005E6B7C">
        <w:rPr>
          <w:rFonts w:asciiTheme="majorHAnsi" w:eastAsia="Yu Mincho" w:hAnsiTheme="majorHAnsi" w:cstheme="majorHAnsi"/>
          <w:iCs/>
          <w:color w:val="000000" w:themeColor="text1"/>
          <w:spacing w:val="-2"/>
          <w:sz w:val="22"/>
          <w:szCs w:val="22"/>
          <w:lang w:val="vi-VN" w:eastAsia="ja-JP"/>
        </w:rPr>
        <w:t xml:space="preserve"> = 8.76–18.74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iCs/>
          <w:color w:val="000000" w:themeColor="text1"/>
          <w:spacing w:val="-2"/>
          <w:sz w:val="22"/>
          <w:szCs w:val="22"/>
          <w:lang w:val="vi-VN" w:eastAsia="ja-JP"/>
        </w:rPr>
        <w:t xml:space="preserve">M), while others were less active </w:t>
      </w:r>
      <w:r w:rsidRPr="005E6B7C">
        <w:rPr>
          <w:rFonts w:asciiTheme="majorHAnsi" w:eastAsia="Yu Mincho" w:hAnsiTheme="majorHAnsi" w:cstheme="majorHAnsi"/>
          <w:iCs/>
          <w:color w:val="000000" w:themeColor="text1"/>
          <w:spacing w:val="-2"/>
          <w:sz w:val="22"/>
          <w:szCs w:val="22"/>
          <w:lang w:val="vi-VN" w:eastAsia="ja-JP"/>
        </w:rPr>
        <w:fldChar w:fldCharType="begin"/>
      </w:r>
      <w:r w:rsidRPr="005E6B7C">
        <w:rPr>
          <w:rFonts w:asciiTheme="majorHAnsi" w:eastAsia="Yu Mincho" w:hAnsiTheme="majorHAnsi" w:cstheme="majorHAnsi"/>
          <w:iCs/>
          <w:color w:val="000000" w:themeColor="text1"/>
          <w:spacing w:val="-2"/>
          <w:sz w:val="22"/>
          <w:szCs w:val="22"/>
          <w:lang w:val="vi-VN" w:eastAsia="ja-JP"/>
        </w:rPr>
        <w:instrText xml:space="preserve"> ADDIN EN.CITE &lt;EndNote&gt;&lt;Cite&gt;&lt;Author&gt;Pham&lt;/Author&gt;&lt;Year&gt;2021&lt;/Year&gt;&lt;RecNum&gt;28&lt;/RecNum&gt;&lt;DisplayText&gt;[27]&lt;/DisplayText&gt;&lt;record&gt;&lt;rec-number&gt;28&lt;/rec-number&gt;&lt;foreign-keys&gt;&lt;key app="EN" db-id="ests5zdscdrx0ke55w45va2tp5tasftw5xat" timestamp="1770492989"&gt;28&lt;/key&gt;&lt;/foreign-keys&gt;&lt;ref-type name="Journal Article"&gt;17&lt;/ref-type&gt;&lt;contributors&gt;&lt;authors&gt;&lt;author&gt;Pham, Ty Viet&lt;/author&gt;&lt;author&gt;Bach, Hieu Kim Thi&lt;/author&gt;&lt;author&gt;Ho, Duc Viet&lt;/author&gt;&lt;author&gt;Nguyen, Bao Chi&lt;/author&gt;&lt;/authors&gt;&lt;/contributors&gt;&lt;titles&gt;&lt;title&gt;Chemical constituents from the Knema globularia fruits and their in vitro cytotoxicity&lt;/title&gt;&lt;secondary-title&gt;Natural Product Research&lt;/secondary-title&gt;&lt;/titles&gt;&lt;periodical&gt;&lt;full-title&gt;Natural Product Research&lt;/full-title&gt;&lt;/periodical&gt;&lt;pages&gt;256-262&lt;/pages&gt;&lt;volume&gt;36&lt;/volume&gt;&lt;number&gt;1&lt;/number&gt;&lt;dates&gt;&lt;year&gt;2021&lt;/year&gt;&lt;pub-dates&gt;&lt;date&gt;2021/12/22&lt;/date&gt;&lt;/pub-dates&gt;&lt;/dates&gt;&lt;publisher&gt;Taylor &amp;amp; Francis&lt;/publisher&gt;&lt;isbn&gt;1478-6419&lt;/isbn&gt;&lt;urls&gt;&lt;related-urls&gt;&lt;url&gt;https://doi.org/10.1080/14786419.2020.1777416&lt;/url&gt;&lt;/related-urls&gt;&lt;/urls&gt;&lt;electronic-resource-num&gt;10.1080/14786419.2020.1777416&lt;/electronic-resource-num&gt;&lt;/record&gt;&lt;/Cite&gt;&lt;/EndNote&gt;</w:instrText>
      </w:r>
      <w:r w:rsidRPr="005E6B7C">
        <w:rPr>
          <w:rFonts w:asciiTheme="majorHAnsi" w:eastAsia="Yu Mincho" w:hAnsiTheme="majorHAnsi" w:cstheme="majorHAnsi"/>
          <w:iCs/>
          <w:color w:val="000000" w:themeColor="text1"/>
          <w:spacing w:val="-2"/>
          <w:sz w:val="22"/>
          <w:szCs w:val="22"/>
          <w:lang w:val="vi-VN" w:eastAsia="ja-JP"/>
        </w:rPr>
        <w:fldChar w:fldCharType="separate"/>
      </w:r>
      <w:r w:rsidRPr="005E6B7C">
        <w:rPr>
          <w:rFonts w:asciiTheme="majorHAnsi" w:eastAsia="Yu Mincho" w:hAnsiTheme="majorHAnsi" w:cstheme="majorHAnsi"/>
          <w:iCs/>
          <w:noProof/>
          <w:color w:val="000000" w:themeColor="text1"/>
          <w:spacing w:val="-2"/>
          <w:sz w:val="22"/>
          <w:szCs w:val="22"/>
          <w:lang w:val="vi-VN" w:eastAsia="ja-JP"/>
        </w:rPr>
        <w:t>[27]</w:t>
      </w:r>
      <w:r w:rsidRPr="005E6B7C">
        <w:rPr>
          <w:rFonts w:asciiTheme="majorHAnsi" w:eastAsia="Yu Mincho" w:hAnsiTheme="majorHAnsi" w:cstheme="majorHAnsi"/>
          <w:iCs/>
          <w:color w:val="000000" w:themeColor="text1"/>
          <w:spacing w:val="-2"/>
          <w:sz w:val="22"/>
          <w:szCs w:val="22"/>
          <w:lang w:val="vi-VN" w:eastAsia="ja-JP"/>
        </w:rPr>
        <w:fldChar w:fldCharType="end"/>
      </w:r>
      <w:r w:rsidRPr="005E6B7C">
        <w:rPr>
          <w:rFonts w:asciiTheme="majorHAnsi" w:eastAsia="Yu Mincho" w:hAnsiTheme="majorHAnsi" w:cstheme="majorHAnsi"/>
          <w:iCs/>
          <w:color w:val="000000" w:themeColor="text1"/>
          <w:spacing w:val="-2"/>
          <w:sz w:val="22"/>
          <w:szCs w:val="22"/>
          <w:lang w:val="vi-VN" w:eastAsia="ja-JP"/>
        </w:rPr>
        <w:t>. The stronger activity of these isolated metabolites likely reflects the effect of structurally defined non-volatile compounds. In contrast, the cytotoxicity of the leaf essential oil may result from combined or synergistic effects among volatile terpenoids.</w:t>
      </w:r>
    </w:p>
    <w:p w14:paraId="5A5BAEE0"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pacing w:val="-4"/>
          <w:sz w:val="22"/>
          <w:szCs w:val="22"/>
          <w:lang w:val="vi-VN" w:eastAsia="ja-JP"/>
        </w:rPr>
      </w:pPr>
      <w:r w:rsidRPr="005E6B7C">
        <w:rPr>
          <w:rFonts w:asciiTheme="majorHAnsi" w:eastAsia="Yu Mincho" w:hAnsiTheme="majorHAnsi" w:cstheme="majorHAnsi"/>
          <w:iCs/>
          <w:color w:val="000000" w:themeColor="text1"/>
          <w:spacing w:val="-4"/>
          <w:sz w:val="22"/>
          <w:szCs w:val="22"/>
          <w:lang w:val="vi-VN" w:eastAsia="ja-JP"/>
        </w:rPr>
        <w:t xml:space="preserve">Overall, these findings indicate organ-dependent variation in the cytotoxic profile of </w:t>
      </w:r>
      <w:r w:rsidRPr="005E6B7C">
        <w:rPr>
          <w:rFonts w:asciiTheme="majorHAnsi" w:eastAsia="Yu Mincho" w:hAnsiTheme="majorHAnsi" w:cstheme="majorHAnsi"/>
          <w:i/>
          <w:iCs/>
          <w:color w:val="000000" w:themeColor="text1"/>
          <w:spacing w:val="-4"/>
          <w:sz w:val="22"/>
          <w:szCs w:val="22"/>
          <w:lang w:val="vi-VN" w:eastAsia="ja-JP"/>
        </w:rPr>
        <w:t>K. globularia</w:t>
      </w:r>
      <w:r w:rsidRPr="005E6B7C">
        <w:rPr>
          <w:rFonts w:asciiTheme="majorHAnsi" w:eastAsia="Yu Mincho" w:hAnsiTheme="majorHAnsi" w:cstheme="majorHAnsi"/>
          <w:iCs/>
          <w:color w:val="000000" w:themeColor="text1"/>
          <w:spacing w:val="-4"/>
          <w:sz w:val="22"/>
          <w:szCs w:val="22"/>
          <w:lang w:val="vi-VN" w:eastAsia="ja-JP"/>
        </w:rPr>
        <w:t>. Root and fruit extracts, rich in non-volatile secondary metabolites, tend to show stronger but more compound-specific activity, whereas the leaf essential oil exhibits moderate activity across several cell lines. Further studies are needed to clarify the mechanisms involved and to evaluate possible synergistic interactions among its major constituents.</w:t>
      </w:r>
    </w:p>
    <w:p w14:paraId="0A50B1B4"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b/>
          <w:bCs/>
          <w:color w:val="000000" w:themeColor="text1"/>
          <w:spacing w:val="-4"/>
          <w:sz w:val="22"/>
          <w:szCs w:val="22"/>
          <w:lang w:val="vi-VN" w:eastAsia="ja-JP"/>
        </w:rPr>
        <w:t>4. Conclusion</w:t>
      </w:r>
    </w:p>
    <w:p w14:paraId="54BDF033"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color w:val="000000" w:themeColor="text1"/>
          <w:spacing w:val="-4"/>
          <w:sz w:val="22"/>
          <w:szCs w:val="22"/>
          <w:lang w:val="vi-VN" w:eastAsia="ja-JP"/>
        </w:rPr>
        <w:t xml:space="preserve">This study reports the chemical composition of </w:t>
      </w:r>
      <w:r w:rsidRPr="005E6B7C">
        <w:rPr>
          <w:rFonts w:asciiTheme="majorHAnsi" w:eastAsia="Yu Mincho" w:hAnsiTheme="majorHAnsi" w:cstheme="majorHAnsi"/>
          <w:i/>
          <w:iCs/>
          <w:color w:val="000000" w:themeColor="text1"/>
          <w:spacing w:val="-4"/>
          <w:sz w:val="22"/>
          <w:szCs w:val="22"/>
          <w:lang w:val="vi-VN" w:eastAsia="ja-JP"/>
        </w:rPr>
        <w:t>K. globularia</w:t>
      </w:r>
      <w:r w:rsidRPr="005E6B7C">
        <w:rPr>
          <w:rFonts w:asciiTheme="majorHAnsi" w:eastAsia="Yu Mincho" w:hAnsiTheme="majorHAnsi" w:cstheme="majorHAnsi"/>
          <w:color w:val="000000" w:themeColor="text1"/>
          <w:spacing w:val="-4"/>
          <w:sz w:val="22"/>
          <w:szCs w:val="22"/>
          <w:lang w:val="vi-VN" w:eastAsia="ja-JP"/>
        </w:rPr>
        <w:t xml:space="preserve"> leaf essential oil from Thanh Hoa </w:t>
      </w:r>
      <w:r w:rsidRPr="005E6B7C">
        <w:rPr>
          <w:rFonts w:asciiTheme="majorHAnsi" w:eastAsia="Yu Mincho" w:hAnsiTheme="majorHAnsi" w:cstheme="majorHAnsi"/>
          <w:color w:val="000000" w:themeColor="text1"/>
          <w:spacing w:val="-4"/>
          <w:sz w:val="22"/>
          <w:szCs w:val="22"/>
          <w:lang w:eastAsia="ja-JP"/>
        </w:rPr>
        <w:t>p</w:t>
      </w:r>
      <w:r w:rsidRPr="005E6B7C">
        <w:rPr>
          <w:rFonts w:asciiTheme="majorHAnsi" w:eastAsia="Yu Mincho" w:hAnsiTheme="majorHAnsi" w:cstheme="majorHAnsi"/>
          <w:color w:val="000000" w:themeColor="text1"/>
          <w:spacing w:val="-4"/>
          <w:sz w:val="22"/>
          <w:szCs w:val="22"/>
          <w:lang w:val="vi-VN" w:eastAsia="ja-JP"/>
        </w:rPr>
        <w:t xml:space="preserve">rovince, Vietnam, and presents the first report on its antimicrobial and cytotoxic activities. GC–MS analysis identified 47 volatile constituents, representing 97.82% of the total </w:t>
      </w:r>
      <w:r w:rsidRPr="005E6B7C">
        <w:rPr>
          <w:rFonts w:asciiTheme="majorHAnsi" w:eastAsia="Yu Mincho" w:hAnsiTheme="majorHAnsi" w:cstheme="majorHAnsi"/>
          <w:iCs/>
          <w:color w:val="000000" w:themeColor="text1"/>
          <w:spacing w:val="-4"/>
          <w:sz w:val="22"/>
          <w:szCs w:val="22"/>
          <w:lang w:val="vi-VN" w:eastAsia="ja-JP"/>
        </w:rPr>
        <w:t>essential</w:t>
      </w:r>
      <w:r w:rsidRPr="005E6B7C">
        <w:rPr>
          <w:rFonts w:asciiTheme="majorHAnsi" w:eastAsia="Yu Mincho" w:hAnsiTheme="majorHAnsi" w:cstheme="majorHAnsi"/>
          <w:color w:val="000000" w:themeColor="text1"/>
          <w:spacing w:val="-4"/>
          <w:sz w:val="22"/>
          <w:szCs w:val="22"/>
          <w:lang w:val="vi-VN" w:eastAsia="ja-JP"/>
        </w:rPr>
        <w:t xml:space="preserve"> oil, with sesquiterpene hydrocarbons (50.34%) and monoterpene hydrocarbons (39.53%) as the dominant classes. The major components were </w:t>
      </w:r>
      <w:r w:rsidRPr="005E6B7C">
        <w:rPr>
          <w:rFonts w:asciiTheme="majorHAnsi" w:eastAsia="Yu Mincho" w:hAnsiTheme="majorHAnsi" w:cstheme="majorHAnsi"/>
          <w:i/>
          <w:color w:val="000000" w:themeColor="text1"/>
          <w:spacing w:val="-4"/>
          <w:sz w:val="22"/>
          <w:szCs w:val="22"/>
          <w:lang w:val="vi-VN" w:eastAsia="ja-JP"/>
        </w:rPr>
        <w:t>β</w:t>
      </w:r>
      <w:r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i/>
          <w:color w:val="000000" w:themeColor="text1"/>
          <w:spacing w:val="-4"/>
          <w:sz w:val="22"/>
          <w:szCs w:val="22"/>
          <w:lang w:val="vi-VN" w:eastAsia="ja-JP"/>
        </w:rPr>
        <w:t>E</w:t>
      </w:r>
      <w:r w:rsidRPr="005E6B7C">
        <w:rPr>
          <w:rFonts w:asciiTheme="majorHAnsi" w:eastAsia="Yu Mincho" w:hAnsiTheme="majorHAnsi" w:cstheme="majorHAnsi"/>
          <w:color w:val="000000" w:themeColor="text1"/>
          <w:spacing w:val="-4"/>
          <w:sz w:val="22"/>
          <w:szCs w:val="22"/>
          <w:lang w:val="vi-VN" w:eastAsia="ja-JP"/>
        </w:rPr>
        <w:t xml:space="preserve">)-caryophyllene, </w:t>
      </w:r>
      <w:r w:rsidRPr="005E6B7C">
        <w:rPr>
          <w:rFonts w:asciiTheme="majorHAnsi" w:eastAsia="Yu Mincho" w:hAnsiTheme="majorHAnsi" w:cstheme="majorHAnsi"/>
          <w:i/>
          <w:color w:val="000000" w:themeColor="text1"/>
          <w:spacing w:val="-4"/>
          <w:sz w:val="22"/>
          <w:szCs w:val="22"/>
          <w:lang w:val="vi-VN" w:eastAsia="ja-JP"/>
        </w:rPr>
        <w:t>α</w:t>
      </w:r>
      <w:r w:rsidRPr="005E6B7C">
        <w:rPr>
          <w:rFonts w:asciiTheme="majorHAnsi" w:eastAsia="Yu Mincho" w:hAnsiTheme="majorHAnsi" w:cstheme="majorHAnsi"/>
          <w:color w:val="000000" w:themeColor="text1"/>
          <w:spacing w:val="-4"/>
          <w:sz w:val="22"/>
          <w:szCs w:val="22"/>
          <w:lang w:val="vi-VN" w:eastAsia="ja-JP"/>
        </w:rPr>
        <w:t xml:space="preserve">-pinene, </w:t>
      </w:r>
      <w:r w:rsidRPr="005E6B7C">
        <w:rPr>
          <w:rFonts w:asciiTheme="majorHAnsi" w:eastAsia="Yu Mincho" w:hAnsiTheme="majorHAnsi" w:cstheme="majorHAnsi"/>
          <w:i/>
          <w:color w:val="000000" w:themeColor="text1"/>
          <w:spacing w:val="-4"/>
          <w:sz w:val="22"/>
          <w:szCs w:val="22"/>
          <w:lang w:val="vi-VN" w:eastAsia="ja-JP"/>
        </w:rPr>
        <w:t>β</w:t>
      </w:r>
      <w:r w:rsidRPr="005E6B7C">
        <w:rPr>
          <w:rFonts w:asciiTheme="majorHAnsi" w:eastAsia="Yu Mincho" w:hAnsiTheme="majorHAnsi" w:cstheme="majorHAnsi"/>
          <w:color w:val="000000" w:themeColor="text1"/>
          <w:spacing w:val="-4"/>
          <w:sz w:val="22"/>
          <w:szCs w:val="22"/>
          <w:lang w:val="vi-VN" w:eastAsia="ja-JP"/>
        </w:rPr>
        <w:t>-pinene, and (3</w:t>
      </w:r>
      <w:r w:rsidRPr="005E6B7C">
        <w:rPr>
          <w:rFonts w:asciiTheme="majorHAnsi" w:eastAsia="Yu Mincho" w:hAnsiTheme="majorHAnsi" w:cstheme="majorHAnsi"/>
          <w:i/>
          <w:color w:val="000000" w:themeColor="text1"/>
          <w:spacing w:val="-4"/>
          <w:sz w:val="22"/>
          <w:szCs w:val="22"/>
          <w:lang w:val="vi-VN" w:eastAsia="ja-JP"/>
        </w:rPr>
        <w:t>E</w:t>
      </w:r>
      <w:r w:rsidRPr="005E6B7C">
        <w:rPr>
          <w:rFonts w:asciiTheme="majorHAnsi" w:eastAsia="Yu Mincho" w:hAnsiTheme="majorHAnsi" w:cstheme="majorHAnsi"/>
          <w:color w:val="000000" w:themeColor="text1"/>
          <w:spacing w:val="-4"/>
          <w:sz w:val="22"/>
          <w:szCs w:val="22"/>
          <w:lang w:val="vi-VN" w:eastAsia="ja-JP"/>
        </w:rPr>
        <w:t>,6</w:t>
      </w:r>
      <w:r w:rsidRPr="005E6B7C">
        <w:rPr>
          <w:rFonts w:asciiTheme="majorHAnsi" w:eastAsia="Yu Mincho" w:hAnsiTheme="majorHAnsi" w:cstheme="majorHAnsi"/>
          <w:i/>
          <w:color w:val="000000" w:themeColor="text1"/>
          <w:spacing w:val="-4"/>
          <w:sz w:val="22"/>
          <w:szCs w:val="22"/>
          <w:lang w:val="vi-VN" w:eastAsia="ja-JP"/>
        </w:rPr>
        <w:t>E</w:t>
      </w:r>
      <w:r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i/>
          <w:color w:val="000000" w:themeColor="text1"/>
          <w:spacing w:val="-4"/>
          <w:sz w:val="22"/>
          <w:szCs w:val="22"/>
          <w:lang w:val="vi-VN" w:eastAsia="ja-JP"/>
        </w:rPr>
        <w:t>α</w:t>
      </w:r>
      <w:r w:rsidRPr="005E6B7C">
        <w:rPr>
          <w:rFonts w:asciiTheme="majorHAnsi" w:eastAsia="Yu Mincho" w:hAnsiTheme="majorHAnsi" w:cstheme="majorHAnsi"/>
          <w:color w:val="000000" w:themeColor="text1"/>
          <w:spacing w:val="-4"/>
          <w:sz w:val="22"/>
          <w:szCs w:val="22"/>
          <w:lang w:val="vi-VN" w:eastAsia="ja-JP"/>
        </w:rPr>
        <w:t>-farnesene.</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val="vi-VN" w:eastAsia="ja-JP"/>
        </w:rPr>
        <w:t xml:space="preserve">The </w:t>
      </w:r>
      <w:r w:rsidRPr="005E6B7C">
        <w:rPr>
          <w:rFonts w:asciiTheme="majorHAnsi" w:eastAsia="Yu Mincho" w:hAnsiTheme="majorHAnsi" w:cstheme="majorHAnsi"/>
          <w:iCs/>
          <w:color w:val="000000" w:themeColor="text1"/>
          <w:spacing w:val="-4"/>
          <w:sz w:val="22"/>
          <w:szCs w:val="22"/>
          <w:lang w:val="vi-VN" w:eastAsia="ja-JP"/>
        </w:rPr>
        <w:t>essential</w:t>
      </w:r>
      <w:r w:rsidRPr="005E6B7C">
        <w:rPr>
          <w:rFonts w:asciiTheme="majorHAnsi" w:eastAsia="Yu Mincho" w:hAnsiTheme="majorHAnsi" w:cstheme="majorHAnsi"/>
          <w:color w:val="000000" w:themeColor="text1"/>
          <w:spacing w:val="-4"/>
          <w:sz w:val="22"/>
          <w:szCs w:val="22"/>
          <w:lang w:val="vi-VN" w:eastAsia="ja-JP"/>
        </w:rPr>
        <w:t xml:space="preserve"> oil exhibited selective antimicrobial activity against Gram-positive bacteria (</w:t>
      </w:r>
      <w:r w:rsidRPr="005E6B7C">
        <w:rPr>
          <w:rFonts w:asciiTheme="majorHAnsi" w:eastAsia="Yu Mincho" w:hAnsiTheme="majorHAnsi" w:cstheme="majorHAnsi"/>
          <w:i/>
          <w:color w:val="000000" w:themeColor="text1"/>
          <w:spacing w:val="-4"/>
          <w:sz w:val="22"/>
          <w:szCs w:val="22"/>
          <w:lang w:val="vi-VN" w:eastAsia="ja-JP"/>
        </w:rPr>
        <w:t>S</w:t>
      </w:r>
      <w:r w:rsidRPr="005E6B7C">
        <w:rPr>
          <w:rFonts w:asciiTheme="majorHAnsi" w:eastAsia="Yu Mincho" w:hAnsiTheme="majorHAnsi" w:cstheme="majorHAnsi"/>
          <w: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val="vi-VN" w:eastAsia="ja-JP"/>
        </w:rPr>
        <w:t xml:space="preserve"> aureus </w:t>
      </w:r>
      <w:r w:rsidRPr="005E6B7C">
        <w:rPr>
          <w:rFonts w:asciiTheme="majorHAnsi" w:eastAsia="Yu Mincho" w:hAnsiTheme="majorHAnsi" w:cstheme="majorHAnsi"/>
          <w:color w:val="000000" w:themeColor="text1"/>
          <w:spacing w:val="-4"/>
          <w:sz w:val="22"/>
          <w:szCs w:val="22"/>
          <w:lang w:val="vi-VN" w:eastAsia="ja-JP"/>
        </w:rPr>
        <w:t xml:space="preserve">and </w:t>
      </w:r>
      <w:r w:rsidRPr="005E6B7C">
        <w:rPr>
          <w:rFonts w:asciiTheme="majorHAnsi" w:eastAsia="Yu Mincho" w:hAnsiTheme="majorHAnsi" w:cstheme="majorHAnsi"/>
          <w:i/>
          <w:color w:val="000000" w:themeColor="text1"/>
          <w:spacing w:val="-4"/>
          <w:sz w:val="22"/>
          <w:szCs w:val="22"/>
          <w:lang w:val="vi-VN" w:eastAsia="ja-JP"/>
        </w:rPr>
        <w:t>B</w:t>
      </w:r>
      <w:r w:rsidRPr="005E6B7C">
        <w:rPr>
          <w:rFonts w:asciiTheme="majorHAnsi" w:eastAsia="Yu Mincho" w:hAnsiTheme="majorHAnsi" w:cstheme="majorHAnsi"/>
          <w: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val="vi-VN" w:eastAsia="ja-JP"/>
        </w:rPr>
        <w:t xml:space="preserve"> subtilis</w:t>
      </w:r>
      <w:r w:rsidRPr="005E6B7C">
        <w:rPr>
          <w:rFonts w:asciiTheme="majorHAnsi" w:eastAsia="Yu Mincho" w:hAnsiTheme="majorHAnsi" w:cstheme="majorHAnsi"/>
          <w:color w:val="000000" w:themeColor="text1"/>
          <w:spacing w:val="-4"/>
          <w:sz w:val="22"/>
          <w:szCs w:val="22"/>
          <w:lang w:val="vi-VN" w:eastAsia="ja-JP"/>
        </w:rPr>
        <w:t xml:space="preserve">), while no significant inhibition was observed against Gram-negative bacteria or </w:t>
      </w:r>
      <w:r w:rsidRPr="005E6B7C">
        <w:rPr>
          <w:rFonts w:asciiTheme="majorHAnsi" w:eastAsia="Yu Mincho" w:hAnsiTheme="majorHAnsi" w:cstheme="majorHAnsi"/>
          <w:i/>
          <w:color w:val="000000" w:themeColor="text1"/>
          <w:spacing w:val="-4"/>
          <w:sz w:val="22"/>
          <w:szCs w:val="22"/>
          <w:lang w:val="vi-VN" w:eastAsia="ja-JP"/>
        </w:rPr>
        <w:t>C</w:t>
      </w:r>
      <w:r w:rsidRPr="005E6B7C">
        <w:rPr>
          <w:rFonts w:asciiTheme="majorHAnsi" w:eastAsia="Yu Mincho" w:hAnsiTheme="majorHAnsi" w:cstheme="majorHAnsi"/>
          <w: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val="vi-VN" w:eastAsia="ja-JP"/>
        </w:rPr>
        <w:t xml:space="preserve"> albicans</w:t>
      </w:r>
      <w:r w:rsidRPr="005E6B7C">
        <w:rPr>
          <w:rFonts w:asciiTheme="majorHAnsi" w:eastAsia="Yu Mincho" w:hAnsiTheme="majorHAnsi" w:cstheme="majorHAnsi"/>
          <w:color w:val="000000" w:themeColor="text1"/>
          <w:spacing w:val="-4"/>
          <w:sz w:val="22"/>
          <w:szCs w:val="22"/>
          <w:lang w:val="vi-VN" w:eastAsia="ja-JP"/>
        </w:rPr>
        <w:t>. In addition, moderate cytotoxic activity was detected against four human cancer cell lines (KB, HepG2, A549, and MCF-7).</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val="vi-VN" w:eastAsia="ja-JP"/>
        </w:rPr>
        <w:t xml:space="preserve">Overall, the results demonstrate a distinct chemical profile and organ-dependent bioactivity of </w:t>
      </w:r>
      <w:r w:rsidRPr="005E6B7C">
        <w:rPr>
          <w:rFonts w:asciiTheme="majorHAnsi" w:eastAsia="Yu Mincho" w:hAnsiTheme="majorHAnsi" w:cstheme="majorHAnsi"/>
          <w:i/>
          <w:color w:val="000000" w:themeColor="text1"/>
          <w:spacing w:val="-4"/>
          <w:sz w:val="22"/>
          <w:szCs w:val="22"/>
          <w:lang w:val="vi-VN" w:eastAsia="ja-JP"/>
        </w:rPr>
        <w:t>K. globularia</w:t>
      </w:r>
      <w:r w:rsidRPr="005E6B7C">
        <w:rPr>
          <w:rFonts w:asciiTheme="majorHAnsi" w:eastAsia="Yu Mincho" w:hAnsiTheme="majorHAnsi" w:cstheme="majorHAnsi"/>
          <w:color w:val="000000" w:themeColor="text1"/>
          <w:spacing w:val="-4"/>
          <w:sz w:val="22"/>
          <w:szCs w:val="22"/>
          <w:lang w:val="vi-VN" w:eastAsia="ja-JP"/>
        </w:rPr>
        <w:t xml:space="preserve"> leaf essential oil from Thanh Hoa. These findings emphasize the influence of geographical origin on essential oil composition and provide a basis for further phytochemical and pharmacological investigations.</w:t>
      </w:r>
    </w:p>
    <w:p w14:paraId="15B4BC02"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iCs/>
          <w:color w:val="000000" w:themeColor="text1"/>
          <w:spacing w:val="-4"/>
          <w:sz w:val="20"/>
          <w:szCs w:val="20"/>
          <w:lang w:eastAsia="ja-JP"/>
        </w:rPr>
      </w:pPr>
      <w:r w:rsidRPr="005E6B7C">
        <w:rPr>
          <w:rFonts w:asciiTheme="majorHAnsi" w:eastAsia="Yu Mincho" w:hAnsiTheme="majorHAnsi" w:cstheme="majorHAnsi"/>
          <w:b/>
          <w:bCs/>
          <w:color w:val="000000" w:themeColor="text1"/>
          <w:spacing w:val="-4"/>
          <w:sz w:val="20"/>
          <w:szCs w:val="20"/>
          <w:lang w:val="vi-VN" w:eastAsia="ja-JP"/>
        </w:rPr>
        <w:br w:type="column"/>
      </w:r>
      <w:r w:rsidR="00E049CB" w:rsidRPr="005E6B7C">
        <w:rPr>
          <w:rFonts w:asciiTheme="majorHAnsi" w:eastAsia="Yu Mincho" w:hAnsiTheme="majorHAnsi" w:cstheme="majorHAnsi"/>
          <w:b/>
          <w:bCs/>
          <w:color w:val="000000" w:themeColor="text1"/>
          <w:spacing w:val="-4"/>
          <w:sz w:val="20"/>
          <w:szCs w:val="20"/>
          <w:lang w:val="vi-VN" w:eastAsia="ja-JP"/>
        </w:rPr>
        <w:lastRenderedPageBreak/>
        <w:t>Acknowledgements:</w:t>
      </w:r>
      <w:r w:rsidR="00E049CB" w:rsidRPr="005E6B7C">
        <w:rPr>
          <w:rFonts w:asciiTheme="majorHAnsi" w:eastAsia="Yu Mincho" w:hAnsiTheme="majorHAnsi" w:cstheme="majorHAnsi"/>
          <w:color w:val="000000" w:themeColor="text1"/>
          <w:spacing w:val="-4"/>
          <w:sz w:val="20"/>
          <w:szCs w:val="20"/>
          <w:lang w:val="vi-VN" w:eastAsia="ja-JP"/>
        </w:rPr>
        <w:t xml:space="preserve"> </w:t>
      </w:r>
      <w:r w:rsidR="00E049CB" w:rsidRPr="005E6B7C">
        <w:rPr>
          <w:rFonts w:asciiTheme="majorHAnsi" w:eastAsia="Yu Mincho" w:hAnsiTheme="majorHAnsi" w:cstheme="majorHAnsi"/>
          <w:i/>
          <w:iCs/>
          <w:color w:val="000000" w:themeColor="text1"/>
          <w:spacing w:val="-4"/>
          <w:sz w:val="20"/>
          <w:szCs w:val="20"/>
          <w:lang w:val="vi-VN" w:eastAsia="ja-JP"/>
        </w:rPr>
        <w:t>This work was supported by Hanoi Medical College under Decision No. 884/QĐ-</w:t>
      </w:r>
      <w:r w:rsidR="00E049CB" w:rsidRPr="005E6B7C">
        <w:rPr>
          <w:rFonts w:asciiTheme="majorHAnsi" w:eastAsia="Yu Mincho" w:hAnsiTheme="majorHAnsi" w:cstheme="majorHAnsi"/>
          <w:i/>
          <w:iCs/>
          <w:color w:val="000000" w:themeColor="text1"/>
          <w:spacing w:val="-4"/>
          <w:sz w:val="20"/>
          <w:szCs w:val="20"/>
          <w:lang w:val="vi-VN" w:eastAsia="ja-JP"/>
        </w:rPr>
        <w:t xml:space="preserve">CĐYTHN </w:t>
      </w:r>
      <w:r w:rsidR="00E049CB" w:rsidRPr="005E6B7C">
        <w:rPr>
          <w:rFonts w:asciiTheme="majorHAnsi" w:eastAsia="Yu Mincho" w:hAnsiTheme="majorHAnsi" w:cstheme="majorHAnsi"/>
          <w:i/>
          <w:iCs/>
          <w:color w:val="000000" w:themeColor="text1"/>
          <w:spacing w:val="-4"/>
          <w:sz w:val="20"/>
          <w:szCs w:val="20"/>
          <w:lang w:eastAsia="ja-JP"/>
        </w:rPr>
        <w:t>dated 27 June 2025</w:t>
      </w:r>
      <w:r w:rsidR="00E049CB" w:rsidRPr="005E6B7C">
        <w:rPr>
          <w:rFonts w:asciiTheme="majorHAnsi" w:eastAsia="Yu Mincho" w:hAnsiTheme="majorHAnsi" w:cstheme="majorHAnsi"/>
          <w:i/>
          <w:iCs/>
          <w:color w:val="000000" w:themeColor="text1"/>
          <w:spacing w:val="-4"/>
          <w:sz w:val="20"/>
          <w:szCs w:val="20"/>
          <w:lang w:val="vi-VN" w:eastAsia="ja-JP"/>
        </w:rPr>
        <w:t>.</w:t>
      </w:r>
    </w:p>
    <w:p w14:paraId="519D4648" w14:textId="77777777" w:rsidR="0074352D" w:rsidRPr="005E6B7C" w:rsidRDefault="0074352D"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
          <w:iCs/>
          <w:color w:val="000000" w:themeColor="text1"/>
          <w:sz w:val="20"/>
          <w:szCs w:val="20"/>
          <w:lang w:eastAsia="ja-JP"/>
        </w:rPr>
        <w:sectPr w:rsidR="0074352D" w:rsidRPr="005E6B7C" w:rsidSect="0074352D">
          <w:type w:val="continuous"/>
          <w:pgSz w:w="10773" w:h="15309" w:code="9"/>
          <w:pgMar w:top="907" w:right="851" w:bottom="1418" w:left="851" w:header="397" w:footer="851" w:gutter="0"/>
          <w:cols w:num="2" w:space="284"/>
          <w:docGrid w:linePitch="360"/>
        </w:sectPr>
      </w:pPr>
    </w:p>
    <w:p w14:paraId="199E22C8" w14:textId="77777777" w:rsidR="00E049CB" w:rsidRPr="005E6B7C" w:rsidRDefault="00E049CB" w:rsidP="008C0D47">
      <w:pPr>
        <w:spacing w:before="120" w:after="120"/>
        <w:jc w:val="center"/>
        <w:rPr>
          <w:b/>
          <w:sz w:val="16"/>
          <w:szCs w:val="16"/>
        </w:rPr>
      </w:pPr>
      <w:r w:rsidRPr="005E6B7C">
        <w:rPr>
          <w:b/>
          <w:sz w:val="16"/>
          <w:szCs w:val="16"/>
        </w:rPr>
        <w:t>References</w:t>
      </w:r>
    </w:p>
    <w:p w14:paraId="62A91856"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val="vi-VN" w:eastAsia="ja-JP"/>
        </w:rPr>
        <w:fldChar w:fldCharType="begin"/>
      </w:r>
      <w:r w:rsidRPr="005E6B7C">
        <w:rPr>
          <w:rFonts w:asciiTheme="majorHAnsi" w:eastAsia="Yu Mincho" w:hAnsiTheme="majorHAnsi" w:cstheme="majorHAnsi"/>
          <w:noProof/>
          <w:color w:val="000000" w:themeColor="text1"/>
          <w:sz w:val="18"/>
          <w:szCs w:val="18"/>
          <w:lang w:val="vi-VN" w:eastAsia="ja-JP"/>
        </w:rPr>
        <w:instrText xml:space="preserve"> ADDIN EN.REFLIST </w:instrText>
      </w:r>
      <w:r w:rsidRPr="005E6B7C">
        <w:rPr>
          <w:rFonts w:asciiTheme="majorHAnsi" w:eastAsia="Yu Mincho" w:hAnsiTheme="majorHAnsi" w:cstheme="majorHAnsi"/>
          <w:noProof/>
          <w:color w:val="000000" w:themeColor="text1"/>
          <w:sz w:val="18"/>
          <w:szCs w:val="18"/>
          <w:lang w:val="vi-VN"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Salleh W</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Anuar M. Z. A., Khamis S., Nafiah M. A., Sul'ain M. D. (2021), Chemical investigation and biological activities of the essential oil of </w:t>
      </w:r>
      <w:r w:rsidRPr="005E6B7C">
        <w:rPr>
          <w:rFonts w:asciiTheme="majorHAnsi" w:eastAsia="Yu Mincho" w:hAnsiTheme="majorHAnsi" w:cstheme="majorHAnsi"/>
          <w:i/>
          <w:iCs/>
          <w:noProof/>
          <w:color w:val="000000" w:themeColor="text1"/>
          <w:sz w:val="18"/>
          <w:szCs w:val="18"/>
          <w:lang w:eastAsia="ja-JP"/>
        </w:rPr>
        <w:t>Knema kunstleri</w:t>
      </w:r>
      <w:r w:rsidRPr="005E6B7C">
        <w:rPr>
          <w:rFonts w:asciiTheme="majorHAnsi" w:eastAsia="Yu Mincho" w:hAnsiTheme="majorHAnsi" w:cstheme="majorHAnsi"/>
          <w:noProof/>
          <w:color w:val="000000" w:themeColor="text1"/>
          <w:sz w:val="18"/>
          <w:szCs w:val="18"/>
          <w:lang w:eastAsia="ja-JP"/>
        </w:rPr>
        <w:t xml:space="preserve"> Warb. from Malaysia, </w:t>
      </w:r>
      <w:r w:rsidRPr="005E6B7C">
        <w:rPr>
          <w:rFonts w:asciiTheme="majorHAnsi" w:eastAsia="Yu Mincho" w:hAnsiTheme="majorHAnsi" w:cstheme="majorHAnsi"/>
          <w:i/>
          <w:iCs/>
          <w:noProof/>
          <w:color w:val="000000" w:themeColor="text1"/>
          <w:sz w:val="18"/>
          <w:szCs w:val="18"/>
          <w:lang w:val="en" w:eastAsia="ja-JP"/>
        </w:rPr>
        <w:t>Natural Product Research</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35(13),</w:t>
      </w:r>
      <w:r w:rsidRPr="005E6B7C">
        <w:rPr>
          <w:rFonts w:asciiTheme="majorHAnsi" w:eastAsia="Yu Mincho" w:hAnsiTheme="majorHAnsi" w:cstheme="majorHAnsi"/>
          <w:noProof/>
          <w:color w:val="000000" w:themeColor="text1"/>
          <w:sz w:val="18"/>
          <w:szCs w:val="18"/>
          <w:lang w:eastAsia="ja-JP"/>
        </w:rPr>
        <w:t xml:space="preserve"> 2279-2284.</w:t>
      </w:r>
    </w:p>
    <w:p w14:paraId="0C17989A"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Brendler 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(2007), Medicinal </w:t>
      </w:r>
      <w:r w:rsidRPr="005E6B7C">
        <w:rPr>
          <w:rFonts w:asciiTheme="majorHAnsi" w:eastAsia="Yu Mincho" w:hAnsiTheme="majorHAnsi" w:cstheme="majorHAnsi"/>
          <w:noProof/>
          <w:color w:val="000000" w:themeColor="text1"/>
          <w:sz w:val="18"/>
          <w:szCs w:val="18"/>
          <w:lang w:val="vi-VN" w:eastAsia="ja-JP"/>
        </w:rPr>
        <w:t>p</w:t>
      </w:r>
      <w:r w:rsidRPr="005E6B7C">
        <w:rPr>
          <w:rFonts w:asciiTheme="majorHAnsi" w:eastAsia="Yu Mincho" w:hAnsiTheme="majorHAnsi" w:cstheme="majorHAnsi"/>
          <w:noProof/>
          <w:color w:val="000000" w:themeColor="text1"/>
          <w:sz w:val="18"/>
          <w:szCs w:val="18"/>
          <w:lang w:eastAsia="ja-JP"/>
        </w:rPr>
        <w:t xml:space="preserve">lants of Asia and the Pacific, </w:t>
      </w:r>
      <w:r w:rsidRPr="005E6B7C">
        <w:rPr>
          <w:rFonts w:asciiTheme="majorHAnsi" w:eastAsia="Yu Mincho" w:hAnsiTheme="majorHAnsi" w:cstheme="majorHAnsi"/>
          <w:i/>
          <w:noProof/>
          <w:color w:val="000000" w:themeColor="text1"/>
          <w:sz w:val="18"/>
          <w:szCs w:val="18"/>
          <w:lang w:eastAsia="ja-JP"/>
        </w:rPr>
        <w:t>Economic Botany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61(2),</w:t>
      </w:r>
      <w:r w:rsidRPr="005E6B7C">
        <w:rPr>
          <w:rFonts w:asciiTheme="majorHAnsi" w:eastAsia="Yu Mincho" w:hAnsiTheme="majorHAnsi" w:cstheme="majorHAnsi"/>
          <w:noProof/>
          <w:color w:val="000000" w:themeColor="text1"/>
          <w:sz w:val="18"/>
          <w:szCs w:val="18"/>
          <w:lang w:eastAsia="ja-JP"/>
        </w:rPr>
        <w:t xml:space="preserve">  199-200, 2.</w:t>
      </w:r>
    </w:p>
    <w:p w14:paraId="0045FB01"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Pinto M. M. M., Kijjoa A. (1990), Chemical study of </w:t>
      </w:r>
      <w:r w:rsidRPr="005E6B7C">
        <w:rPr>
          <w:rFonts w:asciiTheme="majorHAnsi" w:eastAsia="Yu Mincho" w:hAnsiTheme="majorHAnsi" w:cstheme="majorHAnsi"/>
          <w:i/>
          <w:iCs/>
          <w:noProof/>
          <w:color w:val="000000" w:themeColor="text1"/>
          <w:sz w:val="18"/>
          <w:szCs w:val="18"/>
          <w:lang w:eastAsia="ja-JP"/>
        </w:rPr>
        <w:t>Knema</w:t>
      </w:r>
      <w:r w:rsidRPr="005E6B7C">
        <w:rPr>
          <w:rFonts w:asciiTheme="majorHAnsi" w:eastAsia="Yu Mincho" w:hAnsiTheme="majorHAnsi" w:cstheme="majorHAnsi"/>
          <w:noProof/>
          <w:color w:val="000000" w:themeColor="text1"/>
          <w:sz w:val="18"/>
          <w:szCs w:val="18"/>
          <w:lang w:eastAsia="ja-JP"/>
        </w:rPr>
        <w:t xml:space="preserve"> species from Thailand, </w:t>
      </w:r>
      <w:r w:rsidRPr="005E6B7C">
        <w:rPr>
          <w:rFonts w:asciiTheme="majorHAnsi" w:eastAsia="Yu Mincho" w:hAnsiTheme="majorHAnsi" w:cstheme="majorHAnsi"/>
          <w:i/>
          <w:noProof/>
          <w:color w:val="000000" w:themeColor="text1"/>
          <w:sz w:val="18"/>
          <w:szCs w:val="18"/>
          <w:lang w:eastAsia="ja-JP"/>
        </w:rPr>
        <w:t>Química Nova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13(4),</w:t>
      </w:r>
      <w:r w:rsidRPr="005E6B7C">
        <w:rPr>
          <w:rFonts w:asciiTheme="majorHAnsi" w:eastAsia="Yu Mincho" w:hAnsiTheme="majorHAnsi" w:cstheme="majorHAnsi"/>
          <w:noProof/>
          <w:color w:val="000000" w:themeColor="text1"/>
          <w:sz w:val="18"/>
          <w:szCs w:val="18"/>
          <w:lang w:eastAsia="ja-JP"/>
        </w:rPr>
        <w:t xml:space="preserve"> 243-244.</w:t>
      </w:r>
    </w:p>
    <w:p w14:paraId="17BB0B8A"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Burkill I. H. (1966), A </w:t>
      </w:r>
      <w:r w:rsidRPr="005E6B7C">
        <w:rPr>
          <w:rFonts w:asciiTheme="majorHAnsi" w:eastAsia="Yu Mincho" w:hAnsiTheme="majorHAnsi" w:cstheme="majorHAnsi"/>
          <w:noProof/>
          <w:color w:val="000000" w:themeColor="text1"/>
          <w:sz w:val="18"/>
          <w:szCs w:val="18"/>
          <w:lang w:val="vi-VN" w:eastAsia="ja-JP"/>
        </w:rPr>
        <w:t>d</w:t>
      </w:r>
      <w:r w:rsidRPr="005E6B7C">
        <w:rPr>
          <w:rFonts w:asciiTheme="majorHAnsi" w:eastAsia="Yu Mincho" w:hAnsiTheme="majorHAnsi" w:cstheme="majorHAnsi"/>
          <w:noProof/>
          <w:color w:val="000000" w:themeColor="text1"/>
          <w:sz w:val="18"/>
          <w:szCs w:val="18"/>
          <w:lang w:eastAsia="ja-JP"/>
        </w:rPr>
        <w:t xml:space="preserve">ictionary of the </w:t>
      </w:r>
      <w:r w:rsidRPr="005E6B7C">
        <w:rPr>
          <w:rFonts w:asciiTheme="majorHAnsi" w:eastAsia="Yu Mincho" w:hAnsiTheme="majorHAnsi" w:cstheme="majorHAnsi"/>
          <w:noProof/>
          <w:color w:val="000000" w:themeColor="text1"/>
          <w:sz w:val="18"/>
          <w:szCs w:val="18"/>
          <w:lang w:val="vi-VN" w:eastAsia="ja-JP"/>
        </w:rPr>
        <w:t>e</w:t>
      </w:r>
      <w:r w:rsidRPr="005E6B7C">
        <w:rPr>
          <w:rFonts w:asciiTheme="majorHAnsi" w:eastAsia="Yu Mincho" w:hAnsiTheme="majorHAnsi" w:cstheme="majorHAnsi"/>
          <w:noProof/>
          <w:color w:val="000000" w:themeColor="text1"/>
          <w:sz w:val="18"/>
          <w:szCs w:val="18"/>
          <w:lang w:eastAsia="ja-JP"/>
        </w:rPr>
        <w:t xml:space="preserve">conomic </w:t>
      </w:r>
      <w:r w:rsidRPr="005E6B7C">
        <w:rPr>
          <w:rFonts w:asciiTheme="majorHAnsi" w:eastAsia="Yu Mincho" w:hAnsiTheme="majorHAnsi" w:cstheme="majorHAnsi"/>
          <w:noProof/>
          <w:color w:val="000000" w:themeColor="text1"/>
          <w:sz w:val="18"/>
          <w:szCs w:val="18"/>
          <w:lang w:val="vi-VN" w:eastAsia="ja-JP"/>
        </w:rPr>
        <w:t>p</w:t>
      </w:r>
      <w:r w:rsidRPr="005E6B7C">
        <w:rPr>
          <w:rFonts w:asciiTheme="majorHAnsi" w:eastAsia="Yu Mincho" w:hAnsiTheme="majorHAnsi" w:cstheme="majorHAnsi"/>
          <w:noProof/>
          <w:color w:val="000000" w:themeColor="text1"/>
          <w:sz w:val="18"/>
          <w:szCs w:val="18"/>
          <w:lang w:eastAsia="ja-JP"/>
        </w:rPr>
        <w:t xml:space="preserve">roducts of the Malay Peninsula, </w:t>
      </w:r>
      <w:r w:rsidRPr="005E6B7C">
        <w:rPr>
          <w:rFonts w:asciiTheme="majorHAnsi" w:eastAsia="Yu Mincho" w:hAnsiTheme="majorHAnsi" w:cstheme="majorHAnsi"/>
          <w:i/>
          <w:noProof/>
          <w:color w:val="000000" w:themeColor="text1"/>
          <w:sz w:val="18"/>
          <w:szCs w:val="18"/>
          <w:lang w:eastAsia="ja-JP"/>
        </w:rPr>
        <w:t>A Dictionary of the Economic Products of the Malay Peninsula.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2</w:t>
      </w:r>
      <w:r w:rsidRPr="005E6B7C">
        <w:rPr>
          <w:rFonts w:asciiTheme="majorHAnsi" w:eastAsia="Yu Mincho" w:hAnsiTheme="majorHAnsi" w:cstheme="majorHAnsi"/>
          <w:iCs/>
          <w:noProof/>
          <w:color w:val="000000" w:themeColor="text1"/>
          <w:sz w:val="18"/>
          <w:szCs w:val="18"/>
          <w:lang w:val="vi-VN" w:eastAsia="ja-JP"/>
        </w:rPr>
        <w:t xml:space="preserve"> </w:t>
      </w:r>
      <w:r w:rsidRPr="005E6B7C">
        <w:rPr>
          <w:rFonts w:asciiTheme="majorHAnsi" w:eastAsia="Yu Mincho" w:hAnsiTheme="majorHAnsi" w:cstheme="majorHAnsi"/>
          <w:iCs/>
          <w:noProof/>
          <w:color w:val="000000" w:themeColor="text1"/>
          <w:sz w:val="18"/>
          <w:szCs w:val="18"/>
          <w:lang w:eastAsia="ja-JP"/>
        </w:rPr>
        <w:t xml:space="preserve">(2nd edition), </w:t>
      </w:r>
      <w:r w:rsidRPr="005E6B7C">
        <w:rPr>
          <w:rFonts w:asciiTheme="majorHAnsi" w:eastAsia="Yu Mincho" w:hAnsiTheme="majorHAnsi" w:cstheme="majorHAnsi"/>
          <w:noProof/>
          <w:color w:val="000000" w:themeColor="text1"/>
          <w:sz w:val="18"/>
          <w:szCs w:val="18"/>
          <w:lang w:eastAsia="ja-JP"/>
        </w:rPr>
        <w:t xml:space="preserve"> 2444.</w:t>
      </w:r>
    </w:p>
    <w:p w14:paraId="7DB66D1F"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Sriphana U</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Yenjai C</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Koatthada M</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(2016), Cytotoxicity of chemical constituents from the roots of </w:t>
      </w:r>
      <w:r w:rsidRPr="005E6B7C">
        <w:rPr>
          <w:rFonts w:asciiTheme="majorHAnsi" w:eastAsia="Yu Mincho" w:hAnsiTheme="majorHAnsi" w:cstheme="majorHAnsi"/>
          <w:i/>
          <w:iCs/>
          <w:noProof/>
          <w:color w:val="000000" w:themeColor="text1"/>
          <w:sz w:val="18"/>
          <w:szCs w:val="18"/>
          <w:lang w:eastAsia="ja-JP"/>
        </w:rPr>
        <w:t>Knema globularia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Phytochemistry Letters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16, </w:t>
      </w:r>
      <w:r w:rsidRPr="005E6B7C">
        <w:rPr>
          <w:rFonts w:asciiTheme="majorHAnsi" w:eastAsia="Yu Mincho" w:hAnsiTheme="majorHAnsi" w:cstheme="majorHAnsi"/>
          <w:noProof/>
          <w:color w:val="000000" w:themeColor="text1"/>
          <w:sz w:val="18"/>
          <w:szCs w:val="18"/>
          <w:lang w:eastAsia="ja-JP"/>
        </w:rPr>
        <w:t>129-13</w:t>
      </w:r>
      <w:r w:rsidRPr="005E6B7C">
        <w:rPr>
          <w:rFonts w:asciiTheme="majorHAnsi" w:eastAsia="Yu Mincho" w:hAnsiTheme="majorHAnsi" w:cstheme="majorHAnsi"/>
          <w:noProof/>
          <w:color w:val="000000" w:themeColor="text1"/>
          <w:sz w:val="18"/>
          <w:szCs w:val="18"/>
          <w:lang w:val="vi-VN" w:eastAsia="ja-JP"/>
        </w:rPr>
        <w:t>3.</w:t>
      </w:r>
    </w:p>
    <w:p w14:paraId="5A852B1D"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6.</w:t>
      </w:r>
      <w:r w:rsidRPr="005E6B7C">
        <w:rPr>
          <w:rFonts w:asciiTheme="majorHAnsi" w:eastAsia="Yu Mincho" w:hAnsiTheme="majorHAnsi" w:cstheme="majorHAnsi"/>
          <w:b/>
          <w:bCs/>
          <w:noProof/>
          <w:color w:val="000000" w:themeColor="text1"/>
          <w:sz w:val="18"/>
          <w:szCs w:val="18"/>
          <w:lang w:val="vi-VN" w:eastAsia="ja-JP"/>
        </w:rPr>
        <w:tab/>
      </w:r>
      <w:r w:rsidRPr="005E6B7C">
        <w:rPr>
          <w:rFonts w:asciiTheme="majorHAnsi" w:eastAsia="Yu Mincho" w:hAnsiTheme="majorHAnsi" w:cstheme="majorHAnsi"/>
          <w:noProof/>
          <w:color w:val="000000" w:themeColor="text1"/>
          <w:sz w:val="18"/>
          <w:szCs w:val="18"/>
          <w:lang w:val="vi-VN" w:eastAsia="ja-JP"/>
        </w:rPr>
        <w:t xml:space="preserve">To  D. C., Truong  P.C.H., Nguyen  P.H., Hoang  L.M., Nguyen  H. T., Hoa  T. T.V., Nhung  T. T. T., Nguyen  P. D. N., Nhan  N. T., Tran  M. H. (2024), Nitric oxide production inhibitors from Vietnamese </w:t>
      </w:r>
      <w:r w:rsidRPr="005E6B7C">
        <w:rPr>
          <w:rFonts w:asciiTheme="majorHAnsi" w:eastAsia="Yu Mincho" w:hAnsiTheme="majorHAnsi" w:cstheme="majorHAnsi"/>
          <w:i/>
          <w:iCs/>
          <w:noProof/>
          <w:color w:val="000000" w:themeColor="text1"/>
          <w:sz w:val="18"/>
          <w:szCs w:val="18"/>
          <w:lang w:val="vi-VN" w:eastAsia="ja-JP"/>
        </w:rPr>
        <w:t>Knema globularia</w:t>
      </w:r>
      <w:r w:rsidRPr="005E6B7C">
        <w:rPr>
          <w:rFonts w:asciiTheme="majorHAnsi" w:eastAsia="Yu Mincho" w:hAnsiTheme="majorHAnsi" w:cstheme="majorHAnsi"/>
          <w:noProof/>
          <w:color w:val="000000" w:themeColor="text1"/>
          <w:sz w:val="18"/>
          <w:szCs w:val="18"/>
          <w:lang w:val="vi-VN" w:eastAsia="ja-JP"/>
        </w:rPr>
        <w:t xml:space="preserve">: an </w:t>
      </w:r>
      <w:r w:rsidR="00894500" w:rsidRPr="005E6B7C">
        <w:rPr>
          <w:rFonts w:asciiTheme="majorHAnsi" w:eastAsia="Yu Mincho" w:hAnsiTheme="majorHAnsi" w:cstheme="majorHAnsi"/>
          <w:i/>
          <w:iCs/>
          <w:noProof/>
          <w:color w:val="000000" w:themeColor="text1"/>
          <w:sz w:val="18"/>
          <w:szCs w:val="18"/>
          <w:lang w:val="vi-VN" w:eastAsia="ja-JP"/>
        </w:rPr>
        <w:t>in vitro</w:t>
      </w:r>
      <w:r w:rsidRPr="005E6B7C">
        <w:rPr>
          <w:rFonts w:asciiTheme="majorHAnsi" w:eastAsia="Yu Mincho" w:hAnsiTheme="majorHAnsi" w:cstheme="majorHAnsi"/>
          <w:noProof/>
          <w:color w:val="000000" w:themeColor="text1"/>
          <w:sz w:val="18"/>
          <w:szCs w:val="18"/>
          <w:lang w:val="vi-VN" w:eastAsia="ja-JP"/>
        </w:rPr>
        <w:t xml:space="preserve"> and</w:t>
      </w:r>
      <w:r w:rsidRPr="005E6B7C">
        <w:rPr>
          <w:rFonts w:asciiTheme="majorHAnsi" w:eastAsia="Yu Mincho" w:hAnsiTheme="majorHAnsi" w:cstheme="majorHAnsi"/>
          <w:i/>
          <w:iCs/>
          <w:noProof/>
          <w:color w:val="000000" w:themeColor="text1"/>
          <w:sz w:val="18"/>
          <w:szCs w:val="18"/>
          <w:lang w:val="vi-VN" w:eastAsia="ja-JP"/>
        </w:rPr>
        <w:t xml:space="preserve"> in silico</w:t>
      </w:r>
      <w:r w:rsidRPr="005E6B7C">
        <w:rPr>
          <w:rFonts w:asciiTheme="majorHAnsi" w:eastAsia="Yu Mincho" w:hAnsiTheme="majorHAnsi" w:cstheme="majorHAnsi"/>
          <w:noProof/>
          <w:color w:val="000000" w:themeColor="text1"/>
          <w:sz w:val="18"/>
          <w:szCs w:val="18"/>
          <w:lang w:val="vi-VN" w:eastAsia="ja-JP"/>
        </w:rPr>
        <w:t xml:space="preserve"> study, </w:t>
      </w:r>
      <w:r w:rsidRPr="005E6B7C">
        <w:rPr>
          <w:rFonts w:asciiTheme="majorHAnsi" w:eastAsia="Yu Mincho" w:hAnsiTheme="majorHAnsi" w:cstheme="majorHAnsi"/>
          <w:i/>
          <w:noProof/>
          <w:color w:val="000000" w:themeColor="text1"/>
          <w:sz w:val="18"/>
          <w:szCs w:val="18"/>
          <w:lang w:val="vi-VN" w:eastAsia="ja-JP"/>
        </w:rPr>
        <w:t>Natural Product Communications</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iCs/>
          <w:noProof/>
          <w:color w:val="000000" w:themeColor="text1"/>
          <w:sz w:val="18"/>
          <w:szCs w:val="18"/>
          <w:lang w:val="vi-VN" w:eastAsia="ja-JP"/>
        </w:rPr>
        <w:t>19(8), d</w:t>
      </w:r>
      <w:r w:rsidRPr="005E6B7C">
        <w:rPr>
          <w:rFonts w:asciiTheme="majorHAnsi" w:eastAsia="Yu Mincho" w:hAnsiTheme="majorHAnsi" w:cstheme="majorHAnsi"/>
          <w:noProof/>
          <w:color w:val="000000" w:themeColor="text1"/>
          <w:sz w:val="18"/>
          <w:szCs w:val="18"/>
          <w:lang w:val="vi-VN" w:eastAsia="ja-JP"/>
        </w:rPr>
        <w:t>oi:10.1177/1934578X241280043.</w:t>
      </w:r>
    </w:p>
    <w:p w14:paraId="41D3D652"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Salleh W</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Farediah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(2017), Phytochemistry and </w:t>
      </w:r>
      <w:r w:rsidRPr="005E6B7C">
        <w:rPr>
          <w:rFonts w:asciiTheme="majorHAnsi" w:eastAsia="Yu Mincho" w:hAnsiTheme="majorHAnsi" w:cstheme="majorHAnsi"/>
          <w:noProof/>
          <w:color w:val="000000" w:themeColor="text1"/>
          <w:sz w:val="18"/>
          <w:szCs w:val="18"/>
          <w:lang w:val="vi-VN" w:eastAsia="ja-JP"/>
        </w:rPr>
        <w:t>b</w:t>
      </w:r>
      <w:r w:rsidRPr="005E6B7C">
        <w:rPr>
          <w:rFonts w:asciiTheme="majorHAnsi" w:eastAsia="Yu Mincho" w:hAnsiTheme="majorHAnsi" w:cstheme="majorHAnsi"/>
          <w:noProof/>
          <w:color w:val="000000" w:themeColor="text1"/>
          <w:sz w:val="18"/>
          <w:szCs w:val="18"/>
          <w:lang w:eastAsia="ja-JP"/>
        </w:rPr>
        <w:t xml:space="preserve">iological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ctivities of the </w:t>
      </w:r>
      <w:r w:rsidRPr="005E6B7C">
        <w:rPr>
          <w:rFonts w:asciiTheme="majorHAnsi" w:eastAsia="Yu Mincho" w:hAnsiTheme="majorHAnsi" w:cstheme="majorHAnsi"/>
          <w:noProof/>
          <w:color w:val="000000" w:themeColor="text1"/>
          <w:sz w:val="18"/>
          <w:szCs w:val="18"/>
          <w:lang w:val="vi-VN" w:eastAsia="ja-JP"/>
        </w:rPr>
        <w:t>g</w:t>
      </w:r>
      <w:r w:rsidRPr="005E6B7C">
        <w:rPr>
          <w:rFonts w:asciiTheme="majorHAnsi" w:eastAsia="Yu Mincho" w:hAnsiTheme="majorHAnsi" w:cstheme="majorHAnsi"/>
          <w:noProof/>
          <w:color w:val="000000" w:themeColor="text1"/>
          <w:sz w:val="18"/>
          <w:szCs w:val="18"/>
          <w:lang w:eastAsia="ja-JP"/>
        </w:rPr>
        <w:t xml:space="preserve">enus </w:t>
      </w:r>
      <w:r w:rsidRPr="005E6B7C">
        <w:rPr>
          <w:rFonts w:asciiTheme="majorHAnsi" w:eastAsia="Yu Mincho" w:hAnsiTheme="majorHAnsi" w:cstheme="majorHAnsi"/>
          <w:i/>
          <w:iCs/>
          <w:noProof/>
          <w:color w:val="000000" w:themeColor="text1"/>
          <w:sz w:val="18"/>
          <w:szCs w:val="18"/>
          <w:lang w:eastAsia="ja-JP"/>
        </w:rPr>
        <w:t xml:space="preserve">Knema </w:t>
      </w:r>
      <w:r w:rsidRPr="005E6B7C">
        <w:rPr>
          <w:rFonts w:asciiTheme="majorHAnsi" w:eastAsia="Yu Mincho" w:hAnsiTheme="majorHAnsi" w:cstheme="majorHAnsi"/>
          <w:noProof/>
          <w:color w:val="000000" w:themeColor="text1"/>
          <w:sz w:val="18"/>
          <w:szCs w:val="18"/>
          <w:lang w:eastAsia="ja-JP"/>
        </w:rPr>
        <w:t xml:space="preserve">(Myristicaceae), </w:t>
      </w:r>
      <w:r w:rsidRPr="005E6B7C">
        <w:rPr>
          <w:rFonts w:asciiTheme="majorHAnsi" w:eastAsia="Yu Mincho" w:hAnsiTheme="majorHAnsi" w:cstheme="majorHAnsi"/>
          <w:i/>
          <w:noProof/>
          <w:color w:val="000000" w:themeColor="text1"/>
          <w:sz w:val="18"/>
          <w:szCs w:val="18"/>
          <w:lang w:eastAsia="ja-JP"/>
        </w:rPr>
        <w:t>Pharmaceutical Sciences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23, </w:t>
      </w:r>
      <w:r w:rsidRPr="005E6B7C">
        <w:rPr>
          <w:rFonts w:asciiTheme="majorHAnsi" w:eastAsia="Yu Mincho" w:hAnsiTheme="majorHAnsi" w:cstheme="majorHAnsi"/>
          <w:noProof/>
          <w:color w:val="000000" w:themeColor="text1"/>
          <w:sz w:val="18"/>
          <w:szCs w:val="18"/>
          <w:lang w:eastAsia="ja-JP"/>
        </w:rPr>
        <w:t>249-255.</w:t>
      </w:r>
    </w:p>
    <w:p w14:paraId="76D1D902" w14:textId="6282C24A"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Ministry of </w:t>
      </w:r>
      <w:r w:rsidR="00FB7B36" w:rsidRPr="005E6B7C">
        <w:rPr>
          <w:rFonts w:asciiTheme="majorHAnsi" w:eastAsia="Yu Mincho" w:hAnsiTheme="majorHAnsi" w:cstheme="majorHAnsi"/>
          <w:noProof/>
          <w:color w:val="000000" w:themeColor="text1"/>
          <w:sz w:val="18"/>
          <w:szCs w:val="18"/>
          <w:lang w:eastAsia="ja-JP"/>
        </w:rPr>
        <w:t>Health</w:t>
      </w:r>
      <w:r w:rsidR="00FB7B36"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(2017), </w:t>
      </w:r>
      <w:r w:rsidRPr="005E6B7C">
        <w:rPr>
          <w:rFonts w:asciiTheme="majorHAnsi" w:eastAsia="Yu Mincho" w:hAnsiTheme="majorHAnsi" w:cstheme="majorHAnsi"/>
          <w:i/>
          <w:noProof/>
          <w:color w:val="000000" w:themeColor="text1"/>
          <w:sz w:val="18"/>
          <w:szCs w:val="18"/>
          <w:lang w:eastAsia="ja-JP"/>
        </w:rPr>
        <w:t>Vietnam Pharmacopoeia</w:t>
      </w:r>
      <w:r w:rsidRPr="005E6B7C">
        <w:rPr>
          <w:rFonts w:asciiTheme="majorHAnsi" w:eastAsia="Yu Mincho" w:hAnsiTheme="majorHAnsi" w:cstheme="majorHAnsi"/>
          <w:i/>
          <w:noProof/>
          <w:color w:val="000000" w:themeColor="text1"/>
          <w:sz w:val="18"/>
          <w:szCs w:val="18"/>
          <w:lang w:val="vi-VN" w:eastAsia="ja-JP"/>
        </w:rPr>
        <w:t xml:space="preserve"> V</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2,</w:t>
      </w:r>
      <w:r w:rsidRPr="005E6B7C">
        <w:rPr>
          <w:rFonts w:asciiTheme="majorHAnsi" w:eastAsia="Yu Mincho" w:hAnsiTheme="majorHAnsi" w:cstheme="majorHAnsi"/>
          <w:noProof/>
          <w:color w:val="000000" w:themeColor="text1"/>
          <w:sz w:val="18"/>
          <w:szCs w:val="18"/>
          <w:lang w:eastAsia="ja-JP"/>
        </w:rPr>
        <w:t xml:space="preserve"> Medical Publishing House, Hanoi</w:t>
      </w:r>
      <w:r w:rsidRPr="005E6B7C">
        <w:rPr>
          <w:rFonts w:asciiTheme="majorHAnsi" w:eastAsia="Yu Mincho" w:hAnsiTheme="majorHAnsi" w:cstheme="majorHAnsi"/>
          <w:noProof/>
          <w:color w:val="000000" w:themeColor="text1"/>
          <w:sz w:val="18"/>
          <w:szCs w:val="18"/>
          <w:lang w:val="vi-VN" w:eastAsia="ja-JP"/>
        </w:rPr>
        <w:t>,  PL-274-275</w:t>
      </w:r>
      <w:r w:rsidRPr="005E6B7C">
        <w:rPr>
          <w:rFonts w:asciiTheme="majorHAnsi" w:eastAsia="Yu Mincho" w:hAnsiTheme="majorHAnsi" w:cstheme="majorHAnsi"/>
          <w:noProof/>
          <w:color w:val="000000" w:themeColor="text1"/>
          <w:sz w:val="18"/>
          <w:szCs w:val="18"/>
          <w:lang w:eastAsia="ja-JP"/>
        </w:rPr>
        <w:t>.</w:t>
      </w:r>
    </w:p>
    <w:p w14:paraId="6B7F1E08"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Adams R</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(2005), Identification of </w:t>
      </w:r>
      <w:r w:rsidRPr="005E6B7C">
        <w:rPr>
          <w:rFonts w:asciiTheme="majorHAnsi" w:eastAsia="Yu Mincho" w:hAnsiTheme="majorHAnsi" w:cstheme="majorHAnsi"/>
          <w:noProof/>
          <w:color w:val="000000" w:themeColor="text1"/>
          <w:sz w:val="18"/>
          <w:szCs w:val="18"/>
          <w:lang w:val="vi-VN" w:eastAsia="ja-JP"/>
        </w:rPr>
        <w:t>e</w:t>
      </w:r>
      <w:r w:rsidRPr="005E6B7C">
        <w:rPr>
          <w:rFonts w:asciiTheme="majorHAnsi" w:eastAsia="Yu Mincho" w:hAnsiTheme="majorHAnsi" w:cstheme="majorHAnsi"/>
          <w:noProof/>
          <w:color w:val="000000" w:themeColor="text1"/>
          <w:sz w:val="18"/>
          <w:szCs w:val="18"/>
          <w:lang w:eastAsia="ja-JP"/>
        </w:rPr>
        <w:t xml:space="preserve">ssential </w:t>
      </w:r>
      <w:r w:rsidRPr="005E6B7C">
        <w:rPr>
          <w:rFonts w:asciiTheme="majorHAnsi" w:eastAsia="Yu Mincho" w:hAnsiTheme="majorHAnsi" w:cstheme="majorHAnsi"/>
          <w:noProof/>
          <w:color w:val="000000" w:themeColor="text1"/>
          <w:sz w:val="18"/>
          <w:szCs w:val="18"/>
          <w:lang w:val="vi-VN" w:eastAsia="ja-JP"/>
        </w:rPr>
        <w:t>o</w:t>
      </w:r>
      <w:r w:rsidRPr="005E6B7C">
        <w:rPr>
          <w:rFonts w:asciiTheme="majorHAnsi" w:eastAsia="Yu Mincho" w:hAnsiTheme="majorHAnsi" w:cstheme="majorHAnsi"/>
          <w:noProof/>
          <w:color w:val="000000" w:themeColor="text1"/>
          <w:sz w:val="18"/>
          <w:szCs w:val="18"/>
          <w:lang w:eastAsia="ja-JP"/>
        </w:rPr>
        <w:t xml:space="preserve">il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omponents by Gas Chromatography/Quadrupole Mass Spectroscopy, </w:t>
      </w:r>
      <w:r w:rsidRPr="005E6B7C">
        <w:rPr>
          <w:rFonts w:asciiTheme="majorHAnsi" w:eastAsia="Yu Mincho" w:hAnsiTheme="majorHAnsi" w:cstheme="majorHAnsi"/>
          <w:i/>
          <w:noProof/>
          <w:color w:val="000000" w:themeColor="text1"/>
          <w:sz w:val="18"/>
          <w:szCs w:val="18"/>
          <w:lang w:eastAsia="ja-JP"/>
        </w:rPr>
        <w:t>Carol Stream</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16, </w:t>
      </w:r>
      <w:r w:rsidRPr="005E6B7C">
        <w:rPr>
          <w:rFonts w:asciiTheme="majorHAnsi" w:eastAsia="Yu Mincho" w:hAnsiTheme="majorHAnsi" w:cstheme="majorHAnsi"/>
          <w:noProof/>
          <w:color w:val="000000" w:themeColor="text1"/>
          <w:sz w:val="18"/>
          <w:szCs w:val="18"/>
          <w:lang w:eastAsia="ja-JP"/>
        </w:rPr>
        <w:t>65-120.</w:t>
      </w:r>
    </w:p>
    <w:p w14:paraId="06AFFFF0" w14:textId="35D4AB29"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Hadacek F., Greger, H. (2000), </w:t>
      </w:r>
      <w:r w:rsidR="008C0D47" w:rsidRPr="005E6B7C">
        <w:rPr>
          <w:rFonts w:asciiTheme="majorHAnsi" w:eastAsia="Yu Mincho" w:hAnsiTheme="majorHAnsi" w:cstheme="majorHAnsi"/>
          <w:noProof/>
          <w:color w:val="000000" w:themeColor="text1"/>
          <w:sz w:val="18"/>
          <w:szCs w:val="18"/>
          <w:lang w:eastAsia="ja-JP"/>
        </w:rPr>
        <w:t>Testing of antifungal natural products: Methodologies, comparability of results and assay choice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val="en" w:eastAsia="ja-JP"/>
        </w:rPr>
        <w:t>Phytochemical Analysis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90, </w:t>
      </w:r>
      <w:r w:rsidRPr="005E6B7C">
        <w:rPr>
          <w:rFonts w:asciiTheme="majorHAnsi" w:eastAsia="Yu Mincho" w:hAnsiTheme="majorHAnsi" w:cstheme="majorHAnsi"/>
          <w:noProof/>
          <w:color w:val="000000" w:themeColor="text1"/>
          <w:sz w:val="18"/>
          <w:szCs w:val="18"/>
          <w:lang w:eastAsia="ja-JP"/>
        </w:rPr>
        <w:t>137-147.</w:t>
      </w:r>
    </w:p>
    <w:p w14:paraId="28FA4460" w14:textId="4D6481B9"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b/>
          <w:bCs/>
          <w:noProof/>
          <w:color w:val="000000" w:themeColor="text1"/>
          <w:sz w:val="18"/>
          <w:szCs w:val="18"/>
          <w:lang w:eastAsia="ja-JP"/>
        </w:rPr>
        <w:tab/>
      </w:r>
      <w:r w:rsidR="00FB7B36" w:rsidRPr="005E6B7C">
        <w:rPr>
          <w:rFonts w:asciiTheme="majorHAnsi" w:eastAsia="Yu Mincho" w:hAnsiTheme="majorHAnsi" w:cstheme="majorHAnsi"/>
          <w:noProof/>
          <w:color w:val="000000" w:themeColor="text1"/>
          <w:sz w:val="18"/>
          <w:szCs w:val="18"/>
          <w:lang w:eastAsia="ja-JP"/>
        </w:rPr>
        <w:t>Paul</w:t>
      </w:r>
      <w:r w:rsidRPr="005E6B7C">
        <w:rPr>
          <w:rFonts w:asciiTheme="majorHAnsi" w:eastAsia="Yu Mincho" w:hAnsiTheme="majorHAnsi" w:cstheme="majorHAnsi"/>
          <w:noProof/>
          <w:color w:val="000000" w:themeColor="text1"/>
          <w:sz w:val="18"/>
          <w:szCs w:val="18"/>
          <w:lang w:eastAsia="ja-JP"/>
        </w:rPr>
        <w:t xml:space="preserve"> C</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L</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Jean-Bosco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Arnold J. V</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Dirk V</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B</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(2005), </w:t>
      </w:r>
      <w:r w:rsidRPr="005E6B7C">
        <w:rPr>
          <w:rFonts w:asciiTheme="majorHAnsi" w:eastAsia="Yu Mincho" w:hAnsiTheme="majorHAnsi" w:cstheme="majorHAnsi"/>
          <w:i/>
          <w:noProof/>
          <w:color w:val="000000" w:themeColor="text1"/>
          <w:sz w:val="18"/>
          <w:szCs w:val="18"/>
          <w:lang w:eastAsia="ja-JP"/>
        </w:rPr>
        <w:t>Bioassay for antibacterial and antifungal activities</w:t>
      </w:r>
      <w:r w:rsidRPr="005E6B7C">
        <w:rPr>
          <w:rFonts w:asciiTheme="majorHAnsi" w:eastAsia="Yu Mincho" w:hAnsiTheme="majorHAnsi" w:cstheme="majorHAnsi"/>
          <w:noProof/>
          <w:color w:val="000000" w:themeColor="text1"/>
          <w:sz w:val="18"/>
          <w:szCs w:val="18"/>
          <w:lang w:eastAsia="ja-JP"/>
        </w:rPr>
        <w:t>, Faculty of Pharmaceutical, Biomedical and Veterinary Sciences, University of Antwerp, Belgium</w:t>
      </w:r>
      <w:r w:rsidRPr="005E6B7C">
        <w:rPr>
          <w:rFonts w:asciiTheme="majorHAnsi" w:eastAsia="Yu Mincho" w:hAnsiTheme="majorHAnsi" w:cstheme="majorHAnsi"/>
          <w:noProof/>
          <w:color w:val="000000" w:themeColor="text1"/>
          <w:sz w:val="18"/>
          <w:szCs w:val="18"/>
          <w:lang w:val="vi-VN" w:eastAsia="ja-JP"/>
        </w:rPr>
        <w:t>, 19-28</w:t>
      </w:r>
      <w:r w:rsidRPr="005E6B7C">
        <w:rPr>
          <w:rFonts w:asciiTheme="majorHAnsi" w:eastAsia="Yu Mincho" w:hAnsiTheme="majorHAnsi" w:cstheme="majorHAnsi"/>
          <w:noProof/>
          <w:color w:val="000000" w:themeColor="text1"/>
          <w:sz w:val="18"/>
          <w:szCs w:val="18"/>
          <w:lang w:eastAsia="ja-JP"/>
        </w:rPr>
        <w:t>.</w:t>
      </w:r>
    </w:p>
    <w:p w14:paraId="241DD478" w14:textId="27938E1A"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Cos P., Vlietinck A. J., Berghe D. V., Maes L. (2006), Anti-infective potential of natural products: how to develop a stronger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'proof-of-concept', </w:t>
      </w:r>
      <w:r w:rsidRPr="005E6B7C">
        <w:rPr>
          <w:rFonts w:asciiTheme="majorHAnsi" w:eastAsia="Yu Mincho" w:hAnsiTheme="majorHAnsi" w:cstheme="majorHAnsi"/>
          <w:i/>
          <w:noProof/>
          <w:color w:val="000000" w:themeColor="text1"/>
          <w:sz w:val="18"/>
          <w:szCs w:val="18"/>
          <w:lang w:eastAsia="ja-JP"/>
        </w:rPr>
        <w:t>Journal</w:t>
      </w:r>
      <w:r w:rsidRPr="005E6B7C">
        <w:rPr>
          <w:rFonts w:asciiTheme="majorHAnsi" w:eastAsia="Yu Mincho" w:hAnsiTheme="majorHAnsi" w:cstheme="majorHAnsi"/>
          <w:i/>
          <w:noProof/>
          <w:color w:val="000000" w:themeColor="text1"/>
          <w:sz w:val="18"/>
          <w:szCs w:val="18"/>
          <w:lang w:val="vi-VN" w:eastAsia="ja-JP"/>
        </w:rPr>
        <w:t xml:space="preserve"> of</w:t>
      </w:r>
      <w:r w:rsidRPr="005E6B7C">
        <w:rPr>
          <w:rFonts w:asciiTheme="majorHAnsi" w:eastAsia="Yu Mincho" w:hAnsiTheme="majorHAnsi" w:cstheme="majorHAnsi"/>
          <w:i/>
          <w:noProof/>
          <w:color w:val="000000" w:themeColor="text1"/>
          <w:sz w:val="18"/>
          <w:szCs w:val="18"/>
          <w:lang w:eastAsia="ja-JP"/>
        </w:rPr>
        <w:t xml:space="preserve"> Ethnopharmacol</w:t>
      </w:r>
      <w:r w:rsidR="00FB7B36" w:rsidRPr="005E6B7C">
        <w:rPr>
          <w:rFonts w:asciiTheme="majorHAnsi" w:eastAsia="Yu Mincho" w:hAnsiTheme="majorHAnsi" w:cstheme="majorHAnsi"/>
          <w:i/>
          <w:noProof/>
          <w:color w:val="000000" w:themeColor="text1"/>
          <w:sz w:val="18"/>
          <w:szCs w:val="18"/>
          <w:lang w:eastAsia="ja-JP"/>
        </w:rPr>
        <w:t>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106(3), </w:t>
      </w:r>
      <w:r w:rsidRPr="005E6B7C">
        <w:rPr>
          <w:rFonts w:asciiTheme="majorHAnsi" w:eastAsia="Yu Mincho" w:hAnsiTheme="majorHAnsi" w:cstheme="majorHAnsi"/>
          <w:noProof/>
          <w:color w:val="000000" w:themeColor="text1"/>
          <w:sz w:val="18"/>
          <w:szCs w:val="18"/>
          <w:lang w:eastAsia="ja-JP"/>
        </w:rPr>
        <w:t>290-302.</w:t>
      </w:r>
    </w:p>
    <w:p w14:paraId="276CBEE9"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ab/>
        <w:t xml:space="preserve">Mosmann T. (1983), Rapid colorimetric assay for cellular growth and survival: application to proliferation and cytotoxicity assays, </w:t>
      </w:r>
      <w:r w:rsidRPr="005E6B7C">
        <w:rPr>
          <w:rFonts w:asciiTheme="majorHAnsi" w:eastAsia="Yu Mincho" w:hAnsiTheme="majorHAnsi" w:cstheme="majorHAnsi"/>
          <w:i/>
          <w:noProof/>
          <w:color w:val="000000" w:themeColor="text1"/>
          <w:sz w:val="18"/>
          <w:szCs w:val="18"/>
          <w:lang w:eastAsia="ja-JP"/>
        </w:rPr>
        <w:t>Journal</w:t>
      </w:r>
      <w:r w:rsidRPr="005E6B7C">
        <w:rPr>
          <w:rFonts w:asciiTheme="majorHAnsi" w:eastAsia="Yu Mincho" w:hAnsiTheme="majorHAnsi" w:cstheme="majorHAnsi"/>
          <w:i/>
          <w:noProof/>
          <w:color w:val="000000" w:themeColor="text1"/>
          <w:sz w:val="18"/>
          <w:szCs w:val="18"/>
          <w:lang w:val="vi-VN" w:eastAsia="ja-JP"/>
        </w:rPr>
        <w:t xml:space="preserve"> of</w:t>
      </w:r>
      <w:r w:rsidRPr="005E6B7C">
        <w:rPr>
          <w:rFonts w:asciiTheme="majorHAnsi" w:eastAsia="Yu Mincho" w:hAnsiTheme="majorHAnsi" w:cstheme="majorHAnsi"/>
          <w:i/>
          <w:noProof/>
          <w:color w:val="000000" w:themeColor="text1"/>
          <w:sz w:val="18"/>
          <w:szCs w:val="18"/>
          <w:lang w:eastAsia="ja-JP"/>
        </w:rPr>
        <w:t xml:space="preserve"> Immunol Methods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65(1-2), </w:t>
      </w:r>
      <w:r w:rsidRPr="005E6B7C">
        <w:rPr>
          <w:rFonts w:asciiTheme="majorHAnsi" w:eastAsia="Yu Mincho" w:hAnsiTheme="majorHAnsi" w:cstheme="majorHAnsi"/>
          <w:noProof/>
          <w:color w:val="000000" w:themeColor="text1"/>
          <w:sz w:val="18"/>
          <w:szCs w:val="18"/>
          <w:lang w:eastAsia="ja-JP"/>
        </w:rPr>
        <w:t>55-63</w:t>
      </w:r>
      <w:r w:rsidRPr="005E6B7C">
        <w:rPr>
          <w:rFonts w:asciiTheme="majorHAnsi" w:eastAsia="Yu Mincho" w:hAnsiTheme="majorHAnsi" w:cstheme="majorHAnsi"/>
          <w:noProof/>
          <w:color w:val="000000" w:themeColor="text1"/>
          <w:sz w:val="18"/>
          <w:szCs w:val="18"/>
          <w:lang w:val="vi-VN" w:eastAsia="ja-JP"/>
        </w:rPr>
        <w:t>.</w:t>
      </w:r>
    </w:p>
    <w:p w14:paraId="11E4B6C8"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ab/>
        <w:t xml:space="preserve">Scudiero D. A., Shoemaker R. H., Paull K. D., Monks A., Tierney S., Nofziger T. H., Currens M. J., Seniff D., Boyd M. R. (1988), Evaluation of a soluble tetrazolium/formazan assay for cell growth and drug sensitivity in culture using human and other tumor cell lines, </w:t>
      </w:r>
      <w:r w:rsidRPr="005E6B7C">
        <w:rPr>
          <w:rFonts w:asciiTheme="majorHAnsi" w:eastAsia="Yu Mincho" w:hAnsiTheme="majorHAnsi" w:cstheme="majorHAnsi"/>
          <w:i/>
          <w:noProof/>
          <w:color w:val="000000" w:themeColor="text1"/>
          <w:sz w:val="18"/>
          <w:szCs w:val="18"/>
          <w:lang w:eastAsia="ja-JP"/>
        </w:rPr>
        <w:t>Cancer Research</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48(17), </w:t>
      </w:r>
      <w:r w:rsidRPr="005E6B7C">
        <w:rPr>
          <w:rFonts w:asciiTheme="majorHAnsi" w:eastAsia="Yu Mincho" w:hAnsiTheme="majorHAnsi" w:cstheme="majorHAnsi"/>
          <w:noProof/>
          <w:color w:val="000000" w:themeColor="text1"/>
          <w:sz w:val="18"/>
          <w:szCs w:val="18"/>
          <w:lang w:eastAsia="ja-JP"/>
        </w:rPr>
        <w:t>4827-33.</w:t>
      </w:r>
    </w:p>
    <w:p w14:paraId="0E44CABC"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val="it-IT" w:eastAsia="ja-JP"/>
        </w:rPr>
      </w:pPr>
      <w:r w:rsidRPr="005E6B7C">
        <w:rPr>
          <w:rFonts w:asciiTheme="majorHAnsi" w:eastAsia="Yu Mincho" w:hAnsiTheme="majorHAnsi" w:cstheme="majorHAnsi"/>
          <w:b/>
          <w:bCs/>
          <w:noProof/>
          <w:color w:val="000000" w:themeColor="text1"/>
          <w:sz w:val="18"/>
          <w:szCs w:val="18"/>
          <w:lang w:val="it-IT" w:eastAsia="ja-JP"/>
        </w:rPr>
        <w:t>15.</w:t>
      </w:r>
      <w:r w:rsidRPr="005E6B7C">
        <w:rPr>
          <w:rFonts w:asciiTheme="majorHAnsi" w:eastAsia="Yu Mincho" w:hAnsiTheme="majorHAnsi" w:cstheme="majorHAnsi"/>
          <w:noProof/>
          <w:color w:val="000000" w:themeColor="text1"/>
          <w:sz w:val="18"/>
          <w:szCs w:val="18"/>
          <w:lang w:val="it-IT" w:eastAsia="ja-JP"/>
        </w:rPr>
        <w:tab/>
        <w:t>Malacrida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xml:space="preserve">, Cavalloro </w:t>
      </w:r>
      <w:r w:rsidRPr="005E6B7C">
        <w:rPr>
          <w:rFonts w:asciiTheme="majorHAnsi" w:eastAsia="Yu Mincho" w:hAnsiTheme="majorHAnsi" w:cstheme="majorHAnsi"/>
          <w:noProof/>
          <w:color w:val="000000" w:themeColor="text1"/>
          <w:sz w:val="18"/>
          <w:szCs w:val="18"/>
          <w:lang w:val="vi-VN" w:eastAsia="ja-JP"/>
        </w:rPr>
        <w:t>V.</w:t>
      </w:r>
      <w:r w:rsidRPr="005E6B7C">
        <w:rPr>
          <w:rFonts w:asciiTheme="majorHAnsi" w:eastAsia="Yu Mincho" w:hAnsiTheme="majorHAnsi" w:cstheme="majorHAnsi"/>
          <w:noProof/>
          <w:color w:val="000000" w:themeColor="text1"/>
          <w:sz w:val="18"/>
          <w:szCs w:val="18"/>
          <w:lang w:val="it-IT" w:eastAsia="ja-JP"/>
        </w:rPr>
        <w:t>, Martino E</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Cassetti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Nicolini G</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Rigolio R</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xml:space="preserve">, Cavaletti </w:t>
      </w:r>
      <w:r w:rsidRPr="005E6B7C">
        <w:rPr>
          <w:rFonts w:asciiTheme="majorHAnsi" w:eastAsia="Yu Mincho" w:hAnsiTheme="majorHAnsi" w:cstheme="majorHAnsi"/>
          <w:noProof/>
          <w:color w:val="000000" w:themeColor="text1"/>
          <w:sz w:val="18"/>
          <w:szCs w:val="18"/>
          <w:lang w:val="vi-VN" w:eastAsia="ja-JP"/>
        </w:rPr>
        <w:t>G.</w:t>
      </w:r>
      <w:r w:rsidRPr="005E6B7C">
        <w:rPr>
          <w:rFonts w:asciiTheme="majorHAnsi" w:eastAsia="Yu Mincho" w:hAnsiTheme="majorHAnsi" w:cstheme="majorHAnsi"/>
          <w:noProof/>
          <w:color w:val="000000" w:themeColor="text1"/>
          <w:sz w:val="18"/>
          <w:szCs w:val="18"/>
          <w:lang w:val="it-IT" w:eastAsia="ja-JP"/>
        </w:rPr>
        <w:t>, Mannucci B</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Vasile F</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Giacomo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xml:space="preserve">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Collina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Miloso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val="it-IT" w:eastAsia="ja-JP"/>
        </w:rPr>
        <w:t xml:space="preserve"> (2019), Anti-multiple myeloma potential of secondary metabolites from </w:t>
      </w:r>
      <w:r w:rsidRPr="005E6B7C">
        <w:rPr>
          <w:rFonts w:asciiTheme="majorHAnsi" w:eastAsia="Yu Mincho" w:hAnsiTheme="majorHAnsi" w:cstheme="majorHAnsi"/>
          <w:i/>
          <w:iCs/>
          <w:noProof/>
          <w:color w:val="000000" w:themeColor="text1"/>
          <w:sz w:val="18"/>
          <w:szCs w:val="18"/>
          <w:lang w:val="it-IT" w:eastAsia="ja-JP"/>
        </w:rPr>
        <w:t>Hibiscus sabdariffa</w:t>
      </w:r>
      <w:r w:rsidRPr="005E6B7C">
        <w:rPr>
          <w:rFonts w:asciiTheme="majorHAnsi" w:eastAsia="Yu Mincho" w:hAnsiTheme="majorHAnsi" w:cstheme="majorHAnsi"/>
          <w:noProof/>
          <w:color w:val="000000" w:themeColor="text1"/>
          <w:sz w:val="18"/>
          <w:szCs w:val="18"/>
          <w:lang w:val="it-IT" w:eastAsia="ja-JP"/>
        </w:rPr>
        <w:t xml:space="preserve">, </w:t>
      </w:r>
      <w:r w:rsidRPr="005E6B7C">
        <w:rPr>
          <w:rFonts w:asciiTheme="majorHAnsi" w:eastAsia="Yu Mincho" w:hAnsiTheme="majorHAnsi" w:cstheme="majorHAnsi"/>
          <w:i/>
          <w:noProof/>
          <w:color w:val="000000" w:themeColor="text1"/>
          <w:sz w:val="18"/>
          <w:szCs w:val="18"/>
          <w:lang w:val="it-IT" w:eastAsia="ja-JP"/>
        </w:rPr>
        <w:t>Molecules</w:t>
      </w:r>
      <w:r w:rsidRPr="005E6B7C">
        <w:rPr>
          <w:rFonts w:asciiTheme="majorHAnsi" w:eastAsia="Yu Mincho" w:hAnsiTheme="majorHAnsi" w:cstheme="majorHAnsi"/>
          <w:noProof/>
          <w:color w:val="000000" w:themeColor="text1"/>
          <w:sz w:val="18"/>
          <w:szCs w:val="18"/>
          <w:lang w:val="it-IT" w:eastAsia="ja-JP"/>
        </w:rPr>
        <w:t xml:space="preserve">, </w:t>
      </w:r>
      <w:r w:rsidRPr="005E6B7C">
        <w:rPr>
          <w:rFonts w:asciiTheme="majorHAnsi" w:eastAsia="Yu Mincho" w:hAnsiTheme="majorHAnsi" w:cstheme="majorHAnsi"/>
          <w:iCs/>
          <w:noProof/>
          <w:color w:val="000000" w:themeColor="text1"/>
          <w:sz w:val="18"/>
          <w:szCs w:val="18"/>
          <w:lang w:val="it-IT" w:eastAsia="ja-JP"/>
        </w:rPr>
        <w:t>24(13),</w:t>
      </w:r>
      <w:r w:rsidRPr="005E6B7C">
        <w:rPr>
          <w:rFonts w:asciiTheme="majorHAnsi" w:eastAsia="Yu Mincho" w:hAnsiTheme="majorHAnsi" w:cstheme="majorHAnsi"/>
          <w:noProof/>
          <w:color w:val="000000" w:themeColor="text1"/>
          <w:sz w:val="18"/>
          <w:szCs w:val="18"/>
          <w:lang w:val="it-IT" w:eastAsia="ja-JP"/>
        </w:rPr>
        <w:t xml:space="preserve"> 2500.</w:t>
      </w:r>
    </w:p>
    <w:p w14:paraId="00224AFE"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ab/>
        <w:t>Bui</w:t>
      </w:r>
      <w:r w:rsidRPr="005E6B7C">
        <w:rPr>
          <w:rFonts w:asciiTheme="majorHAnsi" w:eastAsia="Yu Mincho" w:hAnsiTheme="majorHAnsi" w:cstheme="majorHAnsi"/>
          <w:noProof/>
          <w:color w:val="000000" w:themeColor="text1"/>
          <w:sz w:val="18"/>
          <w:szCs w:val="18"/>
          <w:lang w:val="vi-VN" w:eastAsia="ja-JP"/>
        </w:rPr>
        <w:t xml:space="preserve">. B. </w:t>
      </w:r>
      <w:r w:rsidRPr="005E6B7C">
        <w:rPr>
          <w:rFonts w:asciiTheme="majorHAnsi" w:eastAsia="Yu Mincho" w:hAnsiTheme="majorHAnsi" w:cstheme="majorHAnsi"/>
          <w:noProof/>
          <w:color w:val="000000" w:themeColor="text1"/>
          <w:sz w:val="18"/>
          <w:szCs w:val="18"/>
          <w:lang w:eastAsia="ja-JP"/>
        </w:rPr>
        <w:t>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Nguyen</w:t>
      </w:r>
      <w:r w:rsidRPr="005E6B7C">
        <w:rPr>
          <w:rFonts w:asciiTheme="majorHAnsi" w:eastAsia="Yu Mincho" w:hAnsiTheme="majorHAnsi" w:cstheme="majorHAnsi"/>
          <w:noProof/>
          <w:color w:val="000000" w:themeColor="text1"/>
          <w:sz w:val="18"/>
          <w:szCs w:val="18"/>
          <w:lang w:val="vi-VN" w:eastAsia="ja-JP"/>
        </w:rPr>
        <w:t xml:space="preserve"> T. K.</w:t>
      </w:r>
      <w:r w:rsidRPr="005E6B7C">
        <w:rPr>
          <w:rFonts w:asciiTheme="majorHAnsi" w:eastAsia="Yu Mincho" w:hAnsiTheme="majorHAnsi" w:cstheme="majorHAnsi"/>
          <w:noProof/>
          <w:color w:val="000000" w:themeColor="text1"/>
          <w:sz w:val="18"/>
          <w:szCs w:val="18"/>
          <w:lang w:eastAsia="ja-JP"/>
        </w:rPr>
        <w:t>, Doudkin R. V., Dau</w:t>
      </w:r>
      <w:r w:rsidRPr="005E6B7C">
        <w:rPr>
          <w:rFonts w:asciiTheme="majorHAnsi" w:eastAsia="Yu Mincho" w:hAnsiTheme="majorHAnsi" w:cstheme="majorHAnsi"/>
          <w:noProof/>
          <w:color w:val="000000" w:themeColor="text1"/>
          <w:sz w:val="18"/>
          <w:szCs w:val="18"/>
          <w:lang w:val="vi-VN" w:eastAsia="ja-JP"/>
        </w:rPr>
        <w:t xml:space="preserve"> B. T.</w:t>
      </w:r>
      <w:r w:rsidRPr="005E6B7C">
        <w:rPr>
          <w:rFonts w:asciiTheme="majorHAnsi" w:eastAsia="Yu Mincho" w:hAnsiTheme="majorHAnsi" w:cstheme="majorHAnsi"/>
          <w:noProof/>
          <w:color w:val="000000" w:themeColor="text1"/>
          <w:sz w:val="18"/>
          <w:szCs w:val="18"/>
          <w:lang w:eastAsia="ja-JP"/>
        </w:rPr>
        <w:t xml:space="preserve">, Ogunwande I. A. (2023), Chemical composition of essential oil and antioxidant activity of the essential oil and methanol extracts of </w:t>
      </w:r>
      <w:r w:rsidRPr="005E6B7C">
        <w:rPr>
          <w:rFonts w:asciiTheme="majorHAnsi" w:eastAsia="Yu Mincho" w:hAnsiTheme="majorHAnsi" w:cstheme="majorHAnsi"/>
          <w:i/>
          <w:iCs/>
          <w:noProof/>
          <w:color w:val="000000" w:themeColor="text1"/>
          <w:sz w:val="18"/>
          <w:szCs w:val="18"/>
          <w:lang w:eastAsia="ja-JP"/>
        </w:rPr>
        <w:t>Knema globularia</w:t>
      </w:r>
      <w:r w:rsidRPr="005E6B7C">
        <w:rPr>
          <w:rFonts w:asciiTheme="majorHAnsi" w:eastAsia="Yu Mincho" w:hAnsiTheme="majorHAnsi" w:cstheme="majorHAnsi"/>
          <w:noProof/>
          <w:color w:val="000000" w:themeColor="text1"/>
          <w:sz w:val="18"/>
          <w:szCs w:val="18"/>
          <w:lang w:eastAsia="ja-JP"/>
        </w:rPr>
        <w:t xml:space="preserve"> (Lam.) Warb. from Vietnam, </w:t>
      </w:r>
      <w:r w:rsidRPr="005E6B7C">
        <w:rPr>
          <w:rFonts w:asciiTheme="majorHAnsi" w:eastAsia="Yu Mincho" w:hAnsiTheme="majorHAnsi" w:cstheme="majorHAnsi"/>
          <w:i/>
          <w:noProof/>
          <w:color w:val="000000" w:themeColor="text1"/>
          <w:sz w:val="18"/>
          <w:szCs w:val="18"/>
          <w:lang w:eastAsia="ja-JP"/>
        </w:rPr>
        <w:t>Natural Product Research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37(10),</w:t>
      </w:r>
      <w:r w:rsidRPr="005E6B7C">
        <w:rPr>
          <w:rFonts w:asciiTheme="majorHAnsi" w:eastAsia="Yu Mincho" w:hAnsiTheme="majorHAnsi" w:cstheme="majorHAnsi"/>
          <w:noProof/>
          <w:color w:val="000000" w:themeColor="text1"/>
          <w:sz w:val="18"/>
          <w:szCs w:val="18"/>
          <w:lang w:eastAsia="ja-JP"/>
        </w:rPr>
        <w:t xml:space="preserve"> 1625-1631.</w:t>
      </w:r>
    </w:p>
    <w:p w14:paraId="3EA3AAB2"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17.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Nguyen </w:t>
      </w:r>
      <w:r w:rsidRPr="005E6B7C">
        <w:rPr>
          <w:rFonts w:asciiTheme="majorHAnsi" w:eastAsia="Yu Mincho" w:hAnsiTheme="majorHAnsi" w:cstheme="majorHAnsi"/>
          <w:noProof/>
          <w:color w:val="000000" w:themeColor="text1"/>
          <w:sz w:val="18"/>
          <w:szCs w:val="18"/>
          <w:lang w:val="vi-VN" w:eastAsia="ja-JP"/>
        </w:rPr>
        <w:t>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N.</w:t>
      </w:r>
      <w:r w:rsidRPr="005E6B7C">
        <w:rPr>
          <w:rFonts w:asciiTheme="majorHAnsi" w:eastAsia="Yu Mincho" w:hAnsiTheme="majorHAnsi" w:cstheme="majorHAnsi"/>
          <w:noProof/>
          <w:color w:val="000000" w:themeColor="text1"/>
          <w:sz w:val="18"/>
          <w:szCs w:val="18"/>
          <w:lang w:eastAsia="ja-JP"/>
        </w:rPr>
        <w:t>, Nguyen H. D.</w:t>
      </w:r>
      <w:r w:rsidRPr="005E6B7C">
        <w:rPr>
          <w:rFonts w:asciiTheme="majorHAnsi" w:eastAsia="Yu Mincho" w:hAnsiTheme="majorHAnsi" w:cstheme="majorHAnsi"/>
          <w:noProof/>
          <w:color w:val="000000" w:themeColor="text1"/>
          <w:sz w:val="18"/>
          <w:szCs w:val="18"/>
          <w:lang w:val="vi-VN" w:eastAsia="ja-JP"/>
        </w:rPr>
        <w:t>T.</w:t>
      </w:r>
      <w:r w:rsidRPr="005E6B7C">
        <w:rPr>
          <w:rFonts w:asciiTheme="majorHAnsi" w:eastAsia="Yu Mincho" w:hAnsiTheme="majorHAnsi" w:cstheme="majorHAnsi"/>
          <w:noProof/>
          <w:color w:val="000000" w:themeColor="text1"/>
          <w:sz w:val="18"/>
          <w:szCs w:val="18"/>
          <w:lang w:eastAsia="ja-JP"/>
        </w:rPr>
        <w:t>, Vu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C., Nguyen</w:t>
      </w:r>
      <w:r w:rsidRPr="005E6B7C">
        <w:rPr>
          <w:rFonts w:asciiTheme="majorHAnsi" w:eastAsia="Yu Mincho" w:hAnsiTheme="majorHAnsi" w:cstheme="majorHAnsi"/>
          <w:noProof/>
          <w:color w:val="000000" w:themeColor="text1"/>
          <w:sz w:val="18"/>
          <w:szCs w:val="18"/>
          <w:lang w:val="vi-VN" w:eastAsia="ja-JP"/>
        </w:rPr>
        <w:t xml:space="preserve"> X. H.</w:t>
      </w:r>
      <w:r w:rsidRPr="005E6B7C">
        <w:rPr>
          <w:rFonts w:asciiTheme="majorHAnsi" w:eastAsia="Yu Mincho" w:hAnsiTheme="majorHAnsi" w:cstheme="majorHAnsi"/>
          <w:noProof/>
          <w:color w:val="000000" w:themeColor="text1"/>
          <w:sz w:val="18"/>
          <w:szCs w:val="18"/>
          <w:lang w:eastAsia="ja-JP"/>
        </w:rPr>
        <w:t>, Tran</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L</w:t>
      </w:r>
      <w:r w:rsidRPr="005E6B7C">
        <w:rPr>
          <w:rFonts w:asciiTheme="majorHAnsi" w:eastAsia="Yu Mincho" w:hAnsiTheme="majorHAnsi" w:cstheme="majorHAnsi"/>
          <w:noProof/>
          <w:color w:val="000000" w:themeColor="text1"/>
          <w:sz w:val="18"/>
          <w:szCs w:val="18"/>
          <w:lang w:val="vi-VN" w:eastAsia="ja-JP"/>
        </w:rPr>
        <w:t xml:space="preserve">e D. </w:t>
      </w:r>
      <w:r w:rsidRPr="005E6B7C">
        <w:rPr>
          <w:rFonts w:asciiTheme="majorHAnsi" w:eastAsia="Yu Mincho" w:hAnsiTheme="majorHAnsi" w:cstheme="majorHAnsi"/>
          <w:noProof/>
          <w:color w:val="000000" w:themeColor="text1"/>
          <w:sz w:val="18"/>
          <w:szCs w:val="18"/>
          <w:lang w:eastAsia="ja-JP"/>
        </w:rPr>
        <w:t>G</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Phan T</w:t>
      </w:r>
      <w:r w:rsidRPr="005E6B7C">
        <w:rPr>
          <w:rFonts w:asciiTheme="majorHAnsi" w:eastAsia="Yu Mincho" w:hAnsiTheme="majorHAnsi" w:cstheme="majorHAnsi"/>
          <w:noProof/>
          <w:color w:val="000000" w:themeColor="text1"/>
          <w:sz w:val="18"/>
          <w:szCs w:val="18"/>
          <w:lang w:val="vi-VN" w:eastAsia="ja-JP"/>
        </w:rPr>
        <w:t>. T.</w:t>
      </w:r>
      <w:r w:rsidRPr="005E6B7C">
        <w:rPr>
          <w:rFonts w:asciiTheme="majorHAnsi" w:eastAsia="Yu Mincho" w:hAnsiTheme="majorHAnsi" w:cstheme="majorHAnsi"/>
          <w:noProof/>
          <w:color w:val="000000" w:themeColor="text1"/>
          <w:sz w:val="18"/>
          <w:szCs w:val="18"/>
          <w:lang w:eastAsia="ja-JP"/>
        </w:rPr>
        <w:t>, Vi</w:t>
      </w:r>
      <w:r w:rsidRPr="005E6B7C">
        <w:rPr>
          <w:rFonts w:asciiTheme="majorHAnsi" w:eastAsia="Yu Mincho" w:hAnsiTheme="majorHAnsi" w:cstheme="majorHAnsi"/>
          <w:noProof/>
          <w:color w:val="000000" w:themeColor="text1"/>
          <w:sz w:val="18"/>
          <w:szCs w:val="18"/>
          <w:lang w:val="vi-VN" w:eastAsia="ja-JP"/>
        </w:rPr>
        <w:t xml:space="preserve"> T. </w:t>
      </w:r>
      <w:r w:rsidRPr="005E6B7C">
        <w:rPr>
          <w:rFonts w:asciiTheme="majorHAnsi" w:eastAsia="Yu Mincho" w:hAnsiTheme="majorHAnsi" w:cstheme="majorHAnsi"/>
          <w:noProof/>
          <w:color w:val="000000" w:themeColor="text1"/>
          <w:sz w:val="18"/>
          <w:szCs w:val="18"/>
          <w:lang w:eastAsia="ja-JP"/>
        </w:rPr>
        <w:t>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Bui</w:t>
      </w:r>
      <w:r w:rsidRPr="005E6B7C">
        <w:rPr>
          <w:rFonts w:asciiTheme="majorHAnsi" w:eastAsia="Yu Mincho" w:hAnsiTheme="majorHAnsi" w:cstheme="majorHAnsi"/>
          <w:noProof/>
          <w:color w:val="000000" w:themeColor="text1"/>
          <w:sz w:val="18"/>
          <w:szCs w:val="18"/>
          <w:lang w:val="vi-VN" w:eastAsia="ja-JP"/>
        </w:rPr>
        <w:t xml:space="preserve"> V. 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Vo</w:t>
      </w:r>
      <w:r w:rsidRPr="005E6B7C">
        <w:rPr>
          <w:rFonts w:asciiTheme="majorHAnsi" w:eastAsia="Yu Mincho" w:hAnsiTheme="majorHAnsi" w:cstheme="majorHAnsi"/>
          <w:noProof/>
          <w:color w:val="000000" w:themeColor="text1"/>
          <w:sz w:val="18"/>
          <w:szCs w:val="18"/>
          <w:lang w:eastAsia="ja-JP"/>
        </w:rPr>
        <w:t xml:space="preserve"> V</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Hoang V. T. </w:t>
      </w:r>
      <w:r w:rsidRPr="005E6B7C">
        <w:rPr>
          <w:rFonts w:asciiTheme="majorHAnsi" w:eastAsia="Yu Mincho" w:hAnsiTheme="majorHAnsi" w:cstheme="majorHAnsi"/>
          <w:noProof/>
          <w:color w:val="000000" w:themeColor="text1"/>
          <w:sz w:val="18"/>
          <w:szCs w:val="18"/>
          <w:lang w:eastAsia="ja-JP"/>
        </w:rPr>
        <w:t xml:space="preserve">(2024), Chemical composition, enzyme inhibitory activities, and molecular docking studies of essential oil of </w:t>
      </w:r>
      <w:r w:rsidRPr="005E6B7C">
        <w:rPr>
          <w:rFonts w:asciiTheme="majorHAnsi" w:eastAsia="Yu Mincho" w:hAnsiTheme="majorHAnsi" w:cstheme="majorHAnsi"/>
          <w:i/>
          <w:iCs/>
          <w:noProof/>
          <w:color w:val="000000" w:themeColor="text1"/>
          <w:sz w:val="18"/>
          <w:szCs w:val="18"/>
          <w:lang w:eastAsia="ja-JP"/>
        </w:rPr>
        <w:t>Knema globularia</w:t>
      </w:r>
      <w:r w:rsidRPr="005E6B7C">
        <w:rPr>
          <w:rFonts w:asciiTheme="majorHAnsi" w:eastAsia="Yu Mincho" w:hAnsiTheme="majorHAnsi" w:cstheme="majorHAnsi"/>
          <w:noProof/>
          <w:color w:val="000000" w:themeColor="text1"/>
          <w:sz w:val="18"/>
          <w:szCs w:val="18"/>
          <w:lang w:eastAsia="ja-JP"/>
        </w:rPr>
        <w:t xml:space="preserve"> leaves from Vietnam, </w:t>
      </w:r>
      <w:r w:rsidRPr="005E6B7C">
        <w:rPr>
          <w:rFonts w:asciiTheme="majorHAnsi" w:eastAsia="Yu Mincho" w:hAnsiTheme="majorHAnsi" w:cstheme="majorHAnsi"/>
          <w:i/>
          <w:noProof/>
          <w:color w:val="000000" w:themeColor="text1"/>
          <w:sz w:val="18"/>
          <w:szCs w:val="18"/>
          <w:lang w:eastAsia="ja-JP"/>
        </w:rPr>
        <w:t>Journal of Essential Oil Bearing Plants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27(2), </w:t>
      </w:r>
      <w:r w:rsidRPr="005E6B7C">
        <w:rPr>
          <w:rFonts w:asciiTheme="majorHAnsi" w:eastAsia="Yu Mincho" w:hAnsiTheme="majorHAnsi" w:cstheme="majorHAnsi"/>
          <w:noProof/>
          <w:color w:val="000000" w:themeColor="text1"/>
          <w:sz w:val="18"/>
          <w:szCs w:val="18"/>
          <w:lang w:eastAsia="ja-JP"/>
        </w:rPr>
        <w:t>584-593</w:t>
      </w:r>
      <w:r w:rsidRPr="005E6B7C">
        <w:rPr>
          <w:rFonts w:asciiTheme="majorHAnsi" w:eastAsia="Yu Mincho" w:hAnsiTheme="majorHAnsi" w:cstheme="majorHAnsi"/>
          <w:noProof/>
          <w:color w:val="000000" w:themeColor="text1"/>
          <w:sz w:val="18"/>
          <w:szCs w:val="18"/>
          <w:lang w:val="vi-VN" w:eastAsia="ja-JP"/>
        </w:rPr>
        <w:t>.</w:t>
      </w:r>
    </w:p>
    <w:p w14:paraId="27D83FE4"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Bui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Van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Dang N</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L</w:t>
      </w:r>
      <w:r w:rsidRPr="005E6B7C">
        <w:rPr>
          <w:rFonts w:asciiTheme="majorHAnsi" w:eastAsia="Yu Mincho" w:hAnsiTheme="majorHAnsi" w:cstheme="majorHAnsi"/>
          <w:noProof/>
          <w:color w:val="000000" w:themeColor="text1"/>
          <w:sz w:val="18"/>
          <w:szCs w:val="18"/>
          <w:lang w:eastAsia="ja-JP"/>
        </w:rPr>
        <w:t xml:space="preserve">uu </w:t>
      </w:r>
      <w:r w:rsidRPr="005E6B7C">
        <w:rPr>
          <w:rFonts w:asciiTheme="majorHAnsi" w:eastAsia="Yu Mincho" w:hAnsiTheme="majorHAnsi" w:cstheme="majorHAnsi"/>
          <w:noProof/>
          <w:color w:val="000000" w:themeColor="text1"/>
          <w:sz w:val="18"/>
          <w:szCs w:val="18"/>
          <w:lang w:val="vi-VN" w:eastAsia="ja-JP"/>
        </w:rPr>
        <w:t>D.</w:t>
      </w:r>
      <w:r w:rsidRPr="005E6B7C">
        <w:rPr>
          <w:rFonts w:asciiTheme="majorHAnsi" w:eastAsia="Yu Mincho" w:hAnsiTheme="majorHAnsi" w:cstheme="majorHAnsi"/>
          <w:noProof/>
          <w:color w:val="000000" w:themeColor="text1"/>
          <w:sz w:val="18"/>
          <w:szCs w:val="18"/>
          <w:lang w:eastAsia="ja-JP"/>
        </w:rPr>
        <w:t xml:space="preserve"> N</w:t>
      </w:r>
      <w:r w:rsidRPr="005E6B7C">
        <w:rPr>
          <w:rFonts w:asciiTheme="majorHAnsi" w:eastAsia="Yu Mincho" w:hAnsiTheme="majorHAnsi" w:cstheme="majorHAnsi"/>
          <w:noProof/>
          <w:color w:val="000000" w:themeColor="text1"/>
          <w:sz w:val="18"/>
          <w:szCs w:val="18"/>
          <w:lang w:val="vi-VN" w:eastAsia="ja-JP"/>
        </w:rPr>
        <w:t>. A.</w:t>
      </w:r>
      <w:r w:rsidRPr="005E6B7C">
        <w:rPr>
          <w:rFonts w:asciiTheme="majorHAnsi" w:eastAsia="Yu Mincho" w:hAnsiTheme="majorHAnsi" w:cstheme="majorHAnsi"/>
          <w:noProof/>
          <w:color w:val="000000" w:themeColor="text1"/>
          <w:sz w:val="18"/>
          <w:szCs w:val="18"/>
          <w:lang w:eastAsia="ja-JP"/>
        </w:rPr>
        <w:t xml:space="preserve"> (2024), </w:t>
      </w:r>
      <w:r w:rsidRPr="005E6B7C">
        <w:rPr>
          <w:rFonts w:asciiTheme="majorHAnsi" w:eastAsia="Yu Mincho" w:hAnsiTheme="majorHAnsi" w:cstheme="majorHAnsi"/>
          <w:i/>
          <w:iCs/>
          <w:noProof/>
          <w:color w:val="000000" w:themeColor="text1"/>
          <w:sz w:val="18"/>
          <w:szCs w:val="18"/>
          <w:lang w:val="vi-VN" w:eastAsia="ja-JP"/>
        </w:rPr>
        <w:t>K</w:t>
      </w:r>
      <w:r w:rsidRPr="005E6B7C">
        <w:rPr>
          <w:rFonts w:asciiTheme="majorHAnsi" w:eastAsia="Yu Mincho" w:hAnsiTheme="majorHAnsi" w:cstheme="majorHAnsi"/>
          <w:i/>
          <w:iCs/>
          <w:noProof/>
          <w:color w:val="000000" w:themeColor="text1"/>
          <w:sz w:val="18"/>
          <w:szCs w:val="18"/>
          <w:lang w:eastAsia="ja-JP"/>
        </w:rPr>
        <w:t>nema globularia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L</w:t>
      </w:r>
      <w:r w:rsidRPr="005E6B7C">
        <w:rPr>
          <w:rFonts w:asciiTheme="majorHAnsi" w:eastAsia="Yu Mincho" w:hAnsiTheme="majorHAnsi" w:cstheme="majorHAnsi"/>
          <w:noProof/>
          <w:color w:val="000000" w:themeColor="text1"/>
          <w:sz w:val="18"/>
          <w:szCs w:val="18"/>
          <w:lang w:eastAsia="ja-JP"/>
        </w:rPr>
        <w:t>am</w:t>
      </w:r>
      <w:r w:rsidRPr="005E6B7C">
        <w:rPr>
          <w:rFonts w:asciiTheme="majorHAnsi" w:eastAsia="Yu Mincho" w:hAnsiTheme="majorHAnsi" w:cstheme="majorHAnsi"/>
          <w:noProof/>
          <w:color w:val="000000" w:themeColor="text1"/>
          <w:sz w:val="18"/>
          <w:szCs w:val="18"/>
          <w:lang w:val="vi-VN" w:eastAsia="ja-JP"/>
        </w:rPr>
        <w:t>k</w:t>
      </w:r>
      <w:r w:rsidRPr="005E6B7C">
        <w:rPr>
          <w:rFonts w:asciiTheme="majorHAnsi" w:eastAsia="Yu Mincho" w:hAnsiTheme="majorHAnsi" w:cstheme="majorHAnsi"/>
          <w:noProof/>
          <w:color w:val="000000" w:themeColor="text1"/>
          <w:sz w:val="18"/>
          <w:szCs w:val="18"/>
          <w:lang w:eastAsia="ja-JP"/>
        </w:rPr>
        <w:t xml:space="preserve">.) Warb. – botany and its essential oils, </w:t>
      </w:r>
      <w:r w:rsidRPr="005E6B7C">
        <w:rPr>
          <w:rFonts w:asciiTheme="majorHAnsi" w:eastAsia="Yu Mincho" w:hAnsiTheme="majorHAnsi" w:cstheme="majorHAnsi"/>
          <w:i/>
          <w:noProof/>
          <w:color w:val="000000" w:themeColor="text1"/>
          <w:sz w:val="18"/>
          <w:szCs w:val="18"/>
          <w:lang w:eastAsia="ja-JP"/>
        </w:rPr>
        <w:t>TNU Journal of Science and 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229, </w:t>
      </w:r>
      <w:r w:rsidRPr="005E6B7C">
        <w:rPr>
          <w:rFonts w:asciiTheme="majorHAnsi" w:eastAsia="Yu Mincho" w:hAnsiTheme="majorHAnsi" w:cstheme="majorHAnsi"/>
          <w:noProof/>
          <w:color w:val="000000" w:themeColor="text1"/>
          <w:sz w:val="18"/>
          <w:szCs w:val="18"/>
          <w:lang w:eastAsia="ja-JP"/>
        </w:rPr>
        <w:t>336-342.</w:t>
      </w:r>
    </w:p>
    <w:p w14:paraId="2E17CBCC"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19.</w:t>
      </w:r>
      <w:r w:rsidRPr="005E6B7C">
        <w:rPr>
          <w:rFonts w:asciiTheme="majorHAnsi" w:eastAsia="Yu Mincho" w:hAnsiTheme="majorHAnsi" w:cstheme="majorHAnsi"/>
          <w:noProof/>
          <w:color w:val="000000" w:themeColor="text1"/>
          <w:sz w:val="18"/>
          <w:szCs w:val="18"/>
          <w:lang w:eastAsia="ja-JP"/>
        </w:rPr>
        <w:tab/>
        <w:t>Filannino P., Di C</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R., Gobbetti M. (2018), Metabolic and functional paths of lactic acid bacteria in plant foods: get out of the labyrinth,</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i/>
          <w:noProof/>
          <w:color w:val="000000" w:themeColor="text1"/>
          <w:sz w:val="18"/>
          <w:szCs w:val="18"/>
          <w:lang w:val="en" w:eastAsia="ja-JP"/>
        </w:rPr>
        <w:t>Current Opinion in Biotechnology</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49, </w:t>
      </w:r>
      <w:r w:rsidRPr="005E6B7C">
        <w:rPr>
          <w:rFonts w:asciiTheme="majorHAnsi" w:eastAsia="Yu Mincho" w:hAnsiTheme="majorHAnsi" w:cstheme="majorHAnsi"/>
          <w:noProof/>
          <w:color w:val="000000" w:themeColor="text1"/>
          <w:sz w:val="18"/>
          <w:szCs w:val="18"/>
          <w:lang w:eastAsia="ja-JP"/>
        </w:rPr>
        <w:t>64-72.</w:t>
      </w:r>
    </w:p>
    <w:p w14:paraId="61F20CE7"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20.</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Axelsson L</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(2004), </w:t>
      </w:r>
      <w:r w:rsidRPr="005E6B7C">
        <w:rPr>
          <w:rFonts w:asciiTheme="majorHAnsi" w:eastAsia="Yu Mincho" w:hAnsiTheme="majorHAnsi" w:cstheme="majorHAnsi"/>
          <w:i/>
          <w:noProof/>
          <w:color w:val="000000" w:themeColor="text1"/>
          <w:sz w:val="18"/>
          <w:szCs w:val="18"/>
          <w:lang w:eastAsia="ja-JP"/>
        </w:rPr>
        <w:t xml:space="preserve">Lactic </w:t>
      </w:r>
      <w:r w:rsidRPr="005E6B7C">
        <w:rPr>
          <w:rFonts w:asciiTheme="majorHAnsi" w:eastAsia="Yu Mincho" w:hAnsiTheme="majorHAnsi" w:cstheme="majorHAnsi"/>
          <w:i/>
          <w:noProof/>
          <w:color w:val="000000" w:themeColor="text1"/>
          <w:sz w:val="18"/>
          <w:szCs w:val="18"/>
          <w:lang w:val="vi-VN" w:eastAsia="ja-JP"/>
        </w:rPr>
        <w:t>a</w:t>
      </w:r>
      <w:r w:rsidRPr="005E6B7C">
        <w:rPr>
          <w:rFonts w:asciiTheme="majorHAnsi" w:eastAsia="Yu Mincho" w:hAnsiTheme="majorHAnsi" w:cstheme="majorHAnsi"/>
          <w:i/>
          <w:noProof/>
          <w:color w:val="000000" w:themeColor="text1"/>
          <w:sz w:val="18"/>
          <w:szCs w:val="18"/>
          <w:lang w:eastAsia="ja-JP"/>
        </w:rPr>
        <w:t xml:space="preserve">cid </w:t>
      </w:r>
      <w:r w:rsidRPr="005E6B7C">
        <w:rPr>
          <w:rFonts w:asciiTheme="majorHAnsi" w:eastAsia="Yu Mincho" w:hAnsiTheme="majorHAnsi" w:cstheme="majorHAnsi"/>
          <w:i/>
          <w:noProof/>
          <w:color w:val="000000" w:themeColor="text1"/>
          <w:sz w:val="18"/>
          <w:szCs w:val="18"/>
          <w:lang w:val="vi-VN" w:eastAsia="ja-JP"/>
        </w:rPr>
        <w:t>b</w:t>
      </w:r>
      <w:r w:rsidRPr="005E6B7C">
        <w:rPr>
          <w:rFonts w:asciiTheme="majorHAnsi" w:eastAsia="Yu Mincho" w:hAnsiTheme="majorHAnsi" w:cstheme="majorHAnsi"/>
          <w:i/>
          <w:noProof/>
          <w:color w:val="000000" w:themeColor="text1"/>
          <w:sz w:val="18"/>
          <w:szCs w:val="18"/>
          <w:lang w:eastAsia="ja-JP"/>
        </w:rPr>
        <w:t xml:space="preserve">acteria: </w:t>
      </w:r>
      <w:r w:rsidRPr="005E6B7C">
        <w:rPr>
          <w:rFonts w:asciiTheme="majorHAnsi" w:eastAsia="Yu Mincho" w:hAnsiTheme="majorHAnsi" w:cstheme="majorHAnsi"/>
          <w:i/>
          <w:noProof/>
          <w:color w:val="000000" w:themeColor="text1"/>
          <w:sz w:val="18"/>
          <w:szCs w:val="18"/>
          <w:lang w:val="vi-VN" w:eastAsia="ja-JP"/>
        </w:rPr>
        <w:t>c</w:t>
      </w:r>
      <w:r w:rsidRPr="005E6B7C">
        <w:rPr>
          <w:rFonts w:asciiTheme="majorHAnsi" w:eastAsia="Yu Mincho" w:hAnsiTheme="majorHAnsi" w:cstheme="majorHAnsi"/>
          <w:i/>
          <w:noProof/>
          <w:color w:val="000000" w:themeColor="text1"/>
          <w:sz w:val="18"/>
          <w:szCs w:val="18"/>
          <w:lang w:eastAsia="ja-JP"/>
        </w:rPr>
        <w:t xml:space="preserve">lassification and </w:t>
      </w:r>
      <w:r w:rsidRPr="005E6B7C">
        <w:rPr>
          <w:rFonts w:asciiTheme="majorHAnsi" w:eastAsia="Yu Mincho" w:hAnsiTheme="majorHAnsi" w:cstheme="majorHAnsi"/>
          <w:i/>
          <w:noProof/>
          <w:color w:val="000000" w:themeColor="text1"/>
          <w:sz w:val="18"/>
          <w:szCs w:val="18"/>
          <w:lang w:val="vi-VN" w:eastAsia="ja-JP"/>
        </w:rPr>
        <w:t>p</w:t>
      </w:r>
      <w:r w:rsidRPr="005E6B7C">
        <w:rPr>
          <w:rFonts w:asciiTheme="majorHAnsi" w:eastAsia="Yu Mincho" w:hAnsiTheme="majorHAnsi" w:cstheme="majorHAnsi"/>
          <w:i/>
          <w:noProof/>
          <w:color w:val="000000" w:themeColor="text1"/>
          <w:sz w:val="18"/>
          <w:szCs w:val="18"/>
          <w:lang w:eastAsia="ja-JP"/>
        </w:rPr>
        <w:t>hysiology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en" w:eastAsia="ja-JP"/>
        </w:rPr>
        <w:t>Food Science and Technology</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val="en" w:eastAsia="ja-JP"/>
        </w:rPr>
        <w:t>New</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val="en" w:eastAsia="ja-JP"/>
        </w:rPr>
        <w:t>York</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val="en" w:eastAsia="ja-JP"/>
        </w:rPr>
        <w:t>Marcel Dekker</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val="en" w:eastAsia="ja-JP"/>
        </w:rPr>
        <w:t>139</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en" w:eastAsia="ja-JP"/>
        </w:rPr>
        <w:t>1-66.</w:t>
      </w:r>
    </w:p>
    <w:p w14:paraId="1DE5D1D0"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Bui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Dang N</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Van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L</w:t>
      </w:r>
      <w:r w:rsidRPr="005E6B7C">
        <w:rPr>
          <w:rFonts w:asciiTheme="majorHAnsi" w:eastAsia="Yu Mincho" w:hAnsiTheme="majorHAnsi" w:cstheme="majorHAnsi"/>
          <w:noProof/>
          <w:color w:val="000000" w:themeColor="text1"/>
          <w:sz w:val="18"/>
          <w:szCs w:val="18"/>
          <w:lang w:eastAsia="ja-JP"/>
        </w:rPr>
        <w:t xml:space="preserve">uu </w:t>
      </w:r>
      <w:r w:rsidRPr="005E6B7C">
        <w:rPr>
          <w:rFonts w:asciiTheme="majorHAnsi" w:eastAsia="Yu Mincho" w:hAnsiTheme="majorHAnsi" w:cstheme="majorHAnsi"/>
          <w:noProof/>
          <w:color w:val="000000" w:themeColor="text1"/>
          <w:sz w:val="18"/>
          <w:szCs w:val="18"/>
          <w:lang w:val="vi-VN" w:eastAsia="ja-JP"/>
        </w:rPr>
        <w:t>D.</w:t>
      </w:r>
      <w:r w:rsidRPr="005E6B7C">
        <w:rPr>
          <w:rFonts w:asciiTheme="majorHAnsi" w:eastAsia="Yu Mincho" w:hAnsiTheme="majorHAnsi" w:cstheme="majorHAnsi"/>
          <w:noProof/>
          <w:color w:val="000000" w:themeColor="text1"/>
          <w:sz w:val="18"/>
          <w:szCs w:val="18"/>
          <w:lang w:eastAsia="ja-JP"/>
        </w:rPr>
        <w:t xml:space="preserve"> N</w:t>
      </w:r>
      <w:r w:rsidRPr="005E6B7C">
        <w:rPr>
          <w:rFonts w:asciiTheme="majorHAnsi" w:eastAsia="Yu Mincho" w:hAnsiTheme="majorHAnsi" w:cstheme="majorHAnsi"/>
          <w:noProof/>
          <w:color w:val="000000" w:themeColor="text1"/>
          <w:sz w:val="18"/>
          <w:szCs w:val="18"/>
          <w:lang w:val="vi-VN" w:eastAsia="ja-JP"/>
        </w:rPr>
        <w:t>. A.</w:t>
      </w:r>
      <w:r w:rsidRPr="005E6B7C">
        <w:rPr>
          <w:rFonts w:asciiTheme="majorHAnsi" w:eastAsia="Yu Mincho" w:hAnsiTheme="majorHAnsi" w:cstheme="majorHAnsi"/>
          <w:noProof/>
          <w:color w:val="000000" w:themeColor="text1"/>
          <w:sz w:val="18"/>
          <w:szCs w:val="18"/>
          <w:lang w:eastAsia="ja-JP"/>
        </w:rPr>
        <w:t xml:space="preserve">, Thanh B., Vuong T. (2024), Chemical Composition and Antimicrobial Activity of Essential Oil from the Leaves and Twigs of </w:t>
      </w:r>
      <w:r w:rsidRPr="005E6B7C">
        <w:rPr>
          <w:rFonts w:asciiTheme="majorHAnsi" w:eastAsia="Yu Mincho" w:hAnsiTheme="majorHAnsi" w:cstheme="majorHAnsi"/>
          <w:i/>
          <w:iCs/>
          <w:noProof/>
          <w:color w:val="000000" w:themeColor="text1"/>
          <w:sz w:val="18"/>
          <w:szCs w:val="18"/>
          <w:lang w:eastAsia="ja-JP"/>
        </w:rPr>
        <w:t>Knema tonkinensis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Chemistry of Natural Compounds</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iCs/>
          <w:noProof/>
          <w:color w:val="000000" w:themeColor="text1"/>
          <w:sz w:val="18"/>
          <w:szCs w:val="18"/>
          <w:lang w:eastAsia="ja-JP"/>
        </w:rPr>
        <w:t>60,</w:t>
      </w:r>
      <w:r w:rsidRPr="005E6B7C">
        <w:rPr>
          <w:rFonts w:asciiTheme="majorHAnsi" w:eastAsia="Yu Mincho" w:hAnsiTheme="majorHAnsi" w:cstheme="majorHAnsi"/>
          <w:noProof/>
          <w:color w:val="000000" w:themeColor="text1"/>
          <w:sz w:val="18"/>
          <w:szCs w:val="18"/>
          <w:lang w:eastAsia="ja-JP"/>
        </w:rPr>
        <w:t xml:space="preserve"> doi</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10.1007/s10600-024-04376-6.</w:t>
      </w:r>
    </w:p>
    <w:p w14:paraId="14AECE84"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ab/>
        <w:t>Dau</w:t>
      </w:r>
      <w:r w:rsidRPr="005E6B7C">
        <w:rPr>
          <w:rFonts w:asciiTheme="majorHAnsi" w:eastAsia="Yu Mincho" w:hAnsiTheme="majorHAnsi" w:cstheme="majorHAnsi"/>
          <w:noProof/>
          <w:color w:val="000000" w:themeColor="text1"/>
          <w:sz w:val="18"/>
          <w:szCs w:val="18"/>
          <w:lang w:val="vi-VN" w:eastAsia="ja-JP"/>
        </w:rPr>
        <w:t xml:space="preserve"> B. T.</w:t>
      </w:r>
      <w:r w:rsidRPr="005E6B7C">
        <w:rPr>
          <w:rFonts w:asciiTheme="majorHAnsi" w:eastAsia="Yu Mincho" w:hAnsiTheme="majorHAnsi" w:cstheme="majorHAnsi"/>
          <w:noProof/>
          <w:color w:val="000000" w:themeColor="text1"/>
          <w:sz w:val="18"/>
          <w:szCs w:val="18"/>
          <w:lang w:eastAsia="ja-JP"/>
        </w:rPr>
        <w:t>, Bui</w:t>
      </w:r>
      <w:r w:rsidRPr="005E6B7C">
        <w:rPr>
          <w:rFonts w:asciiTheme="majorHAnsi" w:eastAsia="Yu Mincho" w:hAnsiTheme="majorHAnsi" w:cstheme="majorHAnsi"/>
          <w:noProof/>
          <w:color w:val="000000" w:themeColor="text1"/>
          <w:sz w:val="18"/>
          <w:szCs w:val="18"/>
          <w:lang w:val="vi-VN" w:eastAsia="ja-JP"/>
        </w:rPr>
        <w:t xml:space="preserve"> B. T. </w:t>
      </w:r>
      <w:r w:rsidRPr="005E6B7C">
        <w:rPr>
          <w:rFonts w:asciiTheme="majorHAnsi" w:eastAsia="Yu Mincho" w:hAnsiTheme="majorHAnsi" w:cstheme="majorHAnsi"/>
          <w:noProof/>
          <w:color w:val="000000" w:themeColor="text1"/>
          <w:sz w:val="18"/>
          <w:szCs w:val="18"/>
          <w:lang w:eastAsia="ja-JP"/>
        </w:rPr>
        <w:t xml:space="preserve">(2025), Chemical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omposition of </w:t>
      </w:r>
      <w:r w:rsidRPr="005E6B7C">
        <w:rPr>
          <w:rFonts w:asciiTheme="majorHAnsi" w:eastAsia="Yu Mincho" w:hAnsiTheme="majorHAnsi" w:cstheme="majorHAnsi"/>
          <w:noProof/>
          <w:color w:val="000000" w:themeColor="text1"/>
          <w:sz w:val="18"/>
          <w:szCs w:val="18"/>
          <w:lang w:val="vi-VN" w:eastAsia="ja-JP"/>
        </w:rPr>
        <w:t>e</w:t>
      </w:r>
      <w:r w:rsidRPr="005E6B7C">
        <w:rPr>
          <w:rFonts w:asciiTheme="majorHAnsi" w:eastAsia="Yu Mincho" w:hAnsiTheme="majorHAnsi" w:cstheme="majorHAnsi"/>
          <w:noProof/>
          <w:color w:val="000000" w:themeColor="text1"/>
          <w:sz w:val="18"/>
          <w:szCs w:val="18"/>
          <w:lang w:eastAsia="ja-JP"/>
        </w:rPr>
        <w:t xml:space="preserve">ssential </w:t>
      </w:r>
      <w:r w:rsidRPr="005E6B7C">
        <w:rPr>
          <w:rFonts w:asciiTheme="majorHAnsi" w:eastAsia="Yu Mincho" w:hAnsiTheme="majorHAnsi" w:cstheme="majorHAnsi"/>
          <w:noProof/>
          <w:color w:val="000000" w:themeColor="text1"/>
          <w:sz w:val="18"/>
          <w:szCs w:val="18"/>
          <w:lang w:val="vi-VN" w:eastAsia="ja-JP"/>
        </w:rPr>
        <w:t>o</w:t>
      </w:r>
      <w:r w:rsidRPr="005E6B7C">
        <w:rPr>
          <w:rFonts w:asciiTheme="majorHAnsi" w:eastAsia="Yu Mincho" w:hAnsiTheme="majorHAnsi" w:cstheme="majorHAnsi"/>
          <w:noProof/>
          <w:color w:val="000000" w:themeColor="text1"/>
          <w:sz w:val="18"/>
          <w:szCs w:val="18"/>
          <w:lang w:eastAsia="ja-JP"/>
        </w:rPr>
        <w:t xml:space="preserve">il from </w:t>
      </w:r>
      <w:r w:rsidRPr="005E6B7C">
        <w:rPr>
          <w:rFonts w:asciiTheme="majorHAnsi" w:eastAsia="Yu Mincho" w:hAnsiTheme="majorHAnsi" w:cstheme="majorHAnsi"/>
          <w:i/>
          <w:iCs/>
          <w:noProof/>
          <w:color w:val="000000" w:themeColor="text1"/>
          <w:sz w:val="18"/>
          <w:szCs w:val="18"/>
          <w:lang w:eastAsia="ja-JP"/>
        </w:rPr>
        <w:t>Knema squamulosa</w:t>
      </w:r>
      <w:r w:rsidRPr="005E6B7C">
        <w:rPr>
          <w:rFonts w:asciiTheme="majorHAnsi" w:eastAsia="Yu Mincho" w:hAnsiTheme="majorHAnsi" w:cstheme="majorHAnsi"/>
          <w:noProof/>
          <w:color w:val="000000" w:themeColor="text1"/>
          <w:sz w:val="18"/>
          <w:szCs w:val="18"/>
          <w:lang w:eastAsia="ja-JP"/>
        </w:rPr>
        <w:t xml:space="preserve"> and its </w:t>
      </w:r>
      <w:r w:rsidRPr="005E6B7C">
        <w:rPr>
          <w:rFonts w:asciiTheme="majorHAnsi" w:eastAsia="Yu Mincho" w:hAnsiTheme="majorHAnsi" w:cstheme="majorHAnsi"/>
          <w:noProof/>
          <w:color w:val="000000" w:themeColor="text1"/>
          <w:sz w:val="18"/>
          <w:szCs w:val="18"/>
          <w:lang w:val="vi-VN" w:eastAsia="ja-JP"/>
        </w:rPr>
        <w:t>b</w:t>
      </w:r>
      <w:r w:rsidRPr="005E6B7C">
        <w:rPr>
          <w:rFonts w:asciiTheme="majorHAnsi" w:eastAsia="Yu Mincho" w:hAnsiTheme="majorHAnsi" w:cstheme="majorHAnsi"/>
          <w:noProof/>
          <w:color w:val="000000" w:themeColor="text1"/>
          <w:sz w:val="18"/>
          <w:szCs w:val="18"/>
          <w:lang w:eastAsia="ja-JP"/>
        </w:rPr>
        <w:t xml:space="preserve">iological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ctivity, </w:t>
      </w:r>
      <w:r w:rsidRPr="005E6B7C">
        <w:rPr>
          <w:rFonts w:asciiTheme="majorHAnsi" w:eastAsia="Yu Mincho" w:hAnsiTheme="majorHAnsi" w:cstheme="majorHAnsi"/>
          <w:i/>
          <w:noProof/>
          <w:color w:val="000000" w:themeColor="text1"/>
          <w:sz w:val="18"/>
          <w:szCs w:val="18"/>
          <w:lang w:eastAsia="ja-JP"/>
        </w:rPr>
        <w:t>Chemistry of Natural Compounds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61(1), </w:t>
      </w:r>
      <w:r w:rsidRPr="005E6B7C">
        <w:rPr>
          <w:rFonts w:asciiTheme="majorHAnsi" w:eastAsia="Yu Mincho" w:hAnsiTheme="majorHAnsi" w:cstheme="majorHAnsi"/>
          <w:noProof/>
          <w:color w:val="000000" w:themeColor="text1"/>
          <w:sz w:val="18"/>
          <w:szCs w:val="18"/>
          <w:lang w:eastAsia="ja-JP"/>
        </w:rPr>
        <w:t>188-190.</w:t>
      </w:r>
    </w:p>
    <w:p w14:paraId="1135490A"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Bassolé I. H., Juliani H. R. (2012), Essential oils in combination and their antimicrobial properties,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17(4), </w:t>
      </w:r>
      <w:r w:rsidRPr="005E6B7C">
        <w:rPr>
          <w:rFonts w:asciiTheme="majorHAnsi" w:eastAsia="Yu Mincho" w:hAnsiTheme="majorHAnsi" w:cstheme="majorHAnsi"/>
          <w:noProof/>
          <w:color w:val="000000" w:themeColor="text1"/>
          <w:sz w:val="18"/>
          <w:szCs w:val="18"/>
          <w:lang w:eastAsia="ja-JP"/>
        </w:rPr>
        <w:t>3989-4006.</w:t>
      </w:r>
    </w:p>
    <w:p w14:paraId="443FC91E"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24.</w:t>
      </w:r>
      <w:r w:rsidRPr="005E6B7C">
        <w:rPr>
          <w:rFonts w:asciiTheme="majorHAnsi" w:eastAsia="Yu Mincho" w:hAnsiTheme="majorHAnsi" w:cstheme="majorHAnsi"/>
          <w:noProof/>
          <w:color w:val="000000" w:themeColor="text1"/>
          <w:sz w:val="18"/>
          <w:szCs w:val="18"/>
          <w:lang w:eastAsia="ja-JP"/>
        </w:rPr>
        <w:tab/>
        <w:t>Gurning K</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Primahana G</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Astuti E</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Haryadi W</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(2025),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ytotoxic and </w:t>
      </w:r>
      <w:r w:rsidRPr="005E6B7C">
        <w:rPr>
          <w:rFonts w:asciiTheme="majorHAnsi" w:eastAsia="Yu Mincho" w:hAnsiTheme="majorHAnsi" w:cstheme="majorHAnsi"/>
          <w:noProof/>
          <w:color w:val="000000" w:themeColor="text1"/>
          <w:sz w:val="18"/>
          <w:szCs w:val="18"/>
          <w:lang w:val="vi-VN" w:eastAsia="ja-JP"/>
        </w:rPr>
        <w:t>m</w:t>
      </w:r>
      <w:r w:rsidRPr="005E6B7C">
        <w:rPr>
          <w:rFonts w:asciiTheme="majorHAnsi" w:eastAsia="Yu Mincho" w:hAnsiTheme="majorHAnsi" w:cstheme="majorHAnsi"/>
          <w:noProof/>
          <w:color w:val="000000" w:themeColor="text1"/>
          <w:sz w:val="18"/>
          <w:szCs w:val="18"/>
          <w:lang w:eastAsia="ja-JP"/>
        </w:rPr>
        <w:t xml:space="preserve">olecular </w:t>
      </w:r>
      <w:r w:rsidRPr="005E6B7C">
        <w:rPr>
          <w:rFonts w:asciiTheme="majorHAnsi" w:eastAsia="Yu Mincho" w:hAnsiTheme="majorHAnsi" w:cstheme="majorHAnsi"/>
          <w:noProof/>
          <w:color w:val="000000" w:themeColor="text1"/>
          <w:sz w:val="18"/>
          <w:szCs w:val="18"/>
          <w:lang w:val="vi-VN" w:eastAsia="ja-JP"/>
        </w:rPr>
        <w:t>d</w:t>
      </w:r>
      <w:r w:rsidRPr="005E6B7C">
        <w:rPr>
          <w:rFonts w:asciiTheme="majorHAnsi" w:eastAsia="Yu Mincho" w:hAnsiTheme="majorHAnsi" w:cstheme="majorHAnsi"/>
          <w:noProof/>
          <w:color w:val="000000" w:themeColor="text1"/>
          <w:sz w:val="18"/>
          <w:szCs w:val="18"/>
          <w:lang w:eastAsia="ja-JP"/>
        </w:rPr>
        <w:t xml:space="preserve">ocking </w:t>
      </w:r>
      <w:r w:rsidRPr="005E6B7C">
        <w:rPr>
          <w:rFonts w:asciiTheme="majorHAnsi" w:eastAsia="Yu Mincho" w:hAnsiTheme="majorHAnsi" w:cstheme="majorHAnsi"/>
          <w:noProof/>
          <w:color w:val="000000" w:themeColor="text1"/>
          <w:sz w:val="18"/>
          <w:szCs w:val="18"/>
          <w:lang w:val="vi-VN" w:eastAsia="ja-JP"/>
        </w:rPr>
        <w:t>s</w:t>
      </w:r>
      <w:r w:rsidRPr="005E6B7C">
        <w:rPr>
          <w:rFonts w:asciiTheme="majorHAnsi" w:eastAsia="Yu Mincho" w:hAnsiTheme="majorHAnsi" w:cstheme="majorHAnsi"/>
          <w:noProof/>
          <w:color w:val="000000" w:themeColor="text1"/>
          <w:sz w:val="18"/>
          <w:szCs w:val="18"/>
          <w:lang w:eastAsia="ja-JP"/>
        </w:rPr>
        <w:t xml:space="preserve">tudies of the </w:t>
      </w:r>
      <w:r w:rsidRPr="005E6B7C">
        <w:rPr>
          <w:rFonts w:asciiTheme="majorHAnsi" w:eastAsia="Yu Mincho" w:hAnsiTheme="majorHAnsi" w:cstheme="majorHAnsi"/>
          <w:noProof/>
          <w:color w:val="000000" w:themeColor="text1"/>
          <w:sz w:val="18"/>
          <w:szCs w:val="18"/>
          <w:lang w:val="vi-VN" w:eastAsia="ja-JP"/>
        </w:rPr>
        <w:t>n</w:t>
      </w:r>
      <w:r w:rsidRPr="005E6B7C">
        <w:rPr>
          <w:rFonts w:asciiTheme="majorHAnsi" w:eastAsia="Yu Mincho" w:hAnsiTheme="majorHAnsi" w:cstheme="majorHAnsi"/>
          <w:noProof/>
          <w:color w:val="000000" w:themeColor="text1"/>
          <w:sz w:val="18"/>
          <w:szCs w:val="18"/>
          <w:lang w:eastAsia="ja-JP"/>
        </w:rPr>
        <w:t xml:space="preserve">etwork </w:t>
      </w:r>
      <w:r w:rsidRPr="005E6B7C">
        <w:rPr>
          <w:rFonts w:asciiTheme="majorHAnsi" w:eastAsia="Yu Mincho" w:hAnsiTheme="majorHAnsi" w:cstheme="majorHAnsi"/>
          <w:noProof/>
          <w:color w:val="000000" w:themeColor="text1"/>
          <w:sz w:val="18"/>
          <w:szCs w:val="18"/>
          <w:lang w:val="vi-VN" w:eastAsia="ja-JP"/>
        </w:rPr>
        <w:t>p</w:t>
      </w:r>
      <w:r w:rsidRPr="005E6B7C">
        <w:rPr>
          <w:rFonts w:asciiTheme="majorHAnsi" w:eastAsia="Yu Mincho" w:hAnsiTheme="majorHAnsi" w:cstheme="majorHAnsi"/>
          <w:noProof/>
          <w:color w:val="000000" w:themeColor="text1"/>
          <w:sz w:val="18"/>
          <w:szCs w:val="18"/>
          <w:lang w:eastAsia="ja-JP"/>
        </w:rPr>
        <w:t xml:space="preserve">harmacology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pproach </w:t>
      </w:r>
      <w:r w:rsidRPr="005E6B7C">
        <w:rPr>
          <w:rFonts w:asciiTheme="majorHAnsi" w:eastAsia="Yu Mincho" w:hAnsiTheme="majorHAnsi" w:cstheme="majorHAnsi"/>
          <w:noProof/>
          <w:color w:val="000000" w:themeColor="text1"/>
          <w:sz w:val="18"/>
          <w:szCs w:val="18"/>
          <w:lang w:val="vi-VN" w:eastAsia="ja-JP"/>
        </w:rPr>
        <w:t>f</w:t>
      </w:r>
      <w:r w:rsidRPr="005E6B7C">
        <w:rPr>
          <w:rFonts w:asciiTheme="majorHAnsi" w:eastAsia="Yu Mincho" w:hAnsiTheme="majorHAnsi" w:cstheme="majorHAnsi"/>
          <w:noProof/>
          <w:color w:val="000000" w:themeColor="text1"/>
          <w:sz w:val="18"/>
          <w:szCs w:val="18"/>
          <w:lang w:eastAsia="ja-JP"/>
        </w:rPr>
        <w:t xml:space="preserve">rom </w:t>
      </w:r>
      <w:r w:rsidRPr="005E6B7C">
        <w:rPr>
          <w:rFonts w:asciiTheme="majorHAnsi" w:eastAsia="Yu Mincho" w:hAnsiTheme="majorHAnsi" w:cstheme="majorHAnsi"/>
          <w:noProof/>
          <w:color w:val="000000" w:themeColor="text1"/>
          <w:sz w:val="18"/>
          <w:szCs w:val="18"/>
          <w:lang w:val="vi-VN" w:eastAsia="ja-JP"/>
        </w:rPr>
        <w:t>b</w:t>
      </w:r>
      <w:r w:rsidRPr="005E6B7C">
        <w:rPr>
          <w:rFonts w:asciiTheme="majorHAnsi" w:eastAsia="Yu Mincho" w:hAnsiTheme="majorHAnsi" w:cstheme="majorHAnsi"/>
          <w:noProof/>
          <w:color w:val="000000" w:themeColor="text1"/>
          <w:sz w:val="18"/>
          <w:szCs w:val="18"/>
          <w:lang w:eastAsia="ja-JP"/>
        </w:rPr>
        <w:t xml:space="preserve">ioactive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ompounds of </w:t>
      </w:r>
      <w:r w:rsidRPr="005E6B7C">
        <w:rPr>
          <w:rFonts w:asciiTheme="majorHAnsi" w:eastAsia="Yu Mincho" w:hAnsiTheme="majorHAnsi" w:cstheme="majorHAnsi"/>
          <w:i/>
          <w:iCs/>
          <w:noProof/>
          <w:color w:val="000000" w:themeColor="text1"/>
          <w:sz w:val="18"/>
          <w:szCs w:val="18"/>
          <w:lang w:eastAsia="ja-JP"/>
        </w:rPr>
        <w:t>Coleus amboinicus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l</w:t>
      </w:r>
      <w:r w:rsidRPr="005E6B7C">
        <w:rPr>
          <w:rFonts w:asciiTheme="majorHAnsi" w:eastAsia="Yu Mincho" w:hAnsiTheme="majorHAnsi" w:cstheme="majorHAnsi"/>
          <w:noProof/>
          <w:color w:val="000000" w:themeColor="text1"/>
          <w:sz w:val="18"/>
          <w:szCs w:val="18"/>
          <w:lang w:eastAsia="ja-JP"/>
        </w:rPr>
        <w:t xml:space="preserve">eaves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gainst </w:t>
      </w:r>
      <w:r w:rsidRPr="005E6B7C">
        <w:rPr>
          <w:rFonts w:asciiTheme="majorHAnsi" w:eastAsia="Yu Mincho" w:hAnsiTheme="majorHAnsi" w:cstheme="majorHAnsi"/>
          <w:noProof/>
          <w:color w:val="000000" w:themeColor="text1"/>
          <w:sz w:val="18"/>
          <w:szCs w:val="18"/>
          <w:lang w:val="vi-VN" w:eastAsia="ja-JP"/>
        </w:rPr>
        <w:t>l</w:t>
      </w:r>
      <w:r w:rsidRPr="005E6B7C">
        <w:rPr>
          <w:rFonts w:asciiTheme="majorHAnsi" w:eastAsia="Yu Mincho" w:hAnsiTheme="majorHAnsi" w:cstheme="majorHAnsi"/>
          <w:noProof/>
          <w:color w:val="000000" w:themeColor="text1"/>
          <w:sz w:val="18"/>
          <w:szCs w:val="18"/>
          <w:lang w:eastAsia="ja-JP"/>
        </w:rPr>
        <w:t xml:space="preserve">ung and </w:t>
      </w:r>
      <w:r w:rsidRPr="005E6B7C">
        <w:rPr>
          <w:rFonts w:asciiTheme="majorHAnsi" w:eastAsia="Yu Mincho" w:hAnsiTheme="majorHAnsi" w:cstheme="majorHAnsi"/>
          <w:noProof/>
          <w:color w:val="000000" w:themeColor="text1"/>
          <w:sz w:val="18"/>
          <w:szCs w:val="18"/>
          <w:lang w:val="vi-VN" w:eastAsia="ja-JP"/>
        </w:rPr>
        <w:t>b</w:t>
      </w:r>
      <w:r w:rsidRPr="005E6B7C">
        <w:rPr>
          <w:rFonts w:asciiTheme="majorHAnsi" w:eastAsia="Yu Mincho" w:hAnsiTheme="majorHAnsi" w:cstheme="majorHAnsi"/>
          <w:noProof/>
          <w:color w:val="000000" w:themeColor="text1"/>
          <w:sz w:val="18"/>
          <w:szCs w:val="18"/>
          <w:lang w:eastAsia="ja-JP"/>
        </w:rPr>
        <w:t xml:space="preserve">reast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ancer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ells, </w:t>
      </w:r>
      <w:r w:rsidRPr="005E6B7C">
        <w:rPr>
          <w:rFonts w:asciiTheme="majorHAnsi" w:eastAsia="Yu Mincho" w:hAnsiTheme="majorHAnsi" w:cstheme="majorHAnsi"/>
          <w:i/>
          <w:noProof/>
          <w:color w:val="000000" w:themeColor="text1"/>
          <w:sz w:val="18"/>
          <w:szCs w:val="18"/>
          <w:lang w:eastAsia="ja-JP"/>
        </w:rPr>
        <w:t>Advances in Pharmacological and Pharmaceutical Sciences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val="en" w:eastAsia="ja-JP"/>
        </w:rPr>
        <w:t>doi: 10.1155/adpp/5946648</w:t>
      </w:r>
      <w:r w:rsidRPr="005E6B7C">
        <w:rPr>
          <w:rFonts w:asciiTheme="majorHAnsi" w:eastAsia="Yu Mincho" w:hAnsiTheme="majorHAnsi" w:cstheme="majorHAnsi"/>
          <w:noProof/>
          <w:color w:val="000000" w:themeColor="text1"/>
          <w:sz w:val="18"/>
          <w:szCs w:val="18"/>
          <w:lang w:eastAsia="ja-JP"/>
        </w:rPr>
        <w:t>.</w:t>
      </w:r>
    </w:p>
    <w:p w14:paraId="5E135E7C"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Dahham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S., Tabana Y</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M., Iqbal </w:t>
      </w:r>
      <w:r w:rsidRPr="005E6B7C">
        <w:rPr>
          <w:rFonts w:asciiTheme="majorHAnsi" w:eastAsia="Yu Mincho" w:hAnsiTheme="majorHAnsi" w:cstheme="majorHAnsi"/>
          <w:noProof/>
          <w:color w:val="000000" w:themeColor="text1"/>
          <w:sz w:val="18"/>
          <w:szCs w:val="18"/>
          <w:lang w:val="vi-VN" w:eastAsia="ja-JP"/>
        </w:rPr>
        <w:t>M.</w:t>
      </w:r>
      <w:r w:rsidRPr="005E6B7C">
        <w:rPr>
          <w:rFonts w:asciiTheme="majorHAnsi" w:eastAsia="Yu Mincho" w:hAnsiTheme="majorHAnsi" w:cstheme="majorHAnsi"/>
          <w:noProof/>
          <w:color w:val="000000" w:themeColor="text1"/>
          <w:sz w:val="18"/>
          <w:szCs w:val="18"/>
          <w:lang w:eastAsia="ja-JP"/>
        </w:rPr>
        <w:t xml:space="preserve"> A., Ahamed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B. K., Ezzat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O., Majid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S. A., Majid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M. S. A. (2015), The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nticancer,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ntioxidant and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ntimicrobial </w:t>
      </w:r>
      <w:r w:rsidRPr="005E6B7C">
        <w:rPr>
          <w:rFonts w:asciiTheme="majorHAnsi" w:eastAsia="Yu Mincho" w:hAnsiTheme="majorHAnsi" w:cstheme="majorHAnsi"/>
          <w:noProof/>
          <w:color w:val="000000" w:themeColor="text1"/>
          <w:sz w:val="18"/>
          <w:szCs w:val="18"/>
          <w:lang w:val="vi-VN" w:eastAsia="ja-JP"/>
        </w:rPr>
        <w:t>p</w:t>
      </w:r>
      <w:r w:rsidRPr="005E6B7C">
        <w:rPr>
          <w:rFonts w:asciiTheme="majorHAnsi" w:eastAsia="Yu Mincho" w:hAnsiTheme="majorHAnsi" w:cstheme="majorHAnsi"/>
          <w:noProof/>
          <w:color w:val="000000" w:themeColor="text1"/>
          <w:sz w:val="18"/>
          <w:szCs w:val="18"/>
          <w:lang w:eastAsia="ja-JP"/>
        </w:rPr>
        <w:t xml:space="preserve">roperties of the </w:t>
      </w:r>
      <w:r w:rsidRPr="005E6B7C">
        <w:rPr>
          <w:rFonts w:asciiTheme="majorHAnsi" w:eastAsia="Yu Mincho" w:hAnsiTheme="majorHAnsi" w:cstheme="majorHAnsi"/>
          <w:noProof/>
          <w:color w:val="000000" w:themeColor="text1"/>
          <w:sz w:val="18"/>
          <w:szCs w:val="18"/>
          <w:lang w:val="vi-VN" w:eastAsia="ja-JP"/>
        </w:rPr>
        <w:t>s</w:t>
      </w:r>
      <w:r w:rsidRPr="005E6B7C">
        <w:rPr>
          <w:rFonts w:asciiTheme="majorHAnsi" w:eastAsia="Yu Mincho" w:hAnsiTheme="majorHAnsi" w:cstheme="majorHAnsi"/>
          <w:noProof/>
          <w:color w:val="000000" w:themeColor="text1"/>
          <w:sz w:val="18"/>
          <w:szCs w:val="18"/>
          <w:lang w:eastAsia="ja-JP"/>
        </w:rPr>
        <w:t xml:space="preserve">esquiterpene </w:t>
      </w:r>
      <w:r w:rsidRPr="005E6B7C">
        <w:rPr>
          <w:rFonts w:asciiTheme="majorHAnsi" w:eastAsia="Yu Mincho" w:hAnsiTheme="majorHAnsi" w:cstheme="majorHAnsi"/>
          <w:i/>
          <w:noProof/>
          <w:color w:val="000000" w:themeColor="text1"/>
          <w:sz w:val="18"/>
          <w:szCs w:val="18"/>
          <w:lang w:eastAsia="ja-JP"/>
        </w:rPr>
        <w:t>β</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aryophyllene from the </w:t>
      </w:r>
      <w:r w:rsidRPr="005E6B7C">
        <w:rPr>
          <w:rFonts w:asciiTheme="majorHAnsi" w:eastAsia="Yu Mincho" w:hAnsiTheme="majorHAnsi" w:cstheme="majorHAnsi"/>
          <w:noProof/>
          <w:color w:val="000000" w:themeColor="text1"/>
          <w:sz w:val="18"/>
          <w:szCs w:val="18"/>
          <w:lang w:val="vi-VN" w:eastAsia="ja-JP"/>
        </w:rPr>
        <w:t>e</w:t>
      </w:r>
      <w:r w:rsidRPr="005E6B7C">
        <w:rPr>
          <w:rFonts w:asciiTheme="majorHAnsi" w:eastAsia="Yu Mincho" w:hAnsiTheme="majorHAnsi" w:cstheme="majorHAnsi"/>
          <w:noProof/>
          <w:color w:val="000000" w:themeColor="text1"/>
          <w:sz w:val="18"/>
          <w:szCs w:val="18"/>
          <w:lang w:eastAsia="ja-JP"/>
        </w:rPr>
        <w:t xml:space="preserve">ssential </w:t>
      </w:r>
      <w:r w:rsidRPr="005E6B7C">
        <w:rPr>
          <w:rFonts w:asciiTheme="majorHAnsi" w:eastAsia="Yu Mincho" w:hAnsiTheme="majorHAnsi" w:cstheme="majorHAnsi"/>
          <w:noProof/>
          <w:color w:val="000000" w:themeColor="text1"/>
          <w:sz w:val="18"/>
          <w:szCs w:val="18"/>
          <w:lang w:val="vi-VN" w:eastAsia="ja-JP"/>
        </w:rPr>
        <w:t>o</w:t>
      </w:r>
      <w:r w:rsidRPr="005E6B7C">
        <w:rPr>
          <w:rFonts w:asciiTheme="majorHAnsi" w:eastAsia="Yu Mincho" w:hAnsiTheme="majorHAnsi" w:cstheme="majorHAnsi"/>
          <w:noProof/>
          <w:color w:val="000000" w:themeColor="text1"/>
          <w:sz w:val="18"/>
          <w:szCs w:val="18"/>
          <w:lang w:eastAsia="ja-JP"/>
        </w:rPr>
        <w:t xml:space="preserve">il of </w:t>
      </w:r>
      <w:r w:rsidRPr="005E6B7C">
        <w:rPr>
          <w:rFonts w:asciiTheme="majorHAnsi" w:eastAsia="Yu Mincho" w:hAnsiTheme="majorHAnsi" w:cstheme="majorHAnsi"/>
          <w:i/>
          <w:iCs/>
          <w:noProof/>
          <w:color w:val="000000" w:themeColor="text1"/>
          <w:sz w:val="18"/>
          <w:szCs w:val="18"/>
          <w:lang w:eastAsia="ja-JP"/>
        </w:rPr>
        <w:t>Aquilaria crassna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20(7),</w:t>
      </w:r>
      <w:r w:rsidRPr="005E6B7C">
        <w:rPr>
          <w:rFonts w:asciiTheme="majorHAnsi" w:eastAsia="Yu Mincho" w:hAnsiTheme="majorHAnsi" w:cstheme="majorHAnsi"/>
          <w:noProof/>
          <w:color w:val="000000" w:themeColor="text1"/>
          <w:sz w:val="18"/>
          <w:szCs w:val="18"/>
          <w:lang w:eastAsia="ja-JP"/>
        </w:rPr>
        <w:t xml:space="preserve"> 11808-11829.</w:t>
      </w:r>
    </w:p>
    <w:p w14:paraId="281CAC0A" w14:textId="22AAA87A"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26.</w:t>
      </w:r>
      <w:r w:rsidRPr="005E6B7C">
        <w:rPr>
          <w:rFonts w:asciiTheme="majorHAnsi" w:eastAsia="Yu Mincho" w:hAnsiTheme="majorHAnsi" w:cstheme="majorHAnsi"/>
          <w:noProof/>
          <w:color w:val="000000" w:themeColor="text1"/>
          <w:sz w:val="18"/>
          <w:szCs w:val="18"/>
          <w:lang w:eastAsia="ja-JP"/>
        </w:rPr>
        <w:tab/>
        <w:t>Basheer I</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Wang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Li G</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Jehan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Raza A</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Du C</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Ullah N</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Li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Sui G</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(2024), </w:t>
      </w:r>
      <w:r w:rsidRPr="005E6B7C">
        <w:rPr>
          <w:rFonts w:asciiTheme="majorHAnsi" w:eastAsia="Yu Mincho" w:hAnsiTheme="majorHAnsi" w:cstheme="majorHAnsi"/>
          <w:i/>
          <w:noProof/>
          <w:color w:val="000000" w:themeColor="text1"/>
          <w:sz w:val="18"/>
          <w:szCs w:val="18"/>
          <w:lang w:eastAsia="ja-JP"/>
        </w:rPr>
        <w:t>β</w:t>
      </w:r>
      <w:r w:rsidRPr="005E6B7C">
        <w:rPr>
          <w:rFonts w:asciiTheme="majorHAnsi" w:eastAsia="Yu Mincho" w:hAnsiTheme="majorHAnsi" w:cstheme="majorHAnsi"/>
          <w:noProof/>
          <w:color w:val="000000" w:themeColor="text1"/>
          <w:sz w:val="18"/>
          <w:szCs w:val="18"/>
          <w:lang w:eastAsia="ja-JP"/>
        </w:rPr>
        <w:t>-</w:t>
      </w:r>
      <w:r w:rsidR="007A051F" w:rsidRPr="005E6B7C">
        <w:rPr>
          <w:rFonts w:asciiTheme="majorHAnsi" w:eastAsia="Yu Mincho" w:hAnsiTheme="majorHAnsi" w:cstheme="majorHAnsi"/>
          <w:noProof/>
          <w:color w:val="000000" w:themeColor="text1"/>
          <w:sz w:val="18"/>
          <w:szCs w:val="18"/>
          <w:lang w:eastAsia="ja-JP"/>
        </w:rPr>
        <w:t>C</w:t>
      </w:r>
      <w:r w:rsidRPr="005E6B7C">
        <w:rPr>
          <w:rFonts w:asciiTheme="majorHAnsi" w:eastAsia="Yu Mincho" w:hAnsiTheme="majorHAnsi" w:cstheme="majorHAnsi"/>
          <w:noProof/>
          <w:color w:val="000000" w:themeColor="text1"/>
          <w:sz w:val="18"/>
          <w:szCs w:val="18"/>
          <w:lang w:eastAsia="ja-JP"/>
        </w:rPr>
        <w:t xml:space="preserve">aryophyllene sensitizes hepatocellular carcinoma cells to chemotherapeutics and inhibits cell malignancy through targeting MAPK signaling pathway”, </w:t>
      </w:r>
      <w:r w:rsidRPr="005E6B7C">
        <w:rPr>
          <w:rFonts w:asciiTheme="majorHAnsi" w:eastAsia="Yu Mincho" w:hAnsiTheme="majorHAnsi" w:cstheme="majorHAnsi"/>
          <w:i/>
          <w:noProof/>
          <w:color w:val="000000" w:themeColor="text1"/>
          <w:sz w:val="18"/>
          <w:szCs w:val="18"/>
          <w:lang w:eastAsia="ja-JP"/>
        </w:rPr>
        <w:t>Frontiers in Pharmacology</w:t>
      </w:r>
      <w:r w:rsidRPr="005E6B7C">
        <w:rPr>
          <w:rFonts w:asciiTheme="majorHAnsi" w:eastAsia="Yu Mincho" w:hAnsiTheme="majorHAnsi" w:cstheme="majorHAnsi"/>
          <w:iCs/>
          <w:noProof/>
          <w:color w:val="000000" w:themeColor="text1"/>
          <w:sz w:val="18"/>
          <w:szCs w:val="18"/>
          <w:lang w:eastAsia="ja-JP"/>
        </w:rPr>
        <w:t>, d</w:t>
      </w:r>
      <w:r w:rsidRPr="005E6B7C">
        <w:rPr>
          <w:rFonts w:asciiTheme="majorHAnsi" w:eastAsia="Yu Mincho" w:hAnsiTheme="majorHAnsi" w:cstheme="majorHAnsi"/>
          <w:noProof/>
          <w:color w:val="000000" w:themeColor="text1"/>
          <w:sz w:val="18"/>
          <w:szCs w:val="18"/>
          <w:lang w:eastAsia="ja-JP"/>
        </w:rPr>
        <w:t>oi: 10.3389/fphar.2024.1492670.</w:t>
      </w:r>
    </w:p>
    <w:p w14:paraId="6F00D22C" w14:textId="77777777" w:rsidR="00E049CB" w:rsidRPr="005E6B7C" w:rsidRDefault="00E049CB" w:rsidP="008C0D47">
      <w:pPr>
        <w:tabs>
          <w:tab w:val="left" w:pos="270"/>
          <w:tab w:val="left" w:pos="360"/>
          <w:tab w:val="left" w:pos="540"/>
          <w:tab w:val="left" w:pos="9270"/>
        </w:tabs>
        <w:spacing w:line="19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Pham 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V</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Bach H</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K</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val="vi-VN" w:eastAsia="ja-JP"/>
        </w:rPr>
        <w:t>T.</w:t>
      </w:r>
      <w:r w:rsidRPr="005E6B7C">
        <w:rPr>
          <w:rFonts w:asciiTheme="majorHAnsi" w:eastAsia="Yu Mincho" w:hAnsiTheme="majorHAnsi" w:cstheme="majorHAnsi"/>
          <w:noProof/>
          <w:color w:val="000000" w:themeColor="text1"/>
          <w:sz w:val="18"/>
          <w:szCs w:val="18"/>
          <w:lang w:eastAsia="ja-JP"/>
        </w:rPr>
        <w:t>, Ho D</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V</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Nguyen B</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C</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(2021), Chemical constituents from the </w:t>
      </w:r>
      <w:r w:rsidRPr="005E6B7C">
        <w:rPr>
          <w:rFonts w:asciiTheme="majorHAnsi" w:eastAsia="Yu Mincho" w:hAnsiTheme="majorHAnsi" w:cstheme="majorHAnsi"/>
          <w:i/>
          <w:iCs/>
          <w:noProof/>
          <w:color w:val="000000" w:themeColor="text1"/>
          <w:sz w:val="18"/>
          <w:szCs w:val="18"/>
          <w:lang w:eastAsia="ja-JP"/>
        </w:rPr>
        <w:t>Knema globularia</w:t>
      </w:r>
      <w:r w:rsidRPr="005E6B7C">
        <w:rPr>
          <w:rFonts w:asciiTheme="majorHAnsi" w:eastAsia="Yu Mincho" w:hAnsiTheme="majorHAnsi" w:cstheme="majorHAnsi"/>
          <w:noProof/>
          <w:color w:val="000000" w:themeColor="text1"/>
          <w:sz w:val="18"/>
          <w:szCs w:val="18"/>
          <w:lang w:eastAsia="ja-JP"/>
        </w:rPr>
        <w:t xml:space="preserve"> fruits and their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cytotoxicity”, </w:t>
      </w:r>
      <w:r w:rsidRPr="005E6B7C">
        <w:rPr>
          <w:rFonts w:asciiTheme="majorHAnsi" w:eastAsia="Yu Mincho" w:hAnsiTheme="majorHAnsi" w:cstheme="majorHAnsi"/>
          <w:i/>
          <w:noProof/>
          <w:color w:val="000000" w:themeColor="text1"/>
          <w:sz w:val="18"/>
          <w:szCs w:val="18"/>
          <w:lang w:eastAsia="ja-JP"/>
        </w:rPr>
        <w:t>Natural Product Research</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36(1), </w:t>
      </w:r>
      <w:r w:rsidRPr="005E6B7C">
        <w:rPr>
          <w:rFonts w:asciiTheme="majorHAnsi" w:eastAsia="Yu Mincho" w:hAnsiTheme="majorHAnsi" w:cstheme="majorHAnsi"/>
          <w:noProof/>
          <w:color w:val="000000" w:themeColor="text1"/>
          <w:sz w:val="18"/>
          <w:szCs w:val="18"/>
          <w:lang w:eastAsia="ja-JP"/>
        </w:rPr>
        <w:t>256-262.</w:t>
      </w:r>
    </w:p>
    <w:p w14:paraId="0D8BDA53" w14:textId="77777777" w:rsidR="00C644FB" w:rsidRPr="005E6B7C" w:rsidRDefault="00E049CB"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color w:val="000000" w:themeColor="text1"/>
          <w:sz w:val="18"/>
          <w:szCs w:val="18"/>
          <w:lang w:val="vi-VN" w:eastAsia="ja-JP"/>
        </w:rPr>
        <w:fldChar w:fldCharType="end"/>
      </w:r>
      <w:r w:rsidR="00C644FB" w:rsidRPr="005E6B7C">
        <w:rPr>
          <w:rFonts w:asciiTheme="majorHAnsi" w:eastAsia="Yu Mincho" w:hAnsiTheme="majorHAnsi" w:cstheme="majorHAnsi"/>
          <w:b/>
          <w:bCs/>
          <w:i/>
          <w:color w:val="000000" w:themeColor="text1"/>
          <w:sz w:val="26"/>
          <w:szCs w:val="26"/>
          <w:lang w:eastAsia="ja-JP"/>
        </w:rPr>
        <w:br w:type="page"/>
      </w:r>
    </w:p>
    <w:p w14:paraId="49434AD7"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F06D43" w:rsidRPr="005E6B7C">
        <w:rPr>
          <w:rFonts w:asciiTheme="majorHAnsi" w:eastAsia="Yu Mincho" w:hAnsiTheme="majorHAnsi" w:cstheme="majorHAnsi"/>
          <w:b/>
          <w:bCs/>
          <w:i/>
          <w:color w:val="000000" w:themeColor="text1"/>
          <w:sz w:val="26"/>
          <w:szCs w:val="26"/>
          <w:lang w:eastAsia="ja-JP"/>
        </w:rPr>
        <w:t xml:space="preserve"> 60 - 66</w:t>
      </w:r>
      <w:r w:rsidRPr="005E6B7C">
        <w:rPr>
          <w:rFonts w:asciiTheme="majorHAnsi" w:eastAsia="Yu Mincho" w:hAnsiTheme="majorHAnsi" w:cstheme="majorHAnsi"/>
          <w:b/>
          <w:bCs/>
          <w:i/>
          <w:color w:val="000000" w:themeColor="text1"/>
          <w:sz w:val="26"/>
          <w:szCs w:val="26"/>
          <w:lang w:eastAsia="ja-JP"/>
        </w:rPr>
        <w:t>)</w:t>
      </w:r>
    </w:p>
    <w:p w14:paraId="359AE5C9"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126E1508" w14:textId="77777777" w:rsidR="00E049CB" w:rsidRPr="005E6B7C" w:rsidRDefault="00E049CB" w:rsidP="008C0D47">
      <w:pPr>
        <w:ind w:right="-20"/>
        <w:jc w:val="center"/>
        <w:rPr>
          <w:rFonts w:asciiTheme="majorHAnsi" w:eastAsia="Yu Mincho" w:hAnsiTheme="majorHAnsi" w:cstheme="majorHAnsi"/>
          <w:b/>
          <w:bCs/>
          <w:iCs/>
          <w:color w:val="000000" w:themeColor="text1"/>
          <w:sz w:val="26"/>
          <w:szCs w:val="26"/>
          <w:lang w:eastAsia="ja-JP"/>
        </w:rPr>
      </w:pPr>
      <w:r w:rsidRPr="005E6B7C">
        <w:rPr>
          <w:rFonts w:asciiTheme="majorHAnsi" w:eastAsia="Yu Mincho" w:hAnsiTheme="majorHAnsi" w:cstheme="majorHAnsi"/>
          <w:b/>
          <w:bCs/>
          <w:iCs/>
          <w:color w:val="000000" w:themeColor="text1"/>
          <w:sz w:val="26"/>
          <w:szCs w:val="26"/>
          <w:lang w:eastAsia="ja-JP"/>
        </w:rPr>
        <w:t xml:space="preserve">AZAPHILONE DERIVATIVES ISOLATED FROM ENDOPHYTIC </w:t>
      </w:r>
      <w:r w:rsidR="00F06D43" w:rsidRPr="005E6B7C">
        <w:rPr>
          <w:rFonts w:asciiTheme="majorHAnsi" w:eastAsia="Yu Mincho" w:hAnsiTheme="majorHAnsi" w:cstheme="majorHAnsi"/>
          <w:b/>
          <w:bCs/>
          <w:iCs/>
          <w:color w:val="000000" w:themeColor="text1"/>
          <w:sz w:val="26"/>
          <w:szCs w:val="26"/>
          <w:lang w:eastAsia="ja-JP"/>
        </w:rPr>
        <w:br/>
      </w:r>
      <w:r w:rsidRPr="005E6B7C">
        <w:rPr>
          <w:rFonts w:asciiTheme="majorHAnsi" w:eastAsia="Yu Mincho" w:hAnsiTheme="majorHAnsi" w:cstheme="majorHAnsi"/>
          <w:b/>
          <w:bCs/>
          <w:iCs/>
          <w:color w:val="000000" w:themeColor="text1"/>
          <w:sz w:val="26"/>
          <w:szCs w:val="26"/>
          <w:lang w:eastAsia="ja-JP"/>
        </w:rPr>
        <w:t>FUNGUS</w:t>
      </w:r>
      <w:r w:rsidRPr="005E6B7C">
        <w:rPr>
          <w:rFonts w:asciiTheme="majorHAnsi" w:eastAsia="Yu Mincho" w:hAnsiTheme="majorHAnsi" w:cstheme="majorHAnsi"/>
          <w:color w:val="000000" w:themeColor="text1"/>
          <w:sz w:val="26"/>
          <w:szCs w:val="26"/>
          <w:lang w:eastAsia="ja-JP"/>
        </w:rPr>
        <w:t xml:space="preserve">  </w:t>
      </w:r>
      <w:r w:rsidRPr="005E6B7C">
        <w:rPr>
          <w:rFonts w:asciiTheme="majorHAnsi" w:eastAsia="Yu Mincho" w:hAnsiTheme="majorHAnsi" w:cstheme="majorHAnsi"/>
          <w:b/>
          <w:bCs/>
          <w:i/>
          <w:color w:val="000000" w:themeColor="text1"/>
          <w:sz w:val="26"/>
          <w:szCs w:val="26"/>
          <w:lang w:eastAsia="ja-JP"/>
        </w:rPr>
        <w:t>PENICILLIUM SCLEROTIORUM</w:t>
      </w:r>
    </w:p>
    <w:p w14:paraId="2429928C" w14:textId="77777777" w:rsidR="00E049CB" w:rsidRPr="005E6B7C" w:rsidRDefault="00E049CB" w:rsidP="008C0D47">
      <w:pPr>
        <w:ind w:right="-20"/>
        <w:jc w:val="center"/>
        <w:rPr>
          <w:rFonts w:asciiTheme="majorHAnsi" w:eastAsia="Yu Mincho" w:hAnsiTheme="majorHAnsi" w:cstheme="majorHAnsi"/>
          <w:b/>
          <w:i/>
          <w:iCs/>
          <w:color w:val="000000" w:themeColor="text1"/>
          <w:sz w:val="22"/>
          <w:szCs w:val="22"/>
          <w:lang w:val="it-IT" w:eastAsia="ja-JP"/>
        </w:rPr>
      </w:pPr>
      <w:r w:rsidRPr="005E6B7C">
        <w:rPr>
          <w:rFonts w:asciiTheme="majorHAnsi" w:eastAsia="Yu Mincho" w:hAnsiTheme="majorHAnsi" w:cstheme="majorHAnsi"/>
          <w:b/>
          <w:i/>
          <w:iCs/>
          <w:color w:val="000000" w:themeColor="text1"/>
          <w:sz w:val="22"/>
          <w:szCs w:val="22"/>
          <w:lang w:val="it-IT" w:eastAsia="ja-JP"/>
        </w:rPr>
        <w:t>Ly Tu Loan</w:t>
      </w:r>
      <w:r w:rsidRPr="005E6B7C">
        <w:rPr>
          <w:rFonts w:asciiTheme="majorHAnsi" w:eastAsia="Yu Mincho" w:hAnsiTheme="majorHAnsi" w:cstheme="majorHAnsi"/>
          <w:b/>
          <w:i/>
          <w:iCs/>
          <w:color w:val="000000" w:themeColor="text1"/>
          <w:sz w:val="22"/>
          <w:szCs w:val="22"/>
          <w:vertAlign w:val="superscript"/>
          <w:lang w:val="it-IT" w:eastAsia="ja-JP"/>
        </w:rPr>
        <w:t>1</w:t>
      </w:r>
      <w:r w:rsidRPr="005E6B7C">
        <w:rPr>
          <w:rFonts w:asciiTheme="majorHAnsi" w:eastAsia="Yu Mincho" w:hAnsiTheme="majorHAnsi" w:cstheme="majorHAnsi"/>
          <w:b/>
          <w:i/>
          <w:iCs/>
          <w:color w:val="000000" w:themeColor="text1"/>
          <w:sz w:val="22"/>
          <w:szCs w:val="22"/>
          <w:lang w:val="it-IT" w:eastAsia="ja-JP"/>
        </w:rPr>
        <w:t>, Vo Van Leo</w:t>
      </w:r>
      <w:r w:rsidRPr="005E6B7C">
        <w:rPr>
          <w:rFonts w:asciiTheme="majorHAnsi" w:eastAsia="Yu Mincho" w:hAnsiTheme="majorHAnsi" w:cstheme="majorHAnsi"/>
          <w:b/>
          <w:i/>
          <w:iCs/>
          <w:color w:val="000000" w:themeColor="text1"/>
          <w:sz w:val="22"/>
          <w:szCs w:val="22"/>
          <w:vertAlign w:val="superscript"/>
          <w:lang w:val="it-IT" w:eastAsia="ja-JP"/>
        </w:rPr>
        <w:t>2</w:t>
      </w:r>
      <w:r w:rsidRPr="005E6B7C">
        <w:rPr>
          <w:rFonts w:asciiTheme="majorHAnsi" w:eastAsia="Yu Mincho" w:hAnsiTheme="majorHAnsi" w:cstheme="majorHAnsi"/>
          <w:b/>
          <w:i/>
          <w:iCs/>
          <w:color w:val="000000" w:themeColor="text1"/>
          <w:sz w:val="22"/>
          <w:szCs w:val="22"/>
          <w:lang w:val="it-IT" w:eastAsia="ja-JP"/>
        </w:rPr>
        <w:t>, Ma Chi Thanh</w:t>
      </w:r>
      <w:r w:rsidRPr="005E6B7C">
        <w:rPr>
          <w:rFonts w:asciiTheme="majorHAnsi" w:eastAsia="Yu Mincho" w:hAnsiTheme="majorHAnsi" w:cstheme="majorHAnsi"/>
          <w:b/>
          <w:i/>
          <w:iCs/>
          <w:color w:val="000000" w:themeColor="text1"/>
          <w:sz w:val="22"/>
          <w:szCs w:val="22"/>
          <w:vertAlign w:val="superscript"/>
          <w:lang w:val="it-IT" w:eastAsia="ja-JP"/>
        </w:rPr>
        <w:t>2,</w:t>
      </w:r>
      <w:r w:rsidRPr="005E6B7C">
        <w:rPr>
          <w:rFonts w:asciiTheme="majorHAnsi" w:eastAsia="Yu Mincho" w:hAnsiTheme="majorHAnsi" w:cstheme="majorHAnsi"/>
          <w:b/>
          <w:i/>
          <w:iCs/>
          <w:color w:val="000000" w:themeColor="text1"/>
          <w:sz w:val="22"/>
          <w:szCs w:val="22"/>
          <w:lang w:val="it-IT" w:eastAsia="ja-JP"/>
        </w:rPr>
        <w:t>*</w:t>
      </w:r>
    </w:p>
    <w:p w14:paraId="69E7D900" w14:textId="77777777" w:rsidR="00E049CB" w:rsidRPr="005E6B7C" w:rsidRDefault="00E049CB" w:rsidP="008C0D47">
      <w:pPr>
        <w:ind w:right="-20"/>
        <w:jc w:val="center"/>
        <w:rPr>
          <w:rFonts w:asciiTheme="majorHAnsi" w:eastAsia="Calibri" w:hAnsiTheme="majorHAnsi" w:cstheme="majorHAnsi"/>
          <w:i/>
          <w:iCs/>
          <w:color w:val="000000" w:themeColor="text1"/>
          <w:sz w:val="22"/>
          <w:szCs w:val="22"/>
          <w:lang w:eastAsia="ja-JP"/>
        </w:rPr>
      </w:pPr>
      <w:r w:rsidRPr="005E6B7C">
        <w:rPr>
          <w:rFonts w:asciiTheme="majorHAnsi" w:eastAsia="Calibri" w:hAnsiTheme="majorHAnsi" w:cstheme="majorHAnsi"/>
          <w:i/>
          <w:iCs/>
          <w:color w:val="000000" w:themeColor="text1"/>
          <w:sz w:val="22"/>
          <w:szCs w:val="22"/>
          <w:vertAlign w:val="superscript"/>
          <w:lang w:eastAsia="ja-JP"/>
        </w:rPr>
        <w:t>1</w:t>
      </w:r>
      <w:r w:rsidRPr="005E6B7C">
        <w:rPr>
          <w:rFonts w:asciiTheme="majorHAnsi" w:eastAsia="Calibri" w:hAnsiTheme="majorHAnsi" w:cstheme="majorHAnsi"/>
          <w:i/>
          <w:iCs/>
          <w:color w:val="000000" w:themeColor="text1"/>
          <w:sz w:val="22"/>
          <w:szCs w:val="22"/>
          <w:lang w:eastAsia="ja-JP"/>
        </w:rPr>
        <w:t>Faculty of Pharmacy, Ton Duc Thang University, Ho Chi Minh City, Vietnam</w:t>
      </w:r>
    </w:p>
    <w:p w14:paraId="7E7CD486" w14:textId="77777777" w:rsidR="00E049CB" w:rsidRPr="005E6B7C" w:rsidRDefault="00E049CB" w:rsidP="008C0D47">
      <w:pPr>
        <w:ind w:right="-20"/>
        <w:jc w:val="center"/>
        <w:rPr>
          <w:rFonts w:asciiTheme="majorHAnsi" w:eastAsia="Calibri" w:hAnsiTheme="majorHAnsi" w:cstheme="majorHAnsi"/>
          <w:i/>
          <w:iCs/>
          <w:color w:val="000000" w:themeColor="text1"/>
          <w:sz w:val="22"/>
          <w:szCs w:val="22"/>
          <w:lang w:eastAsia="ja-JP"/>
        </w:rPr>
      </w:pPr>
      <w:r w:rsidRPr="005E6B7C">
        <w:rPr>
          <w:rFonts w:asciiTheme="majorHAnsi" w:eastAsia="Calibri"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iCs/>
          <w:color w:val="000000" w:themeColor="text1"/>
          <w:sz w:val="22"/>
          <w:szCs w:val="22"/>
          <w:lang w:eastAsia="ja-JP"/>
        </w:rPr>
        <w:t>School of Pharmacy</w:t>
      </w:r>
      <w:r w:rsidRPr="005E6B7C">
        <w:rPr>
          <w:rFonts w:asciiTheme="majorHAnsi" w:eastAsia="Calibri" w:hAnsiTheme="majorHAnsi" w:cstheme="majorHAnsi"/>
          <w:i/>
          <w:color w:val="000000" w:themeColor="text1"/>
          <w:sz w:val="22"/>
          <w:szCs w:val="22"/>
          <w:lang w:eastAsia="ja-JP"/>
        </w:rPr>
        <w:t xml:space="preserve">, </w:t>
      </w:r>
      <w:r w:rsidRPr="005E6B7C">
        <w:rPr>
          <w:rFonts w:asciiTheme="majorHAnsi" w:eastAsia="Calibri" w:hAnsiTheme="majorHAnsi" w:cstheme="majorHAnsi"/>
          <w:i/>
          <w:iCs/>
          <w:color w:val="000000" w:themeColor="text1"/>
          <w:sz w:val="22"/>
          <w:szCs w:val="22"/>
          <w:lang w:eastAsia="ja-JP"/>
        </w:rPr>
        <w:t>University of Medicine and Pharmacy at Ho Chi Minh City, Vietnam</w:t>
      </w:r>
    </w:p>
    <w:p w14:paraId="15F21EBB" w14:textId="77777777" w:rsidR="00E049CB" w:rsidRPr="005E6B7C" w:rsidRDefault="00E049CB" w:rsidP="008C0D47">
      <w:pPr>
        <w:ind w:right="-20"/>
        <w:jc w:val="center"/>
        <w:rPr>
          <w:rFonts w:asciiTheme="majorHAnsi" w:eastAsia="Calibri" w:hAnsiTheme="majorHAnsi" w:cstheme="majorHAnsi"/>
          <w:bCs/>
          <w:color w:val="000000" w:themeColor="text1"/>
          <w:sz w:val="22"/>
          <w:szCs w:val="22"/>
          <w:lang w:eastAsia="ja-JP"/>
        </w:rPr>
      </w:pPr>
      <w:r w:rsidRPr="005E6B7C">
        <w:rPr>
          <w:rFonts w:asciiTheme="majorHAnsi" w:eastAsia="Calibri" w:hAnsiTheme="majorHAnsi" w:cstheme="majorHAnsi"/>
          <w:bCs/>
          <w:color w:val="000000" w:themeColor="text1"/>
          <w:sz w:val="22"/>
          <w:szCs w:val="22"/>
          <w:lang w:eastAsia="ja-JP"/>
        </w:rPr>
        <w:t>*Corresponding authors: mcthanh@ump.edu.vn</w:t>
      </w:r>
    </w:p>
    <w:p w14:paraId="04919DC4" w14:textId="77777777" w:rsidR="002F541E" w:rsidRPr="005E6B7C" w:rsidRDefault="002F541E" w:rsidP="008C0D47">
      <w:pPr>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March 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12</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615E13A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712521B8" w14:textId="23D1852E" w:rsidR="00E049CB" w:rsidRPr="005E6B7C" w:rsidRDefault="00E049CB" w:rsidP="008C0D47">
      <w:pPr>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Endophytic fungi are one of the typical endophytic micro</w:t>
      </w:r>
      <w:r w:rsidR="00FB7B36" w:rsidRPr="005E6B7C">
        <w:rPr>
          <w:rFonts w:asciiTheme="majorHAnsi" w:eastAsia="Yu Mincho" w:hAnsiTheme="majorHAnsi" w:cstheme="majorHAnsi"/>
          <w:color w:val="000000" w:themeColor="text1"/>
          <w:sz w:val="18"/>
          <w:szCs w:val="18"/>
          <w:lang w:eastAsia="ja-JP"/>
        </w:rPr>
        <w:t>bial</w:t>
      </w:r>
      <w:r w:rsidRPr="005E6B7C">
        <w:rPr>
          <w:rFonts w:asciiTheme="majorHAnsi" w:eastAsia="Yu Mincho" w:hAnsiTheme="majorHAnsi" w:cstheme="majorHAnsi"/>
          <w:color w:val="000000" w:themeColor="text1"/>
          <w:sz w:val="18"/>
          <w:szCs w:val="18"/>
          <w:lang w:eastAsia="ja-JP"/>
        </w:rPr>
        <w:t xml:space="preserve"> groups that have recently attracted considerable research interest because of their roles in many aspects. The most special thing is the ability to biosynthesize secondary substances with biological activity, such as antioxidant, anti-microbial, anti-tumor, and anti-inflammatory effects. The endophytic fungal strains were first isolated from </w:t>
      </w:r>
      <w:r w:rsidRPr="005E6B7C">
        <w:rPr>
          <w:rFonts w:asciiTheme="majorHAnsi" w:eastAsia="Yu Mincho" w:hAnsiTheme="majorHAnsi" w:cstheme="majorHAnsi"/>
          <w:i/>
          <w:iCs/>
          <w:color w:val="000000" w:themeColor="text1"/>
          <w:sz w:val="18"/>
          <w:szCs w:val="18"/>
          <w:lang w:eastAsia="ja-JP"/>
        </w:rPr>
        <w:t>Acorus gramineus</w:t>
      </w:r>
      <w:r w:rsidRPr="005E6B7C">
        <w:rPr>
          <w:rFonts w:asciiTheme="majorHAnsi" w:eastAsia="Yu Mincho" w:hAnsiTheme="majorHAnsi" w:cstheme="majorHAnsi"/>
          <w:color w:val="000000" w:themeColor="text1"/>
          <w:sz w:val="18"/>
          <w:szCs w:val="18"/>
          <w:lang w:eastAsia="ja-JP"/>
        </w:rPr>
        <w:t xml:space="preserve"> herbs and identified as </w:t>
      </w:r>
      <w:r w:rsidRPr="005E6B7C">
        <w:rPr>
          <w:rFonts w:asciiTheme="majorHAnsi" w:eastAsia="Yu Mincho" w:hAnsiTheme="majorHAnsi" w:cstheme="majorHAnsi"/>
          <w:i/>
          <w:iCs/>
          <w:color w:val="000000" w:themeColor="text1"/>
          <w:sz w:val="18"/>
          <w:szCs w:val="18"/>
          <w:lang w:eastAsia="ja-JP"/>
        </w:rPr>
        <w:t>Penicillium sclerotiorum</w:t>
      </w:r>
      <w:r w:rsidRPr="005E6B7C">
        <w:rPr>
          <w:rFonts w:asciiTheme="majorHAnsi" w:eastAsia="Yu Mincho" w:hAnsiTheme="majorHAnsi" w:cstheme="majorHAnsi"/>
          <w:color w:val="000000" w:themeColor="text1"/>
          <w:sz w:val="18"/>
          <w:szCs w:val="18"/>
          <w:lang w:eastAsia="ja-JP"/>
        </w:rPr>
        <w:t xml:space="preserve"> by morphological, microscopic, and DNA sequencing based on the modified Sanger method. From the ethyl acetate fraction of the medium extract</w:t>
      </w:r>
      <w:r w:rsidRPr="005E6B7C">
        <w:rPr>
          <w:rFonts w:asciiTheme="majorHAnsi" w:eastAsia="Yu Mincho" w:hAnsiTheme="majorHAnsi" w:cstheme="majorHAnsi"/>
          <w: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six compounds were isolated and identified as </w:t>
      </w:r>
      <w:r w:rsidRPr="005E6B7C">
        <w:rPr>
          <w:rFonts w:asciiTheme="majorHAnsi" w:eastAsia="Times New Roman" w:hAnsiTheme="majorHAnsi" w:cstheme="majorHAnsi"/>
          <w:color w:val="000000" w:themeColor="text1"/>
          <w:sz w:val="18"/>
          <w:szCs w:val="18"/>
          <w:lang w:eastAsia="ja-JP"/>
        </w:rPr>
        <w:t>peniazaphilones I (</w:t>
      </w:r>
      <w:r w:rsidRPr="005E6B7C">
        <w:rPr>
          <w:rFonts w:asciiTheme="majorHAnsi" w:eastAsia="Times New Roman" w:hAnsiTheme="majorHAnsi" w:cstheme="majorHAnsi"/>
          <w:b/>
          <w:color w:val="000000" w:themeColor="text1"/>
          <w:sz w:val="18"/>
          <w:szCs w:val="18"/>
          <w:lang w:eastAsia="ja-JP"/>
        </w:rPr>
        <w:t>1</w:t>
      </w:r>
      <w:r w:rsidRPr="005E6B7C">
        <w:rPr>
          <w:rFonts w:asciiTheme="majorHAnsi" w:eastAsia="Times New Roman" w:hAnsiTheme="majorHAnsi" w:cstheme="majorHAnsi"/>
          <w:color w:val="000000" w:themeColor="text1"/>
          <w:sz w:val="18"/>
          <w:szCs w:val="18"/>
          <w:lang w:eastAsia="ja-JP"/>
        </w:rPr>
        <w:t>), 11-</w:t>
      </w:r>
      <w:r w:rsidRPr="005E6B7C">
        <w:rPr>
          <w:rFonts w:asciiTheme="majorHAnsi" w:eastAsia="Times New Roman" w:hAnsiTheme="majorHAnsi" w:cstheme="majorHAnsi"/>
          <w:i/>
          <w:color w:val="000000" w:themeColor="text1"/>
          <w:sz w:val="18"/>
          <w:szCs w:val="18"/>
          <w:lang w:eastAsia="ja-JP"/>
        </w:rPr>
        <w:t>epi</w:t>
      </w:r>
      <w:r w:rsidRPr="005E6B7C">
        <w:rPr>
          <w:rFonts w:asciiTheme="majorHAnsi" w:eastAsia="Times New Roman" w:hAnsiTheme="majorHAnsi" w:cstheme="majorHAnsi"/>
          <w:color w:val="000000" w:themeColor="text1"/>
          <w:sz w:val="18"/>
          <w:szCs w:val="18"/>
          <w:lang w:eastAsia="ja-JP"/>
        </w:rPr>
        <w:t>-geumsanol F (</w:t>
      </w:r>
      <w:r w:rsidRPr="005E6B7C">
        <w:rPr>
          <w:rFonts w:asciiTheme="majorHAnsi" w:eastAsia="Times New Roman" w:hAnsiTheme="majorHAnsi" w:cstheme="majorHAnsi"/>
          <w:b/>
          <w:color w:val="000000" w:themeColor="text1"/>
          <w:sz w:val="18"/>
          <w:szCs w:val="18"/>
          <w:lang w:eastAsia="ja-JP"/>
        </w:rPr>
        <w:t>2</w:t>
      </w:r>
      <w:r w:rsidRPr="005E6B7C">
        <w:rPr>
          <w:rFonts w:asciiTheme="majorHAnsi" w:eastAsia="Times New Roman" w:hAnsiTheme="majorHAnsi" w:cstheme="majorHAnsi"/>
          <w:color w:val="000000" w:themeColor="text1"/>
          <w:sz w:val="18"/>
          <w:szCs w:val="18"/>
          <w:lang w:eastAsia="ja-JP"/>
        </w:rPr>
        <w:t>), sclerotioramine (</w:t>
      </w:r>
      <w:r w:rsidRPr="005E6B7C">
        <w:rPr>
          <w:rFonts w:asciiTheme="majorHAnsi" w:eastAsia="Times New Roman" w:hAnsiTheme="majorHAnsi" w:cstheme="majorHAnsi"/>
          <w:b/>
          <w:color w:val="000000" w:themeColor="text1"/>
          <w:sz w:val="18"/>
          <w:szCs w:val="18"/>
          <w:lang w:eastAsia="ja-JP"/>
        </w:rPr>
        <w:t>3</w:t>
      </w:r>
      <w:r w:rsidRPr="005E6B7C">
        <w:rPr>
          <w:rFonts w:asciiTheme="majorHAnsi" w:eastAsia="Times New Roman" w:hAnsiTheme="majorHAnsi" w:cstheme="majorHAnsi"/>
          <w:color w:val="000000" w:themeColor="text1"/>
          <w:sz w:val="18"/>
          <w:szCs w:val="18"/>
          <w:lang w:eastAsia="ja-JP"/>
        </w:rPr>
        <w:t xml:space="preserve">), </w:t>
      </w:r>
      <w:r w:rsidRPr="005E6B7C">
        <w:rPr>
          <w:rFonts w:asciiTheme="majorHAnsi" w:eastAsia="Times New Roman" w:hAnsiTheme="majorHAnsi" w:cstheme="majorHAnsi"/>
          <w:i/>
          <w:color w:val="000000" w:themeColor="text1"/>
          <w:sz w:val="18"/>
          <w:szCs w:val="18"/>
          <w:lang w:eastAsia="ja-JP"/>
        </w:rPr>
        <w:t>epi</w:t>
      </w:r>
      <w:r w:rsidRPr="005E6B7C">
        <w:rPr>
          <w:rFonts w:asciiTheme="majorHAnsi" w:eastAsia="Times New Roman" w:hAnsiTheme="majorHAnsi" w:cstheme="majorHAnsi"/>
          <w:color w:val="000000" w:themeColor="text1"/>
          <w:sz w:val="18"/>
          <w:szCs w:val="18"/>
          <w:lang w:eastAsia="ja-JP"/>
        </w:rPr>
        <w:t>-isochromophilone III (</w:t>
      </w:r>
      <w:r w:rsidRPr="005E6B7C">
        <w:rPr>
          <w:rFonts w:asciiTheme="majorHAnsi" w:eastAsia="Times New Roman" w:hAnsiTheme="majorHAnsi" w:cstheme="majorHAnsi"/>
          <w:b/>
          <w:color w:val="000000" w:themeColor="text1"/>
          <w:sz w:val="18"/>
          <w:szCs w:val="18"/>
          <w:lang w:eastAsia="ja-JP"/>
        </w:rPr>
        <w:t>4</w:t>
      </w:r>
      <w:r w:rsidRPr="005E6B7C">
        <w:rPr>
          <w:rFonts w:asciiTheme="majorHAnsi" w:eastAsia="Times New Roman" w:hAnsiTheme="majorHAnsi" w:cstheme="majorHAnsi"/>
          <w:color w:val="000000" w:themeColor="text1"/>
          <w:sz w:val="18"/>
          <w:szCs w:val="18"/>
          <w:lang w:eastAsia="ja-JP"/>
        </w:rPr>
        <w:t>), isochromophilone IV (</w:t>
      </w:r>
      <w:r w:rsidRPr="005E6B7C">
        <w:rPr>
          <w:rFonts w:asciiTheme="majorHAnsi" w:eastAsia="Times New Roman" w:hAnsiTheme="majorHAnsi" w:cstheme="majorHAnsi"/>
          <w:b/>
          <w:color w:val="000000" w:themeColor="text1"/>
          <w:sz w:val="18"/>
          <w:szCs w:val="18"/>
          <w:lang w:eastAsia="ja-JP"/>
        </w:rPr>
        <w:t>5</w:t>
      </w:r>
      <w:r w:rsidRPr="005E6B7C">
        <w:rPr>
          <w:rFonts w:asciiTheme="majorHAnsi" w:eastAsia="Times New Roman" w:hAnsiTheme="majorHAnsi" w:cstheme="majorHAnsi"/>
          <w:color w:val="000000" w:themeColor="text1"/>
          <w:sz w:val="18"/>
          <w:szCs w:val="18"/>
          <w:lang w:eastAsia="ja-JP"/>
        </w:rPr>
        <w:t>), and linoleic acid (</w:t>
      </w:r>
      <w:r w:rsidRPr="005E6B7C">
        <w:rPr>
          <w:rFonts w:asciiTheme="majorHAnsi" w:eastAsia="Times New Roman" w:hAnsiTheme="majorHAnsi" w:cstheme="majorHAnsi"/>
          <w:b/>
          <w:color w:val="000000" w:themeColor="text1"/>
          <w:sz w:val="18"/>
          <w:szCs w:val="18"/>
          <w:lang w:eastAsia="ja-JP"/>
        </w:rPr>
        <w:t>6</w:t>
      </w:r>
      <w:r w:rsidRPr="005E6B7C">
        <w:rPr>
          <w:rFonts w:asciiTheme="majorHAnsi" w:eastAsia="Times New Roman" w:hAnsiTheme="majorHAnsi" w:cstheme="majorHAnsi"/>
          <w:color w:val="000000" w:themeColor="text1"/>
          <w:sz w:val="18"/>
          <w:szCs w:val="18"/>
          <w:lang w:eastAsia="ja-JP"/>
        </w:rPr>
        <w:t xml:space="preserve">). Their structures were determined by means of spectroscopic methods (MS, 1D, and 2D NMR). </w:t>
      </w:r>
    </w:p>
    <w:p w14:paraId="388B7C31" w14:textId="77777777" w:rsidR="00E049CB" w:rsidRPr="005E6B7C" w:rsidRDefault="00E049CB" w:rsidP="008C0D47">
      <w:pPr>
        <w:tabs>
          <w:tab w:val="left" w:pos="9270"/>
        </w:tabs>
        <w:ind w:right="-20" w:firstLine="284"/>
        <w:jc w:val="both"/>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Keywords: </w:t>
      </w:r>
      <w:r w:rsidRPr="005E6B7C">
        <w:rPr>
          <w:rFonts w:asciiTheme="majorHAnsi" w:eastAsia="Yu Mincho" w:hAnsiTheme="majorHAnsi" w:cstheme="majorHAnsi"/>
          <w:i/>
          <w:color w:val="000000" w:themeColor="text1"/>
          <w:sz w:val="18"/>
          <w:szCs w:val="18"/>
          <w:lang w:eastAsia="ja-JP"/>
        </w:rPr>
        <w:t>Penicillium sclerotiorum;</w:t>
      </w:r>
      <w:r w:rsidRPr="005E6B7C">
        <w:rPr>
          <w:rFonts w:asciiTheme="majorHAnsi" w:eastAsia="Yu Mincho" w:hAnsiTheme="majorHAnsi" w:cstheme="majorHAnsi"/>
          <w:iCs/>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Endophytic fungus; Acorus gramineus; Azaphilone</w:t>
      </w:r>
      <w:r w:rsidR="00826294" w:rsidRPr="005E6B7C">
        <w:rPr>
          <w:rFonts w:asciiTheme="majorHAnsi" w:eastAsia="Yu Mincho" w:hAnsiTheme="majorHAnsi" w:cstheme="majorHAnsi"/>
          <w: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 xml:space="preserve"> </w:t>
      </w:r>
      <w:r w:rsidR="00826294" w:rsidRPr="005E6B7C">
        <w:rPr>
          <w:rFonts w:asciiTheme="majorHAnsi" w:eastAsia="Yu Mincho" w:hAnsiTheme="majorHAnsi" w:cstheme="majorHAnsi"/>
          <w:i/>
          <w:color w:val="000000" w:themeColor="text1"/>
          <w:sz w:val="18"/>
          <w:szCs w:val="18"/>
          <w:lang w:eastAsia="ja-JP"/>
        </w:rPr>
        <w:t>D</w:t>
      </w:r>
      <w:r w:rsidRPr="005E6B7C">
        <w:rPr>
          <w:rFonts w:asciiTheme="majorHAnsi" w:eastAsia="Yu Mincho" w:hAnsiTheme="majorHAnsi" w:cstheme="majorHAnsi"/>
          <w:i/>
          <w:color w:val="000000" w:themeColor="text1"/>
          <w:sz w:val="18"/>
          <w:szCs w:val="18"/>
          <w:lang w:eastAsia="ja-JP"/>
        </w:rPr>
        <w:t>erivative.</w:t>
      </w:r>
    </w:p>
    <w:p w14:paraId="5A283073"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b/>
          <w:color w:val="000000" w:themeColor="text1"/>
          <w:sz w:val="22"/>
          <w:szCs w:val="22"/>
          <w:lang w:eastAsia="ja-JP"/>
        </w:rPr>
      </w:pPr>
    </w:p>
    <w:p w14:paraId="52D7A503" w14:textId="77777777" w:rsidR="00F06D43" w:rsidRPr="005E6B7C" w:rsidRDefault="00F06D43"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sectPr w:rsidR="00F06D43" w:rsidRPr="005E6B7C" w:rsidSect="002206BB">
          <w:type w:val="continuous"/>
          <w:pgSz w:w="10773" w:h="15309" w:code="9"/>
          <w:pgMar w:top="907" w:right="851" w:bottom="1418" w:left="851" w:header="397" w:footer="851" w:gutter="0"/>
          <w:cols w:space="284"/>
          <w:docGrid w:linePitch="360"/>
        </w:sectPr>
      </w:pPr>
    </w:p>
    <w:p w14:paraId="35E239E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42D36C1E" w14:textId="77777777" w:rsidR="00F06D43"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Endophytic fungi are the most popular microorganisms, present in the majority of plant species and existing in many parts of plants such as roots, stems, leaves, flowers, fruits, and seeds [1]. Endophytic fungi in plants are considered important sources of secondary metabolites and bioactive natural products such as alkaloids, terpenoids, steroids, quinones, coumarins, flavonoids, phenols, phenolic acids, and peptides [2]. Several endophytic fungi can produce bioactive compounds originating from plants that are similar or identical to those of their host plants, such as paclitaxel, podophyllotoxin, camptothecin, vinblastine, hypericin, and diosgenin [3]. In addition, the compounds isolated from endophytic fungi exhibited remarkable biological activities as </w:t>
      </w:r>
      <w:r w:rsidRPr="005E6B7C">
        <w:rPr>
          <w:rFonts w:asciiTheme="majorHAnsi" w:eastAsia="Yu Mincho" w:hAnsiTheme="majorHAnsi" w:cstheme="majorHAnsi"/>
          <w:color w:val="000000" w:themeColor="text1"/>
          <w:spacing w:val="4"/>
          <w:sz w:val="22"/>
          <w:szCs w:val="22"/>
          <w:lang w:eastAsia="ja-JP"/>
        </w:rPr>
        <w:t>antioxidant [</w:t>
      </w:r>
      <w:r w:rsidRPr="005E6B7C">
        <w:rPr>
          <w:rFonts w:asciiTheme="majorHAnsi" w:eastAsia="Yu Mincho" w:hAnsiTheme="majorHAnsi" w:cstheme="majorHAnsi"/>
          <w:noProof/>
          <w:color w:val="000000" w:themeColor="text1"/>
          <w:spacing w:val="4"/>
          <w:sz w:val="22"/>
          <w:szCs w:val="22"/>
          <w:lang w:eastAsia="ja-JP"/>
        </w:rPr>
        <w:t>4]</w:t>
      </w:r>
      <w:r w:rsidR="00826294"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t xml:space="preserve">5], antibacterial [6], and anti-tumor activity [7],[8], which are potential sources for new drug research. Therefore, this study was undertaken to gain a deeper understanding of the mechanisms and chemical constituents of endophytic fungi involved in the production of bioactive secondary metabolites used in the treatment of several diseases. Our present study on chemical constituents from the ethyl acetate fraction of the endophytic fungus strains of </w:t>
      </w:r>
      <w:r w:rsidRPr="005E6B7C">
        <w:rPr>
          <w:rFonts w:asciiTheme="majorHAnsi" w:eastAsia="Yu Mincho" w:hAnsiTheme="majorHAnsi" w:cstheme="majorHAnsi"/>
          <w:i/>
          <w:iCs/>
          <w:color w:val="000000" w:themeColor="text1"/>
          <w:spacing w:val="4"/>
          <w:sz w:val="22"/>
          <w:szCs w:val="22"/>
          <w:lang w:eastAsia="ja-JP"/>
        </w:rPr>
        <w:t>P</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i/>
          <w:iCs/>
          <w:color w:val="000000" w:themeColor="text1"/>
          <w:spacing w:val="4"/>
          <w:sz w:val="22"/>
          <w:szCs w:val="22"/>
          <w:lang w:eastAsia="ja-JP"/>
        </w:rPr>
        <w:t>sclerotiorum</w:t>
      </w:r>
      <w:r w:rsidRPr="005E6B7C">
        <w:rPr>
          <w:rFonts w:asciiTheme="majorHAnsi" w:eastAsia="Yu Mincho" w:hAnsiTheme="majorHAnsi" w:cstheme="majorHAnsi"/>
          <w:color w:val="000000" w:themeColor="text1"/>
          <w:spacing w:val="4"/>
          <w:sz w:val="22"/>
          <w:szCs w:val="22"/>
          <w:lang w:eastAsia="ja-JP"/>
        </w:rPr>
        <w:t xml:space="preserve"> led to the isolation of six compounds. </w:t>
      </w:r>
      <w:r w:rsidRPr="005E6B7C">
        <w:rPr>
          <w:rFonts w:asciiTheme="majorHAnsi" w:eastAsia="Times New Roman" w:hAnsiTheme="majorHAnsi" w:cstheme="majorHAnsi"/>
          <w:color w:val="000000" w:themeColor="text1"/>
          <w:spacing w:val="4"/>
          <w:sz w:val="22"/>
          <w:szCs w:val="22"/>
          <w:lang w:eastAsia="ja-JP"/>
        </w:rPr>
        <w:t>Their structures were identified as peniazaphilones I (</w:t>
      </w:r>
      <w:r w:rsidRPr="005E6B7C">
        <w:rPr>
          <w:rFonts w:asciiTheme="majorHAnsi" w:eastAsia="Times New Roman" w:hAnsiTheme="majorHAnsi" w:cstheme="majorHAnsi"/>
          <w:b/>
          <w:bCs/>
          <w:color w:val="000000" w:themeColor="text1"/>
          <w:spacing w:val="4"/>
          <w:sz w:val="22"/>
          <w:szCs w:val="22"/>
          <w:lang w:eastAsia="ja-JP"/>
        </w:rPr>
        <w:t>1</w:t>
      </w:r>
      <w:r w:rsidRPr="005E6B7C">
        <w:rPr>
          <w:rFonts w:asciiTheme="majorHAnsi" w:eastAsia="Times New Roman" w:hAnsiTheme="majorHAnsi" w:cstheme="majorHAnsi"/>
          <w:color w:val="000000" w:themeColor="text1"/>
          <w:spacing w:val="4"/>
          <w:sz w:val="22"/>
          <w:szCs w:val="22"/>
          <w:lang w:eastAsia="ja-JP"/>
        </w:rPr>
        <w:t>), 11-</w:t>
      </w:r>
      <w:r w:rsidRPr="005E6B7C">
        <w:rPr>
          <w:rFonts w:asciiTheme="majorHAnsi" w:eastAsia="Times New Roman" w:hAnsiTheme="majorHAnsi" w:cstheme="majorHAnsi"/>
          <w:i/>
          <w:color w:val="000000" w:themeColor="text1"/>
          <w:spacing w:val="4"/>
          <w:sz w:val="22"/>
          <w:szCs w:val="22"/>
          <w:lang w:eastAsia="ja-JP"/>
        </w:rPr>
        <w:t>epi</w:t>
      </w:r>
      <w:r w:rsidRPr="005E6B7C">
        <w:rPr>
          <w:rFonts w:asciiTheme="majorHAnsi" w:eastAsia="Times New Roman" w:hAnsiTheme="majorHAnsi" w:cstheme="majorHAnsi"/>
          <w:color w:val="000000" w:themeColor="text1"/>
          <w:spacing w:val="4"/>
          <w:sz w:val="22"/>
          <w:szCs w:val="22"/>
          <w:lang w:eastAsia="ja-JP"/>
        </w:rPr>
        <w:t>-geumsanol F (</w:t>
      </w:r>
      <w:r w:rsidRPr="005E6B7C">
        <w:rPr>
          <w:rFonts w:asciiTheme="majorHAnsi" w:eastAsia="Times New Roman" w:hAnsiTheme="majorHAnsi" w:cstheme="majorHAnsi"/>
          <w:b/>
          <w:bCs/>
          <w:color w:val="000000" w:themeColor="text1"/>
          <w:spacing w:val="4"/>
          <w:sz w:val="22"/>
          <w:szCs w:val="22"/>
          <w:lang w:eastAsia="ja-JP"/>
        </w:rPr>
        <w:t>2</w:t>
      </w:r>
      <w:r w:rsidRPr="005E6B7C">
        <w:rPr>
          <w:rFonts w:asciiTheme="majorHAnsi" w:eastAsia="Times New Roman" w:hAnsiTheme="majorHAnsi" w:cstheme="majorHAnsi"/>
          <w:color w:val="000000" w:themeColor="text1"/>
          <w:spacing w:val="4"/>
          <w:sz w:val="22"/>
          <w:szCs w:val="22"/>
          <w:lang w:eastAsia="ja-JP"/>
        </w:rPr>
        <w:t>), sclerotioramine (</w:t>
      </w:r>
      <w:r w:rsidRPr="005E6B7C">
        <w:rPr>
          <w:rFonts w:asciiTheme="majorHAnsi" w:eastAsia="Times New Roman" w:hAnsiTheme="majorHAnsi" w:cstheme="majorHAnsi"/>
          <w:b/>
          <w:bCs/>
          <w:color w:val="000000" w:themeColor="text1"/>
          <w:spacing w:val="4"/>
          <w:sz w:val="22"/>
          <w:szCs w:val="22"/>
          <w:lang w:eastAsia="ja-JP"/>
        </w:rPr>
        <w:t>3</w:t>
      </w:r>
      <w:r w:rsidRPr="005E6B7C">
        <w:rPr>
          <w:rFonts w:asciiTheme="majorHAnsi" w:eastAsia="Times New Roman" w:hAnsiTheme="majorHAnsi" w:cstheme="majorHAnsi"/>
          <w:color w:val="000000" w:themeColor="text1"/>
          <w:spacing w:val="4"/>
          <w:sz w:val="22"/>
          <w:szCs w:val="22"/>
          <w:lang w:eastAsia="ja-JP"/>
        </w:rPr>
        <w:t xml:space="preserve">), </w:t>
      </w:r>
      <w:r w:rsidRPr="005E6B7C">
        <w:rPr>
          <w:rFonts w:asciiTheme="majorHAnsi" w:eastAsia="Times New Roman" w:hAnsiTheme="majorHAnsi" w:cstheme="majorHAnsi"/>
          <w:i/>
          <w:color w:val="000000" w:themeColor="text1"/>
          <w:spacing w:val="4"/>
          <w:sz w:val="22"/>
          <w:szCs w:val="22"/>
          <w:lang w:eastAsia="ja-JP"/>
        </w:rPr>
        <w:t>epi</w:t>
      </w:r>
      <w:r w:rsidRPr="005E6B7C">
        <w:rPr>
          <w:rFonts w:asciiTheme="majorHAnsi" w:eastAsia="Times New Roman" w:hAnsiTheme="majorHAnsi" w:cstheme="majorHAnsi"/>
          <w:color w:val="000000" w:themeColor="text1"/>
          <w:spacing w:val="4"/>
          <w:sz w:val="22"/>
          <w:szCs w:val="22"/>
          <w:lang w:eastAsia="ja-JP"/>
        </w:rPr>
        <w:t>-isochromophilone III (</w:t>
      </w:r>
      <w:r w:rsidRPr="005E6B7C">
        <w:rPr>
          <w:rFonts w:asciiTheme="majorHAnsi" w:eastAsia="Times New Roman" w:hAnsiTheme="majorHAnsi" w:cstheme="majorHAnsi"/>
          <w:b/>
          <w:bCs/>
          <w:color w:val="000000" w:themeColor="text1"/>
          <w:spacing w:val="4"/>
          <w:sz w:val="22"/>
          <w:szCs w:val="22"/>
          <w:lang w:eastAsia="ja-JP"/>
        </w:rPr>
        <w:t>4</w:t>
      </w:r>
      <w:r w:rsidRPr="005E6B7C">
        <w:rPr>
          <w:rFonts w:asciiTheme="majorHAnsi" w:eastAsia="Times New Roman" w:hAnsiTheme="majorHAnsi" w:cstheme="majorHAnsi"/>
          <w:color w:val="000000" w:themeColor="text1"/>
          <w:spacing w:val="4"/>
          <w:sz w:val="22"/>
          <w:szCs w:val="22"/>
          <w:lang w:eastAsia="ja-JP"/>
        </w:rPr>
        <w:t>), isochromophilone IV (</w:t>
      </w:r>
      <w:r w:rsidRPr="005E6B7C">
        <w:rPr>
          <w:rFonts w:asciiTheme="majorHAnsi" w:eastAsia="Times New Roman" w:hAnsiTheme="majorHAnsi" w:cstheme="majorHAnsi"/>
          <w:b/>
          <w:bCs/>
          <w:color w:val="000000" w:themeColor="text1"/>
          <w:spacing w:val="4"/>
          <w:sz w:val="22"/>
          <w:szCs w:val="22"/>
          <w:lang w:eastAsia="ja-JP"/>
        </w:rPr>
        <w:t>5</w:t>
      </w:r>
      <w:r w:rsidRPr="005E6B7C">
        <w:rPr>
          <w:rFonts w:asciiTheme="majorHAnsi" w:eastAsia="Times New Roman" w:hAnsiTheme="majorHAnsi" w:cstheme="majorHAnsi"/>
          <w:color w:val="000000" w:themeColor="text1"/>
          <w:spacing w:val="4"/>
          <w:sz w:val="22"/>
          <w:szCs w:val="22"/>
          <w:lang w:eastAsia="ja-JP"/>
        </w:rPr>
        <w:t>), and linoleic acid (</w:t>
      </w:r>
      <w:r w:rsidRPr="005E6B7C">
        <w:rPr>
          <w:rFonts w:asciiTheme="majorHAnsi" w:eastAsia="Times New Roman" w:hAnsiTheme="majorHAnsi" w:cstheme="majorHAnsi"/>
          <w:b/>
          <w:bCs/>
          <w:color w:val="000000" w:themeColor="text1"/>
          <w:spacing w:val="4"/>
          <w:sz w:val="22"/>
          <w:szCs w:val="22"/>
          <w:lang w:eastAsia="ja-JP"/>
        </w:rPr>
        <w:t>6</w:t>
      </w:r>
      <w:r w:rsidRPr="005E6B7C">
        <w:rPr>
          <w:rFonts w:asciiTheme="majorHAnsi" w:eastAsia="Times New Roman" w:hAnsiTheme="majorHAnsi" w:cstheme="majorHAnsi"/>
          <w:color w:val="000000" w:themeColor="text1"/>
          <w:spacing w:val="4"/>
          <w:sz w:val="22"/>
          <w:szCs w:val="22"/>
          <w:lang w:eastAsia="ja-JP"/>
        </w:rPr>
        <w:t>) (Fig.1) by spectroscopic data and compared to those reported in the literature.</w:t>
      </w:r>
    </w:p>
    <w:p w14:paraId="43E78CA5" w14:textId="77777777" w:rsidR="00F06D43" w:rsidRPr="005E6B7C" w:rsidRDefault="00F06D43"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sectPr w:rsidR="00F06D43" w:rsidRPr="005E6B7C" w:rsidSect="00F06D43">
          <w:type w:val="continuous"/>
          <w:pgSz w:w="10773" w:h="15309" w:code="9"/>
          <w:pgMar w:top="907" w:right="851" w:bottom="1418" w:left="851" w:header="397" w:footer="851" w:gutter="0"/>
          <w:cols w:num="2" w:space="284"/>
          <w:docGrid w:linePitch="360"/>
        </w:sectPr>
      </w:pPr>
    </w:p>
    <w:p w14:paraId="250B764D" w14:textId="77777777" w:rsidR="00953D71" w:rsidRPr="005E6B7C" w:rsidRDefault="00953D71"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p>
    <w:p w14:paraId="43C63214" w14:textId="77777777" w:rsidR="00E049CB" w:rsidRPr="005E6B7C" w:rsidRDefault="00835D1F" w:rsidP="008C0D47">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object w:dxaOrig="10104" w:dyaOrig="3914" w14:anchorId="065C61D9">
          <v:shape id="_x0000_i1029" type="#_x0000_t75" style="width:424.35pt;height:164.2pt" o:ole="">
            <v:imagedata r:id="rId33" o:title=""/>
          </v:shape>
          <o:OLEObject Type="Embed" ProgID="ChemDraw.Document.6.0" ShapeID="_x0000_i1029" DrawAspect="Content" ObjectID="_1836572951" r:id="rId34"/>
        </w:object>
      </w:r>
    </w:p>
    <w:p w14:paraId="257BF565" w14:textId="77777777" w:rsidR="00E049CB" w:rsidRPr="005E6B7C" w:rsidRDefault="00E049CB" w:rsidP="008C0D47">
      <w:pPr>
        <w:tabs>
          <w:tab w:val="left" w:pos="270"/>
          <w:tab w:val="left" w:pos="540"/>
          <w:tab w:val="left" w:pos="9270"/>
        </w:tabs>
        <w:spacing w:before="120"/>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Fig. 1.</w:t>
      </w:r>
      <w:r w:rsidRPr="005E6B7C">
        <w:rPr>
          <w:rFonts w:asciiTheme="majorHAnsi" w:eastAsia="Yu Mincho" w:hAnsiTheme="majorHAnsi" w:cstheme="majorHAnsi"/>
          <w:color w:val="000000" w:themeColor="text1"/>
          <w:sz w:val="18"/>
          <w:szCs w:val="18"/>
          <w:lang w:eastAsia="ja-JP"/>
        </w:rPr>
        <w:t xml:space="preserve"> Chemical structures of compounds </w:t>
      </w:r>
      <w:r w:rsidRPr="005E6B7C">
        <w:rPr>
          <w:rFonts w:asciiTheme="majorHAnsi" w:eastAsia="Yu Mincho" w:hAnsiTheme="majorHAnsi" w:cstheme="majorHAnsi"/>
          <w:b/>
          <w:color w:val="000000" w:themeColor="text1"/>
          <w:sz w:val="18"/>
          <w:szCs w:val="18"/>
          <w:lang w:eastAsia="ja-JP"/>
        </w:rPr>
        <w:t>1-6</w:t>
      </w:r>
    </w:p>
    <w:p w14:paraId="1F81EC26" w14:textId="77777777" w:rsidR="00835D1F" w:rsidRPr="005E6B7C" w:rsidRDefault="00835D1F" w:rsidP="008C0D47">
      <w:pPr>
        <w:tabs>
          <w:tab w:val="left" w:pos="270"/>
          <w:tab w:val="left" w:pos="540"/>
          <w:tab w:val="left" w:pos="9270"/>
        </w:tabs>
        <w:spacing w:line="240" w:lineRule="exact"/>
        <w:ind w:firstLine="284"/>
        <w:jc w:val="both"/>
        <w:rPr>
          <w:rFonts w:asciiTheme="majorHAnsi" w:eastAsia="Times New Roman" w:hAnsiTheme="majorHAnsi" w:cstheme="majorHAnsi"/>
          <w:b/>
          <w:bCs/>
          <w:color w:val="000000" w:themeColor="text1"/>
          <w:sz w:val="22"/>
          <w:szCs w:val="22"/>
          <w:lang w:eastAsia="ja-JP"/>
        </w:rPr>
        <w:sectPr w:rsidR="00835D1F" w:rsidRPr="005E6B7C" w:rsidSect="002206BB">
          <w:type w:val="continuous"/>
          <w:pgSz w:w="10773" w:h="15309" w:code="9"/>
          <w:pgMar w:top="907" w:right="851" w:bottom="1418" w:left="851" w:header="397" w:footer="851" w:gutter="0"/>
          <w:cols w:space="284"/>
          <w:docGrid w:linePitch="360"/>
        </w:sectPr>
      </w:pPr>
    </w:p>
    <w:p w14:paraId="564D3A1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lastRenderedPageBreak/>
        <w:t>2. Experimental</w:t>
      </w:r>
    </w:p>
    <w:p w14:paraId="6BBA0E0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2.1. Materials and chemicals</w:t>
      </w:r>
    </w:p>
    <w:p w14:paraId="5BB8C03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pacing w:val="2"/>
          <w:sz w:val="22"/>
          <w:szCs w:val="22"/>
          <w:lang w:eastAsia="ja-JP"/>
        </w:rPr>
      </w:pPr>
      <w:r w:rsidRPr="005E6B7C">
        <w:rPr>
          <w:rFonts w:asciiTheme="majorHAnsi" w:eastAsia="Times New Roman" w:hAnsiTheme="majorHAnsi" w:cstheme="majorHAnsi"/>
          <w:color w:val="000000" w:themeColor="text1"/>
          <w:spacing w:val="2"/>
          <w:sz w:val="22"/>
          <w:szCs w:val="22"/>
          <w:lang w:eastAsia="ja-JP"/>
        </w:rPr>
        <w:t xml:space="preserve">The rhizomes of </w:t>
      </w:r>
      <w:r w:rsidRPr="005E6B7C">
        <w:rPr>
          <w:rFonts w:asciiTheme="majorHAnsi" w:eastAsia="Times New Roman" w:hAnsiTheme="majorHAnsi" w:cstheme="majorHAnsi"/>
          <w:i/>
          <w:color w:val="000000" w:themeColor="text1"/>
          <w:spacing w:val="2"/>
          <w:sz w:val="22"/>
          <w:szCs w:val="22"/>
          <w:lang w:eastAsia="ja-JP"/>
        </w:rPr>
        <w:t>Acorus gramineus</w:t>
      </w:r>
      <w:r w:rsidRPr="005E6B7C">
        <w:rPr>
          <w:rFonts w:asciiTheme="majorHAnsi" w:eastAsia="Times New Roman" w:hAnsiTheme="majorHAnsi" w:cstheme="majorHAnsi"/>
          <w:color w:val="000000" w:themeColor="text1"/>
          <w:spacing w:val="2"/>
          <w:sz w:val="22"/>
          <w:szCs w:val="22"/>
          <w:lang w:eastAsia="ja-JP"/>
        </w:rPr>
        <w:t xml:space="preserve"> Aiton. (Acoraceae) were collected in Hoa Binh province in December 2024 for the isolation of the endophytic fungus strains. The voucher specimen of endophytic fungus strain (KN15.122024.HB) was deposited at the School of Pharmacy, University of Medicine and Pharmacy at Ho Chi Minh City (UMP), Vietnam. The solvents were used for isolation and extraction, including ethyl acetate and methanol (Thermo Fisher Scientific, USA).</w:t>
      </w:r>
    </w:p>
    <w:p w14:paraId="59B2D51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2.2. General experimental procedures</w:t>
      </w:r>
    </w:p>
    <w:p w14:paraId="3CA6E99E" w14:textId="6D4B52FF" w:rsidR="00E049CB" w:rsidRPr="005E6B7C" w:rsidRDefault="00894500"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Silica gel</w:t>
      </w:r>
      <w:r w:rsidR="00E049CB" w:rsidRPr="005E6B7C">
        <w:rPr>
          <w:rFonts w:asciiTheme="majorHAnsi" w:eastAsia="Yu Mincho" w:hAnsiTheme="majorHAnsi" w:cstheme="majorHAnsi"/>
          <w:color w:val="000000" w:themeColor="text1"/>
          <w:sz w:val="22"/>
          <w:szCs w:val="22"/>
          <w:lang w:eastAsia="ja-JP"/>
        </w:rPr>
        <w:t xml:space="preserve"> (40-63 </w:t>
      </w:r>
      <w:r w:rsidR="00266B26" w:rsidRPr="005E6B7C">
        <w:rPr>
          <w:rFonts w:asciiTheme="majorHAnsi" w:eastAsia="Yu Mincho" w:hAnsiTheme="majorHAnsi" w:cstheme="majorHAnsi"/>
          <w:i/>
          <w:iCs/>
          <w:color w:val="000000" w:themeColor="text1"/>
          <w:sz w:val="22"/>
          <w:szCs w:val="22"/>
          <w:lang w:eastAsia="ja-JP"/>
        </w:rPr>
        <w:t>µ</w:t>
      </w:r>
      <w:r w:rsidR="00E049CB" w:rsidRPr="005E6B7C">
        <w:rPr>
          <w:rFonts w:asciiTheme="majorHAnsi" w:eastAsia="Yu Mincho" w:hAnsiTheme="majorHAnsi" w:cstheme="majorHAnsi"/>
          <w:color w:val="000000" w:themeColor="text1"/>
          <w:sz w:val="22"/>
          <w:szCs w:val="22"/>
          <w:lang w:eastAsia="ja-JP"/>
        </w:rPr>
        <w:t xml:space="preserve">m, Merck) and Sephadex LH-20 (GE Healthcare, Sweden) were used for column chromatography (CC). TLC was performed using normal phase </w:t>
      </w:r>
      <w:r w:rsidRPr="005E6B7C">
        <w:rPr>
          <w:rFonts w:asciiTheme="majorHAnsi" w:eastAsia="Yu Mincho" w:hAnsiTheme="majorHAnsi" w:cstheme="majorHAnsi"/>
          <w:i/>
          <w:iCs/>
          <w:color w:val="000000" w:themeColor="text1"/>
          <w:sz w:val="22"/>
          <w:szCs w:val="22"/>
          <w:lang w:eastAsia="ja-JP"/>
        </w:rPr>
        <w:t>silica gel</w:t>
      </w:r>
      <w:r w:rsidR="00E049CB" w:rsidRPr="005E6B7C">
        <w:rPr>
          <w:rFonts w:asciiTheme="majorHAnsi" w:eastAsia="Yu Mincho" w:hAnsiTheme="majorHAnsi" w:cstheme="majorHAnsi"/>
          <w:color w:val="000000" w:themeColor="text1"/>
          <w:sz w:val="22"/>
          <w:szCs w:val="22"/>
          <w:lang w:eastAsia="ja-JP"/>
        </w:rPr>
        <w:t xml:space="preserve"> 60 F</w:t>
      </w:r>
      <w:r w:rsidR="00E049CB" w:rsidRPr="005E6B7C">
        <w:rPr>
          <w:rFonts w:asciiTheme="majorHAnsi" w:eastAsia="Yu Mincho" w:hAnsiTheme="majorHAnsi" w:cstheme="majorHAnsi"/>
          <w:color w:val="000000" w:themeColor="text1"/>
          <w:sz w:val="22"/>
          <w:szCs w:val="22"/>
          <w:vertAlign w:val="subscript"/>
          <w:lang w:eastAsia="ja-JP"/>
        </w:rPr>
        <w:t>254</w:t>
      </w:r>
      <w:r w:rsidR="00E049CB" w:rsidRPr="005E6B7C">
        <w:rPr>
          <w:rFonts w:asciiTheme="majorHAnsi" w:eastAsia="Yu Mincho" w:hAnsiTheme="majorHAnsi" w:cstheme="majorHAnsi"/>
          <w:color w:val="000000" w:themeColor="text1"/>
          <w:sz w:val="22"/>
          <w:szCs w:val="22"/>
          <w:lang w:eastAsia="ja-JP"/>
        </w:rPr>
        <w:t xml:space="preserve"> plates (Merck). Spots were detected by UV and 5% vanillin-sulfuric acid/absolute ethanol. ESI-MS spectra were obtained from a Xevo G2-XS QTOF mass spectrometer (Waters, USA). NMR spectra were measured on a JEOL 400 MHz spectrometer (Japan), using TMS as an internal standard. NMR solvents were purchased from Sigma-Aldrich (USA). Microorganisms were manipulated under sterile conditions in an Esco AVC-4A1 class III biological safety cabinet.</w:t>
      </w:r>
    </w:p>
    <w:p w14:paraId="6A5D26B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 xml:space="preserve">Fungal Isolation and </w:t>
      </w:r>
      <w:r w:rsidRPr="005E6B7C">
        <w:rPr>
          <w:rFonts w:asciiTheme="majorHAnsi" w:eastAsia="Yu Mincho" w:hAnsiTheme="majorHAnsi" w:cstheme="majorHAnsi"/>
          <w:b/>
          <w:bCs/>
          <w:color w:val="000000" w:themeColor="text1"/>
          <w:sz w:val="22"/>
          <w:szCs w:val="22"/>
          <w:lang w:eastAsia="ja-JP"/>
        </w:rPr>
        <w:t>Scale-Up Cultivation</w:t>
      </w:r>
    </w:p>
    <w:p w14:paraId="12A23B68" w14:textId="63830776"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rhizome of </w:t>
      </w:r>
      <w:r w:rsidRPr="005E6B7C">
        <w:rPr>
          <w:rFonts w:asciiTheme="majorHAnsi" w:eastAsia="Yu Mincho" w:hAnsiTheme="majorHAnsi" w:cstheme="majorHAnsi"/>
          <w:i/>
          <w:color w:val="000000" w:themeColor="text1"/>
          <w:sz w:val="22"/>
          <w:szCs w:val="22"/>
          <w:lang w:eastAsia="ja-JP"/>
        </w:rPr>
        <w:t>Acorus gramineus</w:t>
      </w:r>
      <w:r w:rsidRPr="005E6B7C">
        <w:rPr>
          <w:rFonts w:asciiTheme="majorHAnsi" w:eastAsia="Yu Mincho" w:hAnsiTheme="majorHAnsi" w:cstheme="majorHAnsi"/>
          <w:color w:val="000000" w:themeColor="text1"/>
          <w:sz w:val="22"/>
          <w:szCs w:val="22"/>
          <w:lang w:eastAsia="ja-JP"/>
        </w:rPr>
        <w:t xml:space="preserve"> was washed with reverse osmosis water, then treated with 7% Javel (3 min), 70% ethanol (3 min) before being used to isolate the endophytic fung</w:t>
      </w:r>
      <w:r w:rsidR="00416540" w:rsidRPr="005E6B7C">
        <w:rPr>
          <w:rFonts w:asciiTheme="majorHAnsi" w:eastAsia="Yu Mincho" w:hAnsiTheme="majorHAnsi" w:cstheme="majorHAnsi"/>
          <w:color w:val="000000" w:themeColor="text1"/>
          <w:sz w:val="22"/>
          <w:szCs w:val="22"/>
          <w:lang w:eastAsia="ja-JP"/>
        </w:rPr>
        <w:t>al</w:t>
      </w:r>
      <w:r w:rsidRPr="005E6B7C">
        <w:rPr>
          <w:rFonts w:asciiTheme="majorHAnsi" w:eastAsia="Yu Mincho" w:hAnsiTheme="majorHAnsi" w:cstheme="majorHAnsi"/>
          <w:color w:val="000000" w:themeColor="text1"/>
          <w:sz w:val="22"/>
          <w:szCs w:val="22"/>
          <w:lang w:eastAsia="ja-JP"/>
        </w:rPr>
        <w:t xml:space="preserve"> strains. The fung</w:t>
      </w:r>
      <w:r w:rsidR="00416540" w:rsidRPr="005E6B7C">
        <w:rPr>
          <w:rFonts w:asciiTheme="majorHAnsi" w:eastAsia="Yu Mincho" w:hAnsiTheme="majorHAnsi" w:cstheme="majorHAnsi"/>
          <w:color w:val="000000" w:themeColor="text1"/>
          <w:sz w:val="22"/>
          <w:szCs w:val="22"/>
          <w:lang w:eastAsia="ja-JP"/>
        </w:rPr>
        <w:t>al</w:t>
      </w:r>
      <w:r w:rsidRPr="005E6B7C">
        <w:rPr>
          <w:rFonts w:asciiTheme="majorHAnsi" w:eastAsia="Yu Mincho" w:hAnsiTheme="majorHAnsi" w:cstheme="majorHAnsi"/>
          <w:color w:val="000000" w:themeColor="text1"/>
          <w:sz w:val="22"/>
          <w:szCs w:val="22"/>
          <w:lang w:eastAsia="ja-JP"/>
        </w:rPr>
        <w:t xml:space="preserve"> strain isolation procedure was followed as our previous protocol [9]. The potato dextrose agar-PDA (with chloramphenicol 25 mg/L) was used to isolate and investigate the growth ability of endogenous fungi. The fungi</w:t>
      </w:r>
      <w:r w:rsidR="00416540" w:rsidRPr="005E6B7C">
        <w:rPr>
          <w:rFonts w:asciiTheme="majorHAnsi" w:eastAsia="Yu Mincho" w:hAnsiTheme="majorHAnsi" w:cstheme="majorHAnsi"/>
          <w:color w:val="000000" w:themeColor="text1"/>
          <w:sz w:val="22"/>
          <w:szCs w:val="22"/>
          <w:lang w:eastAsia="ja-JP"/>
        </w:rPr>
        <w:t>al</w:t>
      </w:r>
      <w:r w:rsidRPr="005E6B7C">
        <w:rPr>
          <w:rFonts w:asciiTheme="majorHAnsi" w:eastAsia="Yu Mincho" w:hAnsiTheme="majorHAnsi" w:cstheme="majorHAnsi"/>
          <w:color w:val="000000" w:themeColor="text1"/>
          <w:sz w:val="22"/>
          <w:szCs w:val="22"/>
          <w:lang w:eastAsia="ja-JP"/>
        </w:rPr>
        <w:t xml:space="preserve"> strain was identified based on the microscopic morphology characteristics with lactophenol cotton blue (LPCB) and DNA sequencing based on the modified Sanger method [10],[11]. </w:t>
      </w:r>
    </w:p>
    <w:p w14:paraId="74CDB5D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fungus was cultivated on 22 L of PDA agar at room temperature for 30 days. The agar and fungal mycelia were then harvested and extracted with EtOAc (30 L). The combined organic phase and water layer were filtered and concentrated </w:t>
      </w:r>
      <w:r w:rsidRPr="005E6B7C">
        <w:rPr>
          <w:rFonts w:asciiTheme="majorHAnsi" w:eastAsia="Yu Mincho" w:hAnsiTheme="majorHAnsi" w:cstheme="majorHAnsi"/>
          <w:i/>
          <w:color w:val="000000" w:themeColor="text1"/>
          <w:sz w:val="22"/>
          <w:szCs w:val="22"/>
          <w:lang w:eastAsia="ja-JP"/>
        </w:rPr>
        <w:t xml:space="preserve">in vacuo </w:t>
      </w:r>
      <w:r w:rsidRPr="005E6B7C">
        <w:rPr>
          <w:rFonts w:asciiTheme="majorHAnsi" w:eastAsia="Yu Mincho" w:hAnsiTheme="majorHAnsi" w:cstheme="majorHAnsi"/>
          <w:color w:val="000000" w:themeColor="text1"/>
          <w:sz w:val="22"/>
          <w:szCs w:val="22"/>
          <w:lang w:eastAsia="ja-JP"/>
        </w:rPr>
        <w:t>at 40 °C to yield the EtOAc extract (PSEA, 35 g).</w:t>
      </w:r>
    </w:p>
    <w:p w14:paraId="12C691C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2.3. Extraction and isolation</w:t>
      </w:r>
    </w:p>
    <w:p w14:paraId="66D3B65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EtOAc extract (30 g) was separated into 11 fractions (PSEA1 to PSEA11) by reversed 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w:t>
      </w:r>
      <w:r w:rsidRPr="005E6B7C">
        <w:rPr>
          <w:rFonts w:asciiTheme="majorHAnsi" w:eastAsia="Yu Mincho" w:hAnsiTheme="majorHAnsi" w:cstheme="majorHAnsi"/>
          <w:color w:val="000000" w:themeColor="text1"/>
          <w:sz w:val="22"/>
          <w:szCs w:val="22"/>
          <w:vertAlign w:val="subscript"/>
          <w:lang w:eastAsia="ja-JP"/>
        </w:rPr>
        <w:t>18</w:t>
      </w:r>
      <w:r w:rsidRPr="005E6B7C">
        <w:rPr>
          <w:rFonts w:asciiTheme="majorHAnsi" w:eastAsia="Yu Mincho" w:hAnsiTheme="majorHAnsi" w:cstheme="majorHAnsi"/>
          <w:color w:val="000000" w:themeColor="text1"/>
          <w:sz w:val="22"/>
          <w:szCs w:val="22"/>
          <w:lang w:eastAsia="ja-JP"/>
        </w:rPr>
        <w:t xml:space="preserve"> VLC using a linear gradient elution of MeOH </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(0:100, 25:75, 50:50, 75:25, and </w:t>
      </w:r>
      <w:r w:rsidRPr="005E6B7C">
        <w:rPr>
          <w:rFonts w:asciiTheme="majorHAnsi" w:eastAsia="Yu Mincho" w:hAnsiTheme="majorHAnsi" w:cstheme="majorHAnsi"/>
          <w:color w:val="000000" w:themeColor="text1"/>
          <w:sz w:val="22"/>
          <w:szCs w:val="22"/>
          <w:lang w:eastAsia="ja-JP"/>
        </w:rPr>
        <w:t>100:0). Fraction PSEA5 (2.48 g) was further separated by Sephadex LH-20 column chromatography (CC) and eluted with MeOH (100%) to give 3 sub-fractions (PSEA5.1 to PSEA5.3). Sub-fraction PSEA5.2 (167.6 mg) was continued to separate by preparative RP-HPLC (Phenomenex Luna C</w:t>
      </w:r>
      <w:r w:rsidRPr="005E6B7C">
        <w:rPr>
          <w:rFonts w:asciiTheme="majorHAnsi" w:eastAsia="Yu Mincho" w:hAnsiTheme="majorHAnsi" w:cstheme="majorHAnsi"/>
          <w:color w:val="000000" w:themeColor="text1"/>
          <w:sz w:val="22"/>
          <w:szCs w:val="22"/>
          <w:vertAlign w:val="subscript"/>
          <w:lang w:eastAsia="ja-JP"/>
        </w:rPr>
        <w:t>18</w:t>
      </w:r>
      <w:r w:rsidRPr="005E6B7C">
        <w:rPr>
          <w:rFonts w:asciiTheme="majorHAnsi" w:eastAsia="Yu Mincho" w:hAnsiTheme="majorHAnsi" w:cstheme="majorHAnsi"/>
          <w:color w:val="000000" w:themeColor="text1"/>
          <w:sz w:val="22"/>
          <w:szCs w:val="22"/>
          <w:lang w:eastAsia="ja-JP"/>
        </w:rPr>
        <w:t xml:space="preserve">, 250 </w:t>
      </w:r>
      <w:r w:rsidRPr="005E6B7C">
        <w:rPr>
          <w:rFonts w:asciiTheme="majorHAnsi" w:eastAsia="Symbol" w:hAnsiTheme="majorHAnsi" w:cstheme="majorHAnsi"/>
          <w:color w:val="000000" w:themeColor="text1"/>
          <w:sz w:val="22"/>
          <w:szCs w:val="22"/>
          <w:lang w:eastAsia="ja-JP"/>
        </w:rPr>
        <w:sym w:font="Symbol" w:char="F0B4"/>
      </w:r>
      <w:r w:rsidRPr="005E6B7C">
        <w:rPr>
          <w:rFonts w:asciiTheme="majorHAnsi" w:eastAsia="Yu Mincho" w:hAnsiTheme="majorHAnsi" w:cstheme="majorHAnsi"/>
          <w:color w:val="000000" w:themeColor="text1"/>
          <w:sz w:val="22"/>
          <w:szCs w:val="22"/>
          <w:lang w:eastAsia="ja-JP"/>
        </w:rPr>
        <w:t xml:space="preserve"> 10 mm, 5 </w:t>
      </w:r>
      <w:r w:rsidRPr="005E6B7C">
        <w:rPr>
          <w:rFonts w:asciiTheme="majorHAnsi" w:eastAsia="Symbol" w:hAnsiTheme="majorHAnsi" w:cstheme="majorHAnsi"/>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m, 2 mL/min) with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CN-H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(32:68, </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 xml:space="preserve">) to obtain compounds </w:t>
      </w:r>
      <w:r w:rsidRPr="005E6B7C">
        <w:rPr>
          <w:rFonts w:asciiTheme="majorHAnsi" w:eastAsia="Yu Mincho" w:hAnsiTheme="majorHAnsi" w:cstheme="majorHAnsi"/>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(7.0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=23.4 min) and </w:t>
      </w:r>
      <w:r w:rsidRPr="005E6B7C">
        <w:rPr>
          <w:rFonts w:asciiTheme="majorHAnsi" w:eastAsia="Yu Mincho" w:hAnsiTheme="majorHAnsi" w:cstheme="majorHAnsi"/>
          <w:bCs/>
          <w:color w:val="000000" w:themeColor="text1"/>
          <w:sz w:val="22"/>
          <w:szCs w:val="22"/>
          <w:lang w:eastAsia="ja-JP"/>
        </w:rPr>
        <w:t xml:space="preserve">2 </w:t>
      </w:r>
      <w:r w:rsidRPr="005E6B7C">
        <w:rPr>
          <w:rFonts w:asciiTheme="majorHAnsi" w:eastAsia="Yu Mincho" w:hAnsiTheme="majorHAnsi" w:cstheme="majorHAnsi"/>
          <w:color w:val="000000" w:themeColor="text1"/>
          <w:sz w:val="22"/>
          <w:szCs w:val="22"/>
          <w:lang w:eastAsia="ja-JP"/>
        </w:rPr>
        <w:t xml:space="preserve">(6.8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=22.2 min). Fraction PSEA8 (787 mg) was separated into 4 fractions (PSEA8.1 to PSEA8.4) by Sephadex LH-20 CC (MeOH 100%). Sub-fraction PSEA8.3 (108.5 mg) was continued to be separated by semi-preparative HPLC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CN-H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50:50, </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 xml:space="preserve">, 2 mL/min) to yield compound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(96.9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color w:val="000000" w:themeColor="text1"/>
          <w:sz w:val="22"/>
          <w:szCs w:val="22"/>
          <w:vertAlign w:val="subscript"/>
          <w:lang w:eastAsia="ja-JP"/>
        </w:rPr>
        <w:t>R</w:t>
      </w:r>
      <w:r w:rsidRPr="005E6B7C">
        <w:rPr>
          <w:rFonts w:asciiTheme="majorHAnsi" w:eastAsia="Yu Mincho" w:hAnsiTheme="majorHAnsi" w:cstheme="majorHAnsi"/>
          <w:color w:val="000000" w:themeColor="text1"/>
          <w:sz w:val="22"/>
          <w:szCs w:val="22"/>
          <w:lang w:eastAsia="ja-JP"/>
        </w:rPr>
        <w:t xml:space="preserve"> = 40.5 min).</w:t>
      </w:r>
    </w:p>
    <w:p w14:paraId="63071E2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Fraction PSEA10 (1.67 g) was separated into 4 fractions (PSEA10.1 to PSEA10.4) by Sephadex LH-20 CC (MeOH 100%). Sub-fraction PSEA10.3 (258 mg) was continued to separate by semi-preparative HPLC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CN-H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O, 64:36, </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v</w:t>
      </w:r>
      <w:r w:rsidRPr="005E6B7C">
        <w:rPr>
          <w:rFonts w:asciiTheme="majorHAnsi" w:eastAsia="Yu Mincho" w:hAnsiTheme="majorHAnsi" w:cstheme="majorHAnsi"/>
          <w:color w:val="000000" w:themeColor="text1"/>
          <w:sz w:val="22"/>
          <w:szCs w:val="22"/>
          <w:lang w:eastAsia="ja-JP"/>
        </w:rPr>
        <w:t xml:space="preserve">, 2 mL/min) to yield compounds </w:t>
      </w:r>
      <w:r w:rsidRPr="005E6B7C">
        <w:rPr>
          <w:rFonts w:asciiTheme="majorHAnsi" w:eastAsia="Yu Mincho" w:hAnsiTheme="majorHAnsi" w:cstheme="majorHAnsi"/>
          <w:b/>
          <w:color w:val="000000" w:themeColor="text1"/>
          <w:lang w:eastAsia="ja-JP"/>
        </w:rPr>
        <w:t>4</w:t>
      </w:r>
      <w:r w:rsidRPr="005E6B7C">
        <w:rPr>
          <w:rFonts w:asciiTheme="majorHAnsi" w:eastAsia="Yu Mincho" w:hAnsiTheme="majorHAnsi" w:cstheme="majorHAnsi"/>
          <w:color w:val="000000" w:themeColor="text1"/>
          <w:sz w:val="22"/>
          <w:szCs w:val="22"/>
          <w:lang w:eastAsia="ja-JP"/>
        </w:rPr>
        <w:t xml:space="preserve"> (9.1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iCs/>
          <w:color w:val="000000" w:themeColor="text1"/>
          <w:sz w:val="22"/>
          <w:szCs w:val="22"/>
          <w:vertAlign w:val="subscript"/>
          <w:lang w:eastAsia="ja-JP"/>
        </w:rPr>
        <w:t>R</w:t>
      </w:r>
      <w:r w:rsidRPr="005E6B7C">
        <w:rPr>
          <w:rFonts w:asciiTheme="majorHAnsi" w:eastAsia="Yu Mincho" w:hAnsiTheme="majorHAnsi" w:cstheme="majorHAnsi"/>
          <w:iCs/>
          <w:color w:val="000000" w:themeColor="text1"/>
          <w:sz w:val="22"/>
          <w:szCs w:val="22"/>
          <w:lang w:eastAsia="ja-JP"/>
        </w:rPr>
        <w:t xml:space="preserve"> = 24.8 min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(20.1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iCs/>
          <w:color w:val="000000" w:themeColor="text1"/>
          <w:sz w:val="22"/>
          <w:szCs w:val="22"/>
          <w:vertAlign w:val="subscript"/>
          <w:lang w:eastAsia="ja-JP"/>
        </w:rPr>
        <w:t>R</w:t>
      </w:r>
      <w:r w:rsidRPr="005E6B7C">
        <w:rPr>
          <w:rFonts w:asciiTheme="majorHAnsi" w:eastAsia="Yu Mincho" w:hAnsiTheme="majorHAnsi" w:cstheme="majorHAnsi"/>
          <w:iCs/>
          <w:color w:val="000000" w:themeColor="text1"/>
          <w:sz w:val="22"/>
          <w:szCs w:val="22"/>
          <w:lang w:eastAsia="ja-JP"/>
        </w:rPr>
        <w:t xml:space="preserve"> = 40.8 min</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(61 mg, </w:t>
      </w:r>
      <w:r w:rsidRPr="005E6B7C">
        <w:rPr>
          <w:rFonts w:asciiTheme="majorHAnsi" w:eastAsia="Yu Mincho" w:hAnsiTheme="majorHAnsi" w:cstheme="majorHAnsi"/>
          <w:i/>
          <w:iCs/>
          <w:color w:val="000000" w:themeColor="text1"/>
          <w:sz w:val="22"/>
          <w:szCs w:val="22"/>
          <w:lang w:eastAsia="ja-JP"/>
        </w:rPr>
        <w:t>t</w:t>
      </w:r>
      <w:r w:rsidRPr="005E6B7C">
        <w:rPr>
          <w:rFonts w:asciiTheme="majorHAnsi" w:eastAsia="Yu Mincho" w:hAnsiTheme="majorHAnsi" w:cstheme="majorHAnsi"/>
          <w:iCs/>
          <w:color w:val="000000" w:themeColor="text1"/>
          <w:sz w:val="22"/>
          <w:szCs w:val="22"/>
          <w:vertAlign w:val="subscript"/>
          <w:lang w:eastAsia="ja-JP"/>
        </w:rPr>
        <w:t>R</w:t>
      </w:r>
      <w:r w:rsidRPr="005E6B7C">
        <w:rPr>
          <w:rFonts w:asciiTheme="majorHAnsi" w:eastAsia="Yu Mincho" w:hAnsiTheme="majorHAnsi" w:cstheme="majorHAnsi"/>
          <w:iCs/>
          <w:color w:val="000000" w:themeColor="text1"/>
          <w:sz w:val="22"/>
          <w:szCs w:val="22"/>
          <w:lang w:eastAsia="ja-JP"/>
        </w:rPr>
        <w:t xml:space="preserve"> = 62.3 min</w:t>
      </w:r>
      <w:r w:rsidRPr="005E6B7C">
        <w:rPr>
          <w:rFonts w:asciiTheme="majorHAnsi" w:eastAsia="Yu Mincho" w:hAnsiTheme="majorHAnsi" w:cstheme="majorHAnsi"/>
          <w:color w:val="000000" w:themeColor="text1"/>
          <w:sz w:val="22"/>
          <w:szCs w:val="22"/>
          <w:lang w:eastAsia="ja-JP"/>
        </w:rPr>
        <w:t>), respectively.</w:t>
      </w:r>
    </w:p>
    <w:p w14:paraId="231C328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Peniazaphilones I (1):</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Yellowish oil. ESI-MS: </w:t>
      </w:r>
      <w:r w:rsidRPr="005E6B7C">
        <w:rPr>
          <w:rFonts w:asciiTheme="majorHAnsi" w:eastAsia="Yu Mincho" w:hAnsiTheme="majorHAnsi" w:cstheme="majorHAnsi"/>
          <w:i/>
          <w:iCs/>
          <w:color w:val="000000" w:themeColor="text1"/>
          <w:sz w:val="22"/>
          <w:szCs w:val="22"/>
          <w:lang w:eastAsia="ja-JP"/>
        </w:rPr>
        <w:t xml:space="preserve">m/z </w:t>
      </w:r>
      <w:r w:rsidRPr="005E6B7C">
        <w:rPr>
          <w:rFonts w:asciiTheme="majorHAnsi" w:eastAsia="Yu Mincho" w:hAnsiTheme="majorHAnsi" w:cstheme="majorHAnsi"/>
          <w:color w:val="000000" w:themeColor="text1"/>
          <w:sz w:val="22"/>
          <w:szCs w:val="22"/>
          <w:lang w:eastAsia="ja-JP"/>
        </w:rPr>
        <w:t>403.1563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27</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 xml:space="preserve">Cl.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are shown in Table 1 and Supplementary Information Table S1-S2.</w:t>
      </w:r>
    </w:p>
    <w:p w14:paraId="0BCC4582" w14:textId="77777777" w:rsidR="00E049CB" w:rsidRPr="005E6B7C" w:rsidRDefault="00E049CB" w:rsidP="008C0D47">
      <w:pPr>
        <w:tabs>
          <w:tab w:val="left" w:pos="270"/>
          <w:tab w:val="left" w:pos="540"/>
          <w:tab w:val="left" w:pos="1134"/>
          <w:tab w:val="left" w:pos="4536"/>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11-Epi-geumsanol F</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b/>
          <w:i/>
          <w:iCs/>
          <w:color w:val="000000" w:themeColor="text1"/>
          <w:sz w:val="22"/>
          <w:szCs w:val="22"/>
          <w:lang w:eastAsia="ja-JP"/>
        </w:rPr>
        <w:t>(2)</w:t>
      </w:r>
      <w:r w:rsidRPr="005E6B7C">
        <w:rPr>
          <w:rFonts w:asciiTheme="majorHAnsi" w:eastAsia="Yu Mincho" w:hAnsiTheme="majorHAnsi" w:cstheme="majorHAnsi"/>
          <w: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Yellowish oil, ESI-MS:</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Times New Roman" w:hAnsiTheme="majorHAnsi" w:cstheme="majorHAnsi"/>
          <w:i/>
          <w:iCs/>
          <w:color w:val="000000" w:themeColor="text1"/>
          <w:sz w:val="22"/>
          <w:szCs w:val="22"/>
          <w:lang w:eastAsia="ja-JP"/>
        </w:rPr>
        <w:t>m/z</w:t>
      </w:r>
      <w:r w:rsidRPr="005E6B7C">
        <w:rPr>
          <w:rFonts w:asciiTheme="majorHAnsi" w:eastAsia="Times New Roman" w:hAnsiTheme="majorHAnsi" w:cstheme="majorHAnsi"/>
          <w:color w:val="000000" w:themeColor="text1"/>
          <w:sz w:val="22"/>
          <w:szCs w:val="22"/>
          <w:lang w:eastAsia="ja-JP"/>
        </w:rPr>
        <w:t xml:space="preserve"> 385.1516 [M+H]</w:t>
      </w:r>
      <w:r w:rsidRPr="005E6B7C">
        <w:rPr>
          <w:rFonts w:asciiTheme="majorHAnsi" w:eastAsia="Times New Roman" w:hAnsiTheme="majorHAnsi" w:cstheme="majorHAnsi"/>
          <w:color w:val="000000" w:themeColor="text1"/>
          <w:sz w:val="22"/>
          <w:szCs w:val="22"/>
          <w:vertAlign w:val="superscript"/>
          <w:lang w:eastAsia="ja-JP"/>
        </w:rPr>
        <w:t>+</w:t>
      </w:r>
      <w:r w:rsidRPr="005E6B7C">
        <w:rPr>
          <w:rFonts w:asciiTheme="majorHAnsi" w:eastAsia="Times New Roman" w:hAnsiTheme="majorHAnsi" w:cstheme="majorHAnsi"/>
          <w:color w:val="000000" w:themeColor="text1"/>
          <w:sz w:val="22"/>
          <w:szCs w:val="22"/>
          <w:lang w:eastAsia="ja-JP"/>
        </w:rPr>
        <w:t>, C</w:t>
      </w:r>
      <w:r w:rsidRPr="005E6B7C">
        <w:rPr>
          <w:rFonts w:asciiTheme="majorHAnsi" w:eastAsia="Times New Roman" w:hAnsiTheme="majorHAnsi" w:cstheme="majorHAnsi"/>
          <w:color w:val="000000" w:themeColor="text1"/>
          <w:sz w:val="22"/>
          <w:szCs w:val="22"/>
          <w:vertAlign w:val="subscript"/>
          <w:lang w:eastAsia="ja-JP"/>
        </w:rPr>
        <w:t>19</w:t>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25</w:t>
      </w:r>
      <w:r w:rsidRPr="005E6B7C">
        <w:rPr>
          <w:rFonts w:asciiTheme="majorHAnsi" w:eastAsia="Times New Roman" w:hAnsiTheme="majorHAnsi" w:cstheme="majorHAnsi"/>
          <w:color w:val="000000" w:themeColor="text1"/>
          <w:sz w:val="22"/>
          <w:szCs w:val="22"/>
          <w:lang w:eastAsia="ja-JP"/>
        </w:rPr>
        <w:t>O</w:t>
      </w:r>
      <w:r w:rsidRPr="005E6B7C">
        <w:rPr>
          <w:rFonts w:asciiTheme="majorHAnsi" w:eastAsia="Times New Roman" w:hAnsiTheme="majorHAnsi" w:cstheme="majorHAnsi"/>
          <w:color w:val="000000" w:themeColor="text1"/>
          <w:sz w:val="22"/>
          <w:szCs w:val="22"/>
          <w:vertAlign w:val="subscript"/>
          <w:lang w:eastAsia="ja-JP"/>
        </w:rPr>
        <w:t>6</w:t>
      </w:r>
      <w:r w:rsidRPr="005E6B7C">
        <w:rPr>
          <w:rFonts w:asciiTheme="majorHAnsi" w:eastAsia="Times New Roman" w:hAnsiTheme="majorHAnsi" w:cstheme="majorHAnsi"/>
          <w:color w:val="000000" w:themeColor="text1"/>
          <w:sz w:val="22"/>
          <w:szCs w:val="22"/>
          <w:lang w:eastAsia="ja-JP"/>
        </w:rPr>
        <w:t xml:space="preserve">Cl.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are shown in Table 1 and Supplementary Information Table S1-S2.</w:t>
      </w:r>
    </w:p>
    <w:p w14:paraId="3693507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vi-VN"/>
        </w:rPr>
      </w:pPr>
      <w:r w:rsidRPr="005E6B7C">
        <w:rPr>
          <w:rFonts w:asciiTheme="majorHAnsi" w:eastAsia="Yu Mincho" w:hAnsiTheme="majorHAnsi" w:cstheme="majorHAnsi"/>
          <w:b/>
          <w:bCs/>
          <w:i/>
          <w:iCs/>
          <w:color w:val="000000" w:themeColor="text1"/>
          <w:sz w:val="22"/>
          <w:szCs w:val="22"/>
          <w:lang w:eastAsia="ja-JP"/>
        </w:rPr>
        <w:t>Sclerotioramine (3)</w:t>
      </w:r>
      <w:r w:rsidRPr="005E6B7C">
        <w:rPr>
          <w:rFonts w:asciiTheme="majorHAnsi" w:eastAsia="Yu Mincho" w:hAnsiTheme="majorHAnsi" w:cstheme="majorHAnsi"/>
          <w: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Orange-red amorphous powder. </w:t>
      </w:r>
      <w:r w:rsidRPr="005E6B7C">
        <w:rPr>
          <w:rFonts w:asciiTheme="majorHAnsi" w:eastAsia="Yu Mincho" w:hAnsiTheme="majorHAnsi" w:cstheme="majorHAnsi"/>
          <w:color w:val="000000" w:themeColor="text1"/>
          <w:sz w:val="22"/>
          <w:szCs w:val="22"/>
          <w:lang w:val="pl-PL" w:eastAsia="ja-JP"/>
        </w:rPr>
        <w:t xml:space="preserve">ESI-MS: </w:t>
      </w:r>
      <w:r w:rsidRPr="005E6B7C">
        <w:rPr>
          <w:rFonts w:asciiTheme="majorHAnsi" w:eastAsia="Yu Mincho" w:hAnsiTheme="majorHAnsi" w:cstheme="majorHAnsi"/>
          <w:i/>
          <w:iCs/>
          <w:color w:val="000000" w:themeColor="text1"/>
          <w:sz w:val="22"/>
          <w:szCs w:val="22"/>
          <w:lang w:val="pl-PL" w:eastAsia="ja-JP"/>
        </w:rPr>
        <w:t>m/z</w:t>
      </w:r>
      <w:r w:rsidRPr="005E6B7C">
        <w:rPr>
          <w:rFonts w:asciiTheme="majorHAnsi" w:eastAsia="Yu Mincho" w:hAnsiTheme="majorHAnsi" w:cstheme="majorHAnsi"/>
          <w:color w:val="000000" w:themeColor="text1"/>
          <w:sz w:val="22"/>
          <w:szCs w:val="22"/>
          <w:lang w:val="pl-PL" w:eastAsia="ja-JP"/>
        </w:rPr>
        <w:t xml:space="preserve"> 390</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l-PL" w:eastAsia="ja-JP"/>
        </w:rPr>
        <w:t>1579</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l-PL" w:eastAsia="ja-JP"/>
        </w:rPr>
        <w:t>[M+H]</w:t>
      </w:r>
      <w:r w:rsidRPr="005E6B7C">
        <w:rPr>
          <w:rFonts w:asciiTheme="majorHAnsi" w:eastAsia="Yu Mincho" w:hAnsiTheme="majorHAnsi" w:cstheme="majorHAnsi"/>
          <w:color w:val="000000" w:themeColor="text1"/>
          <w:sz w:val="22"/>
          <w:szCs w:val="22"/>
          <w:vertAlign w:val="superscript"/>
          <w:lang w:val="pl-PL" w:eastAsia="ja-JP"/>
        </w:rPr>
        <w:t>+</w:t>
      </w:r>
      <w:r w:rsidRPr="005E6B7C">
        <w:rPr>
          <w:rFonts w:asciiTheme="majorHAnsi" w:eastAsia="Yu Mincho" w:hAnsiTheme="majorHAnsi" w:cstheme="majorHAnsi"/>
          <w:color w:val="000000" w:themeColor="text1"/>
          <w:sz w:val="22"/>
          <w:szCs w:val="22"/>
          <w:lang w:val="pl-PL" w:eastAsia="ja-JP"/>
        </w:rPr>
        <w:t xml:space="preserve">, </w:t>
      </w:r>
      <w:r w:rsidRPr="005E6B7C">
        <w:rPr>
          <w:rFonts w:asciiTheme="majorHAnsi" w:eastAsia="Times New Roman" w:hAnsiTheme="majorHAnsi" w:cstheme="majorHAnsi"/>
          <w:color w:val="000000" w:themeColor="text1"/>
          <w:sz w:val="22"/>
          <w:szCs w:val="22"/>
          <w:lang w:val="pl-PL" w:eastAsia="vi-VN"/>
        </w:rPr>
        <w:t>C</w:t>
      </w:r>
      <w:r w:rsidRPr="005E6B7C">
        <w:rPr>
          <w:rFonts w:asciiTheme="majorHAnsi" w:eastAsia="Times New Roman" w:hAnsiTheme="majorHAnsi" w:cstheme="majorHAnsi"/>
          <w:color w:val="000000" w:themeColor="text1"/>
          <w:sz w:val="22"/>
          <w:szCs w:val="22"/>
          <w:vertAlign w:val="subscript"/>
          <w:lang w:val="pl-PL" w:eastAsia="vi-VN"/>
        </w:rPr>
        <w:t>21</w:t>
      </w:r>
      <w:r w:rsidRPr="005E6B7C">
        <w:rPr>
          <w:rFonts w:asciiTheme="majorHAnsi" w:eastAsia="Times New Roman" w:hAnsiTheme="majorHAnsi" w:cstheme="majorHAnsi"/>
          <w:color w:val="000000" w:themeColor="text1"/>
          <w:sz w:val="22"/>
          <w:szCs w:val="22"/>
          <w:lang w:val="pl-PL" w:eastAsia="vi-VN"/>
        </w:rPr>
        <w:t>H</w:t>
      </w:r>
      <w:r w:rsidRPr="005E6B7C">
        <w:rPr>
          <w:rFonts w:asciiTheme="majorHAnsi" w:eastAsia="Times New Roman" w:hAnsiTheme="majorHAnsi" w:cstheme="majorHAnsi"/>
          <w:color w:val="000000" w:themeColor="text1"/>
          <w:sz w:val="22"/>
          <w:szCs w:val="22"/>
          <w:vertAlign w:val="subscript"/>
          <w:lang w:val="pl-PL" w:eastAsia="vi-VN"/>
        </w:rPr>
        <w:t>24</w:t>
      </w:r>
      <w:r w:rsidRPr="005E6B7C">
        <w:rPr>
          <w:rFonts w:asciiTheme="majorHAnsi" w:eastAsia="Times New Roman" w:hAnsiTheme="majorHAnsi" w:cstheme="majorHAnsi"/>
          <w:color w:val="000000" w:themeColor="text1"/>
          <w:sz w:val="22"/>
          <w:szCs w:val="22"/>
          <w:lang w:val="pl-PL" w:eastAsia="vi-VN"/>
        </w:rPr>
        <w:t>O</w:t>
      </w:r>
      <w:r w:rsidRPr="005E6B7C">
        <w:rPr>
          <w:rFonts w:asciiTheme="majorHAnsi" w:eastAsia="Times New Roman" w:hAnsiTheme="majorHAnsi" w:cstheme="majorHAnsi"/>
          <w:color w:val="000000" w:themeColor="text1"/>
          <w:sz w:val="22"/>
          <w:szCs w:val="22"/>
          <w:vertAlign w:val="subscript"/>
          <w:lang w:val="pl-PL" w:eastAsia="vi-VN"/>
        </w:rPr>
        <w:t>4</w:t>
      </w:r>
      <w:r w:rsidRPr="005E6B7C">
        <w:rPr>
          <w:rFonts w:asciiTheme="majorHAnsi" w:eastAsia="Times New Roman" w:hAnsiTheme="majorHAnsi" w:cstheme="majorHAnsi"/>
          <w:color w:val="000000" w:themeColor="text1"/>
          <w:sz w:val="22"/>
          <w:szCs w:val="22"/>
          <w:lang w:val="pl-PL" w:eastAsia="vi-VN"/>
        </w:rPr>
        <w:t xml:space="preserve">NCl.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are shown in Table 1 and Supplementary Information Table S1-S2.</w:t>
      </w:r>
    </w:p>
    <w:p w14:paraId="4C83911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vi-VN"/>
        </w:rPr>
        <w:t xml:space="preserve">Epi-isochromophilone III </w:t>
      </w:r>
      <w:r w:rsidRPr="005E6B7C">
        <w:rPr>
          <w:rFonts w:asciiTheme="majorHAnsi" w:eastAsia="Yu Mincho" w:hAnsiTheme="majorHAnsi" w:cstheme="majorHAnsi"/>
          <w:b/>
          <w:bCs/>
          <w:i/>
          <w:i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vi-VN"/>
        </w:rPr>
        <w:t xml:space="preserve">Light yellowish-brown oil. </w:t>
      </w:r>
      <w:r w:rsidRPr="005E6B7C">
        <w:rPr>
          <w:rFonts w:asciiTheme="majorHAnsi" w:eastAsia="Yu Mincho" w:hAnsiTheme="majorHAnsi" w:cstheme="majorHAnsi"/>
          <w:color w:val="000000" w:themeColor="text1"/>
          <w:sz w:val="22"/>
          <w:szCs w:val="22"/>
          <w:lang w:val="pl-PL" w:eastAsia="vi-VN"/>
        </w:rPr>
        <w:t xml:space="preserve">ESI-MS: </w:t>
      </w:r>
      <w:r w:rsidRPr="005E6B7C">
        <w:rPr>
          <w:rFonts w:asciiTheme="majorHAnsi" w:eastAsia="Yu Mincho" w:hAnsiTheme="majorHAnsi" w:cstheme="majorHAnsi"/>
          <w:i/>
          <w:iCs/>
          <w:color w:val="000000" w:themeColor="text1"/>
          <w:sz w:val="22"/>
          <w:szCs w:val="22"/>
          <w:lang w:val="pl-PL" w:eastAsia="vi-VN"/>
        </w:rPr>
        <w:t>m/z</w:t>
      </w:r>
      <w:r w:rsidRPr="005E6B7C">
        <w:rPr>
          <w:rFonts w:asciiTheme="majorHAnsi" w:eastAsia="Yu Mincho" w:hAnsiTheme="majorHAnsi" w:cstheme="majorHAnsi"/>
          <w:color w:val="000000" w:themeColor="text1"/>
          <w:sz w:val="22"/>
          <w:szCs w:val="22"/>
          <w:lang w:val="pl-PL" w:eastAsia="vi-VN"/>
        </w:rPr>
        <w:t xml:space="preserve"> 353.1637 [M+H]</w:t>
      </w:r>
      <w:r w:rsidRPr="005E6B7C">
        <w:rPr>
          <w:rFonts w:asciiTheme="majorHAnsi" w:eastAsia="Yu Mincho" w:hAnsiTheme="majorHAnsi" w:cstheme="majorHAnsi"/>
          <w:color w:val="000000" w:themeColor="text1"/>
          <w:sz w:val="22"/>
          <w:szCs w:val="22"/>
          <w:vertAlign w:val="superscript"/>
          <w:lang w:val="pl-PL" w:eastAsia="vi-VN"/>
        </w:rPr>
        <w:t>+</w:t>
      </w:r>
      <w:r w:rsidRPr="005E6B7C">
        <w:rPr>
          <w:rFonts w:asciiTheme="majorHAnsi" w:eastAsia="Yu Mincho" w:hAnsiTheme="majorHAnsi" w:cstheme="majorHAnsi"/>
          <w:color w:val="000000" w:themeColor="text1"/>
          <w:sz w:val="22"/>
          <w:szCs w:val="22"/>
          <w:lang w:val="pl-PL" w:eastAsia="vi-VN"/>
        </w:rPr>
        <w:t>, C</w:t>
      </w:r>
      <w:r w:rsidRPr="005E6B7C">
        <w:rPr>
          <w:rFonts w:asciiTheme="majorHAnsi" w:eastAsia="Yu Mincho" w:hAnsiTheme="majorHAnsi" w:cstheme="majorHAnsi"/>
          <w:color w:val="000000" w:themeColor="text1"/>
          <w:sz w:val="22"/>
          <w:szCs w:val="22"/>
          <w:vertAlign w:val="subscript"/>
          <w:lang w:val="pl-PL" w:eastAsia="vi-VN"/>
        </w:rPr>
        <w:t>19</w:t>
      </w:r>
      <w:r w:rsidRPr="005E6B7C">
        <w:rPr>
          <w:rFonts w:asciiTheme="majorHAnsi" w:eastAsia="Yu Mincho" w:hAnsiTheme="majorHAnsi" w:cstheme="majorHAnsi"/>
          <w:color w:val="000000" w:themeColor="text1"/>
          <w:sz w:val="22"/>
          <w:szCs w:val="22"/>
          <w:lang w:val="pl-PL" w:eastAsia="vi-VN"/>
        </w:rPr>
        <w:t>H</w:t>
      </w:r>
      <w:r w:rsidRPr="005E6B7C">
        <w:rPr>
          <w:rFonts w:asciiTheme="majorHAnsi" w:eastAsia="Yu Mincho" w:hAnsiTheme="majorHAnsi" w:cstheme="majorHAnsi"/>
          <w:color w:val="000000" w:themeColor="text1"/>
          <w:sz w:val="22"/>
          <w:szCs w:val="22"/>
          <w:vertAlign w:val="subscript"/>
          <w:lang w:val="pt-BR" w:eastAsia="vi-VN"/>
        </w:rPr>
        <w:t>2</w:t>
      </w:r>
      <w:r w:rsidRPr="005E6B7C">
        <w:rPr>
          <w:rFonts w:asciiTheme="majorHAnsi" w:eastAsia="Yu Mincho" w:hAnsiTheme="majorHAnsi" w:cstheme="majorHAnsi"/>
          <w:color w:val="000000" w:themeColor="text1"/>
          <w:sz w:val="22"/>
          <w:szCs w:val="22"/>
          <w:vertAlign w:val="subscript"/>
          <w:lang w:val="pl-PL" w:eastAsia="vi-VN"/>
        </w:rPr>
        <w:t>5</w:t>
      </w:r>
      <w:r w:rsidRPr="005E6B7C">
        <w:rPr>
          <w:rFonts w:asciiTheme="majorHAnsi" w:eastAsia="Yu Mincho" w:hAnsiTheme="majorHAnsi" w:cstheme="majorHAnsi"/>
          <w:color w:val="000000" w:themeColor="text1"/>
          <w:sz w:val="22"/>
          <w:szCs w:val="22"/>
          <w:lang w:val="pl-PL" w:eastAsia="vi-VN"/>
        </w:rPr>
        <w:t>O</w:t>
      </w:r>
      <w:r w:rsidRPr="005E6B7C">
        <w:rPr>
          <w:rFonts w:asciiTheme="majorHAnsi" w:eastAsia="Yu Mincho" w:hAnsiTheme="majorHAnsi" w:cstheme="majorHAnsi"/>
          <w:color w:val="000000" w:themeColor="text1"/>
          <w:sz w:val="22"/>
          <w:szCs w:val="22"/>
          <w:vertAlign w:val="subscript"/>
          <w:lang w:val="pt-BR" w:eastAsia="vi-VN"/>
        </w:rPr>
        <w:t>4</w:t>
      </w:r>
      <w:r w:rsidRPr="005E6B7C">
        <w:rPr>
          <w:rFonts w:asciiTheme="majorHAnsi" w:eastAsia="Yu Mincho" w:hAnsiTheme="majorHAnsi" w:cstheme="majorHAnsi"/>
          <w:color w:val="000000" w:themeColor="text1"/>
          <w:sz w:val="22"/>
          <w:szCs w:val="22"/>
          <w:lang w:val="pl-PL" w:eastAsia="vi-VN"/>
        </w:rPr>
        <w:t xml:space="preserve">Cl.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are shown in Table 1 and Supplementary Information Table S1-S2.</w:t>
      </w:r>
    </w:p>
    <w:p w14:paraId="6E621CB5" w14:textId="214BDEE0"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val="vi" w:eastAsia="ja-JP"/>
        </w:rPr>
        <w:t>Isochromophilone</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b/>
          <w:bCs/>
          <w:i/>
          <w:iCs/>
          <w:color w:val="000000" w:themeColor="text1"/>
          <w:sz w:val="22"/>
          <w:szCs w:val="22"/>
          <w:lang w:eastAsia="vi-VN"/>
        </w:rPr>
        <w:t>IV (5):</w:t>
      </w:r>
      <w:r w:rsidRPr="005E6B7C">
        <w:rPr>
          <w:rFonts w:asciiTheme="majorHAnsi" w:eastAsia="Yu Mincho" w:hAnsiTheme="majorHAnsi" w:cstheme="majorHAnsi"/>
          <w:b/>
          <w:bCs/>
          <w:color w:val="000000" w:themeColor="text1"/>
          <w:sz w:val="22"/>
          <w:szCs w:val="22"/>
          <w:lang w:eastAsia="vi-VN"/>
        </w:rPr>
        <w:t xml:space="preserve"> </w:t>
      </w:r>
      <w:r w:rsidR="008C0D47" w:rsidRPr="005E6B7C">
        <w:rPr>
          <w:rFonts w:asciiTheme="majorHAnsi" w:eastAsia="Yu Mincho" w:hAnsiTheme="majorHAnsi" w:cstheme="majorHAnsi"/>
          <w:color w:val="000000" w:themeColor="text1"/>
          <w:sz w:val="22"/>
          <w:szCs w:val="22"/>
          <w:lang w:eastAsia="vi-VN"/>
        </w:rPr>
        <w:t>Y</w:t>
      </w:r>
      <w:r w:rsidRPr="005E6B7C">
        <w:rPr>
          <w:rFonts w:asciiTheme="majorHAnsi" w:eastAsia="Yu Mincho" w:hAnsiTheme="majorHAnsi" w:cstheme="majorHAnsi"/>
          <w:color w:val="000000" w:themeColor="text1"/>
          <w:sz w:val="22"/>
          <w:szCs w:val="22"/>
          <w:lang w:eastAsia="vi-VN"/>
        </w:rPr>
        <w:t xml:space="preserve">ellowish oil. ESI-MS: </w:t>
      </w:r>
      <w:r w:rsidRPr="005E6B7C">
        <w:rPr>
          <w:rFonts w:asciiTheme="majorHAnsi" w:eastAsia="Yu Mincho" w:hAnsiTheme="majorHAnsi" w:cstheme="majorHAnsi"/>
          <w:i/>
          <w:iCs/>
          <w:color w:val="000000" w:themeColor="text1"/>
          <w:sz w:val="22"/>
          <w:szCs w:val="22"/>
          <w:lang w:eastAsia="vi-VN"/>
        </w:rPr>
        <w:t>m</w:t>
      </w:r>
      <w:r w:rsidRPr="005E6B7C">
        <w:rPr>
          <w:rFonts w:asciiTheme="majorHAnsi" w:eastAsia="Yu Mincho" w:hAnsiTheme="majorHAnsi" w:cstheme="majorHAnsi"/>
          <w:color w:val="000000" w:themeColor="text1"/>
          <w:sz w:val="22"/>
          <w:szCs w:val="22"/>
          <w:lang w:eastAsia="vi-VN"/>
        </w:rPr>
        <w:t>/</w:t>
      </w:r>
      <w:r w:rsidRPr="005E6B7C">
        <w:rPr>
          <w:rFonts w:asciiTheme="majorHAnsi" w:eastAsia="Yu Mincho" w:hAnsiTheme="majorHAnsi" w:cstheme="majorHAnsi"/>
          <w:i/>
          <w:iCs/>
          <w:color w:val="000000" w:themeColor="text1"/>
          <w:sz w:val="22"/>
          <w:szCs w:val="22"/>
          <w:lang w:eastAsia="vi-VN"/>
        </w:rPr>
        <w:t>z</w:t>
      </w:r>
      <w:r w:rsidRPr="005E6B7C">
        <w:rPr>
          <w:rFonts w:asciiTheme="majorHAnsi" w:eastAsia="Yu Mincho" w:hAnsiTheme="majorHAnsi" w:cstheme="majorHAnsi"/>
          <w:color w:val="000000" w:themeColor="text1"/>
          <w:sz w:val="22"/>
          <w:szCs w:val="22"/>
          <w:lang w:eastAsia="vi-VN"/>
        </w:rPr>
        <w:t xml:space="preserve"> 395.1762 [M+H]</w:t>
      </w:r>
      <w:r w:rsidRPr="005E6B7C">
        <w:rPr>
          <w:rFonts w:asciiTheme="majorHAnsi" w:eastAsia="Yu Mincho" w:hAnsiTheme="majorHAnsi" w:cstheme="majorHAnsi"/>
          <w:color w:val="000000" w:themeColor="text1"/>
          <w:sz w:val="22"/>
          <w:szCs w:val="22"/>
          <w:vertAlign w:val="superscript"/>
          <w:lang w:eastAsia="vi-VN"/>
        </w:rPr>
        <w:t>+</w:t>
      </w:r>
      <w:r w:rsidRPr="005E6B7C">
        <w:rPr>
          <w:rFonts w:asciiTheme="majorHAnsi" w:eastAsia="Yu Mincho" w:hAnsiTheme="majorHAnsi" w:cstheme="majorHAnsi"/>
          <w:color w:val="000000" w:themeColor="text1"/>
          <w:sz w:val="22"/>
          <w:szCs w:val="22"/>
          <w:lang w:eastAsia="vi-VN"/>
        </w:rPr>
        <w:t>, C</w:t>
      </w:r>
      <w:r w:rsidRPr="005E6B7C">
        <w:rPr>
          <w:rFonts w:asciiTheme="majorHAnsi" w:eastAsia="Yu Mincho" w:hAnsiTheme="majorHAnsi" w:cstheme="majorHAnsi"/>
          <w:color w:val="000000" w:themeColor="text1"/>
          <w:sz w:val="22"/>
          <w:szCs w:val="22"/>
          <w:vertAlign w:val="subscript"/>
          <w:lang w:eastAsia="vi-VN"/>
        </w:rPr>
        <w:t>21</w:t>
      </w:r>
      <w:r w:rsidRPr="005E6B7C">
        <w:rPr>
          <w:rFonts w:asciiTheme="majorHAnsi" w:eastAsia="Yu Mincho" w:hAnsiTheme="majorHAnsi" w:cstheme="majorHAnsi"/>
          <w:color w:val="000000" w:themeColor="text1"/>
          <w:sz w:val="22"/>
          <w:szCs w:val="22"/>
          <w:lang w:eastAsia="vi-VN"/>
        </w:rPr>
        <w:t>H</w:t>
      </w:r>
      <w:r w:rsidRPr="005E6B7C">
        <w:rPr>
          <w:rFonts w:asciiTheme="majorHAnsi" w:eastAsia="Yu Mincho" w:hAnsiTheme="majorHAnsi" w:cstheme="majorHAnsi"/>
          <w:color w:val="000000" w:themeColor="text1"/>
          <w:sz w:val="22"/>
          <w:szCs w:val="22"/>
          <w:vertAlign w:val="subscript"/>
          <w:lang w:eastAsia="vi-VN"/>
        </w:rPr>
        <w:t>27</w:t>
      </w:r>
      <w:r w:rsidRPr="005E6B7C">
        <w:rPr>
          <w:rFonts w:asciiTheme="majorHAnsi" w:eastAsia="Yu Mincho" w:hAnsiTheme="majorHAnsi" w:cstheme="majorHAnsi"/>
          <w:color w:val="000000" w:themeColor="text1"/>
          <w:sz w:val="22"/>
          <w:szCs w:val="22"/>
          <w:lang w:eastAsia="vi-VN"/>
        </w:rPr>
        <w:t>O</w:t>
      </w:r>
      <w:r w:rsidRPr="005E6B7C">
        <w:rPr>
          <w:rFonts w:asciiTheme="majorHAnsi" w:eastAsia="Yu Mincho" w:hAnsiTheme="majorHAnsi" w:cstheme="majorHAnsi"/>
          <w:color w:val="000000" w:themeColor="text1"/>
          <w:sz w:val="22"/>
          <w:szCs w:val="22"/>
          <w:vertAlign w:val="subscript"/>
          <w:lang w:eastAsia="vi-VN"/>
        </w:rPr>
        <w:t>5</w:t>
      </w:r>
      <w:r w:rsidRPr="005E6B7C">
        <w:rPr>
          <w:rFonts w:asciiTheme="majorHAnsi" w:eastAsia="Yu Mincho" w:hAnsiTheme="majorHAnsi" w:cstheme="majorHAnsi"/>
          <w:color w:val="000000" w:themeColor="text1"/>
          <w:sz w:val="22"/>
          <w:szCs w:val="22"/>
          <w:lang w:eastAsia="vi-VN"/>
        </w:rPr>
        <w:t xml:space="preserve">Cl.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data are shown in Table 1 and Supplementary Information Table S1-S2.</w:t>
      </w:r>
    </w:p>
    <w:p w14:paraId="44F44789" w14:textId="24D024BF"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val="vi" w:eastAsia="vi-VN"/>
        </w:rPr>
      </w:pPr>
      <w:r w:rsidRPr="005E6B7C">
        <w:rPr>
          <w:rFonts w:asciiTheme="majorHAnsi" w:eastAsia="Yu Mincho" w:hAnsiTheme="majorHAnsi" w:cstheme="majorHAnsi"/>
          <w:b/>
          <w:bCs/>
          <w:i/>
          <w:iCs/>
          <w:color w:val="000000" w:themeColor="text1"/>
          <w:sz w:val="22"/>
          <w:szCs w:val="22"/>
          <w:lang w:val="pt-BR" w:eastAsia="vi-VN"/>
        </w:rPr>
        <w:t>Linoleic acid (6):</w:t>
      </w:r>
      <w:r w:rsidRPr="005E6B7C">
        <w:rPr>
          <w:rFonts w:asciiTheme="majorHAnsi" w:eastAsia="Yu Mincho" w:hAnsiTheme="majorHAnsi" w:cstheme="majorHAnsi"/>
          <w:b/>
          <w:bCs/>
          <w:color w:val="000000" w:themeColor="text1"/>
          <w:sz w:val="22"/>
          <w:szCs w:val="22"/>
          <w:lang w:val="pt-BR" w:eastAsia="vi-VN"/>
        </w:rPr>
        <w:t xml:space="preserve"> </w:t>
      </w:r>
      <w:r w:rsidR="008C0D47" w:rsidRPr="005E6B7C">
        <w:rPr>
          <w:rFonts w:asciiTheme="majorHAnsi" w:eastAsia="Yu Mincho" w:hAnsiTheme="majorHAnsi" w:cstheme="majorHAnsi"/>
          <w:color w:val="000000" w:themeColor="text1"/>
          <w:sz w:val="22"/>
          <w:szCs w:val="22"/>
          <w:lang w:val="pt-BR" w:eastAsia="ja-JP"/>
        </w:rPr>
        <w:t>C</w:t>
      </w:r>
      <w:r w:rsidRPr="005E6B7C">
        <w:rPr>
          <w:rFonts w:asciiTheme="majorHAnsi" w:eastAsia="Yu Mincho" w:hAnsiTheme="majorHAnsi" w:cstheme="majorHAnsi"/>
          <w:color w:val="000000" w:themeColor="text1"/>
          <w:sz w:val="22"/>
          <w:szCs w:val="22"/>
          <w:lang w:val="pt-BR" w:eastAsia="ja-JP"/>
        </w:rPr>
        <w:t xml:space="preserve">olorless oil, </w:t>
      </w:r>
      <w:r w:rsidRPr="005E6B7C">
        <w:rPr>
          <w:rFonts w:asciiTheme="majorHAnsi" w:eastAsia="Yu Mincho" w:hAnsiTheme="majorHAnsi" w:cstheme="majorHAnsi"/>
          <w:color w:val="000000" w:themeColor="text1"/>
          <w:sz w:val="22"/>
          <w:szCs w:val="22"/>
          <w:lang w:val="vi" w:eastAsia="ja-JP"/>
        </w:rPr>
        <w:t xml:space="preserve">ESI-MS: </w:t>
      </w:r>
      <w:r w:rsidRPr="005E6B7C">
        <w:rPr>
          <w:rFonts w:asciiTheme="majorHAnsi" w:eastAsia="Yu Mincho" w:hAnsiTheme="majorHAnsi" w:cstheme="majorHAnsi"/>
          <w: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w:t>
      </w:r>
      <w:r w:rsidRPr="005E6B7C">
        <w:rPr>
          <w:rFonts w:asciiTheme="majorHAnsi" w:eastAsia="Yu Mincho" w:hAnsiTheme="majorHAnsi" w:cstheme="majorHAnsi"/>
          <w:i/>
          <w:iCs/>
          <w:color w:val="000000" w:themeColor="text1"/>
          <w:sz w:val="22"/>
          <w:szCs w:val="22"/>
          <w:lang w:val="pt-BR" w:eastAsia="ja-JP"/>
        </w:rPr>
        <w:t>z</w:t>
      </w:r>
      <w:r w:rsidRPr="005E6B7C">
        <w:rPr>
          <w:rFonts w:asciiTheme="majorHAnsi" w:eastAsia="Yu Mincho" w:hAnsiTheme="majorHAnsi" w:cstheme="majorHAnsi"/>
          <w:color w:val="000000" w:themeColor="text1"/>
          <w:sz w:val="22"/>
          <w:szCs w:val="22"/>
          <w:lang w:val="pt-BR" w:eastAsia="ja-JP"/>
        </w:rPr>
        <w:t xml:space="preserve"> 319.2104 [M+K]</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vi" w:eastAsia="ja-JP"/>
        </w:rPr>
        <w:t>,</w:t>
      </w:r>
      <w:r w:rsidRPr="005E6B7C">
        <w:rPr>
          <w:rFonts w:asciiTheme="majorHAnsi" w:eastAsia="Yu Mincho" w:hAnsiTheme="majorHAnsi" w:cstheme="majorHAnsi"/>
          <w:b/>
          <w:bCs/>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val="vi" w:eastAsia="ja-JP"/>
        </w:rPr>
        <w:t>C</w:t>
      </w:r>
      <w:r w:rsidRPr="005E6B7C">
        <w:rPr>
          <w:rFonts w:asciiTheme="majorHAnsi" w:eastAsia="Yu Mincho" w:hAnsiTheme="majorHAnsi" w:cstheme="majorHAnsi"/>
          <w:color w:val="000000" w:themeColor="text1"/>
          <w:sz w:val="22"/>
          <w:szCs w:val="22"/>
          <w:vertAlign w:val="subscript"/>
          <w:lang w:val="vi" w:eastAsia="ja-JP"/>
        </w:rPr>
        <w:t>18</w:t>
      </w:r>
      <w:r w:rsidRPr="005E6B7C">
        <w:rPr>
          <w:rFonts w:asciiTheme="majorHAnsi" w:eastAsia="Yu Mincho" w:hAnsiTheme="majorHAnsi" w:cstheme="majorHAnsi"/>
          <w:color w:val="000000" w:themeColor="text1"/>
          <w:sz w:val="22"/>
          <w:szCs w:val="22"/>
          <w:lang w:val="vi" w:eastAsia="ja-JP"/>
        </w:rPr>
        <w:t>H</w:t>
      </w:r>
      <w:r w:rsidRPr="005E6B7C">
        <w:rPr>
          <w:rFonts w:asciiTheme="majorHAnsi" w:eastAsia="Yu Mincho" w:hAnsiTheme="majorHAnsi" w:cstheme="majorHAnsi"/>
          <w:color w:val="000000" w:themeColor="text1"/>
          <w:sz w:val="22"/>
          <w:szCs w:val="22"/>
          <w:vertAlign w:val="subscript"/>
          <w:lang w:val="vi" w:eastAsia="ja-JP"/>
        </w:rPr>
        <w:t>32</w:t>
      </w:r>
      <w:r w:rsidRPr="005E6B7C">
        <w:rPr>
          <w:rFonts w:asciiTheme="majorHAnsi" w:eastAsia="Yu Mincho" w:hAnsiTheme="majorHAnsi" w:cstheme="majorHAnsi"/>
          <w:color w:val="000000" w:themeColor="text1"/>
          <w:sz w:val="22"/>
          <w:szCs w:val="22"/>
          <w:lang w:val="vi" w:eastAsia="ja-JP"/>
        </w:rPr>
        <w:t>O</w:t>
      </w:r>
      <w:r w:rsidRPr="005E6B7C">
        <w:rPr>
          <w:rFonts w:asciiTheme="majorHAnsi" w:eastAsia="Yu Mincho" w:hAnsiTheme="majorHAnsi" w:cstheme="majorHAnsi"/>
          <w:color w:val="000000" w:themeColor="text1"/>
          <w:sz w:val="22"/>
          <w:szCs w:val="22"/>
          <w:vertAlign w:val="subscript"/>
          <w:lang w:val="vi" w:eastAsia="ja-JP"/>
        </w:rPr>
        <w:t>2</w:t>
      </w:r>
      <w:r w:rsidRPr="005E6B7C">
        <w:rPr>
          <w:rFonts w:asciiTheme="majorHAnsi" w:eastAsia="Yu Mincho" w:hAnsiTheme="majorHAnsi" w:cstheme="majorHAnsi"/>
          <w:color w:val="000000" w:themeColor="text1"/>
          <w:sz w:val="22"/>
          <w:szCs w:val="22"/>
          <w:lang w:val="vi" w:eastAsia="ja-JP"/>
        </w:rPr>
        <w:t>,</w:t>
      </w:r>
      <w:r w:rsidRPr="005E6B7C">
        <w:rPr>
          <w:rFonts w:asciiTheme="majorHAnsi" w:eastAsia="Yu Mincho" w:hAnsiTheme="majorHAnsi" w:cstheme="majorHAnsi"/>
          <w:color w:val="000000" w:themeColor="text1"/>
          <w:sz w:val="22"/>
          <w:szCs w:val="22"/>
          <w:vertAlign w:val="superscript"/>
          <w:lang w:val="vi"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 NMR (400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iCs/>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H</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vi" w:eastAsia="ja-JP"/>
        </w:rPr>
        <w:t xml:space="preserve">5.29 - 5.42 </w:t>
      </w:r>
      <w:r w:rsidRPr="005E6B7C">
        <w:rPr>
          <w:rFonts w:asciiTheme="majorHAnsi" w:eastAsia="Yu Mincho" w:hAnsiTheme="majorHAnsi" w:cstheme="majorHAnsi"/>
          <w:color w:val="000000" w:themeColor="text1"/>
          <w:sz w:val="22"/>
          <w:szCs w:val="22"/>
          <w:lang w:val="pt-BR" w:eastAsia="ja-JP"/>
        </w:rPr>
        <w:t>(4H</w:t>
      </w:r>
      <w:r w:rsidRPr="005E6B7C">
        <w:rPr>
          <w:rFonts w:asciiTheme="majorHAnsi" w:eastAsia="Yu Mincho" w:hAnsiTheme="majorHAnsi" w:cstheme="majorHAnsi"/>
          <w:color w:val="000000" w:themeColor="text1"/>
          <w:sz w:val="22"/>
          <w:szCs w:val="22"/>
          <w:lang w:val="vi" w:eastAsia="ja-JP"/>
        </w:rPr>
        <w:t xml:space="preserve">, m, H-12, H-13, H-9, H-10), 2.77 (2H, t,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color w:val="000000" w:themeColor="text1"/>
          <w:sz w:val="22"/>
          <w:szCs w:val="22"/>
          <w:lang w:val="vi" w:eastAsia="ja-JP"/>
        </w:rPr>
        <w:t>=7.6 Hz,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 xml:space="preserve">-11), 2.34 (2H, t,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color w:val="000000" w:themeColor="text1"/>
          <w:sz w:val="22"/>
          <w:szCs w:val="22"/>
          <w:lang w:val="vi" w:eastAsia="ja-JP"/>
        </w:rPr>
        <w:t>=7.6 Hz,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 xml:space="preserve">-2), 2.05 (2H, q,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color w:val="000000" w:themeColor="text1"/>
          <w:sz w:val="22"/>
          <w:szCs w:val="22"/>
          <w:lang w:val="vi" w:eastAsia="ja-JP"/>
        </w:rPr>
        <w:t>=7.2 Hz,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 xml:space="preserve">-8), 2.05 (2H, q,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color w:val="000000" w:themeColor="text1"/>
          <w:sz w:val="22"/>
          <w:szCs w:val="22"/>
          <w:lang w:val="vi" w:eastAsia="ja-JP"/>
        </w:rPr>
        <w:t>=7.2 Hz,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-14), 1.63 (2H, m,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-3), 1.24 - 1.39 (</w:t>
      </w:r>
      <w:r w:rsidRPr="005E6B7C">
        <w:rPr>
          <w:rFonts w:asciiTheme="majorHAnsi" w:eastAsia="Yu Mincho" w:hAnsiTheme="majorHAnsi" w:cstheme="majorHAnsi"/>
          <w:color w:val="000000" w:themeColor="text1"/>
          <w:sz w:val="22"/>
          <w:szCs w:val="22"/>
          <w:lang w:val="pt-BR" w:eastAsia="ja-JP"/>
        </w:rPr>
        <w:t>14</w:t>
      </w:r>
      <w:r w:rsidRPr="005E6B7C">
        <w:rPr>
          <w:rFonts w:asciiTheme="majorHAnsi" w:eastAsia="Yu Mincho" w:hAnsiTheme="majorHAnsi" w:cstheme="majorHAnsi"/>
          <w:color w:val="000000" w:themeColor="text1"/>
          <w:sz w:val="22"/>
          <w:szCs w:val="22"/>
          <w:lang w:val="vi" w:eastAsia="ja-JP"/>
        </w:rPr>
        <w:t>H, m,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-4,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-5,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-6,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-7,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-15,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-16, H</w:t>
      </w:r>
      <w:r w:rsidRPr="005E6B7C">
        <w:rPr>
          <w:rFonts w:asciiTheme="majorHAnsi" w:eastAsia="Yu Mincho" w:hAnsiTheme="majorHAnsi" w:cstheme="majorHAnsi"/>
          <w:color w:val="000000" w:themeColor="text1"/>
          <w:sz w:val="22"/>
          <w:szCs w:val="22"/>
          <w:vertAlign w:val="subscript"/>
          <w:lang w:val="pt-BR" w:eastAsia="ja-JP"/>
        </w:rPr>
        <w:t>2</w:t>
      </w:r>
      <w:r w:rsidRPr="005E6B7C">
        <w:rPr>
          <w:rFonts w:asciiTheme="majorHAnsi" w:eastAsia="Yu Mincho" w:hAnsiTheme="majorHAnsi" w:cstheme="majorHAnsi"/>
          <w:color w:val="000000" w:themeColor="text1"/>
          <w:sz w:val="22"/>
          <w:szCs w:val="22"/>
          <w:lang w:val="vi" w:eastAsia="ja-JP"/>
        </w:rPr>
        <w:t xml:space="preserve">-17), 0.90 (3H, t,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color w:val="000000" w:themeColor="text1"/>
          <w:sz w:val="22"/>
          <w:szCs w:val="22"/>
          <w:lang w:val="vi" w:eastAsia="ja-JP"/>
        </w:rPr>
        <w:t>=6.8 Hz, H</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vi" w:eastAsia="ja-JP"/>
        </w:rPr>
        <w:t xml:space="preserve">-18). </w:t>
      </w:r>
      <w:r w:rsidRPr="005E6B7C">
        <w:rPr>
          <w:rFonts w:asciiTheme="majorHAnsi" w:eastAsia="Yu Mincho" w:hAnsiTheme="majorHAnsi" w:cstheme="majorHAnsi"/>
          <w:color w:val="000000" w:themeColor="text1"/>
          <w:sz w:val="22"/>
          <w:szCs w:val="22"/>
          <w:vertAlign w:val="superscript"/>
          <w:lang w:val="vi" w:eastAsia="ja-JP"/>
        </w:rPr>
        <w:lastRenderedPageBreak/>
        <w:t>13</w:t>
      </w:r>
      <w:r w:rsidRPr="005E6B7C">
        <w:rPr>
          <w:rFonts w:asciiTheme="majorHAnsi" w:eastAsia="Yu Mincho" w:hAnsiTheme="majorHAnsi" w:cstheme="majorHAnsi"/>
          <w:color w:val="000000" w:themeColor="text1"/>
          <w:sz w:val="22"/>
          <w:szCs w:val="22"/>
          <w:lang w:val="vi" w:eastAsia="ja-JP"/>
        </w:rPr>
        <w:t>C NMR (100 MHz, CDCl</w:t>
      </w:r>
      <w:r w:rsidRPr="005E6B7C">
        <w:rPr>
          <w:rFonts w:asciiTheme="majorHAnsi" w:eastAsia="Yu Mincho" w:hAnsiTheme="majorHAnsi" w:cstheme="majorHAnsi"/>
          <w:color w:val="000000" w:themeColor="text1"/>
          <w:sz w:val="22"/>
          <w:szCs w:val="22"/>
          <w:vertAlign w:val="subscript"/>
          <w:lang w:val="vi" w:eastAsia="ja-JP"/>
        </w:rPr>
        <w:t>3</w:t>
      </w:r>
      <w:r w:rsidRPr="005E6B7C">
        <w:rPr>
          <w:rFonts w:asciiTheme="majorHAnsi" w:eastAsia="Yu Mincho" w:hAnsiTheme="majorHAnsi" w:cstheme="majorHAnsi"/>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178.9 (C-1), 130.2 (C-13), 130.0 (C-9), 128.1 (C-12), 127.9 (C-10), 34.0 (C-2), 31.5 (C-16), 29.6 (C-7), 29.4 (C-6), 29.2 (C-15), 29.1 (C-4), 29.1 (C-5), 27.2 (C-8), 27.2 (C-14), 25.6 (C-11), 24.7 (C-3), 22.6 (C-17), 14.1 (C-18).</w:t>
      </w:r>
    </w:p>
    <w:p w14:paraId="6A692F4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6048A9B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endophytic fungi showed the ability to increase biomass rapidly and to produce secretions on the surface, which is one of the important factors in the isolation of fungi. The PDA medium showed suitability for fungi growth. Follow-up to the reference [12], PDA medium was selected for the scale-up cultivation. </w:t>
      </w:r>
    </w:p>
    <w:p w14:paraId="5EA2A36C" w14:textId="1712DA8E"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In eight days, t</w:t>
      </w:r>
      <w:r w:rsidRPr="005E6B7C">
        <w:rPr>
          <w:rFonts w:asciiTheme="majorHAnsi" w:eastAsia="Yu Mincho" w:hAnsiTheme="majorHAnsi" w:cstheme="majorHAnsi"/>
          <w:bCs/>
          <w:color w:val="000000" w:themeColor="text1"/>
          <w:sz w:val="22"/>
          <w:szCs w:val="22"/>
          <w:lang w:eastAsia="ja-JP"/>
        </w:rPr>
        <w:t xml:space="preserve">he </w:t>
      </w:r>
      <w:r w:rsidRPr="005E6B7C">
        <w:rPr>
          <w:rFonts w:asciiTheme="majorHAnsi" w:eastAsia="Yu Mincho" w:hAnsiTheme="majorHAnsi" w:cstheme="majorHAnsi"/>
          <w:color w:val="000000" w:themeColor="text1"/>
          <w:sz w:val="22"/>
          <w:szCs w:val="22"/>
          <w:lang w:eastAsia="ja-JP"/>
        </w:rPr>
        <w:t>endophytic fung</w:t>
      </w:r>
      <w:r w:rsidR="00416540" w:rsidRPr="005E6B7C">
        <w:rPr>
          <w:rFonts w:asciiTheme="majorHAnsi" w:eastAsia="Yu Mincho" w:hAnsiTheme="majorHAnsi" w:cstheme="majorHAnsi"/>
          <w:color w:val="000000" w:themeColor="text1"/>
          <w:sz w:val="22"/>
          <w:szCs w:val="22"/>
          <w:lang w:eastAsia="ja-JP"/>
        </w:rPr>
        <w:t>al</w:t>
      </w:r>
      <w:r w:rsidRPr="005E6B7C">
        <w:rPr>
          <w:rFonts w:asciiTheme="majorHAnsi" w:eastAsia="Yu Mincho" w:hAnsiTheme="majorHAnsi" w:cstheme="majorHAnsi"/>
          <w:color w:val="000000" w:themeColor="text1"/>
          <w:sz w:val="22"/>
          <w:szCs w:val="22"/>
          <w:lang w:eastAsia="ja-JP"/>
        </w:rPr>
        <w:t xml:space="preserve"> strain was preliminarily identified </w:t>
      </w:r>
      <w:r w:rsidRPr="005E6B7C">
        <w:rPr>
          <w:rFonts w:asciiTheme="majorHAnsi" w:eastAsia="Yu Mincho" w:hAnsiTheme="majorHAnsi" w:cstheme="majorHAnsi"/>
          <w:bCs/>
          <w:color w:val="000000" w:themeColor="text1"/>
          <w:sz w:val="22"/>
          <w:szCs w:val="22"/>
          <w:lang w:eastAsia="ja-JP"/>
        </w:rPr>
        <w:t xml:space="preserve">based on the microscopic morphology characteristics with LPCB </w:t>
      </w:r>
      <w:r w:rsidRPr="005E6B7C">
        <w:rPr>
          <w:rFonts w:asciiTheme="majorHAnsi" w:eastAsia="Yu Mincho" w:hAnsiTheme="majorHAnsi" w:cstheme="majorHAnsi"/>
          <w:color w:val="000000" w:themeColor="text1"/>
          <w:sz w:val="22"/>
          <w:szCs w:val="22"/>
          <w:lang w:eastAsia="ja-JP"/>
        </w:rPr>
        <w:t xml:space="preserve">color dyeing. Then, the colony of </w:t>
      </w:r>
      <w:r w:rsidRPr="005E6B7C">
        <w:rPr>
          <w:rFonts w:asciiTheme="majorHAnsi" w:eastAsia="Yu Mincho" w:hAnsiTheme="majorHAnsi" w:cstheme="majorHAnsi"/>
          <w:bCs/>
          <w:color w:val="000000" w:themeColor="text1"/>
          <w:sz w:val="22"/>
          <w:szCs w:val="22"/>
          <w:lang w:eastAsia="ja-JP"/>
        </w:rPr>
        <w:t xml:space="preserve">endophytic fungi was selected and identified by DNA sequencing based on the modified Sanger method. </w:t>
      </w:r>
      <w:r w:rsidRPr="005E6B7C">
        <w:rPr>
          <w:rFonts w:asciiTheme="majorHAnsi" w:eastAsia="Yu Mincho" w:hAnsiTheme="majorHAnsi" w:cstheme="majorHAnsi" w:hint="eastAsia"/>
          <w:color w:val="000000" w:themeColor="text1"/>
          <w:sz w:val="22"/>
          <w:szCs w:val="22"/>
          <w:lang w:eastAsia="ja-JP"/>
        </w:rPr>
        <w:t xml:space="preserve">Genomic DNA was extracted from the mycelia of fungi, and the </w:t>
      </w:r>
      <w:r w:rsidRPr="005E6B7C">
        <w:rPr>
          <w:rFonts w:asciiTheme="majorHAnsi" w:eastAsia="Yu Mincho" w:hAnsiTheme="majorHAnsi" w:cstheme="majorHAnsi"/>
          <w:color w:val="000000" w:themeColor="text1"/>
          <w:sz w:val="22"/>
          <w:szCs w:val="22"/>
          <w:lang w:eastAsia="ja-JP"/>
        </w:rPr>
        <w:t>18</w:t>
      </w:r>
      <w:r w:rsidR="00416540"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hint="eastAsia"/>
          <w:color w:val="000000" w:themeColor="text1"/>
          <w:sz w:val="22"/>
          <w:szCs w:val="22"/>
          <w:lang w:eastAsia="ja-JP"/>
        </w:rPr>
        <w:t xml:space="preserve"> rRNA genes were amplified by PCR, which were carried out by Phu Sa Genomics company, and the nucleotide sequence (5</w:t>
      </w:r>
      <w:r w:rsidR="007A051F" w:rsidRPr="005E6B7C">
        <w:rPr>
          <w:rFonts w:eastAsia="Yu Mincho"/>
          <w:color w:val="000000" w:themeColor="text1"/>
          <w:sz w:val="22"/>
          <w:szCs w:val="22"/>
          <w:lang w:eastAsia="ja-JP"/>
        </w:rPr>
        <w:t>ʹ</w:t>
      </w:r>
      <w:r w:rsidRPr="005E6B7C">
        <w:rPr>
          <w:rFonts w:asciiTheme="majorHAnsi" w:eastAsia="Yu Mincho" w:hAnsiTheme="majorHAnsi" w:cstheme="majorHAnsi" w:hint="eastAsia"/>
          <w:color w:val="000000" w:themeColor="text1"/>
          <w:sz w:val="22"/>
          <w:szCs w:val="22"/>
          <w:lang w:eastAsia="ja-JP"/>
        </w:rPr>
        <w:t>-3</w:t>
      </w:r>
      <w:r w:rsidR="007A051F" w:rsidRPr="005E6B7C">
        <w:rPr>
          <w:rFonts w:eastAsia="Yu Mincho"/>
          <w:color w:val="000000" w:themeColor="text1"/>
          <w:sz w:val="22"/>
          <w:szCs w:val="22"/>
          <w:lang w:eastAsia="ja-JP"/>
        </w:rPr>
        <w:t>ʹ</w:t>
      </w:r>
      <w:r w:rsidRPr="005E6B7C">
        <w:rPr>
          <w:rFonts w:asciiTheme="majorHAnsi" w:eastAsia="Yu Mincho" w:hAnsiTheme="majorHAnsi" w:cstheme="majorHAnsi" w:hint="eastAsia"/>
          <w:color w:val="000000" w:themeColor="text1"/>
          <w:sz w:val="22"/>
          <w:szCs w:val="22"/>
          <w:lang w:eastAsia="ja-JP"/>
        </w:rPr>
        <w:t>) was obtained as shown in the Supplementary Information data.</w:t>
      </w:r>
    </w:p>
    <w:p w14:paraId="206441F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 BLAST analysis (NCBI database) on the resulting 18S rRNA gene partial sequence revealed 100.0% identity with the fungal strain </w:t>
      </w:r>
      <w:r w:rsidRPr="005E6B7C">
        <w:rPr>
          <w:rFonts w:asciiTheme="majorHAnsi" w:eastAsia="Yu Mincho" w:hAnsiTheme="majorHAnsi" w:cstheme="majorHAnsi"/>
          <w:i/>
          <w:iCs/>
          <w:color w:val="000000" w:themeColor="text1"/>
          <w:sz w:val="22"/>
          <w:szCs w:val="22"/>
          <w:lang w:eastAsia="ja-JP"/>
        </w:rPr>
        <w:t>Penicillium sclerotiorum</w:t>
      </w:r>
      <w:r w:rsidRPr="005E6B7C">
        <w:rPr>
          <w:rFonts w:asciiTheme="majorHAnsi" w:eastAsia="Yu Mincho" w:hAnsiTheme="majorHAnsi" w:cstheme="majorHAnsi"/>
          <w:color w:val="000000" w:themeColor="text1"/>
          <w:sz w:val="22"/>
          <w:szCs w:val="22"/>
          <w:lang w:eastAsia="ja-JP"/>
        </w:rPr>
        <w:t xml:space="preserve"> MT071304.1. </w:t>
      </w:r>
    </w:p>
    <w:p w14:paraId="4142C757" w14:textId="495733B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The cultivation of the endophytic strain of </w:t>
      </w:r>
      <w:r w:rsidRPr="005E6B7C">
        <w:rPr>
          <w:rFonts w:asciiTheme="majorHAnsi" w:eastAsia="Yu Mincho" w:hAnsiTheme="majorHAnsi" w:cstheme="majorHAnsi"/>
          <w:bCs/>
          <w:i/>
          <w:iCs/>
          <w:color w:val="000000" w:themeColor="text1"/>
          <w:sz w:val="22"/>
          <w:szCs w:val="22"/>
          <w:lang w:eastAsia="ja-JP"/>
        </w:rPr>
        <w:t>P. sclerotiorum</w:t>
      </w:r>
      <w:r w:rsidRPr="005E6B7C">
        <w:rPr>
          <w:rFonts w:asciiTheme="majorHAnsi" w:eastAsia="Yu Mincho" w:hAnsiTheme="majorHAnsi" w:cstheme="majorHAnsi"/>
          <w:bCs/>
          <w:color w:val="000000" w:themeColor="text1"/>
          <w:sz w:val="22"/>
          <w:szCs w:val="22"/>
          <w:lang w:eastAsia="ja-JP"/>
        </w:rPr>
        <w:t xml:space="preserve"> was further scaled up for the isolation of secondary metabolites at room temperature </w:t>
      </w:r>
      <w:r w:rsidR="00761212" w:rsidRPr="005E6B7C">
        <w:rPr>
          <w:rFonts w:asciiTheme="majorHAnsi" w:eastAsia="Yu Mincho" w:hAnsiTheme="majorHAnsi" w:cstheme="majorHAnsi"/>
          <w:bCs/>
          <w:color w:val="000000" w:themeColor="text1"/>
          <w:sz w:val="22"/>
          <w:szCs w:val="22"/>
          <w:lang w:eastAsia="ja-JP"/>
        </w:rPr>
        <w:t>for</w:t>
      </w:r>
      <w:r w:rsidRPr="005E6B7C">
        <w:rPr>
          <w:rFonts w:asciiTheme="majorHAnsi" w:eastAsia="Yu Mincho" w:hAnsiTheme="majorHAnsi" w:cstheme="majorHAnsi"/>
          <w:bCs/>
          <w:color w:val="000000" w:themeColor="text1"/>
          <w:sz w:val="22"/>
          <w:szCs w:val="22"/>
          <w:lang w:eastAsia="ja-JP"/>
        </w:rPr>
        <w:t xml:space="preserve"> 30 days. From the ethyl acetate extract, six compounds were isolated and structurally elucidated.</w:t>
      </w:r>
    </w:p>
    <w:p w14:paraId="39E63A0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lang w:eastAsia="ja-JP"/>
        </w:rPr>
        <w:t>1</w:t>
      </w:r>
      <w:r w:rsidRPr="005E6B7C">
        <w:rPr>
          <w:rFonts w:asciiTheme="majorHAnsi" w:eastAsia="Yu Mincho" w:hAnsiTheme="majorHAnsi" w:cstheme="majorHAnsi"/>
          <w:color w:val="000000" w:themeColor="text1"/>
          <w:sz w:val="22"/>
          <w:szCs w:val="22"/>
          <w:lang w:eastAsia="ja-JP"/>
        </w:rPr>
        <w:t xml:space="preserve"> was obtained as a yellowish oil. The UV spectrum displayed a maximum absorption at 371 nm, suggesting the presence of an extended conjugated chromophore. The ESI-MS spectrum data showed the pseudomolecular ion peaks at </w:t>
      </w:r>
      <w:r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z</w:t>
      </w:r>
      <w:r w:rsidRPr="005E6B7C">
        <w:rPr>
          <w:rFonts w:asciiTheme="majorHAnsi" w:eastAsia="Yu Mincho" w:hAnsiTheme="majorHAnsi" w:cstheme="majorHAnsi"/>
          <w:color w:val="000000" w:themeColor="text1"/>
          <w:sz w:val="22"/>
          <w:szCs w:val="22"/>
          <w:lang w:eastAsia="ja-JP"/>
        </w:rPr>
        <w:t xml:space="preserve"> 403.1563 and 405.1648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with a ratio of 3:1, indicating the presence of one chlorine atom, which is calculated for the molecular formula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27</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7</w:t>
      </w:r>
      <w:r w:rsidRPr="005E6B7C">
        <w:rPr>
          <w:rFonts w:asciiTheme="majorHAnsi" w:eastAsia="Yu Mincho" w:hAnsiTheme="majorHAnsi" w:cstheme="majorHAnsi"/>
          <w:color w:val="000000" w:themeColor="text1"/>
          <w:sz w:val="22"/>
          <w:szCs w:val="22"/>
          <w:lang w:eastAsia="ja-JP"/>
        </w:rPr>
        <w:t xml:space="preserve">Cl with 6 degrees of unsaturation.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spectrum showed signals of 19 carbons including 4 methyl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26.5 (C-17), 26.4 (C-18), 14.4 (C-16), and 12.3 (C-15)), 2 methylene carbons (</w:t>
      </w:r>
      <w:r w:rsidRPr="005E6B7C">
        <w:rPr>
          <w:rFonts w:asciiTheme="majorHAnsi" w:eastAsia="Yu Gothic"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74.9 (C-1) and 30.2 (C-14)), 6 methine carbons (</w:t>
      </w:r>
      <w:r w:rsidRPr="005E6B7C">
        <w:rPr>
          <w:rFonts w:asciiTheme="majorHAnsi" w:eastAsia="Yu Gothic"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145.1 (C-10), 122.7 (C-9), 101.9 (C-4), 81.0 (C-12), 79.2 (C-8), and 36.4 (C-13)), and 7 non-protonated carbons (</w:t>
      </w:r>
      <w:r w:rsidRPr="005E6B7C">
        <w:rPr>
          <w:rFonts w:asciiTheme="majorHAnsi" w:eastAsia="Yu Gothic"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195.3 (C-6), 162.3 (C-3), 146.2 (C-4a), 120.1 (C-5), 78.3 (C-7), 76.8 (C-11), and 69.0 (C-8a)).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data showed the signals of two </w:t>
      </w:r>
      <w:r w:rsidRPr="005E6B7C">
        <w:rPr>
          <w:rFonts w:asciiTheme="majorHAnsi" w:eastAsia="Yu Mincho" w:hAnsiTheme="majorHAnsi" w:cstheme="majorHAnsi"/>
          <w:color w:val="000000" w:themeColor="text1"/>
          <w:sz w:val="22"/>
          <w:szCs w:val="22"/>
          <w:lang w:eastAsia="ja-JP"/>
        </w:rPr>
        <w:t>oxymethine protons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3.81 (H-8) and 3.42 (H-12)), 4 methyl groups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1.52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-18), 1.33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-17), 0.91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-15), and 0.87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-16), a pair of </w:t>
      </w:r>
      <w:r w:rsidRPr="005E6B7C">
        <w:rPr>
          <w:rFonts w:asciiTheme="majorHAnsi" w:eastAsia="Yu Mincho" w:hAnsiTheme="majorHAnsi" w:cstheme="majorHAnsi"/>
          <w:i/>
          <w:iCs/>
          <w:color w:val="000000" w:themeColor="text1"/>
          <w:sz w:val="22"/>
          <w:szCs w:val="22"/>
          <w:lang w:eastAsia="ja-JP"/>
        </w:rPr>
        <w:t>trans</w:t>
      </w:r>
      <w:r w:rsidRPr="005E6B7C">
        <w:rPr>
          <w:rFonts w:asciiTheme="majorHAnsi" w:eastAsia="Yu Mincho" w:hAnsiTheme="majorHAnsi" w:cstheme="majorHAnsi"/>
          <w:color w:val="000000" w:themeColor="text1"/>
          <w:sz w:val="22"/>
          <w:szCs w:val="22"/>
          <w:lang w:eastAsia="ja-JP"/>
        </w:rPr>
        <w:t xml:space="preserve">-coupled olefinic protons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6.29 (1H, d, </w:t>
      </w:r>
      <w:r w:rsidRPr="005E6B7C">
        <w:rPr>
          <w:rFonts w:asciiTheme="majorHAnsi" w:eastAsia="Yu Mincho" w:hAnsiTheme="majorHAnsi" w:cstheme="majorHAnsi"/>
          <w:i/>
          <w:iCs/>
          <w:color w:val="000000" w:themeColor="text1"/>
          <w:sz w:val="22"/>
          <w:szCs w:val="22"/>
          <w:lang w:eastAsia="ja-JP"/>
        </w:rPr>
        <w:t xml:space="preserve">J </w:t>
      </w:r>
      <w:r w:rsidRPr="005E6B7C">
        <w:rPr>
          <w:rFonts w:asciiTheme="majorHAnsi" w:eastAsia="Yu Mincho" w:hAnsiTheme="majorHAnsi" w:cstheme="majorHAnsi"/>
          <w:color w:val="000000" w:themeColor="text1"/>
          <w:sz w:val="22"/>
          <w:szCs w:val="22"/>
          <w:lang w:eastAsia="ja-JP"/>
        </w:rPr>
        <w:t xml:space="preserve">= 15.6 Hz, H-9) and 6.76 (1H, d, </w:t>
      </w:r>
      <w:r w:rsidRPr="005E6B7C">
        <w:rPr>
          <w:rFonts w:asciiTheme="majorHAnsi" w:eastAsia="Yu Mincho" w:hAnsiTheme="majorHAnsi" w:cstheme="majorHAnsi"/>
          <w:i/>
          <w:iCs/>
          <w:color w:val="000000" w:themeColor="text1"/>
          <w:sz w:val="22"/>
          <w:szCs w:val="22"/>
          <w:lang w:eastAsia="ja-JP"/>
        </w:rPr>
        <w:t xml:space="preserve">J </w:t>
      </w:r>
      <w:r w:rsidRPr="005E6B7C">
        <w:rPr>
          <w:rFonts w:asciiTheme="majorHAnsi" w:eastAsia="Yu Mincho" w:hAnsiTheme="majorHAnsi" w:cstheme="majorHAnsi"/>
          <w:color w:val="000000" w:themeColor="text1"/>
          <w:sz w:val="22"/>
          <w:szCs w:val="22"/>
          <w:lang w:eastAsia="ja-JP"/>
        </w:rPr>
        <w:t>= 15.6 Hz, H-10), two methine protons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6.04 (H-4) and 1.72 (H-13)) and two methylene protons. The HMBC spectrum showed the correlations between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-1 and C-3/C-4a/C-8a, between H-4 and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162.3)/C-5/C-8a, exhibiting the presence of a 3,4-dihydro-2</w:t>
      </w:r>
      <w:r w:rsidRPr="005E6B7C">
        <w:rPr>
          <w:rFonts w:asciiTheme="majorHAnsi" w:eastAsia="Yu Mincho" w:hAnsiTheme="majorHAnsi" w:cstheme="majorHAnsi"/>
          <w:i/>
          <w:color w:val="000000" w:themeColor="text1"/>
          <w:lang w:eastAsia="ja-JP"/>
        </w:rPr>
        <w:t>H</w:t>
      </w:r>
      <w:r w:rsidRPr="005E6B7C">
        <w:rPr>
          <w:rFonts w:asciiTheme="majorHAnsi" w:eastAsia="Yu Mincho" w:hAnsiTheme="majorHAnsi" w:cstheme="majorHAnsi"/>
          <w:color w:val="000000" w:themeColor="text1"/>
          <w:sz w:val="22"/>
          <w:szCs w:val="22"/>
          <w:lang w:eastAsia="ja-JP"/>
        </w:rPr>
        <w:t>-pyran moiety. In addition, HMBC cross-peaks from H-8 to C-1 (</w:t>
      </w:r>
      <w:r w:rsidRPr="005E6B7C">
        <w:rPr>
          <w:rFonts w:asciiTheme="majorHAnsi" w:eastAsia="Yu Gothic"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74.9)/C-4a/C-6 (</w:t>
      </w:r>
      <w:r w:rsidRPr="005E6B7C">
        <w:rPr>
          <w:rFonts w:asciiTheme="majorHAnsi" w:eastAsia="Yu Gothic"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195.3)/C-7/C-8a/C-18, and from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-18 to C-6/C-7/C-8 verified a bicyclic core moiety, demonstrating the presence of an azaphilone skeleton. The COSY correlations were observed between the protons H-9/H-10 and H-12/H-13/H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-14/H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-15, together with the HMBC correlations from H-9 and C-3/C-4/C-10/C-11, H-10 and C-3/C-9/C-11/C-17, H-12 and C-10/C-11/C-13/C-14/C-16/C-17, 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-13 and C-14/C-15/C-16 were used to construct the side chain of azaphilone with two hydroxy groups located at C-11 and C-12. Those NMR data suggested that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 w:eastAsia="ja-JP"/>
        </w:rPr>
        <w:t xml:space="preserve">was a typical structure of the azaphilone framework, which has been reported in </w:t>
      </w:r>
      <w:r w:rsidRPr="005E6B7C">
        <w:rPr>
          <w:rFonts w:asciiTheme="majorHAnsi" w:eastAsia="Yu Mincho" w:hAnsiTheme="majorHAnsi" w:cstheme="majorHAnsi"/>
          <w:i/>
          <w:iCs/>
          <w:color w:val="000000" w:themeColor="text1"/>
          <w:sz w:val="22"/>
          <w:szCs w:val="22"/>
          <w:lang w:val="en" w:eastAsia="ja-JP"/>
        </w:rPr>
        <w:t>P. sclerotiorum</w:t>
      </w:r>
      <w:r w:rsidRPr="005E6B7C">
        <w:rPr>
          <w:rFonts w:asciiTheme="majorHAnsi" w:eastAsia="Yu Mincho" w:hAnsiTheme="majorHAnsi" w:cstheme="majorHAnsi"/>
          <w:color w:val="000000" w:themeColor="text1"/>
          <w:sz w:val="22"/>
          <w:szCs w:val="22"/>
          <w:lang w:val="en" w:eastAsia="ja-JP"/>
        </w:rPr>
        <w:t xml:space="preserve">. </w:t>
      </w:r>
      <w:r w:rsidRPr="005E6B7C">
        <w:rPr>
          <w:rFonts w:asciiTheme="majorHAnsi" w:eastAsia="Yu Mincho" w:hAnsiTheme="majorHAnsi" w:cstheme="majorHAnsi"/>
          <w:color w:val="000000" w:themeColor="text1"/>
          <w:sz w:val="22"/>
          <w:szCs w:val="22"/>
          <w:lang w:eastAsia="ja-JP"/>
        </w:rPr>
        <w:t xml:space="preserve">Based on the above NMR spectra data and comparison with the literature data [13], compound </w:t>
      </w:r>
      <w:r w:rsidRPr="005E6B7C">
        <w:rPr>
          <w:rFonts w:asciiTheme="majorHAnsi" w:eastAsia="Yu Mincho" w:hAnsiTheme="majorHAnsi" w:cstheme="majorHAnsi"/>
          <w:b/>
          <w:color w:val="000000" w:themeColor="text1"/>
          <w:lang w:eastAsia="ja-JP"/>
        </w:rPr>
        <w:t>1</w:t>
      </w:r>
      <w:r w:rsidRPr="005E6B7C">
        <w:rPr>
          <w:rFonts w:asciiTheme="majorHAnsi" w:eastAsia="Yu Mincho" w:hAnsiTheme="majorHAnsi" w:cstheme="majorHAnsi"/>
          <w:color w:val="000000" w:themeColor="text1"/>
          <w:sz w:val="22"/>
          <w:szCs w:val="22"/>
          <w:lang w:eastAsia="ja-JP"/>
        </w:rPr>
        <w:t xml:space="preserve"> was identified as peniazaphilones I, which was isolated from the mangrove endophytic fungi </w:t>
      </w:r>
      <w:r w:rsidRPr="005E6B7C">
        <w:rPr>
          <w:rFonts w:asciiTheme="majorHAnsi" w:eastAsia="Yu Mincho" w:hAnsiTheme="majorHAnsi" w:cstheme="majorHAnsi"/>
          <w:i/>
          <w:iCs/>
          <w:color w:val="000000" w:themeColor="text1"/>
          <w:sz w:val="22"/>
          <w:szCs w:val="22"/>
          <w:lang w:eastAsia="ja-JP"/>
        </w:rPr>
        <w:t>P. sclerotiorum</w:t>
      </w:r>
      <w:r w:rsidRPr="005E6B7C">
        <w:rPr>
          <w:rFonts w:asciiTheme="majorHAnsi" w:eastAsia="Yu Mincho" w:hAnsiTheme="majorHAnsi" w:cstheme="majorHAnsi"/>
          <w:color w:val="000000" w:themeColor="text1"/>
          <w:sz w:val="22"/>
          <w:szCs w:val="22"/>
          <w:lang w:eastAsia="ja-JP"/>
        </w:rPr>
        <w:t>.</w:t>
      </w:r>
    </w:p>
    <w:p w14:paraId="504E290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was isolated </w:t>
      </w:r>
      <w:r w:rsidRPr="005E6B7C">
        <w:rPr>
          <w:rFonts w:asciiTheme="majorHAnsi" w:eastAsia="Yu Mincho" w:hAnsiTheme="majorHAnsi" w:cstheme="majorHAnsi"/>
          <w:color w:val="000000" w:themeColor="text1"/>
          <w:sz w:val="22"/>
          <w:szCs w:val="22"/>
          <w:lang w:eastAsia="ja-JP"/>
        </w:rPr>
        <w:t xml:space="preserve">as </w:t>
      </w:r>
      <w:r w:rsidRPr="005E6B7C">
        <w:rPr>
          <w:rFonts w:asciiTheme="majorHAnsi" w:eastAsia="Yu Mincho" w:hAnsiTheme="majorHAnsi" w:cstheme="majorHAnsi"/>
          <w:bCs/>
          <w:color w:val="000000" w:themeColor="text1"/>
          <w:sz w:val="22"/>
          <w:szCs w:val="22"/>
          <w:lang w:eastAsia="ja-JP"/>
        </w:rPr>
        <w:t xml:space="preserve">a yellowish oil. </w:t>
      </w:r>
      <w:r w:rsidRPr="005E6B7C">
        <w:rPr>
          <w:rFonts w:asciiTheme="majorHAnsi" w:eastAsia="Yu Mincho" w:hAnsiTheme="majorHAnsi" w:cstheme="majorHAnsi"/>
          <w:color w:val="000000" w:themeColor="text1"/>
          <w:sz w:val="22"/>
          <w:szCs w:val="22"/>
          <w:lang w:eastAsia="ja-JP"/>
        </w:rPr>
        <w:t xml:space="preserve">The positive ESI-MS spectrum exhibited the ion peaks at </w:t>
      </w:r>
      <w:r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z </w:t>
      </w:r>
      <w:r w:rsidRPr="005E6B7C">
        <w:rPr>
          <w:rFonts w:asciiTheme="majorHAnsi" w:eastAsia="Yu Mincho" w:hAnsiTheme="majorHAnsi" w:cstheme="majorHAnsi"/>
          <w:color w:val="000000" w:themeColor="text1"/>
          <w:sz w:val="22"/>
          <w:szCs w:val="22"/>
          <w:lang w:eastAsia="ja-JP"/>
        </w:rPr>
        <w:t>385.1516 and 387.1551 [M+H]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with a ratio of 3:1, showing the presence of one chlorine atom, which was consistent with the molecular formula of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25</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6</w:t>
      </w:r>
      <w:r w:rsidRPr="005E6B7C">
        <w:rPr>
          <w:rFonts w:asciiTheme="majorHAnsi" w:eastAsia="Yu Mincho" w:hAnsiTheme="majorHAnsi" w:cstheme="majorHAnsi"/>
          <w:color w:val="000000" w:themeColor="text1"/>
          <w:sz w:val="22"/>
          <w:szCs w:val="22"/>
          <w:lang w:eastAsia="ja-JP"/>
        </w:rPr>
        <w:t xml:space="preserve">Cl and calculated with 7 degrees of unsaturation.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spectrum of compound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showed the presence of 19 carbons, including six methine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146.6 (</w:t>
      </w:r>
      <w:r w:rsidRPr="005E6B7C">
        <w:rPr>
          <w:rFonts w:asciiTheme="majorHAnsi" w:eastAsia="Yu Mincho" w:hAnsiTheme="majorHAnsi" w:cstheme="majorHAnsi"/>
          <w:color w:val="000000" w:themeColor="text1"/>
          <w:sz w:val="22"/>
          <w:szCs w:val="22"/>
          <w:lang w:eastAsia="ja-JP"/>
        </w:rPr>
        <w:t>C-1), 144.9 (C-10), 106.5 (C-4), 120.3 (C-9), 78.2 (C-12), and 35.4 (C-13)</w:t>
      </w:r>
      <w:r w:rsidRPr="005E6B7C">
        <w:rPr>
          <w:rFonts w:asciiTheme="majorHAnsi" w:eastAsia="Yu Mincho" w:hAnsiTheme="majorHAnsi" w:cstheme="majorHAnsi"/>
          <w:bCs/>
          <w:color w:val="000000" w:themeColor="text1"/>
          <w:sz w:val="22"/>
          <w:szCs w:val="22"/>
          <w:lang w:eastAsia="ja-JP"/>
        </w:rPr>
        <w:t>), one carbonyl carbon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191.6, C-6), one methylene carbon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28.6 (C-14)), seven non-protonated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156.7 (C-3), 140.4 (C-4a), 116.9 (C-8a), 107.8 (C-5), 76.3 (C-7), 71.7 (C-8), and 75.7 (C-11)), and four methyl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11.9 (C-15), 13.4 (C-16), 23.7 (C-17), and 23.8 (C-18)).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 xml:space="preserve">H NMR spectrum data showed two singlet signals of aromatic protons at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7.35 (H-1) and 6.55 (H-4), two oxymethine protons at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4.35 (H-8) and 3.53 (H-12), a pair of </w:t>
      </w:r>
      <w:r w:rsidRPr="005E6B7C">
        <w:rPr>
          <w:rFonts w:asciiTheme="majorHAnsi" w:eastAsia="Yu Mincho" w:hAnsiTheme="majorHAnsi" w:cstheme="majorHAnsi"/>
          <w:bCs/>
          <w:i/>
          <w:iCs/>
          <w:color w:val="000000" w:themeColor="text1"/>
          <w:sz w:val="22"/>
          <w:szCs w:val="22"/>
          <w:lang w:eastAsia="ja-JP"/>
        </w:rPr>
        <w:t>trans</w:t>
      </w:r>
      <w:r w:rsidRPr="005E6B7C">
        <w:rPr>
          <w:rFonts w:asciiTheme="majorHAnsi" w:eastAsia="Yu Mincho" w:hAnsiTheme="majorHAnsi" w:cstheme="majorHAnsi"/>
          <w:bCs/>
          <w:color w:val="000000" w:themeColor="text1"/>
          <w:sz w:val="22"/>
          <w:szCs w:val="22"/>
          <w:lang w:eastAsia="ja-JP"/>
        </w:rPr>
        <w:t>-coupled olefinic protons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6.64 </w:t>
      </w:r>
      <w:r w:rsidRPr="005E6B7C">
        <w:rPr>
          <w:rFonts w:asciiTheme="majorHAnsi" w:eastAsia="Yu Mincho" w:hAnsiTheme="majorHAnsi" w:cstheme="majorHAnsi"/>
          <w:color w:val="000000" w:themeColor="text1"/>
          <w:sz w:val="22"/>
          <w:szCs w:val="22"/>
          <w:lang w:eastAsia="ja-JP"/>
        </w:rPr>
        <w:t xml:space="preserve">(1H, d, </w:t>
      </w:r>
      <w:r w:rsidRPr="005E6B7C">
        <w:rPr>
          <w:rFonts w:asciiTheme="majorHAnsi" w:eastAsia="Yu Mincho" w:hAnsiTheme="majorHAnsi" w:cstheme="majorHAnsi"/>
          <w:i/>
          <w:iCs/>
          <w:color w:val="000000" w:themeColor="text1"/>
          <w:sz w:val="22"/>
          <w:szCs w:val="22"/>
          <w:lang w:eastAsia="ja-JP"/>
        </w:rPr>
        <w:t xml:space="preserve">J </w:t>
      </w:r>
      <w:r w:rsidRPr="005E6B7C">
        <w:rPr>
          <w:rFonts w:asciiTheme="majorHAnsi" w:eastAsia="Yu Mincho" w:hAnsiTheme="majorHAnsi" w:cstheme="majorHAnsi"/>
          <w:color w:val="000000" w:themeColor="text1"/>
          <w:sz w:val="22"/>
          <w:szCs w:val="22"/>
          <w:lang w:eastAsia="ja-JP"/>
        </w:rPr>
        <w:t xml:space="preserve">= 15.2 Hz, H-10) and 6.41 (1H, d, </w:t>
      </w:r>
      <w:r w:rsidRPr="005E6B7C">
        <w:rPr>
          <w:rFonts w:asciiTheme="majorHAnsi" w:eastAsia="Yu Mincho" w:hAnsiTheme="majorHAnsi" w:cstheme="majorHAnsi"/>
          <w:i/>
          <w:iCs/>
          <w:color w:val="000000" w:themeColor="text1"/>
          <w:sz w:val="22"/>
          <w:szCs w:val="22"/>
          <w:lang w:eastAsia="ja-JP"/>
        </w:rPr>
        <w:t xml:space="preserve">J </w:t>
      </w:r>
      <w:r w:rsidRPr="005E6B7C">
        <w:rPr>
          <w:rFonts w:asciiTheme="majorHAnsi" w:eastAsia="Yu Mincho" w:hAnsiTheme="majorHAnsi" w:cstheme="majorHAnsi"/>
          <w:color w:val="000000" w:themeColor="text1"/>
          <w:sz w:val="22"/>
          <w:szCs w:val="22"/>
          <w:lang w:eastAsia="ja-JP"/>
        </w:rPr>
        <w:t xml:space="preserve">= 15.2 Hz, H-9), one methylene group and </w:t>
      </w:r>
      <w:r w:rsidRPr="005E6B7C">
        <w:rPr>
          <w:rFonts w:asciiTheme="majorHAnsi" w:eastAsia="Yu Mincho" w:hAnsiTheme="majorHAnsi" w:cstheme="majorHAnsi"/>
          <w:color w:val="000000" w:themeColor="text1"/>
          <w:sz w:val="22"/>
          <w:szCs w:val="22"/>
          <w:lang w:eastAsia="ja-JP"/>
        </w:rPr>
        <w:lastRenderedPageBreak/>
        <w:t>four methyls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lang w:eastAsia="ja-JP"/>
        </w:rPr>
        <w:t>1.35 (3H, s,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-17), 1.29 (3H, s,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 xml:space="preserve">-18), 0.98 (3H, d, </w:t>
      </w:r>
      <w:r w:rsidRPr="005E6B7C">
        <w:rPr>
          <w:rFonts w:asciiTheme="majorHAnsi" w:eastAsia="Times New Roman" w:hAnsiTheme="majorHAnsi" w:cstheme="majorHAnsi"/>
          <w:i/>
          <w:iCs/>
          <w:color w:val="000000" w:themeColor="text1"/>
          <w:sz w:val="22"/>
          <w:szCs w:val="22"/>
          <w:lang w:eastAsia="ja-JP"/>
        </w:rPr>
        <w:t xml:space="preserve">J </w:t>
      </w:r>
      <w:r w:rsidRPr="005E6B7C">
        <w:rPr>
          <w:rFonts w:asciiTheme="majorHAnsi" w:eastAsia="Times New Roman" w:hAnsiTheme="majorHAnsi" w:cstheme="majorHAnsi"/>
          <w:color w:val="000000" w:themeColor="text1"/>
          <w:sz w:val="22"/>
          <w:szCs w:val="22"/>
          <w:lang w:eastAsia="ja-JP"/>
        </w:rPr>
        <w:t>= 6.8 Hz,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 xml:space="preserve">-16), and 0.93 (3H, t, </w:t>
      </w:r>
      <w:r w:rsidRPr="005E6B7C">
        <w:rPr>
          <w:rFonts w:asciiTheme="majorHAnsi" w:eastAsia="Times New Roman" w:hAnsiTheme="majorHAnsi" w:cstheme="majorHAnsi"/>
          <w:i/>
          <w:iCs/>
          <w:color w:val="000000" w:themeColor="text1"/>
          <w:sz w:val="22"/>
          <w:szCs w:val="22"/>
          <w:lang w:eastAsia="ja-JP"/>
        </w:rPr>
        <w:t xml:space="preserve">J </w:t>
      </w:r>
      <w:r w:rsidRPr="005E6B7C">
        <w:rPr>
          <w:rFonts w:asciiTheme="majorHAnsi" w:eastAsia="Times New Roman" w:hAnsiTheme="majorHAnsi" w:cstheme="majorHAnsi"/>
          <w:color w:val="000000" w:themeColor="text1"/>
          <w:sz w:val="22"/>
          <w:szCs w:val="22"/>
          <w:lang w:eastAsia="ja-JP"/>
        </w:rPr>
        <w:t>= 7.6 Hz,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-15)</w:t>
      </w:r>
      <w:r w:rsidRPr="005E6B7C">
        <w:rPr>
          <w:rFonts w:asciiTheme="majorHAnsi" w:eastAsia="Yu Mincho" w:hAnsiTheme="majorHAnsi" w:cstheme="majorHAnsi"/>
          <w:bCs/>
          <w:color w:val="000000" w:themeColor="text1"/>
          <w:sz w:val="22"/>
          <w:szCs w:val="22"/>
          <w:lang w:eastAsia="ja-JP"/>
        </w:rPr>
        <w:t xml:space="preserve">. The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 xml:space="preserve">C and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 xml:space="preserve">H NMR spectral data suggested that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was an azaphilone structure. The NMR data of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were similar to those of 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the main difference was the change of hydroxyl group at C-8a by an olefinic double bond between C-1 and C-8a (</w:t>
      </w:r>
      <w:r w:rsidRPr="005E6B7C">
        <w:rPr>
          <w:rFonts w:asciiTheme="majorHAnsi" w:eastAsia="Symbol" w:hAnsiTheme="majorHAnsi" w:cstheme="majorHAnsi"/>
          <w:bCs/>
          <w:color w:val="000000" w:themeColor="text1"/>
          <w:sz w:val="22"/>
          <w:szCs w:val="22"/>
          <w:lang w:eastAsia="ja-JP"/>
        </w:rPr>
        <w:t>D</w:t>
      </w:r>
      <w:r w:rsidRPr="005E6B7C">
        <w:rPr>
          <w:rFonts w:asciiTheme="majorHAnsi" w:eastAsia="Yu Mincho" w:hAnsiTheme="majorHAnsi" w:cstheme="majorHAnsi"/>
          <w:bCs/>
          <w:color w:val="000000" w:themeColor="text1"/>
          <w:sz w:val="22"/>
          <w:szCs w:val="22"/>
          <w:vertAlign w:val="subscript"/>
          <w:lang w:eastAsia="ja-JP"/>
        </w:rPr>
        <w:t>1,8a</w:t>
      </w:r>
      <w:r w:rsidRPr="005E6B7C">
        <w:rPr>
          <w:rFonts w:asciiTheme="majorHAnsi" w:eastAsia="Yu Mincho" w:hAnsiTheme="majorHAnsi" w:cstheme="majorHAnsi"/>
          <w:bCs/>
          <w:color w:val="000000" w:themeColor="text1"/>
          <w:sz w:val="22"/>
          <w:szCs w:val="22"/>
          <w:lang w:eastAsia="ja-JP"/>
        </w:rPr>
        <w:t xml:space="preserve">). The COSY and HMBC correlations of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were similar to those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and are shown as in Fig. 2. The planar structure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was closely related to those of geumsanol F and 11-epi-geumsanol F. The difference between geumsanol F and 11-epi-geumsanol F was the orientation of the hydroxyl group linked to carbon C-11, whereas the hydroxyl group in geumsanol F was </w:t>
      </w:r>
      <w:r w:rsidRPr="005E6B7C">
        <w:rPr>
          <w:rFonts w:asciiTheme="majorHAnsi" w:eastAsia="Symbol"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 xml:space="preserve">-orientation and </w:t>
      </w:r>
      <w:r w:rsidRPr="005E6B7C">
        <w:rPr>
          <w:rFonts w:asciiTheme="majorHAnsi" w:eastAsia="Yu Mincho" w:hAnsiTheme="majorHAnsi" w:cstheme="majorHAnsi"/>
          <w:bCs/>
          <w:i/>
          <w:iCs/>
          <w:color w:val="000000" w:themeColor="text1"/>
          <w:sz w:val="22"/>
          <w:szCs w:val="22"/>
          <w:lang w:eastAsia="ja-JP"/>
        </w:rPr>
        <w:t>vice versa</w:t>
      </w:r>
      <w:r w:rsidRPr="005E6B7C">
        <w:rPr>
          <w:rFonts w:asciiTheme="majorHAnsi" w:eastAsia="Yu Mincho" w:hAnsiTheme="majorHAnsi" w:cstheme="majorHAnsi"/>
          <w:bCs/>
          <w:color w:val="000000" w:themeColor="text1"/>
          <w:sz w:val="22"/>
          <w:szCs w:val="22"/>
          <w:lang w:eastAsia="ja-JP"/>
        </w:rPr>
        <w:t xml:space="preserve">. The NOESY spectrum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Cs/>
          <w:color w:val="000000" w:themeColor="text1"/>
          <w:sz w:val="22"/>
          <w:szCs w:val="22"/>
          <w:lang w:eastAsia="ja-JP"/>
        </w:rPr>
        <w:t xml:space="preserve"> showed the correlations between H-8/H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-18, indicating that H-8 and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 xml:space="preserve">-18 were on the same side of </w:t>
      </w:r>
      <w:r w:rsidRPr="005E6B7C">
        <w:rPr>
          <w:rFonts w:asciiTheme="majorHAnsi" w:eastAsia="Yu Mincho" w:hAnsiTheme="majorHAnsi" w:cstheme="majorHAnsi"/>
          <w:bCs/>
          <w:i/>
          <w:iCs/>
          <w:color w:val="000000" w:themeColor="text1"/>
          <w:sz w:val="22"/>
          <w:szCs w:val="22"/>
          <w:lang w:eastAsia="ja-JP"/>
        </w:rPr>
        <w:t>α</w:t>
      </w:r>
      <w:r w:rsidRPr="005E6B7C">
        <w:rPr>
          <w:rFonts w:asciiTheme="majorHAnsi" w:eastAsia="Yu Mincho" w:hAnsiTheme="majorHAnsi" w:cstheme="majorHAnsi"/>
          <w:bCs/>
          <w:color w:val="000000" w:themeColor="text1"/>
          <w:sz w:val="22"/>
          <w:szCs w:val="22"/>
          <w:lang w:eastAsia="ja-JP"/>
        </w:rPr>
        <w:t>-orientation. Correlations were observed between H-10 and H-12/H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-16/H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-17, between 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-17 and H-12/H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-16, suggesting that 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-16 and 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 xml:space="preserve">-17 were </w:t>
      </w:r>
      <w:r w:rsidRPr="005E6B7C">
        <w:rPr>
          <w:rFonts w:asciiTheme="majorHAnsi" w:eastAsia="Symbol" w:hAnsiTheme="majorHAnsi" w:cstheme="majorHAnsi"/>
          <w:bCs/>
          <w:i/>
          <w:iCs/>
          <w:color w:val="000000" w:themeColor="text1"/>
          <w:sz w:val="22"/>
          <w:szCs w:val="22"/>
          <w:lang w:eastAsia="ja-JP"/>
        </w:rPr>
        <w:sym w:font="Symbol" w:char="F062"/>
      </w:r>
      <w:r w:rsidRPr="005E6B7C">
        <w:rPr>
          <w:rFonts w:asciiTheme="majorHAnsi" w:eastAsia="Yu Mincho" w:hAnsiTheme="majorHAnsi" w:cstheme="majorHAnsi"/>
          <w:bCs/>
          <w:color w:val="000000" w:themeColor="text1"/>
          <w:sz w:val="22"/>
          <w:szCs w:val="22"/>
          <w:lang w:eastAsia="ja-JP"/>
        </w:rPr>
        <w:t xml:space="preserve">-orientation as shown in Fig.3. </w:t>
      </w:r>
      <w:r w:rsidRPr="005E6B7C">
        <w:rPr>
          <w:rFonts w:asciiTheme="majorHAnsi" w:eastAsia="Yu Mincho" w:hAnsiTheme="majorHAnsi" w:cstheme="majorHAnsi"/>
          <w:color w:val="000000" w:themeColor="text1"/>
          <w:sz w:val="22"/>
          <w:szCs w:val="22"/>
          <w:lang w:eastAsia="ja-JP"/>
        </w:rPr>
        <w:t xml:space="preserve">On the basis of the spectroscopic data, compound </w:t>
      </w:r>
      <w:r w:rsidRPr="005E6B7C">
        <w:rPr>
          <w:rFonts w:asciiTheme="majorHAnsi" w:eastAsia="Yu Mincho" w:hAnsiTheme="majorHAnsi" w:cstheme="majorHAnsi"/>
          <w:b/>
          <w:color w:val="000000" w:themeColor="text1"/>
          <w:lang w:eastAsia="ja-JP"/>
        </w:rPr>
        <w:t>2</w:t>
      </w:r>
      <w:r w:rsidRPr="005E6B7C">
        <w:rPr>
          <w:rFonts w:asciiTheme="majorHAnsi" w:eastAsia="Yu Mincho" w:hAnsiTheme="majorHAnsi" w:cstheme="majorHAnsi"/>
          <w:color w:val="000000" w:themeColor="text1"/>
          <w:sz w:val="22"/>
          <w:szCs w:val="22"/>
          <w:lang w:eastAsia="ja-JP"/>
        </w:rPr>
        <w:t xml:space="preserve"> was identified as 11-</w:t>
      </w:r>
      <w:r w:rsidRPr="005E6B7C">
        <w:rPr>
          <w:rFonts w:asciiTheme="majorHAnsi" w:eastAsia="Yu Mincho" w:hAnsiTheme="majorHAnsi" w:cstheme="majorHAnsi"/>
          <w:i/>
          <w:color w:val="000000" w:themeColor="text1"/>
          <w:sz w:val="22"/>
          <w:szCs w:val="22"/>
          <w:lang w:eastAsia="ja-JP"/>
        </w:rPr>
        <w:t>epi</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bCs/>
          <w:color w:val="000000" w:themeColor="text1"/>
          <w:sz w:val="22"/>
          <w:szCs w:val="22"/>
          <w:lang w:eastAsia="ja-JP"/>
        </w:rPr>
        <w:t>geumsanol F</w:t>
      </w:r>
      <w:r w:rsidRPr="005E6B7C">
        <w:rPr>
          <w:rFonts w:asciiTheme="majorHAnsi" w:eastAsia="Yu Mincho" w:hAnsiTheme="majorHAnsi" w:cstheme="majorHAnsi"/>
          <w:color w:val="000000" w:themeColor="text1"/>
          <w:sz w:val="22"/>
          <w:szCs w:val="22"/>
          <w:lang w:eastAsia="ja-JP"/>
        </w:rPr>
        <w:t xml:space="preserve">, which was isolated from the marine algae-derived fungus </w:t>
      </w:r>
      <w:r w:rsidRPr="005E6B7C">
        <w:rPr>
          <w:rFonts w:asciiTheme="majorHAnsi" w:eastAsia="Yu Mincho" w:hAnsiTheme="majorHAnsi" w:cstheme="majorHAnsi"/>
          <w:i/>
          <w:color w:val="000000" w:themeColor="text1"/>
          <w:sz w:val="22"/>
          <w:szCs w:val="22"/>
          <w:lang w:eastAsia="ja-JP"/>
        </w:rPr>
        <w:t>Penicillium sclerotiorum</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[12],[14</w:t>
      </w:r>
      <w:r w:rsidRPr="005E6B7C">
        <w:rPr>
          <w:rFonts w:asciiTheme="majorHAnsi" w:eastAsia="Calibri" w:hAnsiTheme="majorHAnsi" w:cstheme="majorHAnsi"/>
          <w:color w:val="000000" w:themeColor="text1"/>
          <w:sz w:val="22"/>
          <w:szCs w:val="22"/>
        </w:rPr>
        <w:t>].</w:t>
      </w:r>
    </w:p>
    <w:p w14:paraId="61894B6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bCs/>
          <w:color w:val="000000" w:themeColor="text1"/>
          <w:sz w:val="22"/>
          <w:szCs w:val="22"/>
          <w:lang w:eastAsia="ja-JP"/>
        </w:rPr>
        <w:t xml:space="preserve"> was </w:t>
      </w:r>
      <w:r w:rsidRPr="005E6B7C">
        <w:rPr>
          <w:rFonts w:asciiTheme="majorHAnsi" w:eastAsia="Yu Mincho" w:hAnsiTheme="majorHAnsi" w:cstheme="majorHAnsi"/>
          <w:color w:val="000000" w:themeColor="text1"/>
          <w:sz w:val="22"/>
          <w:szCs w:val="22"/>
          <w:lang w:eastAsia="ja-JP"/>
        </w:rPr>
        <w:t>isolated as an orange</w:t>
      </w:r>
      <w:r w:rsidRPr="005E6B7C">
        <w:rPr>
          <w:rFonts w:asciiTheme="majorHAnsi" w:eastAsia="Yu Mincho" w:hAnsiTheme="majorHAnsi" w:cstheme="majorHAnsi"/>
          <w:bCs/>
          <w:color w:val="000000" w:themeColor="text1"/>
          <w:sz w:val="22"/>
          <w:szCs w:val="22"/>
          <w:lang w:eastAsia="ja-JP"/>
        </w:rPr>
        <w:t xml:space="preserve">-red amorphous powder. </w:t>
      </w:r>
      <w:r w:rsidRPr="005E6B7C">
        <w:rPr>
          <w:rFonts w:asciiTheme="majorHAnsi" w:eastAsia="Yu Mincho" w:hAnsiTheme="majorHAnsi" w:cstheme="majorHAnsi"/>
          <w:color w:val="000000" w:themeColor="text1"/>
          <w:sz w:val="22"/>
          <w:szCs w:val="22"/>
          <w:lang w:eastAsia="ja-JP"/>
        </w:rPr>
        <w:t xml:space="preserve">The ESI-MS spectral data exhibited the positive-ion peaks at </w:t>
      </w:r>
      <w:r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z </w:t>
      </w:r>
      <w:r w:rsidRPr="005E6B7C">
        <w:rPr>
          <w:rFonts w:asciiTheme="majorHAnsi" w:eastAsia="Yu Mincho" w:hAnsiTheme="majorHAnsi" w:cstheme="majorHAnsi"/>
          <w:color w:val="000000" w:themeColor="text1"/>
          <w:sz w:val="22"/>
          <w:szCs w:val="22"/>
          <w:lang w:eastAsia="ja-JP"/>
        </w:rPr>
        <w:t>390.1579 and 392.1541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corresponding to the molecular formula C</w:t>
      </w:r>
      <w:r w:rsidRPr="005E6B7C">
        <w:rPr>
          <w:rFonts w:asciiTheme="majorHAnsi" w:eastAsia="Yu Mincho" w:hAnsiTheme="majorHAnsi" w:cstheme="majorHAnsi"/>
          <w:color w:val="000000" w:themeColor="text1"/>
          <w:sz w:val="22"/>
          <w:szCs w:val="22"/>
          <w:vertAlign w:val="subscript"/>
          <w:lang w:eastAsia="ja-JP"/>
        </w:rPr>
        <w:t>21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24</w:t>
      </w:r>
      <w:r w:rsidRPr="005E6B7C">
        <w:rPr>
          <w:rFonts w:asciiTheme="majorHAnsi" w:eastAsia="Yu Mincho" w:hAnsiTheme="majorHAnsi" w:cstheme="majorHAnsi"/>
          <w:color w:val="000000" w:themeColor="text1"/>
          <w:sz w:val="22"/>
          <w:szCs w:val="22"/>
          <w:lang w:eastAsia="ja-JP"/>
        </w:rPr>
        <w:t>ClNO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xml:space="preserve"> and 9 degrees of unsaturation. Mass spectrometry data of </w:t>
      </w:r>
      <w:r w:rsidRPr="005E6B7C">
        <w:rPr>
          <w:rFonts w:asciiTheme="majorHAnsi" w:eastAsia="Yu Mincho" w:hAnsiTheme="majorHAnsi" w:cstheme="majorHAnsi"/>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exhibited pseudomolecular ion peaks at </w:t>
      </w:r>
      <w:r w:rsidRPr="005E6B7C">
        <w:rPr>
          <w:rFonts w:asciiTheme="majorHAnsi" w:eastAsia="Yu Mincho" w:hAnsiTheme="majorHAnsi" w:cstheme="majorHAnsi"/>
          <w:i/>
          <w:color w:val="000000" w:themeColor="text1"/>
          <w:lang w:eastAsia="ja-JP"/>
        </w:rPr>
        <w:t>m/z</w:t>
      </w:r>
      <w:r w:rsidRPr="005E6B7C">
        <w:rPr>
          <w:rFonts w:asciiTheme="majorHAnsi" w:eastAsia="Yu Mincho" w:hAnsiTheme="majorHAnsi" w:cstheme="majorHAnsi"/>
          <w:color w:val="000000" w:themeColor="text1"/>
          <w:sz w:val="22"/>
          <w:szCs w:val="22"/>
          <w:lang w:eastAsia="ja-JP"/>
        </w:rPr>
        <w:t xml:space="preserve"> 390 and 392 with a ratio of 3:1, and an odd-numbered molecular ion peak indicates that compound </w:t>
      </w:r>
      <w:r w:rsidRPr="005E6B7C">
        <w:rPr>
          <w:rFonts w:asciiTheme="majorHAnsi" w:eastAsia="Yu Mincho" w:hAnsiTheme="majorHAnsi" w:cstheme="majorHAnsi"/>
          <w:b/>
          <w:color w:val="000000" w:themeColor="text1"/>
          <w:lang w:eastAsia="ja-JP"/>
        </w:rPr>
        <w:t>3</w:t>
      </w:r>
      <w:r w:rsidRPr="005E6B7C">
        <w:rPr>
          <w:rFonts w:asciiTheme="majorHAnsi" w:eastAsia="Yu Mincho" w:hAnsiTheme="majorHAnsi" w:cstheme="majorHAnsi"/>
          <w:color w:val="000000" w:themeColor="text1"/>
          <w:sz w:val="22"/>
          <w:szCs w:val="22"/>
          <w:lang w:eastAsia="ja-JP"/>
        </w:rPr>
        <w:t xml:space="preserve"> possessed one chlorine and one nitrogen atom in </w:t>
      </w:r>
      <w:r w:rsidRPr="005E6B7C">
        <w:rPr>
          <w:rFonts w:asciiTheme="majorHAnsi" w:eastAsia="Yu Mincho" w:hAnsiTheme="majorHAnsi" w:cstheme="majorHAnsi"/>
          <w:color w:val="000000" w:themeColor="text1"/>
          <w:sz w:val="22"/>
          <w:szCs w:val="22"/>
          <w:lang w:eastAsia="ja-JP"/>
        </w:rPr>
        <w:t xml:space="preserve">the structure.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spectrum of </w:t>
      </w:r>
      <w:r w:rsidRPr="005E6B7C">
        <w:rPr>
          <w:rFonts w:asciiTheme="majorHAnsi" w:eastAsia="Yu Mincho" w:hAnsiTheme="majorHAnsi" w:cstheme="majorHAnsi"/>
          <w:b/>
          <w:color w:val="000000" w:themeColor="text1"/>
          <w:lang w:eastAsia="ja-JP"/>
        </w:rPr>
        <w:t xml:space="preserve">3 </w:t>
      </w:r>
      <w:r w:rsidRPr="005E6B7C">
        <w:rPr>
          <w:rFonts w:asciiTheme="majorHAnsi" w:eastAsia="Yu Mincho" w:hAnsiTheme="majorHAnsi" w:cstheme="majorHAnsi"/>
          <w:color w:val="000000" w:themeColor="text1"/>
          <w:sz w:val="22"/>
          <w:szCs w:val="22"/>
          <w:lang w:eastAsia="ja-JP"/>
        </w:rPr>
        <w:t>showed the presence of 21 carbon signals, including three carbonyl groups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193.4 (C-8), 183.6 (C-6), and 171.5 (C-19)), six methine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138.0 (C-1), 110.0 (C-4), 116.1 (C-9), 142.5 (C-10), 148.8 (C-12), and 35.1 (C-13)), six non-protonated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146.1 (C-4a), 145.5 (C-3), 131.9 (C-11), 113.8 (C-8a), 102.1 (C-5), and 85.9 (C-7)), one methylene at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30.1, (C-14) and 5 methyls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23.6 (C-18), 20.8 (C-20), 20.2 (C-16), 12.5 (C-17), and 12.1 (C-15)).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spectrum of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presented three methine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7.76 (H-1), 6.76 (H-4), and </w:t>
      </w:r>
      <w:r w:rsidRPr="005E6B7C">
        <w:rPr>
          <w:rFonts w:asciiTheme="majorHAnsi" w:eastAsia="Times New Roman" w:hAnsiTheme="majorHAnsi" w:cstheme="majorHAnsi"/>
          <w:color w:val="000000" w:themeColor="text1"/>
          <w:sz w:val="22"/>
          <w:szCs w:val="22"/>
          <w:lang w:eastAsia="ja-JP"/>
        </w:rPr>
        <w:t xml:space="preserve">5.68 (1H, d, </w:t>
      </w:r>
      <w:r w:rsidRPr="005E6B7C">
        <w:rPr>
          <w:rFonts w:asciiTheme="majorHAnsi" w:eastAsia="Times New Roman" w:hAnsiTheme="majorHAnsi" w:cstheme="majorHAnsi"/>
          <w:i/>
          <w:iCs/>
          <w:color w:val="000000" w:themeColor="text1"/>
          <w:sz w:val="22"/>
          <w:szCs w:val="22"/>
          <w:lang w:eastAsia="ja-JP"/>
        </w:rPr>
        <w:t xml:space="preserve">J </w:t>
      </w:r>
      <w:r w:rsidRPr="005E6B7C">
        <w:rPr>
          <w:rFonts w:asciiTheme="majorHAnsi" w:eastAsia="Times New Roman" w:hAnsiTheme="majorHAnsi" w:cstheme="majorHAnsi"/>
          <w:color w:val="000000" w:themeColor="text1"/>
          <w:sz w:val="22"/>
          <w:szCs w:val="22"/>
          <w:lang w:eastAsia="ja-JP"/>
        </w:rPr>
        <w:t xml:space="preserve">= 9.6 Hz, H-12), a double bond of olefinic protons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6.91 (1H, d, </w:t>
      </w:r>
      <w:r w:rsidRPr="005E6B7C">
        <w:rPr>
          <w:rFonts w:asciiTheme="majorHAnsi" w:eastAsia="Times New Roman" w:hAnsiTheme="majorHAnsi" w:cstheme="majorHAnsi"/>
          <w:i/>
          <w:iCs/>
          <w:color w:val="000000" w:themeColor="text1"/>
          <w:sz w:val="22"/>
          <w:szCs w:val="22"/>
          <w:lang w:eastAsia="ja-JP"/>
        </w:rPr>
        <w:t xml:space="preserve">J </w:t>
      </w:r>
      <w:r w:rsidRPr="005E6B7C">
        <w:rPr>
          <w:rFonts w:asciiTheme="majorHAnsi" w:eastAsia="Times New Roman" w:hAnsiTheme="majorHAnsi" w:cstheme="majorHAnsi"/>
          <w:color w:val="000000" w:themeColor="text1"/>
          <w:sz w:val="22"/>
          <w:szCs w:val="22"/>
          <w:lang w:eastAsia="ja-JP"/>
        </w:rPr>
        <w:t xml:space="preserve">= 16.0 Hz, H-10) and 6.05 (1H, d, </w:t>
      </w:r>
      <w:r w:rsidRPr="005E6B7C">
        <w:rPr>
          <w:rFonts w:asciiTheme="majorHAnsi" w:eastAsia="Times New Roman" w:hAnsiTheme="majorHAnsi" w:cstheme="majorHAnsi"/>
          <w:i/>
          <w:iCs/>
          <w:color w:val="000000" w:themeColor="text1"/>
          <w:sz w:val="22"/>
          <w:szCs w:val="22"/>
          <w:lang w:eastAsia="ja-JP"/>
        </w:rPr>
        <w:t xml:space="preserve">J </w:t>
      </w:r>
      <w:r w:rsidRPr="005E6B7C">
        <w:rPr>
          <w:rFonts w:asciiTheme="majorHAnsi" w:eastAsia="Times New Roman" w:hAnsiTheme="majorHAnsi" w:cstheme="majorHAnsi"/>
          <w:color w:val="000000" w:themeColor="text1"/>
          <w:sz w:val="22"/>
          <w:szCs w:val="22"/>
          <w:lang w:eastAsia="ja-JP"/>
        </w:rPr>
        <w:t>= 16.0 Hz, H-9), five methyls (</w:t>
      </w:r>
      <w:r w:rsidRPr="005E6B7C">
        <w:rPr>
          <w:rFonts w:asciiTheme="majorHAnsi" w:eastAsia="Times New Roman" w:hAnsiTheme="majorHAnsi" w:cstheme="majorHAnsi"/>
          <w:i/>
          <w:color w:val="000000" w:themeColor="text1"/>
          <w:sz w:val="22"/>
          <w:szCs w:val="22"/>
          <w:lang w:eastAsia="ja-JP"/>
        </w:rPr>
        <w:t>δ</w:t>
      </w:r>
      <w:r w:rsidRPr="005E6B7C">
        <w:rPr>
          <w:rFonts w:asciiTheme="majorHAnsi" w:eastAsia="Times New Roman"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2.24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-20), 1.84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-17), 1.58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-18), 1.03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-16), and 0.86 (H</w:t>
      </w:r>
      <w:r w:rsidRPr="005E6B7C">
        <w:rPr>
          <w:rFonts w:asciiTheme="majorHAnsi" w:eastAsia="Times New Roman" w:hAnsiTheme="majorHAnsi" w:cstheme="majorHAnsi"/>
          <w:color w:val="000000" w:themeColor="text1"/>
          <w:sz w:val="22"/>
          <w:szCs w:val="22"/>
          <w:vertAlign w:val="subscript"/>
          <w:lang w:eastAsia="ja-JP"/>
        </w:rPr>
        <w:t>3</w:t>
      </w:r>
      <w:r w:rsidRPr="005E6B7C">
        <w:rPr>
          <w:rFonts w:asciiTheme="majorHAnsi" w:eastAsia="Times New Roman" w:hAnsiTheme="majorHAnsi" w:cstheme="majorHAnsi"/>
          <w:color w:val="000000" w:themeColor="text1"/>
          <w:sz w:val="22"/>
          <w:szCs w:val="22"/>
          <w:lang w:eastAsia="ja-JP"/>
        </w:rPr>
        <w:t xml:space="preserve">-15) and a broad singlet signal at </w:t>
      </w:r>
      <w:r w:rsidRPr="005E6B7C">
        <w:rPr>
          <w:rFonts w:asciiTheme="majorHAnsi" w:eastAsia="Times New Roman" w:hAnsiTheme="majorHAnsi" w:cstheme="majorHAnsi"/>
          <w:i/>
          <w:color w:val="000000" w:themeColor="text1"/>
          <w:sz w:val="22"/>
          <w:szCs w:val="22"/>
          <w:lang w:eastAsia="ja-JP"/>
        </w:rPr>
        <w:t>δ</w:t>
      </w:r>
      <w:r w:rsidRPr="005E6B7C">
        <w:rPr>
          <w:rFonts w:asciiTheme="majorHAnsi" w:eastAsia="Times New Roman"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10.5 </w:t>
      </w:r>
      <w:r w:rsidRPr="005E6B7C">
        <w:rPr>
          <w:rFonts w:asciiTheme="majorHAnsi" w:eastAsia="Yu Mincho" w:hAnsiTheme="majorHAnsi" w:cstheme="majorHAnsi"/>
          <w:bCs/>
          <w:color w:val="000000" w:themeColor="text1"/>
          <w:sz w:val="22"/>
          <w:szCs w:val="22"/>
          <w:lang w:eastAsia="ja-JP"/>
        </w:rPr>
        <w:t xml:space="preserve">accounted for -NH- group. </w:t>
      </w:r>
    </w:p>
    <w:p w14:paraId="6B1FC341" w14:textId="77777777" w:rsidR="00835D1F" w:rsidRPr="005E6B7C" w:rsidRDefault="00E049CB" w:rsidP="008C0D47">
      <w:pPr>
        <w:tabs>
          <w:tab w:val="left" w:pos="270"/>
          <w:tab w:val="left" w:pos="540"/>
          <w:tab w:val="left" w:pos="9270"/>
        </w:tabs>
        <w:topLinePunct/>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bCs/>
          <w:color w:val="000000" w:themeColor="text1"/>
          <w:spacing w:val="2"/>
          <w:sz w:val="22"/>
          <w:szCs w:val="22"/>
          <w:lang w:eastAsia="ja-JP"/>
        </w:rPr>
        <w:t xml:space="preserve">The COSY spectrum exhibited the </w:t>
      </w:r>
      <w:r w:rsidRPr="005E6B7C">
        <w:rPr>
          <w:rFonts w:asciiTheme="majorHAnsi" w:eastAsia="Yu Mincho" w:hAnsiTheme="majorHAnsi" w:cstheme="majorHAnsi"/>
          <w:color w:val="000000" w:themeColor="text1"/>
          <w:spacing w:val="2"/>
          <w:sz w:val="22"/>
          <w:szCs w:val="22"/>
          <w:lang w:eastAsia="ja-JP"/>
        </w:rPr>
        <w:t xml:space="preserve">correlations of </w:t>
      </w:r>
      <w:r w:rsidRPr="005E6B7C">
        <w:rPr>
          <w:rFonts w:asciiTheme="majorHAnsi" w:eastAsia="Yu Mincho" w:hAnsiTheme="majorHAnsi" w:cstheme="majorHAnsi"/>
          <w:i/>
          <w:iCs/>
          <w:color w:val="000000" w:themeColor="text1"/>
          <w:spacing w:val="2"/>
          <w:sz w:val="22"/>
          <w:szCs w:val="22"/>
          <w:lang w:eastAsia="ja-JP"/>
        </w:rPr>
        <w:t>trans</w:t>
      </w:r>
      <w:r w:rsidRPr="005E6B7C">
        <w:rPr>
          <w:rFonts w:asciiTheme="majorHAnsi" w:eastAsia="Yu Mincho" w:hAnsiTheme="majorHAnsi" w:cstheme="majorHAnsi"/>
          <w:color w:val="000000" w:themeColor="text1"/>
          <w:spacing w:val="2"/>
          <w:sz w:val="22"/>
          <w:szCs w:val="22"/>
          <w:lang w:eastAsia="ja-JP"/>
        </w:rPr>
        <w:t>-coupled olefinic protons H-9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6.05) and H-10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6.76), and five consecutive protons between H-12/H-13/(H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-16)/H</w:t>
      </w:r>
      <w:r w:rsidRPr="005E6B7C">
        <w:rPr>
          <w:rFonts w:asciiTheme="majorHAnsi" w:eastAsia="Yu Mincho" w:hAnsiTheme="majorHAnsi" w:cstheme="majorHAnsi"/>
          <w:color w:val="000000" w:themeColor="text1"/>
          <w:spacing w:val="2"/>
          <w:sz w:val="22"/>
          <w:szCs w:val="22"/>
          <w:vertAlign w:val="subscript"/>
          <w:lang w:eastAsia="ja-JP"/>
        </w:rPr>
        <w:t>2</w:t>
      </w:r>
      <w:r w:rsidRPr="005E6B7C">
        <w:rPr>
          <w:rFonts w:asciiTheme="majorHAnsi" w:eastAsia="Yu Mincho" w:hAnsiTheme="majorHAnsi" w:cstheme="majorHAnsi"/>
          <w:color w:val="000000" w:themeColor="text1"/>
          <w:spacing w:val="2"/>
          <w:sz w:val="22"/>
          <w:szCs w:val="22"/>
          <w:lang w:eastAsia="ja-JP"/>
        </w:rPr>
        <w:t>-14/H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-15. The HMBC spectrum showed the correlations from H-1 to C-3/C-4a/C-8/C-8a, from H-4 to C-3/C-4/C-5/C-8a/C-9, from H-9</w:t>
      </w:r>
      <w:r w:rsidRPr="005E6B7C">
        <w:rPr>
          <w:rFonts w:asciiTheme="majorHAnsi" w:eastAsia="Yu Mincho" w:hAnsiTheme="majorHAnsi" w:cstheme="majorHAnsi"/>
          <w:bCs/>
          <w:color w:val="000000" w:themeColor="text1"/>
          <w:spacing w:val="2"/>
          <w:sz w:val="22"/>
          <w:szCs w:val="22"/>
          <w:lang w:eastAsia="ja-JP"/>
        </w:rPr>
        <w:t xml:space="preserve"> to C-3/C-4/C-10/C-11, from H-10 to C-3</w:t>
      </w:r>
      <w:r w:rsidRPr="005E6B7C">
        <w:rPr>
          <w:rFonts w:asciiTheme="majorHAnsi" w:eastAsia="Yu Mincho" w:hAnsiTheme="majorHAnsi" w:cstheme="majorHAnsi"/>
          <w:color w:val="000000" w:themeColor="text1"/>
          <w:spacing w:val="2"/>
          <w:sz w:val="22"/>
          <w:szCs w:val="22"/>
          <w:lang w:eastAsia="ja-JP"/>
        </w:rPr>
        <w:t>/C-12/C-17, from H-12 to C-10/C-14/C-16/C-17, from H</w:t>
      </w:r>
      <w:r w:rsidRPr="005E6B7C">
        <w:rPr>
          <w:rFonts w:asciiTheme="majorHAnsi" w:eastAsia="Yu Mincho" w:hAnsiTheme="majorHAnsi" w:cstheme="majorHAnsi"/>
          <w:color w:val="000000" w:themeColor="text1"/>
          <w:spacing w:val="2"/>
          <w:sz w:val="22"/>
          <w:szCs w:val="22"/>
          <w:vertAlign w:val="subscript"/>
          <w:lang w:eastAsia="ja-JP"/>
        </w:rPr>
        <w:t>2</w:t>
      </w:r>
      <w:r w:rsidRPr="005E6B7C">
        <w:rPr>
          <w:rFonts w:asciiTheme="majorHAnsi" w:eastAsia="Yu Mincho" w:hAnsiTheme="majorHAnsi" w:cstheme="majorHAnsi"/>
          <w:color w:val="000000" w:themeColor="text1"/>
          <w:spacing w:val="2"/>
          <w:sz w:val="22"/>
          <w:szCs w:val="22"/>
          <w:lang w:eastAsia="ja-JP"/>
        </w:rPr>
        <w:t>-14 to C-12/C-13/C-15/C-16, from 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-18 to C-6/C-7/C-8, and from H</w:t>
      </w:r>
      <w:r w:rsidRPr="005E6B7C">
        <w:rPr>
          <w:rFonts w:asciiTheme="majorHAnsi" w:eastAsia="Yu Mincho" w:hAnsiTheme="majorHAnsi" w:cstheme="majorHAnsi"/>
          <w:color w:val="000000" w:themeColor="text1"/>
          <w:spacing w:val="2"/>
          <w:sz w:val="22"/>
          <w:szCs w:val="22"/>
          <w:vertAlign w:val="subscript"/>
          <w:lang w:eastAsia="ja-JP"/>
        </w:rPr>
        <w:t>3</w:t>
      </w:r>
      <w:r w:rsidRPr="005E6B7C">
        <w:rPr>
          <w:rFonts w:asciiTheme="majorHAnsi" w:eastAsia="Yu Mincho" w:hAnsiTheme="majorHAnsi" w:cstheme="majorHAnsi"/>
          <w:color w:val="000000" w:themeColor="text1"/>
          <w:spacing w:val="2"/>
          <w:sz w:val="22"/>
          <w:szCs w:val="22"/>
          <w:lang w:eastAsia="ja-JP"/>
        </w:rPr>
        <w:t xml:space="preserve">-20 to C-7/C-19. </w:t>
      </w:r>
      <w:r w:rsidRPr="005E6B7C">
        <w:rPr>
          <w:rFonts w:asciiTheme="majorHAnsi" w:eastAsia="Yu Mincho" w:hAnsiTheme="majorHAnsi" w:cstheme="majorHAnsi"/>
          <w:bCs/>
          <w:color w:val="000000" w:themeColor="text1"/>
          <w:spacing w:val="2"/>
          <w:sz w:val="22"/>
          <w:szCs w:val="22"/>
          <w:lang w:eastAsia="ja-JP"/>
        </w:rPr>
        <w:t xml:space="preserve">The above NMR spectral features showed that compound </w:t>
      </w:r>
      <w:r w:rsidRPr="005E6B7C">
        <w:rPr>
          <w:rFonts w:asciiTheme="majorHAnsi" w:eastAsia="Yu Mincho" w:hAnsiTheme="majorHAnsi" w:cstheme="majorHAnsi"/>
          <w:b/>
          <w:color w:val="000000" w:themeColor="text1"/>
          <w:spacing w:val="2"/>
          <w:sz w:val="22"/>
          <w:szCs w:val="22"/>
          <w:lang w:eastAsia="ja-JP"/>
        </w:rPr>
        <w:t>3</w:t>
      </w:r>
      <w:r w:rsidRPr="005E6B7C">
        <w:rPr>
          <w:rFonts w:asciiTheme="majorHAnsi" w:eastAsia="Yu Mincho" w:hAnsiTheme="majorHAnsi" w:cstheme="majorHAnsi"/>
          <w:bCs/>
          <w:color w:val="000000" w:themeColor="text1"/>
          <w:spacing w:val="2"/>
          <w:sz w:val="22"/>
          <w:szCs w:val="22"/>
          <w:lang w:eastAsia="ja-JP"/>
        </w:rPr>
        <w:t xml:space="preserve"> was an azaphilone derivative with one oxygen group at C-2 replaced by an -NH- group and one acetyl moiety linked to a hydroxyl group at C-7. </w:t>
      </w:r>
      <w:r w:rsidRPr="005E6B7C">
        <w:rPr>
          <w:rFonts w:asciiTheme="majorHAnsi" w:eastAsia="Yu Mincho" w:hAnsiTheme="majorHAnsi" w:cstheme="majorHAnsi"/>
          <w:color w:val="000000" w:themeColor="text1"/>
          <w:spacing w:val="2"/>
          <w:sz w:val="22"/>
          <w:szCs w:val="22"/>
          <w:lang w:eastAsia="ja-JP"/>
        </w:rPr>
        <w:t xml:space="preserve">Based on the NMR spectral data and compared to those of the reference data [15], compound </w:t>
      </w:r>
      <w:r w:rsidRPr="005E6B7C">
        <w:rPr>
          <w:rFonts w:asciiTheme="majorHAnsi" w:eastAsia="Yu Mincho" w:hAnsiTheme="majorHAnsi" w:cstheme="majorHAnsi"/>
          <w:b/>
          <w:bCs/>
          <w:color w:val="000000" w:themeColor="text1"/>
          <w:spacing w:val="2"/>
          <w:sz w:val="22"/>
          <w:szCs w:val="22"/>
          <w:lang w:eastAsia="ja-JP"/>
        </w:rPr>
        <w:t>3</w:t>
      </w:r>
      <w:r w:rsidRPr="005E6B7C">
        <w:rPr>
          <w:rFonts w:asciiTheme="majorHAnsi" w:eastAsia="Yu Mincho" w:hAnsiTheme="majorHAnsi" w:cstheme="majorHAnsi"/>
          <w:color w:val="000000" w:themeColor="text1"/>
          <w:spacing w:val="2"/>
          <w:sz w:val="22"/>
          <w:szCs w:val="22"/>
          <w:lang w:eastAsia="ja-JP"/>
        </w:rPr>
        <w:t xml:space="preserve"> was determined as sclerotioramine, a major compound of </w:t>
      </w:r>
      <w:r w:rsidRPr="005E6B7C">
        <w:rPr>
          <w:rFonts w:asciiTheme="majorHAnsi" w:eastAsia="Yu Mincho" w:hAnsiTheme="majorHAnsi" w:cstheme="majorHAnsi"/>
          <w:i/>
          <w:iCs/>
          <w:color w:val="000000" w:themeColor="text1"/>
          <w:spacing w:val="2"/>
          <w:sz w:val="22"/>
          <w:szCs w:val="22"/>
          <w:lang w:eastAsia="ja-JP"/>
        </w:rPr>
        <w:t>P. sclerotiorum</w:t>
      </w:r>
      <w:r w:rsidRPr="005E6B7C">
        <w:rPr>
          <w:rFonts w:asciiTheme="majorHAnsi" w:eastAsia="Yu Mincho" w:hAnsiTheme="majorHAnsi" w:cstheme="majorHAnsi"/>
          <w:color w:val="000000" w:themeColor="text1"/>
          <w:spacing w:val="2"/>
          <w:sz w:val="22"/>
          <w:szCs w:val="22"/>
          <w:lang w:eastAsia="ja-JP"/>
        </w:rPr>
        <w:t>.</w:t>
      </w:r>
    </w:p>
    <w:p w14:paraId="3C927DF7" w14:textId="77777777" w:rsidR="00835D1F" w:rsidRPr="005E6B7C" w:rsidRDefault="00835D1F" w:rsidP="008C0D47">
      <w:pPr>
        <w:tabs>
          <w:tab w:val="left" w:pos="270"/>
          <w:tab w:val="left" w:pos="540"/>
          <w:tab w:val="left" w:pos="9270"/>
        </w:tabs>
        <w:topLinePunct/>
        <w:spacing w:line="240" w:lineRule="exact"/>
        <w:ind w:firstLine="284"/>
        <w:jc w:val="both"/>
        <w:rPr>
          <w:rFonts w:asciiTheme="majorHAnsi" w:eastAsia="Yu Mincho" w:hAnsiTheme="majorHAnsi" w:cstheme="majorHAnsi"/>
          <w:color w:val="000000" w:themeColor="text1"/>
          <w:sz w:val="22"/>
          <w:szCs w:val="22"/>
          <w:lang w:eastAsia="ja-JP"/>
        </w:rPr>
        <w:sectPr w:rsidR="00835D1F" w:rsidRPr="005E6B7C" w:rsidSect="00835D1F">
          <w:type w:val="continuous"/>
          <w:pgSz w:w="10773" w:h="15309" w:code="9"/>
          <w:pgMar w:top="907" w:right="851" w:bottom="1418" w:left="851" w:header="397" w:footer="851" w:gutter="0"/>
          <w:cols w:num="2" w:space="284"/>
          <w:docGrid w:linePitch="360"/>
        </w:sectPr>
      </w:pPr>
    </w:p>
    <w:p w14:paraId="5AF72F31" w14:textId="69CD7EF5"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w:t>
      </w:r>
      <w:r w:rsidRPr="005E6B7C">
        <w:rPr>
          <w:rFonts w:asciiTheme="majorHAnsi" w:eastAsia="Yu Mincho" w:hAnsiTheme="majorHAnsi" w:cstheme="majorHAnsi"/>
          <w:color w:val="000000" w:themeColor="text1"/>
          <w:sz w:val="18"/>
          <w:szCs w:val="18"/>
          <w:lang w:eastAsia="ja-JP"/>
        </w:rPr>
        <w:t xml:space="preserve">H (400 MHz)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 xml:space="preserve">C NMR (100 MHz) spectroscopic data of compounds </w:t>
      </w:r>
      <w:r w:rsidR="00416540" w:rsidRPr="005E6B7C">
        <w:rPr>
          <w:rFonts w:asciiTheme="majorHAnsi" w:eastAsia="Yu Mincho" w:hAnsiTheme="majorHAnsi" w:cstheme="majorHAnsi"/>
          <w:b/>
          <w:bCs/>
          <w:color w:val="000000" w:themeColor="text1"/>
          <w:sz w:val="18"/>
          <w:szCs w:val="18"/>
          <w:lang w:eastAsia="ja-JP"/>
        </w:rPr>
        <w:t>1–5</w:t>
      </w:r>
    </w:p>
    <w:tbl>
      <w:tblPr>
        <w:tblStyle w:val="TableGrid10"/>
        <w:tblW w:w="923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492"/>
        <w:gridCol w:w="488"/>
        <w:gridCol w:w="1392"/>
        <w:gridCol w:w="551"/>
        <w:gridCol w:w="1163"/>
        <w:gridCol w:w="493"/>
        <w:gridCol w:w="1102"/>
        <w:gridCol w:w="459"/>
        <w:gridCol w:w="1287"/>
        <w:gridCol w:w="459"/>
        <w:gridCol w:w="1341"/>
        <w:gridCol w:w="7"/>
      </w:tblGrid>
      <w:tr w:rsidR="008C0D47" w:rsidRPr="005E6B7C" w14:paraId="2473C90A" w14:textId="77777777" w:rsidTr="008C0D47">
        <w:trPr>
          <w:trHeight w:val="169"/>
          <w:tblHeader/>
          <w:jc w:val="center"/>
        </w:trPr>
        <w:tc>
          <w:tcPr>
            <w:tcW w:w="493" w:type="dxa"/>
            <w:vMerge w:val="restart"/>
            <w:vAlign w:val="center"/>
          </w:tcPr>
          <w:p w14:paraId="57DA490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No.</w:t>
            </w:r>
          </w:p>
        </w:tc>
        <w:tc>
          <w:tcPr>
            <w:tcW w:w="1881" w:type="dxa"/>
            <w:gridSpan w:val="2"/>
            <w:vAlign w:val="center"/>
          </w:tcPr>
          <w:p w14:paraId="6C31B19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sz w:val="16"/>
                <w:szCs w:val="16"/>
                <w:lang w:eastAsia="ja-JP"/>
              </w:rPr>
            </w:pPr>
            <w:r w:rsidRPr="005E6B7C">
              <w:rPr>
                <w:rFonts w:asciiTheme="majorHAnsi" w:eastAsia="Yu Mincho" w:hAnsiTheme="majorHAnsi" w:cstheme="majorHAnsi"/>
                <w:b/>
                <w:bCs/>
                <w:sz w:val="16"/>
                <w:szCs w:val="16"/>
                <w:lang w:eastAsia="ja-JP"/>
              </w:rPr>
              <w:t>1</w:t>
            </w:r>
            <w:r w:rsidRPr="005E6B7C">
              <w:rPr>
                <w:rFonts w:asciiTheme="majorHAnsi" w:eastAsia="Yu Mincho" w:hAnsiTheme="majorHAnsi" w:cstheme="majorHAnsi"/>
                <w:bCs/>
                <w:sz w:val="16"/>
                <w:szCs w:val="16"/>
                <w:vertAlign w:val="superscript"/>
                <w:lang w:eastAsia="ja-JP"/>
              </w:rPr>
              <w:t>a</w:t>
            </w:r>
          </w:p>
        </w:tc>
        <w:tc>
          <w:tcPr>
            <w:tcW w:w="1715" w:type="dxa"/>
            <w:gridSpan w:val="2"/>
            <w:vAlign w:val="center"/>
          </w:tcPr>
          <w:p w14:paraId="18D32EC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sz w:val="16"/>
                <w:szCs w:val="16"/>
                <w:lang w:eastAsia="ja-JP"/>
              </w:rPr>
            </w:pPr>
            <w:r w:rsidRPr="005E6B7C">
              <w:rPr>
                <w:rFonts w:asciiTheme="majorHAnsi" w:eastAsia="Yu Mincho" w:hAnsiTheme="majorHAnsi" w:cstheme="majorHAnsi"/>
                <w:b/>
                <w:bCs/>
                <w:sz w:val="16"/>
                <w:szCs w:val="16"/>
                <w:lang w:eastAsia="ja-JP"/>
              </w:rPr>
              <w:t>2</w:t>
            </w:r>
            <w:r w:rsidRPr="005E6B7C">
              <w:rPr>
                <w:rFonts w:asciiTheme="majorHAnsi" w:eastAsia="Yu Mincho" w:hAnsiTheme="majorHAnsi" w:cstheme="majorHAnsi"/>
                <w:bCs/>
                <w:sz w:val="16"/>
                <w:szCs w:val="16"/>
                <w:vertAlign w:val="superscript"/>
                <w:lang w:eastAsia="ja-JP"/>
              </w:rPr>
              <w:t>b</w:t>
            </w:r>
          </w:p>
        </w:tc>
        <w:tc>
          <w:tcPr>
            <w:tcW w:w="1594" w:type="dxa"/>
            <w:gridSpan w:val="2"/>
            <w:vAlign w:val="center"/>
          </w:tcPr>
          <w:p w14:paraId="77DF5C4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sz w:val="16"/>
                <w:szCs w:val="16"/>
                <w:lang w:eastAsia="ja-JP"/>
              </w:rPr>
            </w:pPr>
            <w:r w:rsidRPr="005E6B7C">
              <w:rPr>
                <w:rFonts w:asciiTheme="majorHAnsi" w:eastAsia="Yu Mincho" w:hAnsiTheme="majorHAnsi" w:cstheme="majorHAnsi"/>
                <w:b/>
                <w:bCs/>
                <w:sz w:val="16"/>
                <w:szCs w:val="16"/>
                <w:lang w:eastAsia="ja-JP"/>
              </w:rPr>
              <w:t>3</w:t>
            </w:r>
            <w:r w:rsidRPr="005E6B7C">
              <w:rPr>
                <w:rFonts w:asciiTheme="majorHAnsi" w:eastAsia="Yu Mincho" w:hAnsiTheme="majorHAnsi" w:cstheme="majorHAnsi"/>
                <w:bCs/>
                <w:sz w:val="16"/>
                <w:szCs w:val="16"/>
                <w:vertAlign w:val="superscript"/>
                <w:lang w:eastAsia="ja-JP"/>
              </w:rPr>
              <w:t>b</w:t>
            </w:r>
          </w:p>
        </w:tc>
        <w:tc>
          <w:tcPr>
            <w:tcW w:w="1747" w:type="dxa"/>
            <w:gridSpan w:val="2"/>
            <w:vAlign w:val="center"/>
          </w:tcPr>
          <w:p w14:paraId="4CA6254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sz w:val="16"/>
                <w:szCs w:val="16"/>
                <w:lang w:eastAsia="ja-JP"/>
              </w:rPr>
            </w:pPr>
            <w:r w:rsidRPr="005E6B7C">
              <w:rPr>
                <w:rFonts w:asciiTheme="majorHAnsi" w:eastAsia="Yu Mincho" w:hAnsiTheme="majorHAnsi" w:cstheme="majorHAnsi"/>
                <w:b/>
                <w:bCs/>
                <w:sz w:val="16"/>
                <w:szCs w:val="16"/>
                <w:lang w:eastAsia="ja-JP"/>
              </w:rPr>
              <w:t>4</w:t>
            </w:r>
            <w:r w:rsidRPr="005E6B7C">
              <w:rPr>
                <w:rFonts w:asciiTheme="majorHAnsi" w:eastAsia="Yu Mincho" w:hAnsiTheme="majorHAnsi" w:cstheme="majorHAnsi"/>
                <w:bCs/>
                <w:sz w:val="16"/>
                <w:szCs w:val="16"/>
                <w:vertAlign w:val="superscript"/>
                <w:lang w:eastAsia="ja-JP"/>
              </w:rPr>
              <w:t>b</w:t>
            </w:r>
          </w:p>
        </w:tc>
        <w:tc>
          <w:tcPr>
            <w:tcW w:w="1804" w:type="dxa"/>
            <w:gridSpan w:val="3"/>
            <w:vAlign w:val="center"/>
          </w:tcPr>
          <w:p w14:paraId="53BA12E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sz w:val="16"/>
                <w:szCs w:val="16"/>
                <w:lang w:eastAsia="ja-JP"/>
              </w:rPr>
            </w:pPr>
            <w:r w:rsidRPr="005E6B7C">
              <w:rPr>
                <w:rFonts w:asciiTheme="majorHAnsi" w:eastAsia="Yu Mincho" w:hAnsiTheme="majorHAnsi" w:cstheme="majorHAnsi"/>
                <w:b/>
                <w:bCs/>
                <w:sz w:val="16"/>
                <w:szCs w:val="16"/>
                <w:lang w:eastAsia="ja-JP"/>
              </w:rPr>
              <w:t>5</w:t>
            </w:r>
            <w:r w:rsidRPr="005E6B7C">
              <w:rPr>
                <w:rFonts w:asciiTheme="majorHAnsi" w:eastAsia="Yu Mincho" w:hAnsiTheme="majorHAnsi" w:cstheme="majorHAnsi"/>
                <w:bCs/>
                <w:sz w:val="16"/>
                <w:szCs w:val="16"/>
                <w:vertAlign w:val="superscript"/>
                <w:lang w:eastAsia="ja-JP"/>
              </w:rPr>
              <w:t>b</w:t>
            </w:r>
          </w:p>
        </w:tc>
      </w:tr>
      <w:tr w:rsidR="008C0D47" w:rsidRPr="005E6B7C" w14:paraId="4E911911" w14:textId="77777777" w:rsidTr="008C0D47">
        <w:trPr>
          <w:gridAfter w:val="1"/>
          <w:wAfter w:w="7" w:type="dxa"/>
          <w:trHeight w:val="169"/>
          <w:tblHeader/>
          <w:jc w:val="center"/>
        </w:trPr>
        <w:tc>
          <w:tcPr>
            <w:tcW w:w="493" w:type="dxa"/>
            <w:vMerge/>
          </w:tcPr>
          <w:p w14:paraId="08F4430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89" w:type="dxa"/>
            <w:vAlign w:val="center"/>
          </w:tcPr>
          <w:p w14:paraId="1DBD08F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bCs/>
                <w:color w:val="000000" w:themeColor="text1"/>
                <w:sz w:val="16"/>
                <w:szCs w:val="16"/>
                <w:vertAlign w:val="subscript"/>
                <w:lang w:eastAsia="ja-JP"/>
              </w:rPr>
              <w:t>C</w:t>
            </w:r>
          </w:p>
        </w:tc>
        <w:tc>
          <w:tcPr>
            <w:tcW w:w="1392" w:type="dxa"/>
            <w:vAlign w:val="center"/>
          </w:tcPr>
          <w:p w14:paraId="780DAAE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color w:val="000000" w:themeColor="text1"/>
                <w:sz w:val="16"/>
                <w:szCs w:val="16"/>
                <w:vertAlign w:val="subscript"/>
                <w:lang w:eastAsia="ja-JP"/>
              </w:rPr>
              <w:t>H</w:t>
            </w:r>
            <w:r w:rsidRPr="005E6B7C">
              <w:rPr>
                <w:rFonts w:asciiTheme="majorHAnsi" w:eastAsia="Yu Mincho" w:hAnsiTheme="majorHAnsi" w:cstheme="majorHAnsi"/>
                <w:b/>
                <w:color w:val="000000" w:themeColor="text1"/>
                <w:sz w:val="16"/>
                <w:szCs w:val="16"/>
                <w:lang w:eastAsia="ja-JP"/>
              </w:rPr>
              <w:t xml:space="preserve">, mult, </w:t>
            </w:r>
            <w:r w:rsidRPr="005E6B7C">
              <w:rPr>
                <w:rFonts w:asciiTheme="majorHAnsi" w:eastAsia="Yu Mincho" w:hAnsiTheme="majorHAnsi" w:cstheme="majorHAnsi"/>
                <w:b/>
                <w:i/>
                <w:iCs/>
                <w:color w:val="000000" w:themeColor="text1"/>
                <w:sz w:val="16"/>
                <w:szCs w:val="16"/>
                <w:lang w:eastAsia="ja-JP"/>
              </w:rPr>
              <w:t>J</w:t>
            </w:r>
            <w:r w:rsidRPr="005E6B7C">
              <w:rPr>
                <w:rFonts w:asciiTheme="majorHAnsi" w:eastAsia="Yu Mincho" w:hAnsiTheme="majorHAnsi" w:cstheme="majorHAnsi"/>
                <w:b/>
                <w:color w:val="000000" w:themeColor="text1"/>
                <w:sz w:val="16"/>
                <w:szCs w:val="16"/>
                <w:lang w:eastAsia="ja-JP"/>
              </w:rPr>
              <w:t xml:space="preserve"> (Hz)</w:t>
            </w:r>
          </w:p>
        </w:tc>
        <w:tc>
          <w:tcPr>
            <w:tcW w:w="551" w:type="dxa"/>
            <w:vAlign w:val="center"/>
          </w:tcPr>
          <w:p w14:paraId="2B84359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bCs/>
                <w:color w:val="000000" w:themeColor="text1"/>
                <w:sz w:val="16"/>
                <w:szCs w:val="16"/>
                <w:vertAlign w:val="subscript"/>
                <w:lang w:eastAsia="ja-JP"/>
              </w:rPr>
              <w:t>C</w:t>
            </w:r>
          </w:p>
        </w:tc>
        <w:tc>
          <w:tcPr>
            <w:tcW w:w="1161" w:type="dxa"/>
            <w:vAlign w:val="center"/>
          </w:tcPr>
          <w:p w14:paraId="0A085F0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color w:val="000000" w:themeColor="text1"/>
                <w:sz w:val="16"/>
                <w:szCs w:val="16"/>
                <w:vertAlign w:val="subscript"/>
                <w:lang w:eastAsia="ja-JP"/>
              </w:rPr>
              <w:t>H</w:t>
            </w:r>
            <w:r w:rsidRPr="005E6B7C">
              <w:rPr>
                <w:rFonts w:asciiTheme="majorHAnsi" w:eastAsia="Yu Mincho" w:hAnsiTheme="majorHAnsi" w:cstheme="majorHAnsi"/>
                <w:b/>
                <w:color w:val="000000" w:themeColor="text1"/>
                <w:sz w:val="16"/>
                <w:szCs w:val="16"/>
                <w:lang w:eastAsia="ja-JP"/>
              </w:rPr>
              <w:t xml:space="preserve">, mult, </w:t>
            </w:r>
            <w:r w:rsidRPr="005E6B7C">
              <w:rPr>
                <w:rFonts w:asciiTheme="majorHAnsi" w:eastAsia="Yu Mincho" w:hAnsiTheme="majorHAnsi" w:cstheme="majorHAnsi"/>
                <w:b/>
                <w:i/>
                <w:iCs/>
                <w:color w:val="000000" w:themeColor="text1"/>
                <w:sz w:val="16"/>
                <w:szCs w:val="16"/>
                <w:lang w:eastAsia="ja-JP"/>
              </w:rPr>
              <w:t>J</w:t>
            </w:r>
            <w:r w:rsidRPr="005E6B7C">
              <w:rPr>
                <w:rFonts w:asciiTheme="majorHAnsi" w:eastAsia="Yu Mincho" w:hAnsiTheme="majorHAnsi" w:cstheme="majorHAnsi"/>
                <w:b/>
                <w:color w:val="000000" w:themeColor="text1"/>
                <w:sz w:val="16"/>
                <w:szCs w:val="16"/>
                <w:lang w:eastAsia="ja-JP"/>
              </w:rPr>
              <w:t xml:space="preserve"> (Hz)</w:t>
            </w:r>
          </w:p>
        </w:tc>
        <w:tc>
          <w:tcPr>
            <w:tcW w:w="493" w:type="dxa"/>
            <w:vAlign w:val="center"/>
          </w:tcPr>
          <w:p w14:paraId="52D2AAE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bCs/>
                <w:color w:val="000000" w:themeColor="text1"/>
                <w:sz w:val="16"/>
                <w:szCs w:val="16"/>
                <w:vertAlign w:val="subscript"/>
                <w:lang w:eastAsia="ja-JP"/>
              </w:rPr>
              <w:t>C</w:t>
            </w:r>
          </w:p>
        </w:tc>
        <w:tc>
          <w:tcPr>
            <w:tcW w:w="1103" w:type="dxa"/>
            <w:vAlign w:val="center"/>
          </w:tcPr>
          <w:p w14:paraId="76F26B4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color w:val="000000" w:themeColor="text1"/>
                <w:sz w:val="16"/>
                <w:szCs w:val="16"/>
                <w:vertAlign w:val="subscript"/>
                <w:lang w:eastAsia="ja-JP"/>
              </w:rPr>
              <w:t>H</w:t>
            </w:r>
            <w:r w:rsidRPr="005E6B7C">
              <w:rPr>
                <w:rFonts w:asciiTheme="majorHAnsi" w:eastAsia="Yu Mincho" w:hAnsiTheme="majorHAnsi" w:cstheme="majorHAnsi"/>
                <w:b/>
                <w:color w:val="000000" w:themeColor="text1"/>
                <w:sz w:val="16"/>
                <w:szCs w:val="16"/>
                <w:lang w:eastAsia="ja-JP"/>
              </w:rPr>
              <w:t xml:space="preserve">, mult, </w:t>
            </w:r>
            <w:r w:rsidRPr="005E6B7C">
              <w:rPr>
                <w:rFonts w:asciiTheme="majorHAnsi" w:eastAsia="Yu Mincho" w:hAnsiTheme="majorHAnsi" w:cstheme="majorHAnsi"/>
                <w:b/>
                <w:i/>
                <w:iCs/>
                <w:color w:val="000000" w:themeColor="text1"/>
                <w:sz w:val="16"/>
                <w:szCs w:val="16"/>
                <w:lang w:eastAsia="ja-JP"/>
              </w:rPr>
              <w:t>J</w:t>
            </w:r>
            <w:r w:rsidRPr="005E6B7C">
              <w:rPr>
                <w:rFonts w:asciiTheme="majorHAnsi" w:eastAsia="Yu Mincho" w:hAnsiTheme="majorHAnsi" w:cstheme="majorHAnsi"/>
                <w:b/>
                <w:color w:val="000000" w:themeColor="text1"/>
                <w:sz w:val="16"/>
                <w:szCs w:val="16"/>
                <w:lang w:eastAsia="ja-JP"/>
              </w:rPr>
              <w:t xml:space="preserve"> (Hz)</w:t>
            </w:r>
          </w:p>
        </w:tc>
        <w:tc>
          <w:tcPr>
            <w:tcW w:w="459" w:type="dxa"/>
            <w:vAlign w:val="center"/>
          </w:tcPr>
          <w:p w14:paraId="002325A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bCs/>
                <w:color w:val="000000" w:themeColor="text1"/>
                <w:sz w:val="16"/>
                <w:szCs w:val="16"/>
                <w:vertAlign w:val="subscript"/>
                <w:lang w:eastAsia="ja-JP"/>
              </w:rPr>
              <w:t>C</w:t>
            </w:r>
          </w:p>
        </w:tc>
        <w:tc>
          <w:tcPr>
            <w:tcW w:w="1287" w:type="dxa"/>
            <w:vAlign w:val="center"/>
          </w:tcPr>
          <w:p w14:paraId="5F693D4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color w:val="000000" w:themeColor="text1"/>
                <w:sz w:val="16"/>
                <w:szCs w:val="16"/>
                <w:vertAlign w:val="subscript"/>
                <w:lang w:eastAsia="ja-JP"/>
              </w:rPr>
              <w:t>H</w:t>
            </w:r>
            <w:r w:rsidRPr="005E6B7C">
              <w:rPr>
                <w:rFonts w:asciiTheme="majorHAnsi" w:eastAsia="Yu Mincho" w:hAnsiTheme="majorHAnsi" w:cstheme="majorHAnsi"/>
                <w:b/>
                <w:color w:val="000000" w:themeColor="text1"/>
                <w:sz w:val="16"/>
                <w:szCs w:val="16"/>
                <w:lang w:eastAsia="ja-JP"/>
              </w:rPr>
              <w:t xml:space="preserve">, mult, </w:t>
            </w:r>
            <w:r w:rsidRPr="005E6B7C">
              <w:rPr>
                <w:rFonts w:asciiTheme="majorHAnsi" w:eastAsia="Yu Mincho" w:hAnsiTheme="majorHAnsi" w:cstheme="majorHAnsi"/>
                <w:b/>
                <w:i/>
                <w:iCs/>
                <w:color w:val="000000" w:themeColor="text1"/>
                <w:sz w:val="16"/>
                <w:szCs w:val="16"/>
                <w:lang w:eastAsia="ja-JP"/>
              </w:rPr>
              <w:t>J</w:t>
            </w:r>
            <w:r w:rsidRPr="005E6B7C">
              <w:rPr>
                <w:rFonts w:asciiTheme="majorHAnsi" w:eastAsia="Yu Mincho" w:hAnsiTheme="majorHAnsi" w:cstheme="majorHAnsi"/>
                <w:b/>
                <w:color w:val="000000" w:themeColor="text1"/>
                <w:sz w:val="16"/>
                <w:szCs w:val="16"/>
                <w:lang w:eastAsia="ja-JP"/>
              </w:rPr>
              <w:t xml:space="preserve"> (Hz)</w:t>
            </w:r>
          </w:p>
        </w:tc>
        <w:tc>
          <w:tcPr>
            <w:tcW w:w="459" w:type="dxa"/>
            <w:vAlign w:val="center"/>
          </w:tcPr>
          <w:p w14:paraId="387F4A4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bCs/>
                <w:color w:val="000000" w:themeColor="text1"/>
                <w:sz w:val="16"/>
                <w:szCs w:val="16"/>
                <w:vertAlign w:val="subscript"/>
                <w:lang w:eastAsia="ja-JP"/>
              </w:rPr>
              <w:t>C</w:t>
            </w:r>
          </w:p>
        </w:tc>
        <w:tc>
          <w:tcPr>
            <w:tcW w:w="1340" w:type="dxa"/>
            <w:vAlign w:val="center"/>
          </w:tcPr>
          <w:p w14:paraId="0650386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b/>
                <w:bCs/>
                <w:color w:val="000000" w:themeColor="text1"/>
                <w:sz w:val="16"/>
                <w:szCs w:val="16"/>
                <w:lang w:eastAsia="ja-JP"/>
              </w:rPr>
            </w:pPr>
            <w:r w:rsidRPr="005E6B7C">
              <w:rPr>
                <w:rFonts w:asciiTheme="majorHAnsi" w:eastAsia="Symbol" w:hAnsiTheme="majorHAnsi" w:cstheme="majorHAnsi"/>
                <w:b/>
                <w:i/>
                <w:color w:val="000000" w:themeColor="text1"/>
                <w:sz w:val="16"/>
                <w:szCs w:val="16"/>
                <w:lang w:eastAsia="ja-JP"/>
              </w:rPr>
              <w:sym w:font="Symbol" w:char="F064"/>
            </w:r>
            <w:r w:rsidRPr="005E6B7C">
              <w:rPr>
                <w:rFonts w:asciiTheme="majorHAnsi" w:eastAsia="Yu Mincho" w:hAnsiTheme="majorHAnsi" w:cstheme="majorHAnsi"/>
                <w:b/>
                <w:color w:val="000000" w:themeColor="text1"/>
                <w:sz w:val="16"/>
                <w:szCs w:val="16"/>
                <w:vertAlign w:val="subscript"/>
                <w:lang w:eastAsia="ja-JP"/>
              </w:rPr>
              <w:t>H</w:t>
            </w:r>
            <w:r w:rsidRPr="005E6B7C">
              <w:rPr>
                <w:rFonts w:asciiTheme="majorHAnsi" w:eastAsia="Yu Mincho" w:hAnsiTheme="majorHAnsi" w:cstheme="majorHAnsi"/>
                <w:b/>
                <w:color w:val="000000" w:themeColor="text1"/>
                <w:sz w:val="16"/>
                <w:szCs w:val="16"/>
                <w:lang w:eastAsia="ja-JP"/>
              </w:rPr>
              <w:t xml:space="preserve">, mult, </w:t>
            </w:r>
            <w:r w:rsidRPr="005E6B7C">
              <w:rPr>
                <w:rFonts w:asciiTheme="majorHAnsi" w:eastAsia="Yu Mincho" w:hAnsiTheme="majorHAnsi" w:cstheme="majorHAnsi"/>
                <w:b/>
                <w:i/>
                <w:iCs/>
                <w:color w:val="000000" w:themeColor="text1"/>
                <w:sz w:val="16"/>
                <w:szCs w:val="16"/>
                <w:lang w:eastAsia="ja-JP"/>
              </w:rPr>
              <w:t>J</w:t>
            </w:r>
            <w:r w:rsidRPr="005E6B7C">
              <w:rPr>
                <w:rFonts w:asciiTheme="majorHAnsi" w:eastAsia="Yu Mincho" w:hAnsiTheme="majorHAnsi" w:cstheme="majorHAnsi"/>
                <w:b/>
                <w:color w:val="000000" w:themeColor="text1"/>
                <w:sz w:val="16"/>
                <w:szCs w:val="16"/>
                <w:lang w:eastAsia="ja-JP"/>
              </w:rPr>
              <w:t xml:space="preserve"> (Hz)</w:t>
            </w:r>
          </w:p>
        </w:tc>
      </w:tr>
      <w:tr w:rsidR="008C0D47" w:rsidRPr="005E6B7C" w14:paraId="5CA3E45F" w14:textId="77777777" w:rsidTr="008C0D47">
        <w:trPr>
          <w:gridAfter w:val="1"/>
          <w:wAfter w:w="7" w:type="dxa"/>
          <w:trHeight w:val="43"/>
          <w:jc w:val="center"/>
        </w:trPr>
        <w:tc>
          <w:tcPr>
            <w:tcW w:w="493" w:type="dxa"/>
            <w:vAlign w:val="center"/>
          </w:tcPr>
          <w:p w14:paraId="2F7B83D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w:t>
            </w:r>
          </w:p>
        </w:tc>
        <w:tc>
          <w:tcPr>
            <w:tcW w:w="485" w:type="dxa"/>
            <w:vAlign w:val="center"/>
          </w:tcPr>
          <w:p w14:paraId="307E4AD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74.9</w:t>
            </w:r>
          </w:p>
        </w:tc>
        <w:tc>
          <w:tcPr>
            <w:tcW w:w="1394" w:type="dxa"/>
            <w:vAlign w:val="center"/>
          </w:tcPr>
          <w:p w14:paraId="780AE61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4.31, q, 12.0 Hz</w:t>
            </w:r>
          </w:p>
        </w:tc>
        <w:tc>
          <w:tcPr>
            <w:tcW w:w="551" w:type="dxa"/>
            <w:vAlign w:val="center"/>
          </w:tcPr>
          <w:p w14:paraId="63459EA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146.6</w:t>
            </w:r>
          </w:p>
        </w:tc>
        <w:tc>
          <w:tcPr>
            <w:tcW w:w="1163" w:type="dxa"/>
            <w:vAlign w:val="center"/>
          </w:tcPr>
          <w:p w14:paraId="00E45E6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7.35, s</w:t>
            </w:r>
          </w:p>
        </w:tc>
        <w:tc>
          <w:tcPr>
            <w:tcW w:w="491" w:type="dxa"/>
            <w:vAlign w:val="center"/>
          </w:tcPr>
          <w:p w14:paraId="1FD9D61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138.0</w:t>
            </w:r>
          </w:p>
        </w:tc>
        <w:tc>
          <w:tcPr>
            <w:tcW w:w="1103" w:type="dxa"/>
            <w:vAlign w:val="center"/>
          </w:tcPr>
          <w:p w14:paraId="02F6284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7.76, s</w:t>
            </w:r>
          </w:p>
        </w:tc>
        <w:tc>
          <w:tcPr>
            <w:tcW w:w="459" w:type="dxa"/>
            <w:vAlign w:val="center"/>
          </w:tcPr>
          <w:p w14:paraId="62575BC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68.2</w:t>
            </w:r>
          </w:p>
        </w:tc>
        <w:tc>
          <w:tcPr>
            <w:tcW w:w="1287" w:type="dxa"/>
            <w:vAlign w:val="center"/>
          </w:tcPr>
          <w:p w14:paraId="4C69023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4.26, dd, 12.0, 10.8, Hz</w:t>
            </w:r>
          </w:p>
        </w:tc>
        <w:tc>
          <w:tcPr>
            <w:tcW w:w="459" w:type="dxa"/>
            <w:vAlign w:val="center"/>
          </w:tcPr>
          <w:p w14:paraId="399C1EC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67.4</w:t>
            </w:r>
          </w:p>
        </w:tc>
        <w:tc>
          <w:tcPr>
            <w:tcW w:w="1342" w:type="dxa"/>
            <w:vAlign w:val="center"/>
          </w:tcPr>
          <w:p w14:paraId="3556C3D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3.83, dd, 13.6; 10.8 Hz</w:t>
            </w:r>
          </w:p>
        </w:tc>
      </w:tr>
      <w:tr w:rsidR="008C0D47" w:rsidRPr="005E6B7C" w14:paraId="76594B85" w14:textId="77777777" w:rsidTr="008C0D47">
        <w:trPr>
          <w:gridAfter w:val="1"/>
          <w:wAfter w:w="7" w:type="dxa"/>
          <w:trHeight w:val="339"/>
          <w:jc w:val="center"/>
        </w:trPr>
        <w:tc>
          <w:tcPr>
            <w:tcW w:w="493" w:type="dxa"/>
            <w:vAlign w:val="center"/>
          </w:tcPr>
          <w:p w14:paraId="167D057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85" w:type="dxa"/>
            <w:vAlign w:val="center"/>
          </w:tcPr>
          <w:p w14:paraId="5547E18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94" w:type="dxa"/>
            <w:vAlign w:val="center"/>
          </w:tcPr>
          <w:p w14:paraId="41A4BBF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551" w:type="dxa"/>
            <w:vAlign w:val="center"/>
          </w:tcPr>
          <w:p w14:paraId="064A63C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63" w:type="dxa"/>
            <w:vAlign w:val="center"/>
          </w:tcPr>
          <w:p w14:paraId="6EE19E7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91" w:type="dxa"/>
            <w:vAlign w:val="center"/>
          </w:tcPr>
          <w:p w14:paraId="79ABB30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03" w:type="dxa"/>
            <w:vAlign w:val="center"/>
          </w:tcPr>
          <w:p w14:paraId="4AFFE9B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59" w:type="dxa"/>
            <w:vAlign w:val="center"/>
          </w:tcPr>
          <w:p w14:paraId="15B0C3E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287" w:type="dxa"/>
            <w:vAlign w:val="center"/>
          </w:tcPr>
          <w:p w14:paraId="3958E85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4.52, dd, 10.8; 4.8 Hz</w:t>
            </w:r>
          </w:p>
        </w:tc>
        <w:tc>
          <w:tcPr>
            <w:tcW w:w="459" w:type="dxa"/>
            <w:vAlign w:val="center"/>
          </w:tcPr>
          <w:p w14:paraId="2AE9910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42" w:type="dxa"/>
            <w:vAlign w:val="center"/>
          </w:tcPr>
          <w:p w14:paraId="5D6E950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4.37, dd, 10.8; 5.2 Hz</w:t>
            </w:r>
          </w:p>
        </w:tc>
      </w:tr>
      <w:tr w:rsidR="008C0D47" w:rsidRPr="005E6B7C" w14:paraId="187C4830" w14:textId="77777777" w:rsidTr="008C0D47">
        <w:trPr>
          <w:gridAfter w:val="1"/>
          <w:wAfter w:w="7" w:type="dxa"/>
          <w:trHeight w:val="162"/>
          <w:jc w:val="center"/>
        </w:trPr>
        <w:tc>
          <w:tcPr>
            <w:tcW w:w="493" w:type="dxa"/>
            <w:vAlign w:val="center"/>
          </w:tcPr>
          <w:p w14:paraId="5AB31CC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w:t>
            </w:r>
          </w:p>
        </w:tc>
        <w:tc>
          <w:tcPr>
            <w:tcW w:w="485" w:type="dxa"/>
            <w:vAlign w:val="center"/>
          </w:tcPr>
          <w:p w14:paraId="246515D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162.3</w:t>
            </w:r>
          </w:p>
        </w:tc>
        <w:tc>
          <w:tcPr>
            <w:tcW w:w="1394" w:type="dxa"/>
            <w:vAlign w:val="center"/>
          </w:tcPr>
          <w:p w14:paraId="55033DA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68F15FF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156.7</w:t>
            </w:r>
          </w:p>
        </w:tc>
        <w:tc>
          <w:tcPr>
            <w:tcW w:w="1163" w:type="dxa"/>
            <w:vAlign w:val="center"/>
          </w:tcPr>
          <w:p w14:paraId="0EFC7D0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4287527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145.5</w:t>
            </w:r>
          </w:p>
        </w:tc>
        <w:tc>
          <w:tcPr>
            <w:tcW w:w="1103" w:type="dxa"/>
            <w:vAlign w:val="center"/>
          </w:tcPr>
          <w:p w14:paraId="5C73702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1893AD0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163.0</w:t>
            </w:r>
          </w:p>
        </w:tc>
        <w:tc>
          <w:tcPr>
            <w:tcW w:w="1287" w:type="dxa"/>
            <w:vAlign w:val="center"/>
          </w:tcPr>
          <w:p w14:paraId="746160D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75DF28C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163.4</w:t>
            </w:r>
          </w:p>
        </w:tc>
        <w:tc>
          <w:tcPr>
            <w:tcW w:w="1342" w:type="dxa"/>
            <w:vAlign w:val="center"/>
          </w:tcPr>
          <w:p w14:paraId="0D2D28A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2C5619A7" w14:textId="77777777" w:rsidTr="008C0D47">
        <w:trPr>
          <w:gridAfter w:val="1"/>
          <w:wAfter w:w="7" w:type="dxa"/>
          <w:trHeight w:val="169"/>
          <w:jc w:val="center"/>
        </w:trPr>
        <w:tc>
          <w:tcPr>
            <w:tcW w:w="493" w:type="dxa"/>
            <w:vAlign w:val="center"/>
          </w:tcPr>
          <w:p w14:paraId="72EA068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w:t>
            </w:r>
          </w:p>
        </w:tc>
        <w:tc>
          <w:tcPr>
            <w:tcW w:w="485" w:type="dxa"/>
            <w:vAlign w:val="center"/>
          </w:tcPr>
          <w:p w14:paraId="1709E9A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101.9</w:t>
            </w:r>
          </w:p>
        </w:tc>
        <w:tc>
          <w:tcPr>
            <w:tcW w:w="1394" w:type="dxa"/>
            <w:vAlign w:val="center"/>
          </w:tcPr>
          <w:p w14:paraId="725649F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6.04, s</w:t>
            </w:r>
          </w:p>
        </w:tc>
        <w:tc>
          <w:tcPr>
            <w:tcW w:w="551" w:type="dxa"/>
            <w:vAlign w:val="center"/>
          </w:tcPr>
          <w:p w14:paraId="59B9E74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106.5</w:t>
            </w:r>
          </w:p>
        </w:tc>
        <w:tc>
          <w:tcPr>
            <w:tcW w:w="1163" w:type="dxa"/>
            <w:vAlign w:val="center"/>
          </w:tcPr>
          <w:p w14:paraId="4BE9DAD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6.55, s</w:t>
            </w:r>
          </w:p>
        </w:tc>
        <w:tc>
          <w:tcPr>
            <w:tcW w:w="491" w:type="dxa"/>
            <w:vAlign w:val="center"/>
          </w:tcPr>
          <w:p w14:paraId="3A97B4E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110.0</w:t>
            </w:r>
          </w:p>
        </w:tc>
        <w:tc>
          <w:tcPr>
            <w:tcW w:w="1103" w:type="dxa"/>
            <w:vAlign w:val="center"/>
          </w:tcPr>
          <w:p w14:paraId="6905172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6.76, s</w:t>
            </w:r>
          </w:p>
        </w:tc>
        <w:tc>
          <w:tcPr>
            <w:tcW w:w="459" w:type="dxa"/>
            <w:vAlign w:val="center"/>
          </w:tcPr>
          <w:p w14:paraId="768B4FF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102.2</w:t>
            </w:r>
          </w:p>
        </w:tc>
        <w:tc>
          <w:tcPr>
            <w:tcW w:w="1287" w:type="dxa"/>
            <w:vAlign w:val="center"/>
          </w:tcPr>
          <w:p w14:paraId="5988BBD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6.10, s</w:t>
            </w:r>
          </w:p>
        </w:tc>
        <w:tc>
          <w:tcPr>
            <w:tcW w:w="459" w:type="dxa"/>
            <w:vAlign w:val="center"/>
          </w:tcPr>
          <w:p w14:paraId="67F1611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101.6</w:t>
            </w:r>
          </w:p>
        </w:tc>
        <w:tc>
          <w:tcPr>
            <w:tcW w:w="1342" w:type="dxa"/>
            <w:vAlign w:val="center"/>
          </w:tcPr>
          <w:p w14:paraId="322764E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6.12, s</w:t>
            </w:r>
          </w:p>
        </w:tc>
      </w:tr>
      <w:tr w:rsidR="008C0D47" w:rsidRPr="005E6B7C" w14:paraId="2CCF4CA1" w14:textId="77777777" w:rsidTr="008C0D47">
        <w:trPr>
          <w:gridAfter w:val="1"/>
          <w:wAfter w:w="7" w:type="dxa"/>
          <w:trHeight w:val="169"/>
          <w:jc w:val="center"/>
        </w:trPr>
        <w:tc>
          <w:tcPr>
            <w:tcW w:w="493" w:type="dxa"/>
            <w:vAlign w:val="center"/>
          </w:tcPr>
          <w:p w14:paraId="7E22F68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4a</w:t>
            </w:r>
          </w:p>
        </w:tc>
        <w:tc>
          <w:tcPr>
            <w:tcW w:w="485" w:type="dxa"/>
            <w:vAlign w:val="center"/>
          </w:tcPr>
          <w:p w14:paraId="1E598C1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146.2</w:t>
            </w:r>
          </w:p>
        </w:tc>
        <w:tc>
          <w:tcPr>
            <w:tcW w:w="1394" w:type="dxa"/>
            <w:vAlign w:val="center"/>
          </w:tcPr>
          <w:p w14:paraId="6C60146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29B1D32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140.4</w:t>
            </w:r>
          </w:p>
        </w:tc>
        <w:tc>
          <w:tcPr>
            <w:tcW w:w="1163" w:type="dxa"/>
            <w:vAlign w:val="center"/>
          </w:tcPr>
          <w:p w14:paraId="25FE1EC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3105846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146.1</w:t>
            </w:r>
          </w:p>
        </w:tc>
        <w:tc>
          <w:tcPr>
            <w:tcW w:w="1103" w:type="dxa"/>
            <w:vAlign w:val="center"/>
          </w:tcPr>
          <w:p w14:paraId="3BB51B1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162CC18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145.7</w:t>
            </w:r>
          </w:p>
        </w:tc>
        <w:tc>
          <w:tcPr>
            <w:tcW w:w="1287" w:type="dxa"/>
            <w:vAlign w:val="center"/>
          </w:tcPr>
          <w:p w14:paraId="4E0A216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2BD6F5C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145.7</w:t>
            </w:r>
          </w:p>
        </w:tc>
        <w:tc>
          <w:tcPr>
            <w:tcW w:w="1342" w:type="dxa"/>
            <w:vAlign w:val="center"/>
          </w:tcPr>
          <w:p w14:paraId="709F5D6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44EFA999" w14:textId="77777777" w:rsidTr="008C0D47">
        <w:trPr>
          <w:gridAfter w:val="1"/>
          <w:wAfter w:w="7" w:type="dxa"/>
          <w:trHeight w:val="162"/>
          <w:jc w:val="center"/>
        </w:trPr>
        <w:tc>
          <w:tcPr>
            <w:tcW w:w="493" w:type="dxa"/>
            <w:vAlign w:val="center"/>
          </w:tcPr>
          <w:p w14:paraId="27BB7B0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w:t>
            </w:r>
          </w:p>
        </w:tc>
        <w:tc>
          <w:tcPr>
            <w:tcW w:w="485" w:type="dxa"/>
            <w:vAlign w:val="center"/>
          </w:tcPr>
          <w:p w14:paraId="5E6C954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120.1</w:t>
            </w:r>
          </w:p>
        </w:tc>
        <w:tc>
          <w:tcPr>
            <w:tcW w:w="1394" w:type="dxa"/>
            <w:vAlign w:val="center"/>
          </w:tcPr>
          <w:p w14:paraId="06A708A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71C39AF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107.8</w:t>
            </w:r>
          </w:p>
        </w:tc>
        <w:tc>
          <w:tcPr>
            <w:tcW w:w="1163" w:type="dxa"/>
            <w:vAlign w:val="center"/>
          </w:tcPr>
          <w:p w14:paraId="781CAED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63734E1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102.1</w:t>
            </w:r>
          </w:p>
        </w:tc>
        <w:tc>
          <w:tcPr>
            <w:tcW w:w="1103" w:type="dxa"/>
            <w:vAlign w:val="center"/>
          </w:tcPr>
          <w:p w14:paraId="5988249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47F789E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115.4</w:t>
            </w:r>
          </w:p>
        </w:tc>
        <w:tc>
          <w:tcPr>
            <w:tcW w:w="1287" w:type="dxa"/>
            <w:vAlign w:val="center"/>
          </w:tcPr>
          <w:p w14:paraId="7E71976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6214969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118.5</w:t>
            </w:r>
          </w:p>
        </w:tc>
        <w:tc>
          <w:tcPr>
            <w:tcW w:w="1342" w:type="dxa"/>
            <w:vAlign w:val="center"/>
          </w:tcPr>
          <w:p w14:paraId="4AE16BC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29368B97" w14:textId="77777777" w:rsidTr="008C0D47">
        <w:trPr>
          <w:gridAfter w:val="1"/>
          <w:wAfter w:w="7" w:type="dxa"/>
          <w:trHeight w:val="169"/>
          <w:jc w:val="center"/>
        </w:trPr>
        <w:tc>
          <w:tcPr>
            <w:tcW w:w="493" w:type="dxa"/>
            <w:vAlign w:val="center"/>
          </w:tcPr>
          <w:p w14:paraId="394A2E4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w:t>
            </w:r>
          </w:p>
        </w:tc>
        <w:tc>
          <w:tcPr>
            <w:tcW w:w="485" w:type="dxa"/>
            <w:vAlign w:val="center"/>
          </w:tcPr>
          <w:p w14:paraId="6DDED9A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195.3</w:t>
            </w:r>
          </w:p>
        </w:tc>
        <w:tc>
          <w:tcPr>
            <w:tcW w:w="1394" w:type="dxa"/>
            <w:vAlign w:val="center"/>
          </w:tcPr>
          <w:p w14:paraId="195180F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46FCCED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191.6</w:t>
            </w:r>
          </w:p>
        </w:tc>
        <w:tc>
          <w:tcPr>
            <w:tcW w:w="1163" w:type="dxa"/>
            <w:vAlign w:val="center"/>
          </w:tcPr>
          <w:p w14:paraId="6B97C16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5484B81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183.6</w:t>
            </w:r>
          </w:p>
        </w:tc>
        <w:tc>
          <w:tcPr>
            <w:tcW w:w="1103" w:type="dxa"/>
            <w:vAlign w:val="center"/>
          </w:tcPr>
          <w:p w14:paraId="0296CB1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427D122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192.8</w:t>
            </w:r>
          </w:p>
        </w:tc>
        <w:tc>
          <w:tcPr>
            <w:tcW w:w="1287" w:type="dxa"/>
            <w:vAlign w:val="center"/>
          </w:tcPr>
          <w:p w14:paraId="532D969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779BD5D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187.1</w:t>
            </w:r>
          </w:p>
        </w:tc>
        <w:tc>
          <w:tcPr>
            <w:tcW w:w="1342" w:type="dxa"/>
            <w:vAlign w:val="center"/>
          </w:tcPr>
          <w:p w14:paraId="306837E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78288412" w14:textId="77777777" w:rsidTr="008C0D47">
        <w:trPr>
          <w:gridAfter w:val="1"/>
          <w:wAfter w:w="7" w:type="dxa"/>
          <w:trHeight w:val="169"/>
          <w:jc w:val="center"/>
        </w:trPr>
        <w:tc>
          <w:tcPr>
            <w:tcW w:w="493" w:type="dxa"/>
            <w:vAlign w:val="center"/>
          </w:tcPr>
          <w:p w14:paraId="2C95E97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w:t>
            </w:r>
          </w:p>
        </w:tc>
        <w:tc>
          <w:tcPr>
            <w:tcW w:w="485" w:type="dxa"/>
            <w:vAlign w:val="center"/>
          </w:tcPr>
          <w:p w14:paraId="0E292F6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78.3</w:t>
            </w:r>
          </w:p>
        </w:tc>
        <w:tc>
          <w:tcPr>
            <w:tcW w:w="1394" w:type="dxa"/>
            <w:vAlign w:val="center"/>
          </w:tcPr>
          <w:p w14:paraId="5D0C415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7F2537F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76.3</w:t>
            </w:r>
          </w:p>
        </w:tc>
        <w:tc>
          <w:tcPr>
            <w:tcW w:w="1163" w:type="dxa"/>
            <w:vAlign w:val="center"/>
          </w:tcPr>
          <w:p w14:paraId="51E0201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0504E29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85.9</w:t>
            </w:r>
          </w:p>
        </w:tc>
        <w:tc>
          <w:tcPr>
            <w:tcW w:w="1103" w:type="dxa"/>
            <w:vAlign w:val="center"/>
          </w:tcPr>
          <w:p w14:paraId="27749D2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4DF50FE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77.3</w:t>
            </w:r>
          </w:p>
        </w:tc>
        <w:tc>
          <w:tcPr>
            <w:tcW w:w="1287" w:type="dxa"/>
            <w:vAlign w:val="center"/>
          </w:tcPr>
          <w:p w14:paraId="4D6F152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1995D2E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74.9</w:t>
            </w:r>
          </w:p>
        </w:tc>
        <w:tc>
          <w:tcPr>
            <w:tcW w:w="1342" w:type="dxa"/>
            <w:vAlign w:val="center"/>
          </w:tcPr>
          <w:p w14:paraId="23C92F4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198F3240" w14:textId="77777777" w:rsidTr="008C0D47">
        <w:trPr>
          <w:gridAfter w:val="1"/>
          <w:wAfter w:w="7" w:type="dxa"/>
          <w:trHeight w:val="43"/>
          <w:jc w:val="center"/>
        </w:trPr>
        <w:tc>
          <w:tcPr>
            <w:tcW w:w="493" w:type="dxa"/>
            <w:vAlign w:val="center"/>
          </w:tcPr>
          <w:p w14:paraId="455FA45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w:t>
            </w:r>
          </w:p>
        </w:tc>
        <w:tc>
          <w:tcPr>
            <w:tcW w:w="485" w:type="dxa"/>
            <w:vAlign w:val="center"/>
          </w:tcPr>
          <w:p w14:paraId="01309CE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79.2</w:t>
            </w:r>
          </w:p>
        </w:tc>
        <w:tc>
          <w:tcPr>
            <w:tcW w:w="1394" w:type="dxa"/>
            <w:vAlign w:val="center"/>
          </w:tcPr>
          <w:p w14:paraId="4100616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3.81, s</w:t>
            </w:r>
          </w:p>
        </w:tc>
        <w:tc>
          <w:tcPr>
            <w:tcW w:w="551" w:type="dxa"/>
            <w:vAlign w:val="center"/>
          </w:tcPr>
          <w:p w14:paraId="757351A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71.7</w:t>
            </w:r>
          </w:p>
        </w:tc>
        <w:tc>
          <w:tcPr>
            <w:tcW w:w="1163" w:type="dxa"/>
            <w:vAlign w:val="center"/>
          </w:tcPr>
          <w:p w14:paraId="6411217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4.35, s</w:t>
            </w:r>
          </w:p>
        </w:tc>
        <w:tc>
          <w:tcPr>
            <w:tcW w:w="491" w:type="dxa"/>
            <w:vAlign w:val="center"/>
          </w:tcPr>
          <w:p w14:paraId="6DF88EA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193.4</w:t>
            </w:r>
          </w:p>
        </w:tc>
        <w:tc>
          <w:tcPr>
            <w:tcW w:w="1103" w:type="dxa"/>
            <w:vAlign w:val="center"/>
          </w:tcPr>
          <w:p w14:paraId="73849CC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3DF753C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73.6</w:t>
            </w:r>
          </w:p>
        </w:tc>
        <w:tc>
          <w:tcPr>
            <w:tcW w:w="1287" w:type="dxa"/>
            <w:vAlign w:val="center"/>
          </w:tcPr>
          <w:p w14:paraId="545663A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4.13, d, 3.2 Hz</w:t>
            </w:r>
          </w:p>
        </w:tc>
        <w:tc>
          <w:tcPr>
            <w:tcW w:w="459" w:type="dxa"/>
            <w:vAlign w:val="center"/>
          </w:tcPr>
          <w:p w14:paraId="0B0953A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73.2</w:t>
            </w:r>
          </w:p>
        </w:tc>
        <w:tc>
          <w:tcPr>
            <w:tcW w:w="1342" w:type="dxa"/>
            <w:vAlign w:val="center"/>
          </w:tcPr>
          <w:p w14:paraId="7FDB426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5.01, d, 10.4 Hz</w:t>
            </w:r>
          </w:p>
        </w:tc>
      </w:tr>
      <w:tr w:rsidR="008C0D47" w:rsidRPr="005E6B7C" w14:paraId="46160FB2" w14:textId="77777777" w:rsidTr="008C0D47">
        <w:trPr>
          <w:gridAfter w:val="1"/>
          <w:wAfter w:w="7" w:type="dxa"/>
          <w:trHeight w:val="169"/>
          <w:jc w:val="center"/>
        </w:trPr>
        <w:tc>
          <w:tcPr>
            <w:tcW w:w="493" w:type="dxa"/>
            <w:vAlign w:val="center"/>
          </w:tcPr>
          <w:p w14:paraId="25878A0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8a</w:t>
            </w:r>
          </w:p>
        </w:tc>
        <w:tc>
          <w:tcPr>
            <w:tcW w:w="485" w:type="dxa"/>
            <w:vAlign w:val="center"/>
          </w:tcPr>
          <w:p w14:paraId="5BC6308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69.0</w:t>
            </w:r>
          </w:p>
        </w:tc>
        <w:tc>
          <w:tcPr>
            <w:tcW w:w="1394" w:type="dxa"/>
            <w:vAlign w:val="center"/>
          </w:tcPr>
          <w:p w14:paraId="5D3FFDD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02905D5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116.9</w:t>
            </w:r>
          </w:p>
        </w:tc>
        <w:tc>
          <w:tcPr>
            <w:tcW w:w="1163" w:type="dxa"/>
            <w:vAlign w:val="center"/>
          </w:tcPr>
          <w:p w14:paraId="7759D6B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15BC7DC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113.8</w:t>
            </w:r>
          </w:p>
        </w:tc>
        <w:tc>
          <w:tcPr>
            <w:tcW w:w="1103" w:type="dxa"/>
            <w:vAlign w:val="center"/>
          </w:tcPr>
          <w:p w14:paraId="7B32B45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569C384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36.9</w:t>
            </w:r>
          </w:p>
        </w:tc>
        <w:tc>
          <w:tcPr>
            <w:tcW w:w="1287" w:type="dxa"/>
            <w:vAlign w:val="center"/>
          </w:tcPr>
          <w:p w14:paraId="4228D40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3.07, m</w:t>
            </w:r>
          </w:p>
        </w:tc>
        <w:tc>
          <w:tcPr>
            <w:tcW w:w="459" w:type="dxa"/>
            <w:vAlign w:val="center"/>
          </w:tcPr>
          <w:p w14:paraId="2D802DD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35.6</w:t>
            </w:r>
          </w:p>
        </w:tc>
        <w:tc>
          <w:tcPr>
            <w:tcW w:w="1342" w:type="dxa"/>
            <w:vAlign w:val="center"/>
          </w:tcPr>
          <w:p w14:paraId="296C982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3.45, m</w:t>
            </w:r>
          </w:p>
        </w:tc>
      </w:tr>
      <w:tr w:rsidR="008C0D47" w:rsidRPr="005E6B7C" w14:paraId="141AA0A4" w14:textId="77777777" w:rsidTr="008C0D47">
        <w:trPr>
          <w:gridAfter w:val="1"/>
          <w:wAfter w:w="7" w:type="dxa"/>
          <w:trHeight w:val="43"/>
          <w:jc w:val="center"/>
        </w:trPr>
        <w:tc>
          <w:tcPr>
            <w:tcW w:w="493" w:type="dxa"/>
            <w:vAlign w:val="center"/>
          </w:tcPr>
          <w:p w14:paraId="5764FF5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9</w:t>
            </w:r>
          </w:p>
        </w:tc>
        <w:tc>
          <w:tcPr>
            <w:tcW w:w="485" w:type="dxa"/>
            <w:vAlign w:val="center"/>
          </w:tcPr>
          <w:p w14:paraId="58A4D17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122.7</w:t>
            </w:r>
          </w:p>
        </w:tc>
        <w:tc>
          <w:tcPr>
            <w:tcW w:w="1394" w:type="dxa"/>
            <w:vAlign w:val="center"/>
          </w:tcPr>
          <w:p w14:paraId="4603F3A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6.29, d, 15.6 Hz</w:t>
            </w:r>
          </w:p>
        </w:tc>
        <w:tc>
          <w:tcPr>
            <w:tcW w:w="551" w:type="dxa"/>
            <w:vAlign w:val="center"/>
          </w:tcPr>
          <w:p w14:paraId="27C886C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120.3</w:t>
            </w:r>
          </w:p>
        </w:tc>
        <w:tc>
          <w:tcPr>
            <w:tcW w:w="1163" w:type="dxa"/>
            <w:vAlign w:val="center"/>
          </w:tcPr>
          <w:p w14:paraId="52E8102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6.41, d, 15.2 Hz</w:t>
            </w:r>
          </w:p>
        </w:tc>
        <w:tc>
          <w:tcPr>
            <w:tcW w:w="491" w:type="dxa"/>
            <w:vAlign w:val="center"/>
          </w:tcPr>
          <w:p w14:paraId="767E23F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116.1</w:t>
            </w:r>
          </w:p>
        </w:tc>
        <w:tc>
          <w:tcPr>
            <w:tcW w:w="1103" w:type="dxa"/>
            <w:vAlign w:val="center"/>
          </w:tcPr>
          <w:p w14:paraId="60378AC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6.05, d, 16.0 Hz</w:t>
            </w:r>
          </w:p>
        </w:tc>
        <w:tc>
          <w:tcPr>
            <w:tcW w:w="459" w:type="dxa"/>
            <w:vAlign w:val="center"/>
          </w:tcPr>
          <w:p w14:paraId="5B23121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118.9</w:t>
            </w:r>
          </w:p>
        </w:tc>
        <w:tc>
          <w:tcPr>
            <w:tcW w:w="1287" w:type="dxa"/>
            <w:vAlign w:val="center"/>
          </w:tcPr>
          <w:p w14:paraId="6B7A16A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6.00, d, 15.6 Hz</w:t>
            </w:r>
          </w:p>
        </w:tc>
        <w:tc>
          <w:tcPr>
            <w:tcW w:w="459" w:type="dxa"/>
            <w:vAlign w:val="center"/>
          </w:tcPr>
          <w:p w14:paraId="697A5E4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118.9</w:t>
            </w:r>
          </w:p>
        </w:tc>
        <w:tc>
          <w:tcPr>
            <w:tcW w:w="1342" w:type="dxa"/>
            <w:vAlign w:val="center"/>
          </w:tcPr>
          <w:p w14:paraId="167EA8B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5.99, d, 15.2 Hz</w:t>
            </w:r>
          </w:p>
        </w:tc>
      </w:tr>
      <w:tr w:rsidR="008C0D47" w:rsidRPr="005E6B7C" w14:paraId="61A6756B" w14:textId="77777777" w:rsidTr="008C0D47">
        <w:trPr>
          <w:gridAfter w:val="1"/>
          <w:wAfter w:w="7" w:type="dxa"/>
          <w:trHeight w:val="43"/>
          <w:jc w:val="center"/>
        </w:trPr>
        <w:tc>
          <w:tcPr>
            <w:tcW w:w="493" w:type="dxa"/>
            <w:vAlign w:val="center"/>
          </w:tcPr>
          <w:p w14:paraId="5C915D3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w:t>
            </w:r>
          </w:p>
        </w:tc>
        <w:tc>
          <w:tcPr>
            <w:tcW w:w="485" w:type="dxa"/>
            <w:vAlign w:val="center"/>
          </w:tcPr>
          <w:p w14:paraId="4FB2C6B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145.1</w:t>
            </w:r>
          </w:p>
        </w:tc>
        <w:tc>
          <w:tcPr>
            <w:tcW w:w="1394" w:type="dxa"/>
            <w:vAlign w:val="center"/>
          </w:tcPr>
          <w:p w14:paraId="187D9D3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6.76, d, 15.6 Hz</w:t>
            </w:r>
          </w:p>
        </w:tc>
        <w:tc>
          <w:tcPr>
            <w:tcW w:w="551" w:type="dxa"/>
            <w:vAlign w:val="center"/>
          </w:tcPr>
          <w:p w14:paraId="07F1DDC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144.9</w:t>
            </w:r>
          </w:p>
        </w:tc>
        <w:tc>
          <w:tcPr>
            <w:tcW w:w="1163" w:type="dxa"/>
            <w:vAlign w:val="center"/>
          </w:tcPr>
          <w:p w14:paraId="64D6683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6.64, d, 15.2 Hz</w:t>
            </w:r>
          </w:p>
        </w:tc>
        <w:tc>
          <w:tcPr>
            <w:tcW w:w="491" w:type="dxa"/>
            <w:vAlign w:val="center"/>
          </w:tcPr>
          <w:p w14:paraId="2CA576A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142.5</w:t>
            </w:r>
          </w:p>
        </w:tc>
        <w:tc>
          <w:tcPr>
            <w:tcW w:w="1103" w:type="dxa"/>
            <w:vAlign w:val="center"/>
          </w:tcPr>
          <w:p w14:paraId="62C4CCB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6.91, d, 16.0 Hz</w:t>
            </w:r>
          </w:p>
        </w:tc>
        <w:tc>
          <w:tcPr>
            <w:tcW w:w="459" w:type="dxa"/>
            <w:vAlign w:val="center"/>
          </w:tcPr>
          <w:p w14:paraId="7C224DC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142.0</w:t>
            </w:r>
          </w:p>
        </w:tc>
        <w:tc>
          <w:tcPr>
            <w:tcW w:w="1287" w:type="dxa"/>
            <w:vAlign w:val="center"/>
          </w:tcPr>
          <w:p w14:paraId="4B0E85D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7.01, d, 15.6 Hz</w:t>
            </w:r>
          </w:p>
        </w:tc>
        <w:tc>
          <w:tcPr>
            <w:tcW w:w="459" w:type="dxa"/>
            <w:vAlign w:val="center"/>
          </w:tcPr>
          <w:p w14:paraId="63A6482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142.0</w:t>
            </w:r>
          </w:p>
        </w:tc>
        <w:tc>
          <w:tcPr>
            <w:tcW w:w="1342" w:type="dxa"/>
            <w:vAlign w:val="center"/>
          </w:tcPr>
          <w:p w14:paraId="7D2A7A6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6.97, d, 15.2 Hz</w:t>
            </w:r>
          </w:p>
        </w:tc>
      </w:tr>
      <w:tr w:rsidR="008C0D47" w:rsidRPr="005E6B7C" w14:paraId="44CA9EA8" w14:textId="77777777" w:rsidTr="008C0D47">
        <w:trPr>
          <w:gridAfter w:val="1"/>
          <w:wAfter w:w="7" w:type="dxa"/>
          <w:trHeight w:val="169"/>
          <w:jc w:val="center"/>
        </w:trPr>
        <w:tc>
          <w:tcPr>
            <w:tcW w:w="493" w:type="dxa"/>
            <w:vAlign w:val="center"/>
          </w:tcPr>
          <w:p w14:paraId="49F3661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w:t>
            </w:r>
          </w:p>
        </w:tc>
        <w:tc>
          <w:tcPr>
            <w:tcW w:w="485" w:type="dxa"/>
            <w:vAlign w:val="center"/>
          </w:tcPr>
          <w:p w14:paraId="19A10AA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76.8</w:t>
            </w:r>
          </w:p>
        </w:tc>
        <w:tc>
          <w:tcPr>
            <w:tcW w:w="1394" w:type="dxa"/>
            <w:vAlign w:val="center"/>
          </w:tcPr>
          <w:p w14:paraId="5222714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2301DC1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75.7</w:t>
            </w:r>
          </w:p>
        </w:tc>
        <w:tc>
          <w:tcPr>
            <w:tcW w:w="1163" w:type="dxa"/>
            <w:vAlign w:val="center"/>
          </w:tcPr>
          <w:p w14:paraId="1965498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69A222D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131.9</w:t>
            </w:r>
          </w:p>
        </w:tc>
        <w:tc>
          <w:tcPr>
            <w:tcW w:w="1103" w:type="dxa"/>
            <w:vAlign w:val="center"/>
          </w:tcPr>
          <w:p w14:paraId="0C20C36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6D9812A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132.3</w:t>
            </w:r>
          </w:p>
        </w:tc>
        <w:tc>
          <w:tcPr>
            <w:tcW w:w="1287" w:type="dxa"/>
            <w:vAlign w:val="center"/>
          </w:tcPr>
          <w:p w14:paraId="7E1188C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6152A73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132.3</w:t>
            </w:r>
          </w:p>
        </w:tc>
        <w:tc>
          <w:tcPr>
            <w:tcW w:w="1342" w:type="dxa"/>
            <w:vAlign w:val="center"/>
          </w:tcPr>
          <w:p w14:paraId="3AE6D6C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58A6F41C" w14:textId="77777777" w:rsidTr="008C0D47">
        <w:trPr>
          <w:gridAfter w:val="1"/>
          <w:wAfter w:w="7" w:type="dxa"/>
          <w:trHeight w:val="43"/>
          <w:jc w:val="center"/>
        </w:trPr>
        <w:tc>
          <w:tcPr>
            <w:tcW w:w="493" w:type="dxa"/>
            <w:vAlign w:val="center"/>
          </w:tcPr>
          <w:p w14:paraId="2C35715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lastRenderedPageBreak/>
              <w:t>12</w:t>
            </w:r>
          </w:p>
        </w:tc>
        <w:tc>
          <w:tcPr>
            <w:tcW w:w="485" w:type="dxa"/>
            <w:vAlign w:val="center"/>
          </w:tcPr>
          <w:p w14:paraId="194AF0E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81.0</w:t>
            </w:r>
          </w:p>
        </w:tc>
        <w:tc>
          <w:tcPr>
            <w:tcW w:w="1394" w:type="dxa"/>
            <w:vAlign w:val="center"/>
          </w:tcPr>
          <w:p w14:paraId="6B097C6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3.42, d, 2.4 Hz</w:t>
            </w:r>
          </w:p>
        </w:tc>
        <w:tc>
          <w:tcPr>
            <w:tcW w:w="551" w:type="dxa"/>
            <w:vAlign w:val="center"/>
          </w:tcPr>
          <w:p w14:paraId="37D263E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78.2</w:t>
            </w:r>
          </w:p>
        </w:tc>
        <w:tc>
          <w:tcPr>
            <w:tcW w:w="1163" w:type="dxa"/>
            <w:vAlign w:val="center"/>
          </w:tcPr>
          <w:p w14:paraId="1D4F31D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3.53, d, 1.2 Hz</w:t>
            </w:r>
          </w:p>
        </w:tc>
        <w:tc>
          <w:tcPr>
            <w:tcW w:w="491" w:type="dxa"/>
            <w:vAlign w:val="center"/>
          </w:tcPr>
          <w:p w14:paraId="3517741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148.8</w:t>
            </w:r>
          </w:p>
        </w:tc>
        <w:tc>
          <w:tcPr>
            <w:tcW w:w="1103" w:type="dxa"/>
            <w:vAlign w:val="center"/>
          </w:tcPr>
          <w:p w14:paraId="5FCD408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5.68, d, 9.6 Hz</w:t>
            </w:r>
          </w:p>
        </w:tc>
        <w:tc>
          <w:tcPr>
            <w:tcW w:w="459" w:type="dxa"/>
            <w:vAlign w:val="center"/>
          </w:tcPr>
          <w:p w14:paraId="75C7F3F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147.3</w:t>
            </w:r>
          </w:p>
        </w:tc>
        <w:tc>
          <w:tcPr>
            <w:tcW w:w="1287" w:type="dxa"/>
            <w:vAlign w:val="center"/>
          </w:tcPr>
          <w:p w14:paraId="12E7380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5.63, d, 9.6 Hz</w:t>
            </w:r>
          </w:p>
        </w:tc>
        <w:tc>
          <w:tcPr>
            <w:tcW w:w="459" w:type="dxa"/>
            <w:vAlign w:val="center"/>
          </w:tcPr>
          <w:p w14:paraId="75C478F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147.4</w:t>
            </w:r>
          </w:p>
        </w:tc>
        <w:tc>
          <w:tcPr>
            <w:tcW w:w="1342" w:type="dxa"/>
            <w:vAlign w:val="center"/>
          </w:tcPr>
          <w:p w14:paraId="0D60E11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5.61, d, 10 Hz</w:t>
            </w:r>
          </w:p>
        </w:tc>
      </w:tr>
      <w:tr w:rsidR="008C0D47" w:rsidRPr="005E6B7C" w14:paraId="2FAD72C6" w14:textId="77777777" w:rsidTr="008C0D47">
        <w:trPr>
          <w:gridAfter w:val="1"/>
          <w:wAfter w:w="7" w:type="dxa"/>
          <w:trHeight w:val="169"/>
          <w:jc w:val="center"/>
        </w:trPr>
        <w:tc>
          <w:tcPr>
            <w:tcW w:w="493" w:type="dxa"/>
            <w:vAlign w:val="center"/>
          </w:tcPr>
          <w:p w14:paraId="17EFB31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w:t>
            </w:r>
          </w:p>
        </w:tc>
        <w:tc>
          <w:tcPr>
            <w:tcW w:w="485" w:type="dxa"/>
            <w:vAlign w:val="center"/>
          </w:tcPr>
          <w:p w14:paraId="61B60F7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36.4</w:t>
            </w:r>
          </w:p>
        </w:tc>
        <w:tc>
          <w:tcPr>
            <w:tcW w:w="1394" w:type="dxa"/>
            <w:vAlign w:val="center"/>
          </w:tcPr>
          <w:p w14:paraId="207BEBC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1.72, m</w:t>
            </w:r>
          </w:p>
        </w:tc>
        <w:tc>
          <w:tcPr>
            <w:tcW w:w="551" w:type="dxa"/>
            <w:vAlign w:val="center"/>
          </w:tcPr>
          <w:p w14:paraId="7476B44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35.4</w:t>
            </w:r>
          </w:p>
        </w:tc>
        <w:tc>
          <w:tcPr>
            <w:tcW w:w="1163" w:type="dxa"/>
            <w:vAlign w:val="center"/>
          </w:tcPr>
          <w:p w14:paraId="08EED2F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1.71, m</w:t>
            </w:r>
          </w:p>
        </w:tc>
        <w:tc>
          <w:tcPr>
            <w:tcW w:w="491" w:type="dxa"/>
            <w:vAlign w:val="center"/>
          </w:tcPr>
          <w:p w14:paraId="49F01C5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35.1</w:t>
            </w:r>
          </w:p>
        </w:tc>
        <w:tc>
          <w:tcPr>
            <w:tcW w:w="1103" w:type="dxa"/>
            <w:vAlign w:val="center"/>
          </w:tcPr>
          <w:p w14:paraId="1B7D35E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2.47, m</w:t>
            </w:r>
          </w:p>
        </w:tc>
        <w:tc>
          <w:tcPr>
            <w:tcW w:w="459" w:type="dxa"/>
            <w:vAlign w:val="center"/>
          </w:tcPr>
          <w:p w14:paraId="26A76DB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35.0</w:t>
            </w:r>
          </w:p>
        </w:tc>
        <w:tc>
          <w:tcPr>
            <w:tcW w:w="1287" w:type="dxa"/>
            <w:vAlign w:val="center"/>
          </w:tcPr>
          <w:p w14:paraId="0027D5B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2.46, m</w:t>
            </w:r>
          </w:p>
        </w:tc>
        <w:tc>
          <w:tcPr>
            <w:tcW w:w="459" w:type="dxa"/>
            <w:vAlign w:val="center"/>
          </w:tcPr>
          <w:p w14:paraId="4DE917D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35.0</w:t>
            </w:r>
          </w:p>
        </w:tc>
        <w:tc>
          <w:tcPr>
            <w:tcW w:w="1342" w:type="dxa"/>
            <w:vAlign w:val="center"/>
          </w:tcPr>
          <w:p w14:paraId="024517C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2.45, m</w:t>
            </w:r>
          </w:p>
        </w:tc>
      </w:tr>
      <w:tr w:rsidR="008C0D47" w:rsidRPr="005E6B7C" w14:paraId="1D058B3E" w14:textId="77777777" w:rsidTr="008C0D47">
        <w:trPr>
          <w:gridAfter w:val="1"/>
          <w:wAfter w:w="7" w:type="dxa"/>
          <w:trHeight w:val="162"/>
          <w:jc w:val="center"/>
        </w:trPr>
        <w:tc>
          <w:tcPr>
            <w:tcW w:w="493" w:type="dxa"/>
            <w:vAlign w:val="center"/>
          </w:tcPr>
          <w:p w14:paraId="2C18F51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w:t>
            </w:r>
          </w:p>
        </w:tc>
        <w:tc>
          <w:tcPr>
            <w:tcW w:w="485" w:type="dxa"/>
            <w:vAlign w:val="center"/>
          </w:tcPr>
          <w:p w14:paraId="547F580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30.2</w:t>
            </w:r>
          </w:p>
        </w:tc>
        <w:tc>
          <w:tcPr>
            <w:tcW w:w="1394" w:type="dxa"/>
            <w:vAlign w:val="center"/>
          </w:tcPr>
          <w:p w14:paraId="3462161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 m</w:t>
            </w:r>
          </w:p>
        </w:tc>
        <w:tc>
          <w:tcPr>
            <w:tcW w:w="551" w:type="dxa"/>
            <w:vAlign w:val="center"/>
          </w:tcPr>
          <w:p w14:paraId="47683AF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28.6</w:t>
            </w:r>
          </w:p>
        </w:tc>
        <w:tc>
          <w:tcPr>
            <w:tcW w:w="1163" w:type="dxa"/>
            <w:vAlign w:val="center"/>
          </w:tcPr>
          <w:p w14:paraId="04AB6F0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1.43, m</w:t>
            </w:r>
          </w:p>
        </w:tc>
        <w:tc>
          <w:tcPr>
            <w:tcW w:w="491" w:type="dxa"/>
            <w:vAlign w:val="center"/>
          </w:tcPr>
          <w:p w14:paraId="04B5088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30.1</w:t>
            </w:r>
          </w:p>
        </w:tc>
        <w:tc>
          <w:tcPr>
            <w:tcW w:w="1103" w:type="dxa"/>
            <w:vAlign w:val="center"/>
          </w:tcPr>
          <w:p w14:paraId="3014E25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1.43, m</w:t>
            </w:r>
          </w:p>
        </w:tc>
        <w:tc>
          <w:tcPr>
            <w:tcW w:w="459" w:type="dxa"/>
            <w:vAlign w:val="center"/>
          </w:tcPr>
          <w:p w14:paraId="2E41870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30.1</w:t>
            </w:r>
          </w:p>
        </w:tc>
        <w:tc>
          <w:tcPr>
            <w:tcW w:w="1287" w:type="dxa"/>
            <w:vAlign w:val="center"/>
          </w:tcPr>
          <w:p w14:paraId="22E5D43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1.42, m</w:t>
            </w:r>
          </w:p>
        </w:tc>
        <w:tc>
          <w:tcPr>
            <w:tcW w:w="459" w:type="dxa"/>
            <w:vAlign w:val="center"/>
          </w:tcPr>
          <w:p w14:paraId="70B3855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30.1</w:t>
            </w:r>
          </w:p>
        </w:tc>
        <w:tc>
          <w:tcPr>
            <w:tcW w:w="1342" w:type="dxa"/>
            <w:vAlign w:val="center"/>
          </w:tcPr>
          <w:p w14:paraId="320FA3A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1.40, m</w:t>
            </w:r>
          </w:p>
        </w:tc>
      </w:tr>
      <w:tr w:rsidR="008C0D47" w:rsidRPr="005E6B7C" w14:paraId="5C27EACD" w14:textId="77777777" w:rsidTr="008C0D47">
        <w:trPr>
          <w:gridAfter w:val="1"/>
          <w:wAfter w:w="7" w:type="dxa"/>
          <w:trHeight w:val="169"/>
          <w:jc w:val="center"/>
        </w:trPr>
        <w:tc>
          <w:tcPr>
            <w:tcW w:w="493" w:type="dxa"/>
            <w:vAlign w:val="center"/>
          </w:tcPr>
          <w:p w14:paraId="78BB99F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85" w:type="dxa"/>
            <w:vAlign w:val="center"/>
          </w:tcPr>
          <w:p w14:paraId="500FA89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94" w:type="dxa"/>
            <w:vAlign w:val="center"/>
          </w:tcPr>
          <w:p w14:paraId="03C4C5A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1.29, m</w:t>
            </w:r>
          </w:p>
        </w:tc>
        <w:tc>
          <w:tcPr>
            <w:tcW w:w="551" w:type="dxa"/>
            <w:vAlign w:val="center"/>
          </w:tcPr>
          <w:p w14:paraId="341C596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63" w:type="dxa"/>
            <w:vAlign w:val="center"/>
          </w:tcPr>
          <w:p w14:paraId="3E9E230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 m</w:t>
            </w:r>
          </w:p>
        </w:tc>
        <w:tc>
          <w:tcPr>
            <w:tcW w:w="491" w:type="dxa"/>
            <w:vAlign w:val="center"/>
          </w:tcPr>
          <w:p w14:paraId="5DFD1A8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03" w:type="dxa"/>
            <w:vAlign w:val="center"/>
          </w:tcPr>
          <w:p w14:paraId="51F0855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1.32, m</w:t>
            </w:r>
          </w:p>
        </w:tc>
        <w:tc>
          <w:tcPr>
            <w:tcW w:w="459" w:type="dxa"/>
            <w:vAlign w:val="center"/>
          </w:tcPr>
          <w:p w14:paraId="6C2D030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287" w:type="dxa"/>
            <w:vAlign w:val="center"/>
          </w:tcPr>
          <w:p w14:paraId="15D95E9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1.31, m</w:t>
            </w:r>
          </w:p>
        </w:tc>
        <w:tc>
          <w:tcPr>
            <w:tcW w:w="459" w:type="dxa"/>
            <w:vAlign w:val="center"/>
          </w:tcPr>
          <w:p w14:paraId="1B555A8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42" w:type="dxa"/>
            <w:vAlign w:val="center"/>
          </w:tcPr>
          <w:p w14:paraId="347DE0D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1.29, m</w:t>
            </w:r>
          </w:p>
        </w:tc>
      </w:tr>
      <w:tr w:rsidR="008C0D47" w:rsidRPr="005E6B7C" w14:paraId="7F8FFB84" w14:textId="77777777" w:rsidTr="008C0D47">
        <w:trPr>
          <w:gridAfter w:val="1"/>
          <w:wAfter w:w="7" w:type="dxa"/>
          <w:trHeight w:val="43"/>
          <w:jc w:val="center"/>
        </w:trPr>
        <w:tc>
          <w:tcPr>
            <w:tcW w:w="493" w:type="dxa"/>
            <w:vAlign w:val="center"/>
          </w:tcPr>
          <w:p w14:paraId="0267B1F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w:t>
            </w:r>
          </w:p>
        </w:tc>
        <w:tc>
          <w:tcPr>
            <w:tcW w:w="485" w:type="dxa"/>
            <w:vAlign w:val="center"/>
          </w:tcPr>
          <w:p w14:paraId="5F23DF8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12.3</w:t>
            </w:r>
          </w:p>
        </w:tc>
        <w:tc>
          <w:tcPr>
            <w:tcW w:w="1394" w:type="dxa"/>
            <w:vAlign w:val="center"/>
          </w:tcPr>
          <w:p w14:paraId="7E42DC6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0.91, t, 7.2 Hz</w:t>
            </w:r>
          </w:p>
        </w:tc>
        <w:tc>
          <w:tcPr>
            <w:tcW w:w="551" w:type="dxa"/>
            <w:vAlign w:val="center"/>
          </w:tcPr>
          <w:p w14:paraId="39D0328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11.9</w:t>
            </w:r>
          </w:p>
        </w:tc>
        <w:tc>
          <w:tcPr>
            <w:tcW w:w="1163" w:type="dxa"/>
            <w:vAlign w:val="center"/>
          </w:tcPr>
          <w:p w14:paraId="032E5E5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0.93, t, 7.6 Hz</w:t>
            </w:r>
          </w:p>
        </w:tc>
        <w:tc>
          <w:tcPr>
            <w:tcW w:w="491" w:type="dxa"/>
            <w:vAlign w:val="center"/>
          </w:tcPr>
          <w:p w14:paraId="0DA21C0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12.1</w:t>
            </w:r>
          </w:p>
        </w:tc>
        <w:tc>
          <w:tcPr>
            <w:tcW w:w="1103" w:type="dxa"/>
            <w:vAlign w:val="center"/>
          </w:tcPr>
          <w:p w14:paraId="1F192D5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0.86, t, 7.2 Hz</w:t>
            </w:r>
          </w:p>
        </w:tc>
        <w:tc>
          <w:tcPr>
            <w:tcW w:w="459" w:type="dxa"/>
            <w:vAlign w:val="center"/>
          </w:tcPr>
          <w:p w14:paraId="4B26DA1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w:t>
            </w:r>
          </w:p>
        </w:tc>
        <w:tc>
          <w:tcPr>
            <w:tcW w:w="1287" w:type="dxa"/>
            <w:vAlign w:val="center"/>
          </w:tcPr>
          <w:p w14:paraId="2C886BA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0.85, t, 7.6 Hz</w:t>
            </w:r>
          </w:p>
        </w:tc>
        <w:tc>
          <w:tcPr>
            <w:tcW w:w="459" w:type="dxa"/>
            <w:vAlign w:val="center"/>
          </w:tcPr>
          <w:p w14:paraId="2175FCB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12.0</w:t>
            </w:r>
          </w:p>
        </w:tc>
        <w:tc>
          <w:tcPr>
            <w:tcW w:w="1342" w:type="dxa"/>
            <w:vAlign w:val="center"/>
          </w:tcPr>
          <w:p w14:paraId="466DDBA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0.85, t, 7.6 Hz</w:t>
            </w:r>
          </w:p>
        </w:tc>
      </w:tr>
      <w:tr w:rsidR="008C0D47" w:rsidRPr="005E6B7C" w14:paraId="249C7226" w14:textId="77777777" w:rsidTr="008C0D47">
        <w:trPr>
          <w:gridAfter w:val="1"/>
          <w:wAfter w:w="7" w:type="dxa"/>
          <w:trHeight w:val="43"/>
          <w:jc w:val="center"/>
        </w:trPr>
        <w:tc>
          <w:tcPr>
            <w:tcW w:w="493" w:type="dxa"/>
            <w:vAlign w:val="center"/>
          </w:tcPr>
          <w:p w14:paraId="51B0E81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16</w:t>
            </w:r>
          </w:p>
        </w:tc>
        <w:tc>
          <w:tcPr>
            <w:tcW w:w="485" w:type="dxa"/>
            <w:vAlign w:val="center"/>
          </w:tcPr>
          <w:p w14:paraId="0AC4C55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14.4</w:t>
            </w:r>
          </w:p>
        </w:tc>
        <w:tc>
          <w:tcPr>
            <w:tcW w:w="1394" w:type="dxa"/>
            <w:vAlign w:val="center"/>
          </w:tcPr>
          <w:p w14:paraId="39D3BF0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0.87, d, 6.8 Hz</w:t>
            </w:r>
          </w:p>
        </w:tc>
        <w:tc>
          <w:tcPr>
            <w:tcW w:w="551" w:type="dxa"/>
            <w:vAlign w:val="center"/>
          </w:tcPr>
          <w:p w14:paraId="108EB59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13.4</w:t>
            </w:r>
          </w:p>
        </w:tc>
        <w:tc>
          <w:tcPr>
            <w:tcW w:w="1163" w:type="dxa"/>
            <w:vAlign w:val="center"/>
          </w:tcPr>
          <w:p w14:paraId="4DD94B9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0.98, d, 6.8 Hz</w:t>
            </w:r>
          </w:p>
        </w:tc>
        <w:tc>
          <w:tcPr>
            <w:tcW w:w="491" w:type="dxa"/>
            <w:vAlign w:val="center"/>
          </w:tcPr>
          <w:p w14:paraId="2C94867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20.2</w:t>
            </w:r>
          </w:p>
        </w:tc>
        <w:tc>
          <w:tcPr>
            <w:tcW w:w="1103" w:type="dxa"/>
            <w:vAlign w:val="center"/>
          </w:tcPr>
          <w:p w14:paraId="58F6E11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1.03, d, 6.8 Hz</w:t>
            </w:r>
          </w:p>
        </w:tc>
        <w:tc>
          <w:tcPr>
            <w:tcW w:w="459" w:type="dxa"/>
            <w:vAlign w:val="center"/>
          </w:tcPr>
          <w:p w14:paraId="30FA58F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20.3</w:t>
            </w:r>
          </w:p>
        </w:tc>
        <w:tc>
          <w:tcPr>
            <w:tcW w:w="1287" w:type="dxa"/>
            <w:vAlign w:val="center"/>
          </w:tcPr>
          <w:p w14:paraId="0F339D6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1.00, d, 6.8 Hz</w:t>
            </w:r>
          </w:p>
        </w:tc>
        <w:tc>
          <w:tcPr>
            <w:tcW w:w="459" w:type="dxa"/>
            <w:vAlign w:val="center"/>
          </w:tcPr>
          <w:p w14:paraId="29D7CC8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20.3</w:t>
            </w:r>
          </w:p>
        </w:tc>
        <w:tc>
          <w:tcPr>
            <w:tcW w:w="1342" w:type="dxa"/>
            <w:vAlign w:val="center"/>
          </w:tcPr>
          <w:p w14:paraId="56CD7F6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0.99, d, 6.8 Hz</w:t>
            </w:r>
          </w:p>
        </w:tc>
      </w:tr>
      <w:tr w:rsidR="008C0D47" w:rsidRPr="005E6B7C" w14:paraId="6A25635F" w14:textId="77777777" w:rsidTr="008C0D47">
        <w:trPr>
          <w:gridAfter w:val="1"/>
          <w:wAfter w:w="7" w:type="dxa"/>
          <w:trHeight w:val="43"/>
          <w:jc w:val="center"/>
        </w:trPr>
        <w:tc>
          <w:tcPr>
            <w:tcW w:w="493" w:type="dxa"/>
            <w:vAlign w:val="center"/>
          </w:tcPr>
          <w:p w14:paraId="20D3E15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w:t>
            </w:r>
          </w:p>
        </w:tc>
        <w:tc>
          <w:tcPr>
            <w:tcW w:w="485" w:type="dxa"/>
            <w:vAlign w:val="center"/>
          </w:tcPr>
          <w:p w14:paraId="7B788FA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26.5</w:t>
            </w:r>
          </w:p>
        </w:tc>
        <w:tc>
          <w:tcPr>
            <w:tcW w:w="1394" w:type="dxa"/>
            <w:vAlign w:val="center"/>
          </w:tcPr>
          <w:p w14:paraId="5B2C240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1.33, s</w:t>
            </w:r>
          </w:p>
        </w:tc>
        <w:tc>
          <w:tcPr>
            <w:tcW w:w="551" w:type="dxa"/>
            <w:vAlign w:val="center"/>
          </w:tcPr>
          <w:p w14:paraId="3017002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23.7</w:t>
            </w:r>
          </w:p>
        </w:tc>
        <w:tc>
          <w:tcPr>
            <w:tcW w:w="1163" w:type="dxa"/>
            <w:vAlign w:val="center"/>
          </w:tcPr>
          <w:p w14:paraId="7D6D8AE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1.35, s</w:t>
            </w:r>
          </w:p>
        </w:tc>
        <w:tc>
          <w:tcPr>
            <w:tcW w:w="491" w:type="dxa"/>
            <w:vAlign w:val="center"/>
          </w:tcPr>
          <w:p w14:paraId="4B4ADF8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12.5</w:t>
            </w:r>
          </w:p>
        </w:tc>
        <w:tc>
          <w:tcPr>
            <w:tcW w:w="1103" w:type="dxa"/>
            <w:vAlign w:val="center"/>
          </w:tcPr>
          <w:p w14:paraId="126DBBE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1.84, d, 1.2 Hz</w:t>
            </w:r>
          </w:p>
        </w:tc>
        <w:tc>
          <w:tcPr>
            <w:tcW w:w="459" w:type="dxa"/>
            <w:vAlign w:val="center"/>
          </w:tcPr>
          <w:p w14:paraId="57C1359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12.4</w:t>
            </w:r>
          </w:p>
        </w:tc>
        <w:tc>
          <w:tcPr>
            <w:tcW w:w="1287" w:type="dxa"/>
            <w:vAlign w:val="center"/>
          </w:tcPr>
          <w:p w14:paraId="2A318A05"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1.82, d, 1.2 Hz</w:t>
            </w:r>
          </w:p>
        </w:tc>
        <w:tc>
          <w:tcPr>
            <w:tcW w:w="459" w:type="dxa"/>
            <w:vAlign w:val="center"/>
          </w:tcPr>
          <w:p w14:paraId="19E5182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12.4</w:t>
            </w:r>
          </w:p>
        </w:tc>
        <w:tc>
          <w:tcPr>
            <w:tcW w:w="1342" w:type="dxa"/>
            <w:vAlign w:val="center"/>
          </w:tcPr>
          <w:p w14:paraId="04DB3FA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1.81, d, 0.8 Hz</w:t>
            </w:r>
          </w:p>
        </w:tc>
      </w:tr>
      <w:tr w:rsidR="008C0D47" w:rsidRPr="005E6B7C" w14:paraId="391E772A" w14:textId="77777777" w:rsidTr="008C0D47">
        <w:trPr>
          <w:gridAfter w:val="1"/>
          <w:wAfter w:w="7" w:type="dxa"/>
          <w:trHeight w:val="162"/>
          <w:jc w:val="center"/>
        </w:trPr>
        <w:tc>
          <w:tcPr>
            <w:tcW w:w="493" w:type="dxa"/>
            <w:vAlign w:val="center"/>
          </w:tcPr>
          <w:p w14:paraId="376229D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18</w:t>
            </w:r>
          </w:p>
        </w:tc>
        <w:tc>
          <w:tcPr>
            <w:tcW w:w="485" w:type="dxa"/>
            <w:vAlign w:val="center"/>
          </w:tcPr>
          <w:p w14:paraId="4BEB563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26.4</w:t>
            </w:r>
          </w:p>
        </w:tc>
        <w:tc>
          <w:tcPr>
            <w:tcW w:w="1394" w:type="dxa"/>
            <w:vAlign w:val="center"/>
          </w:tcPr>
          <w:p w14:paraId="1E57A8F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1.52, s</w:t>
            </w:r>
          </w:p>
        </w:tc>
        <w:tc>
          <w:tcPr>
            <w:tcW w:w="551" w:type="dxa"/>
            <w:vAlign w:val="center"/>
          </w:tcPr>
          <w:p w14:paraId="69C01B6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23.8</w:t>
            </w:r>
          </w:p>
        </w:tc>
        <w:tc>
          <w:tcPr>
            <w:tcW w:w="1163" w:type="dxa"/>
            <w:vAlign w:val="center"/>
          </w:tcPr>
          <w:p w14:paraId="09E7B9C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1.29, s</w:t>
            </w:r>
          </w:p>
        </w:tc>
        <w:tc>
          <w:tcPr>
            <w:tcW w:w="491" w:type="dxa"/>
            <w:vAlign w:val="center"/>
          </w:tcPr>
          <w:p w14:paraId="295EBA9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23.6</w:t>
            </w:r>
          </w:p>
        </w:tc>
        <w:tc>
          <w:tcPr>
            <w:tcW w:w="1103" w:type="dxa"/>
            <w:vAlign w:val="center"/>
          </w:tcPr>
          <w:p w14:paraId="3228353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1.58, s</w:t>
            </w:r>
          </w:p>
        </w:tc>
        <w:tc>
          <w:tcPr>
            <w:tcW w:w="459" w:type="dxa"/>
            <w:vAlign w:val="center"/>
          </w:tcPr>
          <w:p w14:paraId="1A2F5116"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23.5</w:t>
            </w:r>
          </w:p>
        </w:tc>
        <w:tc>
          <w:tcPr>
            <w:tcW w:w="1287" w:type="dxa"/>
            <w:vAlign w:val="center"/>
          </w:tcPr>
          <w:p w14:paraId="244683E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1.38, s</w:t>
            </w:r>
          </w:p>
        </w:tc>
        <w:tc>
          <w:tcPr>
            <w:tcW w:w="459" w:type="dxa"/>
            <w:vAlign w:val="center"/>
          </w:tcPr>
          <w:p w14:paraId="68D3C6D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20.7</w:t>
            </w:r>
          </w:p>
        </w:tc>
        <w:tc>
          <w:tcPr>
            <w:tcW w:w="1342" w:type="dxa"/>
            <w:vAlign w:val="center"/>
          </w:tcPr>
          <w:p w14:paraId="1F81296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1.43, s</w:t>
            </w:r>
          </w:p>
        </w:tc>
      </w:tr>
      <w:tr w:rsidR="008C0D47" w:rsidRPr="005E6B7C" w14:paraId="61813AD3" w14:textId="77777777" w:rsidTr="008C0D47">
        <w:trPr>
          <w:gridAfter w:val="1"/>
          <w:wAfter w:w="7" w:type="dxa"/>
          <w:trHeight w:val="169"/>
          <w:jc w:val="center"/>
        </w:trPr>
        <w:tc>
          <w:tcPr>
            <w:tcW w:w="493" w:type="dxa"/>
          </w:tcPr>
          <w:p w14:paraId="60CE4DD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19</w:t>
            </w:r>
          </w:p>
        </w:tc>
        <w:tc>
          <w:tcPr>
            <w:tcW w:w="485" w:type="dxa"/>
            <w:vAlign w:val="center"/>
          </w:tcPr>
          <w:p w14:paraId="658C104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394" w:type="dxa"/>
            <w:vAlign w:val="center"/>
          </w:tcPr>
          <w:p w14:paraId="495A882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47CD8C1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163" w:type="dxa"/>
            <w:vAlign w:val="center"/>
          </w:tcPr>
          <w:p w14:paraId="338382F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7D14F53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171.5</w:t>
            </w:r>
          </w:p>
        </w:tc>
        <w:tc>
          <w:tcPr>
            <w:tcW w:w="1103" w:type="dxa"/>
            <w:vAlign w:val="center"/>
          </w:tcPr>
          <w:p w14:paraId="2810457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076A7A7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287" w:type="dxa"/>
            <w:vAlign w:val="center"/>
          </w:tcPr>
          <w:p w14:paraId="1AE8EA72"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0BEDC30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170.4</w:t>
            </w:r>
          </w:p>
        </w:tc>
        <w:tc>
          <w:tcPr>
            <w:tcW w:w="1342" w:type="dxa"/>
            <w:vAlign w:val="center"/>
          </w:tcPr>
          <w:p w14:paraId="3B5FB3C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r>
      <w:tr w:rsidR="008C0D47" w:rsidRPr="005E6B7C" w14:paraId="7B5044E6" w14:textId="77777777" w:rsidTr="008C0D47">
        <w:trPr>
          <w:gridAfter w:val="1"/>
          <w:wAfter w:w="7" w:type="dxa"/>
          <w:trHeight w:val="169"/>
          <w:jc w:val="center"/>
        </w:trPr>
        <w:tc>
          <w:tcPr>
            <w:tcW w:w="493" w:type="dxa"/>
          </w:tcPr>
          <w:p w14:paraId="35BAA6D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w:t>
            </w:r>
          </w:p>
        </w:tc>
        <w:tc>
          <w:tcPr>
            <w:tcW w:w="485" w:type="dxa"/>
            <w:vAlign w:val="center"/>
          </w:tcPr>
          <w:p w14:paraId="549E648F"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394" w:type="dxa"/>
            <w:vAlign w:val="center"/>
          </w:tcPr>
          <w:p w14:paraId="5B84AA79"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551" w:type="dxa"/>
            <w:vAlign w:val="center"/>
          </w:tcPr>
          <w:p w14:paraId="3396130C"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163" w:type="dxa"/>
            <w:vAlign w:val="center"/>
          </w:tcPr>
          <w:p w14:paraId="1F657E4A"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91" w:type="dxa"/>
            <w:vAlign w:val="center"/>
          </w:tcPr>
          <w:p w14:paraId="151FC0A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20.8</w:t>
            </w:r>
          </w:p>
        </w:tc>
        <w:tc>
          <w:tcPr>
            <w:tcW w:w="1103" w:type="dxa"/>
            <w:vAlign w:val="center"/>
          </w:tcPr>
          <w:p w14:paraId="7E2F7D3E"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2.24, s</w:t>
            </w:r>
          </w:p>
        </w:tc>
        <w:tc>
          <w:tcPr>
            <w:tcW w:w="459" w:type="dxa"/>
            <w:vAlign w:val="center"/>
          </w:tcPr>
          <w:p w14:paraId="263D1ED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1287" w:type="dxa"/>
            <w:vAlign w:val="center"/>
          </w:tcPr>
          <w:p w14:paraId="11D4E391"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w:t>
            </w:r>
          </w:p>
        </w:tc>
        <w:tc>
          <w:tcPr>
            <w:tcW w:w="459" w:type="dxa"/>
            <w:vAlign w:val="center"/>
          </w:tcPr>
          <w:p w14:paraId="1DD661A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20.7</w:t>
            </w:r>
          </w:p>
        </w:tc>
        <w:tc>
          <w:tcPr>
            <w:tcW w:w="1342" w:type="dxa"/>
            <w:vAlign w:val="center"/>
          </w:tcPr>
          <w:p w14:paraId="446BEC2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2.23, s</w:t>
            </w:r>
          </w:p>
        </w:tc>
      </w:tr>
      <w:tr w:rsidR="008C0D47" w:rsidRPr="005E6B7C" w14:paraId="21511E36" w14:textId="77777777" w:rsidTr="008C0D47">
        <w:trPr>
          <w:gridAfter w:val="1"/>
          <w:wAfter w:w="7" w:type="dxa"/>
          <w:trHeight w:val="169"/>
          <w:jc w:val="center"/>
        </w:trPr>
        <w:tc>
          <w:tcPr>
            <w:tcW w:w="493" w:type="dxa"/>
          </w:tcPr>
          <w:p w14:paraId="411CF6E7"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85" w:type="dxa"/>
            <w:vAlign w:val="center"/>
          </w:tcPr>
          <w:p w14:paraId="0F38DC34"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94" w:type="dxa"/>
            <w:vAlign w:val="center"/>
          </w:tcPr>
          <w:p w14:paraId="13647A0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551" w:type="dxa"/>
            <w:vAlign w:val="center"/>
          </w:tcPr>
          <w:p w14:paraId="10AA2EC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63" w:type="dxa"/>
            <w:vAlign w:val="center"/>
          </w:tcPr>
          <w:p w14:paraId="6BD1E9D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91" w:type="dxa"/>
            <w:vAlign w:val="center"/>
          </w:tcPr>
          <w:p w14:paraId="6F0439D0"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103" w:type="dxa"/>
            <w:vAlign w:val="center"/>
          </w:tcPr>
          <w:p w14:paraId="102ACBA3" w14:textId="10D0896B"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Yu Mincho" w:hAnsiTheme="majorHAnsi" w:cstheme="majorHAnsi"/>
                <w:color w:val="000000" w:themeColor="text1"/>
                <w:sz w:val="16"/>
                <w:szCs w:val="16"/>
                <w:lang w:eastAsia="ja-JP"/>
              </w:rPr>
              <w:t>(-NH-) 10.5 brs</w:t>
            </w:r>
          </w:p>
        </w:tc>
        <w:tc>
          <w:tcPr>
            <w:tcW w:w="459" w:type="dxa"/>
            <w:vAlign w:val="center"/>
          </w:tcPr>
          <w:p w14:paraId="54D2F56B"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287" w:type="dxa"/>
            <w:vAlign w:val="center"/>
          </w:tcPr>
          <w:p w14:paraId="3C1DF578"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459" w:type="dxa"/>
            <w:vAlign w:val="center"/>
          </w:tcPr>
          <w:p w14:paraId="645ED023"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c>
          <w:tcPr>
            <w:tcW w:w="1342" w:type="dxa"/>
            <w:vAlign w:val="center"/>
          </w:tcPr>
          <w:p w14:paraId="2463BCDD" w14:textId="77777777" w:rsidR="008C0D47" w:rsidRPr="005E6B7C" w:rsidRDefault="008C0D47" w:rsidP="008C0D47">
            <w:pPr>
              <w:tabs>
                <w:tab w:val="left" w:pos="270"/>
                <w:tab w:val="left" w:pos="540"/>
                <w:tab w:val="left" w:pos="9270"/>
              </w:tabs>
              <w:ind w:right="-20"/>
              <w:jc w:val="center"/>
              <w:rPr>
                <w:rFonts w:asciiTheme="majorHAnsi" w:eastAsia="Yu Mincho" w:hAnsiTheme="majorHAnsi" w:cstheme="majorHAnsi"/>
                <w:color w:val="000000" w:themeColor="text1"/>
                <w:sz w:val="16"/>
                <w:szCs w:val="16"/>
                <w:lang w:eastAsia="ja-JP"/>
              </w:rPr>
            </w:pPr>
          </w:p>
        </w:tc>
      </w:tr>
    </w:tbl>
    <w:p w14:paraId="2712BB3F" w14:textId="7655C127" w:rsidR="00E049CB" w:rsidRPr="005E6B7C" w:rsidRDefault="00E049CB" w:rsidP="00B857B1">
      <w:pPr>
        <w:tabs>
          <w:tab w:val="left" w:pos="270"/>
          <w:tab w:val="left" w:pos="540"/>
        </w:tabs>
        <w:spacing w:before="120"/>
        <w:ind w:right="-20" w:firstLine="284"/>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i/>
          <w:iCs/>
          <w:color w:val="000000" w:themeColor="text1"/>
          <w:sz w:val="18"/>
          <w:szCs w:val="18"/>
          <w:vertAlign w:val="superscript"/>
          <w:lang w:eastAsia="ja-JP"/>
        </w:rPr>
        <w:t>a</w:t>
      </w:r>
      <w:r w:rsidRPr="005E6B7C">
        <w:rPr>
          <w:rFonts w:asciiTheme="majorHAnsi" w:eastAsia="Yu Mincho" w:hAnsiTheme="majorHAnsi" w:cstheme="majorHAnsi"/>
          <w:i/>
          <w:iCs/>
          <w:color w:val="000000" w:themeColor="text1"/>
          <w:sz w:val="18"/>
          <w:szCs w:val="18"/>
          <w:lang w:eastAsia="ja-JP"/>
        </w:rPr>
        <w:t>: Measured in CD</w:t>
      </w:r>
      <w:r w:rsidRPr="005E6B7C">
        <w:rPr>
          <w:rFonts w:asciiTheme="majorHAnsi" w:eastAsia="Yu Mincho" w:hAnsiTheme="majorHAnsi" w:cstheme="majorHAnsi"/>
          <w:i/>
          <w:iCs/>
          <w:color w:val="000000" w:themeColor="text1"/>
          <w:sz w:val="18"/>
          <w:szCs w:val="18"/>
          <w:vertAlign w:val="subscript"/>
          <w:lang w:eastAsia="ja-JP"/>
        </w:rPr>
        <w:t>3</w:t>
      </w:r>
      <w:r w:rsidRPr="005E6B7C">
        <w:rPr>
          <w:rFonts w:asciiTheme="majorHAnsi" w:eastAsia="Yu Mincho" w:hAnsiTheme="majorHAnsi" w:cstheme="majorHAnsi"/>
          <w:i/>
          <w:iCs/>
          <w:color w:val="000000" w:themeColor="text1"/>
          <w:sz w:val="18"/>
          <w:szCs w:val="18"/>
          <w:lang w:eastAsia="ja-JP"/>
        </w:rPr>
        <w:t xml:space="preserve">OD </w:t>
      </w:r>
      <w:r w:rsidRPr="005E6B7C">
        <w:rPr>
          <w:rFonts w:asciiTheme="majorHAnsi" w:eastAsia="Yu Mincho" w:hAnsiTheme="majorHAnsi" w:cstheme="majorHAnsi"/>
          <w:i/>
          <w:iCs/>
          <w:color w:val="000000" w:themeColor="text1"/>
          <w:sz w:val="18"/>
          <w:szCs w:val="18"/>
          <w:lang w:eastAsia="ja-JP"/>
        </w:rPr>
        <w:tab/>
      </w:r>
      <w:r w:rsidRPr="005E6B7C">
        <w:rPr>
          <w:rFonts w:asciiTheme="majorHAnsi" w:eastAsia="Yu Mincho" w:hAnsiTheme="majorHAnsi" w:cstheme="majorHAnsi"/>
          <w:i/>
          <w:iCs/>
          <w:color w:val="000000" w:themeColor="text1"/>
          <w:sz w:val="18"/>
          <w:szCs w:val="18"/>
          <w:lang w:eastAsia="ja-JP"/>
        </w:rPr>
        <w:tab/>
      </w:r>
      <w:r w:rsidRPr="005E6B7C">
        <w:rPr>
          <w:rFonts w:asciiTheme="majorHAnsi" w:eastAsia="Yu Mincho" w:hAnsiTheme="majorHAnsi" w:cstheme="majorHAnsi"/>
          <w:i/>
          <w:iCs/>
          <w:color w:val="000000" w:themeColor="text1"/>
          <w:sz w:val="18"/>
          <w:szCs w:val="18"/>
          <w:vertAlign w:val="superscript"/>
          <w:lang w:eastAsia="ja-JP"/>
        </w:rPr>
        <w:t>b</w:t>
      </w:r>
      <w:r w:rsidRPr="005E6B7C">
        <w:rPr>
          <w:rFonts w:asciiTheme="majorHAnsi" w:eastAsia="Yu Mincho" w:hAnsiTheme="majorHAnsi" w:cstheme="majorHAnsi"/>
          <w:i/>
          <w:iCs/>
          <w:color w:val="000000" w:themeColor="text1"/>
          <w:sz w:val="18"/>
          <w:szCs w:val="18"/>
          <w:lang w:eastAsia="ja-JP"/>
        </w:rPr>
        <w:t>: Measured in CDCl</w:t>
      </w:r>
      <w:r w:rsidRPr="005E6B7C">
        <w:rPr>
          <w:rFonts w:asciiTheme="majorHAnsi" w:eastAsia="Yu Mincho" w:hAnsiTheme="majorHAnsi" w:cstheme="majorHAnsi"/>
          <w:i/>
          <w:iCs/>
          <w:color w:val="000000" w:themeColor="text1"/>
          <w:sz w:val="18"/>
          <w:szCs w:val="18"/>
          <w:vertAlign w:val="subscript"/>
          <w:lang w:eastAsia="ja-JP"/>
        </w:rPr>
        <w:t>3</w:t>
      </w:r>
    </w:p>
    <w:p w14:paraId="14A61D7B" w14:textId="77777777" w:rsidR="00E049CB" w:rsidRPr="005E6B7C" w:rsidRDefault="00E049CB" w:rsidP="008C0D47">
      <w:pPr>
        <w:rPr>
          <w:color w:val="000000" w:themeColor="text1"/>
        </w:rPr>
      </w:pPr>
    </w:p>
    <w:p w14:paraId="43C5B700" w14:textId="77777777" w:rsidR="00835D1F" w:rsidRPr="005E6B7C" w:rsidRDefault="00835D1F"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835D1F" w:rsidRPr="005E6B7C" w:rsidSect="002206BB">
          <w:type w:val="continuous"/>
          <w:pgSz w:w="10773" w:h="15309" w:code="9"/>
          <w:pgMar w:top="907" w:right="851" w:bottom="1418" w:left="851" w:header="397" w:footer="851" w:gutter="0"/>
          <w:cols w:space="284"/>
          <w:docGrid w:linePitch="360"/>
        </w:sectPr>
      </w:pPr>
    </w:p>
    <w:p w14:paraId="130A4123" w14:textId="77777777" w:rsidR="00E049CB" w:rsidRPr="005E6B7C" w:rsidRDefault="00E049CB" w:rsidP="008C0D47">
      <w:pPr>
        <w:tabs>
          <w:tab w:val="left" w:pos="270"/>
          <w:tab w:val="left" w:pos="540"/>
          <w:tab w:val="left" w:pos="9270"/>
        </w:tabs>
        <w:spacing w:line="245"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was isolated as a light yellowish-brown oil, whose molecular formula C</w:t>
      </w:r>
      <w:r w:rsidRPr="005E6B7C">
        <w:rPr>
          <w:rFonts w:asciiTheme="majorHAnsi" w:eastAsia="Yu Mincho" w:hAnsiTheme="majorHAnsi" w:cstheme="majorHAnsi"/>
          <w:color w:val="000000" w:themeColor="text1"/>
          <w:sz w:val="22"/>
          <w:szCs w:val="22"/>
          <w:vertAlign w:val="subscript"/>
          <w:lang w:eastAsia="ja-JP"/>
        </w:rPr>
        <w:t>19</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25</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Cl was deduced by HR-ESIMS (</w:t>
      </w:r>
      <w:r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z </w:t>
      </w:r>
      <w:r w:rsidRPr="005E6B7C">
        <w:rPr>
          <w:rFonts w:asciiTheme="majorHAnsi" w:eastAsia="Yu Mincho" w:hAnsiTheme="majorHAnsi" w:cstheme="majorHAnsi"/>
          <w:color w:val="000000" w:themeColor="text1"/>
          <w:sz w:val="22"/>
          <w:szCs w:val="22"/>
          <w:lang w:eastAsia="ja-JP"/>
        </w:rPr>
        <w:t>= 353.1637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implying 7 degrees of unsaturation.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 NMR spectrum showed 19 carbon signals, including 2 methylene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68.2 (C-1), 30.1 (C-14)), 6 methine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142.0 (C-10), 102.2 (C-4), 118.9 (C-9), 73.6 (C-8), 36.9 (C-8a), and 35.0 (C-13)), 7 non-protonated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192.8 (C-6), 163.0 (C-3), 147.3 (C-12), 145.7 (C-4a), 132.3 (C-11), 115.4 (C-5), and 77.3 (C-7)), and 4 methyl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23.5 (C-18), 20.3 (C-16), 12.4 (C-17), and 12.0 (C-15)).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data showed 4 methyl signals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1.38 (s,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-18), 1.82 (d,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-17), 1.00 (s,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-16), and 0.85 (t, CH</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-15), seven methine protons (including three olefinic, one aromatic, and three aliphatic protons), and two methylene protons. Comparing 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and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NMR data of </w:t>
      </w:r>
      <w:r w:rsidRPr="005E6B7C">
        <w:rPr>
          <w:rFonts w:asciiTheme="majorHAnsi" w:eastAsia="Yu Mincho" w:hAnsiTheme="majorHAnsi" w:cstheme="majorHAnsi"/>
          <w:b/>
          <w:color w:val="000000" w:themeColor="text1"/>
          <w:lang w:eastAsia="ja-JP"/>
        </w:rPr>
        <w:t>4</w:t>
      </w:r>
      <w:r w:rsidRPr="005E6B7C">
        <w:rPr>
          <w:rFonts w:asciiTheme="majorHAnsi" w:eastAsia="Yu Mincho" w:hAnsiTheme="majorHAnsi" w:cstheme="majorHAnsi"/>
          <w:color w:val="000000" w:themeColor="text1"/>
          <w:sz w:val="22"/>
          <w:szCs w:val="22"/>
          <w:lang w:eastAsia="ja-JP"/>
        </w:rPr>
        <w:t xml:space="preserve"> with that of compound </w:t>
      </w:r>
      <w:r w:rsidRPr="005E6B7C">
        <w:rPr>
          <w:rFonts w:asciiTheme="majorHAnsi" w:eastAsia="Yu Mincho" w:hAnsiTheme="majorHAnsi" w:cstheme="majorHAnsi"/>
          <w:b/>
          <w:color w:val="000000" w:themeColor="text1"/>
          <w:lang w:eastAsia="ja-JP"/>
        </w:rPr>
        <w:t>1</w:t>
      </w:r>
      <w:r w:rsidRPr="005E6B7C">
        <w:rPr>
          <w:rFonts w:asciiTheme="majorHAnsi" w:eastAsia="Yu Mincho" w:hAnsiTheme="majorHAnsi" w:cstheme="majorHAnsi"/>
          <w:color w:val="000000" w:themeColor="text1"/>
          <w:sz w:val="22"/>
          <w:szCs w:val="22"/>
          <w:lang w:eastAsia="ja-JP"/>
        </w:rPr>
        <w:t xml:space="preserve">, it is found that their planar structures are very close. The differences between them were that the hydroxyl groups at C-8a, C-11, and C-12 in </w:t>
      </w:r>
      <w:r w:rsidRPr="005E6B7C">
        <w:rPr>
          <w:rFonts w:asciiTheme="majorHAnsi" w:eastAsia="Yu Mincho" w:hAnsiTheme="majorHAnsi" w:cstheme="majorHAnsi"/>
          <w:b/>
          <w:color w:val="000000" w:themeColor="text1"/>
          <w:lang w:eastAsia="ja-JP"/>
        </w:rPr>
        <w:t>1</w:t>
      </w:r>
      <w:r w:rsidRPr="005E6B7C">
        <w:rPr>
          <w:rFonts w:asciiTheme="majorHAnsi" w:eastAsia="Yu Mincho" w:hAnsiTheme="majorHAnsi" w:cstheme="majorHAnsi"/>
          <w:color w:val="000000" w:themeColor="text1"/>
          <w:sz w:val="22"/>
          <w:szCs w:val="22"/>
          <w:lang w:eastAsia="ja-JP"/>
        </w:rPr>
        <w:t xml:space="preserve"> were removed to form double bonds between C-1/ C-8a and C-11/ C-12 in </w:t>
      </w:r>
      <w:r w:rsidRPr="005E6B7C">
        <w:rPr>
          <w:rFonts w:asciiTheme="majorHAnsi" w:eastAsia="Yu Mincho" w:hAnsiTheme="majorHAnsi" w:cstheme="majorHAnsi"/>
          <w:b/>
          <w:color w:val="000000" w:themeColor="text1"/>
          <w:lang w:eastAsia="ja-JP"/>
        </w:rPr>
        <w:t>4</w:t>
      </w:r>
      <w:r w:rsidRPr="005E6B7C">
        <w:rPr>
          <w:rFonts w:asciiTheme="majorHAnsi" w:eastAsia="Yu Mincho" w:hAnsiTheme="majorHAnsi" w:cstheme="majorHAnsi"/>
          <w:color w:val="000000" w:themeColor="text1"/>
          <w:sz w:val="22"/>
          <w:szCs w:val="22"/>
          <w:lang w:eastAsia="ja-JP"/>
        </w:rPr>
        <w:t xml:space="preserve">.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 COSY spectrum showed an additional spin system H-8/H-8a/H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-1 in comparison to those of compound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The HMBC correlations of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were similar to those of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as shown in Fig. 2. Based on the NMR data and compared to those of the reference data [16</w:t>
      </w:r>
      <w:r w:rsidRPr="005E6B7C">
        <w:rPr>
          <w:rFonts w:asciiTheme="majorHAnsi" w:eastAsia="Times New Roman" w:hAnsiTheme="majorHAnsi" w:cstheme="majorHAnsi"/>
          <w:color w:val="000000" w:themeColor="text1"/>
          <w:sz w:val="22"/>
          <w:szCs w:val="22"/>
        </w:rPr>
        <w:t>]</w:t>
      </w:r>
      <w:r w:rsidRPr="005E6B7C">
        <w:rPr>
          <w:rFonts w:asciiTheme="majorHAnsi" w:eastAsia="Yu Mincho" w:hAnsiTheme="majorHAnsi" w:cstheme="majorHAnsi"/>
          <w:color w:val="000000" w:themeColor="text1"/>
          <w:sz w:val="22"/>
          <w:szCs w:val="22"/>
          <w:lang w:eastAsia="ja-JP"/>
        </w:rPr>
        <w:t xml:space="preserve">, compound </w:t>
      </w:r>
      <w:r w:rsidRPr="005E6B7C">
        <w:rPr>
          <w:rFonts w:asciiTheme="majorHAnsi" w:eastAsia="Yu Mincho" w:hAnsiTheme="majorHAnsi" w:cstheme="majorHAnsi"/>
          <w:b/>
          <w:color w:val="000000" w:themeColor="text1"/>
          <w:lang w:eastAsia="ja-JP"/>
        </w:rPr>
        <w:t>4</w:t>
      </w:r>
      <w:r w:rsidRPr="005E6B7C">
        <w:rPr>
          <w:rFonts w:asciiTheme="majorHAnsi" w:eastAsia="Yu Mincho" w:hAnsiTheme="majorHAnsi" w:cstheme="majorHAnsi"/>
          <w:color w:val="000000" w:themeColor="text1"/>
          <w:sz w:val="22"/>
          <w:szCs w:val="22"/>
          <w:lang w:eastAsia="ja-JP"/>
        </w:rPr>
        <w:t xml:space="preserve"> was identified as epi-isochromophilone III, which was isolated from soil fungus </w:t>
      </w:r>
      <w:r w:rsidRPr="005E6B7C">
        <w:rPr>
          <w:rFonts w:asciiTheme="majorHAnsi" w:eastAsia="Yu Mincho" w:hAnsiTheme="majorHAnsi" w:cstheme="majorHAnsi"/>
          <w:i/>
          <w:iCs/>
          <w:color w:val="000000" w:themeColor="text1"/>
          <w:sz w:val="22"/>
          <w:szCs w:val="22"/>
          <w:lang w:eastAsia="ja-JP"/>
        </w:rPr>
        <w:t>P. multicolor</w:t>
      </w:r>
      <w:r w:rsidRPr="005E6B7C">
        <w:rPr>
          <w:rFonts w:asciiTheme="majorHAnsi" w:eastAsia="Yu Mincho" w:hAnsiTheme="majorHAnsi" w:cstheme="majorHAnsi"/>
          <w:color w:val="000000" w:themeColor="text1"/>
          <w:sz w:val="22"/>
          <w:szCs w:val="22"/>
          <w:lang w:eastAsia="ja-JP"/>
        </w:rPr>
        <w:t>.</w:t>
      </w:r>
    </w:p>
    <w:p w14:paraId="0B718FCB" w14:textId="77777777" w:rsidR="00E049CB" w:rsidRPr="005E6B7C" w:rsidRDefault="00E049CB" w:rsidP="008C0D47">
      <w:pPr>
        <w:tabs>
          <w:tab w:val="left" w:pos="270"/>
          <w:tab w:val="left" w:pos="540"/>
          <w:tab w:val="left" w:pos="9270"/>
        </w:tabs>
        <w:spacing w:line="245"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was </w:t>
      </w:r>
      <w:r w:rsidRPr="005E6B7C">
        <w:rPr>
          <w:rFonts w:asciiTheme="majorHAnsi" w:eastAsia="Yu Mincho" w:hAnsiTheme="majorHAnsi" w:cstheme="majorHAnsi"/>
          <w:bCs/>
          <w:color w:val="000000" w:themeColor="text1"/>
          <w:sz w:val="22"/>
          <w:szCs w:val="22"/>
          <w:lang w:eastAsia="ja-JP"/>
        </w:rPr>
        <w:t xml:space="preserve">isolated as a yellowish oil. </w:t>
      </w:r>
      <w:r w:rsidRPr="005E6B7C">
        <w:rPr>
          <w:rFonts w:asciiTheme="majorHAnsi" w:eastAsia="Yu Mincho" w:hAnsiTheme="majorHAnsi" w:cstheme="majorHAnsi"/>
          <w:color w:val="000000" w:themeColor="text1"/>
          <w:sz w:val="22"/>
          <w:szCs w:val="22"/>
          <w:lang w:eastAsia="ja-JP"/>
        </w:rPr>
        <w:t xml:space="preserve">The molecular formula of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was determined to be C</w:t>
      </w:r>
      <w:r w:rsidRPr="005E6B7C">
        <w:rPr>
          <w:rFonts w:asciiTheme="majorHAnsi" w:eastAsia="Yu Mincho" w:hAnsiTheme="majorHAnsi" w:cstheme="majorHAnsi"/>
          <w:color w:val="000000" w:themeColor="text1"/>
          <w:sz w:val="22"/>
          <w:szCs w:val="22"/>
          <w:vertAlign w:val="subscript"/>
          <w:lang w:eastAsia="ja-JP"/>
        </w:rPr>
        <w:t>21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27</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5</w:t>
      </w:r>
      <w:r w:rsidRPr="005E6B7C">
        <w:rPr>
          <w:rFonts w:asciiTheme="majorHAnsi" w:eastAsia="Yu Mincho" w:hAnsiTheme="majorHAnsi" w:cstheme="majorHAnsi"/>
          <w:color w:val="000000" w:themeColor="text1"/>
          <w:sz w:val="22"/>
          <w:szCs w:val="22"/>
          <w:lang w:eastAsia="ja-JP"/>
        </w:rPr>
        <w:t xml:space="preserve">Cl by the HRESIMS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395.1762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with the 1:3 chlorine isotope peaks, corresponding to the molecular formula with 6 degrees of unsaturation. </w:t>
      </w:r>
      <w:r w:rsidRPr="005E6B7C">
        <w:rPr>
          <w:rFonts w:asciiTheme="majorHAnsi" w:eastAsia="Yu Mincho" w:hAnsiTheme="majorHAnsi" w:cstheme="majorHAnsi"/>
          <w:bCs/>
          <w:color w:val="000000" w:themeColor="text1"/>
          <w:sz w:val="22"/>
          <w:szCs w:val="22"/>
          <w:lang w:eastAsia="ja-JP"/>
        </w:rPr>
        <w:t xml:space="preserve">The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 xml:space="preserve">C NMR spectrum showed 21 carbon </w:t>
      </w:r>
      <w:r w:rsidRPr="005E6B7C">
        <w:rPr>
          <w:rFonts w:asciiTheme="majorHAnsi" w:eastAsia="Yu Mincho" w:hAnsiTheme="majorHAnsi" w:cstheme="majorHAnsi"/>
          <w:color w:val="000000" w:themeColor="text1"/>
          <w:sz w:val="22"/>
          <w:szCs w:val="22"/>
          <w:lang w:eastAsia="ja-JP"/>
        </w:rPr>
        <w:t>signals</w:t>
      </w:r>
      <w:r w:rsidRPr="005E6B7C">
        <w:rPr>
          <w:rFonts w:asciiTheme="majorHAnsi" w:eastAsia="Yu Mincho" w:hAnsiTheme="majorHAnsi" w:cstheme="majorHAnsi"/>
          <w:bCs/>
          <w:color w:val="000000" w:themeColor="text1"/>
          <w:sz w:val="22"/>
          <w:szCs w:val="22"/>
          <w:lang w:eastAsia="ja-JP"/>
        </w:rPr>
        <w:t>, including 2 methylene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67.4 (C-1</w:t>
      </w:r>
      <w:r w:rsidRPr="005E6B7C">
        <w:rPr>
          <w:rFonts w:asciiTheme="majorHAnsi" w:eastAsia="Yu Mincho" w:hAnsiTheme="majorHAnsi" w:cstheme="majorHAnsi"/>
          <w:bCs/>
          <w:color w:val="000000" w:themeColor="text1"/>
          <w:sz w:val="22"/>
          <w:szCs w:val="22"/>
          <w:lang w:eastAsia="ja-JP"/>
        </w:rPr>
        <w:t xml:space="preserve">), 30.1 (C-14)), 7 </w:t>
      </w:r>
      <w:r w:rsidRPr="005E6B7C">
        <w:rPr>
          <w:rFonts w:asciiTheme="majorHAnsi" w:eastAsia="Yu Mincho" w:hAnsiTheme="majorHAnsi" w:cstheme="majorHAnsi"/>
          <w:bCs/>
          <w:color w:val="000000" w:themeColor="text1"/>
          <w:sz w:val="22"/>
          <w:szCs w:val="22"/>
          <w:lang w:eastAsia="ja-JP"/>
        </w:rPr>
        <w:t>methine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147.4 (C-12), 142.0 (C-10), 101.6 (C-4), 118.9 (C-9), 73.2 (C-8), 35.6 (C-8a), and 35.0 (C-13)), 7 non-protonated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187.1 (C-6), 170.4 (C-19), 163.4 (C-3), 145.7 (C-4a), 132.3 (C-11), 118.5 (C-5), and 74.9 (C-7)), and 5 methyl carbons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20.7 (C-20), 20.7 (C-18</w:t>
      </w:r>
      <w:r w:rsidRPr="005E6B7C">
        <w:rPr>
          <w:rFonts w:asciiTheme="majorHAnsi" w:eastAsia="Yu Mincho" w:hAnsiTheme="majorHAnsi" w:cstheme="majorHAnsi"/>
          <w:bCs/>
          <w:color w:val="000000" w:themeColor="text1"/>
          <w:sz w:val="22"/>
          <w:szCs w:val="22"/>
          <w:lang w:eastAsia="ja-JP"/>
        </w:rPr>
        <w:t xml:space="preserve">), 20.3 (C-16), 12.4 (C-17), and 12.0 (C-15)).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 xml:space="preserve">H NMR data showed five methyl signals at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H</w:t>
      </w:r>
      <w:r w:rsidRPr="005E6B7C">
        <w:rPr>
          <w:rFonts w:asciiTheme="majorHAnsi" w:eastAsia="Yu Mincho" w:hAnsiTheme="majorHAnsi" w:cstheme="majorHAnsi"/>
          <w:bCs/>
          <w:color w:val="000000" w:themeColor="text1"/>
          <w:sz w:val="22"/>
          <w:szCs w:val="22"/>
          <w:lang w:eastAsia="ja-JP"/>
        </w:rPr>
        <w:t xml:space="preserve"> 2.23 (3H, s,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-20), 1.43 (3H, s,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-18), 1.81 (3H, d,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-17), 0.99 (3H, d,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-16), and 0.85 (3H, t, CH</w:t>
      </w:r>
      <w:r w:rsidRPr="005E6B7C">
        <w:rPr>
          <w:rFonts w:asciiTheme="majorHAnsi" w:eastAsia="Yu Mincho" w:hAnsiTheme="majorHAnsi" w:cstheme="majorHAnsi"/>
          <w:bCs/>
          <w:color w:val="000000" w:themeColor="text1"/>
          <w:sz w:val="22"/>
          <w:szCs w:val="22"/>
          <w:vertAlign w:val="subscript"/>
          <w:lang w:eastAsia="ja-JP"/>
        </w:rPr>
        <w:t>3</w:t>
      </w:r>
      <w:r w:rsidRPr="005E6B7C">
        <w:rPr>
          <w:rFonts w:asciiTheme="majorHAnsi" w:eastAsia="Yu Mincho" w:hAnsiTheme="majorHAnsi" w:cstheme="majorHAnsi"/>
          <w:bCs/>
          <w:color w:val="000000" w:themeColor="text1"/>
          <w:sz w:val="22"/>
          <w:szCs w:val="22"/>
          <w:lang w:eastAsia="ja-JP"/>
        </w:rPr>
        <w:t xml:space="preserve">-15), seven methine (including four olefinic and three aliphatic protons), and two methylene protons. The </w:t>
      </w:r>
      <w:r w:rsidRPr="005E6B7C">
        <w:rPr>
          <w:rFonts w:asciiTheme="majorHAnsi" w:eastAsia="Yu Mincho" w:hAnsiTheme="majorHAnsi" w:cstheme="majorHAnsi"/>
          <w:bCs/>
          <w:color w:val="000000" w:themeColor="text1"/>
          <w:sz w:val="22"/>
          <w:szCs w:val="22"/>
          <w:vertAlign w:val="superscript"/>
          <w:lang w:eastAsia="ja-JP"/>
        </w:rPr>
        <w:t>13</w:t>
      </w:r>
      <w:r w:rsidRPr="005E6B7C">
        <w:rPr>
          <w:rFonts w:asciiTheme="majorHAnsi" w:eastAsia="Yu Mincho" w:hAnsiTheme="majorHAnsi" w:cstheme="majorHAnsi"/>
          <w:bCs/>
          <w:color w:val="000000" w:themeColor="text1"/>
          <w:sz w:val="22"/>
          <w:szCs w:val="22"/>
          <w:lang w:eastAsia="ja-JP"/>
        </w:rPr>
        <w:t xml:space="preserve">C and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 xml:space="preserve">H NMR data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were similar to those of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T</w:t>
      </w:r>
      <w:r w:rsidRPr="005E6B7C">
        <w:rPr>
          <w:rFonts w:asciiTheme="majorHAnsi" w:eastAsia="Yu Mincho" w:hAnsiTheme="majorHAnsi" w:cstheme="majorHAnsi"/>
          <w:color w:val="000000" w:themeColor="text1"/>
          <w:sz w:val="22"/>
          <w:szCs w:val="22"/>
          <w:lang w:eastAsia="ja-JP"/>
        </w:rPr>
        <w:t xml:space="preserve">he differences between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were the addition of one acetyl group at carbon C-8 (</w:t>
      </w:r>
      <w:r w:rsidRPr="005E6B7C">
        <w:rPr>
          <w:rFonts w:asciiTheme="majorHAnsi" w:eastAsia="Yu Mincho" w:hAnsiTheme="majorHAnsi" w:cstheme="majorHAnsi"/>
          <w:bCs/>
          <w:i/>
          <w:color w:val="000000" w:themeColor="text1"/>
          <w:sz w:val="22"/>
          <w:szCs w:val="22"/>
          <w:lang w:eastAsia="ja-JP"/>
        </w:rPr>
        <w:t>δ</w:t>
      </w:r>
      <w:r w:rsidRPr="005E6B7C">
        <w:rPr>
          <w:rFonts w:asciiTheme="majorHAnsi" w:eastAsia="Yu Mincho" w:hAnsiTheme="majorHAnsi" w:cstheme="majorHAnsi"/>
          <w:bCs/>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73.2), and the position of proton H-8 was changed to </w:t>
      </w:r>
      <w:r w:rsidRPr="005E6B7C">
        <w:rPr>
          <w:rFonts w:asciiTheme="majorHAnsi" w:eastAsia="Symbol" w:hAnsiTheme="majorHAnsi" w:cstheme="majorHAnsi"/>
          <w:i/>
          <w:iCs/>
          <w:color w:val="000000" w:themeColor="text1"/>
          <w:sz w:val="22"/>
          <w:szCs w:val="22"/>
          <w:lang w:eastAsia="ja-JP"/>
        </w:rPr>
        <w:t>b</w:t>
      </w:r>
      <w:r w:rsidRPr="005E6B7C">
        <w:rPr>
          <w:rFonts w:asciiTheme="majorHAnsi" w:eastAsia="Yu Mincho" w:hAnsiTheme="majorHAnsi" w:cstheme="majorHAnsi"/>
          <w:color w:val="000000" w:themeColor="text1"/>
          <w:sz w:val="22"/>
          <w:szCs w:val="22"/>
          <w:lang w:eastAsia="ja-JP"/>
        </w:rPr>
        <w:t xml:space="preserve">-orientation in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The same correlations as those of </w:t>
      </w: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bCs/>
          <w:color w:val="000000" w:themeColor="text1"/>
          <w:sz w:val="22"/>
          <w:szCs w:val="22"/>
          <w:lang w:eastAsia="ja-JP"/>
        </w:rPr>
        <w:t xml:space="preserve"> were observed in the </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H-</w:t>
      </w:r>
      <w:r w:rsidRPr="005E6B7C">
        <w:rPr>
          <w:rFonts w:asciiTheme="majorHAnsi" w:eastAsia="Yu Mincho" w:hAnsiTheme="majorHAnsi" w:cstheme="majorHAnsi"/>
          <w:bCs/>
          <w:color w:val="000000" w:themeColor="text1"/>
          <w:sz w:val="22"/>
          <w:szCs w:val="22"/>
          <w:vertAlign w:val="superscript"/>
          <w:lang w:eastAsia="ja-JP"/>
        </w:rPr>
        <w:t>1</w:t>
      </w:r>
      <w:r w:rsidRPr="005E6B7C">
        <w:rPr>
          <w:rFonts w:asciiTheme="majorHAnsi" w:eastAsia="Yu Mincho" w:hAnsiTheme="majorHAnsi" w:cstheme="majorHAnsi"/>
          <w:bCs/>
          <w:color w:val="000000" w:themeColor="text1"/>
          <w:sz w:val="22"/>
          <w:szCs w:val="22"/>
          <w:lang w:eastAsia="ja-JP"/>
        </w:rPr>
        <w:t xml:space="preserve">H COSY and HMBC of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A cross peak from the H-8 proton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H</w:t>
      </w:r>
      <w:r w:rsidRPr="005E6B7C">
        <w:rPr>
          <w:rFonts w:asciiTheme="majorHAnsi" w:eastAsia="Yu Mincho" w:hAnsiTheme="majorHAnsi" w:cstheme="majorHAnsi"/>
          <w:color w:val="000000" w:themeColor="text1"/>
          <w:sz w:val="22"/>
          <w:szCs w:val="22"/>
          <w:lang w:val="vi" w:eastAsia="ja-JP"/>
        </w:rPr>
        <w:t xml:space="preserve"> 5.01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 w:eastAsia="ja-JP"/>
        </w:rPr>
        <w:t xml:space="preserve">d, </w:t>
      </w:r>
      <w:r w:rsidRPr="005E6B7C">
        <w:rPr>
          <w:rFonts w:asciiTheme="majorHAnsi" w:eastAsia="Yu Mincho" w:hAnsiTheme="majorHAnsi" w:cstheme="majorHAnsi"/>
          <w:i/>
          <w:iCs/>
          <w:color w:val="000000" w:themeColor="text1"/>
          <w:sz w:val="22"/>
          <w:szCs w:val="22"/>
          <w:lang w:val="vi" w:eastAsia="ja-JP"/>
        </w:rPr>
        <w:t>J</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 w:eastAsia="ja-JP"/>
        </w:rPr>
        <w:t>10.4 Hz</w:t>
      </w:r>
      <w:r w:rsidRPr="005E6B7C">
        <w:rPr>
          <w:rFonts w:asciiTheme="majorHAnsi" w:eastAsia="Yu Mincho" w:hAnsiTheme="majorHAnsi" w:cstheme="majorHAnsi"/>
          <w:bCs/>
          <w:color w:val="000000" w:themeColor="text1"/>
          <w:sz w:val="22"/>
          <w:szCs w:val="22"/>
          <w:lang w:eastAsia="ja-JP"/>
        </w:rPr>
        <w:t>) to the acetyl carbonyl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eastAsia="ja-JP"/>
        </w:rPr>
        <w:t>170.4</w:t>
      </w:r>
      <w:r w:rsidRPr="005E6B7C">
        <w:rPr>
          <w:rFonts w:asciiTheme="majorHAnsi" w:eastAsia="Yu Mincho" w:hAnsiTheme="majorHAnsi" w:cstheme="majorHAnsi"/>
          <w:bCs/>
          <w:color w:val="000000" w:themeColor="text1"/>
          <w:sz w:val="22"/>
          <w:szCs w:val="22"/>
          <w:lang w:eastAsia="ja-JP"/>
        </w:rPr>
        <w:t xml:space="preserve">) in HMBC revealed that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confirmed an acetyl moiety located to carbon C-8. Therefore, the structure of compound </w:t>
      </w: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Cs/>
          <w:color w:val="000000" w:themeColor="text1"/>
          <w:sz w:val="22"/>
          <w:szCs w:val="22"/>
          <w:lang w:eastAsia="ja-JP"/>
        </w:rPr>
        <w:t xml:space="preserve"> was identified as isochromophilone IV, which was isolated from </w:t>
      </w:r>
      <w:r w:rsidRPr="005E6B7C">
        <w:rPr>
          <w:rFonts w:asciiTheme="majorHAnsi" w:eastAsia="Yu Mincho" w:hAnsiTheme="majorHAnsi" w:cstheme="majorHAnsi"/>
          <w:bCs/>
          <w:i/>
          <w:iCs/>
          <w:color w:val="000000" w:themeColor="text1"/>
          <w:sz w:val="22"/>
          <w:szCs w:val="22"/>
          <w:lang w:eastAsia="ja-JP"/>
        </w:rPr>
        <w:t>P. multicolor</w:t>
      </w:r>
      <w:r w:rsidRPr="005E6B7C">
        <w:rPr>
          <w:rFonts w:asciiTheme="majorHAnsi" w:eastAsia="Yu Mincho" w:hAnsiTheme="majorHAnsi" w:cstheme="majorHAnsi"/>
          <w:bCs/>
          <w:color w:val="000000" w:themeColor="text1"/>
          <w:sz w:val="22"/>
          <w:szCs w:val="22"/>
          <w:lang w:eastAsia="ja-JP"/>
        </w:rPr>
        <w:t xml:space="preserve"> [17]. </w:t>
      </w:r>
    </w:p>
    <w:p w14:paraId="1EA61B71" w14:textId="2495AF7E" w:rsidR="00835D1F"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835D1F" w:rsidRPr="005E6B7C" w:rsidSect="00835D1F">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was isolated as a colorless oil; its positive ESI-MS presented the ion peak at </w:t>
      </w:r>
      <w:r w:rsidRPr="005E6B7C">
        <w:rPr>
          <w:rFonts w:asciiTheme="majorHAnsi" w:eastAsia="Yu Mincho" w:hAnsiTheme="majorHAnsi" w:cstheme="majorHAnsi"/>
          <w:i/>
          <w:iCs/>
          <w:color w:val="000000" w:themeColor="text1"/>
          <w:sz w:val="22"/>
          <w:szCs w:val="22"/>
          <w:lang w:eastAsia="ja-JP"/>
        </w:rPr>
        <w:t>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z </w:t>
      </w:r>
      <w:r w:rsidRPr="005E6B7C">
        <w:rPr>
          <w:rFonts w:asciiTheme="majorHAnsi" w:eastAsia="Yu Mincho" w:hAnsiTheme="majorHAnsi" w:cstheme="majorHAnsi"/>
          <w:color w:val="000000" w:themeColor="text1"/>
          <w:sz w:val="22"/>
          <w:szCs w:val="22"/>
          <w:lang w:eastAsia="ja-JP"/>
        </w:rPr>
        <w:t>319.2039 [M+K]</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corresponding to the molecular formula C</w:t>
      </w:r>
      <w:r w:rsidRPr="005E6B7C">
        <w:rPr>
          <w:rFonts w:asciiTheme="majorHAnsi" w:eastAsia="Yu Mincho" w:hAnsiTheme="majorHAnsi" w:cstheme="majorHAnsi"/>
          <w:color w:val="000000" w:themeColor="text1"/>
          <w:sz w:val="22"/>
          <w:szCs w:val="22"/>
          <w:vertAlign w:val="subscript"/>
          <w:lang w:val="vi" w:eastAsia="ja-JP"/>
        </w:rPr>
        <w:t>18</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val="vi" w:eastAsia="ja-JP"/>
        </w:rPr>
        <w:t>32</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val="vi" w:eastAsia="ja-JP"/>
        </w:rPr>
        <w:t>2</w:t>
      </w:r>
      <w:r w:rsidRPr="005E6B7C">
        <w:rPr>
          <w:rFonts w:asciiTheme="majorHAnsi" w:eastAsia="Yu Mincho" w:hAnsiTheme="majorHAnsi" w:cstheme="majorHAnsi"/>
          <w:color w:val="000000" w:themeColor="text1"/>
          <w:sz w:val="22"/>
          <w:szCs w:val="22"/>
          <w:lang w:eastAsia="ja-JP"/>
        </w:rPr>
        <w:t xml:space="preserve"> with 3 degrees of unsaturation. </w:t>
      </w:r>
      <w:r w:rsidRPr="005E6B7C">
        <w:rPr>
          <w:rFonts w:asciiTheme="majorHAnsi" w:eastAsia="Yu Mincho" w:hAnsiTheme="majorHAnsi" w:cstheme="majorHAnsi"/>
          <w:color w:val="000000" w:themeColor="text1"/>
          <w:sz w:val="22"/>
          <w:szCs w:val="22"/>
          <w:lang w:val="vi" w:eastAsia="ja-JP"/>
        </w:rPr>
        <w:t xml:space="preserve">The </w:t>
      </w:r>
      <w:r w:rsidRPr="005E6B7C">
        <w:rPr>
          <w:rFonts w:asciiTheme="majorHAnsi" w:eastAsia="Yu Mincho" w:hAnsiTheme="majorHAnsi" w:cstheme="majorHAnsi"/>
          <w:color w:val="000000" w:themeColor="text1"/>
          <w:sz w:val="22"/>
          <w:szCs w:val="22"/>
          <w:vertAlign w:val="superscript"/>
          <w:lang w:val="vi" w:eastAsia="ja-JP"/>
        </w:rPr>
        <w:t>13</w:t>
      </w:r>
      <w:r w:rsidRPr="005E6B7C">
        <w:rPr>
          <w:rFonts w:asciiTheme="majorHAnsi" w:eastAsia="Yu Mincho" w:hAnsiTheme="majorHAnsi" w:cstheme="majorHAnsi"/>
          <w:color w:val="000000" w:themeColor="text1"/>
          <w:sz w:val="22"/>
          <w:szCs w:val="22"/>
          <w:lang w:val="vi" w:eastAsia="ja-JP"/>
        </w:rPr>
        <w:t>C NMR spectrum showed 18 carbon signals</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 w:eastAsia="ja-JP"/>
        </w:rPr>
        <w:t xml:space="preserve"> including 12 methylen</w:t>
      </w:r>
      <w:r w:rsidRPr="005E6B7C">
        <w:rPr>
          <w:rFonts w:asciiTheme="majorHAnsi" w:eastAsia="Yu Mincho" w:hAnsiTheme="majorHAnsi" w:cstheme="majorHAnsi"/>
          <w:color w:val="000000" w:themeColor="text1"/>
          <w:sz w:val="22"/>
          <w:szCs w:val="22"/>
          <w:lang w:eastAsia="ja-JP"/>
        </w:rPr>
        <w:t>e</w:t>
      </w:r>
      <w:r w:rsidRPr="005E6B7C">
        <w:rPr>
          <w:rFonts w:asciiTheme="majorHAnsi" w:eastAsia="Yu Mincho" w:hAnsiTheme="majorHAnsi" w:cstheme="majorHAnsi"/>
          <w:color w:val="000000" w:themeColor="text1"/>
          <w:sz w:val="22"/>
          <w:szCs w:val="22"/>
          <w:lang w:val="vi" w:eastAsia="ja-JP"/>
        </w:rPr>
        <w:t xml:space="preserve">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eastAsia="ja-JP"/>
        </w:rPr>
        <w:t xml:space="preserve">34.0 (C-2), 31.5 (C-16), 29.6 (C-7), 29.4 (C-6), 29.2 (C-15), 29.1 (C-4), 29.1 (C-5), 27.2 (C-8), 27.2 (C-14), </w:t>
      </w:r>
      <w:r w:rsidRPr="005E6B7C">
        <w:rPr>
          <w:rFonts w:asciiTheme="majorHAnsi" w:eastAsia="Yu Mincho" w:hAnsiTheme="majorHAnsi" w:cstheme="majorHAnsi"/>
          <w:color w:val="000000" w:themeColor="text1"/>
          <w:sz w:val="22"/>
          <w:szCs w:val="22"/>
          <w:lang w:val="vi" w:eastAsia="ja-JP"/>
        </w:rPr>
        <w:t>25.6 (C-11), 24.7 (C-3), 22.6 (C-17)</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eastAsia="ja-JP"/>
        </w:rPr>
        <w:t>four</w:t>
      </w:r>
      <w:r w:rsidRPr="005E6B7C">
        <w:rPr>
          <w:rFonts w:asciiTheme="majorHAnsi" w:eastAsia="Yu Mincho" w:hAnsiTheme="majorHAnsi" w:cstheme="majorHAnsi"/>
          <w:color w:val="000000" w:themeColor="text1"/>
          <w:sz w:val="22"/>
          <w:szCs w:val="22"/>
          <w:lang w:val="vi" w:eastAsia="ja-JP"/>
        </w:rPr>
        <w:t xml:space="preserve"> methine carbons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xml:space="preserve"> 130.0 (C-9), 127.9 (C-10), 128.1 (C-12), and 130.2 (C-13)), </w:t>
      </w:r>
      <w:r w:rsidRPr="005E6B7C">
        <w:rPr>
          <w:rFonts w:asciiTheme="majorHAnsi" w:eastAsia="Yu Mincho" w:hAnsiTheme="majorHAnsi" w:cstheme="majorHAnsi"/>
          <w:color w:val="000000" w:themeColor="text1"/>
          <w:sz w:val="22"/>
          <w:szCs w:val="22"/>
          <w:lang w:eastAsia="ja-JP"/>
        </w:rPr>
        <w:t>one</w:t>
      </w:r>
      <w:r w:rsidRPr="005E6B7C">
        <w:rPr>
          <w:rFonts w:asciiTheme="majorHAnsi" w:eastAsia="Yu Mincho" w:hAnsiTheme="majorHAnsi" w:cstheme="majorHAnsi"/>
          <w:color w:val="000000" w:themeColor="text1"/>
          <w:sz w:val="22"/>
          <w:szCs w:val="22"/>
          <w:lang w:val="vi" w:eastAsia="ja-JP"/>
        </w:rPr>
        <w:t xml:space="preserve"> </w:t>
      </w:r>
      <w:r w:rsidRPr="005E6B7C">
        <w:rPr>
          <w:rFonts w:asciiTheme="majorHAnsi" w:eastAsia="Yu Mincho" w:hAnsiTheme="majorHAnsi" w:cstheme="majorHAnsi"/>
          <w:color w:val="000000" w:themeColor="text1"/>
          <w:sz w:val="22"/>
          <w:szCs w:val="22"/>
          <w:lang w:eastAsia="ja-JP"/>
        </w:rPr>
        <w:t>carboxylic</w:t>
      </w:r>
      <w:r w:rsidRPr="005E6B7C">
        <w:rPr>
          <w:rFonts w:asciiTheme="majorHAnsi" w:eastAsia="Yu Mincho" w:hAnsiTheme="majorHAnsi" w:cstheme="majorHAnsi"/>
          <w:color w:val="000000" w:themeColor="text1"/>
          <w:sz w:val="22"/>
          <w:szCs w:val="22"/>
          <w:lang w:val="vi" w:eastAsia="ja-JP"/>
        </w:rPr>
        <w:t xml:space="preserve"> carbon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xml:space="preserve"> 178.9 (C-1), and </w:t>
      </w:r>
      <w:r w:rsidRPr="005E6B7C">
        <w:rPr>
          <w:rFonts w:asciiTheme="majorHAnsi" w:eastAsia="Yu Mincho" w:hAnsiTheme="majorHAnsi" w:cstheme="majorHAnsi"/>
          <w:color w:val="000000" w:themeColor="text1"/>
          <w:sz w:val="22"/>
          <w:szCs w:val="22"/>
          <w:lang w:eastAsia="ja-JP"/>
        </w:rPr>
        <w:t>one</w:t>
      </w:r>
      <w:r w:rsidRPr="005E6B7C">
        <w:rPr>
          <w:rFonts w:asciiTheme="majorHAnsi" w:eastAsia="Yu Mincho" w:hAnsiTheme="majorHAnsi" w:cstheme="majorHAnsi"/>
          <w:color w:val="000000" w:themeColor="text1"/>
          <w:sz w:val="22"/>
          <w:szCs w:val="22"/>
          <w:lang w:val="vi" w:eastAsia="ja-JP"/>
        </w:rPr>
        <w:t xml:space="preserve"> methyl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C</w:t>
      </w:r>
      <w:r w:rsidRPr="005E6B7C">
        <w:rPr>
          <w:rFonts w:asciiTheme="majorHAnsi" w:eastAsia="Yu Mincho" w:hAnsiTheme="majorHAnsi" w:cstheme="majorHAnsi"/>
          <w:color w:val="000000" w:themeColor="text1"/>
          <w:sz w:val="22"/>
          <w:szCs w:val="22"/>
          <w:lang w:val="vi" w:eastAsia="ja-JP"/>
        </w:rPr>
        <w:t xml:space="preserve"> 14.1 (C-18)). The </w:t>
      </w:r>
      <w:r w:rsidRPr="005E6B7C">
        <w:rPr>
          <w:rFonts w:asciiTheme="majorHAnsi" w:eastAsia="Yu Mincho" w:hAnsiTheme="majorHAnsi" w:cstheme="majorHAnsi"/>
          <w:color w:val="000000" w:themeColor="text1"/>
          <w:sz w:val="22"/>
          <w:szCs w:val="22"/>
          <w:vertAlign w:val="superscript"/>
          <w:lang w:val="vi" w:eastAsia="ja-JP"/>
        </w:rPr>
        <w:t>1</w:t>
      </w:r>
      <w:r w:rsidRPr="005E6B7C">
        <w:rPr>
          <w:rFonts w:asciiTheme="majorHAnsi" w:eastAsia="Yu Mincho" w:hAnsiTheme="majorHAnsi" w:cstheme="majorHAnsi"/>
          <w:color w:val="000000" w:themeColor="text1"/>
          <w:sz w:val="22"/>
          <w:szCs w:val="22"/>
          <w:lang w:val="vi" w:eastAsia="ja-JP"/>
        </w:rPr>
        <w:t xml:space="preserve">H NMR data </w:t>
      </w:r>
      <w:r w:rsidRPr="005E6B7C">
        <w:rPr>
          <w:rFonts w:asciiTheme="majorHAnsi" w:eastAsia="Yu Mincho" w:hAnsiTheme="majorHAnsi" w:cstheme="majorHAnsi"/>
          <w:color w:val="000000" w:themeColor="text1"/>
          <w:sz w:val="22"/>
          <w:szCs w:val="22"/>
          <w:lang w:eastAsia="ja-JP"/>
        </w:rPr>
        <w:t xml:space="preserve">exhibited the </w:t>
      </w:r>
      <w:r w:rsidRPr="005E6B7C">
        <w:rPr>
          <w:rFonts w:asciiTheme="majorHAnsi" w:eastAsia="Yu Mincho" w:hAnsiTheme="majorHAnsi" w:cstheme="majorHAnsi"/>
          <w:color w:val="000000" w:themeColor="text1"/>
          <w:sz w:val="22"/>
          <w:szCs w:val="22"/>
          <w:lang w:val="vi" w:eastAsia="ja-JP"/>
        </w:rPr>
        <w:t xml:space="preserve">signals </w:t>
      </w:r>
      <w:r w:rsidRPr="005E6B7C">
        <w:rPr>
          <w:rFonts w:asciiTheme="majorHAnsi" w:eastAsia="Yu Mincho" w:hAnsiTheme="majorHAnsi" w:cstheme="majorHAnsi"/>
          <w:color w:val="000000" w:themeColor="text1"/>
          <w:sz w:val="22"/>
          <w:szCs w:val="22"/>
          <w:lang w:eastAsia="ja-JP"/>
        </w:rPr>
        <w:t xml:space="preserve">of a methyl group </w:t>
      </w:r>
      <w:r w:rsidRPr="005E6B7C">
        <w:rPr>
          <w:rFonts w:asciiTheme="majorHAnsi" w:eastAsia="Yu Mincho" w:hAnsiTheme="majorHAnsi" w:cstheme="majorHAnsi"/>
          <w:color w:val="000000" w:themeColor="text1"/>
          <w:sz w:val="22"/>
          <w:szCs w:val="22"/>
          <w:lang w:val="vi" w:eastAsia="ja-JP"/>
        </w:rPr>
        <w:t xml:space="preserve">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H</w:t>
      </w:r>
      <w:r w:rsidRPr="005E6B7C">
        <w:rPr>
          <w:rFonts w:asciiTheme="majorHAnsi" w:eastAsia="Yu Mincho" w:hAnsiTheme="majorHAnsi" w:cstheme="majorHAnsi"/>
          <w:color w:val="000000" w:themeColor="text1"/>
          <w:sz w:val="22"/>
          <w:szCs w:val="22"/>
          <w:lang w:val="vi" w:eastAsia="ja-JP"/>
        </w:rPr>
        <w:t xml:space="preserve"> 0.90 (3H, t, CH</w:t>
      </w:r>
      <w:r w:rsidRPr="005E6B7C">
        <w:rPr>
          <w:rFonts w:asciiTheme="majorHAnsi" w:eastAsia="Yu Mincho" w:hAnsiTheme="majorHAnsi" w:cstheme="majorHAnsi"/>
          <w:color w:val="000000" w:themeColor="text1"/>
          <w:sz w:val="22"/>
          <w:szCs w:val="22"/>
          <w:vertAlign w:val="subscript"/>
          <w:lang w:val="vi" w:eastAsia="ja-JP"/>
        </w:rPr>
        <w:t>3</w:t>
      </w:r>
      <w:r w:rsidRPr="005E6B7C">
        <w:rPr>
          <w:rFonts w:asciiTheme="majorHAnsi" w:eastAsia="Yu Mincho" w:hAnsiTheme="majorHAnsi" w:cstheme="majorHAnsi"/>
          <w:color w:val="000000" w:themeColor="text1"/>
          <w:sz w:val="22"/>
          <w:szCs w:val="22"/>
          <w:lang w:val="vi" w:eastAsia="ja-JP"/>
        </w:rPr>
        <w:t>-18)</w:t>
      </w:r>
      <w:r w:rsidRPr="005E6B7C">
        <w:rPr>
          <w:rFonts w:asciiTheme="majorHAnsi" w:eastAsia="Yu Mincho" w:hAnsiTheme="majorHAnsi" w:cstheme="majorHAnsi"/>
          <w:color w:val="000000" w:themeColor="text1"/>
          <w:sz w:val="22"/>
          <w:szCs w:val="22"/>
          <w:lang w:eastAsia="ja-JP"/>
        </w:rPr>
        <w:t xml:space="preserve">, two pairs of double bond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vi" w:eastAsia="ja-JP"/>
        </w:rPr>
        <w:t>H</w:t>
      </w:r>
      <w:r w:rsidRPr="005E6B7C">
        <w:rPr>
          <w:rFonts w:asciiTheme="majorHAnsi" w:eastAsia="Yu Mincho" w:hAnsiTheme="majorHAnsi" w:cstheme="majorHAnsi"/>
          <w:color w:val="000000" w:themeColor="text1"/>
          <w:sz w:val="22"/>
          <w:szCs w:val="22"/>
          <w:lang w:val="vi" w:eastAsia="ja-JP"/>
        </w:rPr>
        <w:t xml:space="preserve"> 5.29 - 5.42 (4H, m, H-12, </w:t>
      </w:r>
      <w:r w:rsidRPr="005E6B7C">
        <w:rPr>
          <w:rFonts w:asciiTheme="majorHAnsi" w:eastAsia="Yu Mincho" w:hAnsiTheme="majorHAnsi" w:cstheme="majorHAnsi"/>
          <w:color w:val="000000" w:themeColor="text1"/>
          <w:sz w:val="22"/>
          <w:szCs w:val="22"/>
          <w:lang w:val="vi" w:eastAsia="ja-JP"/>
        </w:rPr>
        <w:lastRenderedPageBreak/>
        <w:t>H-13, H-9, H-10)</w:t>
      </w:r>
      <w:r w:rsidRPr="005E6B7C">
        <w:rPr>
          <w:rFonts w:asciiTheme="majorHAnsi" w:eastAsia="Yu Mincho" w:hAnsiTheme="majorHAnsi" w:cstheme="majorHAnsi"/>
          <w:color w:val="000000" w:themeColor="text1"/>
          <w:sz w:val="22"/>
          <w:szCs w:val="22"/>
          <w:lang w:eastAsia="ja-JP"/>
        </w:rPr>
        <w:t xml:space="preserve">, and twelve methylene groups. In comparison with the published NMR data in the reference [18], compound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was identified as </w:t>
      </w:r>
      <w:r w:rsidRPr="005E6B7C">
        <w:rPr>
          <w:rFonts w:asciiTheme="majorHAnsi" w:eastAsia="Yu Mincho" w:hAnsiTheme="majorHAnsi" w:cstheme="majorHAnsi"/>
          <w:color w:val="000000" w:themeColor="text1"/>
          <w:sz w:val="22"/>
          <w:szCs w:val="22"/>
          <w:lang w:eastAsia="ja-JP"/>
        </w:rPr>
        <w:t xml:space="preserve">linoleic acid, which is reported </w:t>
      </w:r>
      <w:r w:rsidR="00416540" w:rsidRPr="005E6B7C">
        <w:rPr>
          <w:rFonts w:asciiTheme="majorHAnsi" w:eastAsia="Yu Mincho" w:hAnsiTheme="majorHAnsi" w:cstheme="majorHAnsi"/>
          <w:color w:val="000000" w:themeColor="text1"/>
          <w:sz w:val="22"/>
          <w:szCs w:val="22"/>
          <w:lang w:eastAsia="ja-JP"/>
        </w:rPr>
        <w:t>for</w:t>
      </w:r>
      <w:r w:rsidR="00416540" w:rsidRPr="005E6B7C">
        <w:rPr>
          <w:rFonts w:asciiTheme="majorHAnsi" w:eastAsia="Yu Mincho" w:hAnsiTheme="majorHAnsi" w:cstheme="majorHAnsi"/>
          <w:color w:val="000000" w:themeColor="text1"/>
          <w:sz w:val="22"/>
          <w:szCs w:val="22"/>
          <w:lang w:val="vi-VN" w:eastAsia="ja-JP"/>
        </w:rPr>
        <w:t xml:space="preserve"> the first time </w:t>
      </w:r>
      <w:r w:rsidRPr="005E6B7C">
        <w:rPr>
          <w:rFonts w:asciiTheme="majorHAnsi" w:eastAsia="Yu Mincho" w:hAnsiTheme="majorHAnsi" w:cstheme="majorHAnsi"/>
          <w:color w:val="000000" w:themeColor="text1"/>
          <w:sz w:val="22"/>
          <w:szCs w:val="22"/>
          <w:lang w:eastAsia="ja-JP"/>
        </w:rPr>
        <w:t>in the fung</w:t>
      </w:r>
      <w:r w:rsidR="00416540" w:rsidRPr="005E6B7C">
        <w:rPr>
          <w:rFonts w:asciiTheme="majorHAnsi" w:eastAsia="Yu Mincho" w:hAnsiTheme="majorHAnsi" w:cstheme="majorHAnsi"/>
          <w:color w:val="000000" w:themeColor="text1"/>
          <w:sz w:val="22"/>
          <w:szCs w:val="22"/>
          <w:lang w:eastAsia="ja-JP"/>
        </w:rPr>
        <w:t>us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Penicillium sclerotiorum</w:t>
      </w:r>
      <w:r w:rsidRPr="005E6B7C">
        <w:rPr>
          <w:rFonts w:asciiTheme="majorHAnsi" w:eastAsia="Yu Mincho" w:hAnsiTheme="majorHAnsi" w:cstheme="majorHAnsi"/>
          <w:color w:val="000000" w:themeColor="text1"/>
          <w:sz w:val="22"/>
          <w:szCs w:val="22"/>
          <w:lang w:eastAsia="ja-JP"/>
        </w:rPr>
        <w:t>.</w:t>
      </w:r>
    </w:p>
    <w:p w14:paraId="65777678" w14:textId="77777777" w:rsidR="00835D1F" w:rsidRPr="005E6B7C" w:rsidRDefault="00835D1F" w:rsidP="008C0D47"/>
    <w:p w14:paraId="3308D12E" w14:textId="77777777" w:rsidR="00E049CB" w:rsidRPr="005E6B7C" w:rsidRDefault="00ED4C45" w:rsidP="008C0D47">
      <w:pPr>
        <w:jc w:val="center"/>
      </w:pPr>
      <w:r w:rsidRPr="005E6B7C">
        <w:object w:dxaOrig="9968" w:dyaOrig="3281" w14:anchorId="21227B28">
          <v:shape id="_x0000_i1030" type="#_x0000_t75" style="width:389.25pt;height:128.3pt" o:ole="">
            <v:imagedata r:id="rId35" o:title=""/>
          </v:shape>
          <o:OLEObject Type="Embed" ProgID="ChemDraw.Document.6.0" ShapeID="_x0000_i1030" DrawAspect="Content" ObjectID="_1836572952" r:id="rId36"/>
        </w:object>
      </w:r>
    </w:p>
    <w:p w14:paraId="744DA7A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2.</w:t>
      </w:r>
      <w:r w:rsidRPr="005E6B7C">
        <w:rPr>
          <w:rFonts w:asciiTheme="majorHAnsi" w:eastAsia="Yu Mincho" w:hAnsiTheme="majorHAnsi" w:cstheme="majorHAnsi"/>
          <w:color w:val="000000" w:themeColor="text1"/>
          <w:sz w:val="18"/>
          <w:szCs w:val="18"/>
          <w:lang w:eastAsia="ja-JP"/>
        </w:rPr>
        <w:t xml:space="preserve"> The key HMBC (</w:t>
      </w:r>
      <w:r w:rsidRPr="005E6B7C">
        <w:rPr>
          <w:rFonts w:asciiTheme="majorHAnsi" w:eastAsia="Yu Mincho" w:hAnsiTheme="majorHAnsi" w:cstheme="majorHAnsi"/>
          <w:noProof/>
          <w:color w:val="000000" w:themeColor="text1"/>
          <w:sz w:val="18"/>
          <w:szCs w:val="18"/>
          <w:lang w:eastAsia="ja-JP"/>
        </w:rPr>
        <w:object w:dxaOrig="528" w:dyaOrig="152" w14:anchorId="42DB5F49">
          <v:shape id="_x0000_i1031" type="#_x0000_t75" style="width:26.55pt;height:11.3pt" o:ole="">
            <v:imagedata r:id="rId37" o:title=""/>
          </v:shape>
          <o:OLEObject Type="Embed" ProgID="ChemDraw.Document.6.0" ShapeID="_x0000_i1031" DrawAspect="Content" ObjectID="_1836572953" r:id="rId38"/>
        </w:object>
      </w:r>
      <w:r w:rsidRPr="005E6B7C">
        <w:rPr>
          <w:rFonts w:asciiTheme="majorHAnsi" w:eastAsia="Yu Mincho" w:hAnsiTheme="majorHAnsi" w:cstheme="majorHAnsi"/>
          <w:color w:val="000000" w:themeColor="text1"/>
          <w:sz w:val="18"/>
          <w:szCs w:val="18"/>
          <w:lang w:eastAsia="ja-JP"/>
        </w:rPr>
        <w:t>) and COSY (</w:t>
      </w:r>
      <w:r w:rsidRPr="005E6B7C">
        <w:rPr>
          <w:rFonts w:asciiTheme="majorHAnsi" w:eastAsia="Yu Mincho" w:hAnsiTheme="majorHAnsi" w:cstheme="majorHAnsi"/>
          <w:noProof/>
          <w:color w:val="000000" w:themeColor="text1"/>
          <w:sz w:val="18"/>
          <w:szCs w:val="18"/>
          <w:lang w:eastAsia="ja-JP"/>
        </w:rPr>
        <w:object w:dxaOrig="434" w:dyaOrig="127" w14:anchorId="74E33E5F">
          <v:shape id="_x0000_i1032" type="#_x0000_t75" style="width:21pt;height:5.8pt" o:ole="">
            <v:imagedata r:id="rId39" o:title=""/>
          </v:shape>
          <o:OLEObject Type="Embed" ProgID="ChemDraw.Document.6.0" ShapeID="_x0000_i1032" DrawAspect="Content" ObjectID="_1836572954" r:id="rId40"/>
        </w:object>
      </w:r>
      <w:r w:rsidRPr="005E6B7C">
        <w:rPr>
          <w:rFonts w:asciiTheme="majorHAnsi" w:eastAsia="Yu Mincho" w:hAnsiTheme="majorHAnsi" w:cstheme="majorHAnsi"/>
          <w:color w:val="000000" w:themeColor="text1"/>
          <w:sz w:val="18"/>
          <w:szCs w:val="18"/>
          <w:lang w:eastAsia="ja-JP"/>
        </w:rPr>
        <w:t xml:space="preserve">) correlations of compounds </w:t>
      </w:r>
      <w:r w:rsidRPr="005E6B7C">
        <w:rPr>
          <w:rFonts w:asciiTheme="majorHAnsi" w:eastAsia="Yu Mincho" w:hAnsiTheme="majorHAnsi" w:cstheme="majorHAnsi"/>
          <w:b/>
          <w:bCs/>
          <w:color w:val="000000" w:themeColor="text1"/>
          <w:sz w:val="18"/>
          <w:szCs w:val="18"/>
          <w:lang w:eastAsia="ja-JP"/>
        </w:rPr>
        <w:t>1-5</w:t>
      </w:r>
      <w:r w:rsidRPr="005E6B7C">
        <w:rPr>
          <w:rFonts w:asciiTheme="majorHAnsi" w:eastAsia="Yu Mincho" w:hAnsiTheme="majorHAnsi" w:cstheme="majorHAnsi"/>
          <w:bCs/>
          <w:color w:val="000000" w:themeColor="text1"/>
          <w:sz w:val="18"/>
          <w:szCs w:val="18"/>
          <w:lang w:eastAsia="ja-JP"/>
        </w:rPr>
        <w:t>.</w:t>
      </w:r>
    </w:p>
    <w:p w14:paraId="6225989E" w14:textId="77777777" w:rsidR="00C22790" w:rsidRPr="005E6B7C" w:rsidRDefault="00C22790" w:rsidP="008C0D47">
      <w:pPr>
        <w:tabs>
          <w:tab w:val="left" w:pos="270"/>
          <w:tab w:val="left" w:pos="540"/>
          <w:tab w:val="left" w:pos="9270"/>
        </w:tabs>
        <w:ind w:right="-20"/>
        <w:jc w:val="both"/>
        <w:rPr>
          <w:rFonts w:asciiTheme="majorHAnsi" w:eastAsia="Yu Mincho" w:hAnsiTheme="majorHAnsi" w:cstheme="majorHAnsi"/>
          <w:b/>
          <w:bCs/>
          <w:color w:val="000000" w:themeColor="text1"/>
          <w:sz w:val="18"/>
          <w:szCs w:val="18"/>
          <w:lang w:eastAsia="ja-JP"/>
        </w:rPr>
      </w:pPr>
    </w:p>
    <w:p w14:paraId="575CD56A" w14:textId="77777777" w:rsidR="00C22790" w:rsidRPr="005E6B7C" w:rsidRDefault="00C22790"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4CDCADF5" wp14:editId="490A7C20">
            <wp:extent cx="4953444" cy="127614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BEBA8EAE-BF5A-486C-A8C5-ECC9F3942E4B}">
                          <a14:imgProps xmlns:a14="http://schemas.microsoft.com/office/drawing/2010/main">
                            <a14:imgLayer r:embed="rId42">
                              <a14:imgEffect>
                                <a14:saturation sat="0"/>
                              </a14:imgEffect>
                            </a14:imgLayer>
                          </a14:imgProps>
                        </a:ext>
                      </a:extLst>
                    </a:blip>
                    <a:srcRect l="21793" t="37299" r="21027" b="35294"/>
                    <a:stretch/>
                  </pic:blipFill>
                  <pic:spPr bwMode="auto">
                    <a:xfrm>
                      <a:off x="0" y="0"/>
                      <a:ext cx="4996666" cy="1287275"/>
                    </a:xfrm>
                    <a:prstGeom prst="rect">
                      <a:avLst/>
                    </a:prstGeom>
                    <a:ln>
                      <a:noFill/>
                    </a:ln>
                    <a:extLst>
                      <a:ext uri="{53640926-AAD7-44D8-BBD7-CCE9431645EC}">
                        <a14:shadowObscured xmlns:a14="http://schemas.microsoft.com/office/drawing/2010/main"/>
                      </a:ext>
                    </a:extLst>
                  </pic:spPr>
                </pic:pic>
              </a:graphicData>
            </a:graphic>
          </wp:inline>
        </w:drawing>
      </w:r>
    </w:p>
    <w:p w14:paraId="1F74328E" w14:textId="77777777" w:rsidR="00E049CB" w:rsidRPr="005E6B7C" w:rsidRDefault="00E049CB" w:rsidP="008C0D47">
      <w:pPr>
        <w:tabs>
          <w:tab w:val="left" w:pos="270"/>
          <w:tab w:val="left" w:pos="540"/>
          <w:tab w:val="left" w:pos="9270"/>
        </w:tabs>
        <w:spacing w:before="120"/>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3.</w:t>
      </w:r>
      <w:r w:rsidRPr="005E6B7C">
        <w:rPr>
          <w:rFonts w:asciiTheme="majorHAnsi" w:eastAsia="Yu Mincho" w:hAnsiTheme="majorHAnsi" w:cstheme="majorHAnsi"/>
          <w:color w:val="000000" w:themeColor="text1"/>
          <w:sz w:val="18"/>
          <w:szCs w:val="18"/>
          <w:lang w:eastAsia="ja-JP"/>
        </w:rPr>
        <w:t xml:space="preserve"> The NOESY correlations of geumsanol F and 11-epi-geumsanol F.</w:t>
      </w:r>
    </w:p>
    <w:p w14:paraId="47C42C68"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4BE85BCF" w14:textId="77777777" w:rsidR="00835D1F" w:rsidRPr="005E6B7C" w:rsidRDefault="00835D1F"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835D1F" w:rsidRPr="005E6B7C" w:rsidSect="002206BB">
          <w:type w:val="continuous"/>
          <w:pgSz w:w="10773" w:h="15309" w:code="9"/>
          <w:pgMar w:top="907" w:right="851" w:bottom="1418" w:left="851" w:header="397" w:footer="851" w:gutter="0"/>
          <w:cols w:space="284"/>
          <w:docGrid w:linePitch="360"/>
        </w:sectPr>
      </w:pPr>
    </w:p>
    <w:p w14:paraId="2C16FFB9" w14:textId="09F16221"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Based on those references reported in the literature, peniazaphilone I was evaluated on anti-inflammatory effect against NO production on RAW 264.7 cell lines, cytotoxicity on MDA-MB-435 and A549 cancer cells, and antibacterial activities. The results showed that peniazaphilone I was found to be inactive in all tested conditions [13]. 11-</w:t>
      </w:r>
      <w:r w:rsidRPr="005E6B7C">
        <w:rPr>
          <w:rFonts w:asciiTheme="majorHAnsi" w:eastAsia="Yu Mincho" w:hAnsiTheme="majorHAnsi" w:cstheme="majorHAnsi"/>
          <w:i/>
          <w:color w:val="000000" w:themeColor="text1"/>
          <w:sz w:val="22"/>
          <w:szCs w:val="22"/>
          <w:lang w:eastAsia="ja-JP"/>
        </w:rPr>
        <w:t>Epi</w:t>
      </w:r>
      <w:r w:rsidRPr="005E6B7C">
        <w:rPr>
          <w:rFonts w:asciiTheme="majorHAnsi" w:eastAsia="Yu Mincho" w:hAnsiTheme="majorHAnsi" w:cstheme="majorHAnsi"/>
          <w:color w:val="000000" w:themeColor="text1"/>
          <w:sz w:val="22"/>
          <w:szCs w:val="22"/>
          <w:lang w:eastAsia="ja-JP"/>
        </w:rPr>
        <w:t xml:space="preserve">-geumsanol F and isochromophilone IV were evaluated on the anti-angiogenic effect in human endothelial progenitor cells. As a result, only isochromophilone IV displayed strong anti-angiogenic activities by blocking cell growth, migration, and tube formation without cytotoxicity on cell lines [14]. Furthermore, epi-isochromophilone III and isochromophilone IV exhibited antimalarial activity against </w:t>
      </w:r>
      <w:r w:rsidRPr="005E6B7C">
        <w:rPr>
          <w:rFonts w:asciiTheme="majorHAnsi" w:eastAsia="Yu Mincho" w:hAnsiTheme="majorHAnsi" w:cstheme="majorHAnsi"/>
          <w:i/>
          <w:iCs/>
          <w:color w:val="000000" w:themeColor="text1"/>
          <w:sz w:val="22"/>
          <w:szCs w:val="22"/>
          <w:lang w:eastAsia="ja-JP"/>
        </w:rPr>
        <w:t>Plasmodium falciparum</w:t>
      </w:r>
      <w:r w:rsidRPr="005E6B7C">
        <w:rPr>
          <w:rFonts w:asciiTheme="majorHAnsi" w:eastAsia="Yu Mincho" w:hAnsiTheme="majorHAnsi" w:cstheme="majorHAnsi"/>
          <w:color w:val="000000" w:themeColor="text1"/>
          <w:sz w:val="22"/>
          <w:szCs w:val="22"/>
          <w:lang w:eastAsia="ja-JP"/>
        </w:rPr>
        <w:t xml:space="preserve">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 2.1–7.8 </w:t>
      </w:r>
      <w:r w:rsidR="00266B26" w:rsidRPr="005E6B7C">
        <w:rPr>
          <w:rFonts w:asciiTheme="majorHAnsi" w:eastAsia="Symbol" w:hAnsiTheme="majorHAnsi" w:cstheme="majorHAnsi"/>
          <w:i/>
          <w:iCs/>
          <w:color w:val="000000" w:themeColor="text1"/>
          <w:sz w:val="22"/>
          <w:szCs w:val="22"/>
          <w:lang w:eastAsia="ja-JP"/>
        </w:rPr>
        <w:t>µ</w:t>
      </w:r>
      <w:commentRangeStart w:id="20"/>
      <w:r w:rsidRPr="005E6B7C">
        <w:rPr>
          <w:rFonts w:asciiTheme="majorHAnsi" w:eastAsia="Yu Mincho" w:hAnsiTheme="majorHAnsi" w:cstheme="majorHAnsi"/>
          <w:color w:val="000000" w:themeColor="text1"/>
          <w:sz w:val="22"/>
          <w:szCs w:val="22"/>
          <w:lang w:eastAsia="ja-JP"/>
        </w:rPr>
        <w:t>g</w:t>
      </w:r>
      <w:commentRangeEnd w:id="20"/>
      <w:r w:rsidR="00FB7B36" w:rsidRPr="005E6B7C">
        <w:rPr>
          <w:rStyle w:val="CommentReference"/>
          <w:rFonts w:ascii="VNI-Times" w:hAnsi="VNI-Times"/>
          <w:bCs/>
          <w:lang w:val="x-none" w:eastAsia="x-none"/>
        </w:rPr>
        <w:commentReference w:id="20"/>
      </w:r>
      <w:r w:rsidRPr="005E6B7C">
        <w:rPr>
          <w:rFonts w:asciiTheme="majorHAnsi" w:eastAsia="Yu Mincho" w:hAnsiTheme="majorHAnsi" w:cstheme="majorHAnsi"/>
          <w:color w:val="000000" w:themeColor="text1"/>
          <w:sz w:val="22"/>
          <w:szCs w:val="22"/>
          <w:lang w:eastAsia="ja-JP"/>
        </w:rPr>
        <w:t>/mL), while epi-isochromophilone III showed cytotoxicity against three cancer cell lines, KB, MCF-7, and NCI-H187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2.2–35.2 </w:t>
      </w:r>
      <w:r w:rsidR="00266B26" w:rsidRPr="005E6B7C">
        <w:rPr>
          <w:rFonts w:asciiTheme="majorHAnsi" w:eastAsia="Symbol"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[16], and sclerotioramine showed strong </w:t>
      </w:r>
      <w:r w:rsidRPr="005E6B7C">
        <w:rPr>
          <w:rFonts w:asciiTheme="majorHAnsi" w:eastAsia="Yu Mincho" w:hAnsiTheme="majorHAnsi" w:cstheme="majorHAnsi"/>
          <w:color w:val="000000" w:themeColor="text1"/>
          <w:sz w:val="22"/>
          <w:szCs w:val="22"/>
          <w:lang w:eastAsia="ja-JP"/>
        </w:rPr>
        <w:t xml:space="preserve">antimycobacterial activity against </w:t>
      </w:r>
      <w:r w:rsidRPr="005E6B7C">
        <w:rPr>
          <w:rFonts w:asciiTheme="majorHAnsi" w:eastAsia="Yu Mincho" w:hAnsiTheme="majorHAnsi" w:cstheme="majorHAnsi"/>
          <w:i/>
          <w:iCs/>
          <w:color w:val="000000" w:themeColor="text1"/>
          <w:sz w:val="22"/>
          <w:szCs w:val="22"/>
          <w:lang w:eastAsia="ja-JP"/>
        </w:rPr>
        <w:t>Mycobacterium tuberculosis</w:t>
      </w:r>
      <w:r w:rsidRPr="005E6B7C">
        <w:rPr>
          <w:rFonts w:asciiTheme="majorHAnsi" w:eastAsia="Yu Mincho" w:hAnsiTheme="majorHAnsi" w:cstheme="majorHAnsi"/>
          <w:color w:val="000000" w:themeColor="text1"/>
          <w:sz w:val="22"/>
          <w:szCs w:val="22"/>
          <w:lang w:eastAsia="ja-JP"/>
        </w:rPr>
        <w:t xml:space="preserve"> with MIC = 50.0 </w:t>
      </w:r>
      <w:r w:rsidR="00266B26" w:rsidRPr="005E6B7C">
        <w:rPr>
          <w:rFonts w:asciiTheme="majorHAnsi" w:eastAsia="Symbol"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and inhibitory effects on </w:t>
      </w:r>
      <w:r w:rsidRPr="005E6B7C">
        <w:rPr>
          <w:rFonts w:asciiTheme="majorHAnsi" w:eastAsia="Yu Mincho" w:hAnsiTheme="majorHAnsi" w:cstheme="majorHAnsi"/>
          <w:i/>
          <w:iCs/>
          <w:color w:val="000000" w:themeColor="text1"/>
          <w:sz w:val="22"/>
          <w:szCs w:val="22"/>
          <w:lang w:eastAsia="ja-JP"/>
        </w:rPr>
        <w:t>Staphylococcus epidermidis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Candida albicans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 parapsilosis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C. tropicalis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and</w:t>
      </w:r>
      <w:r w:rsidRPr="005E6B7C">
        <w:rPr>
          <w:rFonts w:asciiTheme="majorHAnsi" w:eastAsia="Yu Mincho" w:hAnsiTheme="majorHAnsi" w:cstheme="majorHAnsi"/>
          <w:i/>
          <w:iCs/>
          <w:color w:val="000000" w:themeColor="text1"/>
          <w:sz w:val="22"/>
          <w:szCs w:val="22"/>
          <w:lang w:eastAsia="ja-JP"/>
        </w:rPr>
        <w:t xml:space="preserve"> C. krusei</w:t>
      </w:r>
      <w:r w:rsidRPr="005E6B7C">
        <w:rPr>
          <w:rFonts w:asciiTheme="majorHAnsi" w:eastAsia="Yu Mincho" w:hAnsiTheme="majorHAnsi" w:cstheme="majorHAnsi"/>
          <w:color w:val="000000" w:themeColor="text1"/>
          <w:sz w:val="22"/>
          <w:szCs w:val="22"/>
          <w:lang w:eastAsia="ja-JP"/>
        </w:rPr>
        <w:t xml:space="preserve"> [15</w:t>
      </w:r>
      <w:r w:rsidR="00ED2775"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16].</w:t>
      </w:r>
    </w:p>
    <w:p w14:paraId="095D28CA"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vi-VN"/>
        </w:rPr>
        <w:t>4.</w:t>
      </w:r>
      <w:r w:rsidRPr="005E6B7C">
        <w:rPr>
          <w:rFonts w:asciiTheme="majorHAnsi" w:eastAsia="Yu Mincho" w:hAnsiTheme="majorHAnsi" w:cstheme="majorHAnsi"/>
          <w:b/>
          <w:color w:val="000000" w:themeColor="text1"/>
          <w:sz w:val="22"/>
          <w:szCs w:val="22"/>
          <w:lang w:eastAsia="ja-JP"/>
        </w:rPr>
        <w:t xml:space="preserve"> Conclusion</w:t>
      </w:r>
    </w:p>
    <w:p w14:paraId="55F272EC" w14:textId="77777777" w:rsidR="00835D1F"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summary, the endophytic fungi from the rhizome of </w:t>
      </w:r>
      <w:r w:rsidRPr="005E6B7C">
        <w:rPr>
          <w:rFonts w:asciiTheme="majorHAnsi" w:eastAsia="Yu Mincho" w:hAnsiTheme="majorHAnsi" w:cstheme="majorHAnsi"/>
          <w:i/>
          <w:iCs/>
          <w:color w:val="000000" w:themeColor="text1"/>
          <w:sz w:val="22"/>
          <w:szCs w:val="22"/>
          <w:lang w:eastAsia="ja-JP"/>
        </w:rPr>
        <w:t xml:space="preserve">A. gramineus </w:t>
      </w:r>
      <w:r w:rsidRPr="005E6B7C">
        <w:rPr>
          <w:rFonts w:asciiTheme="majorHAnsi" w:eastAsia="Yu Mincho" w:hAnsiTheme="majorHAnsi" w:cstheme="majorHAnsi"/>
          <w:color w:val="000000" w:themeColor="text1"/>
          <w:sz w:val="22"/>
          <w:szCs w:val="22"/>
          <w:lang w:eastAsia="ja-JP"/>
        </w:rPr>
        <w:t>Aiton</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was isolated and identified as </w:t>
      </w:r>
      <w:r w:rsidRPr="005E6B7C">
        <w:rPr>
          <w:rFonts w:asciiTheme="majorHAnsi" w:eastAsia="Yu Mincho" w:hAnsiTheme="majorHAnsi" w:cstheme="majorHAnsi"/>
          <w:i/>
          <w:iCs/>
          <w:color w:val="000000" w:themeColor="text1"/>
          <w:sz w:val="22"/>
          <w:szCs w:val="22"/>
          <w:lang w:eastAsia="ja-JP"/>
        </w:rPr>
        <w:t>Penicillium sclerotiorum</w:t>
      </w:r>
      <w:r w:rsidRPr="005E6B7C">
        <w:rPr>
          <w:rFonts w:asciiTheme="majorHAnsi" w:eastAsia="Yu Mincho" w:hAnsiTheme="majorHAnsi" w:cstheme="majorHAnsi"/>
          <w:color w:val="000000" w:themeColor="text1"/>
          <w:sz w:val="22"/>
          <w:szCs w:val="22"/>
          <w:lang w:eastAsia="ja-JP"/>
        </w:rPr>
        <w:t xml:space="preserve"> based on the microscopic morphological characteristics and DNA sequencing by the modified Sanger method. Six compounds were isolated from the ethyl acetate fraction of the endophytic fungi </w:t>
      </w:r>
      <w:r w:rsidRPr="005E6B7C">
        <w:rPr>
          <w:rFonts w:asciiTheme="majorHAnsi" w:eastAsia="Yu Mincho" w:hAnsiTheme="majorHAnsi" w:cstheme="majorHAnsi"/>
          <w:i/>
          <w:iCs/>
          <w:color w:val="000000" w:themeColor="text1"/>
          <w:sz w:val="22"/>
          <w:szCs w:val="22"/>
          <w:lang w:eastAsia="ja-JP"/>
        </w:rPr>
        <w:t>P. sclerotiorum</w:t>
      </w:r>
      <w:r w:rsidRPr="005E6B7C">
        <w:rPr>
          <w:rFonts w:asciiTheme="majorHAnsi" w:eastAsia="Yu Mincho" w:hAnsiTheme="majorHAnsi" w:cstheme="majorHAnsi"/>
          <w:color w:val="000000" w:themeColor="text1"/>
          <w:sz w:val="22"/>
          <w:szCs w:val="22"/>
          <w:lang w:eastAsia="ja-JP"/>
        </w:rPr>
        <w:t>. Their structures were identified as peniazaphilones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11-</w:t>
      </w:r>
      <w:r w:rsidRPr="005E6B7C">
        <w:rPr>
          <w:rFonts w:asciiTheme="majorHAnsi" w:eastAsia="Yu Mincho" w:hAnsiTheme="majorHAnsi" w:cstheme="majorHAnsi"/>
          <w:i/>
          <w:color w:val="000000" w:themeColor="text1"/>
          <w:sz w:val="22"/>
          <w:szCs w:val="22"/>
          <w:lang w:eastAsia="ja-JP"/>
        </w:rPr>
        <w:t>epi</w:t>
      </w:r>
      <w:r w:rsidRPr="005E6B7C">
        <w:rPr>
          <w:rFonts w:asciiTheme="majorHAnsi" w:eastAsia="Yu Mincho" w:hAnsiTheme="majorHAnsi" w:cstheme="majorHAnsi"/>
          <w:color w:val="000000" w:themeColor="text1"/>
          <w:sz w:val="22"/>
          <w:szCs w:val="22"/>
          <w:lang w:eastAsia="ja-JP"/>
        </w:rPr>
        <w:t>-geumsanol F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sclerotioramine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e</w:t>
      </w:r>
      <w:r w:rsidRPr="005E6B7C">
        <w:rPr>
          <w:rFonts w:asciiTheme="majorHAnsi" w:eastAsia="Yu Mincho" w:hAnsiTheme="majorHAnsi" w:cstheme="majorHAnsi"/>
          <w:i/>
          <w:color w:val="000000" w:themeColor="text1"/>
          <w:sz w:val="22"/>
          <w:szCs w:val="22"/>
          <w:lang w:eastAsia="vi-VN"/>
        </w:rPr>
        <w:t>pi</w:t>
      </w:r>
      <w:r w:rsidRPr="005E6B7C">
        <w:rPr>
          <w:rFonts w:asciiTheme="majorHAnsi" w:eastAsia="Yu Mincho" w:hAnsiTheme="majorHAnsi" w:cstheme="majorHAnsi"/>
          <w:color w:val="000000" w:themeColor="text1"/>
          <w:sz w:val="22"/>
          <w:szCs w:val="22"/>
          <w:lang w:eastAsia="vi-VN"/>
        </w:rPr>
        <w:t>-isochromophilone III</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isochromophilone IV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and linoleic acid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The endophytic fungus strain </w:t>
      </w:r>
      <w:r w:rsidRPr="005E6B7C">
        <w:rPr>
          <w:rFonts w:asciiTheme="majorHAnsi" w:eastAsia="Yu Mincho" w:hAnsiTheme="majorHAnsi" w:cstheme="majorHAnsi"/>
          <w:i/>
          <w:iCs/>
          <w:color w:val="000000" w:themeColor="text1"/>
          <w:sz w:val="22"/>
          <w:szCs w:val="22"/>
          <w:lang w:eastAsia="ja-JP"/>
        </w:rPr>
        <w:t>P. sclerotiorum</w:t>
      </w:r>
      <w:r w:rsidRPr="005E6B7C">
        <w:rPr>
          <w:rFonts w:asciiTheme="majorHAnsi" w:eastAsia="Yu Mincho" w:hAnsiTheme="majorHAnsi" w:cstheme="majorHAnsi"/>
          <w:color w:val="000000" w:themeColor="text1"/>
          <w:sz w:val="22"/>
          <w:szCs w:val="22"/>
          <w:lang w:eastAsia="ja-JP"/>
        </w:rPr>
        <w:t xml:space="preserve"> was first isolated and reported in the rhizome of </w:t>
      </w:r>
      <w:r w:rsidRPr="005E6B7C">
        <w:rPr>
          <w:rFonts w:asciiTheme="majorHAnsi" w:eastAsia="Yu Mincho" w:hAnsiTheme="majorHAnsi" w:cstheme="majorHAnsi"/>
          <w:i/>
          <w:iCs/>
          <w:color w:val="000000" w:themeColor="text1"/>
          <w:sz w:val="22"/>
          <w:szCs w:val="22"/>
          <w:lang w:eastAsia="ja-JP"/>
        </w:rPr>
        <w:t xml:space="preserve">A. gramineus, </w:t>
      </w:r>
      <w:r w:rsidRPr="005E6B7C">
        <w:rPr>
          <w:rFonts w:asciiTheme="majorHAnsi" w:eastAsia="Yu Mincho" w:hAnsiTheme="majorHAnsi" w:cstheme="majorHAnsi"/>
          <w:color w:val="000000" w:themeColor="text1"/>
          <w:sz w:val="22"/>
          <w:szCs w:val="22"/>
          <w:lang w:eastAsia="ja-JP"/>
        </w:rPr>
        <w:t xml:space="preserve">and the compounds </w:t>
      </w:r>
      <w:r w:rsidRPr="005E6B7C">
        <w:rPr>
          <w:rFonts w:asciiTheme="majorHAnsi" w:eastAsia="Yu Mincho" w:hAnsiTheme="majorHAnsi" w:cstheme="majorHAnsi"/>
          <w:b/>
          <w:b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and</w:t>
      </w:r>
      <w:r w:rsidRPr="005E6B7C">
        <w:rPr>
          <w:rFonts w:asciiTheme="majorHAnsi" w:eastAsia="Yu Mincho" w:hAnsiTheme="majorHAnsi" w:cstheme="majorHAnsi"/>
          <w:b/>
          <w:bCs/>
          <w:color w:val="000000" w:themeColor="text1"/>
          <w:sz w:val="22"/>
          <w:szCs w:val="22"/>
          <w:lang w:eastAsia="ja-JP"/>
        </w:rPr>
        <w:t xml:space="preserve"> 6</w:t>
      </w:r>
      <w:r w:rsidRPr="005E6B7C">
        <w:rPr>
          <w:rFonts w:asciiTheme="majorHAnsi" w:eastAsia="Yu Mincho" w:hAnsiTheme="majorHAnsi" w:cstheme="majorHAnsi"/>
          <w:color w:val="000000" w:themeColor="text1"/>
          <w:sz w:val="22"/>
          <w:szCs w:val="22"/>
          <w:lang w:eastAsia="ja-JP"/>
        </w:rPr>
        <w:t xml:space="preserve"> are first reported from </w:t>
      </w:r>
      <w:r w:rsidRPr="005E6B7C">
        <w:rPr>
          <w:rFonts w:asciiTheme="majorHAnsi" w:eastAsia="Yu Mincho" w:hAnsiTheme="majorHAnsi" w:cstheme="majorHAnsi"/>
          <w:i/>
          <w:iCs/>
          <w:color w:val="000000" w:themeColor="text1"/>
          <w:sz w:val="22"/>
          <w:szCs w:val="22"/>
          <w:lang w:eastAsia="ja-JP"/>
        </w:rPr>
        <w:t>Penicillium sclerotiorum</w:t>
      </w:r>
      <w:r w:rsidRPr="005E6B7C">
        <w:rPr>
          <w:rFonts w:asciiTheme="majorHAnsi" w:eastAsia="Yu Mincho" w:hAnsiTheme="majorHAnsi" w:cstheme="majorHAnsi"/>
          <w:color w:val="000000" w:themeColor="text1"/>
          <w:sz w:val="22"/>
          <w:szCs w:val="22"/>
          <w:lang w:eastAsia="ja-JP"/>
        </w:rPr>
        <w:t>.</w:t>
      </w:r>
    </w:p>
    <w:p w14:paraId="512FA1A6" w14:textId="77777777" w:rsidR="00835D1F" w:rsidRPr="005E6B7C" w:rsidRDefault="00835D1F"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835D1F" w:rsidRPr="005E6B7C" w:rsidSect="00835D1F">
          <w:type w:val="continuous"/>
          <w:pgSz w:w="10773" w:h="15309" w:code="9"/>
          <w:pgMar w:top="907" w:right="851" w:bottom="1418" w:left="851" w:header="397" w:footer="851" w:gutter="0"/>
          <w:cols w:num="2" w:space="284"/>
          <w:docGrid w:linePitch="360"/>
        </w:sectPr>
      </w:pPr>
    </w:p>
    <w:p w14:paraId="2B5935F2" w14:textId="77777777" w:rsidR="00C22790" w:rsidRPr="005E6B7C" w:rsidRDefault="00C22790"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p>
    <w:p w14:paraId="18775A2F" w14:textId="77777777" w:rsidR="00E049CB" w:rsidRPr="005E6B7C" w:rsidRDefault="00E049CB" w:rsidP="008C0D47">
      <w:pPr>
        <w:tabs>
          <w:tab w:val="left" w:pos="270"/>
          <w:tab w:val="left" w:pos="540"/>
          <w:tab w:val="left" w:pos="9270"/>
        </w:tabs>
        <w:spacing w:after="120"/>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35CB8BAD"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 xml:space="preserve"> Wilson D. (1995), Endophyte: the evolution of a term, and clarification of its use and definition. </w:t>
      </w:r>
      <w:r w:rsidRPr="005E6B7C">
        <w:rPr>
          <w:rFonts w:asciiTheme="majorHAnsi" w:eastAsia="Yu Mincho" w:hAnsiTheme="majorHAnsi" w:cstheme="majorHAnsi"/>
          <w:i/>
          <w:iCs/>
          <w:noProof/>
          <w:color w:val="000000" w:themeColor="text1"/>
          <w:sz w:val="18"/>
          <w:szCs w:val="18"/>
          <w:lang w:eastAsia="ja-JP"/>
        </w:rPr>
        <w:t xml:space="preserve">Oikos, </w:t>
      </w:r>
      <w:r w:rsidRPr="005E6B7C">
        <w:rPr>
          <w:rFonts w:asciiTheme="majorHAnsi" w:eastAsia="Yu Mincho" w:hAnsiTheme="majorHAnsi" w:cstheme="majorHAnsi"/>
          <w:noProof/>
          <w:color w:val="000000" w:themeColor="text1"/>
          <w:sz w:val="18"/>
          <w:szCs w:val="18"/>
          <w:lang w:eastAsia="ja-JP"/>
        </w:rPr>
        <w:t>73(2), 274-276.</w:t>
      </w:r>
      <w:r w:rsidRPr="005E6B7C">
        <w:rPr>
          <w:rFonts w:asciiTheme="majorHAnsi" w:eastAsia="Yu Mincho" w:hAnsiTheme="majorHAnsi" w:cstheme="majorHAnsi"/>
          <w:color w:val="000000" w:themeColor="text1"/>
          <w:sz w:val="18"/>
          <w:szCs w:val="18"/>
          <w:lang w:eastAsia="ja-JP"/>
        </w:rPr>
        <w:t xml:space="preserve"> </w:t>
      </w:r>
    </w:p>
    <w:p w14:paraId="5CBA3414"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lastRenderedPageBreak/>
        <w:t>2</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b/>
          <w:bCs/>
          <w:noProof/>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Guo B., Wang Y., Sun X., Tang K. (2008), Bioactive natural products from endophytes: a review. </w:t>
      </w:r>
      <w:r w:rsidRPr="005E6B7C">
        <w:rPr>
          <w:rFonts w:asciiTheme="majorHAnsi" w:eastAsia="Yu Mincho" w:hAnsiTheme="majorHAnsi" w:cstheme="majorHAnsi"/>
          <w:i/>
          <w:iCs/>
          <w:color w:val="000000" w:themeColor="text1"/>
          <w:sz w:val="18"/>
          <w:szCs w:val="18"/>
          <w:lang w:eastAsia="ja-JP"/>
        </w:rPr>
        <w:t>Applied Biochemistry and Microbiology</w:t>
      </w:r>
      <w:r w:rsidRPr="005E6B7C">
        <w:rPr>
          <w:rFonts w:asciiTheme="majorHAnsi" w:eastAsia="Yu Mincho" w:hAnsiTheme="majorHAnsi" w:cstheme="majorHAnsi"/>
          <w:color w:val="000000" w:themeColor="text1"/>
          <w:sz w:val="18"/>
          <w:szCs w:val="18"/>
          <w:lang w:eastAsia="ja-JP"/>
        </w:rPr>
        <w:t xml:space="preserve">, 44, 136-142. </w:t>
      </w:r>
    </w:p>
    <w:p w14:paraId="6E6CC100"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Gouda S., Das G., Sen S. K., Shin H. S., Patra J. K. (2016), Endophytes: a treasure house of bioactive compounds of medicinal importance.</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Frontiers in Microbiology</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i/>
          <w:i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7, 1538.</w:t>
      </w:r>
      <w:r w:rsidRPr="005E6B7C">
        <w:rPr>
          <w:rFonts w:asciiTheme="majorHAnsi" w:eastAsia="Yu Mincho" w:hAnsiTheme="majorHAnsi" w:cstheme="majorHAnsi"/>
          <w:color w:val="000000" w:themeColor="text1"/>
          <w:sz w:val="18"/>
          <w:szCs w:val="18"/>
          <w:lang w:eastAsia="ja-JP"/>
        </w:rPr>
        <w:t xml:space="preserve"> </w:t>
      </w:r>
    </w:p>
    <w:p w14:paraId="5D34FFC1"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Lai D</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Li J</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Zhao S</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Gu G</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Gong X</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Proksch P</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Zhou L</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(2021), Chromone and isocoumarin derivatives from the endophytic fungus </w:t>
      </w:r>
      <w:r w:rsidRPr="005E6B7C">
        <w:rPr>
          <w:rFonts w:asciiTheme="majorHAnsi" w:eastAsia="Yu Mincho" w:hAnsiTheme="majorHAnsi" w:cstheme="majorHAnsi"/>
          <w:i/>
          <w:iCs/>
          <w:noProof/>
          <w:color w:val="000000" w:themeColor="text1"/>
          <w:sz w:val="18"/>
          <w:szCs w:val="18"/>
          <w:lang w:eastAsia="ja-JP"/>
        </w:rPr>
        <w:t>Xylomelasma</w:t>
      </w:r>
      <w:r w:rsidRPr="005E6B7C">
        <w:rPr>
          <w:rFonts w:asciiTheme="majorHAnsi" w:eastAsia="Yu Mincho" w:hAnsiTheme="majorHAnsi" w:cstheme="majorHAnsi"/>
          <w:noProof/>
          <w:color w:val="000000" w:themeColor="text1"/>
          <w:sz w:val="18"/>
          <w:szCs w:val="18"/>
          <w:lang w:eastAsia="ja-JP"/>
        </w:rPr>
        <w:t xml:space="preserve"> sp. Samif07, and their antibacterial and antioxidant activities. </w:t>
      </w:r>
      <w:r w:rsidRPr="005E6B7C">
        <w:rPr>
          <w:rFonts w:asciiTheme="majorHAnsi" w:eastAsia="Yu Mincho" w:hAnsiTheme="majorHAnsi" w:cstheme="majorHAnsi"/>
          <w:i/>
          <w:iCs/>
          <w:noProof/>
          <w:color w:val="000000" w:themeColor="text1"/>
          <w:sz w:val="18"/>
          <w:szCs w:val="18"/>
          <w:lang w:eastAsia="ja-JP"/>
        </w:rPr>
        <w:t>Natural Product Research</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35(22), 4616-4620</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p>
    <w:p w14:paraId="55447889"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Zhao J. T., Ma D. H., Luo M., Wang W.,  Zhao C., Zu Y. G., Fu Y., Wink M. (2014),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antioxidant activities and antioxidant enzyme activities in HepG2 cells and main active compounds of endophytic fungus from pigeon pea [</w:t>
      </w:r>
      <w:r w:rsidRPr="005E6B7C">
        <w:rPr>
          <w:rFonts w:asciiTheme="majorHAnsi" w:eastAsia="Yu Mincho" w:hAnsiTheme="majorHAnsi" w:cstheme="majorHAnsi"/>
          <w:i/>
          <w:iCs/>
          <w:noProof/>
          <w:color w:val="000000" w:themeColor="text1"/>
          <w:sz w:val="18"/>
          <w:szCs w:val="18"/>
          <w:lang w:eastAsia="ja-JP"/>
        </w:rPr>
        <w:t xml:space="preserve">Cajanus cajan </w:t>
      </w:r>
      <w:r w:rsidRPr="005E6B7C">
        <w:rPr>
          <w:rFonts w:asciiTheme="majorHAnsi" w:eastAsia="Yu Mincho" w:hAnsiTheme="majorHAnsi" w:cstheme="majorHAnsi"/>
          <w:noProof/>
          <w:color w:val="000000" w:themeColor="text1"/>
          <w:sz w:val="18"/>
          <w:szCs w:val="18"/>
          <w:lang w:eastAsia="ja-JP"/>
        </w:rPr>
        <w:t xml:space="preserve">(L.) Millsp.]. </w:t>
      </w:r>
      <w:r w:rsidRPr="005E6B7C">
        <w:rPr>
          <w:rFonts w:asciiTheme="majorHAnsi" w:eastAsia="Yu Mincho" w:hAnsiTheme="majorHAnsi" w:cstheme="majorHAnsi"/>
          <w:i/>
          <w:iCs/>
          <w:noProof/>
          <w:color w:val="000000" w:themeColor="text1"/>
          <w:sz w:val="18"/>
          <w:szCs w:val="18"/>
          <w:lang w:eastAsia="ja-JP"/>
        </w:rPr>
        <w:t>Food Research International</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i/>
          <w:i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56, 243-251.</w:t>
      </w:r>
      <w:r w:rsidRPr="005E6B7C">
        <w:rPr>
          <w:rFonts w:asciiTheme="majorHAnsi" w:eastAsia="Yu Mincho" w:hAnsiTheme="majorHAnsi" w:cstheme="majorHAnsi"/>
          <w:color w:val="000000" w:themeColor="text1"/>
          <w:sz w:val="18"/>
          <w:szCs w:val="18"/>
          <w:lang w:eastAsia="ja-JP"/>
        </w:rPr>
        <w:t xml:space="preserve"> </w:t>
      </w:r>
    </w:p>
    <w:p w14:paraId="3ED10F6A" w14:textId="0CBD9CC5"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6. </w:t>
      </w:r>
      <w:r w:rsidRPr="005E6B7C">
        <w:rPr>
          <w:rFonts w:asciiTheme="majorHAnsi" w:eastAsia="Yu Mincho" w:hAnsiTheme="majorHAnsi" w:cstheme="majorHAnsi"/>
          <w:noProof/>
          <w:color w:val="000000" w:themeColor="text1"/>
          <w:sz w:val="18"/>
          <w:szCs w:val="18"/>
          <w:lang w:eastAsia="ja-JP"/>
        </w:rPr>
        <w:t xml:space="preserve">Zhao J., Mou Y., Shan T., Li Y., Zhou L., Wang M., Wang J. (2010), Antimicrobial metabolites from the endophytic fungus </w:t>
      </w:r>
      <w:r w:rsidRPr="005E6B7C">
        <w:rPr>
          <w:rFonts w:asciiTheme="majorHAnsi" w:eastAsia="Yu Mincho" w:hAnsiTheme="majorHAnsi" w:cstheme="majorHAnsi"/>
          <w:i/>
          <w:iCs/>
          <w:noProof/>
          <w:color w:val="000000" w:themeColor="text1"/>
          <w:sz w:val="18"/>
          <w:szCs w:val="18"/>
          <w:lang w:eastAsia="ja-JP"/>
        </w:rPr>
        <w:t>Pichia guilliermondii</w:t>
      </w:r>
      <w:r w:rsidRPr="005E6B7C">
        <w:rPr>
          <w:rFonts w:asciiTheme="majorHAnsi" w:eastAsia="Yu Mincho" w:hAnsiTheme="majorHAnsi" w:cstheme="majorHAnsi"/>
          <w:noProof/>
          <w:color w:val="000000" w:themeColor="text1"/>
          <w:sz w:val="18"/>
          <w:szCs w:val="18"/>
          <w:lang w:eastAsia="ja-JP"/>
        </w:rPr>
        <w:t xml:space="preserve"> isolated from </w:t>
      </w:r>
      <w:r w:rsidRPr="005E6B7C">
        <w:rPr>
          <w:rFonts w:asciiTheme="majorHAnsi" w:eastAsia="Yu Mincho" w:hAnsiTheme="majorHAnsi" w:cstheme="majorHAnsi"/>
          <w:i/>
          <w:iCs/>
          <w:noProof/>
          <w:color w:val="000000" w:themeColor="text1"/>
          <w:sz w:val="18"/>
          <w:szCs w:val="18"/>
          <w:lang w:eastAsia="ja-JP"/>
        </w:rPr>
        <w:t>Paris polyphylla</w:t>
      </w:r>
      <w:r w:rsidRPr="005E6B7C">
        <w:rPr>
          <w:rFonts w:asciiTheme="majorHAnsi" w:eastAsia="Yu Mincho" w:hAnsiTheme="majorHAnsi" w:cstheme="majorHAnsi"/>
          <w:noProof/>
          <w:color w:val="000000" w:themeColor="text1"/>
          <w:sz w:val="18"/>
          <w:szCs w:val="18"/>
          <w:lang w:eastAsia="ja-JP"/>
        </w:rPr>
        <w:t xml:space="preserve"> var. </w:t>
      </w:r>
      <w:r w:rsidR="007A051F" w:rsidRPr="005E6B7C">
        <w:rPr>
          <w:rFonts w:asciiTheme="majorHAnsi" w:eastAsia="Yu Mincho" w:hAnsiTheme="majorHAnsi" w:cstheme="majorHAnsi"/>
          <w:i/>
          <w:iCs/>
          <w:noProof/>
          <w:color w:val="000000" w:themeColor="text1"/>
          <w:sz w:val="18"/>
          <w:szCs w:val="18"/>
          <w:lang w:eastAsia="ja-JP"/>
        </w:rPr>
        <w:t>y</w:t>
      </w:r>
      <w:r w:rsidRPr="005E6B7C">
        <w:rPr>
          <w:rFonts w:asciiTheme="majorHAnsi" w:eastAsia="Yu Mincho" w:hAnsiTheme="majorHAnsi" w:cstheme="majorHAnsi"/>
          <w:i/>
          <w:iCs/>
          <w:noProof/>
          <w:color w:val="000000" w:themeColor="text1"/>
          <w:sz w:val="18"/>
          <w:szCs w:val="18"/>
          <w:lang w:eastAsia="ja-JP"/>
        </w:rPr>
        <w:t>unnanensis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Molecules</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i/>
          <w:i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15(11), 7961-7970.</w:t>
      </w:r>
      <w:r w:rsidRPr="005E6B7C">
        <w:rPr>
          <w:rFonts w:asciiTheme="majorHAnsi" w:eastAsia="Yu Mincho" w:hAnsiTheme="majorHAnsi" w:cstheme="majorHAnsi"/>
          <w:color w:val="000000" w:themeColor="text1"/>
          <w:sz w:val="18"/>
          <w:szCs w:val="18"/>
          <w:lang w:eastAsia="ja-JP"/>
        </w:rPr>
        <w:t xml:space="preserve"> </w:t>
      </w:r>
    </w:p>
    <w:p w14:paraId="754921B5"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Zhan J. X., Burns A. M., Liu M. P. X., Faeth S. H, Gunatilaka A. A. L. (2007)</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Search for cell motility and angiogenesis inhibitors with potential anticancer activity: Beauvericin and other constituents of two endophytic strains of </w:t>
      </w:r>
      <w:r w:rsidRPr="005E6B7C">
        <w:rPr>
          <w:rFonts w:asciiTheme="majorHAnsi" w:eastAsia="Yu Mincho" w:hAnsiTheme="majorHAnsi" w:cstheme="majorHAnsi"/>
          <w:i/>
          <w:iCs/>
          <w:noProof/>
          <w:color w:val="000000" w:themeColor="text1"/>
          <w:sz w:val="18"/>
          <w:szCs w:val="18"/>
          <w:lang w:eastAsia="ja-JP"/>
        </w:rPr>
        <w:t>Fusarium oxysporum</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Natural Products</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i/>
          <w:i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70(2), 227-232.</w:t>
      </w:r>
      <w:r w:rsidRPr="005E6B7C">
        <w:rPr>
          <w:rFonts w:asciiTheme="majorHAnsi" w:eastAsia="Yu Mincho" w:hAnsiTheme="majorHAnsi" w:cstheme="majorHAnsi"/>
          <w:color w:val="000000" w:themeColor="text1"/>
          <w:sz w:val="18"/>
          <w:szCs w:val="18"/>
          <w:lang w:eastAsia="ja-JP"/>
        </w:rPr>
        <w:t xml:space="preserve"> </w:t>
      </w:r>
    </w:p>
    <w:p w14:paraId="119F128B"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Li</w:t>
      </w:r>
      <w:r w:rsidRPr="005E6B7C">
        <w:rPr>
          <w:rFonts w:asciiTheme="majorHAnsi" w:eastAsia="Yu Mincho" w:hAnsiTheme="majorHAnsi" w:cstheme="majorHAnsi"/>
          <w:color w:val="000000" w:themeColor="text1"/>
          <w:sz w:val="18"/>
          <w:szCs w:val="18"/>
          <w:lang w:eastAsia="ja-JP"/>
        </w:rPr>
        <w:t xml:space="preserve"> H, Xiao J., Gao Y. Q., Tang J. J., Zhang A. L.</w:t>
      </w:r>
      <w:r w:rsidRPr="005E6B7C">
        <w:rPr>
          <w:rFonts w:asciiTheme="majorHAnsi" w:eastAsia="Times New Roman" w:hAnsiTheme="majorHAnsi" w:cstheme="majorHAnsi"/>
          <w:noProof/>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 xml:space="preserve"> Gao J. M. </w:t>
      </w:r>
      <w:r w:rsidRPr="005E6B7C">
        <w:rPr>
          <w:rFonts w:asciiTheme="majorHAnsi" w:eastAsia="Yu Mincho" w:hAnsiTheme="majorHAnsi" w:cstheme="majorHAnsi"/>
          <w:noProof/>
          <w:color w:val="000000" w:themeColor="text1"/>
          <w:sz w:val="18"/>
          <w:szCs w:val="18"/>
          <w:lang w:eastAsia="ja-JP"/>
        </w:rPr>
        <w:t>(2014)</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Chaetoglobosins from </w:t>
      </w:r>
      <w:r w:rsidRPr="005E6B7C">
        <w:rPr>
          <w:rFonts w:asciiTheme="majorHAnsi" w:eastAsia="Yu Mincho" w:hAnsiTheme="majorHAnsi" w:cstheme="majorHAnsi"/>
          <w:i/>
          <w:iCs/>
          <w:noProof/>
          <w:color w:val="000000" w:themeColor="text1"/>
          <w:sz w:val="18"/>
          <w:szCs w:val="18"/>
          <w:lang w:eastAsia="ja-JP"/>
        </w:rPr>
        <w:t>Chaetomium globosum</w:t>
      </w:r>
      <w:r w:rsidRPr="005E6B7C">
        <w:rPr>
          <w:rFonts w:asciiTheme="majorHAnsi" w:eastAsia="Yu Mincho" w:hAnsiTheme="majorHAnsi" w:cstheme="majorHAnsi"/>
          <w:noProof/>
          <w:color w:val="000000" w:themeColor="text1"/>
          <w:sz w:val="18"/>
          <w:szCs w:val="18"/>
          <w:lang w:eastAsia="ja-JP"/>
        </w:rPr>
        <w:t xml:space="preserve">, an endophytic fungus in </w:t>
      </w:r>
      <w:r w:rsidRPr="005E6B7C">
        <w:rPr>
          <w:rFonts w:asciiTheme="majorHAnsi" w:eastAsia="Yu Mincho" w:hAnsiTheme="majorHAnsi" w:cstheme="majorHAnsi"/>
          <w:i/>
          <w:iCs/>
          <w:noProof/>
          <w:color w:val="000000" w:themeColor="text1"/>
          <w:sz w:val="18"/>
          <w:szCs w:val="18"/>
          <w:lang w:eastAsia="ja-JP"/>
        </w:rPr>
        <w:t>Ginkgo biloba</w:t>
      </w:r>
      <w:r w:rsidRPr="005E6B7C">
        <w:rPr>
          <w:rFonts w:asciiTheme="majorHAnsi" w:eastAsia="Yu Mincho" w:hAnsiTheme="majorHAnsi" w:cstheme="majorHAnsi"/>
          <w:noProof/>
          <w:color w:val="000000" w:themeColor="text1"/>
          <w:sz w:val="18"/>
          <w:szCs w:val="18"/>
          <w:lang w:eastAsia="ja-JP"/>
        </w:rPr>
        <w:t xml:space="preserve">, and their phytotoxic and cytotoxic activities. </w:t>
      </w:r>
      <w:r w:rsidRPr="005E6B7C">
        <w:rPr>
          <w:rFonts w:asciiTheme="majorHAnsi" w:eastAsia="Yu Mincho" w:hAnsiTheme="majorHAnsi" w:cstheme="majorHAnsi"/>
          <w:i/>
          <w:iCs/>
          <w:noProof/>
          <w:color w:val="000000" w:themeColor="text1"/>
          <w:sz w:val="18"/>
          <w:szCs w:val="18"/>
          <w:lang w:eastAsia="ja-JP"/>
        </w:rPr>
        <w:t xml:space="preserve">Journal of Agricultural and Food Chemistry, </w:t>
      </w:r>
      <w:r w:rsidRPr="005E6B7C">
        <w:rPr>
          <w:rFonts w:asciiTheme="majorHAnsi" w:eastAsia="Yu Mincho" w:hAnsiTheme="majorHAnsi" w:cstheme="majorHAnsi"/>
          <w:noProof/>
          <w:color w:val="000000" w:themeColor="text1"/>
          <w:sz w:val="18"/>
          <w:szCs w:val="18"/>
          <w:lang w:eastAsia="ja-JP"/>
        </w:rPr>
        <w:t>62(17), 3734-3741.</w:t>
      </w:r>
      <w:r w:rsidRPr="005E6B7C">
        <w:rPr>
          <w:rFonts w:asciiTheme="majorHAnsi" w:eastAsia="Yu Mincho" w:hAnsiTheme="majorHAnsi" w:cstheme="majorHAnsi"/>
          <w:color w:val="000000" w:themeColor="text1"/>
          <w:sz w:val="18"/>
          <w:szCs w:val="18"/>
          <w:lang w:eastAsia="ja-JP"/>
        </w:rPr>
        <w:t xml:space="preserve"> </w:t>
      </w:r>
    </w:p>
    <w:p w14:paraId="1E9726A8"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9</w:t>
      </w:r>
      <w:r w:rsidRPr="005E6B7C">
        <w:rPr>
          <w:rFonts w:asciiTheme="majorHAnsi" w:eastAsia="Yu Mincho" w:hAnsiTheme="majorHAnsi" w:cstheme="majorHAnsi"/>
          <w:color w:val="000000" w:themeColor="text1"/>
          <w:sz w:val="18"/>
          <w:szCs w:val="18"/>
          <w:lang w:eastAsia="ja-JP"/>
        </w:rPr>
        <w:t xml:space="preserve">. Ma C. T., Nguyen T. D., Ho L. T. L., Ly T. L. (2023), Chemical constituents of the endophytic fungus </w:t>
      </w:r>
      <w:r w:rsidRPr="005E6B7C">
        <w:rPr>
          <w:rFonts w:asciiTheme="majorHAnsi" w:eastAsia="Yu Mincho" w:hAnsiTheme="majorHAnsi" w:cstheme="majorHAnsi"/>
          <w:i/>
          <w:iCs/>
          <w:color w:val="000000" w:themeColor="text1"/>
          <w:sz w:val="18"/>
          <w:szCs w:val="18"/>
          <w:lang w:eastAsia="ja-JP"/>
        </w:rPr>
        <w:t>Penicillium shearii</w:t>
      </w:r>
      <w:r w:rsidRPr="005E6B7C">
        <w:rPr>
          <w:rFonts w:asciiTheme="majorHAnsi" w:eastAsia="Yu Mincho" w:hAnsiTheme="majorHAnsi" w:cstheme="majorHAnsi"/>
          <w:color w:val="000000" w:themeColor="text1"/>
          <w:sz w:val="18"/>
          <w:szCs w:val="18"/>
          <w:lang w:eastAsia="ja-JP"/>
        </w:rPr>
        <w:t xml:space="preserve"> isolated from </w:t>
      </w:r>
      <w:r w:rsidRPr="005E6B7C">
        <w:rPr>
          <w:rFonts w:asciiTheme="majorHAnsi" w:eastAsia="Yu Mincho" w:hAnsiTheme="majorHAnsi" w:cstheme="majorHAnsi"/>
          <w:i/>
          <w:iCs/>
          <w:color w:val="000000" w:themeColor="text1"/>
          <w:sz w:val="18"/>
          <w:szCs w:val="18"/>
          <w:lang w:eastAsia="ja-JP"/>
        </w:rPr>
        <w:t>Pyrrosia lanceolata</w:t>
      </w:r>
      <w:r w:rsidRPr="005E6B7C">
        <w:rPr>
          <w:rFonts w:asciiTheme="majorHAnsi" w:eastAsia="Yu Mincho" w:hAnsiTheme="majorHAnsi" w:cstheme="majorHAnsi"/>
          <w:color w:val="000000" w:themeColor="text1"/>
          <w:sz w:val="18"/>
          <w:szCs w:val="18"/>
          <w:lang w:eastAsia="ja-JP"/>
        </w:rPr>
        <w:t xml:space="preserve"> (L.) Farw. </w:t>
      </w:r>
      <w:r w:rsidRPr="005E6B7C">
        <w:rPr>
          <w:rFonts w:asciiTheme="majorHAnsi" w:eastAsia="Yu Mincho" w:hAnsiTheme="majorHAnsi" w:cstheme="majorHAnsi"/>
          <w:i/>
          <w:iCs/>
          <w:color w:val="000000" w:themeColor="text1"/>
          <w:sz w:val="18"/>
          <w:szCs w:val="18"/>
          <w:lang w:eastAsia="ja-JP"/>
        </w:rPr>
        <w:t>Journal of Medicinal Materials</w:t>
      </w:r>
      <w:r w:rsidRPr="005E6B7C">
        <w:rPr>
          <w:rFonts w:asciiTheme="majorHAnsi" w:eastAsia="Yu Mincho" w:hAnsiTheme="majorHAnsi" w:cstheme="majorHAnsi"/>
          <w:color w:val="000000" w:themeColor="text1"/>
          <w:sz w:val="18"/>
          <w:szCs w:val="18"/>
          <w:lang w:eastAsia="ja-JP"/>
        </w:rPr>
        <w:t xml:space="preserve">, 28(2), 83-89. </w:t>
      </w:r>
    </w:p>
    <w:p w14:paraId="27B2AB70"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10.</w:t>
      </w:r>
      <w:r w:rsidRPr="005E6B7C">
        <w:rPr>
          <w:rFonts w:asciiTheme="majorHAnsi" w:eastAsia="Yu Mincho" w:hAnsiTheme="majorHAnsi" w:cstheme="majorHAnsi"/>
          <w:color w:val="000000" w:themeColor="text1"/>
          <w:sz w:val="18"/>
          <w:szCs w:val="18"/>
          <w:lang w:eastAsia="ja-JP"/>
        </w:rPr>
        <w:t xml:space="preserve"> Sanger F., Coulson A. R. (1975), A rapid method for determining sequences in DNA by primed synthesis with DNA polymerase. </w:t>
      </w:r>
      <w:r w:rsidRPr="005E6B7C">
        <w:rPr>
          <w:rFonts w:asciiTheme="majorHAnsi" w:eastAsia="Yu Mincho" w:hAnsiTheme="majorHAnsi" w:cstheme="majorHAnsi"/>
          <w:i/>
          <w:iCs/>
          <w:color w:val="000000" w:themeColor="text1"/>
          <w:sz w:val="18"/>
          <w:szCs w:val="18"/>
          <w:lang w:eastAsia="ja-JP"/>
        </w:rPr>
        <w:t>Journal of Molecular Biology</w:t>
      </w:r>
      <w:r w:rsidRPr="005E6B7C">
        <w:rPr>
          <w:rFonts w:asciiTheme="majorHAnsi" w:eastAsia="Yu Mincho" w:hAnsiTheme="majorHAnsi" w:cstheme="majorHAnsi"/>
          <w:color w:val="000000" w:themeColor="text1"/>
          <w:sz w:val="18"/>
          <w:szCs w:val="18"/>
          <w:lang w:eastAsia="ja-JP"/>
        </w:rPr>
        <w:t xml:space="preserve">, 94, 441-448. </w:t>
      </w:r>
    </w:p>
    <w:p w14:paraId="0C67A834"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11.</w:t>
      </w:r>
      <w:r w:rsidRPr="005E6B7C">
        <w:rPr>
          <w:rFonts w:asciiTheme="majorHAnsi" w:eastAsia="Yu Mincho" w:hAnsiTheme="majorHAnsi" w:cstheme="majorHAnsi"/>
          <w:color w:val="000000" w:themeColor="text1"/>
          <w:sz w:val="18"/>
          <w:szCs w:val="18"/>
          <w:lang w:eastAsia="ja-JP"/>
        </w:rPr>
        <w:t xml:space="preserve"> Sanger F., Nicklen S., Coulson A. R. (1977), DNA sequencing with chain-terminating inhibitors. </w:t>
      </w:r>
      <w:r w:rsidRPr="005E6B7C">
        <w:rPr>
          <w:rFonts w:asciiTheme="majorHAnsi" w:eastAsia="Yu Mincho" w:hAnsiTheme="majorHAnsi" w:cstheme="majorHAnsi"/>
          <w:i/>
          <w:iCs/>
          <w:color w:val="000000" w:themeColor="text1"/>
          <w:sz w:val="18"/>
          <w:szCs w:val="18"/>
          <w:shd w:val="clear" w:color="auto" w:fill="FFFFFF"/>
          <w:lang w:eastAsia="ja-JP"/>
        </w:rPr>
        <w:t>PNAS</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color w:val="000000" w:themeColor="text1"/>
          <w:sz w:val="18"/>
          <w:szCs w:val="18"/>
          <w:lang w:eastAsia="ja-JP"/>
        </w:rPr>
        <w:t xml:space="preserve">74, 5463–5467. </w:t>
      </w:r>
    </w:p>
    <w:p w14:paraId="7FAC956C"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12</w:t>
      </w:r>
      <w:r w:rsidRPr="005E6B7C">
        <w:rPr>
          <w:rFonts w:asciiTheme="majorHAnsi" w:eastAsia="Yu Mincho" w:hAnsiTheme="majorHAnsi" w:cstheme="majorHAnsi"/>
          <w:color w:val="000000" w:themeColor="text1"/>
          <w:sz w:val="18"/>
          <w:szCs w:val="18"/>
          <w:lang w:eastAsia="ja-JP"/>
        </w:rPr>
        <w:t xml:space="preserve">. Son S. K., Ko S. K., Kim J. W., Lee J. K., Jang M., Ryoo I. J., Hwang G. J., Kwon M. C., Shin K. S., Futamura Y., Hong Y. S., Oh H. C., Kim B. Y., Ueki M., Takahashi S., Osada H., Jang J. H., Jong S. A. (2016), Structures and biological activities of azaphilones produced by </w:t>
      </w:r>
      <w:r w:rsidRPr="005E6B7C">
        <w:rPr>
          <w:rFonts w:asciiTheme="majorHAnsi" w:eastAsia="Yu Mincho" w:hAnsiTheme="majorHAnsi" w:cstheme="majorHAnsi"/>
          <w:i/>
          <w:iCs/>
          <w:color w:val="000000" w:themeColor="text1"/>
          <w:sz w:val="18"/>
          <w:szCs w:val="18"/>
          <w:lang w:eastAsia="ja-JP"/>
        </w:rPr>
        <w:t>Penicillium</w:t>
      </w:r>
      <w:r w:rsidRPr="005E6B7C">
        <w:rPr>
          <w:rFonts w:asciiTheme="majorHAnsi" w:eastAsia="Yu Mincho" w:hAnsiTheme="majorHAnsi" w:cstheme="majorHAnsi"/>
          <w:color w:val="000000" w:themeColor="text1"/>
          <w:sz w:val="18"/>
          <w:szCs w:val="18"/>
          <w:lang w:eastAsia="ja-JP"/>
        </w:rPr>
        <w:t xml:space="preserve"> sp. KCB11A109 from a ginseng field. </w:t>
      </w:r>
      <w:r w:rsidRPr="005E6B7C">
        <w:rPr>
          <w:rFonts w:asciiTheme="majorHAnsi" w:eastAsia="Yu Mincho" w:hAnsiTheme="majorHAnsi" w:cstheme="majorHAnsi"/>
          <w:i/>
          <w:iCs/>
          <w:color w:val="000000" w:themeColor="text1"/>
          <w:sz w:val="18"/>
          <w:szCs w:val="18"/>
          <w:lang w:eastAsia="ja-JP"/>
        </w:rPr>
        <w:t>Phytochemistry</w:t>
      </w:r>
      <w:r w:rsidRPr="005E6B7C">
        <w:rPr>
          <w:rFonts w:asciiTheme="majorHAnsi" w:eastAsia="Yu Mincho" w:hAnsiTheme="majorHAnsi" w:cstheme="majorHAnsi"/>
          <w:color w:val="000000" w:themeColor="text1"/>
          <w:sz w:val="18"/>
          <w:szCs w:val="18"/>
          <w:lang w:eastAsia="ja-JP"/>
        </w:rPr>
        <w:t xml:space="preserve">, 122, 154-164. </w:t>
      </w:r>
    </w:p>
    <w:p w14:paraId="1AED5BD4"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13</w:t>
      </w:r>
      <w:r w:rsidRPr="005E6B7C">
        <w:rPr>
          <w:rFonts w:asciiTheme="majorHAnsi" w:eastAsia="Yu Mincho" w:hAnsiTheme="majorHAnsi" w:cstheme="majorHAnsi"/>
          <w:color w:val="000000" w:themeColor="text1"/>
          <w:sz w:val="18"/>
          <w:szCs w:val="18"/>
          <w:lang w:eastAsia="ja-JP"/>
        </w:rPr>
        <w:t xml:space="preserve">. Yang W., Yuan J., Tan Q., Chen Y., Zhu Y., Jiang H., Zou G., Zang Z., Wang B., She Z. (2021), Peniazaphilones A—I, produced by co-culturing of mangrove endophytic fungi, </w:t>
      </w:r>
      <w:r w:rsidRPr="005E6B7C">
        <w:rPr>
          <w:rFonts w:asciiTheme="majorHAnsi" w:eastAsia="Yu Mincho" w:hAnsiTheme="majorHAnsi" w:cstheme="majorHAnsi"/>
          <w:i/>
          <w:iCs/>
          <w:color w:val="000000" w:themeColor="text1"/>
          <w:sz w:val="18"/>
          <w:szCs w:val="18"/>
          <w:lang w:eastAsia="ja-JP"/>
        </w:rPr>
        <w:t>Penicillium sclerotiorum</w:t>
      </w:r>
      <w:r w:rsidRPr="005E6B7C">
        <w:rPr>
          <w:rFonts w:asciiTheme="majorHAnsi" w:eastAsia="Yu Mincho" w:hAnsiTheme="majorHAnsi" w:cstheme="majorHAnsi"/>
          <w:color w:val="000000" w:themeColor="text1"/>
          <w:sz w:val="18"/>
          <w:szCs w:val="18"/>
          <w:lang w:eastAsia="ja-JP"/>
        </w:rPr>
        <w:t xml:space="preserve"> THSH-4 and </w:t>
      </w:r>
      <w:r w:rsidRPr="005E6B7C">
        <w:rPr>
          <w:rFonts w:asciiTheme="majorHAnsi" w:eastAsia="Yu Mincho" w:hAnsiTheme="majorHAnsi" w:cstheme="majorHAnsi"/>
          <w:i/>
          <w:iCs/>
          <w:color w:val="000000" w:themeColor="text1"/>
          <w:sz w:val="18"/>
          <w:szCs w:val="18"/>
          <w:lang w:eastAsia="ja-JP"/>
        </w:rPr>
        <w:t>Penicillium sclerotiorum</w:t>
      </w:r>
      <w:r w:rsidRPr="005E6B7C">
        <w:rPr>
          <w:rFonts w:asciiTheme="majorHAnsi" w:eastAsia="Yu Mincho" w:hAnsiTheme="majorHAnsi" w:cstheme="majorHAnsi"/>
          <w:color w:val="000000" w:themeColor="text1"/>
          <w:sz w:val="18"/>
          <w:szCs w:val="18"/>
          <w:lang w:eastAsia="ja-JP"/>
        </w:rPr>
        <w:t xml:space="preserve"> ZJHJJ-18. </w:t>
      </w:r>
      <w:r w:rsidRPr="005E6B7C">
        <w:rPr>
          <w:rFonts w:asciiTheme="majorHAnsi" w:eastAsia="Yu Mincho" w:hAnsiTheme="majorHAnsi" w:cstheme="majorHAnsi"/>
          <w:i/>
          <w:iCs/>
          <w:color w:val="000000" w:themeColor="text1"/>
          <w:sz w:val="18"/>
          <w:szCs w:val="18"/>
          <w:lang w:eastAsia="ja-JP"/>
        </w:rPr>
        <w:t>Chinese Journal of Chemistry</w:t>
      </w:r>
      <w:r w:rsidRPr="005E6B7C">
        <w:rPr>
          <w:rFonts w:asciiTheme="majorHAnsi" w:eastAsia="Yu Mincho" w:hAnsiTheme="majorHAnsi" w:cstheme="majorHAnsi"/>
          <w:color w:val="000000" w:themeColor="text1"/>
          <w:sz w:val="18"/>
          <w:szCs w:val="18"/>
          <w:lang w:eastAsia="ja-JP"/>
        </w:rPr>
        <w:t xml:space="preserve">, 39, 3404-3412. </w:t>
      </w:r>
    </w:p>
    <w:p w14:paraId="1EE896C7"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14</w:t>
      </w:r>
      <w:r w:rsidRPr="005E6B7C">
        <w:rPr>
          <w:rFonts w:asciiTheme="majorHAnsi" w:eastAsia="Yu Mincho" w:hAnsiTheme="majorHAnsi" w:cstheme="majorHAnsi"/>
          <w:color w:val="000000" w:themeColor="text1"/>
          <w:sz w:val="18"/>
          <w:szCs w:val="18"/>
          <w:lang w:eastAsia="ja-JP"/>
        </w:rPr>
        <w:t xml:space="preserve">. Chen S. R, Wang S. W., Chen C. Y., Ke T. Y., Lin J. J., Hwang T. L., Huang Y. T., Huang Y. C., Cheng Y. B. (2023), Additional azaphilones from the marine algae-derived fungus </w:t>
      </w:r>
      <w:r w:rsidRPr="005E6B7C">
        <w:rPr>
          <w:rFonts w:asciiTheme="majorHAnsi" w:eastAsia="Yu Mincho" w:hAnsiTheme="majorHAnsi" w:cstheme="majorHAnsi"/>
          <w:i/>
          <w:iCs/>
          <w:color w:val="000000" w:themeColor="text1"/>
          <w:sz w:val="18"/>
          <w:szCs w:val="18"/>
          <w:lang w:eastAsia="ja-JP"/>
        </w:rPr>
        <w:t>Penicillium sclerotiorum</w:t>
      </w:r>
      <w:r w:rsidRPr="005E6B7C">
        <w:rPr>
          <w:rFonts w:asciiTheme="majorHAnsi" w:eastAsia="Yu Mincho" w:hAnsiTheme="majorHAnsi" w:cstheme="majorHAnsi"/>
          <w:color w:val="000000" w:themeColor="text1"/>
          <w:sz w:val="18"/>
          <w:szCs w:val="18"/>
          <w:lang w:eastAsia="ja-JP"/>
        </w:rPr>
        <w:t xml:space="preserve"> with anti-angiogenic activity. </w:t>
      </w:r>
      <w:r w:rsidRPr="005E6B7C">
        <w:rPr>
          <w:rFonts w:asciiTheme="majorHAnsi" w:eastAsia="Yu Mincho" w:hAnsiTheme="majorHAnsi" w:cstheme="majorHAnsi"/>
          <w:i/>
          <w:iCs/>
          <w:color w:val="000000" w:themeColor="text1"/>
          <w:sz w:val="18"/>
          <w:szCs w:val="18"/>
          <w:lang w:eastAsia="ja-JP"/>
        </w:rPr>
        <w:t>Bulletin of the Chemical Society of Japan</w:t>
      </w:r>
      <w:r w:rsidRPr="005E6B7C">
        <w:rPr>
          <w:rFonts w:asciiTheme="majorHAnsi" w:eastAsia="Yu Mincho" w:hAnsiTheme="majorHAnsi" w:cstheme="majorHAnsi"/>
          <w:color w:val="000000" w:themeColor="text1"/>
          <w:sz w:val="18"/>
          <w:szCs w:val="18"/>
          <w:lang w:eastAsia="ja-JP"/>
        </w:rPr>
        <w:t xml:space="preserve">, 96(1), 1–7. </w:t>
      </w:r>
    </w:p>
    <w:p w14:paraId="5BED2410"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15</w:t>
      </w:r>
      <w:r w:rsidRPr="005E6B7C">
        <w:rPr>
          <w:rFonts w:asciiTheme="majorHAnsi" w:eastAsia="Yu Mincho" w:hAnsiTheme="majorHAnsi" w:cstheme="majorHAnsi"/>
          <w:color w:val="000000" w:themeColor="text1"/>
          <w:sz w:val="18"/>
          <w:szCs w:val="18"/>
          <w:lang w:eastAsia="ja-JP"/>
        </w:rPr>
        <w:t xml:space="preserve">. Wang X., Sena Filho J. G., Hoover A. R., King J. B., Ellis T. K., Powell D. R., Cichewicz R. H. (2010), Chemical epigenetics alters the secondary metabolite composition of guttate excreted by an Atlantic-forest-soil-derived </w:t>
      </w:r>
      <w:r w:rsidRPr="005E6B7C">
        <w:rPr>
          <w:rFonts w:asciiTheme="majorHAnsi" w:eastAsia="Yu Mincho" w:hAnsiTheme="majorHAnsi" w:cstheme="majorHAnsi"/>
          <w:i/>
          <w:iCs/>
          <w:color w:val="000000" w:themeColor="text1"/>
          <w:sz w:val="18"/>
          <w:szCs w:val="18"/>
          <w:lang w:eastAsia="ja-JP"/>
        </w:rPr>
        <w:t>Penicillium citreonigrum</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Journal of Natural Products</w:t>
      </w:r>
      <w:r w:rsidRPr="005E6B7C">
        <w:rPr>
          <w:rFonts w:asciiTheme="majorHAnsi" w:eastAsia="Yu Mincho" w:hAnsiTheme="majorHAnsi" w:cstheme="majorHAnsi"/>
          <w:color w:val="000000" w:themeColor="text1"/>
          <w:sz w:val="18"/>
          <w:szCs w:val="18"/>
          <w:lang w:eastAsia="ja-JP"/>
        </w:rPr>
        <w:t xml:space="preserve">, 73(5), 942-948. </w:t>
      </w:r>
    </w:p>
    <w:p w14:paraId="338D5680"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Hemtasin C., Kanokmedhakul S., Moosophon P., Soytong K., Kanokmedhakul K. (2016), Bioactive azaphilones from the fungus </w:t>
      </w:r>
      <w:r w:rsidRPr="005E6B7C">
        <w:rPr>
          <w:rFonts w:asciiTheme="majorHAnsi" w:eastAsia="Yu Mincho" w:hAnsiTheme="majorHAnsi" w:cstheme="majorHAnsi"/>
          <w:i/>
          <w:iCs/>
          <w:noProof/>
          <w:color w:val="000000" w:themeColor="text1"/>
          <w:sz w:val="18"/>
          <w:szCs w:val="18"/>
          <w:lang w:eastAsia="ja-JP"/>
        </w:rPr>
        <w:t>Penicillium multicolor</w:t>
      </w:r>
      <w:r w:rsidRPr="005E6B7C">
        <w:rPr>
          <w:rFonts w:asciiTheme="majorHAnsi" w:eastAsia="Yu Mincho" w:hAnsiTheme="majorHAnsi" w:cstheme="majorHAnsi"/>
          <w:noProof/>
          <w:color w:val="000000" w:themeColor="text1"/>
          <w:sz w:val="18"/>
          <w:szCs w:val="18"/>
          <w:lang w:eastAsia="ja-JP"/>
        </w:rPr>
        <w:t xml:space="preserve"> CM01. </w:t>
      </w:r>
      <w:r w:rsidRPr="005E6B7C">
        <w:rPr>
          <w:rFonts w:asciiTheme="majorHAnsi" w:eastAsia="Yu Mincho" w:hAnsiTheme="majorHAnsi" w:cstheme="majorHAnsi"/>
          <w:i/>
          <w:iCs/>
          <w:noProof/>
          <w:color w:val="000000" w:themeColor="text1"/>
          <w:sz w:val="18"/>
          <w:szCs w:val="18"/>
          <w:lang w:eastAsia="ja-JP"/>
        </w:rPr>
        <w:t>Phytochemistry Letters</w:t>
      </w:r>
      <w:r w:rsidRPr="005E6B7C">
        <w:rPr>
          <w:rFonts w:asciiTheme="majorHAnsi" w:eastAsia="Yu Mincho" w:hAnsiTheme="majorHAnsi" w:cstheme="majorHAnsi"/>
          <w:noProof/>
          <w:color w:val="000000" w:themeColor="text1"/>
          <w:sz w:val="18"/>
          <w:szCs w:val="18"/>
          <w:lang w:eastAsia="ja-JP"/>
        </w:rPr>
        <w:t>, 16, 56-60.</w:t>
      </w:r>
      <w:r w:rsidRPr="005E6B7C">
        <w:rPr>
          <w:rFonts w:asciiTheme="majorHAnsi" w:eastAsia="Yu Mincho" w:hAnsiTheme="majorHAnsi" w:cstheme="majorHAnsi"/>
          <w:color w:val="000000" w:themeColor="text1"/>
          <w:sz w:val="18"/>
          <w:szCs w:val="18"/>
          <w:lang w:eastAsia="ja-JP"/>
        </w:rPr>
        <w:t xml:space="preserve"> </w:t>
      </w:r>
    </w:p>
    <w:p w14:paraId="503C3A6D"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17.</w:t>
      </w:r>
      <w:r w:rsidRPr="005E6B7C">
        <w:rPr>
          <w:rFonts w:asciiTheme="majorHAnsi" w:eastAsia="Yu Mincho" w:hAnsiTheme="majorHAnsi" w:cstheme="majorHAnsi"/>
          <w:color w:val="000000" w:themeColor="text1"/>
          <w:sz w:val="18"/>
          <w:szCs w:val="18"/>
          <w:lang w:eastAsia="ja-JP"/>
        </w:rPr>
        <w:t xml:space="preserve"> Arai N., Shiomi K., Tomoda H., Tabata N., Yang D. J., Nasuma R., Kawakubo T., Omura S. (1995), Isochromophilones III - VI, Inhibitors of acyl-CoA: Cholesterol acyltransferase produced by </w:t>
      </w:r>
      <w:r w:rsidRPr="005E6B7C">
        <w:rPr>
          <w:rFonts w:asciiTheme="majorHAnsi" w:eastAsia="Yu Mincho" w:hAnsiTheme="majorHAnsi" w:cstheme="majorHAnsi"/>
          <w:i/>
          <w:iCs/>
          <w:color w:val="000000" w:themeColor="text1"/>
          <w:sz w:val="18"/>
          <w:szCs w:val="18"/>
          <w:lang w:eastAsia="ja-JP"/>
        </w:rPr>
        <w:t>Penicillium multicolor</w:t>
      </w:r>
      <w:r w:rsidRPr="005E6B7C">
        <w:rPr>
          <w:rFonts w:asciiTheme="majorHAnsi" w:eastAsia="Yu Mincho" w:hAnsiTheme="majorHAnsi" w:cstheme="majorHAnsi"/>
          <w:color w:val="000000" w:themeColor="text1"/>
          <w:sz w:val="18"/>
          <w:szCs w:val="18"/>
          <w:lang w:eastAsia="ja-JP"/>
        </w:rPr>
        <w:t xml:space="preserve"> FO-3216. </w:t>
      </w:r>
      <w:r w:rsidRPr="005E6B7C">
        <w:rPr>
          <w:rFonts w:asciiTheme="majorHAnsi" w:eastAsia="Yu Mincho" w:hAnsiTheme="majorHAnsi" w:cstheme="majorHAnsi"/>
          <w:i/>
          <w:iCs/>
          <w:color w:val="000000" w:themeColor="text1"/>
          <w:sz w:val="18"/>
          <w:szCs w:val="18"/>
          <w:lang w:eastAsia="ja-JP"/>
        </w:rPr>
        <w:t>The Journal of Antibiotics</w:t>
      </w:r>
      <w:r w:rsidRPr="005E6B7C">
        <w:rPr>
          <w:rFonts w:asciiTheme="majorHAnsi" w:eastAsia="Yu Mincho" w:hAnsiTheme="majorHAnsi" w:cstheme="majorHAnsi"/>
          <w:color w:val="000000" w:themeColor="text1"/>
          <w:sz w:val="18"/>
          <w:szCs w:val="18"/>
          <w:lang w:eastAsia="ja-JP"/>
        </w:rPr>
        <w:t xml:space="preserve">, 48(7), 696-702. </w:t>
      </w:r>
    </w:p>
    <w:p w14:paraId="319A3DD7" w14:textId="77777777" w:rsidR="00E049CB" w:rsidRPr="005E6B7C" w:rsidRDefault="00E049CB" w:rsidP="008C0D47">
      <w:pPr>
        <w:tabs>
          <w:tab w:val="left" w:pos="270"/>
          <w:tab w:val="left" w:pos="540"/>
          <w:tab w:val="left" w:pos="9270"/>
          <w:tab w:val="left" w:leader="dot" w:pos="9356"/>
        </w:tabs>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18.</w:t>
      </w:r>
      <w:r w:rsidRPr="005E6B7C">
        <w:rPr>
          <w:rFonts w:asciiTheme="majorHAnsi" w:eastAsia="Yu Mincho" w:hAnsiTheme="majorHAnsi" w:cstheme="majorHAnsi"/>
          <w:color w:val="000000" w:themeColor="text1"/>
          <w:sz w:val="18"/>
          <w:szCs w:val="18"/>
          <w:lang w:eastAsia="ja-JP"/>
        </w:rPr>
        <w:t xml:space="preserve"> Huang Y., Lu X., Shen Y., Liu Y., Zeng Q., Liu X., Bin W., Li M. (2025), The NMR-measured omega-6/omega-3 fatty acid ratio improves cardiovascular risk prediction. </w:t>
      </w:r>
      <w:r w:rsidRPr="005E6B7C">
        <w:rPr>
          <w:rFonts w:asciiTheme="majorHAnsi" w:eastAsia="Yu Mincho" w:hAnsiTheme="majorHAnsi" w:cstheme="majorHAnsi"/>
          <w:i/>
          <w:iCs/>
          <w:color w:val="000000" w:themeColor="text1"/>
          <w:sz w:val="18"/>
          <w:szCs w:val="18"/>
          <w:lang w:eastAsia="ja-JP"/>
        </w:rPr>
        <w:t>Frontiers in Nutrition</w:t>
      </w:r>
      <w:r w:rsidRPr="005E6B7C">
        <w:rPr>
          <w:rFonts w:asciiTheme="majorHAnsi" w:eastAsia="Yu Mincho" w:hAnsiTheme="majorHAnsi" w:cstheme="majorHAnsi"/>
          <w:color w:val="000000" w:themeColor="text1"/>
          <w:sz w:val="18"/>
          <w:szCs w:val="18"/>
          <w:lang w:eastAsia="ja-JP"/>
        </w:rPr>
        <w:t>, 12, 1693151.</w:t>
      </w:r>
    </w:p>
    <w:p w14:paraId="05433D92" w14:textId="77777777" w:rsidR="00C22790" w:rsidRPr="005E6B7C" w:rsidRDefault="00C22790" w:rsidP="008C0D47">
      <w:pPr>
        <w:widowControl/>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p>
    <w:p w14:paraId="7F9DC30E"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207C22" w:rsidRPr="005E6B7C">
        <w:rPr>
          <w:rFonts w:asciiTheme="majorHAnsi" w:eastAsia="Yu Mincho" w:hAnsiTheme="majorHAnsi" w:cstheme="majorHAnsi"/>
          <w:b/>
          <w:bCs/>
          <w:i/>
          <w:color w:val="000000" w:themeColor="text1"/>
          <w:sz w:val="26"/>
          <w:szCs w:val="26"/>
          <w:lang w:eastAsia="ja-JP"/>
        </w:rPr>
        <w:t xml:space="preserve"> 67 - 73</w:t>
      </w:r>
      <w:r w:rsidRPr="005E6B7C">
        <w:rPr>
          <w:rFonts w:asciiTheme="majorHAnsi" w:eastAsia="Yu Mincho" w:hAnsiTheme="majorHAnsi" w:cstheme="majorHAnsi"/>
          <w:b/>
          <w:bCs/>
          <w:i/>
          <w:color w:val="000000" w:themeColor="text1"/>
          <w:sz w:val="26"/>
          <w:szCs w:val="26"/>
          <w:lang w:eastAsia="ja-JP"/>
        </w:rPr>
        <w:t>)</w:t>
      </w:r>
    </w:p>
    <w:p w14:paraId="6250F90E"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576F696C" w14:textId="77777777" w:rsidR="00C247FE"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CHEMICAL CONSTITUENTS FROM THE AERIAL PARTS </w:t>
      </w:r>
    </w:p>
    <w:p w14:paraId="682C3E2E" w14:textId="77777777" w:rsidR="00E049CB" w:rsidRPr="005E6B7C" w:rsidRDefault="00E049CB" w:rsidP="008C0D47">
      <w:pPr>
        <w:ind w:right="-20"/>
        <w:jc w:val="center"/>
        <w:rPr>
          <w:rFonts w:asciiTheme="majorHAnsi" w:eastAsia="Yu Mincho" w:hAnsiTheme="majorHAnsi" w:cstheme="majorHAnsi"/>
          <w:b/>
          <w:bCs/>
          <w:i/>
          <w:i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OF </w:t>
      </w:r>
      <w:r w:rsidRPr="005E6B7C">
        <w:rPr>
          <w:rFonts w:asciiTheme="majorHAnsi" w:eastAsia="Yu Mincho" w:hAnsiTheme="majorHAnsi" w:cstheme="majorHAnsi"/>
          <w:b/>
          <w:bCs/>
          <w:i/>
          <w:color w:val="000000" w:themeColor="text1"/>
          <w:sz w:val="26"/>
          <w:szCs w:val="26"/>
          <w:lang w:eastAsia="ja-JP"/>
        </w:rPr>
        <w:t>BARLERIA LUPULINA</w:t>
      </w:r>
      <w:r w:rsidRPr="005E6B7C">
        <w:rPr>
          <w:rFonts w:asciiTheme="majorHAnsi" w:eastAsia="Yu Mincho" w:hAnsiTheme="majorHAnsi" w:cstheme="majorHAnsi"/>
          <w:b/>
          <w:bCs/>
          <w:color w:val="000000" w:themeColor="text1"/>
          <w:sz w:val="26"/>
          <w:szCs w:val="26"/>
          <w:lang w:eastAsia="ja-JP"/>
        </w:rPr>
        <w:t xml:space="preserve"> (ACANTHACEAE)</w:t>
      </w:r>
    </w:p>
    <w:p w14:paraId="045A64C6" w14:textId="77777777" w:rsidR="00ED2775" w:rsidRPr="005E6B7C" w:rsidRDefault="00E049CB" w:rsidP="008C0D47">
      <w:pPr>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Ngo Thi Ngoc Yen</w:t>
      </w:r>
      <w:r w:rsidRPr="005E6B7C">
        <w:rPr>
          <w:rFonts w:asciiTheme="majorHAnsi" w:eastAsia="Yu Mincho" w:hAnsiTheme="majorHAnsi" w:cstheme="majorHAnsi"/>
          <w:b/>
          <w:i/>
          <w:iCs/>
          <w:color w:val="000000" w:themeColor="text1"/>
          <w:sz w:val="22"/>
          <w:szCs w:val="22"/>
          <w:vertAlign w:val="superscript"/>
          <w:lang w:eastAsia="ja-JP"/>
        </w:rPr>
        <w:t>1,2</w:t>
      </w:r>
      <w:r w:rsidRPr="005E6B7C">
        <w:rPr>
          <w:rFonts w:asciiTheme="majorHAnsi" w:eastAsia="Yu Mincho" w:hAnsiTheme="majorHAnsi" w:cstheme="majorHAnsi"/>
          <w:b/>
          <w:i/>
          <w:iCs/>
          <w:color w:val="000000" w:themeColor="text1"/>
          <w:sz w:val="22"/>
          <w:szCs w:val="22"/>
          <w:lang w:eastAsia="ja-JP"/>
        </w:rPr>
        <w:t>, Do Hoang Anh</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w:t>
      </w:r>
      <w:r w:rsidRPr="005E6B7C">
        <w:rPr>
          <w:rFonts w:asciiTheme="majorHAnsi" w:eastAsia="Yu Mincho" w:hAnsiTheme="majorHAnsi" w:cstheme="majorHAnsi"/>
          <w:i/>
          <w:iCs/>
          <w:color w:val="000000" w:themeColor="text1"/>
          <w:sz w:val="22"/>
          <w:szCs w:val="22"/>
          <w:vertAlign w:val="superscript"/>
          <w:lang w:eastAsia="ja-JP"/>
        </w:rPr>
        <w:t xml:space="preserve"> </w:t>
      </w:r>
      <w:r w:rsidRPr="005E6B7C">
        <w:rPr>
          <w:rFonts w:asciiTheme="majorHAnsi" w:eastAsia="Yu Mincho" w:hAnsiTheme="majorHAnsi" w:cstheme="majorHAnsi"/>
          <w:b/>
          <w:i/>
          <w:iCs/>
          <w:color w:val="000000" w:themeColor="text1"/>
          <w:sz w:val="22"/>
          <w:szCs w:val="22"/>
          <w:lang w:eastAsia="ja-JP"/>
        </w:rPr>
        <w:t>Nguyen Thi Thu</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Thi Ha Ly</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Le Nguyen Thanh</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Quynh Nga</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Dao Viet Quoc</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Thu Hang</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 Nguyen Hoang Minh</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 xml:space="preserve">, </w:t>
      </w:r>
    </w:p>
    <w:p w14:paraId="1AD8AF49" w14:textId="0880F89A" w:rsidR="00E049CB" w:rsidRPr="005E6B7C" w:rsidRDefault="00E049CB" w:rsidP="008C0D47">
      <w:pPr>
        <w:ind w:right="-20"/>
        <w:jc w:val="center"/>
        <w:rPr>
          <w:rFonts w:asciiTheme="majorHAnsi" w:eastAsia="Yu Mincho" w:hAnsiTheme="majorHAnsi" w:cstheme="majorHAnsi"/>
          <w:b/>
          <w:i/>
          <w:iCs/>
          <w:color w:val="000000" w:themeColor="text1"/>
          <w:sz w:val="22"/>
          <w:szCs w:val="22"/>
          <w:vertAlign w:val="superscript"/>
          <w:lang w:val="fr-FR" w:eastAsia="ja-JP"/>
        </w:rPr>
      </w:pPr>
      <w:r w:rsidRPr="005E6B7C">
        <w:rPr>
          <w:rFonts w:asciiTheme="majorHAnsi" w:eastAsia="Yu Mincho" w:hAnsiTheme="majorHAnsi" w:cstheme="majorHAnsi"/>
          <w:b/>
          <w:i/>
          <w:iCs/>
          <w:color w:val="000000" w:themeColor="text1"/>
          <w:sz w:val="22"/>
          <w:szCs w:val="22"/>
          <w:lang w:val="fr-FR" w:eastAsia="ja-JP"/>
        </w:rPr>
        <w:t>Nguyen Minh Khoi</w:t>
      </w:r>
      <w:r w:rsidRPr="005E6B7C">
        <w:rPr>
          <w:rFonts w:asciiTheme="majorHAnsi" w:eastAsia="Yu Mincho" w:hAnsiTheme="majorHAnsi" w:cstheme="majorHAnsi"/>
          <w:b/>
          <w:i/>
          <w:iCs/>
          <w:color w:val="000000" w:themeColor="text1"/>
          <w:sz w:val="22"/>
          <w:szCs w:val="22"/>
          <w:vertAlign w:val="superscript"/>
          <w:lang w:val="fr-FR" w:eastAsia="ja-JP"/>
        </w:rPr>
        <w:t>1</w:t>
      </w:r>
      <w:r w:rsidR="009B1273" w:rsidRPr="005E6B7C">
        <w:rPr>
          <w:rFonts w:asciiTheme="majorHAnsi" w:eastAsia="Yu Mincho" w:hAnsiTheme="majorHAnsi" w:cstheme="majorHAnsi"/>
          <w:b/>
          <w:i/>
          <w:iCs/>
          <w:color w:val="000000" w:themeColor="text1"/>
          <w:sz w:val="22"/>
          <w:szCs w:val="22"/>
          <w:vertAlign w:val="superscript"/>
          <w:lang w:val="fr-FR" w:eastAsia="ja-JP"/>
        </w:rPr>
        <w:t>,</w:t>
      </w:r>
      <w:r w:rsidRPr="005E6B7C">
        <w:rPr>
          <w:rFonts w:asciiTheme="majorHAnsi" w:eastAsia="Yu Mincho" w:hAnsiTheme="majorHAnsi" w:cstheme="majorHAnsi"/>
          <w:b/>
          <w:i/>
          <w:iCs/>
          <w:color w:val="000000" w:themeColor="text1"/>
          <w:sz w:val="22"/>
          <w:szCs w:val="22"/>
          <w:lang w:val="fr-FR" w:eastAsia="ja-JP"/>
        </w:rPr>
        <w:t>*, Le Tran Nguyen Vu</w:t>
      </w:r>
      <w:r w:rsidRPr="005E6B7C">
        <w:rPr>
          <w:rFonts w:asciiTheme="majorHAnsi" w:eastAsia="Yu Mincho" w:hAnsiTheme="majorHAnsi" w:cstheme="majorHAnsi"/>
          <w:b/>
          <w:i/>
          <w:iCs/>
          <w:color w:val="000000" w:themeColor="text1"/>
          <w:sz w:val="22"/>
          <w:szCs w:val="22"/>
          <w:vertAlign w:val="superscript"/>
          <w:lang w:val="fr-FR" w:eastAsia="ja-JP"/>
        </w:rPr>
        <w:t>3</w:t>
      </w:r>
      <w:r w:rsidR="00266B26" w:rsidRPr="005E6B7C">
        <w:rPr>
          <w:rFonts w:asciiTheme="majorHAnsi" w:eastAsia="Yu Mincho" w:hAnsiTheme="majorHAnsi" w:cstheme="majorHAnsi"/>
          <w:b/>
          <w:i/>
          <w:iCs/>
          <w:color w:val="000000" w:themeColor="text1"/>
          <w:sz w:val="22"/>
          <w:szCs w:val="22"/>
          <w:vertAlign w:val="superscript"/>
          <w:lang w:val="fr-FR" w:eastAsia="ja-JP"/>
        </w:rPr>
        <w:t>,</w:t>
      </w:r>
      <w:r w:rsidRPr="005E6B7C">
        <w:rPr>
          <w:rFonts w:asciiTheme="majorHAnsi" w:eastAsia="Yu Mincho" w:hAnsiTheme="majorHAnsi" w:cstheme="majorHAnsi"/>
          <w:b/>
          <w:i/>
          <w:iCs/>
          <w:color w:val="000000" w:themeColor="text1"/>
          <w:sz w:val="22"/>
          <w:szCs w:val="22"/>
          <w:lang w:val="fr-FR" w:eastAsia="ja-JP"/>
        </w:rPr>
        <w:t>*</w:t>
      </w:r>
    </w:p>
    <w:p w14:paraId="05C95592" w14:textId="77777777" w:rsidR="00E049CB" w:rsidRPr="005E6B7C" w:rsidRDefault="00E049CB" w:rsidP="008C0D47">
      <w:pPr>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1</w:t>
      </w:r>
      <w:r w:rsidRPr="005E6B7C">
        <w:rPr>
          <w:rFonts w:asciiTheme="majorHAnsi" w:eastAsia="Times New Roman" w:hAnsiTheme="majorHAnsi" w:cstheme="majorHAnsi"/>
          <w:i/>
          <w:iCs/>
          <w:noProof/>
          <w:color w:val="000000" w:themeColor="text1"/>
          <w:sz w:val="22"/>
          <w:szCs w:val="22"/>
          <w:lang w:eastAsia="ja-JP"/>
        </w:rPr>
        <w:t>National Institute of Medicinal Materials, Hanoi 11018, Vietnam</w:t>
      </w:r>
      <w:r w:rsidR="00ED2775" w:rsidRPr="005E6B7C">
        <w:rPr>
          <w:rFonts w:asciiTheme="majorHAnsi" w:eastAsia="Times New Roman" w:hAnsiTheme="majorHAnsi" w:cstheme="majorHAnsi"/>
          <w:i/>
          <w:iCs/>
          <w:noProof/>
          <w:color w:val="000000" w:themeColor="text1"/>
          <w:sz w:val="22"/>
          <w:szCs w:val="22"/>
          <w:lang w:eastAsia="ja-JP"/>
        </w:rPr>
        <w:t>;</w:t>
      </w:r>
    </w:p>
    <w:p w14:paraId="17E4718C" w14:textId="77777777" w:rsidR="00E049CB" w:rsidRPr="005E6B7C" w:rsidRDefault="00E049CB" w:rsidP="008C0D47">
      <w:pPr>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2</w:t>
      </w:r>
      <w:r w:rsidRPr="005E6B7C">
        <w:rPr>
          <w:rFonts w:asciiTheme="majorHAnsi" w:eastAsia="Times New Roman" w:hAnsiTheme="majorHAnsi" w:cstheme="majorHAnsi"/>
          <w:i/>
          <w:iCs/>
          <w:noProof/>
          <w:color w:val="000000" w:themeColor="text1"/>
          <w:spacing w:val="3"/>
          <w:sz w:val="22"/>
          <w:szCs w:val="22"/>
          <w:shd w:val="clear" w:color="auto" w:fill="FFFFFF"/>
          <w:lang w:eastAsia="ja-JP"/>
        </w:rPr>
        <w:t>Faculty of Medicine and Pharmacy, Tay Nguyen University</w:t>
      </w:r>
      <w:r w:rsidR="00ED2775" w:rsidRPr="005E6B7C">
        <w:rPr>
          <w:rFonts w:asciiTheme="majorHAnsi" w:eastAsia="Times New Roman" w:hAnsiTheme="majorHAnsi" w:cstheme="majorHAnsi"/>
          <w:i/>
          <w:iCs/>
          <w:noProof/>
          <w:color w:val="000000" w:themeColor="text1"/>
          <w:spacing w:val="3"/>
          <w:sz w:val="22"/>
          <w:szCs w:val="22"/>
          <w:shd w:val="clear" w:color="auto" w:fill="FFFFFF"/>
          <w:lang w:eastAsia="ja-JP"/>
        </w:rPr>
        <w:t>;</w:t>
      </w:r>
    </w:p>
    <w:p w14:paraId="31E4C17B" w14:textId="77777777" w:rsidR="00E049CB" w:rsidRPr="005E6B7C" w:rsidRDefault="00E049CB" w:rsidP="008C0D47">
      <w:pPr>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3</w:t>
      </w:r>
      <w:r w:rsidRPr="005E6B7C">
        <w:rPr>
          <w:rFonts w:asciiTheme="majorHAnsi" w:eastAsia="Times New Roman" w:hAnsiTheme="majorHAnsi" w:cstheme="majorHAnsi"/>
          <w:i/>
          <w:iCs/>
          <w:noProof/>
          <w:color w:val="000000" w:themeColor="text1"/>
          <w:spacing w:val="3"/>
          <w:sz w:val="22"/>
          <w:szCs w:val="22"/>
          <w:shd w:val="clear" w:color="auto" w:fill="FFFFFF"/>
          <w:lang w:eastAsia="ja-JP"/>
        </w:rPr>
        <w:t>Research Center of Ginseng and Medicinal Materials (CGMM), National Institute of Medicinal Materials, Ho Chi Minh City 71016, Vietnam</w:t>
      </w:r>
    </w:p>
    <w:p w14:paraId="2FDF5950" w14:textId="77777777" w:rsidR="00E049CB" w:rsidRPr="005E6B7C" w:rsidRDefault="00ED2775" w:rsidP="008C0D47">
      <w:pPr>
        <w:ind w:right="-20"/>
        <w:jc w:val="center"/>
        <w:outlineLvl w:val="2"/>
        <w:rPr>
          <w:rFonts w:asciiTheme="majorHAnsi" w:eastAsia="Times New Roman" w:hAnsiTheme="majorHAnsi" w:cstheme="majorHAnsi"/>
          <w:bCs/>
          <w:color w:val="000000" w:themeColor="text1"/>
          <w:sz w:val="22"/>
          <w:szCs w:val="22"/>
        </w:rPr>
      </w:pPr>
      <w:r w:rsidRPr="005E6B7C">
        <w:rPr>
          <w:rFonts w:asciiTheme="majorHAnsi" w:eastAsia="Times New Roman" w:hAnsiTheme="majorHAnsi" w:cstheme="majorHAnsi"/>
          <w:color w:val="000000" w:themeColor="text1"/>
          <w:sz w:val="22"/>
          <w:szCs w:val="22"/>
          <w:shd w:val="clear" w:color="auto" w:fill="FFFFFF"/>
        </w:rPr>
        <w:t>*</w:t>
      </w:r>
      <w:r w:rsidR="00E049CB" w:rsidRPr="005E6B7C">
        <w:rPr>
          <w:rFonts w:asciiTheme="majorHAnsi" w:eastAsia="Times New Roman" w:hAnsiTheme="majorHAnsi" w:cstheme="majorHAnsi"/>
          <w:color w:val="000000" w:themeColor="text1"/>
          <w:sz w:val="22"/>
          <w:szCs w:val="22"/>
          <w:shd w:val="clear" w:color="auto" w:fill="FFFFFF"/>
        </w:rPr>
        <w:t xml:space="preserve">Corresponding author: </w:t>
      </w:r>
      <w:r w:rsidR="00E049CB" w:rsidRPr="005E6B7C">
        <w:rPr>
          <w:rFonts w:asciiTheme="majorHAnsi" w:eastAsia="Times New Roman" w:hAnsiTheme="majorHAnsi" w:cstheme="majorHAnsi"/>
          <w:bCs/>
          <w:color w:val="000000" w:themeColor="text1"/>
          <w:sz w:val="22"/>
          <w:szCs w:val="22"/>
        </w:rPr>
        <w:t xml:space="preserve">khoi_nguyenminh@yahoo.co.uk and </w:t>
      </w:r>
      <w:r w:rsidR="00E049CB" w:rsidRPr="005E6B7C">
        <w:rPr>
          <w:rFonts w:asciiTheme="majorHAnsi" w:eastAsia="Times New Roman" w:hAnsiTheme="majorHAnsi" w:cstheme="majorHAnsi"/>
          <w:bCs/>
          <w:color w:val="000000" w:themeColor="text1"/>
          <w:sz w:val="22"/>
          <w:szCs w:val="22"/>
          <w:shd w:val="clear" w:color="auto" w:fill="FFFFFF"/>
        </w:rPr>
        <w:t>nguyenvu19hc@gmail.com.</w:t>
      </w:r>
    </w:p>
    <w:p w14:paraId="26720C6F" w14:textId="77777777" w:rsidR="002F541E" w:rsidRPr="005E6B7C" w:rsidRDefault="002F541E" w:rsidP="008C0D47">
      <w:pPr>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February 10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13</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0053C4E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shd w:val="clear" w:color="auto" w:fill="FFFFFF"/>
          <w:lang w:eastAsia="ja-JP"/>
        </w:rPr>
      </w:pPr>
      <w:r w:rsidRPr="005E6B7C">
        <w:rPr>
          <w:rFonts w:asciiTheme="majorHAnsi" w:eastAsia="Yu Mincho" w:hAnsiTheme="majorHAnsi" w:cstheme="majorHAnsi"/>
          <w:b/>
          <w:bCs/>
          <w:color w:val="000000" w:themeColor="text1"/>
          <w:sz w:val="18"/>
          <w:szCs w:val="18"/>
          <w:shd w:val="clear" w:color="auto" w:fill="FFFFFF"/>
          <w:lang w:eastAsia="ja-JP"/>
        </w:rPr>
        <w:t>Summary</w:t>
      </w:r>
    </w:p>
    <w:p w14:paraId="28B5D62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en-GB" w:eastAsia="ja-JP"/>
        </w:rPr>
        <w:t xml:space="preserve">Phytochemical studies of the </w:t>
      </w:r>
      <w:r w:rsidRPr="005E6B7C">
        <w:rPr>
          <w:rFonts w:asciiTheme="majorHAnsi" w:eastAsia="Yu Mincho" w:hAnsiTheme="majorHAnsi" w:cstheme="majorHAnsi"/>
          <w:i/>
          <w:iCs/>
          <w:color w:val="000000" w:themeColor="text1"/>
          <w:sz w:val="18"/>
          <w:szCs w:val="18"/>
          <w:lang w:val="en-GB" w:eastAsia="ja-JP"/>
        </w:rPr>
        <w:t>n</w:t>
      </w:r>
      <w:r w:rsidRPr="005E6B7C">
        <w:rPr>
          <w:rFonts w:asciiTheme="majorHAnsi" w:eastAsia="Yu Mincho" w:hAnsiTheme="majorHAnsi" w:cstheme="majorHAnsi"/>
          <w:color w:val="000000" w:themeColor="text1"/>
          <w:sz w:val="18"/>
          <w:szCs w:val="18"/>
          <w:lang w:val="en-GB" w:eastAsia="ja-JP"/>
        </w:rPr>
        <w:t xml:space="preserve">-hexane and ethyl acetate fractions from aerial parts of </w:t>
      </w:r>
      <w:r w:rsidRPr="005E6B7C">
        <w:rPr>
          <w:rFonts w:asciiTheme="majorHAnsi" w:eastAsia="Yu Mincho" w:hAnsiTheme="majorHAnsi" w:cstheme="majorHAnsi"/>
          <w:i/>
          <w:iCs/>
          <w:color w:val="000000" w:themeColor="text1"/>
          <w:sz w:val="18"/>
          <w:szCs w:val="18"/>
          <w:lang w:val="en-GB" w:eastAsia="ja-JP"/>
        </w:rPr>
        <w:t>Barleria lupulina</w:t>
      </w:r>
      <w:r w:rsidRPr="005E6B7C">
        <w:rPr>
          <w:rFonts w:asciiTheme="majorHAnsi" w:eastAsia="Yu Mincho" w:hAnsiTheme="majorHAnsi" w:cstheme="majorHAnsi"/>
          <w:color w:val="000000" w:themeColor="text1"/>
          <w:sz w:val="18"/>
          <w:szCs w:val="18"/>
          <w:lang w:val="en-GB" w:eastAsia="ja-JP"/>
        </w:rPr>
        <w:t xml:space="preserve"> L. (Acanthaceae) collected in Cu Chi, Ho Chi Minh city, Vietnam, led to the isolation and identification of six known compounds, including </w:t>
      </w:r>
      <w:r w:rsidRPr="005E6B7C">
        <w:rPr>
          <w:rFonts w:asciiTheme="majorHAnsi" w:eastAsia="Times New Roman" w:hAnsiTheme="majorHAnsi" w:cstheme="majorHAnsi"/>
          <w:color w:val="000000" w:themeColor="text1"/>
          <w:sz w:val="18"/>
          <w:szCs w:val="18"/>
          <w:lang w:eastAsia="ja-JP"/>
        </w:rPr>
        <w:t>(+)-lyoniresinol (</w:t>
      </w:r>
      <w:r w:rsidRPr="005E6B7C">
        <w:rPr>
          <w:rFonts w:asciiTheme="majorHAnsi" w:eastAsia="Times New Roman" w:hAnsiTheme="majorHAnsi" w:cstheme="majorHAnsi"/>
          <w:b/>
          <w:color w:val="000000" w:themeColor="text1"/>
          <w:sz w:val="18"/>
          <w:szCs w:val="18"/>
          <w:lang w:eastAsia="ja-JP"/>
        </w:rPr>
        <w:t>1</w:t>
      </w:r>
      <w:r w:rsidRPr="005E6B7C">
        <w:rPr>
          <w:rFonts w:asciiTheme="majorHAnsi" w:eastAsia="Times New Roman"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en-GB" w:eastAsia="ja-JP"/>
        </w:rPr>
        <w:t xml:space="preserve">, </w:t>
      </w:r>
      <w:r w:rsidRPr="005E6B7C">
        <w:rPr>
          <w:rFonts w:asciiTheme="majorHAnsi" w:eastAsia="Times New Roman" w:hAnsiTheme="majorHAnsi" w:cstheme="majorHAnsi"/>
          <w:color w:val="000000" w:themeColor="text1"/>
          <w:sz w:val="18"/>
          <w:szCs w:val="18"/>
          <w:lang w:eastAsia="ja-JP"/>
        </w:rPr>
        <w:t>(+)-lyoniresinol 9ʹ-</w:t>
      </w:r>
      <w:r w:rsidRPr="005E6B7C">
        <w:rPr>
          <w:rFonts w:asciiTheme="majorHAnsi" w:eastAsia="Times New Roman" w:hAnsiTheme="majorHAnsi" w:cstheme="majorHAnsi"/>
          <w:i/>
          <w:iCs/>
          <w:color w:val="000000" w:themeColor="text1"/>
          <w:sz w:val="18"/>
          <w:szCs w:val="18"/>
          <w:lang w:eastAsia="ja-JP"/>
        </w:rPr>
        <w:t>O</w:t>
      </w:r>
      <w:r w:rsidRPr="005E6B7C">
        <w:rPr>
          <w:rFonts w:asciiTheme="majorHAnsi" w:eastAsia="Times New Roman" w:hAnsiTheme="majorHAnsi" w:cstheme="majorHAnsi"/>
          <w:color w:val="000000" w:themeColor="text1"/>
          <w:sz w:val="18"/>
          <w:szCs w:val="18"/>
          <w:lang w:eastAsia="ja-JP"/>
        </w:rPr>
        <w:t>-</w:t>
      </w:r>
      <w:r w:rsidRPr="005E6B7C">
        <w:rPr>
          <w:rFonts w:asciiTheme="majorHAnsi" w:eastAsia="Times New Roman" w:hAnsiTheme="majorHAnsi" w:cstheme="majorHAnsi"/>
          <w:i/>
          <w:iCs/>
          <w:color w:val="000000" w:themeColor="text1"/>
          <w:sz w:val="18"/>
          <w:szCs w:val="18"/>
          <w:lang w:eastAsia="ja-JP"/>
        </w:rPr>
        <w:t>β</w:t>
      </w:r>
      <w:r w:rsidRPr="005E6B7C">
        <w:rPr>
          <w:rFonts w:asciiTheme="majorHAnsi" w:eastAsia="Times New Roman" w:hAnsiTheme="majorHAnsi" w:cstheme="majorHAnsi"/>
          <w:color w:val="000000" w:themeColor="text1"/>
          <w:sz w:val="18"/>
          <w:szCs w:val="18"/>
          <w:lang w:eastAsia="ja-JP"/>
        </w:rPr>
        <w:t>-D-glucopyranoside (</w:t>
      </w:r>
      <w:r w:rsidRPr="005E6B7C">
        <w:rPr>
          <w:rFonts w:asciiTheme="majorHAnsi" w:eastAsia="Times New Roman" w:hAnsiTheme="majorHAnsi" w:cstheme="majorHAnsi"/>
          <w:b/>
          <w:color w:val="000000" w:themeColor="text1"/>
          <w:sz w:val="18"/>
          <w:szCs w:val="18"/>
          <w:lang w:eastAsia="ja-JP"/>
        </w:rPr>
        <w:t>2</w:t>
      </w:r>
      <w:r w:rsidRPr="005E6B7C">
        <w:rPr>
          <w:rFonts w:asciiTheme="majorHAnsi" w:eastAsia="Times New Roman" w:hAnsiTheme="majorHAnsi" w:cstheme="majorHAnsi"/>
          <w:color w:val="000000" w:themeColor="text1"/>
          <w:sz w:val="18"/>
          <w:szCs w:val="18"/>
          <w:lang w:eastAsia="ja-JP"/>
        </w:rPr>
        <w:t>), 2-methyl-1,3,6-trihydroxy-9,10-anthraquinone 3-</w:t>
      </w:r>
      <w:r w:rsidRPr="005E6B7C">
        <w:rPr>
          <w:rFonts w:asciiTheme="majorHAnsi" w:eastAsia="Times New Roman" w:hAnsiTheme="majorHAnsi" w:cstheme="majorHAnsi"/>
          <w:i/>
          <w:iCs/>
          <w:color w:val="000000" w:themeColor="text1"/>
          <w:sz w:val="18"/>
          <w:szCs w:val="18"/>
          <w:lang w:eastAsia="ja-JP"/>
        </w:rPr>
        <w:t>O</w:t>
      </w:r>
      <w:r w:rsidRPr="005E6B7C">
        <w:rPr>
          <w:rFonts w:asciiTheme="majorHAnsi" w:eastAsia="Times New Roman" w:hAnsiTheme="majorHAnsi" w:cstheme="majorHAnsi"/>
          <w:color w:val="000000" w:themeColor="text1"/>
          <w:sz w:val="18"/>
          <w:szCs w:val="18"/>
          <w:lang w:eastAsia="ja-JP"/>
        </w:rPr>
        <w:t>-</w:t>
      </w:r>
      <w:r w:rsidRPr="005E6B7C">
        <w:rPr>
          <w:rFonts w:asciiTheme="majorHAnsi" w:eastAsia="Times New Roman" w:hAnsiTheme="majorHAnsi" w:cstheme="majorHAnsi"/>
          <w:i/>
          <w:iCs/>
          <w:color w:val="000000" w:themeColor="text1"/>
          <w:sz w:val="18"/>
          <w:szCs w:val="18"/>
          <w:lang w:eastAsia="ja-JP"/>
        </w:rPr>
        <w:t>β</w:t>
      </w:r>
      <w:r w:rsidRPr="005E6B7C">
        <w:rPr>
          <w:rFonts w:asciiTheme="majorHAnsi" w:eastAsia="Times New Roman" w:hAnsiTheme="majorHAnsi" w:cstheme="majorHAnsi"/>
          <w:color w:val="000000" w:themeColor="text1"/>
          <w:sz w:val="18"/>
          <w:szCs w:val="18"/>
          <w:lang w:eastAsia="ja-JP"/>
        </w:rPr>
        <w:t>-D-glucopyranoside (</w:t>
      </w:r>
      <w:r w:rsidRPr="005E6B7C">
        <w:rPr>
          <w:rFonts w:asciiTheme="majorHAnsi" w:eastAsia="Times New Roman" w:hAnsiTheme="majorHAnsi" w:cstheme="majorHAnsi"/>
          <w:b/>
          <w:color w:val="000000" w:themeColor="text1"/>
          <w:sz w:val="18"/>
          <w:szCs w:val="18"/>
          <w:lang w:eastAsia="ja-JP"/>
        </w:rPr>
        <w:t>3</w:t>
      </w:r>
      <w:r w:rsidRPr="005E6B7C">
        <w:rPr>
          <w:rFonts w:asciiTheme="majorHAnsi" w:eastAsia="Times New Roman" w:hAnsiTheme="majorHAnsi" w:cstheme="majorHAnsi"/>
          <w:color w:val="000000" w:themeColor="text1"/>
          <w:sz w:val="18"/>
          <w:szCs w:val="18"/>
          <w:lang w:eastAsia="ja-JP"/>
        </w:rPr>
        <w:t>), (3</w:t>
      </w:r>
      <w:r w:rsidRPr="005E6B7C">
        <w:rPr>
          <w:rFonts w:asciiTheme="majorHAnsi" w:eastAsia="Times New Roman" w:hAnsiTheme="majorHAnsi" w:cstheme="majorHAnsi"/>
          <w:i/>
          <w:iCs/>
          <w:color w:val="000000" w:themeColor="text1"/>
          <w:sz w:val="18"/>
          <w:szCs w:val="18"/>
          <w:lang w:eastAsia="ja-JP"/>
        </w:rPr>
        <w:t>S</w:t>
      </w:r>
      <w:r w:rsidRPr="005E6B7C">
        <w:rPr>
          <w:rFonts w:asciiTheme="majorHAnsi" w:eastAsia="Times New Roman" w:hAnsiTheme="majorHAnsi" w:cstheme="majorHAnsi"/>
          <w:color w:val="000000" w:themeColor="text1"/>
          <w:sz w:val="18"/>
          <w:szCs w:val="18"/>
          <w:lang w:eastAsia="ja-JP"/>
        </w:rPr>
        <w:t>)-l-octene-3-ol 3-</w:t>
      </w:r>
      <w:r w:rsidRPr="005E6B7C">
        <w:rPr>
          <w:rFonts w:asciiTheme="majorHAnsi" w:eastAsia="Times New Roman" w:hAnsiTheme="majorHAnsi" w:cstheme="majorHAnsi"/>
          <w:i/>
          <w:iCs/>
          <w:color w:val="000000" w:themeColor="text1"/>
          <w:sz w:val="18"/>
          <w:szCs w:val="18"/>
          <w:lang w:eastAsia="ja-JP"/>
        </w:rPr>
        <w:t>O</w:t>
      </w:r>
      <w:r w:rsidRPr="005E6B7C">
        <w:rPr>
          <w:rFonts w:asciiTheme="majorHAnsi" w:eastAsia="Times New Roman" w:hAnsiTheme="majorHAnsi" w:cstheme="majorHAnsi"/>
          <w:color w:val="000000" w:themeColor="text1"/>
          <w:sz w:val="18"/>
          <w:szCs w:val="18"/>
          <w:lang w:eastAsia="ja-JP"/>
        </w:rPr>
        <w:t>-</w:t>
      </w:r>
      <w:r w:rsidRPr="005E6B7C">
        <w:rPr>
          <w:rFonts w:asciiTheme="majorHAnsi" w:eastAsia="Times New Roman" w:hAnsiTheme="majorHAnsi" w:cstheme="majorHAnsi"/>
          <w:i/>
          <w:iCs/>
          <w:color w:val="000000" w:themeColor="text1"/>
          <w:sz w:val="18"/>
          <w:szCs w:val="18"/>
          <w:lang w:eastAsia="ja-JP"/>
        </w:rPr>
        <w:t>β</w:t>
      </w:r>
      <w:r w:rsidRPr="005E6B7C">
        <w:rPr>
          <w:rFonts w:asciiTheme="majorHAnsi" w:eastAsia="Times New Roman" w:hAnsiTheme="majorHAnsi" w:cstheme="majorHAnsi"/>
          <w:color w:val="000000" w:themeColor="text1"/>
          <w:sz w:val="18"/>
          <w:szCs w:val="18"/>
          <w:lang w:eastAsia="ja-JP"/>
        </w:rPr>
        <w:t>-D-glucopyranoside (</w:t>
      </w:r>
      <w:r w:rsidRPr="005E6B7C">
        <w:rPr>
          <w:rFonts w:asciiTheme="majorHAnsi" w:eastAsia="Times New Roman" w:hAnsiTheme="majorHAnsi" w:cstheme="majorHAnsi"/>
          <w:b/>
          <w:color w:val="000000" w:themeColor="text1"/>
          <w:sz w:val="18"/>
          <w:szCs w:val="18"/>
          <w:lang w:eastAsia="ja-JP"/>
        </w:rPr>
        <w:t>4</w:t>
      </w:r>
      <w:r w:rsidRPr="005E6B7C">
        <w:rPr>
          <w:rFonts w:asciiTheme="majorHAnsi" w:eastAsia="Times New Roman" w:hAnsiTheme="majorHAnsi" w:cstheme="majorHAnsi"/>
          <w:color w:val="000000" w:themeColor="text1"/>
          <w:sz w:val="18"/>
          <w:szCs w:val="18"/>
          <w:lang w:eastAsia="ja-JP"/>
        </w:rPr>
        <w:t>), uracil (</w:t>
      </w:r>
      <w:r w:rsidRPr="005E6B7C">
        <w:rPr>
          <w:rFonts w:asciiTheme="majorHAnsi" w:eastAsia="Times New Roman" w:hAnsiTheme="majorHAnsi" w:cstheme="majorHAnsi"/>
          <w:b/>
          <w:color w:val="000000" w:themeColor="text1"/>
          <w:sz w:val="18"/>
          <w:szCs w:val="18"/>
          <w:lang w:eastAsia="ja-JP"/>
        </w:rPr>
        <w:t>5</w:t>
      </w:r>
      <w:r w:rsidRPr="005E6B7C">
        <w:rPr>
          <w:rFonts w:asciiTheme="majorHAnsi" w:eastAsia="Times New Roman" w:hAnsiTheme="majorHAnsi" w:cstheme="majorHAnsi"/>
          <w:color w:val="000000" w:themeColor="text1"/>
          <w:sz w:val="18"/>
          <w:szCs w:val="18"/>
          <w:lang w:eastAsia="ja-JP"/>
        </w:rPr>
        <w:t xml:space="preserve">) and </w:t>
      </w:r>
      <w:r w:rsidRPr="005E6B7C">
        <w:rPr>
          <w:rFonts w:asciiTheme="majorHAnsi" w:eastAsia="Yu Mincho" w:hAnsiTheme="majorHAnsi" w:cstheme="majorHAnsi"/>
          <w:color w:val="000000" w:themeColor="text1"/>
          <w:sz w:val="18"/>
          <w:szCs w:val="18"/>
          <w:lang w:val="en-GB" w:eastAsia="ja-JP"/>
        </w:rPr>
        <w:t>stigmasterol (</w:t>
      </w:r>
      <w:r w:rsidRPr="005E6B7C">
        <w:rPr>
          <w:rFonts w:asciiTheme="majorHAnsi" w:eastAsia="Yu Mincho" w:hAnsiTheme="majorHAnsi" w:cstheme="majorHAnsi"/>
          <w:b/>
          <w:color w:val="000000" w:themeColor="text1"/>
          <w:sz w:val="18"/>
          <w:szCs w:val="18"/>
          <w:lang w:val="en-GB" w:eastAsia="ja-JP"/>
        </w:rPr>
        <w:t>6</w:t>
      </w:r>
      <w:r w:rsidRPr="005E6B7C">
        <w:rPr>
          <w:rFonts w:asciiTheme="majorHAnsi" w:eastAsia="Yu Mincho" w:hAnsiTheme="majorHAnsi" w:cstheme="majorHAnsi"/>
          <w:color w:val="000000" w:themeColor="text1"/>
          <w:sz w:val="18"/>
          <w:szCs w:val="18"/>
          <w:lang w:val="en-GB" w:eastAsia="ja-JP"/>
        </w:rPr>
        <w:t>). The structures of the isolated compounds were determined on the basis of detailed spectroscopic (MS and NMR) analysis and comparison with reported literature.</w:t>
      </w:r>
      <w:r w:rsidRPr="005E6B7C">
        <w:rPr>
          <w:rFonts w:asciiTheme="majorHAnsi" w:eastAsia="Yu Mincho" w:hAnsiTheme="majorHAnsi" w:cstheme="majorHAnsi"/>
          <w:color w:val="000000" w:themeColor="text1"/>
          <w:sz w:val="18"/>
          <w:szCs w:val="18"/>
          <w:lang w:eastAsia="ja-JP"/>
        </w:rPr>
        <w:t xml:space="preserve"> Compounds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3</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4</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eastAsia="ja-JP"/>
        </w:rPr>
        <w:t>and</w:t>
      </w:r>
      <w:r w:rsidRPr="005E6B7C">
        <w:rPr>
          <w:rFonts w:asciiTheme="majorHAnsi" w:eastAsia="Yu Mincho" w:hAnsiTheme="majorHAnsi" w:cstheme="majorHAnsi"/>
          <w:b/>
          <w:bCs/>
          <w:color w:val="000000" w:themeColor="text1"/>
          <w:sz w:val="18"/>
          <w:szCs w:val="18"/>
          <w:lang w:eastAsia="ja-JP"/>
        </w:rPr>
        <w:t xml:space="preserve"> 5</w:t>
      </w:r>
      <w:r w:rsidRPr="005E6B7C">
        <w:rPr>
          <w:rFonts w:asciiTheme="majorHAnsi" w:eastAsia="Yu Mincho" w:hAnsiTheme="majorHAnsi" w:cstheme="majorHAnsi"/>
          <w:color w:val="000000" w:themeColor="text1"/>
          <w:sz w:val="18"/>
          <w:szCs w:val="18"/>
          <w:lang w:eastAsia="ja-JP"/>
        </w:rPr>
        <w:t xml:space="preserve"> were found for the first time from the </w:t>
      </w:r>
      <w:r w:rsidRPr="005E6B7C">
        <w:rPr>
          <w:rFonts w:asciiTheme="majorHAnsi" w:eastAsia="Yu Mincho" w:hAnsiTheme="majorHAnsi" w:cstheme="majorHAnsi"/>
          <w:bCs/>
          <w:i/>
          <w:color w:val="000000" w:themeColor="text1"/>
          <w:sz w:val="18"/>
          <w:szCs w:val="18"/>
          <w:lang w:eastAsia="ja-JP"/>
        </w:rPr>
        <w:t>Barleria</w:t>
      </w:r>
      <w:r w:rsidRPr="005E6B7C">
        <w:rPr>
          <w:rFonts w:asciiTheme="majorHAnsi" w:eastAsia="Yu Mincho" w:hAnsiTheme="majorHAnsi" w:cstheme="majorHAnsi"/>
          <w:bCs/>
          <w:color w:val="000000" w:themeColor="text1"/>
          <w:sz w:val="18"/>
          <w:szCs w:val="18"/>
          <w:lang w:eastAsia="ja-JP"/>
        </w:rPr>
        <w:t xml:space="preserve"> genus.</w:t>
      </w:r>
    </w:p>
    <w:p w14:paraId="62E5F9F3"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Barleria lupulina;</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 xml:space="preserve">Lignan; Anthraquinone; Sterol. </w:t>
      </w:r>
    </w:p>
    <w:p w14:paraId="2BB2CEB3" w14:textId="77777777" w:rsidR="00685C8E" w:rsidRPr="005E6B7C" w:rsidRDefault="00685C8E" w:rsidP="008C0D47">
      <w:pPr>
        <w:tabs>
          <w:tab w:val="left" w:pos="270"/>
          <w:tab w:val="left" w:pos="540"/>
          <w:tab w:val="left" w:pos="9270"/>
        </w:tabs>
        <w:ind w:right="-20"/>
        <w:contextualSpacing/>
        <w:jc w:val="both"/>
        <w:rPr>
          <w:rFonts w:asciiTheme="majorHAnsi" w:eastAsia="Yu Mincho" w:hAnsiTheme="majorHAnsi" w:cstheme="majorHAnsi"/>
          <w:b/>
          <w:bCs/>
          <w:color w:val="000000" w:themeColor="text1"/>
          <w:sz w:val="22"/>
          <w:szCs w:val="22"/>
          <w:lang w:eastAsia="ja-JP"/>
        </w:rPr>
      </w:pPr>
    </w:p>
    <w:p w14:paraId="05B06054" w14:textId="77777777" w:rsidR="00207C22" w:rsidRPr="005E6B7C" w:rsidRDefault="00207C22" w:rsidP="008C0D47">
      <w:pPr>
        <w:tabs>
          <w:tab w:val="left" w:pos="270"/>
          <w:tab w:val="left" w:pos="540"/>
          <w:tab w:val="left" w:pos="9270"/>
        </w:tabs>
        <w:spacing w:line="260" w:lineRule="exact"/>
        <w:ind w:firstLine="284"/>
        <w:contextualSpacing/>
        <w:jc w:val="both"/>
        <w:rPr>
          <w:rFonts w:asciiTheme="majorHAnsi" w:eastAsia="Yu Mincho" w:hAnsiTheme="majorHAnsi" w:cstheme="majorHAnsi"/>
          <w:b/>
          <w:bCs/>
          <w:color w:val="000000" w:themeColor="text1"/>
          <w:sz w:val="22"/>
          <w:szCs w:val="22"/>
          <w:lang w:eastAsia="ja-JP"/>
        </w:rPr>
        <w:sectPr w:rsidR="00207C22" w:rsidRPr="005E6B7C" w:rsidSect="002206BB">
          <w:type w:val="continuous"/>
          <w:pgSz w:w="10773" w:h="15309" w:code="9"/>
          <w:pgMar w:top="907" w:right="851" w:bottom="1418" w:left="851" w:header="397" w:footer="851" w:gutter="0"/>
          <w:cols w:space="284"/>
          <w:docGrid w:linePitch="360"/>
        </w:sectPr>
      </w:pPr>
    </w:p>
    <w:p w14:paraId="5A6C2BF0" w14:textId="77777777" w:rsidR="00E049CB" w:rsidRPr="005E6B7C" w:rsidRDefault="00E049CB" w:rsidP="008C0D47">
      <w:pPr>
        <w:tabs>
          <w:tab w:val="left" w:pos="270"/>
          <w:tab w:val="left" w:pos="540"/>
          <w:tab w:val="left" w:pos="9270"/>
        </w:tabs>
        <w:spacing w:line="264" w:lineRule="exact"/>
        <w:ind w:firstLine="284"/>
        <w:contextualSpacing/>
        <w:jc w:val="both"/>
        <w:rPr>
          <w:rFonts w:asciiTheme="majorHAnsi" w:eastAsia="Times New Roman" w:hAnsiTheme="majorHAnsi" w:cstheme="majorHAnsi"/>
          <w:color w:val="000000" w:themeColor="text1"/>
          <w:sz w:val="22"/>
          <w:szCs w:val="22"/>
        </w:rPr>
      </w:pPr>
      <w:r w:rsidRPr="005E6B7C">
        <w:rPr>
          <w:rFonts w:asciiTheme="majorHAnsi" w:eastAsia="Yu Mincho" w:hAnsiTheme="majorHAnsi" w:cstheme="majorHAnsi"/>
          <w:b/>
          <w:bCs/>
          <w:color w:val="000000" w:themeColor="text1"/>
          <w:sz w:val="22"/>
          <w:szCs w:val="22"/>
          <w:lang w:eastAsia="ja-JP"/>
        </w:rPr>
        <w:t>1. Introduction</w:t>
      </w:r>
    </w:p>
    <w:p w14:paraId="02DE8396" w14:textId="77777777" w:rsidR="00E049CB" w:rsidRPr="005E6B7C" w:rsidRDefault="00E049CB" w:rsidP="008C0D47">
      <w:pPr>
        <w:tabs>
          <w:tab w:val="left" w:pos="270"/>
          <w:tab w:val="left" w:pos="540"/>
          <w:tab w:val="left" w:pos="9270"/>
        </w:tabs>
        <w:spacing w:line="264"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Genus </w:t>
      </w:r>
      <w:r w:rsidRPr="005E6B7C">
        <w:rPr>
          <w:rFonts w:asciiTheme="majorHAnsi" w:eastAsia="Times New Roman" w:hAnsiTheme="majorHAnsi" w:cstheme="majorHAnsi"/>
          <w:i/>
          <w:iCs/>
          <w:color w:val="000000" w:themeColor="text1"/>
          <w:sz w:val="22"/>
          <w:szCs w:val="22"/>
        </w:rPr>
        <w:t>Barleria</w:t>
      </w:r>
      <w:r w:rsidRPr="005E6B7C">
        <w:rPr>
          <w:rFonts w:asciiTheme="majorHAnsi" w:eastAsia="Times New Roman" w:hAnsiTheme="majorHAnsi" w:cstheme="majorHAnsi"/>
          <w:color w:val="000000" w:themeColor="text1"/>
          <w:sz w:val="22"/>
          <w:szCs w:val="22"/>
        </w:rPr>
        <w:t xml:space="preserve"> (Acanthaceae), which comprises over 300 species </w:t>
      </w:r>
      <w:r w:rsidRPr="005E6B7C">
        <w:rPr>
          <w:rFonts w:asciiTheme="majorHAnsi" w:eastAsia="Yu Mincho" w:hAnsiTheme="majorHAnsi" w:cstheme="majorHAnsi"/>
          <w:color w:val="000000" w:themeColor="text1"/>
          <w:sz w:val="22"/>
          <w:szCs w:val="22"/>
          <w:lang w:eastAsia="ja-JP"/>
        </w:rPr>
        <w:t>of herbs and shrubs</w:t>
      </w:r>
      <w:r w:rsidRPr="005E6B7C">
        <w:rPr>
          <w:rFonts w:asciiTheme="majorHAnsi" w:eastAsia="Times New Roman" w:hAnsiTheme="majorHAnsi" w:cstheme="majorHAnsi"/>
          <w:color w:val="000000" w:themeColor="text1"/>
          <w:sz w:val="22"/>
          <w:szCs w:val="22"/>
        </w:rPr>
        <w:t xml:space="preserve">, has been traditionally utilized across various countries for treating a wide range of ailments [1]. </w:t>
      </w:r>
      <w:r w:rsidRPr="005E6B7C">
        <w:rPr>
          <w:rFonts w:asciiTheme="majorHAnsi" w:eastAsia="Times New Roman" w:hAnsiTheme="majorHAnsi" w:cstheme="majorHAnsi"/>
          <w:i/>
          <w:iCs/>
          <w:color w:val="000000" w:themeColor="text1"/>
          <w:sz w:val="22"/>
          <w:szCs w:val="22"/>
        </w:rPr>
        <w:t>Barleria lupulina</w:t>
      </w:r>
      <w:r w:rsidRPr="005E6B7C">
        <w:rPr>
          <w:rFonts w:asciiTheme="majorHAnsi" w:eastAsia="Times New Roman" w:hAnsiTheme="majorHAnsi" w:cstheme="majorHAnsi"/>
          <w:color w:val="000000" w:themeColor="text1"/>
          <w:sz w:val="22"/>
          <w:szCs w:val="22"/>
        </w:rPr>
        <w:t xml:space="preserve"> L., commonly known as hop-headed barleria, is one species recognized for its decorative and medicinal value. Traditionally, different parts of the plant have been employed in Asian countries, such as India, Thailand, and Indonesia, for the treatment of diabetes, rheumatoid arthritis, inflammation, skin infections, and mental strain [2]. In Vietnam, the leaves of </w:t>
      </w:r>
      <w:r w:rsidRPr="005E6B7C">
        <w:rPr>
          <w:rFonts w:asciiTheme="majorHAnsi" w:eastAsia="Times New Roman" w:hAnsiTheme="majorHAnsi" w:cstheme="majorHAnsi"/>
          <w:i/>
          <w:iCs/>
          <w:color w:val="000000" w:themeColor="text1"/>
          <w:sz w:val="22"/>
          <w:szCs w:val="22"/>
        </w:rPr>
        <w:t>B. lupulina</w:t>
      </w:r>
      <w:r w:rsidRPr="005E6B7C">
        <w:rPr>
          <w:rFonts w:asciiTheme="majorHAnsi" w:eastAsia="Times New Roman" w:hAnsiTheme="majorHAnsi" w:cstheme="majorHAnsi"/>
          <w:color w:val="000000" w:themeColor="text1"/>
          <w:sz w:val="22"/>
          <w:szCs w:val="22"/>
        </w:rPr>
        <w:t xml:space="preserve"> have been applied in case of snakebites and fever [3]. Recent phytochemical studies have revealed that </w:t>
      </w:r>
      <w:r w:rsidRPr="005E6B7C">
        <w:rPr>
          <w:rFonts w:asciiTheme="majorHAnsi" w:eastAsia="Times New Roman" w:hAnsiTheme="majorHAnsi" w:cstheme="majorHAnsi"/>
          <w:i/>
          <w:iCs/>
          <w:color w:val="000000" w:themeColor="text1"/>
          <w:sz w:val="22"/>
          <w:szCs w:val="22"/>
        </w:rPr>
        <w:t>B. lupulina</w:t>
      </w:r>
      <w:r w:rsidRPr="005E6B7C">
        <w:rPr>
          <w:rFonts w:asciiTheme="majorHAnsi" w:eastAsia="Times New Roman" w:hAnsiTheme="majorHAnsi" w:cstheme="majorHAnsi"/>
          <w:color w:val="000000" w:themeColor="text1"/>
          <w:sz w:val="22"/>
          <w:szCs w:val="22"/>
        </w:rPr>
        <w:t xml:space="preserve"> is a rich source of diverse bioactive compounds, predominantly iridoid glycosides, phenylethanoid glycosides, phenylpropanoid glycosides, and phenolic compounds [2],[4],[5],[6]. These isolated constituents are associated with a broad spectrum of pharmacological activities, including antibacterial, anti-inflammatory, anti-arthritic, anti-diabetic, antioxidant, anti-osteoporotic, anti-ulcer, and neuroprotective effects [2],[7],[8],[9]. </w:t>
      </w:r>
    </w:p>
    <w:p w14:paraId="2D6ACC76" w14:textId="32C8742D" w:rsidR="00E049CB" w:rsidRPr="005E6B7C" w:rsidRDefault="00E049CB" w:rsidP="008C0D47">
      <w:pPr>
        <w:tabs>
          <w:tab w:val="left" w:pos="270"/>
          <w:tab w:val="left" w:pos="540"/>
          <w:tab w:val="left" w:pos="9270"/>
        </w:tabs>
        <w:spacing w:line="264"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Despite promising traditional uses and preliminary scientific validation, the chemical investigations of </w:t>
      </w:r>
      <w:r w:rsidRPr="005E6B7C">
        <w:rPr>
          <w:rFonts w:asciiTheme="majorHAnsi" w:eastAsia="Times New Roman" w:hAnsiTheme="majorHAnsi" w:cstheme="majorHAnsi"/>
          <w:i/>
          <w:iCs/>
          <w:color w:val="000000" w:themeColor="text1"/>
          <w:sz w:val="22"/>
          <w:szCs w:val="22"/>
        </w:rPr>
        <w:t>B. lupulina</w:t>
      </w:r>
      <w:r w:rsidRPr="005E6B7C">
        <w:rPr>
          <w:rFonts w:asciiTheme="majorHAnsi" w:eastAsia="Times New Roman" w:hAnsiTheme="majorHAnsi" w:cstheme="majorHAnsi"/>
          <w:color w:val="000000" w:themeColor="text1"/>
          <w:sz w:val="22"/>
          <w:szCs w:val="22"/>
        </w:rPr>
        <w:t xml:space="preserve"> in Vietnam are still </w:t>
      </w:r>
      <w:r w:rsidRPr="005E6B7C">
        <w:rPr>
          <w:rFonts w:asciiTheme="majorHAnsi" w:eastAsia="Times New Roman" w:hAnsiTheme="majorHAnsi" w:cstheme="majorHAnsi"/>
          <w:color w:val="000000" w:themeColor="text1"/>
          <w:sz w:val="22"/>
          <w:szCs w:val="22"/>
        </w:rPr>
        <w:t xml:space="preserve">limited [5],[6],[7]. Preliminary biological screening results showed that the </w:t>
      </w:r>
      <w:r w:rsidRPr="005E6B7C">
        <w:rPr>
          <w:rFonts w:asciiTheme="majorHAnsi" w:eastAsia="Yu Mincho" w:hAnsiTheme="majorHAnsi" w:cstheme="majorHAnsi"/>
          <w:i/>
          <w:iCs/>
          <w:color w:val="000000" w:themeColor="text1"/>
          <w:sz w:val="22"/>
          <w:szCs w:val="22"/>
          <w:lang w:val="en-GB" w:eastAsia="ja-JP"/>
        </w:rPr>
        <w:t>n</w:t>
      </w:r>
      <w:r w:rsidRPr="005E6B7C">
        <w:rPr>
          <w:rFonts w:asciiTheme="majorHAnsi" w:eastAsia="Yu Mincho" w:hAnsiTheme="majorHAnsi" w:cstheme="majorHAnsi"/>
          <w:color w:val="000000" w:themeColor="text1"/>
          <w:sz w:val="22"/>
          <w:szCs w:val="22"/>
          <w:lang w:val="en-GB" w:eastAsia="ja-JP"/>
        </w:rPr>
        <w:t>-hexane and ethyl acetate extracts</w:t>
      </w:r>
      <w:r w:rsidRPr="005E6B7C">
        <w:rPr>
          <w:rFonts w:asciiTheme="majorHAnsi" w:eastAsia="Times New Roman" w:hAnsiTheme="majorHAnsi" w:cstheme="majorHAnsi"/>
          <w:color w:val="000000" w:themeColor="text1"/>
          <w:sz w:val="22"/>
          <w:szCs w:val="22"/>
        </w:rPr>
        <w:t xml:space="preserve"> </w:t>
      </w:r>
      <w:r w:rsidRPr="005E6B7C">
        <w:rPr>
          <w:rFonts w:asciiTheme="majorHAnsi" w:eastAsia="Yu Mincho" w:hAnsiTheme="majorHAnsi" w:cstheme="majorHAnsi"/>
          <w:color w:val="000000" w:themeColor="text1"/>
          <w:sz w:val="22"/>
          <w:szCs w:val="22"/>
          <w:lang w:val="en-GB" w:eastAsia="ja-JP"/>
        </w:rPr>
        <w:t xml:space="preserve">from the </w:t>
      </w:r>
      <w:r w:rsidRPr="005E6B7C">
        <w:rPr>
          <w:rFonts w:asciiTheme="majorHAnsi" w:eastAsia="Yu Mincho" w:hAnsiTheme="majorHAnsi" w:cstheme="majorHAnsi"/>
          <w:i/>
          <w:iCs/>
          <w:color w:val="000000" w:themeColor="text1"/>
          <w:sz w:val="22"/>
          <w:szCs w:val="22"/>
          <w:lang w:val="en-GB" w:eastAsia="ja-JP"/>
        </w:rPr>
        <w:t>B. lupulina</w:t>
      </w:r>
      <w:r w:rsidRPr="005E6B7C">
        <w:rPr>
          <w:rFonts w:asciiTheme="majorHAnsi" w:eastAsia="Yu Mincho" w:hAnsiTheme="majorHAnsi" w:cstheme="majorHAnsi"/>
          <w:color w:val="000000" w:themeColor="text1"/>
          <w:sz w:val="22"/>
          <w:szCs w:val="22"/>
          <w:lang w:val="en-GB" w:eastAsia="ja-JP"/>
        </w:rPr>
        <w:t xml:space="preserve"> sample collected in Ho Chi Minh city</w:t>
      </w:r>
      <w:r w:rsidRPr="005E6B7C">
        <w:rPr>
          <w:rFonts w:asciiTheme="majorHAnsi" w:eastAsia="Times New Roman" w:hAnsiTheme="majorHAnsi" w:cstheme="majorHAnsi"/>
          <w:color w:val="000000" w:themeColor="text1"/>
          <w:sz w:val="22"/>
          <w:szCs w:val="22"/>
        </w:rPr>
        <w:t xml:space="preserve"> displayed potent anti-inflammatory activity, inhibiting 72-87% of NO-production in LPS-induced RAW264.7 cells at the concentration of 50 </w:t>
      </w:r>
      <w:r w:rsidR="00266B26" w:rsidRPr="005E6B7C">
        <w:rPr>
          <w:rFonts w:asciiTheme="majorHAnsi" w:eastAsia="Times New Roman" w:hAnsiTheme="majorHAnsi" w:cstheme="majorHAnsi"/>
          <w:i/>
          <w:iCs/>
          <w:color w:val="000000" w:themeColor="text1"/>
          <w:sz w:val="22"/>
          <w:szCs w:val="22"/>
        </w:rPr>
        <w:t>µ</w:t>
      </w:r>
      <w:r w:rsidRPr="005E6B7C">
        <w:rPr>
          <w:rFonts w:asciiTheme="majorHAnsi" w:eastAsia="Times New Roman" w:hAnsiTheme="majorHAnsi" w:cstheme="majorHAnsi"/>
          <w:color w:val="000000" w:themeColor="text1"/>
          <w:sz w:val="22"/>
          <w:szCs w:val="22"/>
        </w:rPr>
        <w:t xml:space="preserve">g/mL. Hence, our research paper aims to provide an isolation and identification of chemical constituents from </w:t>
      </w:r>
      <w:r w:rsidRPr="005E6B7C">
        <w:rPr>
          <w:rFonts w:asciiTheme="majorHAnsi" w:eastAsia="Yu Mincho" w:hAnsiTheme="majorHAnsi" w:cstheme="majorHAnsi"/>
          <w:i/>
          <w:iCs/>
          <w:color w:val="000000" w:themeColor="text1"/>
          <w:sz w:val="22"/>
          <w:szCs w:val="22"/>
          <w:lang w:val="en-GB" w:eastAsia="ja-JP"/>
        </w:rPr>
        <w:t>n</w:t>
      </w:r>
      <w:r w:rsidRPr="005E6B7C">
        <w:rPr>
          <w:rFonts w:asciiTheme="majorHAnsi" w:eastAsia="Yu Mincho" w:hAnsiTheme="majorHAnsi" w:cstheme="majorHAnsi"/>
          <w:color w:val="000000" w:themeColor="text1"/>
          <w:sz w:val="22"/>
          <w:szCs w:val="22"/>
          <w:lang w:val="en-GB" w:eastAsia="ja-JP"/>
        </w:rPr>
        <w:t xml:space="preserve">-hexane and ethyl acetate extracts, including </w:t>
      </w:r>
      <w:r w:rsidRPr="005E6B7C">
        <w:rPr>
          <w:rFonts w:asciiTheme="majorHAnsi" w:eastAsia="Times New Roman" w:hAnsiTheme="majorHAnsi" w:cstheme="majorHAnsi"/>
          <w:color w:val="000000" w:themeColor="text1"/>
          <w:sz w:val="22"/>
          <w:szCs w:val="22"/>
          <w:lang w:eastAsia="ja-JP"/>
        </w:rPr>
        <w:t>(+)-lyoniresinol (</w:t>
      </w:r>
      <w:r w:rsidRPr="005E6B7C">
        <w:rPr>
          <w:rFonts w:asciiTheme="majorHAnsi" w:eastAsia="Times New Roman" w:hAnsiTheme="majorHAnsi" w:cstheme="majorHAnsi"/>
          <w:b/>
          <w:color w:val="000000" w:themeColor="text1"/>
          <w:sz w:val="22"/>
          <w:szCs w:val="22"/>
          <w:lang w:eastAsia="ja-JP"/>
        </w:rPr>
        <w:t>1</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en-GB" w:eastAsia="ja-JP"/>
        </w:rPr>
        <w:t xml:space="preserve">, </w:t>
      </w:r>
      <w:r w:rsidRPr="005E6B7C">
        <w:rPr>
          <w:rFonts w:asciiTheme="majorHAnsi" w:eastAsia="Times New Roman" w:hAnsiTheme="majorHAnsi" w:cstheme="majorHAnsi"/>
          <w:color w:val="000000" w:themeColor="text1"/>
          <w:sz w:val="22"/>
          <w:szCs w:val="22"/>
          <w:lang w:eastAsia="ja-JP"/>
        </w:rPr>
        <w:t>(+)-lyoniresinol 9ʹ-</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 (</w:t>
      </w:r>
      <w:r w:rsidRPr="005E6B7C">
        <w:rPr>
          <w:rFonts w:asciiTheme="majorHAnsi" w:eastAsia="Times New Roman" w:hAnsiTheme="majorHAnsi" w:cstheme="majorHAnsi"/>
          <w:b/>
          <w:color w:val="000000" w:themeColor="text1"/>
          <w:sz w:val="22"/>
          <w:szCs w:val="22"/>
          <w:lang w:eastAsia="ja-JP"/>
        </w:rPr>
        <w:t>2</w:t>
      </w:r>
      <w:r w:rsidRPr="005E6B7C">
        <w:rPr>
          <w:rFonts w:asciiTheme="majorHAnsi" w:eastAsia="Times New Roman" w:hAnsiTheme="majorHAnsi" w:cstheme="majorHAnsi"/>
          <w:color w:val="000000" w:themeColor="text1"/>
          <w:sz w:val="22"/>
          <w:szCs w:val="22"/>
          <w:lang w:eastAsia="ja-JP"/>
        </w:rPr>
        <w:t>), 2-methyl-1,3,6-trihydroxy-9,10-anthraquinone 3-</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w:t>
      </w:r>
      <w:r w:rsidRPr="005E6B7C" w:rsidDel="002D7ED5">
        <w:rPr>
          <w:rFonts w:asciiTheme="majorHAnsi" w:eastAsia="Times New Roman"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Times New Roman" w:hAnsiTheme="majorHAnsi" w:cstheme="majorHAnsi"/>
          <w:b/>
          <w:color w:val="000000" w:themeColor="text1"/>
          <w:sz w:val="22"/>
          <w:szCs w:val="22"/>
          <w:lang w:eastAsia="ja-JP"/>
        </w:rPr>
        <w:t>3</w:t>
      </w:r>
      <w:r w:rsidRPr="005E6B7C">
        <w:rPr>
          <w:rFonts w:asciiTheme="majorHAnsi" w:eastAsia="Times New Roman" w:hAnsiTheme="majorHAnsi" w:cstheme="majorHAnsi"/>
          <w:color w:val="000000" w:themeColor="text1"/>
          <w:sz w:val="22"/>
          <w:szCs w:val="22"/>
          <w:lang w:eastAsia="ja-JP"/>
        </w:rPr>
        <w:t>), 3-</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-D-glucopyranosyl (3</w:t>
      </w:r>
      <w:r w:rsidRPr="005E6B7C">
        <w:rPr>
          <w:rFonts w:asciiTheme="majorHAnsi" w:eastAsia="Times New Roman" w:hAnsiTheme="majorHAnsi" w:cstheme="majorHAnsi"/>
          <w:i/>
          <w:iCs/>
          <w:color w:val="000000" w:themeColor="text1"/>
          <w:sz w:val="22"/>
          <w:szCs w:val="22"/>
          <w:lang w:eastAsia="ja-JP"/>
        </w:rPr>
        <w:t>S</w:t>
      </w:r>
      <w:r w:rsidRPr="005E6B7C">
        <w:rPr>
          <w:rFonts w:asciiTheme="majorHAnsi" w:eastAsia="Times New Roman" w:hAnsiTheme="majorHAnsi" w:cstheme="majorHAnsi"/>
          <w:color w:val="000000" w:themeColor="text1"/>
          <w:sz w:val="22"/>
          <w:szCs w:val="22"/>
          <w:lang w:eastAsia="ja-JP"/>
        </w:rPr>
        <w:t>)-l-octene-3-ol (</w:t>
      </w:r>
      <w:r w:rsidRPr="005E6B7C">
        <w:rPr>
          <w:rFonts w:asciiTheme="majorHAnsi" w:eastAsia="Times New Roman" w:hAnsiTheme="majorHAnsi" w:cstheme="majorHAnsi"/>
          <w:b/>
          <w:color w:val="000000" w:themeColor="text1"/>
          <w:sz w:val="22"/>
          <w:szCs w:val="22"/>
          <w:lang w:eastAsia="ja-JP"/>
        </w:rPr>
        <w:t>4</w:t>
      </w:r>
      <w:r w:rsidRPr="005E6B7C">
        <w:rPr>
          <w:rFonts w:asciiTheme="majorHAnsi" w:eastAsia="Times New Roman" w:hAnsiTheme="majorHAnsi" w:cstheme="majorHAnsi"/>
          <w:color w:val="000000" w:themeColor="text1"/>
          <w:sz w:val="22"/>
          <w:szCs w:val="22"/>
          <w:lang w:eastAsia="ja-JP"/>
        </w:rPr>
        <w:t>), uracil (</w:t>
      </w:r>
      <w:r w:rsidRPr="005E6B7C">
        <w:rPr>
          <w:rFonts w:asciiTheme="majorHAnsi" w:eastAsia="Times New Roman" w:hAnsiTheme="majorHAnsi" w:cstheme="majorHAnsi"/>
          <w:b/>
          <w:color w:val="000000" w:themeColor="text1"/>
          <w:sz w:val="22"/>
          <w:szCs w:val="22"/>
          <w:lang w:eastAsia="ja-JP"/>
        </w:rPr>
        <w:t>5</w:t>
      </w:r>
      <w:r w:rsidRPr="005E6B7C">
        <w:rPr>
          <w:rFonts w:asciiTheme="majorHAnsi" w:eastAsia="Times New Roman"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lang w:val="en-GB" w:eastAsia="ja-JP"/>
        </w:rPr>
        <w:t>stigmasterol (</w:t>
      </w:r>
      <w:r w:rsidRPr="005E6B7C">
        <w:rPr>
          <w:rFonts w:asciiTheme="majorHAnsi" w:eastAsia="Yu Mincho" w:hAnsiTheme="majorHAnsi" w:cstheme="majorHAnsi"/>
          <w:b/>
          <w:color w:val="000000" w:themeColor="text1"/>
          <w:sz w:val="22"/>
          <w:szCs w:val="22"/>
          <w:lang w:val="en-GB" w:eastAsia="ja-JP"/>
        </w:rPr>
        <w:t>6</w:t>
      </w:r>
      <w:r w:rsidRPr="005E6B7C">
        <w:rPr>
          <w:rFonts w:asciiTheme="majorHAnsi" w:eastAsia="Yu Mincho" w:hAnsiTheme="majorHAnsi" w:cstheme="majorHAnsi"/>
          <w:color w:val="000000" w:themeColor="text1"/>
          <w:sz w:val="22"/>
          <w:szCs w:val="22"/>
          <w:lang w:val="en-GB" w:eastAsia="ja-JP"/>
        </w:rPr>
        <w:t>)</w:t>
      </w:r>
      <w:r w:rsidRPr="005E6B7C">
        <w:rPr>
          <w:rFonts w:asciiTheme="majorHAnsi" w:eastAsia="Times New Roman" w:hAnsiTheme="majorHAnsi" w:cstheme="majorHAnsi"/>
          <w:color w:val="000000" w:themeColor="text1"/>
          <w:sz w:val="22"/>
          <w:szCs w:val="22"/>
        </w:rPr>
        <w:t>.</w:t>
      </w:r>
    </w:p>
    <w:p w14:paraId="7532A2D5" w14:textId="77777777" w:rsidR="00E049CB" w:rsidRPr="005E6B7C" w:rsidRDefault="00E049CB" w:rsidP="008C0D47">
      <w:pPr>
        <w:tabs>
          <w:tab w:val="left" w:pos="270"/>
          <w:tab w:val="left" w:pos="540"/>
          <w:tab w:val="left" w:pos="9270"/>
        </w:tabs>
        <w:spacing w:line="264" w:lineRule="exact"/>
        <w:ind w:firstLine="284"/>
        <w:contextualSpacing/>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329DBFAA" w14:textId="77777777" w:rsidR="00E049CB" w:rsidRPr="005E6B7C" w:rsidRDefault="00E049CB" w:rsidP="008C0D47">
      <w:pPr>
        <w:tabs>
          <w:tab w:val="left" w:pos="270"/>
          <w:tab w:val="left" w:pos="540"/>
          <w:tab w:val="left" w:pos="9270"/>
        </w:tabs>
        <w:snapToGrid w:val="0"/>
        <w:spacing w:line="264"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2.1. Materials</w:t>
      </w:r>
    </w:p>
    <w:p w14:paraId="68CEA104" w14:textId="6EB1B81A" w:rsidR="00E049CB" w:rsidRPr="005E6B7C" w:rsidRDefault="00E049CB" w:rsidP="008C0D47">
      <w:pPr>
        <w:tabs>
          <w:tab w:val="left" w:pos="270"/>
          <w:tab w:val="left" w:pos="540"/>
          <w:tab w:val="left" w:pos="9270"/>
        </w:tabs>
        <w:snapToGrid w:val="0"/>
        <w:spacing w:line="264"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aerial parts of </w:t>
      </w:r>
      <w:r w:rsidRPr="005E6B7C">
        <w:rPr>
          <w:rFonts w:asciiTheme="majorHAnsi" w:eastAsia="Yu Mincho" w:hAnsiTheme="majorHAnsi" w:cstheme="majorHAnsi"/>
          <w:i/>
          <w:color w:val="000000" w:themeColor="text1"/>
          <w:sz w:val="22"/>
          <w:szCs w:val="22"/>
          <w:lang w:eastAsia="ja-JP"/>
        </w:rPr>
        <w:t>Barleria lupulina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GB" w:eastAsia="ja-JP"/>
        </w:rPr>
        <w:t>L. (Acanthaceae)</w:t>
      </w:r>
      <w:r w:rsidRPr="005E6B7C">
        <w:rPr>
          <w:rFonts w:asciiTheme="majorHAnsi" w:eastAsia="Yu Mincho" w:hAnsiTheme="majorHAnsi" w:cstheme="majorHAnsi"/>
          <w:color w:val="000000" w:themeColor="text1"/>
          <w:sz w:val="22"/>
          <w:szCs w:val="22"/>
          <w:lang w:eastAsia="ja-JP"/>
        </w:rPr>
        <w:t xml:space="preserve"> were collected in Cu Chi, Ho Chi Minh City, in 2024. The plant species was identified by MSc Nguyen Quynh Nga and BS. Dao Viet Quoc, </w:t>
      </w:r>
      <w:r w:rsidRPr="005E6B7C">
        <w:rPr>
          <w:rFonts w:asciiTheme="majorHAnsi" w:eastAsia="Yu Mincho" w:hAnsiTheme="majorHAnsi" w:cstheme="majorHAnsi"/>
          <w:color w:val="000000" w:themeColor="text1"/>
          <w:spacing w:val="3"/>
          <w:sz w:val="22"/>
          <w:szCs w:val="22"/>
          <w:shd w:val="clear" w:color="auto" w:fill="FFFFFF"/>
          <w:lang w:eastAsia="ja-JP"/>
        </w:rPr>
        <w:t xml:space="preserve">Center </w:t>
      </w:r>
      <w:r w:rsidRPr="005E6B7C">
        <w:rPr>
          <w:rFonts w:asciiTheme="majorHAnsi" w:eastAsia="Yu Mincho" w:hAnsiTheme="majorHAnsi" w:cstheme="majorHAnsi"/>
          <w:color w:val="000000" w:themeColor="text1"/>
          <w:sz w:val="22"/>
          <w:szCs w:val="22"/>
          <w:lang w:eastAsia="ja-JP"/>
        </w:rPr>
        <w:t>of Medicinal Material Resources</w:t>
      </w:r>
      <w:r w:rsidRPr="005E6B7C">
        <w:rPr>
          <w:rFonts w:asciiTheme="majorHAnsi" w:eastAsia="Yu Mincho" w:hAnsiTheme="majorHAnsi" w:cstheme="majorHAnsi"/>
          <w:color w:val="000000" w:themeColor="text1"/>
          <w:spacing w:val="3"/>
          <w:sz w:val="22"/>
          <w:szCs w:val="22"/>
          <w:shd w:val="clear" w:color="auto" w:fill="FFFFFF"/>
          <w:lang w:eastAsia="ja-JP"/>
        </w:rPr>
        <w:t xml:space="preserve"> (CMMR), National Institute of Medicinal Materials</w:t>
      </w:r>
      <w:r w:rsidRPr="005E6B7C">
        <w:rPr>
          <w:rFonts w:asciiTheme="majorHAnsi" w:eastAsia="Yu Mincho" w:hAnsiTheme="majorHAnsi" w:cstheme="majorHAnsi"/>
          <w:color w:val="000000" w:themeColor="text1"/>
          <w:sz w:val="22"/>
          <w:szCs w:val="22"/>
          <w:lang w:eastAsia="ja-JP"/>
        </w:rPr>
        <w:t>. The voucher specimen (</w:t>
      </w:r>
      <w:r w:rsidR="008C0D47" w:rsidRPr="005E6B7C">
        <w:rPr>
          <w:rFonts w:asciiTheme="majorHAnsi" w:eastAsia="Yu Mincho" w:hAnsiTheme="majorHAnsi" w:cstheme="majorHAnsi"/>
          <w:bCs/>
          <w:color w:val="000000" w:themeColor="text1"/>
          <w:sz w:val="22"/>
          <w:szCs w:val="22"/>
          <w:lang w:eastAsia="ja-JP"/>
        </w:rPr>
        <w:t>NIMM-20133</w:t>
      </w:r>
      <w:r w:rsidRPr="005E6B7C">
        <w:rPr>
          <w:rFonts w:asciiTheme="majorHAnsi" w:eastAsia="Yu Mincho" w:hAnsiTheme="majorHAnsi" w:cstheme="majorHAnsi"/>
          <w:color w:val="000000" w:themeColor="text1"/>
          <w:sz w:val="22"/>
          <w:szCs w:val="22"/>
          <w:lang w:eastAsia="ja-JP"/>
        </w:rPr>
        <w:t xml:space="preserve">) was deposited at the </w:t>
      </w:r>
      <w:r w:rsidRPr="005E6B7C">
        <w:rPr>
          <w:rFonts w:asciiTheme="majorHAnsi" w:eastAsia="Yu Mincho" w:hAnsiTheme="majorHAnsi" w:cstheme="majorHAnsi"/>
          <w:color w:val="000000" w:themeColor="text1"/>
          <w:spacing w:val="3"/>
          <w:sz w:val="22"/>
          <w:szCs w:val="22"/>
          <w:shd w:val="clear" w:color="auto" w:fill="FFFFFF"/>
          <w:lang w:eastAsia="ja-JP"/>
        </w:rPr>
        <w:t>National Institute of Medicinal Materials</w:t>
      </w:r>
      <w:r w:rsidRPr="005E6B7C">
        <w:rPr>
          <w:rFonts w:asciiTheme="majorHAnsi" w:eastAsia="Yu Mincho" w:hAnsiTheme="majorHAnsi" w:cstheme="majorHAnsi"/>
          <w:color w:val="000000" w:themeColor="text1"/>
          <w:sz w:val="22"/>
          <w:szCs w:val="22"/>
          <w:lang w:eastAsia="ja-JP"/>
        </w:rPr>
        <w:t xml:space="preserve">. </w:t>
      </w:r>
    </w:p>
    <w:p w14:paraId="5A040280" w14:textId="77777777" w:rsidR="00E049CB" w:rsidRPr="005E6B7C" w:rsidRDefault="00E049CB" w:rsidP="008C0D47">
      <w:pPr>
        <w:tabs>
          <w:tab w:val="left" w:pos="270"/>
          <w:tab w:val="left" w:pos="540"/>
          <w:tab w:val="left" w:pos="9270"/>
        </w:tabs>
        <w:spacing w:line="264"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General experimental procedures</w:t>
      </w:r>
    </w:p>
    <w:p w14:paraId="66E0BF7D" w14:textId="427312FD"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ESI-MS spectra were acquired on an Agilent </w:t>
      </w:r>
      <w:r w:rsidRPr="005E6B7C">
        <w:rPr>
          <w:rFonts w:asciiTheme="majorHAnsi" w:eastAsia="Yu Mincho" w:hAnsiTheme="majorHAnsi" w:cstheme="majorHAnsi"/>
          <w:color w:val="000000" w:themeColor="text1"/>
          <w:sz w:val="22"/>
          <w:szCs w:val="22"/>
          <w:lang w:eastAsia="ja-JP"/>
        </w:rPr>
        <w:lastRenderedPageBreak/>
        <w:t>1260 series single quadrupole LC/MS system. NMR spectra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HSQC, HMBC, </w:t>
      </w:r>
      <w:r w:rsidR="008C0D47" w:rsidRPr="005E6B7C">
        <w:rPr>
          <w:rFonts w:asciiTheme="majorHAnsi" w:eastAsia="Yu Mincho" w:hAnsiTheme="majorHAnsi" w:cstheme="majorHAnsi"/>
          <w:color w:val="000000" w:themeColor="text1"/>
          <w:sz w:val="22"/>
          <w:szCs w:val="22"/>
          <w:lang w:eastAsia="ja-JP"/>
        </w:rPr>
        <w:t xml:space="preserve">and </w:t>
      </w:r>
      <w:r w:rsidRPr="005E6B7C">
        <w:rPr>
          <w:rFonts w:asciiTheme="majorHAnsi" w:eastAsia="Yu Mincho" w:hAnsiTheme="majorHAnsi" w:cstheme="majorHAnsi"/>
          <w:color w:val="000000" w:themeColor="text1"/>
          <w:sz w:val="22"/>
          <w:szCs w:val="22"/>
          <w:lang w:eastAsia="ja-JP"/>
        </w:rPr>
        <w:t xml:space="preserve">NOESY) were obtained on Bruker AVANCE III HD 500 MHz or Bruker AVANCE NEO 600 MHz spectrometers with tetramethylsilane as the internal standard. Column chromatography (CC) was performed on normal 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(230-400 mesh, Merck), reversed phase (RP-18) resin (YMC), and Sephadex® LH20. Preparative HPLC was conducted by Shimadzu HPLC</w:t>
      </w:r>
      <w:r w:rsidRPr="005E6B7C">
        <w:rPr>
          <w:rFonts w:asciiTheme="majorHAnsi" w:eastAsia="Times New Roman" w:hAnsiTheme="majorHAnsi" w:cstheme="majorHAnsi"/>
          <w:color w:val="000000" w:themeColor="text1"/>
          <w:sz w:val="22"/>
          <w:szCs w:val="22"/>
          <w:lang w:eastAsia="ja-JP"/>
        </w:rPr>
        <w:t xml:space="preserve"> (LC-20AP), SunFire® C18 OBD™ Prep Column (100 Å, 10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m, 10 × 250 mm).</w:t>
      </w:r>
      <w:r w:rsidRPr="005E6B7C">
        <w:rPr>
          <w:rFonts w:asciiTheme="majorHAnsi" w:eastAsia="Yu Mincho" w:hAnsiTheme="majorHAnsi" w:cstheme="majorHAnsi"/>
          <w:color w:val="000000" w:themeColor="text1"/>
          <w:sz w:val="22"/>
          <w:szCs w:val="22"/>
          <w:lang w:eastAsia="ja-JP"/>
        </w:rPr>
        <w:t xml:space="preserve"> Thin-layer chromatography has been performed on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60 GF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 and RP-18 G F</w:t>
      </w:r>
      <w:r w:rsidRPr="005E6B7C">
        <w:rPr>
          <w:rFonts w:asciiTheme="majorHAnsi" w:eastAsia="Yu Mincho" w:hAnsiTheme="majorHAnsi" w:cstheme="majorHAnsi"/>
          <w:color w:val="000000" w:themeColor="text1"/>
          <w:sz w:val="22"/>
          <w:szCs w:val="22"/>
          <w:vertAlign w:val="subscript"/>
          <w:lang w:eastAsia="ja-JP"/>
        </w:rPr>
        <w:t>254</w:t>
      </w:r>
      <w:r w:rsidRPr="005E6B7C">
        <w:rPr>
          <w:rFonts w:asciiTheme="majorHAnsi" w:eastAsia="Yu Mincho" w:hAnsiTheme="majorHAnsi" w:cstheme="majorHAnsi"/>
          <w:color w:val="000000" w:themeColor="text1"/>
          <w:sz w:val="22"/>
          <w:szCs w:val="22"/>
          <w:lang w:eastAsia="ja-JP"/>
        </w:rPr>
        <w:t xml:space="preserve">S. Compounds were visualized by spraying with 10% sulfuric acid in EtOH and heating. </w:t>
      </w:r>
    </w:p>
    <w:p w14:paraId="571F1A31" w14:textId="77777777" w:rsidR="00E049CB" w:rsidRPr="005E6B7C" w:rsidRDefault="00E049CB" w:rsidP="008C0D47">
      <w:pPr>
        <w:tabs>
          <w:tab w:val="left" w:pos="270"/>
          <w:tab w:val="left" w:pos="426"/>
          <w:tab w:val="left" w:pos="540"/>
          <w:tab w:val="left" w:pos="9270"/>
        </w:tabs>
        <w:spacing w:line="264" w:lineRule="exact"/>
        <w:ind w:firstLine="284"/>
        <w:contextualSpacing/>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2.3. Extraction and isolation</w:t>
      </w:r>
    </w:p>
    <w:p w14:paraId="5F3CA656" w14:textId="77777777" w:rsidR="00E049CB" w:rsidRPr="005E6B7C" w:rsidRDefault="00E049CB" w:rsidP="008C0D47">
      <w:pPr>
        <w:tabs>
          <w:tab w:val="left" w:pos="270"/>
          <w:tab w:val="left" w:pos="540"/>
          <w:tab w:val="left" w:pos="9270"/>
        </w:tabs>
        <w:spacing w:line="264"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The dried aerial parts (28 kg) were macerated and extracted with 70% EtOH </w:t>
      </w:r>
      <w:r w:rsidRPr="005E6B7C">
        <w:rPr>
          <w:rFonts w:asciiTheme="majorHAnsi" w:eastAsia="Yu Mincho" w:hAnsiTheme="majorHAnsi" w:cstheme="majorHAnsi"/>
          <w:color w:val="000000" w:themeColor="text1"/>
          <w:sz w:val="22"/>
          <w:szCs w:val="22"/>
          <w:lang w:eastAsia="ja-JP"/>
        </w:rPr>
        <w:t xml:space="preserve">(3 times × 220 L for 24 h) </w:t>
      </w:r>
      <w:r w:rsidRPr="005E6B7C">
        <w:rPr>
          <w:rFonts w:asciiTheme="majorHAnsi" w:eastAsia="Times New Roman" w:hAnsiTheme="majorHAnsi" w:cstheme="majorHAnsi"/>
          <w:color w:val="000000" w:themeColor="text1"/>
          <w:sz w:val="22"/>
          <w:szCs w:val="22"/>
        </w:rPr>
        <w:t xml:space="preserve">at room temperature. The combined extracts were concentrated under reduced pressure to yield the EtOH extract (4.3 kg). The EtOH extract (4 kg) was suspended in 4 L of distilled water and then successively extracted with </w:t>
      </w:r>
      <w:r w:rsidRPr="005E6B7C">
        <w:rPr>
          <w:rFonts w:asciiTheme="majorHAnsi" w:eastAsia="Times New Roman" w:hAnsiTheme="majorHAnsi" w:cstheme="majorHAnsi"/>
          <w:i/>
          <w:color w:val="000000" w:themeColor="text1"/>
          <w:sz w:val="22"/>
          <w:szCs w:val="22"/>
        </w:rPr>
        <w:t>n</w:t>
      </w:r>
      <w:r w:rsidRPr="005E6B7C">
        <w:rPr>
          <w:rFonts w:asciiTheme="majorHAnsi" w:eastAsia="Times New Roman" w:hAnsiTheme="majorHAnsi" w:cstheme="majorHAnsi"/>
          <w:color w:val="000000" w:themeColor="text1"/>
          <w:sz w:val="22"/>
          <w:szCs w:val="22"/>
        </w:rPr>
        <w:t xml:space="preserve">-hexane, dichloromethane (DCM), and EtOAc (each 3 × 4 L). The organic solvents were then removed </w:t>
      </w:r>
      <w:r w:rsidRPr="005E6B7C">
        <w:rPr>
          <w:rFonts w:asciiTheme="majorHAnsi" w:eastAsia="Times New Roman" w:hAnsiTheme="majorHAnsi" w:cstheme="majorHAnsi"/>
          <w:i/>
          <w:color w:val="000000" w:themeColor="text1"/>
          <w:sz w:val="22"/>
          <w:szCs w:val="22"/>
        </w:rPr>
        <w:t>in vacuo</w:t>
      </w:r>
      <w:r w:rsidRPr="005E6B7C">
        <w:rPr>
          <w:rFonts w:asciiTheme="majorHAnsi" w:eastAsia="Times New Roman" w:hAnsiTheme="majorHAnsi" w:cstheme="majorHAnsi"/>
          <w:color w:val="000000" w:themeColor="text1"/>
          <w:sz w:val="22"/>
          <w:szCs w:val="22"/>
        </w:rPr>
        <w:t xml:space="preserve"> to afford </w:t>
      </w:r>
      <w:r w:rsidRPr="005E6B7C">
        <w:rPr>
          <w:rFonts w:asciiTheme="majorHAnsi" w:eastAsia="Times New Roman" w:hAnsiTheme="majorHAnsi" w:cstheme="majorHAnsi"/>
          <w:i/>
          <w:color w:val="000000" w:themeColor="text1"/>
          <w:sz w:val="22"/>
          <w:szCs w:val="22"/>
        </w:rPr>
        <w:t>n</w:t>
      </w:r>
      <w:r w:rsidRPr="005E6B7C">
        <w:rPr>
          <w:rFonts w:asciiTheme="majorHAnsi" w:eastAsia="Times New Roman" w:hAnsiTheme="majorHAnsi" w:cstheme="majorHAnsi"/>
          <w:color w:val="000000" w:themeColor="text1"/>
          <w:sz w:val="22"/>
          <w:szCs w:val="22"/>
        </w:rPr>
        <w:t>-hexane (95 g), DCM (265 g), and EtOAc (300 g) extracts, respectively.</w:t>
      </w:r>
    </w:p>
    <w:p w14:paraId="34C61798" w14:textId="77777777" w:rsidR="00E049CB" w:rsidRPr="005E6B7C" w:rsidRDefault="00E049CB" w:rsidP="008C0D47">
      <w:pPr>
        <w:tabs>
          <w:tab w:val="left" w:pos="270"/>
          <w:tab w:val="left" w:pos="540"/>
          <w:tab w:val="left" w:pos="9270"/>
        </w:tabs>
        <w:spacing w:line="264"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iCs/>
          <w:color w:val="000000" w:themeColor="text1"/>
          <w:sz w:val="22"/>
          <w:szCs w:val="22"/>
          <w:lang w:eastAsia="ja-JP"/>
        </w:rPr>
        <w:t xml:space="preserve">-hexane </w:t>
      </w:r>
      <w:r w:rsidRPr="005E6B7C">
        <w:rPr>
          <w:rFonts w:asciiTheme="majorHAnsi" w:eastAsia="Yu Mincho" w:hAnsiTheme="majorHAnsi" w:cstheme="majorHAnsi"/>
          <w:color w:val="000000" w:themeColor="text1"/>
          <w:sz w:val="22"/>
          <w:szCs w:val="22"/>
          <w:lang w:eastAsia="ja-JP"/>
        </w:rPr>
        <w:t xml:space="preserve">extract (90 g) was chromatographed on a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eluted with a solvent gradient of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acetone</w:t>
      </w:r>
      <w:r w:rsidRPr="005E6B7C">
        <w:rPr>
          <w:rFonts w:asciiTheme="majorHAnsi" w:eastAsia="Yu Mincho" w:hAnsiTheme="majorHAnsi" w:cstheme="majorHAnsi"/>
          <w:color w:val="000000" w:themeColor="text1"/>
          <w:sz w:val="22"/>
          <w:szCs w:val="22"/>
          <w:lang w:eastAsia="ja-JP"/>
        </w:rPr>
        <w:t xml:space="preserve"> (20:1 to 1:1,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DCM</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MeOH </w:t>
      </w:r>
      <w:r w:rsidRPr="005E6B7C">
        <w:rPr>
          <w:rFonts w:asciiTheme="majorHAnsi" w:eastAsia="Times New Roman" w:hAnsiTheme="majorHAnsi" w:cstheme="majorHAnsi"/>
          <w:color w:val="000000" w:themeColor="text1"/>
          <w:sz w:val="22"/>
          <w:szCs w:val="22"/>
          <w:lang w:eastAsia="ja-JP"/>
        </w:rPr>
        <w:t xml:space="preserve">(20:1 → 2:1, ν/ν), and MeOH </w:t>
      </w:r>
      <w:r w:rsidRPr="005E6B7C">
        <w:rPr>
          <w:rFonts w:asciiTheme="majorHAnsi" w:eastAsia="Yu Mincho" w:hAnsiTheme="majorHAnsi" w:cstheme="majorHAnsi"/>
          <w:color w:val="000000" w:themeColor="text1"/>
          <w:sz w:val="22"/>
          <w:szCs w:val="22"/>
          <w:lang w:eastAsia="ja-JP"/>
        </w:rPr>
        <w:t xml:space="preserve">to give 11 fractions (H1-H11). Fraction H1 (2.8 g) was chromatographed by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eluted with a gradient solvent of </w:t>
      </w:r>
      <w:r w:rsidRPr="005E6B7C">
        <w:rPr>
          <w:rFonts w:asciiTheme="majorHAnsi" w:eastAsia="Times New Roman" w:hAnsiTheme="majorHAnsi" w:cstheme="majorHAnsi"/>
          <w:i/>
          <w:iCs/>
          <w:color w:val="000000" w:themeColor="text1"/>
          <w:sz w:val="22"/>
          <w:szCs w:val="22"/>
          <w:lang w:eastAsia="ja-JP"/>
        </w:rPr>
        <w:t>n</w:t>
      </w:r>
      <w:r w:rsidRPr="005E6B7C">
        <w:rPr>
          <w:rFonts w:asciiTheme="majorHAnsi" w:eastAsia="Times New Roman"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acetone (15:1 → 1:1, ν/ν)</w:t>
      </w:r>
      <w:r w:rsidRPr="005E6B7C">
        <w:rPr>
          <w:rFonts w:asciiTheme="majorHAnsi" w:eastAsia="Yu Mincho" w:hAnsiTheme="majorHAnsi" w:cstheme="majorHAnsi"/>
          <w:color w:val="000000" w:themeColor="text1"/>
          <w:sz w:val="22"/>
          <w:szCs w:val="22"/>
          <w:lang w:eastAsia="ja-JP"/>
        </w:rPr>
        <w:t xml:space="preserve"> to afford 3 fractions H1.1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H1.3. Compound </w:t>
      </w:r>
      <w:r w:rsidRPr="005E6B7C">
        <w:rPr>
          <w:rFonts w:asciiTheme="majorHAnsi" w:eastAsia="Yu Mincho" w:hAnsiTheme="majorHAnsi" w:cstheme="majorHAnsi"/>
          <w:b/>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(50 mg) was obtained by recrystallization in MeOH from fraction H1.3.</w:t>
      </w:r>
    </w:p>
    <w:p w14:paraId="2E8400B4" w14:textId="0EBA9641" w:rsidR="00E049CB" w:rsidRPr="005E6B7C" w:rsidRDefault="00E049CB" w:rsidP="008C0D47">
      <w:pPr>
        <w:tabs>
          <w:tab w:val="left" w:pos="270"/>
          <w:tab w:val="left" w:pos="540"/>
          <w:tab w:val="left" w:pos="9270"/>
        </w:tabs>
        <w:spacing w:line="264"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Cs/>
          <w:color w:val="000000" w:themeColor="text1"/>
          <w:sz w:val="22"/>
          <w:szCs w:val="22"/>
          <w:lang w:eastAsia="ja-JP"/>
        </w:rPr>
        <w:t>EtOAc</w:t>
      </w:r>
      <w:r w:rsidRPr="005E6B7C">
        <w:rPr>
          <w:rFonts w:asciiTheme="majorHAnsi" w:eastAsia="Yu Mincho" w:hAnsiTheme="majorHAnsi" w:cstheme="majorHAnsi"/>
          <w:color w:val="000000" w:themeColor="text1"/>
          <w:sz w:val="22"/>
          <w:szCs w:val="22"/>
          <w:lang w:eastAsia="ja-JP"/>
        </w:rPr>
        <w:t xml:space="preserve"> extract (240 g) was applied to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eluted with a solvent gradient of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acetone</w:t>
      </w:r>
      <w:r w:rsidRPr="005E6B7C">
        <w:rPr>
          <w:rFonts w:asciiTheme="majorHAnsi" w:eastAsia="Yu Mincho" w:hAnsiTheme="majorHAnsi" w:cstheme="majorHAnsi"/>
          <w:color w:val="000000" w:themeColor="text1"/>
          <w:sz w:val="22"/>
          <w:szCs w:val="22"/>
          <w:lang w:eastAsia="ja-JP"/>
        </w:rPr>
        <w:t xml:space="preserve"> (20:1 to 1:1,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DCM</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MeOH </w:t>
      </w:r>
      <w:r w:rsidRPr="005E6B7C">
        <w:rPr>
          <w:rFonts w:asciiTheme="majorHAnsi" w:eastAsia="Times New Roman" w:hAnsiTheme="majorHAnsi" w:cstheme="majorHAnsi"/>
          <w:color w:val="000000" w:themeColor="text1"/>
          <w:sz w:val="22"/>
          <w:szCs w:val="22"/>
          <w:lang w:eastAsia="ja-JP"/>
        </w:rPr>
        <w:t xml:space="preserve">(20:1 → 2:1, ν/ν), and MeOH </w:t>
      </w:r>
      <w:r w:rsidRPr="005E6B7C">
        <w:rPr>
          <w:rFonts w:asciiTheme="majorHAnsi" w:eastAsia="Yu Mincho" w:hAnsiTheme="majorHAnsi" w:cstheme="majorHAnsi"/>
          <w:color w:val="000000" w:themeColor="text1"/>
          <w:sz w:val="22"/>
          <w:szCs w:val="22"/>
          <w:lang w:eastAsia="ja-JP"/>
        </w:rPr>
        <w:t>to give 10 fractions (E1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E10). Fraction E6 (3.0 g) was chromatographed by Sephadex® LH20 CC (</w:t>
      </w:r>
      <w:r w:rsidRPr="005E6B7C">
        <w:rPr>
          <w:rFonts w:asciiTheme="majorHAnsi" w:eastAsia="Times New Roman" w:hAnsiTheme="majorHAnsi" w:cstheme="majorHAnsi"/>
          <w:color w:val="000000" w:themeColor="text1"/>
          <w:sz w:val="22"/>
          <w:szCs w:val="22"/>
          <w:lang w:eastAsia="ja-JP"/>
        </w:rPr>
        <w:t>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O 1:1, ν/ν),</w:t>
      </w:r>
      <w:r w:rsidRPr="005E6B7C">
        <w:rPr>
          <w:rFonts w:asciiTheme="majorHAnsi" w:eastAsia="Yu Mincho" w:hAnsiTheme="majorHAnsi" w:cstheme="majorHAnsi"/>
          <w:color w:val="000000" w:themeColor="text1"/>
          <w:sz w:val="22"/>
          <w:szCs w:val="22"/>
          <w:lang w:eastAsia="ja-JP"/>
        </w:rPr>
        <w:t xml:space="preserve"> yielding 5 fractions E6.1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E6.5. Fraction E6.2 (1.8 g) was separated by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eluted with a solvent gradient of DCM</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MeOH </w:t>
      </w:r>
      <w:r w:rsidRPr="005E6B7C">
        <w:rPr>
          <w:rFonts w:asciiTheme="majorHAnsi" w:eastAsia="Times New Roman" w:hAnsiTheme="majorHAnsi" w:cstheme="majorHAnsi"/>
          <w:color w:val="000000" w:themeColor="text1"/>
          <w:sz w:val="22"/>
          <w:szCs w:val="22"/>
          <w:lang w:eastAsia="ja-JP"/>
        </w:rPr>
        <w:t>(20:1 → 2:1, ν/ν)</w:t>
      </w:r>
      <w:r w:rsidRPr="005E6B7C">
        <w:rPr>
          <w:rFonts w:asciiTheme="majorHAnsi" w:eastAsia="Yu Mincho" w:hAnsiTheme="majorHAnsi" w:cstheme="majorHAnsi"/>
          <w:color w:val="000000" w:themeColor="text1"/>
          <w:sz w:val="22"/>
          <w:szCs w:val="22"/>
          <w:lang w:eastAsia="ja-JP"/>
        </w:rPr>
        <w:t xml:space="preserve"> to afford ten fractions E6.2.1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E6.2.10. Fraction E6.2.4 (55 mg) </w:t>
      </w:r>
      <w:r w:rsidRPr="005E6B7C">
        <w:rPr>
          <w:rFonts w:asciiTheme="majorHAnsi" w:eastAsia="Yu Mincho" w:hAnsiTheme="majorHAnsi" w:cstheme="majorHAnsi"/>
          <w:color w:val="000000" w:themeColor="text1"/>
          <w:sz w:val="22"/>
          <w:szCs w:val="22"/>
          <w:lang w:eastAsia="ja-JP"/>
        </w:rPr>
        <w:t xml:space="preserve">was </w:t>
      </w:r>
      <w:r w:rsidRPr="005E6B7C">
        <w:rPr>
          <w:rFonts w:asciiTheme="majorHAnsi" w:eastAsia="Yu Mincho" w:hAnsiTheme="majorHAnsi" w:cstheme="majorHAnsi"/>
          <w:color w:val="000000" w:themeColor="text1"/>
          <w:sz w:val="22"/>
          <w:szCs w:val="22"/>
          <w:shd w:val="clear" w:color="auto" w:fill="FFFFFF"/>
          <w:lang w:eastAsia="ja-JP"/>
        </w:rPr>
        <w:t xml:space="preserve">then purified </w:t>
      </w:r>
      <w:r w:rsidRPr="005E6B7C">
        <w:rPr>
          <w:rFonts w:asciiTheme="majorHAnsi" w:eastAsia="Yu Mincho" w:hAnsiTheme="majorHAnsi" w:cstheme="majorHAnsi"/>
          <w:color w:val="000000" w:themeColor="text1"/>
          <w:sz w:val="22"/>
          <w:szCs w:val="22"/>
          <w:lang w:eastAsia="ja-JP"/>
        </w:rPr>
        <w:t xml:space="preserve">by reversed-phase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t>
      </w:r>
      <w:r w:rsidRPr="005E6B7C">
        <w:rPr>
          <w:rFonts w:asciiTheme="majorHAnsi" w:eastAsia="Times New Roman" w:hAnsiTheme="majorHAnsi" w:cstheme="majorHAnsi"/>
          <w:color w:val="000000" w:themeColor="text1"/>
          <w:sz w:val="22"/>
          <w:szCs w:val="22"/>
          <w:lang w:eastAsia="ja-JP"/>
        </w:rPr>
        <w:t>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 xml:space="preserve">O 1:1, ν/ν) </w:t>
      </w:r>
      <w:r w:rsidRPr="005E6B7C">
        <w:rPr>
          <w:rFonts w:asciiTheme="majorHAnsi" w:eastAsia="Yu Mincho" w:hAnsiTheme="majorHAnsi" w:cstheme="majorHAnsi"/>
          <w:color w:val="000000" w:themeColor="text1"/>
          <w:sz w:val="22"/>
          <w:szCs w:val="22"/>
          <w:lang w:eastAsia="ja-JP"/>
        </w:rPr>
        <w:t xml:space="preserve">to </w:t>
      </w:r>
      <w:r w:rsidRPr="005E6B7C">
        <w:rPr>
          <w:rFonts w:asciiTheme="majorHAnsi" w:eastAsia="Yu Mincho" w:hAnsiTheme="majorHAnsi" w:cstheme="majorHAnsi"/>
          <w:color w:val="000000" w:themeColor="text1"/>
          <w:sz w:val="22"/>
          <w:szCs w:val="22"/>
          <w:shd w:val="clear" w:color="auto" w:fill="FFFFFF"/>
          <w:lang w:eastAsia="ja-JP"/>
        </w:rPr>
        <w:t>afford </w:t>
      </w:r>
      <w:r w:rsidRPr="005E6B7C">
        <w:rPr>
          <w:rFonts w:asciiTheme="majorHAnsi" w:eastAsia="Yu Mincho" w:hAnsiTheme="majorHAnsi" w:cstheme="majorHAnsi"/>
          <w:b/>
          <w:color w:val="000000" w:themeColor="text1"/>
          <w:sz w:val="22"/>
          <w:szCs w:val="22"/>
          <w:shd w:val="clear" w:color="auto" w:fill="FFFFFF"/>
          <w:lang w:eastAsia="ja-JP"/>
        </w:rPr>
        <w:t>1</w:t>
      </w:r>
      <w:r w:rsidRPr="005E6B7C">
        <w:rPr>
          <w:rFonts w:asciiTheme="majorHAnsi" w:eastAsia="Yu Mincho" w:hAnsiTheme="majorHAnsi" w:cstheme="majorHAnsi"/>
          <w:color w:val="000000" w:themeColor="text1"/>
          <w:sz w:val="22"/>
          <w:szCs w:val="22"/>
          <w:shd w:val="clear" w:color="auto" w:fill="FFFFFF"/>
          <w:lang w:eastAsia="ja-JP"/>
        </w:rPr>
        <w:t xml:space="preserve"> (3.0 mg). </w:t>
      </w:r>
      <w:r w:rsidRPr="005E6B7C">
        <w:rPr>
          <w:rFonts w:asciiTheme="majorHAnsi" w:eastAsia="Times New Roman" w:hAnsiTheme="majorHAnsi" w:cstheme="majorHAnsi"/>
          <w:color w:val="000000" w:themeColor="text1"/>
          <w:sz w:val="22"/>
          <w:szCs w:val="22"/>
        </w:rPr>
        <w:t xml:space="preserve">Fraction 6.2.7 (89 mg) was subjected to a </w:t>
      </w:r>
      <w:r w:rsidRPr="005E6B7C">
        <w:rPr>
          <w:rFonts w:asciiTheme="majorHAnsi" w:eastAsia="Yu Mincho" w:hAnsiTheme="majorHAnsi" w:cstheme="majorHAnsi"/>
          <w:color w:val="000000" w:themeColor="text1"/>
          <w:sz w:val="22"/>
          <w:szCs w:val="22"/>
          <w:lang w:eastAsia="ja-JP"/>
        </w:rPr>
        <w:t xml:space="preserve">reversed-phase </w:t>
      </w:r>
      <w:r w:rsidR="00894500"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Yu Mincho" w:hAnsiTheme="majorHAnsi" w:cstheme="majorHAnsi"/>
          <w:color w:val="000000" w:themeColor="text1"/>
          <w:sz w:val="22"/>
          <w:szCs w:val="22"/>
          <w:lang w:eastAsia="ja-JP"/>
        </w:rPr>
        <w:t>(</w:t>
      </w:r>
      <w:r w:rsidRPr="005E6B7C">
        <w:rPr>
          <w:rFonts w:asciiTheme="majorHAnsi" w:eastAsia="Times New Roman" w:hAnsiTheme="majorHAnsi" w:cstheme="majorHAnsi"/>
          <w:color w:val="000000" w:themeColor="text1"/>
          <w:sz w:val="22"/>
          <w:szCs w:val="22"/>
          <w:lang w:eastAsia="ja-JP"/>
        </w:rPr>
        <w:t>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O 2:3, ν/ν)</w:t>
      </w:r>
      <w:r w:rsidRPr="005E6B7C">
        <w:rPr>
          <w:rFonts w:asciiTheme="majorHAnsi" w:eastAsia="Yu Mincho" w:hAnsiTheme="majorHAnsi" w:cstheme="majorHAnsi"/>
          <w:color w:val="000000" w:themeColor="text1"/>
          <w:sz w:val="22"/>
          <w:szCs w:val="22"/>
          <w:lang w:eastAsia="ja-JP"/>
        </w:rPr>
        <w:t>, y</w:t>
      </w:r>
      <w:r w:rsidRPr="005E6B7C">
        <w:rPr>
          <w:rFonts w:asciiTheme="majorHAnsi" w:eastAsia="Times New Roman" w:hAnsiTheme="majorHAnsi" w:cstheme="majorHAnsi"/>
          <w:color w:val="000000" w:themeColor="text1"/>
          <w:sz w:val="22"/>
          <w:szCs w:val="22"/>
        </w:rPr>
        <w:t xml:space="preserve">ielding 2 sub-fractions E6.2.7.1 and E6.2.7.2. Fraction 6.2.7.1 (32 mg) was further purified by </w:t>
      </w:r>
      <w:r w:rsidR="00894500"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Yu Mincho" w:hAnsiTheme="majorHAnsi" w:cstheme="majorHAnsi"/>
          <w:color w:val="000000" w:themeColor="text1"/>
          <w:sz w:val="22"/>
          <w:szCs w:val="22"/>
          <w:lang w:eastAsia="ja-JP"/>
        </w:rPr>
        <w:t>(EtOAc</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MeOH</w:t>
      </w:r>
      <w:r w:rsidRPr="005E6B7C">
        <w:rPr>
          <w:rFonts w:asciiTheme="majorHAnsi" w:eastAsia="Yu Mincho" w:hAnsiTheme="majorHAnsi" w:cstheme="majorHAnsi"/>
          <w:iCs/>
          <w:color w:val="000000" w:themeColor="text1"/>
          <w:sz w:val="22"/>
          <w:szCs w:val="22"/>
          <w:lang w:eastAsia="ja-JP"/>
        </w:rPr>
        <w:t xml:space="preserve"> 35:1,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rPr>
        <w:t>to give </w:t>
      </w:r>
      <w:r w:rsidRPr="005E6B7C">
        <w:rPr>
          <w:rFonts w:asciiTheme="majorHAnsi" w:eastAsia="Times New Roman" w:hAnsiTheme="majorHAnsi" w:cstheme="majorHAnsi"/>
          <w:b/>
          <w:bCs/>
          <w:color w:val="000000" w:themeColor="text1"/>
          <w:sz w:val="22"/>
          <w:szCs w:val="22"/>
        </w:rPr>
        <w:t>5</w:t>
      </w:r>
      <w:r w:rsidRPr="005E6B7C">
        <w:rPr>
          <w:rFonts w:asciiTheme="majorHAnsi" w:eastAsia="Times New Roman" w:hAnsiTheme="majorHAnsi" w:cstheme="majorHAnsi"/>
          <w:color w:val="000000" w:themeColor="text1"/>
          <w:sz w:val="22"/>
          <w:szCs w:val="22"/>
        </w:rPr>
        <w:t xml:space="preserve"> (4.1 mg). </w:t>
      </w:r>
      <w:r w:rsidRPr="005E6B7C">
        <w:rPr>
          <w:rFonts w:asciiTheme="majorHAnsi" w:eastAsia="Yu Mincho" w:hAnsiTheme="majorHAnsi" w:cstheme="majorHAnsi"/>
          <w:color w:val="000000" w:themeColor="text1"/>
          <w:sz w:val="22"/>
          <w:szCs w:val="22"/>
          <w:lang w:eastAsia="ja-JP"/>
        </w:rPr>
        <w:t xml:space="preserve">Fraction E6.2.8 (138 mg) was </w:t>
      </w:r>
      <w:r w:rsidRPr="005E6B7C">
        <w:rPr>
          <w:rFonts w:asciiTheme="majorHAnsi" w:eastAsia="Yu Mincho" w:hAnsiTheme="majorHAnsi" w:cstheme="majorHAnsi"/>
          <w:color w:val="000000" w:themeColor="text1"/>
          <w:sz w:val="22"/>
          <w:szCs w:val="22"/>
          <w:shd w:val="clear" w:color="auto" w:fill="FFFFFF"/>
          <w:lang w:eastAsia="ja-JP"/>
        </w:rPr>
        <w:t xml:space="preserve">chromatographed </w:t>
      </w:r>
      <w:r w:rsidRPr="005E6B7C">
        <w:rPr>
          <w:rFonts w:asciiTheme="majorHAnsi" w:eastAsia="Yu Mincho" w:hAnsiTheme="majorHAnsi" w:cstheme="majorHAnsi"/>
          <w:color w:val="000000" w:themeColor="text1"/>
          <w:sz w:val="22"/>
          <w:szCs w:val="22"/>
          <w:lang w:eastAsia="ja-JP"/>
        </w:rPr>
        <w:t xml:space="preserve">by reversed-phase </w:t>
      </w:r>
      <w:r w:rsidR="00894500" w:rsidRPr="005E6B7C">
        <w:rPr>
          <w:rFonts w:asciiTheme="majorHAnsi" w:eastAsia="Yu Mincho" w:hAnsiTheme="majorHAnsi" w:cstheme="majorHAnsi"/>
          <w:i/>
          <w:iCs/>
          <w:color w:val="000000" w:themeColor="text1"/>
          <w:sz w:val="22"/>
          <w:szCs w:val="22"/>
          <w:lang w:eastAsia="ja-JP"/>
        </w:rPr>
        <w:t>silica gel</w:t>
      </w:r>
      <w:r w:rsidRPr="005E6B7C">
        <w:rPr>
          <w:rFonts w:asciiTheme="majorHAnsi" w:eastAsia="Yu Mincho" w:hAnsiTheme="majorHAnsi" w:cstheme="majorHAnsi"/>
          <w:color w:val="000000" w:themeColor="text1"/>
          <w:sz w:val="22"/>
          <w:szCs w:val="22"/>
          <w:lang w:eastAsia="ja-JP"/>
        </w:rPr>
        <w:t xml:space="preserve"> CC (</w:t>
      </w:r>
      <w:r w:rsidRPr="005E6B7C">
        <w:rPr>
          <w:rFonts w:asciiTheme="majorHAnsi" w:eastAsia="Times New Roman" w:hAnsiTheme="majorHAnsi" w:cstheme="majorHAnsi"/>
          <w:color w:val="000000" w:themeColor="text1"/>
          <w:sz w:val="22"/>
          <w:szCs w:val="22"/>
          <w:lang w:eastAsia="ja-JP"/>
        </w:rPr>
        <w:t>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 xml:space="preserve">O 1:1, ν/ν) </w:t>
      </w:r>
      <w:r w:rsidRPr="005E6B7C">
        <w:rPr>
          <w:rFonts w:asciiTheme="majorHAnsi" w:eastAsia="Yu Mincho" w:hAnsiTheme="majorHAnsi" w:cstheme="majorHAnsi"/>
          <w:color w:val="000000" w:themeColor="text1"/>
          <w:sz w:val="22"/>
          <w:szCs w:val="22"/>
          <w:lang w:eastAsia="ja-JP"/>
        </w:rPr>
        <w:t xml:space="preserve">to </w:t>
      </w:r>
      <w:r w:rsidRPr="005E6B7C">
        <w:rPr>
          <w:rFonts w:asciiTheme="majorHAnsi" w:eastAsia="Yu Mincho" w:hAnsiTheme="majorHAnsi" w:cstheme="majorHAnsi"/>
          <w:color w:val="000000" w:themeColor="text1"/>
          <w:sz w:val="22"/>
          <w:szCs w:val="22"/>
          <w:shd w:val="clear" w:color="auto" w:fill="FFFFFF"/>
          <w:lang w:eastAsia="ja-JP"/>
        </w:rPr>
        <w:t>afford </w:t>
      </w:r>
      <w:r w:rsidRPr="005E6B7C">
        <w:rPr>
          <w:rFonts w:asciiTheme="majorHAnsi" w:eastAsia="Yu Mincho" w:hAnsiTheme="majorHAnsi" w:cstheme="majorHAnsi"/>
          <w:b/>
          <w:color w:val="000000" w:themeColor="text1"/>
          <w:sz w:val="22"/>
          <w:szCs w:val="22"/>
          <w:shd w:val="clear" w:color="auto" w:fill="FFFFFF"/>
          <w:lang w:eastAsia="ja-JP"/>
        </w:rPr>
        <w:t>3</w:t>
      </w:r>
      <w:r w:rsidRPr="005E6B7C">
        <w:rPr>
          <w:rFonts w:asciiTheme="majorHAnsi" w:eastAsia="Yu Mincho" w:hAnsiTheme="majorHAnsi" w:cstheme="majorHAnsi"/>
          <w:color w:val="000000" w:themeColor="text1"/>
          <w:sz w:val="22"/>
          <w:szCs w:val="22"/>
          <w:shd w:val="clear" w:color="auto" w:fill="FFFFFF"/>
          <w:lang w:eastAsia="ja-JP"/>
        </w:rPr>
        <w:t xml:space="preserve"> (9.0 mg). </w:t>
      </w:r>
      <w:r w:rsidRPr="005E6B7C">
        <w:rPr>
          <w:rFonts w:asciiTheme="majorHAnsi" w:eastAsia="Times New Roman" w:hAnsiTheme="majorHAnsi" w:cstheme="majorHAnsi"/>
          <w:color w:val="000000" w:themeColor="text1"/>
          <w:sz w:val="22"/>
          <w:szCs w:val="22"/>
        </w:rPr>
        <w:t xml:space="preserve">Fraction E8 (23.4 g) was subjected to </w:t>
      </w:r>
      <w:r w:rsidR="00894500"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eluted with gradient solvents of  </w:t>
      </w:r>
      <w:r w:rsidRPr="005E6B7C">
        <w:rPr>
          <w:rFonts w:asciiTheme="majorHAnsi" w:eastAsia="Times New Roman" w:hAnsiTheme="majorHAnsi" w:cstheme="majorHAnsi"/>
          <w:color w:val="000000" w:themeColor="text1"/>
          <w:sz w:val="22"/>
          <w:szCs w:val="22"/>
          <w:lang w:eastAsia="ja-JP"/>
        </w:rPr>
        <w:t>DCM</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MeOH (10:1 - 100% MeOH, ν/ν)</w:t>
      </w:r>
      <w:r w:rsidRPr="005E6B7C">
        <w:rPr>
          <w:rFonts w:asciiTheme="majorHAnsi" w:eastAsia="Yu Mincho" w:hAnsiTheme="majorHAnsi" w:cstheme="majorHAnsi"/>
          <w:color w:val="000000" w:themeColor="text1"/>
          <w:sz w:val="22"/>
          <w:szCs w:val="22"/>
          <w:lang w:eastAsia="ja-JP"/>
        </w:rPr>
        <w:t>, y</w:t>
      </w:r>
      <w:r w:rsidRPr="005E6B7C">
        <w:rPr>
          <w:rFonts w:asciiTheme="majorHAnsi" w:eastAsia="Times New Roman" w:hAnsiTheme="majorHAnsi" w:cstheme="majorHAnsi"/>
          <w:color w:val="000000" w:themeColor="text1"/>
          <w:sz w:val="22"/>
          <w:szCs w:val="22"/>
        </w:rPr>
        <w:t>ielding 12 fractions E8.1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rPr>
        <w:t xml:space="preserve">E8.12. Fraction E8.9 (6.2 g) was purified by </w:t>
      </w:r>
      <w:r w:rsidRPr="005E6B7C">
        <w:rPr>
          <w:rFonts w:asciiTheme="majorHAnsi" w:eastAsia="Yu Mincho" w:hAnsiTheme="majorHAnsi" w:cstheme="majorHAnsi"/>
          <w:color w:val="000000" w:themeColor="text1"/>
          <w:sz w:val="22"/>
          <w:szCs w:val="22"/>
          <w:lang w:eastAsia="ja-JP"/>
        </w:rPr>
        <w:t>reversed-phase</w:t>
      </w:r>
      <w:r w:rsidRPr="005E6B7C">
        <w:rPr>
          <w:rFonts w:asciiTheme="majorHAnsi" w:eastAsia="Times New Roman" w:hAnsiTheme="majorHAnsi" w:cstheme="majorHAnsi"/>
          <w:color w:val="000000" w:themeColor="text1"/>
          <w:sz w:val="22"/>
          <w:szCs w:val="22"/>
        </w:rPr>
        <w:t xml:space="preserve"> </w:t>
      </w:r>
      <w:r w:rsidR="00894500"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 (</w:t>
      </w:r>
      <w:r w:rsidRPr="005E6B7C">
        <w:rPr>
          <w:rFonts w:asciiTheme="majorHAnsi" w:eastAsia="Times New Roman" w:hAnsiTheme="majorHAnsi" w:cstheme="majorHAnsi"/>
          <w:color w:val="000000" w:themeColor="text1"/>
          <w:sz w:val="22"/>
          <w:szCs w:val="22"/>
          <w:lang w:eastAsia="ja-JP"/>
        </w:rPr>
        <w:t>MeOH</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O 1:2, ν/ν)</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rPr>
        <w:t>to give 12 sub-fractions E8.9.1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Times New Roman" w:hAnsiTheme="majorHAnsi" w:cstheme="majorHAnsi"/>
          <w:color w:val="000000" w:themeColor="text1"/>
          <w:sz w:val="22"/>
          <w:szCs w:val="22"/>
        </w:rPr>
        <w:t>E8.9.12. Fraction E</w:t>
      </w:r>
      <w:r w:rsidRPr="005E6B7C">
        <w:rPr>
          <w:rFonts w:asciiTheme="majorHAnsi" w:eastAsia="Times New Roman" w:hAnsiTheme="majorHAnsi" w:cstheme="majorHAnsi"/>
          <w:bCs/>
          <w:color w:val="000000" w:themeColor="text1"/>
          <w:sz w:val="22"/>
          <w:szCs w:val="22"/>
        </w:rPr>
        <w:t>8.9.2</w:t>
      </w:r>
      <w:r w:rsidRPr="005E6B7C">
        <w:rPr>
          <w:rFonts w:asciiTheme="majorHAnsi" w:eastAsia="Times New Roman" w:hAnsiTheme="majorHAnsi" w:cstheme="majorHAnsi"/>
          <w:color w:val="000000" w:themeColor="text1"/>
          <w:sz w:val="22"/>
          <w:szCs w:val="22"/>
        </w:rPr>
        <w:t xml:space="preserve"> (3.2 g) was separated by reversed-phase </w:t>
      </w:r>
      <w:r w:rsidR="00894500" w:rsidRPr="005E6B7C">
        <w:rPr>
          <w:rFonts w:asciiTheme="majorHAnsi" w:eastAsia="Times New Roman" w:hAnsiTheme="majorHAnsi" w:cstheme="majorHAnsi"/>
          <w:i/>
          <w:iCs/>
          <w:color w:val="000000" w:themeColor="text1"/>
          <w:sz w:val="22"/>
          <w:szCs w:val="22"/>
        </w:rPr>
        <w:t>silica gel</w:t>
      </w:r>
      <w:r w:rsidRPr="005E6B7C">
        <w:rPr>
          <w:rFonts w:asciiTheme="majorHAnsi" w:eastAsia="Times New Roman" w:hAnsiTheme="majorHAnsi" w:cstheme="majorHAnsi"/>
          <w:color w:val="000000" w:themeColor="text1"/>
          <w:sz w:val="22"/>
          <w:szCs w:val="22"/>
        </w:rPr>
        <w:t xml:space="preserve"> CC</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acetone</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v/v</w:t>
      </w:r>
      <w:r w:rsidRPr="005E6B7C">
        <w:rPr>
          <w:rFonts w:asciiTheme="majorHAnsi" w:eastAsia="Yu Mincho" w:hAnsiTheme="majorHAnsi" w:cstheme="majorHAnsi"/>
          <w:iCs/>
          <w:color w:val="000000" w:themeColor="text1"/>
          <w:sz w:val="22"/>
          <w:szCs w:val="22"/>
          <w:lang w:eastAsia="ja-JP"/>
        </w:rPr>
        <w:t>, 19</w:t>
      </w:r>
      <w:r w:rsidRPr="005E6B7C">
        <w:rPr>
          <w:rFonts w:asciiTheme="majorHAnsi" w:eastAsia="Yu Mincho" w:hAnsiTheme="majorHAnsi" w:cstheme="majorHAnsi"/>
          <w:color w:val="000000" w:themeColor="text1"/>
          <w:sz w:val="22"/>
          <w:szCs w:val="22"/>
          <w:lang w:eastAsia="ja-JP"/>
        </w:rPr>
        <w:t>:1), followed by Sephadex LH-20 to afford 3 fractions (E8.9.2.1</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E8.9.2.3)</w:t>
      </w:r>
      <w:r w:rsidRPr="005E6B7C">
        <w:rPr>
          <w:rFonts w:asciiTheme="majorHAnsi" w:eastAsia="Times New Roman" w:hAnsiTheme="majorHAnsi" w:cstheme="majorHAnsi"/>
          <w:color w:val="000000" w:themeColor="text1"/>
          <w:sz w:val="22"/>
          <w:szCs w:val="22"/>
        </w:rPr>
        <w:t>. Fraction 8.9.2.1 (170 mg) was purified by preparative HPLC (acetonitrile</w:t>
      </w:r>
      <w:r w:rsidRPr="005E6B7C">
        <w:rPr>
          <w:rFonts w:asciiTheme="majorHAnsi" w:eastAsia="Times New Roman" w:hAnsiTheme="majorHAnsi" w:cstheme="majorHAnsi"/>
          <w:color w:val="000000" w:themeColor="text1"/>
          <w:sz w:val="22"/>
          <w:szCs w:val="22"/>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 xml:space="preserve">O 13:87 (ν/ν), flow rate: 2.5 mL/min, injection volume 65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 xml:space="preserve">L, detection wavelength 210 nm) to yield compound </w:t>
      </w:r>
      <w:r w:rsidRPr="005E6B7C">
        <w:rPr>
          <w:rFonts w:asciiTheme="majorHAnsi" w:eastAsia="Times New Roman" w:hAnsiTheme="majorHAnsi" w:cstheme="majorHAnsi"/>
          <w:b/>
          <w:bCs/>
          <w:color w:val="000000" w:themeColor="text1"/>
          <w:sz w:val="22"/>
          <w:szCs w:val="22"/>
          <w:lang w:eastAsia="ja-JP"/>
        </w:rPr>
        <w:t>2</w:t>
      </w:r>
      <w:r w:rsidRPr="005E6B7C">
        <w:rPr>
          <w:rFonts w:asciiTheme="majorHAnsi" w:eastAsia="Times New Roman" w:hAnsiTheme="majorHAnsi" w:cstheme="majorHAnsi"/>
          <w:color w:val="000000" w:themeColor="text1"/>
          <w:sz w:val="22"/>
          <w:szCs w:val="22"/>
          <w:lang w:eastAsia="ja-JP"/>
        </w:rPr>
        <w:t xml:space="preserve"> (2.6 mg, t</w:t>
      </w:r>
      <w:r w:rsidRPr="005E6B7C">
        <w:rPr>
          <w:rFonts w:asciiTheme="majorHAnsi" w:eastAsia="Times New Roman" w:hAnsiTheme="majorHAnsi" w:cstheme="majorHAnsi"/>
          <w:color w:val="000000" w:themeColor="text1"/>
          <w:sz w:val="22"/>
          <w:szCs w:val="22"/>
          <w:vertAlign w:val="subscript"/>
          <w:lang w:eastAsia="ja-JP"/>
        </w:rPr>
        <w:t xml:space="preserve">R </w:t>
      </w:r>
      <w:r w:rsidRPr="005E6B7C">
        <w:rPr>
          <w:rFonts w:asciiTheme="majorHAnsi" w:eastAsia="Times New Roman" w:hAnsiTheme="majorHAnsi" w:cstheme="majorHAnsi"/>
          <w:color w:val="000000" w:themeColor="text1"/>
          <w:sz w:val="22"/>
          <w:szCs w:val="22"/>
          <w:lang w:eastAsia="ja-JP"/>
        </w:rPr>
        <w:t xml:space="preserve">= 45 min). </w:t>
      </w:r>
      <w:r w:rsidRPr="005E6B7C">
        <w:rPr>
          <w:rFonts w:asciiTheme="majorHAnsi" w:eastAsia="Times New Roman" w:hAnsiTheme="majorHAnsi" w:cstheme="majorHAnsi"/>
          <w:color w:val="000000" w:themeColor="text1"/>
          <w:sz w:val="22"/>
          <w:szCs w:val="22"/>
        </w:rPr>
        <w:t>Fraction 8.9.2.3 (55 mg) was purified by preparative HPLC (MeOH</w:t>
      </w:r>
      <w:r w:rsidRPr="005E6B7C">
        <w:rPr>
          <w:rFonts w:asciiTheme="majorHAnsi" w:eastAsia="Times New Roman" w:hAnsiTheme="majorHAnsi" w:cstheme="majorHAnsi"/>
          <w:color w:val="000000" w:themeColor="text1"/>
          <w:sz w:val="22"/>
          <w:szCs w:val="22"/>
        </w:rPr>
        <w:sym w:font="Symbol" w:char="F02D"/>
      </w:r>
      <w:r w:rsidRPr="005E6B7C">
        <w:rPr>
          <w:rFonts w:asciiTheme="majorHAnsi" w:eastAsia="Times New Roman"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vertAlign w:val="subscript"/>
          <w:lang w:eastAsia="ja-JP"/>
        </w:rPr>
        <w:t>2</w:t>
      </w:r>
      <w:r w:rsidRPr="005E6B7C">
        <w:rPr>
          <w:rFonts w:asciiTheme="majorHAnsi" w:eastAsia="Times New Roman" w:hAnsiTheme="majorHAnsi" w:cstheme="majorHAnsi"/>
          <w:color w:val="000000" w:themeColor="text1"/>
          <w:sz w:val="22"/>
          <w:szCs w:val="22"/>
          <w:lang w:eastAsia="ja-JP"/>
        </w:rPr>
        <w:t xml:space="preserve">O 43:57 (ν/ν), flow rate: 2.5 mL/min, injection volume 49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 xml:space="preserve">L, detection wavelength 254 nm) to give </w:t>
      </w:r>
      <w:r w:rsidRPr="005E6B7C">
        <w:rPr>
          <w:rFonts w:asciiTheme="majorHAnsi" w:eastAsia="Times New Roman" w:hAnsiTheme="majorHAnsi" w:cstheme="majorHAnsi"/>
          <w:b/>
          <w:color w:val="000000" w:themeColor="text1"/>
          <w:sz w:val="22"/>
          <w:szCs w:val="22"/>
          <w:lang w:eastAsia="ja-JP"/>
        </w:rPr>
        <w:t>4</w:t>
      </w:r>
      <w:r w:rsidRPr="005E6B7C">
        <w:rPr>
          <w:rFonts w:asciiTheme="majorHAnsi" w:eastAsia="Times New Roman" w:hAnsiTheme="majorHAnsi" w:cstheme="majorHAnsi"/>
          <w:color w:val="000000" w:themeColor="text1"/>
          <w:sz w:val="22"/>
          <w:szCs w:val="22"/>
          <w:lang w:eastAsia="ja-JP"/>
        </w:rPr>
        <w:t xml:space="preserve"> (14 mg, t</w:t>
      </w:r>
      <w:r w:rsidRPr="005E6B7C">
        <w:rPr>
          <w:rFonts w:asciiTheme="majorHAnsi" w:eastAsia="Times New Roman" w:hAnsiTheme="majorHAnsi" w:cstheme="majorHAnsi"/>
          <w:color w:val="000000" w:themeColor="text1"/>
          <w:sz w:val="22"/>
          <w:szCs w:val="22"/>
          <w:vertAlign w:val="subscript"/>
          <w:lang w:eastAsia="ja-JP"/>
        </w:rPr>
        <w:t xml:space="preserve">R </w:t>
      </w:r>
      <w:r w:rsidRPr="005E6B7C">
        <w:rPr>
          <w:rFonts w:asciiTheme="majorHAnsi" w:eastAsia="Times New Roman" w:hAnsiTheme="majorHAnsi" w:cstheme="majorHAnsi"/>
          <w:color w:val="000000" w:themeColor="text1"/>
          <w:sz w:val="22"/>
          <w:szCs w:val="22"/>
          <w:lang w:eastAsia="ja-JP"/>
        </w:rPr>
        <w:t>= 15 min).</w:t>
      </w:r>
    </w:p>
    <w:p w14:paraId="191BD51B" w14:textId="59B145BD"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bCs/>
          <w:i/>
          <w:iCs/>
          <w:color w:val="000000" w:themeColor="text1"/>
          <w:sz w:val="22"/>
          <w:szCs w:val="22"/>
          <w:lang w:eastAsia="ja-JP"/>
        </w:rPr>
        <w:t>(+)-Lyoniresinol</w:t>
      </w:r>
      <w:r w:rsidRPr="005E6B7C">
        <w:rPr>
          <w:rFonts w:asciiTheme="majorHAnsi" w:eastAsia="Yu Mincho" w:hAnsiTheme="majorHAnsi" w:cstheme="majorHAnsi"/>
          <w:b/>
          <w:bCs/>
          <w:i/>
          <w:iCs/>
          <w:color w:val="000000" w:themeColor="text1"/>
          <w:sz w:val="22"/>
          <w:szCs w:val="22"/>
          <w:lang w:eastAsia="ja-JP"/>
        </w:rPr>
        <w:t xml:space="preserve"> (1)</w:t>
      </w:r>
      <w:r w:rsidR="00B857B1"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w:t>
      </w:r>
      <w:r w:rsidR="00B857B1" w:rsidRPr="005E6B7C">
        <w:rPr>
          <w:rFonts w:asciiTheme="majorHAnsi" w:eastAsia="Yu Mincho" w:hAnsiTheme="majorHAnsi" w:cstheme="majorHAnsi"/>
          <w:color w:val="000000" w:themeColor="text1"/>
          <w:sz w:val="22"/>
          <w:szCs w:val="22"/>
          <w:lang w:eastAsia="ja-JP"/>
        </w:rPr>
        <w:t>W</w:t>
      </w:r>
      <w:r w:rsidRPr="005E6B7C">
        <w:rPr>
          <w:rFonts w:asciiTheme="majorHAnsi" w:eastAsia="Yu Mincho" w:hAnsiTheme="majorHAnsi" w:cstheme="majorHAnsi"/>
          <w:color w:val="000000" w:themeColor="text1"/>
          <w:sz w:val="22"/>
          <w:szCs w:val="22"/>
          <w:lang w:eastAsia="ja-JP"/>
        </w:rPr>
        <w:t xml:space="preserve">hite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419 [M–H]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lang w:eastAsia="ja-JP"/>
        </w:rPr>
        <w:t>[α]</w:t>
      </w:r>
      <w:r w:rsidRPr="005E6B7C">
        <w:rPr>
          <w:rFonts w:asciiTheme="majorHAnsi" w:eastAsia="Times New Roman" w:hAnsiTheme="majorHAnsi" w:cstheme="majorHAnsi"/>
          <w:color w:val="000000" w:themeColor="text1"/>
          <w:sz w:val="22"/>
          <w:szCs w:val="22"/>
          <w:vertAlign w:val="subscript"/>
          <w:lang w:eastAsia="ja-JP"/>
        </w:rPr>
        <w:t>D</w:t>
      </w:r>
      <w:r w:rsidRPr="005E6B7C">
        <w:rPr>
          <w:rFonts w:asciiTheme="majorHAnsi" w:eastAsia="Times New Roman" w:hAnsiTheme="majorHAnsi" w:cstheme="majorHAnsi"/>
          <w:color w:val="000000" w:themeColor="text1"/>
          <w:sz w:val="22"/>
          <w:szCs w:val="22"/>
          <w:vertAlign w:val="superscript"/>
          <w:lang w:eastAsia="ja-JP"/>
        </w:rPr>
        <w:t>20</w:t>
      </w:r>
      <w:r w:rsidRPr="005E6B7C">
        <w:rPr>
          <w:rFonts w:asciiTheme="majorHAnsi" w:eastAsia="Times New Roman" w:hAnsiTheme="majorHAnsi" w:cstheme="majorHAnsi"/>
          <w:color w:val="000000" w:themeColor="text1"/>
          <w:sz w:val="22"/>
          <w:szCs w:val="22"/>
          <w:lang w:eastAsia="ja-JP"/>
        </w:rPr>
        <w:t xml:space="preserve"> = +17.9 (MeOH, </w:t>
      </w:r>
      <w:r w:rsidRPr="005E6B7C">
        <w:rPr>
          <w:rFonts w:asciiTheme="majorHAnsi" w:eastAsia="Times New Roman" w:hAnsiTheme="majorHAnsi" w:cstheme="majorHAnsi"/>
          <w:i/>
          <w:iCs/>
          <w:color w:val="000000" w:themeColor="text1"/>
          <w:sz w:val="22"/>
          <w:szCs w:val="22"/>
          <w:lang w:eastAsia="ja-JP"/>
        </w:rPr>
        <w:t>c</w:t>
      </w:r>
      <w:r w:rsidRPr="005E6B7C">
        <w:rPr>
          <w:rFonts w:asciiTheme="majorHAnsi" w:eastAsia="Times New Roman" w:hAnsiTheme="majorHAnsi" w:cstheme="majorHAnsi"/>
          <w:color w:val="000000" w:themeColor="text1"/>
          <w:sz w:val="22"/>
          <w:szCs w:val="22"/>
          <w:lang w:eastAsia="ja-JP"/>
        </w:rPr>
        <w:t xml:space="preserve"> = 0.56).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See </w:t>
      </w:r>
      <w:r w:rsidRPr="005E6B7C">
        <w:rPr>
          <w:rFonts w:asciiTheme="majorHAnsi" w:eastAsia="Yu Mincho" w:hAnsiTheme="majorHAnsi" w:cstheme="majorHAnsi"/>
          <w:b/>
          <w:color w:val="000000" w:themeColor="text1"/>
          <w:sz w:val="22"/>
          <w:szCs w:val="22"/>
          <w:lang w:eastAsia="ja-JP"/>
        </w:rPr>
        <w:t>Table 1</w:t>
      </w:r>
      <w:r w:rsidRPr="005E6B7C">
        <w:rPr>
          <w:rFonts w:asciiTheme="majorHAnsi" w:eastAsia="Yu Mincho" w:hAnsiTheme="majorHAnsi" w:cstheme="majorHAnsi"/>
          <w:color w:val="000000" w:themeColor="text1"/>
          <w:sz w:val="22"/>
          <w:szCs w:val="22"/>
          <w:lang w:eastAsia="ja-JP"/>
        </w:rPr>
        <w:t>.</w:t>
      </w:r>
    </w:p>
    <w:p w14:paraId="5BCB2CDF" w14:textId="55828536"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bCs/>
          <w:i/>
          <w:iCs/>
          <w:color w:val="000000" w:themeColor="text1"/>
          <w:sz w:val="22"/>
          <w:szCs w:val="22"/>
          <w:lang w:eastAsia="ja-JP"/>
        </w:rPr>
        <w:t xml:space="preserve">(+)-Lyoniresinol 9ʹ-O-β-D-glucopyranoside </w:t>
      </w:r>
      <w:r w:rsidRPr="005E6B7C">
        <w:rPr>
          <w:rFonts w:asciiTheme="majorHAnsi" w:eastAsia="Yu Mincho" w:hAnsiTheme="majorHAnsi" w:cstheme="majorHAnsi"/>
          <w:b/>
          <w:bCs/>
          <w:i/>
          <w:iCs/>
          <w:color w:val="000000" w:themeColor="text1"/>
          <w:sz w:val="22"/>
          <w:szCs w:val="22"/>
          <w:lang w:eastAsia="ja-JP"/>
        </w:rPr>
        <w:t xml:space="preserve">(2): </w:t>
      </w:r>
      <w:r w:rsidR="00B857B1" w:rsidRPr="005E6B7C">
        <w:rPr>
          <w:rFonts w:asciiTheme="majorHAnsi" w:eastAsia="Yu Mincho" w:hAnsiTheme="majorHAnsi" w:cstheme="majorHAnsi"/>
          <w:color w:val="000000" w:themeColor="text1"/>
          <w:sz w:val="22"/>
          <w:szCs w:val="22"/>
          <w:lang w:eastAsia="ja-JP"/>
        </w:rPr>
        <w:t>W</w:t>
      </w:r>
      <w:r w:rsidRPr="005E6B7C">
        <w:rPr>
          <w:rFonts w:asciiTheme="majorHAnsi" w:eastAsia="Yu Mincho" w:hAnsiTheme="majorHAnsi" w:cstheme="majorHAnsi"/>
          <w:color w:val="000000" w:themeColor="text1"/>
          <w:sz w:val="22"/>
          <w:szCs w:val="22"/>
          <w:lang w:eastAsia="ja-JP"/>
        </w:rPr>
        <w:t xml:space="preserve">hite solid; </w:t>
      </w:r>
      <w:r w:rsidRPr="005E6B7C">
        <w:rPr>
          <w:rFonts w:asciiTheme="majorHAnsi" w:eastAsia="Times New Roman" w:hAnsiTheme="majorHAnsi" w:cstheme="majorHAnsi"/>
          <w:color w:val="000000" w:themeColor="text1"/>
          <w:sz w:val="22"/>
          <w:szCs w:val="22"/>
          <w:lang w:eastAsia="ja-JP"/>
        </w:rPr>
        <w:t>[α]</w:t>
      </w:r>
      <w:r w:rsidRPr="005E6B7C">
        <w:rPr>
          <w:rFonts w:asciiTheme="majorHAnsi" w:eastAsia="Times New Roman" w:hAnsiTheme="majorHAnsi" w:cstheme="majorHAnsi"/>
          <w:color w:val="000000" w:themeColor="text1"/>
          <w:sz w:val="22"/>
          <w:szCs w:val="22"/>
          <w:vertAlign w:val="subscript"/>
          <w:lang w:eastAsia="ja-JP"/>
        </w:rPr>
        <w:t>D</w:t>
      </w:r>
      <w:r w:rsidRPr="005E6B7C">
        <w:rPr>
          <w:rFonts w:asciiTheme="majorHAnsi" w:eastAsia="Times New Roman" w:hAnsiTheme="majorHAnsi" w:cstheme="majorHAnsi"/>
          <w:color w:val="000000" w:themeColor="text1"/>
          <w:sz w:val="22"/>
          <w:szCs w:val="22"/>
          <w:vertAlign w:val="superscript"/>
          <w:lang w:eastAsia="ja-JP"/>
        </w:rPr>
        <w:t>20</w:t>
      </w:r>
      <w:r w:rsidRPr="005E6B7C">
        <w:rPr>
          <w:rFonts w:asciiTheme="majorHAnsi" w:eastAsia="Times New Roman" w:hAnsiTheme="majorHAnsi" w:cstheme="majorHAnsi"/>
          <w:color w:val="000000" w:themeColor="text1"/>
          <w:sz w:val="22"/>
          <w:szCs w:val="22"/>
          <w:lang w:eastAsia="ja-JP"/>
        </w:rPr>
        <w:t xml:space="preserve"> = +60.1 (MeOH, </w:t>
      </w:r>
      <w:r w:rsidRPr="005E6B7C">
        <w:rPr>
          <w:rFonts w:asciiTheme="majorHAnsi" w:eastAsia="Times New Roman" w:hAnsiTheme="majorHAnsi" w:cstheme="majorHAnsi"/>
          <w:i/>
          <w:iCs/>
          <w:color w:val="000000" w:themeColor="text1"/>
          <w:sz w:val="22"/>
          <w:szCs w:val="22"/>
          <w:lang w:eastAsia="ja-JP"/>
        </w:rPr>
        <w:t>c</w:t>
      </w:r>
      <w:r w:rsidRPr="005E6B7C">
        <w:rPr>
          <w:rFonts w:asciiTheme="majorHAnsi" w:eastAsia="Times New Roman" w:hAnsiTheme="majorHAnsi" w:cstheme="majorHAnsi"/>
          <w:color w:val="000000" w:themeColor="text1"/>
          <w:sz w:val="22"/>
          <w:szCs w:val="22"/>
          <w:lang w:eastAsia="ja-JP"/>
        </w:rPr>
        <w:t xml:space="preserve"> = 0.33). </w:t>
      </w:r>
      <w:r w:rsidRPr="005E6B7C">
        <w:rPr>
          <w:rFonts w:asciiTheme="majorHAnsi" w:eastAsia="Yu Mincho" w:hAnsiTheme="majorHAnsi" w:cstheme="majorHAnsi"/>
          <w:color w:val="000000" w:themeColor="text1"/>
          <w:sz w:val="22"/>
          <w:szCs w:val="22"/>
          <w:lang w:eastAsia="ja-JP"/>
        </w:rPr>
        <w:t xml:space="preserve">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581 [M–H]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See </w:t>
      </w:r>
      <w:r w:rsidRPr="005E6B7C">
        <w:rPr>
          <w:rFonts w:asciiTheme="majorHAnsi" w:eastAsia="Yu Mincho" w:hAnsiTheme="majorHAnsi" w:cstheme="majorHAnsi"/>
          <w:b/>
          <w:color w:val="000000" w:themeColor="text1"/>
          <w:sz w:val="22"/>
          <w:szCs w:val="22"/>
          <w:lang w:eastAsia="ja-JP"/>
        </w:rPr>
        <w:t>Table 1</w:t>
      </w:r>
      <w:r w:rsidRPr="005E6B7C">
        <w:rPr>
          <w:rFonts w:asciiTheme="majorHAnsi" w:eastAsia="Yu Mincho" w:hAnsiTheme="majorHAnsi" w:cstheme="majorHAnsi"/>
          <w:color w:val="000000" w:themeColor="text1"/>
          <w:sz w:val="22"/>
          <w:szCs w:val="22"/>
          <w:lang w:eastAsia="ja-JP"/>
        </w:rPr>
        <w:t xml:space="preserve">. </w:t>
      </w:r>
    </w:p>
    <w:p w14:paraId="1C854C78" w14:textId="2A7C8E47"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i/>
          <w:iCs/>
          <w:color w:val="000000" w:themeColor="text1"/>
          <w:spacing w:val="-8"/>
          <w:sz w:val="22"/>
          <w:szCs w:val="22"/>
          <w:lang w:eastAsia="ja-JP"/>
        </w:rPr>
        <w:t>2-Methyl-1,3,6-trihydroxy-9,10-anthraquinone 3-O-β-D-glucopyranoside</w:t>
      </w:r>
      <w:r w:rsidRPr="005E6B7C">
        <w:rPr>
          <w:rFonts w:asciiTheme="majorHAnsi" w:eastAsia="Times New Roman" w:hAnsiTheme="majorHAnsi" w:cstheme="majorHAnsi"/>
          <w:b/>
          <w:i/>
          <w:iCs/>
          <w:color w:val="000000" w:themeColor="text1"/>
          <w:spacing w:val="-8"/>
          <w:sz w:val="22"/>
          <w:szCs w:val="22"/>
          <w:lang w:val="vi-VN"/>
        </w:rPr>
        <w:t xml:space="preserve"> (</w:t>
      </w:r>
      <w:r w:rsidRPr="005E6B7C">
        <w:rPr>
          <w:rFonts w:asciiTheme="majorHAnsi" w:eastAsia="Times New Roman" w:hAnsiTheme="majorHAnsi" w:cstheme="majorHAnsi"/>
          <w:b/>
          <w:i/>
          <w:iCs/>
          <w:color w:val="000000" w:themeColor="text1"/>
          <w:spacing w:val="-8"/>
          <w:sz w:val="22"/>
          <w:szCs w:val="22"/>
        </w:rPr>
        <w:t>3</w:t>
      </w:r>
      <w:r w:rsidRPr="005E6B7C">
        <w:rPr>
          <w:rFonts w:asciiTheme="majorHAnsi" w:eastAsia="Times New Roman" w:hAnsiTheme="majorHAnsi" w:cstheme="majorHAnsi"/>
          <w:b/>
          <w:i/>
          <w:iCs/>
          <w:color w:val="000000" w:themeColor="text1"/>
          <w:spacing w:val="-8"/>
          <w:sz w:val="22"/>
          <w:szCs w:val="22"/>
          <w:lang w:val="vi-VN"/>
        </w:rPr>
        <w:t>)</w:t>
      </w:r>
      <w:r w:rsidRPr="005E6B7C">
        <w:rPr>
          <w:rFonts w:asciiTheme="majorHAnsi" w:eastAsia="Times New Roman" w:hAnsiTheme="majorHAnsi" w:cstheme="majorHAnsi"/>
          <w:b/>
          <w:i/>
          <w:iCs/>
          <w:color w:val="000000" w:themeColor="text1"/>
          <w:spacing w:val="-8"/>
          <w:sz w:val="22"/>
          <w:szCs w:val="22"/>
        </w:rPr>
        <w:t>:</w:t>
      </w:r>
      <w:r w:rsidRPr="005E6B7C">
        <w:rPr>
          <w:rFonts w:asciiTheme="majorHAnsi" w:eastAsia="Yu Mincho" w:hAnsiTheme="majorHAnsi" w:cstheme="majorHAnsi"/>
          <w:color w:val="000000" w:themeColor="text1"/>
          <w:sz w:val="22"/>
          <w:szCs w:val="22"/>
          <w:lang w:eastAsia="ja-JP"/>
        </w:rPr>
        <w:t xml:space="preserve"> </w:t>
      </w:r>
      <w:r w:rsidR="00B857B1" w:rsidRPr="005E6B7C">
        <w:rPr>
          <w:rFonts w:asciiTheme="majorHAnsi" w:eastAsia="Yu Mincho" w:hAnsiTheme="majorHAnsi" w:cstheme="majorHAnsi"/>
          <w:color w:val="000000" w:themeColor="text1"/>
          <w:sz w:val="22"/>
          <w:szCs w:val="22"/>
          <w:lang w:eastAsia="ja-JP"/>
        </w:rPr>
        <w:t>Y</w:t>
      </w:r>
      <w:r w:rsidRPr="005E6B7C">
        <w:rPr>
          <w:rFonts w:asciiTheme="majorHAnsi" w:eastAsia="Yu Mincho" w:hAnsiTheme="majorHAnsi" w:cstheme="majorHAnsi"/>
          <w:color w:val="000000" w:themeColor="text1"/>
          <w:sz w:val="22"/>
          <w:szCs w:val="22"/>
          <w:lang w:eastAsia="ja-JP"/>
        </w:rPr>
        <w:t xml:space="preserve">ellow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291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See </w:t>
      </w:r>
      <w:r w:rsidRPr="005E6B7C">
        <w:rPr>
          <w:rFonts w:asciiTheme="majorHAnsi" w:eastAsia="Yu Mincho" w:hAnsiTheme="majorHAnsi" w:cstheme="majorHAnsi"/>
          <w:b/>
          <w:color w:val="000000" w:themeColor="text1"/>
          <w:sz w:val="22"/>
          <w:szCs w:val="22"/>
          <w:lang w:eastAsia="ja-JP"/>
        </w:rPr>
        <w:t>Table 2</w:t>
      </w:r>
      <w:r w:rsidRPr="005E6B7C">
        <w:rPr>
          <w:rFonts w:asciiTheme="majorHAnsi" w:eastAsia="Yu Mincho" w:hAnsiTheme="majorHAnsi" w:cstheme="majorHAnsi"/>
          <w:color w:val="000000" w:themeColor="text1"/>
          <w:sz w:val="22"/>
          <w:szCs w:val="22"/>
          <w:lang w:eastAsia="ja-JP"/>
        </w:rPr>
        <w:t>.</w:t>
      </w:r>
    </w:p>
    <w:p w14:paraId="40D348D2" w14:textId="71F25091"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i/>
          <w:iCs/>
          <w:color w:val="000000" w:themeColor="text1"/>
          <w:sz w:val="22"/>
          <w:szCs w:val="22"/>
          <w:lang w:eastAsia="ja-JP"/>
        </w:rPr>
        <w:t xml:space="preserve">3-O-β-D-Glucopyranosyl (3S)-l-octene-3-ol </w:t>
      </w:r>
      <w:r w:rsidRPr="005E6B7C">
        <w:rPr>
          <w:rFonts w:asciiTheme="majorHAnsi" w:eastAsia="Yu Mincho" w:hAnsiTheme="majorHAnsi" w:cstheme="majorHAnsi"/>
          <w:b/>
          <w:i/>
          <w:iCs/>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w:t>
      </w:r>
      <w:r w:rsidR="00B857B1" w:rsidRPr="005E6B7C">
        <w:rPr>
          <w:rFonts w:asciiTheme="majorHAnsi" w:eastAsia="Yu Mincho" w:hAnsiTheme="majorHAnsi" w:cstheme="majorHAnsi"/>
          <w:color w:val="000000" w:themeColor="text1"/>
          <w:sz w:val="22"/>
          <w:szCs w:val="22"/>
          <w:lang w:eastAsia="ja-JP"/>
        </w:rPr>
        <w:t>Y</w:t>
      </w:r>
      <w:r w:rsidRPr="005E6B7C">
        <w:rPr>
          <w:rFonts w:asciiTheme="majorHAnsi" w:eastAsia="Yu Mincho" w:hAnsiTheme="majorHAnsi" w:cstheme="majorHAnsi"/>
          <w:color w:val="000000" w:themeColor="text1"/>
          <w:sz w:val="22"/>
          <w:szCs w:val="22"/>
          <w:lang w:eastAsia="ja-JP"/>
        </w:rPr>
        <w:t xml:space="preserve">ellow solid, </w:t>
      </w:r>
      <w:r w:rsidRPr="005E6B7C">
        <w:rPr>
          <w:rFonts w:asciiTheme="majorHAnsi" w:eastAsia="Times New Roman" w:hAnsiTheme="majorHAnsi" w:cstheme="majorHAnsi"/>
          <w:color w:val="000000" w:themeColor="text1"/>
          <w:sz w:val="22"/>
          <w:szCs w:val="22"/>
          <w:lang w:eastAsia="ja-JP"/>
        </w:rPr>
        <w:t>[α]</w:t>
      </w:r>
      <w:r w:rsidRPr="005E6B7C">
        <w:rPr>
          <w:rFonts w:asciiTheme="majorHAnsi" w:eastAsia="Times New Roman" w:hAnsiTheme="majorHAnsi" w:cstheme="majorHAnsi"/>
          <w:color w:val="000000" w:themeColor="text1"/>
          <w:sz w:val="22"/>
          <w:szCs w:val="22"/>
          <w:vertAlign w:val="subscript"/>
          <w:lang w:eastAsia="ja-JP"/>
        </w:rPr>
        <w:t>D</w:t>
      </w:r>
      <w:r w:rsidRPr="005E6B7C">
        <w:rPr>
          <w:rFonts w:asciiTheme="majorHAnsi" w:eastAsia="Times New Roman" w:hAnsiTheme="majorHAnsi" w:cstheme="majorHAnsi"/>
          <w:color w:val="000000" w:themeColor="text1"/>
          <w:sz w:val="22"/>
          <w:szCs w:val="22"/>
          <w:vertAlign w:val="superscript"/>
          <w:lang w:eastAsia="ja-JP"/>
        </w:rPr>
        <w:t>20</w:t>
      </w:r>
      <w:r w:rsidRPr="005E6B7C">
        <w:rPr>
          <w:rFonts w:asciiTheme="majorHAnsi" w:eastAsia="Times New Roman" w:hAnsiTheme="majorHAnsi" w:cstheme="majorHAnsi"/>
          <w:color w:val="000000" w:themeColor="text1"/>
          <w:sz w:val="22"/>
          <w:szCs w:val="22"/>
          <w:lang w:eastAsia="ja-JP"/>
        </w:rPr>
        <w:t xml:space="preserve"> = -7,9 (MeOH, </w:t>
      </w:r>
      <w:r w:rsidRPr="005E6B7C">
        <w:rPr>
          <w:rFonts w:asciiTheme="majorHAnsi" w:eastAsia="Times New Roman" w:hAnsiTheme="majorHAnsi" w:cstheme="majorHAnsi"/>
          <w:i/>
          <w:iCs/>
          <w:color w:val="000000" w:themeColor="text1"/>
          <w:sz w:val="22"/>
          <w:szCs w:val="22"/>
          <w:lang w:eastAsia="ja-JP"/>
        </w:rPr>
        <w:t>c</w:t>
      </w:r>
      <w:r w:rsidRPr="005E6B7C">
        <w:rPr>
          <w:rFonts w:asciiTheme="majorHAnsi" w:eastAsia="Times New Roman" w:hAnsiTheme="majorHAnsi" w:cstheme="majorHAnsi"/>
          <w:color w:val="000000" w:themeColor="text1"/>
          <w:sz w:val="22"/>
          <w:szCs w:val="22"/>
          <w:lang w:eastAsia="ja-JP"/>
        </w:rPr>
        <w:t xml:space="preserve"> = 1,27).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(600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and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 (125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See </w:t>
      </w:r>
      <w:r w:rsidRPr="005E6B7C">
        <w:rPr>
          <w:rFonts w:asciiTheme="majorHAnsi" w:eastAsia="Yu Mincho" w:hAnsiTheme="majorHAnsi" w:cstheme="majorHAnsi"/>
          <w:b/>
          <w:color w:val="000000" w:themeColor="text1"/>
          <w:sz w:val="22"/>
          <w:szCs w:val="22"/>
          <w:lang w:eastAsia="ja-JP"/>
        </w:rPr>
        <w:t>Table 2</w:t>
      </w:r>
      <w:r w:rsidRPr="005E6B7C">
        <w:rPr>
          <w:rFonts w:asciiTheme="majorHAnsi" w:eastAsia="Yu Mincho" w:hAnsiTheme="majorHAnsi" w:cstheme="majorHAnsi"/>
          <w:color w:val="000000" w:themeColor="text1"/>
          <w:sz w:val="22"/>
          <w:szCs w:val="22"/>
          <w:lang w:eastAsia="ja-JP"/>
        </w:rPr>
        <w:t xml:space="preserve">. </w:t>
      </w:r>
    </w:p>
    <w:p w14:paraId="049D8718" w14:textId="13DDBC48"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Times New Roman" w:hAnsiTheme="majorHAnsi" w:cstheme="majorHAnsi"/>
          <w:b/>
          <w:i/>
          <w:iCs/>
          <w:color w:val="000000" w:themeColor="text1"/>
          <w:sz w:val="22"/>
          <w:szCs w:val="22"/>
          <w:lang w:eastAsia="ja-JP"/>
        </w:rPr>
        <w:t>Uracil</w:t>
      </w:r>
      <w:r w:rsidRPr="005E6B7C">
        <w:rPr>
          <w:rFonts w:asciiTheme="majorHAnsi" w:eastAsia="Yu Mincho" w:hAnsiTheme="majorHAnsi" w:cstheme="majorHAnsi"/>
          <w:b/>
          <w:i/>
          <w:iCs/>
          <w:color w:val="000000" w:themeColor="text1"/>
          <w:sz w:val="22"/>
          <w:szCs w:val="22"/>
          <w:lang w:eastAsia="ja-JP"/>
        </w:rPr>
        <w:t xml:space="preserve"> (5)</w:t>
      </w:r>
      <w:r w:rsidR="00B857B1" w:rsidRPr="005E6B7C">
        <w:rPr>
          <w:rFonts w:asciiTheme="majorHAnsi" w:eastAsia="Yu Mincho" w:hAnsiTheme="majorHAnsi" w:cstheme="majorHAnsi"/>
          <w:b/>
          <w: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w:t>
      </w:r>
      <w:r w:rsidR="00B857B1" w:rsidRPr="005E6B7C">
        <w:rPr>
          <w:rFonts w:asciiTheme="majorHAnsi" w:eastAsia="Yu Mincho" w:hAnsiTheme="majorHAnsi" w:cstheme="majorHAnsi"/>
          <w:color w:val="000000" w:themeColor="text1"/>
          <w:sz w:val="22"/>
          <w:szCs w:val="22"/>
          <w:lang w:eastAsia="ja-JP"/>
        </w:rPr>
        <w:t>Y</w:t>
      </w:r>
      <w:r w:rsidRPr="005E6B7C">
        <w:rPr>
          <w:rFonts w:asciiTheme="majorHAnsi" w:eastAsia="Yu Mincho" w:hAnsiTheme="majorHAnsi" w:cstheme="majorHAnsi"/>
          <w:color w:val="000000" w:themeColor="text1"/>
          <w:sz w:val="22"/>
          <w:szCs w:val="22"/>
          <w:lang w:eastAsia="ja-JP"/>
        </w:rPr>
        <w:t xml:space="preserve">ellow solid. ESI-MS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111.2 [M–H]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H-NMR (500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Times New Roman" w:hAnsiTheme="majorHAnsi" w:cstheme="majorHAnsi"/>
          <w:color w:val="000000" w:themeColor="text1"/>
          <w:sz w:val="22"/>
          <w:szCs w:val="22"/>
          <w:lang w:eastAsia="ja-JP"/>
        </w:rPr>
        <w:t xml:space="preserve">5.61 (1H, d, </w:t>
      </w:r>
      <w:r w:rsidRPr="005E6B7C">
        <w:rPr>
          <w:rFonts w:asciiTheme="majorHAnsi" w:eastAsia="Times New Roman" w:hAnsiTheme="majorHAnsi" w:cstheme="majorHAnsi"/>
          <w:i/>
          <w:iCs/>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7.5 Hz, H-5)</w:t>
      </w:r>
      <w:r w:rsidRPr="005E6B7C">
        <w:rPr>
          <w:rFonts w:asciiTheme="majorHAnsi" w:eastAsia="Yu Mincho" w:hAnsiTheme="majorHAnsi" w:cstheme="majorHAnsi"/>
          <w:color w:val="000000" w:themeColor="text1"/>
          <w:sz w:val="22"/>
          <w:szCs w:val="22"/>
          <w:lang w:eastAsia="ja-JP"/>
        </w:rPr>
        <w:t>,</w:t>
      </w:r>
      <w:r w:rsidRPr="005E6B7C">
        <w:rPr>
          <w:rFonts w:asciiTheme="majorHAnsi" w:eastAsia="Times New Roman" w:hAnsiTheme="majorHAnsi" w:cstheme="majorHAnsi"/>
          <w:color w:val="000000" w:themeColor="text1"/>
          <w:sz w:val="22"/>
          <w:szCs w:val="22"/>
          <w:lang w:eastAsia="ja-JP"/>
        </w:rPr>
        <w:t xml:space="preserve"> 7.38 (1H, d, </w:t>
      </w:r>
      <w:r w:rsidRPr="005E6B7C">
        <w:rPr>
          <w:rFonts w:asciiTheme="majorHAnsi" w:eastAsia="Times New Roman" w:hAnsiTheme="majorHAnsi" w:cstheme="majorHAnsi"/>
          <w:i/>
          <w:iCs/>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7.5 Hz, </w:t>
      </w:r>
      <w:r w:rsidRPr="005E6B7C">
        <w:rPr>
          <w:rFonts w:asciiTheme="majorHAnsi" w:eastAsia="Times New Roman" w:hAnsiTheme="majorHAnsi" w:cstheme="majorHAnsi"/>
          <w:color w:val="000000" w:themeColor="text1"/>
          <w:sz w:val="22"/>
          <w:szCs w:val="22"/>
          <w:lang w:eastAsia="ja-JP"/>
        </w:rPr>
        <w:lastRenderedPageBreak/>
        <w:t xml:space="preserve">H-6).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C-NMR</w:t>
      </w:r>
      <w:r w:rsidRPr="005E6B7C">
        <w:rPr>
          <w:rFonts w:asciiTheme="majorHAnsi" w:eastAsia="Yu Mincho" w:hAnsiTheme="majorHAnsi" w:cstheme="majorHAnsi"/>
          <w:b/>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(125 MHz, CD</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OD):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 xml:space="preserve">151.5 (C-2), 167.3 (C-4), 101.7 (C-5), 143.5 (C-6). </w:t>
      </w:r>
    </w:p>
    <w:p w14:paraId="2A545F4A" w14:textId="1BDE4624"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val="pt-BR" w:eastAsia="ja-JP"/>
        </w:rPr>
      </w:pPr>
      <w:r w:rsidRPr="005E6B7C">
        <w:rPr>
          <w:rFonts w:asciiTheme="majorHAnsi" w:eastAsia="Times New Roman" w:hAnsiTheme="majorHAnsi" w:cstheme="majorHAnsi"/>
          <w:b/>
          <w:i/>
          <w:iCs/>
          <w:color w:val="000000" w:themeColor="text1"/>
          <w:sz w:val="22"/>
          <w:szCs w:val="22"/>
          <w:lang w:val="pt-BR" w:eastAsia="ja-JP"/>
        </w:rPr>
        <w:t>Stigmasterol</w:t>
      </w:r>
      <w:r w:rsidRPr="005E6B7C">
        <w:rPr>
          <w:rFonts w:asciiTheme="majorHAnsi" w:eastAsia="Yu Mincho" w:hAnsiTheme="majorHAnsi" w:cstheme="majorHAnsi"/>
          <w:b/>
          <w:i/>
          <w:iCs/>
          <w:color w:val="000000" w:themeColor="text1"/>
          <w:sz w:val="22"/>
          <w:szCs w:val="22"/>
          <w:lang w:val="pt-BR" w:eastAsia="ja-JP"/>
        </w:rPr>
        <w:t xml:space="preserve"> (6)</w:t>
      </w:r>
      <w:r w:rsidR="00B857B1" w:rsidRPr="005E6B7C">
        <w:rPr>
          <w:rFonts w:asciiTheme="majorHAnsi" w:eastAsia="Yu Mincho" w:hAnsiTheme="majorHAnsi" w:cstheme="majorHAnsi"/>
          <w:b/>
          <w:i/>
          <w:iCs/>
          <w:color w:val="000000" w:themeColor="text1"/>
          <w:sz w:val="22"/>
          <w:szCs w:val="22"/>
          <w:lang w:val="pt-BR" w:eastAsia="ja-JP"/>
        </w:rPr>
        <w:t>:</w:t>
      </w:r>
      <w:r w:rsidRPr="005E6B7C">
        <w:rPr>
          <w:rFonts w:asciiTheme="majorHAnsi" w:eastAsia="Yu Mincho" w:hAnsiTheme="majorHAnsi" w:cstheme="majorHAnsi"/>
          <w:color w:val="000000" w:themeColor="text1"/>
          <w:sz w:val="22"/>
          <w:szCs w:val="22"/>
          <w:lang w:val="pt-BR" w:eastAsia="ja-JP"/>
        </w:rPr>
        <w:t xml:space="preserve"> </w:t>
      </w:r>
      <w:r w:rsidR="00B857B1" w:rsidRPr="005E6B7C">
        <w:rPr>
          <w:rFonts w:asciiTheme="majorHAnsi" w:eastAsia="Yu Mincho" w:hAnsiTheme="majorHAnsi" w:cstheme="majorHAnsi"/>
          <w:color w:val="000000" w:themeColor="text1"/>
          <w:sz w:val="22"/>
          <w:szCs w:val="22"/>
          <w:lang w:val="pt-BR" w:eastAsia="ja-JP"/>
        </w:rPr>
        <w:t>W</w:t>
      </w:r>
      <w:r w:rsidRPr="005E6B7C">
        <w:rPr>
          <w:rFonts w:asciiTheme="majorHAnsi" w:eastAsia="Yu Mincho" w:hAnsiTheme="majorHAnsi" w:cstheme="majorHAnsi"/>
          <w:color w:val="000000" w:themeColor="text1"/>
          <w:sz w:val="22"/>
          <w:szCs w:val="22"/>
          <w:lang w:val="pt-BR" w:eastAsia="ja-JP"/>
        </w:rPr>
        <w:t xml:space="preserve">hite solid, ESI-MS </w:t>
      </w:r>
      <w:r w:rsidRPr="005E6B7C">
        <w:rPr>
          <w:rFonts w:asciiTheme="majorHAnsi" w:eastAsia="Yu Mincho" w:hAnsiTheme="majorHAnsi" w:cstheme="majorHAnsi"/>
          <w:i/>
          <w:color w:val="000000" w:themeColor="text1"/>
          <w:sz w:val="22"/>
          <w:szCs w:val="22"/>
          <w:lang w:val="pt-BR" w:eastAsia="ja-JP"/>
        </w:rPr>
        <w:t>m/z</w:t>
      </w:r>
      <w:r w:rsidRPr="005E6B7C">
        <w:rPr>
          <w:rFonts w:asciiTheme="majorHAnsi" w:eastAsia="Yu Mincho" w:hAnsiTheme="majorHAnsi" w:cstheme="majorHAnsi"/>
          <w:color w:val="000000" w:themeColor="text1"/>
          <w:sz w:val="22"/>
          <w:szCs w:val="22"/>
          <w:lang w:val="pt-BR" w:eastAsia="ja-JP"/>
        </w:rPr>
        <w:t xml:space="preserve"> 413 [M+H]</w:t>
      </w:r>
      <w:r w:rsidRPr="005E6B7C">
        <w:rPr>
          <w:rFonts w:asciiTheme="majorHAnsi" w:eastAsia="Yu Mincho" w:hAnsiTheme="majorHAnsi" w:cstheme="majorHAnsi"/>
          <w:color w:val="000000" w:themeColor="text1"/>
          <w:sz w:val="22"/>
          <w:szCs w:val="22"/>
          <w:vertAlign w:val="superscript"/>
          <w:lang w:val="pt-BR" w:eastAsia="ja-JP"/>
        </w:rPr>
        <w:t>+</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vertAlign w:val="superscript"/>
          <w:lang w:val="pt-BR" w:eastAsia="ja-JP"/>
        </w:rPr>
        <w:t>1</w:t>
      </w:r>
      <w:r w:rsidRPr="005E6B7C">
        <w:rPr>
          <w:rFonts w:asciiTheme="majorHAnsi" w:eastAsia="Yu Mincho" w:hAnsiTheme="majorHAnsi" w:cstheme="majorHAnsi"/>
          <w:color w:val="000000" w:themeColor="text1"/>
          <w:sz w:val="22"/>
          <w:szCs w:val="22"/>
          <w:lang w:val="pt-BR" w:eastAsia="ja-JP"/>
        </w:rPr>
        <w:t>H-NMR (600 MHz, 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H  </w:t>
      </w:r>
      <w:r w:rsidRPr="005E6B7C">
        <w:rPr>
          <w:rFonts w:asciiTheme="majorHAnsi" w:eastAsia="Yu Mincho" w:hAnsiTheme="majorHAnsi" w:cstheme="majorHAnsi"/>
          <w:color w:val="000000" w:themeColor="text1"/>
          <w:sz w:val="22"/>
          <w:szCs w:val="22"/>
          <w:lang w:val="pt-BR" w:eastAsia="ja-JP"/>
        </w:rPr>
        <w:t xml:space="preserve">3.52 (1H, </w:t>
      </w:r>
      <w:r w:rsidRPr="005E6B7C">
        <w:rPr>
          <w:rFonts w:asciiTheme="majorHAnsi" w:eastAsia="Yu Mincho" w:hAnsiTheme="majorHAnsi" w:cstheme="majorHAns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 xml:space="preserve">, H-3), 5.34 (1H, </w:t>
      </w:r>
      <w:r w:rsidRPr="005E6B7C">
        <w:rPr>
          <w:rFonts w:asciiTheme="majorHAnsi" w:eastAsia="Yu Mincho" w:hAnsiTheme="majorHAnsi" w:cstheme="majorHAnsi"/>
          <w:iCs/>
          <w:color w:val="000000" w:themeColor="text1"/>
          <w:sz w:val="22"/>
          <w:szCs w:val="22"/>
          <w:lang w:val="pt-BR" w:eastAsia="ja-JP"/>
        </w:rPr>
        <w:t>m</w:t>
      </w:r>
      <w:r w:rsidRPr="005E6B7C">
        <w:rPr>
          <w:rFonts w:asciiTheme="majorHAnsi" w:eastAsia="Yu Mincho" w:hAnsiTheme="majorHAnsi" w:cstheme="majorHAnsi"/>
          <w:color w:val="000000" w:themeColor="text1"/>
          <w:sz w:val="22"/>
          <w:szCs w:val="22"/>
          <w:lang w:val="pt-BR" w:eastAsia="ja-JP"/>
        </w:rPr>
        <w:t xml:space="preserve">, H-6), 0.70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H-18), 1.01 (3H, </w:t>
      </w:r>
      <w:r w:rsidRPr="005E6B7C">
        <w:rPr>
          <w:rFonts w:asciiTheme="majorHAnsi" w:eastAsia="Yu Mincho" w:hAnsiTheme="majorHAnsi" w:cstheme="majorHAnsi"/>
          <w:iCs/>
          <w:color w:val="000000" w:themeColor="text1"/>
          <w:sz w:val="22"/>
          <w:szCs w:val="22"/>
          <w:lang w:val="pt-BR" w:eastAsia="ja-JP"/>
        </w:rPr>
        <w:t>s</w:t>
      </w:r>
      <w:r w:rsidRPr="005E6B7C">
        <w:rPr>
          <w:rFonts w:asciiTheme="majorHAnsi" w:eastAsia="Yu Mincho" w:hAnsiTheme="majorHAnsi" w:cstheme="majorHAnsi"/>
          <w:color w:val="000000" w:themeColor="text1"/>
          <w:sz w:val="22"/>
          <w:szCs w:val="22"/>
          <w:lang w:val="pt-BR" w:eastAsia="ja-JP"/>
        </w:rPr>
        <w:t xml:space="preserve">, H-19), 1.03 (3H,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6.6 Hz, H-21), 5.15 (1H, </w:t>
      </w:r>
      <w:r w:rsidRPr="005E6B7C">
        <w:rPr>
          <w:rFonts w:asciiTheme="majorHAnsi" w:eastAsia="Yu Mincho" w:hAnsiTheme="majorHAnsi" w:cstheme="majorHAnsi"/>
          <w:iCs/>
          <w:color w:val="000000" w:themeColor="text1"/>
          <w:sz w:val="22"/>
          <w:szCs w:val="22"/>
          <w:lang w:val="pt-BR" w:eastAsia="ja-JP"/>
        </w:rPr>
        <w:t>dd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15.0; 8.4 Hz, H-22), 5.02 (1H, </w:t>
      </w:r>
      <w:r w:rsidRPr="005E6B7C">
        <w:rPr>
          <w:rFonts w:asciiTheme="majorHAnsi" w:eastAsia="Yu Mincho" w:hAnsiTheme="majorHAnsi" w:cstheme="majorHAnsi"/>
          <w:iCs/>
          <w:color w:val="000000" w:themeColor="text1"/>
          <w:sz w:val="22"/>
          <w:szCs w:val="22"/>
          <w:lang w:val="pt-BR" w:eastAsia="ja-JP"/>
        </w:rPr>
        <w:t>dd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15.0; 8.4 Hz, H-23), 0.84 (3H,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6.6 Hz, H-26), 0.81 (3H, </w:t>
      </w:r>
      <w:r w:rsidRPr="005E6B7C">
        <w:rPr>
          <w:rFonts w:asciiTheme="majorHAnsi" w:eastAsia="Yu Mincho" w:hAnsiTheme="majorHAnsi" w:cstheme="majorHAnsi"/>
          <w:iCs/>
          <w:color w:val="000000" w:themeColor="text1"/>
          <w:sz w:val="22"/>
          <w:szCs w:val="22"/>
          <w:lang w:val="pt-BR" w:eastAsia="ja-JP"/>
        </w:rPr>
        <w:t>d</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6.6 Hz, H-27), 0.80 (3H, </w:t>
      </w:r>
      <w:r w:rsidRPr="005E6B7C">
        <w:rPr>
          <w:rFonts w:asciiTheme="majorHAnsi" w:eastAsia="Yu Mincho" w:hAnsiTheme="majorHAnsi" w:cstheme="majorHAnsi"/>
          <w:iCs/>
          <w:color w:val="000000" w:themeColor="text1"/>
          <w:sz w:val="22"/>
          <w:szCs w:val="22"/>
          <w:lang w:val="pt-BR" w:eastAsia="ja-JP"/>
        </w:rPr>
        <w:t>t</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val="pt-BR" w:eastAsia="ja-JP"/>
        </w:rPr>
        <w:t>J</w:t>
      </w:r>
      <w:r w:rsidRPr="005E6B7C">
        <w:rPr>
          <w:rFonts w:asciiTheme="majorHAnsi" w:eastAsia="Yu Mincho" w:hAnsiTheme="majorHAnsi" w:cstheme="majorHAnsi"/>
          <w:color w:val="000000" w:themeColor="text1"/>
          <w:sz w:val="22"/>
          <w:szCs w:val="22"/>
          <w:lang w:val="pt-BR" w:eastAsia="ja-JP"/>
        </w:rPr>
        <w:t xml:space="preserve"> = 7.2 Hz, H-29). </w:t>
      </w:r>
      <w:r w:rsidRPr="005E6B7C">
        <w:rPr>
          <w:rFonts w:asciiTheme="majorHAnsi" w:eastAsia="Yu Mincho" w:hAnsiTheme="majorHAnsi" w:cstheme="majorHAnsi"/>
          <w:color w:val="000000" w:themeColor="text1"/>
          <w:sz w:val="22"/>
          <w:szCs w:val="22"/>
          <w:vertAlign w:val="superscript"/>
          <w:lang w:val="pt-BR" w:eastAsia="ja-JP"/>
        </w:rPr>
        <w:t>13</w:t>
      </w:r>
      <w:r w:rsidRPr="005E6B7C">
        <w:rPr>
          <w:rFonts w:asciiTheme="majorHAnsi" w:eastAsia="Yu Mincho" w:hAnsiTheme="majorHAnsi" w:cstheme="majorHAnsi"/>
          <w:color w:val="000000" w:themeColor="text1"/>
          <w:sz w:val="22"/>
          <w:szCs w:val="22"/>
          <w:lang w:val="pt-BR" w:eastAsia="ja-JP"/>
        </w:rPr>
        <w:t>C-NMR</w:t>
      </w:r>
      <w:r w:rsidRPr="005E6B7C">
        <w:rPr>
          <w:rFonts w:asciiTheme="majorHAnsi" w:eastAsia="Yu Mincho" w:hAnsiTheme="majorHAnsi" w:cstheme="majorHAnsi"/>
          <w:b/>
          <w:color w:val="000000" w:themeColor="text1"/>
          <w:sz w:val="22"/>
          <w:szCs w:val="22"/>
          <w:lang w:val="pt-BR" w:eastAsia="ja-JP"/>
        </w:rPr>
        <w:t xml:space="preserve"> </w:t>
      </w:r>
      <w:r w:rsidRPr="005E6B7C">
        <w:rPr>
          <w:rFonts w:asciiTheme="majorHAnsi" w:eastAsia="Yu Mincho" w:hAnsiTheme="majorHAnsi" w:cstheme="majorHAnsi"/>
          <w:color w:val="000000" w:themeColor="text1"/>
          <w:sz w:val="22"/>
          <w:szCs w:val="22"/>
          <w:lang w:val="pt-BR" w:eastAsia="ja-JP"/>
        </w:rPr>
        <w:t xml:space="preserve">(125 MHz, </w:t>
      </w:r>
      <w:r w:rsidRPr="005E6B7C">
        <w:rPr>
          <w:rFonts w:asciiTheme="majorHAnsi" w:eastAsia="Yu Mincho" w:hAnsiTheme="majorHAnsi" w:cstheme="majorHAnsi"/>
          <w:color w:val="000000" w:themeColor="text1"/>
          <w:sz w:val="22"/>
          <w:szCs w:val="22"/>
          <w:lang w:val="pt-BR" w:eastAsia="ja-JP"/>
        </w:rPr>
        <w:t>CDCl</w:t>
      </w:r>
      <w:r w:rsidRPr="005E6B7C">
        <w:rPr>
          <w:rFonts w:asciiTheme="majorHAnsi" w:eastAsia="Yu Mincho" w:hAnsiTheme="majorHAnsi" w:cstheme="majorHAnsi"/>
          <w:color w:val="000000" w:themeColor="text1"/>
          <w:sz w:val="22"/>
          <w:szCs w:val="22"/>
          <w:vertAlign w:val="subscript"/>
          <w:lang w:val="pt-BR" w:eastAsia="ja-JP"/>
        </w:rPr>
        <w:t>3</w:t>
      </w:r>
      <w:r w:rsidRPr="005E6B7C">
        <w:rPr>
          <w:rFonts w:asciiTheme="majorHAnsi" w:eastAsia="Yu Mincho" w:hAnsiTheme="majorHAnsi" w:cstheme="majorHAnsi"/>
          <w:color w:val="000000" w:themeColor="text1"/>
          <w:sz w:val="22"/>
          <w:szCs w:val="22"/>
          <w:lang w:val="pt-BR"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val="pt-BR" w:eastAsia="ja-JP"/>
        </w:rPr>
        <w:t xml:space="preserve">C </w:t>
      </w:r>
      <w:r w:rsidRPr="005E6B7C">
        <w:rPr>
          <w:rFonts w:asciiTheme="majorHAnsi" w:eastAsia="Yu Mincho" w:hAnsiTheme="majorHAnsi" w:cstheme="majorHAnsi"/>
          <w:color w:val="000000" w:themeColor="text1"/>
          <w:sz w:val="22"/>
          <w:szCs w:val="22"/>
          <w:lang w:val="pt-BR" w:eastAsia="ja-JP"/>
        </w:rPr>
        <w:t>37.3 (C-1), 31.7 (C-2), 71</w:t>
      </w:r>
      <w:r w:rsidRPr="005E6B7C">
        <w:rPr>
          <w:rFonts w:asciiTheme="majorHAnsi" w:eastAsia="Yu Mincho" w:hAnsiTheme="majorHAnsi" w:cstheme="majorHAnsi"/>
          <w:color w:val="000000" w:themeColor="text1"/>
          <w:spacing w:val="-2"/>
          <w:sz w:val="22"/>
          <w:szCs w:val="22"/>
          <w:lang w:val="pt-BR" w:eastAsia="ja-JP"/>
        </w:rPr>
        <w:t>.8 (C-3), 42.3 (C-4), 140.8 (C-5), 121.7 (C-6), 31.9 (C-7), 31.9 (C-8), 50.2 (C-9), 36.5 (C-10), 21.1 (C-11), 39.7 (C-12), 42.3 (C-13), 56.9 (C-14), 24.4 (C-15), 28.9 (C-16), 56.0 (C-17), 12.1 (C-18), 19.4 (C-19), 40.5 (C-20), 21.1 (C-21), 138.3 (C-22), 129.3 (C-23), 51.3 (C-24), 31.9 (C-25), 21.2 (C-26), 19.0 (C-27), 25.4 (C-28), 12.2 (C-29).</w:t>
      </w:r>
    </w:p>
    <w:p w14:paraId="01D85CDF" w14:textId="77777777" w:rsidR="00207C22" w:rsidRPr="005E6B7C" w:rsidRDefault="00E049CB" w:rsidP="008C0D47">
      <w:pPr>
        <w:tabs>
          <w:tab w:val="left" w:pos="270"/>
          <w:tab w:val="left" w:pos="540"/>
          <w:tab w:val="left" w:pos="9270"/>
        </w:tabs>
        <w:spacing w:line="264" w:lineRule="exact"/>
        <w:ind w:firstLine="284"/>
        <w:contextualSpacing/>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3. Results and discussion</w:t>
      </w:r>
    </w:p>
    <w:p w14:paraId="646F9952" w14:textId="77777777" w:rsidR="00207C22" w:rsidRPr="005E6B7C" w:rsidRDefault="00207C22" w:rsidP="008C0D47">
      <w:pPr>
        <w:tabs>
          <w:tab w:val="left" w:pos="270"/>
          <w:tab w:val="left" w:pos="540"/>
          <w:tab w:val="left" w:pos="9270"/>
        </w:tabs>
        <w:spacing w:line="260" w:lineRule="exact"/>
        <w:ind w:firstLine="284"/>
        <w:contextualSpacing/>
        <w:jc w:val="both"/>
        <w:rPr>
          <w:rFonts w:asciiTheme="majorHAnsi" w:eastAsia="Yu Mincho" w:hAnsiTheme="majorHAnsi" w:cstheme="majorHAnsi"/>
          <w:b/>
          <w:bCs/>
          <w:color w:val="000000" w:themeColor="text1"/>
          <w:sz w:val="22"/>
          <w:szCs w:val="22"/>
          <w:lang w:eastAsia="ja-JP"/>
        </w:rPr>
        <w:sectPr w:rsidR="00207C22" w:rsidRPr="005E6B7C" w:rsidSect="00207C22">
          <w:type w:val="continuous"/>
          <w:pgSz w:w="10773" w:h="15309" w:code="9"/>
          <w:pgMar w:top="907" w:right="851" w:bottom="1418" w:left="851" w:header="397" w:footer="851" w:gutter="0"/>
          <w:cols w:num="2" w:space="284"/>
          <w:docGrid w:linePitch="360"/>
        </w:sectPr>
      </w:pPr>
    </w:p>
    <w:p w14:paraId="2859D57B" w14:textId="77777777" w:rsidR="00C22790" w:rsidRPr="005E6B7C" w:rsidRDefault="00E049CB" w:rsidP="008C0D47">
      <w:pPr>
        <w:tabs>
          <w:tab w:val="left" w:pos="270"/>
          <w:tab w:val="left" w:pos="540"/>
          <w:tab w:val="left" w:pos="9270"/>
        </w:tabs>
        <w:spacing w:line="26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 </w:t>
      </w:r>
    </w:p>
    <w:p w14:paraId="195F8F60" w14:textId="77777777" w:rsidR="00E049CB" w:rsidRPr="005E6B7C" w:rsidRDefault="00207C22" w:rsidP="008C0D47">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object w:dxaOrig="10274" w:dyaOrig="5141" w14:anchorId="3248B596">
          <v:shape id="_x0000_i1033" type="#_x0000_t75" style="width:438.7pt;height:219.8pt" o:ole="">
            <v:imagedata r:id="rId47" o:title=""/>
          </v:shape>
          <o:OLEObject Type="Embed" ProgID="ChemDraw.Document.6.0" ShapeID="_x0000_i1033" DrawAspect="Content" ObjectID="_1836572955" r:id="rId48"/>
        </w:object>
      </w:r>
    </w:p>
    <w:p w14:paraId="020C187E" w14:textId="77777777"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 xml:space="preserve"> Chemical structures of compounds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w:t>
      </w:r>
      <w:r w:rsidR="00E049CB" w:rsidRPr="005E6B7C">
        <w:rPr>
          <w:rFonts w:asciiTheme="majorHAnsi" w:eastAsia="Yu Mincho" w:hAnsiTheme="majorHAnsi" w:cstheme="majorHAnsi"/>
          <w:b/>
          <w:color w:val="000000" w:themeColor="text1"/>
          <w:sz w:val="18"/>
          <w:szCs w:val="18"/>
          <w:lang w:eastAsia="ja-JP"/>
        </w:rPr>
        <w:t>6</w:t>
      </w:r>
      <w:r w:rsidR="00E049CB" w:rsidRPr="005E6B7C">
        <w:rPr>
          <w:rFonts w:asciiTheme="majorHAnsi" w:eastAsia="Yu Mincho" w:hAnsiTheme="majorHAnsi" w:cstheme="majorHAnsi"/>
          <w:color w:val="000000" w:themeColor="text1"/>
          <w:sz w:val="18"/>
          <w:szCs w:val="18"/>
          <w:lang w:eastAsia="ja-JP"/>
        </w:rPr>
        <w:t xml:space="preserve"> from </w:t>
      </w:r>
      <w:r w:rsidR="00E049CB" w:rsidRPr="005E6B7C">
        <w:rPr>
          <w:rFonts w:asciiTheme="majorHAnsi" w:eastAsia="Yu Mincho" w:hAnsiTheme="majorHAnsi" w:cstheme="majorHAnsi"/>
          <w:i/>
          <w:color w:val="000000" w:themeColor="text1"/>
          <w:sz w:val="18"/>
          <w:szCs w:val="18"/>
          <w:lang w:eastAsia="ja-JP"/>
        </w:rPr>
        <w:t>B. lupulina</w:t>
      </w:r>
    </w:p>
    <w:p w14:paraId="2514393F" w14:textId="77777777" w:rsidR="00C22790" w:rsidRPr="005E6B7C" w:rsidRDefault="00C22790"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13E4E475" w14:textId="77777777" w:rsidR="00207C22" w:rsidRPr="005E6B7C" w:rsidRDefault="00207C22"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sectPr w:rsidR="00207C22" w:rsidRPr="005E6B7C" w:rsidSect="002206BB">
          <w:type w:val="continuous"/>
          <w:pgSz w:w="10773" w:h="15309" w:code="9"/>
          <w:pgMar w:top="907" w:right="851" w:bottom="1418" w:left="851" w:header="397" w:footer="851" w:gutter="0"/>
          <w:cols w:space="284"/>
          <w:docGrid w:linePitch="360"/>
        </w:sectPr>
      </w:pPr>
    </w:p>
    <w:p w14:paraId="4F1D1A52" w14:textId="77777777" w:rsidR="00207C22"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isolated as a white solid.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and HSQC spectra of </w:t>
      </w:r>
      <w:r w:rsidRPr="005E6B7C">
        <w:rPr>
          <w:rFonts w:asciiTheme="majorHAnsi" w:eastAsia="Yu Mincho" w:hAnsiTheme="majorHAnsi" w:cstheme="majorHAnsi"/>
          <w:b/>
          <w:color w:val="000000" w:themeColor="text1"/>
          <w:sz w:val="22"/>
          <w:szCs w:val="22"/>
          <w:lang w:eastAsia="ja-JP"/>
        </w:rPr>
        <w:t xml:space="preserve">1 </w:t>
      </w:r>
      <w:r w:rsidRPr="005E6B7C">
        <w:rPr>
          <w:rFonts w:asciiTheme="majorHAnsi" w:eastAsia="Yu Mincho" w:hAnsiTheme="majorHAnsi" w:cstheme="majorHAnsi"/>
          <w:color w:val="000000" w:themeColor="text1"/>
          <w:sz w:val="22"/>
          <w:szCs w:val="22"/>
          <w:lang w:eastAsia="ja-JP"/>
        </w:rPr>
        <w:t xml:space="preserve">exhibited signals of 3 aromatic protons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6.61 (1H, s, H-2)/</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107.8 (C-2),</w:t>
      </w:r>
      <w:r w:rsidRPr="005E6B7C">
        <w:rPr>
          <w:rFonts w:asciiTheme="majorHAnsi" w:eastAsia="Yu Mincho" w:hAnsiTheme="majorHAnsi" w:cstheme="majorHAnsi"/>
          <w:color w:val="000000" w:themeColor="text1"/>
          <w:sz w:val="22"/>
          <w:szCs w:val="22"/>
          <w:vertAlign w:val="subscript"/>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6.40 (2H, s, H-2</w:t>
      </w:r>
      <w:r w:rsidRPr="005E6B7C">
        <w:rPr>
          <w:rFonts w:asciiTheme="majorHAnsi" w:eastAsia="Times New Roman" w:hAnsiTheme="majorHAnsi" w:cstheme="majorHAnsi"/>
          <w:color w:val="000000" w:themeColor="text1"/>
          <w:sz w:val="22"/>
          <w:szCs w:val="22"/>
          <w:lang w:eastAsia="ja-JP"/>
        </w:rPr>
        <w:t>ʹ and H-6ʹ</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 xml:space="preserve">106.98 (C-2); 2 oxymethylene groups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3.61-</w:t>
      </w:r>
      <w:r w:rsidRPr="005E6B7C">
        <w:rPr>
          <w:rFonts w:asciiTheme="majorHAnsi" w:eastAsia="Times New Roman" w:hAnsiTheme="majorHAnsi" w:cstheme="majorHAnsi"/>
          <w:color w:val="000000" w:themeColor="text1"/>
          <w:sz w:val="22"/>
          <w:szCs w:val="22"/>
          <w:lang w:eastAsia="ja-JP"/>
        </w:rPr>
        <w:t>3.51 (2H, H-9)/</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66.8 (C-9) and</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3.51 (2H, d, </w:t>
      </w:r>
      <w:r w:rsidRPr="005E6B7C">
        <w:rPr>
          <w:rFonts w:asciiTheme="majorHAnsi" w:eastAsia="Times New Roman" w:hAnsiTheme="majorHAnsi" w:cstheme="majorHAnsi"/>
          <w:i/>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5.4 Hz, H-9ʹ)/</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64.2 (C-9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4 methoxy groups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3.40 (3H, s, 3-OMe)/</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 xml:space="preserve">56.6;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3.88 (3H, s, 5-OMe)/</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60.2 and 3.76 (6H, s, 3</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-OMe, 5</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-OMe)/</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 xml:space="preserve">56.8; one methylene group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2.72-2.59 (2H, H-7)</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33.6 (C-7)</w:t>
      </w:r>
      <w:r w:rsidRPr="005E6B7C">
        <w:rPr>
          <w:rFonts w:asciiTheme="majorHAnsi" w:eastAsia="Times New Roman" w:hAnsiTheme="majorHAnsi" w:cstheme="majorHAnsi"/>
          <w:color w:val="000000" w:themeColor="text1"/>
          <w:sz w:val="22"/>
          <w:szCs w:val="22"/>
          <w:lang w:eastAsia="ja-JP"/>
        </w:rPr>
        <w:t xml:space="preserve">, 3 methine groups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1.64 (1H, m, H-8)/</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40.9 (C-8),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4.33 (1H, d, </w:t>
      </w:r>
      <w:r w:rsidRPr="005E6B7C">
        <w:rPr>
          <w:rFonts w:asciiTheme="majorHAnsi" w:eastAsia="Times New Roman" w:hAnsiTheme="majorHAnsi" w:cstheme="majorHAnsi"/>
          <w:i/>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5.4 Hz, H-7ʹ)/</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42.3 (C-7ʹ) and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1.99 (1H, m, H-8ʹ)</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Times New Roman" w:hAnsiTheme="majorHAnsi" w:cstheme="majorHAnsi"/>
          <w:color w:val="000000" w:themeColor="text1"/>
          <w:sz w:val="22"/>
          <w:szCs w:val="22"/>
          <w:lang w:eastAsia="ja-JP"/>
        </w:rPr>
        <w:t xml:space="preserve">49.9 (C-8ʹ). The negative </w:t>
      </w:r>
      <w:r w:rsidRPr="005E6B7C">
        <w:rPr>
          <w:rFonts w:asciiTheme="majorHAnsi" w:eastAsia="Yu Mincho" w:hAnsiTheme="majorHAnsi" w:cstheme="majorHAnsi"/>
          <w:color w:val="000000" w:themeColor="text1"/>
          <w:sz w:val="22"/>
          <w:szCs w:val="22"/>
          <w:lang w:eastAsia="ja-JP"/>
        </w:rPr>
        <w:t xml:space="preserve">ESI-MS spectrum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showed a deprotonated molecular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419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which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gave evidence of its molecular formula as C</w:t>
      </w:r>
      <w:r w:rsidRPr="005E6B7C">
        <w:rPr>
          <w:rFonts w:asciiTheme="majorHAnsi" w:eastAsia="Yu Mincho" w:hAnsiTheme="majorHAnsi" w:cstheme="majorHAnsi"/>
          <w:color w:val="000000" w:themeColor="text1"/>
          <w:sz w:val="22"/>
          <w:szCs w:val="22"/>
          <w:vertAlign w:val="subscript"/>
          <w:lang w:eastAsia="ja-JP"/>
        </w:rPr>
        <w:t>22</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8</w:t>
      </w:r>
      <w:r w:rsidRPr="005E6B7C">
        <w:rPr>
          <w:rFonts w:asciiTheme="majorHAnsi" w:eastAsia="Yu Mincho" w:hAnsiTheme="majorHAnsi" w:cstheme="majorHAnsi"/>
          <w:color w:val="000000" w:themeColor="text1"/>
          <w:sz w:val="22"/>
          <w:szCs w:val="22"/>
          <w:lang w:eastAsia="ja-JP"/>
        </w:rPr>
        <w:t xml:space="preserve"> (M = 420). The NMR and MS spectra suggested that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an aryltetralin lignan. The aromatic proton at C-2 was </w:t>
      </w:r>
      <w:r w:rsidRPr="005E6B7C">
        <w:rPr>
          <w:rFonts w:asciiTheme="majorHAnsi" w:eastAsia="Yu Mincho" w:hAnsiTheme="majorHAnsi" w:cstheme="majorHAnsi"/>
          <w:color w:val="000000" w:themeColor="text1"/>
          <w:sz w:val="22"/>
          <w:szCs w:val="22"/>
          <w:lang w:eastAsia="ja-JP"/>
        </w:rPr>
        <w:t>confirmed by the HMBC correlations of H-2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6.61) to C-7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33.6) and of H-7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2.72 and 2.59) to C-2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107.8). The symmetrical 3</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,5</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-dimethoxy-4</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-hydroxy phenyl group substituted at C-7</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was confirmed by the HMBC correlations of H-2</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and H-6</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6.40) to C-7</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42.3) and C-4</w:t>
      </w:r>
      <w:r w:rsidRPr="005E6B7C">
        <w:rPr>
          <w:rFonts w:asciiTheme="majorHAnsi" w:eastAsia="Times New Roman" w:hAnsiTheme="majorHAnsi" w:cstheme="majorHAnsi"/>
          <w:color w:val="000000" w:themeColor="text1"/>
          <w:sz w:val="22"/>
          <w:szCs w:val="22"/>
          <w:lang w:eastAsia="ja-JP"/>
        </w:rPr>
        <w:t xml:space="preserve">ʹ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134.6), of methoxy protons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3.76) to C-3</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and C-5</w:t>
      </w:r>
      <w:r w:rsidRPr="005E6B7C">
        <w:rPr>
          <w:rFonts w:asciiTheme="majorHAnsi" w:eastAsia="Times New Roman" w:hAnsiTheme="majorHAnsi" w:cstheme="majorHAnsi"/>
          <w:color w:val="000000" w:themeColor="text1"/>
          <w:sz w:val="22"/>
          <w:szCs w:val="22"/>
          <w:lang w:eastAsia="ja-JP"/>
        </w:rPr>
        <w:t xml:space="preserve">ʹ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149.0). In addition, the methoxy groups at C-3 and C-5 were assigned by HMBC cross-peaks of methoxy protons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3.40 and 3.88 to C-3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56.6) and C-5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60.2), respectively. In addition, HMBC cross-peaks of H-7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2.72 and 2.51) to C-8</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49.9) and C-9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66.8), of H-7</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4.33) to C-9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64.2) and C-8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40.9) confirmed the aryltetralin skeleton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 xml:space="preserve">2). The relative configuration of </w:t>
      </w:r>
      <w:r w:rsidRPr="005E6B7C">
        <w:rPr>
          <w:rFonts w:asciiTheme="majorHAnsi" w:eastAsia="Yu Mincho" w:hAnsiTheme="majorHAnsi" w:cstheme="majorHAnsi"/>
          <w:b/>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t xml:space="preserve"> was assigned based on the NOESY spectrum. The cross-peaks of H-8</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 xml:space="preserve">1.99) </w:t>
      </w:r>
      <w:r w:rsidRPr="005E6B7C">
        <w:rPr>
          <w:rFonts w:asciiTheme="majorHAnsi" w:eastAsia="Yu Mincho" w:hAnsiTheme="majorHAnsi" w:cstheme="majorHAnsi"/>
          <w:color w:val="000000" w:themeColor="text1"/>
          <w:sz w:val="22"/>
          <w:szCs w:val="22"/>
          <w:lang w:eastAsia="ja-JP"/>
        </w:rPr>
        <w:t>with H-2</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bCs/>
          <w:color w:val="000000" w:themeColor="text1"/>
          <w:sz w:val="22"/>
          <w:szCs w:val="22"/>
          <w:lang w:eastAsia="ja-JP"/>
        </w:rPr>
        <w:t>6.40) and H-9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3.51 and 3.61</w:t>
      </w:r>
      <w:r w:rsidRPr="005E6B7C">
        <w:rPr>
          <w:rFonts w:asciiTheme="majorHAnsi" w:eastAsia="Yu Mincho" w:hAnsiTheme="majorHAnsi" w:cstheme="majorHAnsi"/>
          <w:bCs/>
          <w:color w:val="000000" w:themeColor="text1"/>
          <w:sz w:val="22"/>
          <w:szCs w:val="22"/>
          <w:lang w:eastAsia="ja-JP"/>
        </w:rPr>
        <w:t>); of H-7</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4.33) with </w:t>
      </w:r>
      <w:r w:rsidRPr="005E6B7C">
        <w:rPr>
          <w:rFonts w:asciiTheme="majorHAnsi" w:eastAsia="Times New Roman" w:hAnsiTheme="majorHAnsi" w:cstheme="majorHAnsi"/>
          <w:color w:val="000000" w:themeColor="text1"/>
          <w:sz w:val="22"/>
          <w:szCs w:val="22"/>
          <w:lang w:eastAsia="ja-JP"/>
        </w:rPr>
        <w:lastRenderedPageBreak/>
        <w:t>H-8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1.64) and H-9ʹ </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3.51) </w:t>
      </w:r>
      <w:r w:rsidRPr="005E6B7C">
        <w:rPr>
          <w:rFonts w:asciiTheme="majorHAnsi" w:eastAsia="Yu Mincho" w:hAnsiTheme="majorHAnsi" w:cstheme="majorHAnsi"/>
          <w:bCs/>
          <w:color w:val="000000" w:themeColor="text1"/>
          <w:sz w:val="22"/>
          <w:szCs w:val="22"/>
          <w:lang w:eastAsia="ja-JP"/>
        </w:rPr>
        <w:t>suggested H-7</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bCs/>
          <w:color w:val="000000" w:themeColor="text1"/>
          <w:sz w:val="22"/>
          <w:szCs w:val="22"/>
          <w:lang w:eastAsia="ja-JP"/>
        </w:rPr>
        <w:t>, 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bCs/>
          <w:color w:val="000000" w:themeColor="text1"/>
          <w:sz w:val="22"/>
          <w:szCs w:val="22"/>
          <w:lang w:eastAsia="ja-JP"/>
        </w:rPr>
        <w:t xml:space="preserve"> and H-8 are on the same side, while the phenyl ring, H-8</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bCs/>
          <w:color w:val="000000" w:themeColor="text1"/>
          <w:sz w:val="22"/>
          <w:szCs w:val="22"/>
          <w:lang w:eastAsia="ja-JP"/>
        </w:rPr>
        <w:t xml:space="preserve"> and H</w:t>
      </w:r>
      <w:r w:rsidRPr="005E6B7C">
        <w:rPr>
          <w:rFonts w:asciiTheme="majorHAnsi" w:eastAsia="Yu Mincho" w:hAnsiTheme="majorHAnsi" w:cstheme="majorHAnsi"/>
          <w:bCs/>
          <w:color w:val="000000" w:themeColor="text1"/>
          <w:sz w:val="22"/>
          <w:szCs w:val="22"/>
          <w:vertAlign w:val="subscript"/>
          <w:lang w:eastAsia="ja-JP"/>
        </w:rPr>
        <w:t>2</w:t>
      </w:r>
      <w:r w:rsidRPr="005E6B7C">
        <w:rPr>
          <w:rFonts w:asciiTheme="majorHAnsi" w:eastAsia="Yu Mincho" w:hAnsiTheme="majorHAnsi" w:cstheme="majorHAnsi"/>
          <w:bCs/>
          <w:color w:val="000000" w:themeColor="text1"/>
          <w:sz w:val="22"/>
          <w:szCs w:val="22"/>
          <w:lang w:eastAsia="ja-JP"/>
        </w:rPr>
        <w:t xml:space="preserve">-9 are on the other side. Based on spectral analysis and the specific optical </w:t>
      </w:r>
      <w:r w:rsidRPr="005E6B7C">
        <w:rPr>
          <w:rFonts w:asciiTheme="majorHAnsi" w:eastAsia="Yu Mincho" w:hAnsiTheme="majorHAnsi" w:cstheme="majorHAnsi"/>
          <w:bCs/>
          <w:color w:val="000000" w:themeColor="text1"/>
          <w:sz w:val="22"/>
          <w:szCs w:val="22"/>
          <w:lang w:eastAsia="ja-JP"/>
        </w:rPr>
        <w:t xml:space="preserve">rotation value of </w:t>
      </w:r>
      <w:r w:rsidRPr="005E6B7C">
        <w:rPr>
          <w:rFonts w:asciiTheme="majorHAnsi" w:eastAsia="Times New Roman" w:hAnsiTheme="majorHAnsi" w:cstheme="majorHAnsi"/>
          <w:color w:val="000000" w:themeColor="text1"/>
          <w:sz w:val="22"/>
          <w:szCs w:val="22"/>
          <w:lang w:eastAsia="ja-JP"/>
        </w:rPr>
        <w:t>+17.9 (ref [10]: [α]</w:t>
      </w:r>
      <w:r w:rsidRPr="005E6B7C">
        <w:rPr>
          <w:rFonts w:asciiTheme="majorHAnsi" w:eastAsia="Times New Roman" w:hAnsiTheme="majorHAnsi" w:cstheme="majorHAnsi"/>
          <w:color w:val="000000" w:themeColor="text1"/>
          <w:sz w:val="22"/>
          <w:szCs w:val="22"/>
          <w:vertAlign w:val="subscript"/>
          <w:lang w:eastAsia="ja-JP"/>
        </w:rPr>
        <w:t>D</w:t>
      </w:r>
      <w:r w:rsidRPr="005E6B7C">
        <w:rPr>
          <w:rFonts w:asciiTheme="majorHAnsi" w:eastAsia="Times New Roman" w:hAnsiTheme="majorHAnsi" w:cstheme="majorHAnsi"/>
          <w:color w:val="000000" w:themeColor="text1"/>
          <w:sz w:val="22"/>
          <w:szCs w:val="22"/>
          <w:vertAlign w:val="superscript"/>
          <w:lang w:eastAsia="ja-JP"/>
        </w:rPr>
        <w:t>25</w:t>
      </w:r>
      <w:r w:rsidRPr="005E6B7C">
        <w:rPr>
          <w:rFonts w:asciiTheme="majorHAnsi" w:eastAsia="Times New Roman" w:hAnsiTheme="majorHAnsi" w:cstheme="majorHAnsi"/>
          <w:color w:val="000000" w:themeColor="text1"/>
          <w:sz w:val="22"/>
          <w:szCs w:val="22"/>
          <w:lang w:eastAsia="ja-JP"/>
        </w:rPr>
        <w:t xml:space="preserve"> = +65.1 (MeOH, </w:t>
      </w:r>
      <w:r w:rsidRPr="005E6B7C">
        <w:rPr>
          <w:rFonts w:asciiTheme="majorHAnsi" w:eastAsia="Times New Roman" w:hAnsiTheme="majorHAnsi" w:cstheme="majorHAnsi"/>
          <w:i/>
          <w:iCs/>
          <w:color w:val="000000" w:themeColor="text1"/>
          <w:sz w:val="22"/>
          <w:szCs w:val="22"/>
          <w:lang w:eastAsia="ja-JP"/>
        </w:rPr>
        <w:t>c</w:t>
      </w:r>
      <w:r w:rsidRPr="005E6B7C">
        <w:rPr>
          <w:rFonts w:asciiTheme="majorHAnsi" w:eastAsia="Times New Roman" w:hAnsiTheme="majorHAnsi" w:cstheme="majorHAnsi"/>
          <w:color w:val="000000" w:themeColor="text1"/>
          <w:sz w:val="22"/>
          <w:szCs w:val="22"/>
          <w:lang w:eastAsia="ja-JP"/>
        </w:rPr>
        <w:t xml:space="preserve"> 0.10)), </w:t>
      </w:r>
      <w:r w:rsidRPr="005E6B7C">
        <w:rPr>
          <w:rFonts w:asciiTheme="majorHAnsi" w:eastAsia="Times New Roman" w:hAnsiTheme="majorHAnsi" w:cstheme="majorHAnsi"/>
          <w:b/>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 xml:space="preserve"> was identified as </w:t>
      </w:r>
      <w:r w:rsidRPr="005E6B7C">
        <w:rPr>
          <w:rFonts w:asciiTheme="majorHAnsi" w:eastAsia="Times New Roman" w:hAnsiTheme="majorHAnsi" w:cstheme="majorHAnsi"/>
          <w:color w:val="000000" w:themeColor="text1"/>
          <w:sz w:val="22"/>
          <w:szCs w:val="22"/>
          <w:lang w:eastAsia="ja-JP"/>
        </w:rPr>
        <w:t>(+)-lyoniresinol [11]</w:t>
      </w:r>
      <w:r w:rsidRPr="005E6B7C">
        <w:rPr>
          <w:rFonts w:asciiTheme="majorHAnsi" w:eastAsia="Yu Mincho" w:hAnsiTheme="majorHAnsi" w:cstheme="majorHAnsi"/>
          <w:bCs/>
          <w:color w:val="000000" w:themeColor="text1"/>
          <w:sz w:val="22"/>
          <w:szCs w:val="22"/>
          <w:lang w:eastAsia="ja-JP"/>
        </w:rPr>
        <w:t>.</w:t>
      </w:r>
    </w:p>
    <w:p w14:paraId="2A879003" w14:textId="77777777" w:rsidR="00207C22" w:rsidRPr="005E6B7C" w:rsidRDefault="00207C22" w:rsidP="008C0D47">
      <w:pPr>
        <w:tabs>
          <w:tab w:val="left" w:pos="270"/>
          <w:tab w:val="left" w:pos="540"/>
          <w:tab w:val="left" w:pos="9270"/>
        </w:tabs>
        <w:spacing w:line="264" w:lineRule="exact"/>
        <w:ind w:firstLine="284"/>
        <w:jc w:val="both"/>
        <w:rPr>
          <w:rFonts w:asciiTheme="majorHAnsi" w:eastAsia="Yu Mincho" w:hAnsiTheme="majorHAnsi" w:cstheme="majorHAnsi"/>
          <w:bCs/>
          <w:color w:val="000000" w:themeColor="text1"/>
          <w:sz w:val="22"/>
          <w:szCs w:val="22"/>
          <w:lang w:eastAsia="ja-JP"/>
        </w:rPr>
        <w:sectPr w:rsidR="00207C22" w:rsidRPr="005E6B7C" w:rsidSect="00207C22">
          <w:type w:val="continuous"/>
          <w:pgSz w:w="10773" w:h="15309" w:code="9"/>
          <w:pgMar w:top="907" w:right="851" w:bottom="1418" w:left="851" w:header="397" w:footer="851" w:gutter="0"/>
          <w:cols w:num="2" w:space="284"/>
          <w:docGrid w:linePitch="360"/>
        </w:sectPr>
      </w:pPr>
    </w:p>
    <w:p w14:paraId="2DAC7CDC" w14:textId="77777777" w:rsidR="00E049CB"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 </w:t>
      </w:r>
    </w:p>
    <w:p w14:paraId="4D3EDF7C" w14:textId="77777777" w:rsidR="00C22790" w:rsidRPr="005E6B7C" w:rsidRDefault="00C22790"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2A6B0CCB" wp14:editId="67D67E4B">
            <wp:extent cx="4807280" cy="28783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BEBA8EAE-BF5A-486C-A8C5-ECC9F3942E4B}">
                          <a14:imgProps xmlns:a14="http://schemas.microsoft.com/office/drawing/2010/main">
                            <a14:imgLayer r:embed="rId50">
                              <a14:imgEffect>
                                <a14:saturation sat="0"/>
                              </a14:imgEffect>
                            </a14:imgLayer>
                          </a14:imgProps>
                        </a:ext>
                      </a:extLst>
                    </a:blip>
                    <a:srcRect l="27069" t="22101" r="26095" b="25724"/>
                    <a:stretch/>
                  </pic:blipFill>
                  <pic:spPr bwMode="auto">
                    <a:xfrm>
                      <a:off x="0" y="0"/>
                      <a:ext cx="4826817" cy="2890070"/>
                    </a:xfrm>
                    <a:prstGeom prst="rect">
                      <a:avLst/>
                    </a:prstGeom>
                    <a:ln>
                      <a:noFill/>
                    </a:ln>
                    <a:extLst>
                      <a:ext uri="{53640926-AAD7-44D8-BBD7-CCE9431645EC}">
                        <a14:shadowObscured xmlns:a14="http://schemas.microsoft.com/office/drawing/2010/main"/>
                      </a:ext>
                    </a:extLst>
                  </pic:spPr>
                </pic:pic>
              </a:graphicData>
            </a:graphic>
          </wp:inline>
        </w:drawing>
      </w:r>
    </w:p>
    <w:p w14:paraId="0010708B" w14:textId="77777777" w:rsidR="00E049CB" w:rsidRPr="005E6B7C" w:rsidRDefault="00517F81"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2.</w:t>
      </w:r>
      <w:r w:rsidR="00E049CB" w:rsidRPr="005E6B7C">
        <w:rPr>
          <w:rFonts w:asciiTheme="majorHAnsi" w:eastAsia="Yu Mincho" w:hAnsiTheme="majorHAnsi" w:cstheme="majorHAnsi"/>
          <w:color w:val="000000" w:themeColor="text1"/>
          <w:sz w:val="18"/>
          <w:szCs w:val="18"/>
          <w:lang w:eastAsia="ja-JP"/>
        </w:rPr>
        <w:t xml:space="preserve"> Key HMBC (</w:t>
      </w:r>
      <w:r w:rsidR="00C22790" w:rsidRPr="005E6B7C">
        <w:rPr>
          <w:rFonts w:asciiTheme="majorHAnsi" w:eastAsia="Yu Mincho" w:hAnsiTheme="majorHAnsi" w:cstheme="majorHAnsi"/>
          <w:noProof/>
          <w:color w:val="000000" w:themeColor="text1"/>
          <w:sz w:val="22"/>
          <w:szCs w:val="22"/>
        </w:rPr>
        <w:drawing>
          <wp:inline distT="0" distB="0" distL="0" distR="0" wp14:anchorId="2AB7E614" wp14:editId="6C025724">
            <wp:extent cx="208230" cy="81481"/>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BEBA8EAE-BF5A-486C-A8C5-ECC9F3942E4B}">
                          <a14:imgProps xmlns:a14="http://schemas.microsoft.com/office/drawing/2010/main">
                            <a14:imgLayer r:embed="rId52">
                              <a14:imgEffect>
                                <a14:saturation sat="0"/>
                              </a14:imgEffect>
                            </a14:imgLayer>
                          </a14:imgProps>
                        </a:ext>
                      </a:extLst>
                    </a:blip>
                    <a:srcRect l="44576" t="64063" r="51807" b="33305"/>
                    <a:stretch/>
                  </pic:blipFill>
                  <pic:spPr bwMode="auto">
                    <a:xfrm>
                      <a:off x="0" y="0"/>
                      <a:ext cx="208230" cy="81481"/>
                    </a:xfrm>
                    <a:prstGeom prst="rect">
                      <a:avLst/>
                    </a:prstGeom>
                    <a:ln>
                      <a:noFill/>
                    </a:ln>
                    <a:extLst>
                      <a:ext uri="{53640926-AAD7-44D8-BBD7-CCE9431645EC}">
                        <a14:shadowObscured xmlns:a14="http://schemas.microsoft.com/office/drawing/2010/main"/>
                      </a:ext>
                    </a:extLst>
                  </pic:spPr>
                </pic:pic>
              </a:graphicData>
            </a:graphic>
          </wp:inline>
        </w:drawing>
      </w:r>
      <w:r w:rsidR="00E049CB" w:rsidRPr="005E6B7C">
        <w:rPr>
          <w:rFonts w:asciiTheme="majorHAnsi" w:eastAsia="Yu Mincho" w:hAnsiTheme="majorHAnsi" w:cstheme="majorHAnsi"/>
          <w:color w:val="000000" w:themeColor="text1"/>
          <w:sz w:val="18"/>
          <w:szCs w:val="18"/>
          <w:lang w:eastAsia="ja-JP"/>
        </w:rPr>
        <w:t xml:space="preserve">) correlations of compounds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bCs/>
          <w:color w:val="000000" w:themeColor="text1"/>
          <w:sz w:val="18"/>
          <w:szCs w:val="18"/>
          <w:lang w:eastAsia="ja-JP"/>
        </w:rPr>
        <w:t>,</w:t>
      </w:r>
      <w:r w:rsidR="00E049CB" w:rsidRPr="005E6B7C">
        <w:rPr>
          <w:rFonts w:asciiTheme="majorHAnsi" w:eastAsia="Yu Mincho" w:hAnsiTheme="majorHAnsi" w:cstheme="majorHAnsi"/>
          <w:b/>
          <w:bCs/>
          <w:color w:val="000000" w:themeColor="text1"/>
          <w:sz w:val="18"/>
          <w:szCs w:val="18"/>
          <w:lang w:eastAsia="ja-JP"/>
        </w:rPr>
        <w:t xml:space="preserve"> 3</w:t>
      </w:r>
      <w:r w:rsidR="00E049CB" w:rsidRPr="005E6B7C">
        <w:rPr>
          <w:rFonts w:asciiTheme="majorHAnsi" w:eastAsia="Yu Mincho" w:hAnsiTheme="majorHAnsi" w:cstheme="majorHAnsi"/>
          <w:bCs/>
          <w:color w:val="000000" w:themeColor="text1"/>
          <w:sz w:val="18"/>
          <w:szCs w:val="18"/>
          <w:lang w:eastAsia="ja-JP"/>
        </w:rPr>
        <w:t>,</w:t>
      </w:r>
      <w:r w:rsidR="00E049CB" w:rsidRPr="005E6B7C">
        <w:rPr>
          <w:rFonts w:asciiTheme="majorHAnsi" w:eastAsia="Yu Mincho" w:hAnsiTheme="majorHAnsi" w:cstheme="majorHAnsi"/>
          <w:b/>
          <w:bCs/>
          <w:color w:val="000000" w:themeColor="text1"/>
          <w:sz w:val="18"/>
          <w:szCs w:val="18"/>
          <w:lang w:eastAsia="ja-JP"/>
        </w:rPr>
        <w:t xml:space="preserve"> </w:t>
      </w:r>
      <w:r w:rsidR="00E049CB" w:rsidRPr="005E6B7C">
        <w:rPr>
          <w:rFonts w:asciiTheme="majorHAnsi" w:eastAsia="Yu Mincho" w:hAnsiTheme="majorHAnsi" w:cstheme="majorHAnsi"/>
          <w:bCs/>
          <w:color w:val="000000" w:themeColor="text1"/>
          <w:sz w:val="18"/>
          <w:szCs w:val="18"/>
          <w:lang w:eastAsia="ja-JP"/>
        </w:rPr>
        <w:t>and</w:t>
      </w:r>
      <w:r w:rsidR="00E049CB" w:rsidRPr="005E6B7C">
        <w:rPr>
          <w:rFonts w:asciiTheme="majorHAnsi" w:eastAsia="Yu Mincho" w:hAnsiTheme="majorHAnsi" w:cstheme="majorHAnsi"/>
          <w:b/>
          <w:bCs/>
          <w:color w:val="000000" w:themeColor="text1"/>
          <w:sz w:val="18"/>
          <w:szCs w:val="18"/>
          <w:lang w:eastAsia="ja-JP"/>
        </w:rPr>
        <w:t xml:space="preserve"> 4</w:t>
      </w:r>
    </w:p>
    <w:p w14:paraId="11BA2578"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2D3C1D13" w14:textId="77777777" w:rsidR="00207C22" w:rsidRPr="005E6B7C" w:rsidRDefault="00207C22"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sectPr w:rsidR="00207C22" w:rsidRPr="005E6B7C" w:rsidSect="002206BB">
          <w:type w:val="continuous"/>
          <w:pgSz w:w="10773" w:h="15309" w:code="9"/>
          <w:pgMar w:top="907" w:right="851" w:bottom="1418" w:left="851" w:header="397" w:footer="851" w:gutter="0"/>
          <w:cols w:space="284"/>
          <w:docGrid w:linePitch="360"/>
        </w:sectPr>
      </w:pPr>
    </w:p>
    <w:p w14:paraId="76343709" w14:textId="77777777" w:rsidR="00207C22" w:rsidRPr="005E6B7C" w:rsidRDefault="00E049CB"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isolated as a white solid. The molecular formula of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determined as C</w:t>
      </w:r>
      <w:r w:rsidRPr="005E6B7C">
        <w:rPr>
          <w:rFonts w:asciiTheme="majorHAnsi" w:eastAsia="Yu Mincho" w:hAnsiTheme="majorHAnsi" w:cstheme="majorHAnsi"/>
          <w:color w:val="000000" w:themeColor="text1"/>
          <w:sz w:val="22"/>
          <w:szCs w:val="22"/>
          <w:vertAlign w:val="subscript"/>
          <w:lang w:eastAsia="ja-JP"/>
        </w:rPr>
        <w:t>28</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38</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13</w:t>
      </w:r>
      <w:r w:rsidRPr="005E6B7C">
        <w:rPr>
          <w:rFonts w:asciiTheme="majorHAnsi" w:eastAsia="Yu Mincho" w:hAnsiTheme="majorHAnsi" w:cstheme="majorHAnsi"/>
          <w:color w:val="000000" w:themeColor="text1"/>
          <w:sz w:val="22"/>
          <w:szCs w:val="22"/>
          <w:lang w:eastAsia="ja-JP"/>
        </w:rPr>
        <w:t xml:space="preserve"> based on a deprotonated molecular ion peak at </w:t>
      </w:r>
      <w:r w:rsidRPr="005E6B7C">
        <w:rPr>
          <w:rFonts w:asciiTheme="majorHAnsi" w:eastAsia="Yu Mincho" w:hAnsiTheme="majorHAnsi" w:cstheme="majorHAnsi"/>
          <w:i/>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581 [M–H]</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 in the ESI-MS spectrum and NMR data.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C-NMR and HSQC spectra of </w:t>
      </w:r>
      <w:r w:rsidRPr="005E6B7C">
        <w:rPr>
          <w:rFonts w:asciiTheme="majorHAnsi" w:eastAsia="Yu Mincho" w:hAnsiTheme="majorHAnsi" w:cstheme="majorHAnsi"/>
          <w:b/>
          <w:bCs/>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revealed similar signals as those of </w:t>
      </w:r>
      <w:r w:rsidRPr="005E6B7C">
        <w:rPr>
          <w:rFonts w:asciiTheme="majorHAnsi" w:eastAsia="Yu Mincho" w:hAnsiTheme="majorHAnsi" w:cstheme="majorHAnsi"/>
          <w:b/>
          <w:color w:val="000000" w:themeColor="text1"/>
          <w:sz w:val="22"/>
          <w:szCs w:val="22"/>
          <w:lang w:eastAsia="ja-JP"/>
        </w:rPr>
        <w:t xml:space="preserve">1 </w:t>
      </w:r>
      <w:r w:rsidRPr="005E6B7C">
        <w:rPr>
          <w:rFonts w:asciiTheme="majorHAnsi" w:eastAsia="Yu Mincho" w:hAnsiTheme="majorHAnsi" w:cstheme="majorHAnsi"/>
          <w:color w:val="000000" w:themeColor="text1"/>
          <w:sz w:val="22"/>
          <w:szCs w:val="22"/>
          <w:lang w:eastAsia="ja-JP"/>
        </w:rPr>
        <w:t>including</w:t>
      </w:r>
      <w:r w:rsidRPr="005E6B7C">
        <w:rPr>
          <w:rFonts w:asciiTheme="majorHAnsi" w:eastAsia="Yu Mincho" w:hAnsiTheme="majorHAnsi" w:cstheme="majorHAnsi"/>
          <w:b/>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3 aromatic protons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6.58 (1H, s, H-2)/</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107.9 (C-2),</w:t>
      </w:r>
      <w:r w:rsidRPr="005E6B7C">
        <w:rPr>
          <w:rFonts w:asciiTheme="majorHAnsi" w:eastAsia="Yu Mincho" w:hAnsiTheme="majorHAnsi" w:cstheme="majorHAnsi"/>
          <w:color w:val="000000" w:themeColor="text1"/>
          <w:sz w:val="22"/>
          <w:szCs w:val="22"/>
          <w:vertAlign w:val="subscript"/>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 xml:space="preserve">H </w:t>
      </w:r>
      <w:r w:rsidRPr="005E6B7C">
        <w:rPr>
          <w:rFonts w:asciiTheme="majorHAnsi" w:eastAsia="Yu Mincho" w:hAnsiTheme="majorHAnsi" w:cstheme="majorHAnsi"/>
          <w:color w:val="000000" w:themeColor="text1"/>
          <w:sz w:val="22"/>
          <w:szCs w:val="22"/>
          <w:lang w:eastAsia="ja-JP"/>
        </w:rPr>
        <w:t>6.43 (2H, s, H-2</w:t>
      </w:r>
      <w:r w:rsidRPr="005E6B7C">
        <w:rPr>
          <w:rFonts w:asciiTheme="majorHAnsi" w:eastAsia="Times New Roman" w:hAnsiTheme="majorHAnsi" w:cstheme="majorHAnsi"/>
          <w:color w:val="000000" w:themeColor="text1"/>
          <w:sz w:val="22"/>
          <w:szCs w:val="22"/>
          <w:lang w:eastAsia="ja-JP"/>
        </w:rPr>
        <w:t>ʹ and H-6ʹ</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107.0 (C-2</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C-6</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2 oxymethylene groups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3.64-</w:t>
      </w:r>
      <w:r w:rsidRPr="005E6B7C">
        <w:rPr>
          <w:rFonts w:asciiTheme="majorHAnsi" w:eastAsia="Times New Roman" w:hAnsiTheme="majorHAnsi" w:cstheme="majorHAnsi"/>
          <w:color w:val="000000" w:themeColor="text1"/>
          <w:sz w:val="22"/>
          <w:szCs w:val="22"/>
          <w:lang w:eastAsia="ja-JP"/>
        </w:rPr>
        <w:t>3.53 (2H, H-9)/</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66.3 (C-9) and</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3.88-3.45 (2H, H-9ʹ)/</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71.5 (C-9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one methylene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2.71-2.61 (2H, H-7)</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i/>
          <w:color w:val="000000" w:themeColor="text1"/>
          <w:sz w:val="22"/>
          <w:szCs w:val="22"/>
          <w:vertAlign w:val="subscript"/>
          <w:lang w:eastAsia="ja-JP"/>
        </w:rPr>
        <w:t xml:space="preserve"> </w:t>
      </w:r>
      <w:r w:rsidRPr="005E6B7C">
        <w:rPr>
          <w:rFonts w:asciiTheme="majorHAnsi" w:eastAsia="Yu Mincho" w:hAnsiTheme="majorHAnsi" w:cstheme="majorHAnsi"/>
          <w:color w:val="000000" w:themeColor="text1"/>
          <w:sz w:val="22"/>
          <w:szCs w:val="22"/>
          <w:lang w:eastAsia="ja-JP"/>
        </w:rPr>
        <w:t>33.8 (C-7)) and 3 methine groups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1.70 (1H, m, H-8)/</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40.6 (C-8),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4.41 (1H, d, </w:t>
      </w:r>
      <w:r w:rsidRPr="005E6B7C">
        <w:rPr>
          <w:rFonts w:asciiTheme="majorHAnsi" w:eastAsia="Times New Roman" w:hAnsiTheme="majorHAnsi" w:cstheme="majorHAnsi"/>
          <w:i/>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6.6 Hz, H-7ʹ)/</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42.8 (C-7ʹ) and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2.08 (1H, m, H-8ʹ)</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Times New Roman" w:hAnsiTheme="majorHAnsi" w:cstheme="majorHAnsi"/>
          <w:color w:val="000000" w:themeColor="text1"/>
          <w:sz w:val="22"/>
          <w:szCs w:val="22"/>
          <w:lang w:eastAsia="ja-JP"/>
        </w:rPr>
        <w:t>46.7 (C-8ʹ))</w:t>
      </w:r>
      <w:r w:rsidRPr="005E6B7C">
        <w:rPr>
          <w:rFonts w:asciiTheme="majorHAnsi" w:eastAsia="Yu Mincho" w:hAnsiTheme="majorHAnsi" w:cstheme="majorHAnsi"/>
          <w:color w:val="000000" w:themeColor="text1"/>
          <w:sz w:val="22"/>
          <w:szCs w:val="22"/>
          <w:lang w:eastAsia="ja-JP"/>
        </w:rPr>
        <w:t xml:space="preserve">. The NMR spectra of 2 showed additional signals of a </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 xml:space="preserve">-glucopyranosyl </w:t>
      </w:r>
      <w:r w:rsidRPr="005E6B7C">
        <w:rPr>
          <w:rFonts w:asciiTheme="majorHAnsi" w:eastAsia="Yu Mincho" w:hAnsiTheme="majorHAnsi" w:cstheme="majorHAnsi"/>
          <w:color w:val="000000" w:themeColor="text1"/>
          <w:sz w:val="22"/>
          <w:szCs w:val="22"/>
          <w:lang w:eastAsia="ja-JP"/>
        </w:rPr>
        <w:t xml:space="preserve">moiety at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4.28 </w:t>
      </w:r>
      <w:r w:rsidRPr="005E6B7C">
        <w:rPr>
          <w:rFonts w:asciiTheme="majorHAnsi" w:eastAsia="Times New Roman" w:hAnsiTheme="majorHAnsi" w:cstheme="majorHAnsi"/>
          <w:color w:val="000000" w:themeColor="text1"/>
          <w:sz w:val="22"/>
          <w:szCs w:val="22"/>
          <w:lang w:eastAsia="ja-JP"/>
        </w:rPr>
        <w:t xml:space="preserve">(1H, d, </w:t>
      </w:r>
      <w:r w:rsidRPr="005E6B7C">
        <w:rPr>
          <w:rFonts w:asciiTheme="majorHAnsi" w:eastAsia="Times New Roman" w:hAnsiTheme="majorHAnsi" w:cstheme="majorHAnsi"/>
          <w:i/>
          <w:color w:val="000000" w:themeColor="text1"/>
          <w:sz w:val="22"/>
          <w:szCs w:val="22"/>
          <w:lang w:eastAsia="ja-JP"/>
        </w:rPr>
        <w:t>J</w:t>
      </w:r>
      <w:r w:rsidRPr="005E6B7C">
        <w:rPr>
          <w:rFonts w:asciiTheme="majorHAnsi" w:eastAsia="Times New Roman" w:hAnsiTheme="majorHAnsi" w:cstheme="majorHAnsi"/>
          <w:color w:val="000000" w:themeColor="text1"/>
          <w:sz w:val="22"/>
          <w:szCs w:val="22"/>
          <w:lang w:eastAsia="ja-JP"/>
        </w:rPr>
        <w:t xml:space="preserve"> = 7.8 Hz, H-1ʹʹ),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3.24-3.83 (5H, H-2ʹʹ-H-6ʹʹ)/</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 xml:space="preserve">C </w:t>
      </w:r>
      <w:r w:rsidRPr="005E6B7C">
        <w:rPr>
          <w:rFonts w:asciiTheme="majorHAnsi" w:eastAsia="Yu Mincho" w:hAnsiTheme="majorHAnsi" w:cstheme="majorHAnsi"/>
          <w:color w:val="000000" w:themeColor="text1"/>
          <w:sz w:val="22"/>
          <w:szCs w:val="22"/>
          <w:lang w:eastAsia="ja-JP"/>
        </w:rPr>
        <w:t>104.8 (C-1</w:t>
      </w:r>
      <w:r w:rsidRPr="005E6B7C">
        <w:rPr>
          <w:rFonts w:asciiTheme="majorHAnsi" w:eastAsia="Times New Roman" w:hAnsiTheme="majorHAnsi" w:cstheme="majorHAnsi"/>
          <w:color w:val="000000" w:themeColor="text1"/>
          <w:sz w:val="22"/>
          <w:szCs w:val="22"/>
          <w:lang w:eastAsia="ja-JP"/>
        </w:rPr>
        <w:t xml:space="preserve">ʹʹ), 75.2 </w:t>
      </w:r>
      <w:r w:rsidRPr="005E6B7C">
        <w:rPr>
          <w:rFonts w:asciiTheme="majorHAnsi" w:eastAsia="Yu Mincho" w:hAnsiTheme="majorHAnsi" w:cstheme="majorHAnsi"/>
          <w:color w:val="000000" w:themeColor="text1"/>
          <w:sz w:val="22"/>
          <w:szCs w:val="22"/>
          <w:lang w:eastAsia="ja-JP"/>
        </w:rPr>
        <w:t>(C-2</w:t>
      </w:r>
      <w:r w:rsidRPr="005E6B7C">
        <w:rPr>
          <w:rFonts w:asciiTheme="majorHAnsi" w:eastAsia="Times New Roman" w:hAnsiTheme="majorHAnsi" w:cstheme="majorHAnsi"/>
          <w:color w:val="000000" w:themeColor="text1"/>
          <w:sz w:val="22"/>
          <w:szCs w:val="22"/>
          <w:lang w:eastAsia="ja-JP"/>
        </w:rPr>
        <w:t xml:space="preserve">ʹʹ), 78.0 </w:t>
      </w:r>
      <w:r w:rsidRPr="005E6B7C">
        <w:rPr>
          <w:rFonts w:asciiTheme="majorHAnsi" w:eastAsia="Yu Mincho" w:hAnsiTheme="majorHAnsi" w:cstheme="majorHAnsi"/>
          <w:color w:val="000000" w:themeColor="text1"/>
          <w:sz w:val="22"/>
          <w:szCs w:val="22"/>
          <w:lang w:eastAsia="ja-JP"/>
        </w:rPr>
        <w:t>(C-3</w:t>
      </w:r>
      <w:r w:rsidRPr="005E6B7C">
        <w:rPr>
          <w:rFonts w:asciiTheme="majorHAnsi" w:eastAsia="Times New Roman" w:hAnsiTheme="majorHAnsi" w:cstheme="majorHAnsi"/>
          <w:color w:val="000000" w:themeColor="text1"/>
          <w:sz w:val="22"/>
          <w:szCs w:val="22"/>
          <w:lang w:eastAsia="ja-JP"/>
        </w:rPr>
        <w:t xml:space="preserve">ʹʹ), 71.7 </w:t>
      </w:r>
      <w:r w:rsidRPr="005E6B7C">
        <w:rPr>
          <w:rFonts w:asciiTheme="majorHAnsi" w:eastAsia="Yu Mincho" w:hAnsiTheme="majorHAnsi" w:cstheme="majorHAnsi"/>
          <w:color w:val="000000" w:themeColor="text1"/>
          <w:sz w:val="22"/>
          <w:szCs w:val="22"/>
          <w:lang w:eastAsia="ja-JP"/>
        </w:rPr>
        <w:t>(C-4</w:t>
      </w:r>
      <w:r w:rsidRPr="005E6B7C">
        <w:rPr>
          <w:rFonts w:asciiTheme="majorHAnsi" w:eastAsia="Times New Roman" w:hAnsiTheme="majorHAnsi" w:cstheme="majorHAnsi"/>
          <w:color w:val="000000" w:themeColor="text1"/>
          <w:sz w:val="22"/>
          <w:szCs w:val="22"/>
          <w:lang w:eastAsia="ja-JP"/>
        </w:rPr>
        <w:t xml:space="preserve">ʹʹ), 78.3 </w:t>
      </w:r>
      <w:r w:rsidRPr="005E6B7C">
        <w:rPr>
          <w:rFonts w:asciiTheme="majorHAnsi" w:eastAsia="Yu Mincho" w:hAnsiTheme="majorHAnsi" w:cstheme="majorHAnsi"/>
          <w:color w:val="000000" w:themeColor="text1"/>
          <w:sz w:val="22"/>
          <w:szCs w:val="22"/>
          <w:lang w:eastAsia="ja-JP"/>
        </w:rPr>
        <w:t>(C-5</w:t>
      </w:r>
      <w:r w:rsidRPr="005E6B7C">
        <w:rPr>
          <w:rFonts w:asciiTheme="majorHAnsi" w:eastAsia="Times New Roman" w:hAnsiTheme="majorHAnsi" w:cstheme="majorHAnsi"/>
          <w:color w:val="000000" w:themeColor="text1"/>
          <w:sz w:val="22"/>
          <w:szCs w:val="22"/>
          <w:lang w:eastAsia="ja-JP"/>
        </w:rPr>
        <w:t xml:space="preserve">ʹʹ), 62.9 </w:t>
      </w:r>
      <w:r w:rsidRPr="005E6B7C">
        <w:rPr>
          <w:rFonts w:asciiTheme="majorHAnsi" w:eastAsia="Yu Mincho" w:hAnsiTheme="majorHAnsi" w:cstheme="majorHAnsi"/>
          <w:color w:val="000000" w:themeColor="text1"/>
          <w:sz w:val="22"/>
          <w:szCs w:val="22"/>
          <w:lang w:eastAsia="ja-JP"/>
        </w:rPr>
        <w:t>(C-6</w:t>
      </w:r>
      <w:r w:rsidRPr="005E6B7C">
        <w:rPr>
          <w:rFonts w:asciiTheme="majorHAnsi" w:eastAsia="Times New Roman" w:hAnsiTheme="majorHAnsi" w:cstheme="majorHAnsi"/>
          <w:color w:val="000000" w:themeColor="text1"/>
          <w:sz w:val="22"/>
          <w:szCs w:val="22"/>
          <w:lang w:eastAsia="ja-JP"/>
        </w:rPr>
        <w:t>ʹʹ)</w:t>
      </w:r>
      <w:r w:rsidRPr="005E6B7C">
        <w:rPr>
          <w:rFonts w:asciiTheme="majorHAnsi" w:eastAsia="Yu Mincho" w:hAnsiTheme="majorHAnsi" w:cstheme="majorHAnsi"/>
          <w:color w:val="000000" w:themeColor="text1"/>
          <w:sz w:val="22"/>
          <w:szCs w:val="22"/>
          <w:lang w:eastAsia="ja-JP"/>
        </w:rPr>
        <w:t>. The HMBC correlations of H-1</w:t>
      </w:r>
      <w:r w:rsidRPr="005E6B7C">
        <w:rPr>
          <w:rFonts w:asciiTheme="majorHAnsi" w:eastAsia="Times New Roman" w:hAnsiTheme="majorHAnsi" w:cstheme="majorHAnsi"/>
          <w:color w:val="000000" w:themeColor="text1"/>
          <w:sz w:val="22"/>
          <w:szCs w:val="22"/>
          <w:lang w:eastAsia="ja-JP"/>
        </w:rPr>
        <w:t>ʹʹ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4.28) with C-9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val="vi-VN"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71.5) indicated that the </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w:t>
      </w:r>
      <w:r w:rsidRPr="005E6B7C">
        <w:rPr>
          <w:rFonts w:asciiTheme="majorHAnsi" w:eastAsia="Yu Mincho" w:hAnsiTheme="majorHAnsi" w:cstheme="majorHAnsi"/>
          <w:color w:val="000000" w:themeColor="text1"/>
          <w:sz w:val="22"/>
          <w:szCs w:val="22"/>
          <w:lang w:eastAsia="ja-JP"/>
        </w:rPr>
        <w:t xml:space="preserve"> moiety is linked at C-9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Compound </w:t>
      </w: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was assigned as </w:t>
      </w:r>
      <w:r w:rsidRPr="005E6B7C">
        <w:rPr>
          <w:rFonts w:asciiTheme="majorHAnsi" w:eastAsia="Times New Roman" w:hAnsiTheme="majorHAnsi" w:cstheme="majorHAnsi"/>
          <w:color w:val="000000" w:themeColor="text1"/>
          <w:sz w:val="22"/>
          <w:szCs w:val="22"/>
          <w:lang w:eastAsia="ja-JP"/>
        </w:rPr>
        <w:t xml:space="preserve">(+)-lyoniresinol </w:t>
      </w:r>
      <w:r w:rsidRPr="005E6B7C">
        <w:rPr>
          <w:rFonts w:asciiTheme="majorHAnsi" w:eastAsia="Yu Mincho" w:hAnsiTheme="majorHAnsi" w:cstheme="majorHAnsi"/>
          <w:color w:val="000000" w:themeColor="text1"/>
          <w:sz w:val="22"/>
          <w:szCs w:val="22"/>
          <w:lang w:eastAsia="ja-JP"/>
        </w:rPr>
        <w:t>9</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w:t>
      </w:r>
      <w:r w:rsidRPr="005E6B7C">
        <w:rPr>
          <w:rFonts w:asciiTheme="majorHAnsi" w:eastAsia="Yu Mincho" w:hAnsiTheme="majorHAnsi" w:cstheme="majorHAnsi"/>
          <w:color w:val="000000" w:themeColor="text1"/>
          <w:sz w:val="22"/>
          <w:szCs w:val="22"/>
          <w:lang w:eastAsia="ja-JP"/>
        </w:rPr>
        <w:t xml:space="preserve"> by comparison of specific optical rotation (</w:t>
      </w:r>
      <w:r w:rsidRPr="005E6B7C">
        <w:rPr>
          <w:rFonts w:asciiTheme="majorHAnsi" w:eastAsia="Times New Roman" w:hAnsiTheme="majorHAnsi" w:cstheme="majorHAnsi"/>
          <w:color w:val="000000" w:themeColor="text1"/>
          <w:sz w:val="22"/>
          <w:szCs w:val="22"/>
          <w:lang w:eastAsia="ja-JP"/>
        </w:rPr>
        <w:t>+60.1, Ref. [12] [α]</w:t>
      </w:r>
      <w:r w:rsidRPr="005E6B7C">
        <w:rPr>
          <w:rFonts w:asciiTheme="majorHAnsi" w:eastAsia="Times New Roman" w:hAnsiTheme="majorHAnsi" w:cstheme="majorHAnsi"/>
          <w:color w:val="000000" w:themeColor="text1"/>
          <w:sz w:val="22"/>
          <w:szCs w:val="22"/>
          <w:vertAlign w:val="subscript"/>
          <w:lang w:eastAsia="ja-JP"/>
        </w:rPr>
        <w:t>D</w:t>
      </w:r>
      <w:r w:rsidRPr="005E6B7C">
        <w:rPr>
          <w:rFonts w:asciiTheme="majorHAnsi" w:eastAsia="Times New Roman" w:hAnsiTheme="majorHAnsi" w:cstheme="majorHAnsi"/>
          <w:color w:val="000000" w:themeColor="text1"/>
          <w:sz w:val="22"/>
          <w:szCs w:val="22"/>
          <w:vertAlign w:val="superscript"/>
          <w:lang w:eastAsia="ja-JP"/>
        </w:rPr>
        <w:t>20</w:t>
      </w:r>
      <w:r w:rsidRPr="005E6B7C">
        <w:rPr>
          <w:rFonts w:asciiTheme="majorHAnsi" w:eastAsia="Times New Roman" w:hAnsiTheme="majorHAnsi" w:cstheme="majorHAnsi"/>
          <w:color w:val="000000" w:themeColor="text1"/>
          <w:sz w:val="22"/>
          <w:szCs w:val="22"/>
          <w:lang w:eastAsia="ja-JP"/>
        </w:rPr>
        <w:t xml:space="preserve"> = + 47 (MeOH, </w:t>
      </w:r>
      <w:r w:rsidRPr="005E6B7C">
        <w:rPr>
          <w:rFonts w:asciiTheme="majorHAnsi" w:eastAsia="Times New Roman" w:hAnsiTheme="majorHAnsi" w:cstheme="majorHAnsi"/>
          <w:i/>
          <w:iCs/>
          <w:color w:val="000000" w:themeColor="text1"/>
          <w:sz w:val="22"/>
          <w:szCs w:val="22"/>
          <w:lang w:eastAsia="ja-JP"/>
        </w:rPr>
        <w:t>c</w:t>
      </w:r>
      <w:r w:rsidRPr="005E6B7C">
        <w:rPr>
          <w:rFonts w:asciiTheme="majorHAnsi" w:eastAsia="Times New Roman" w:hAnsiTheme="majorHAnsi" w:cstheme="majorHAnsi"/>
          <w:color w:val="000000" w:themeColor="text1"/>
          <w:sz w:val="22"/>
          <w:szCs w:val="22"/>
          <w:lang w:eastAsia="ja-JP"/>
        </w:rPr>
        <w:t xml:space="preserve"> = 0.8)) </w:t>
      </w:r>
      <w:r w:rsidRPr="005E6B7C">
        <w:rPr>
          <w:rFonts w:asciiTheme="majorHAnsi" w:eastAsia="Yu Mincho" w:hAnsiTheme="majorHAnsi" w:cstheme="majorHAnsi"/>
          <w:color w:val="000000" w:themeColor="text1"/>
          <w:sz w:val="22"/>
          <w:szCs w:val="22"/>
          <w:lang w:eastAsia="ja-JP"/>
        </w:rPr>
        <w:t>and NMR data with previous literature [11].</w:t>
      </w:r>
    </w:p>
    <w:p w14:paraId="4C3059CB" w14:textId="77777777" w:rsidR="00207C22" w:rsidRPr="005E6B7C" w:rsidRDefault="00207C22" w:rsidP="008C0D47">
      <w:pPr>
        <w:tabs>
          <w:tab w:val="left" w:pos="270"/>
          <w:tab w:val="left" w:pos="540"/>
          <w:tab w:val="left" w:pos="9270"/>
        </w:tabs>
        <w:spacing w:line="264" w:lineRule="exact"/>
        <w:ind w:firstLine="284"/>
        <w:jc w:val="both"/>
        <w:rPr>
          <w:rFonts w:asciiTheme="majorHAnsi" w:eastAsia="Yu Mincho" w:hAnsiTheme="majorHAnsi" w:cstheme="majorHAnsi"/>
          <w:color w:val="000000" w:themeColor="text1"/>
          <w:sz w:val="22"/>
          <w:szCs w:val="22"/>
          <w:lang w:eastAsia="ja-JP"/>
        </w:rPr>
        <w:sectPr w:rsidR="00207C22" w:rsidRPr="005E6B7C" w:rsidSect="00207C22">
          <w:type w:val="continuous"/>
          <w:pgSz w:w="10773" w:h="15309" w:code="9"/>
          <w:pgMar w:top="907" w:right="851" w:bottom="1418" w:left="851" w:header="397" w:footer="851" w:gutter="0"/>
          <w:cols w:num="2" w:space="284"/>
          <w:docGrid w:linePitch="360"/>
        </w:sectPr>
      </w:pPr>
    </w:p>
    <w:p w14:paraId="75F18E98" w14:textId="7CB27F06"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w:t>
      </w:r>
      <w:r w:rsidR="00B857B1" w:rsidRPr="005E6B7C">
        <w:rPr>
          <w:rFonts w:asciiTheme="majorHAnsi" w:eastAsia="Yu Mincho" w:hAnsiTheme="majorHAnsi" w:cstheme="majorHAnsi"/>
          <w:color w:val="000000" w:themeColor="text1"/>
          <w:sz w:val="18"/>
          <w:szCs w:val="18"/>
          <w:vertAlign w:val="superscript"/>
          <w:lang w:eastAsia="ja-JP"/>
        </w:rPr>
        <w:t>1</w:t>
      </w:r>
      <w:r w:rsidR="00B857B1" w:rsidRPr="005E6B7C">
        <w:rPr>
          <w:rFonts w:asciiTheme="majorHAnsi" w:eastAsia="Yu Mincho" w:hAnsiTheme="majorHAnsi" w:cstheme="majorHAnsi"/>
          <w:color w:val="000000" w:themeColor="text1"/>
          <w:sz w:val="18"/>
          <w:szCs w:val="18"/>
          <w:lang w:eastAsia="ja-JP"/>
        </w:rPr>
        <w:t xml:space="preserve">H- and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 xml:space="preserve">C-NMR spectroscopic data of </w:t>
      </w: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2</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00" w:firstRow="0" w:lastRow="0" w:firstColumn="0" w:lastColumn="0" w:noHBand="0" w:noVBand="1"/>
      </w:tblPr>
      <w:tblGrid>
        <w:gridCol w:w="1081"/>
        <w:gridCol w:w="1980"/>
        <w:gridCol w:w="810"/>
        <w:gridCol w:w="1109"/>
        <w:gridCol w:w="2041"/>
        <w:gridCol w:w="810"/>
        <w:gridCol w:w="1241"/>
      </w:tblGrid>
      <w:tr w:rsidR="00E049CB" w:rsidRPr="005E6B7C" w14:paraId="0D7697D5" w14:textId="77777777" w:rsidTr="008C0D47">
        <w:trPr>
          <w:trHeight w:val="65"/>
          <w:tblHeader/>
          <w:jc w:val="center"/>
        </w:trPr>
        <w:tc>
          <w:tcPr>
            <w:tcW w:w="1081" w:type="dxa"/>
            <w:vMerge w:val="restart"/>
            <w:vAlign w:val="center"/>
            <w:hideMark/>
          </w:tcPr>
          <w:p w14:paraId="4EF852D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eastAsia="ja-JP"/>
              </w:rPr>
              <w:t>Pos.</w:t>
            </w:r>
          </w:p>
        </w:tc>
        <w:tc>
          <w:tcPr>
            <w:tcW w:w="2790" w:type="dxa"/>
            <w:gridSpan w:val="2"/>
            <w:vAlign w:val="center"/>
            <w:hideMark/>
          </w:tcPr>
          <w:p w14:paraId="278F7C4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eastAsia="ja-JP"/>
              </w:rPr>
              <w:t>1</w:t>
            </w:r>
          </w:p>
        </w:tc>
        <w:tc>
          <w:tcPr>
            <w:tcW w:w="1109" w:type="dxa"/>
            <w:vAlign w:val="center"/>
          </w:tcPr>
          <w:p w14:paraId="46A00FD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Ref [11]</w:t>
            </w:r>
          </w:p>
        </w:tc>
        <w:tc>
          <w:tcPr>
            <w:tcW w:w="2851" w:type="dxa"/>
            <w:gridSpan w:val="2"/>
            <w:vAlign w:val="center"/>
          </w:tcPr>
          <w:p w14:paraId="058C15E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2</w:t>
            </w:r>
          </w:p>
        </w:tc>
        <w:tc>
          <w:tcPr>
            <w:tcW w:w="1241" w:type="dxa"/>
            <w:vAlign w:val="center"/>
          </w:tcPr>
          <w:p w14:paraId="763C96EA" w14:textId="58A94C3F"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Ref</w:t>
            </w:r>
            <w:r w:rsidR="008C0D47" w:rsidRPr="005E6B7C">
              <w:rPr>
                <w:rFonts w:asciiTheme="majorHAnsi" w:eastAsia="Times New Roman" w:hAnsiTheme="majorHAnsi" w:cstheme="majorHAnsi"/>
                <w:b/>
                <w:bCs/>
                <w:color w:val="000000" w:themeColor="text1"/>
                <w:sz w:val="18"/>
                <w:szCs w:val="18"/>
                <w:lang w:val="en" w:eastAsia="ja-JP"/>
              </w:rPr>
              <w:t xml:space="preserve"> </w:t>
            </w:r>
            <w:r w:rsidRPr="005E6B7C">
              <w:rPr>
                <w:rFonts w:asciiTheme="majorHAnsi" w:eastAsia="Times New Roman" w:hAnsiTheme="majorHAnsi" w:cstheme="majorHAnsi"/>
                <w:b/>
                <w:bCs/>
                <w:color w:val="000000" w:themeColor="text1"/>
                <w:sz w:val="18"/>
                <w:szCs w:val="18"/>
                <w:lang w:val="en" w:eastAsia="ja-JP"/>
              </w:rPr>
              <w:t>[11]</w:t>
            </w:r>
          </w:p>
        </w:tc>
      </w:tr>
      <w:tr w:rsidR="00B857B1" w:rsidRPr="005E6B7C" w14:paraId="4A10F9FB" w14:textId="77777777" w:rsidTr="008C0D47">
        <w:trPr>
          <w:tblHeader/>
          <w:jc w:val="center"/>
        </w:trPr>
        <w:tc>
          <w:tcPr>
            <w:tcW w:w="1081" w:type="dxa"/>
            <w:vMerge/>
            <w:vAlign w:val="center"/>
            <w:hideMark/>
          </w:tcPr>
          <w:p w14:paraId="19AB6D92" w14:textId="77777777"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p>
        </w:tc>
        <w:tc>
          <w:tcPr>
            <w:tcW w:w="1980" w:type="dxa"/>
            <w:vAlign w:val="center"/>
            <w:hideMark/>
          </w:tcPr>
          <w:p w14:paraId="60972D70" w14:textId="680184D2"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nl-NL"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Cs/>
                <w:color w:val="000000" w:themeColor="text1"/>
                <w:sz w:val="18"/>
                <w:szCs w:val="18"/>
                <w:vertAlign w:val="subscript"/>
                <w:lang w:val="nl-NL" w:eastAsia="ja-JP"/>
              </w:rPr>
              <w:t>H</w:t>
            </w:r>
            <w:r w:rsidRPr="005E6B7C">
              <w:rPr>
                <w:rFonts w:asciiTheme="majorHAnsi" w:eastAsia="Times New Roman" w:hAnsiTheme="majorHAnsi" w:cstheme="majorHAnsi"/>
                <w:bCs/>
                <w:color w:val="000000" w:themeColor="text1"/>
                <w:sz w:val="18"/>
                <w:szCs w:val="18"/>
                <w:vertAlign w:val="superscript"/>
                <w:lang w:val="nl-NL" w:eastAsia="ja-JP"/>
              </w:rPr>
              <w:t>a,b</w:t>
            </w:r>
            <w:r w:rsidRPr="005E6B7C">
              <w:rPr>
                <w:rFonts w:asciiTheme="majorHAnsi" w:eastAsia="Times New Roman" w:hAnsiTheme="majorHAnsi" w:cstheme="majorHAnsi"/>
                <w:bCs/>
                <w:color w:val="000000" w:themeColor="text1"/>
                <w:sz w:val="18"/>
                <w:szCs w:val="18"/>
                <w:lang w:val="nl-NL" w:eastAsia="ja-JP"/>
              </w:rPr>
              <w:t xml:space="preserve"> (mult., </w:t>
            </w:r>
            <w:r w:rsidRPr="005E6B7C">
              <w:rPr>
                <w:rFonts w:asciiTheme="majorHAnsi" w:eastAsia="Times New Roman" w:hAnsiTheme="majorHAnsi" w:cstheme="majorHAnsi"/>
                <w:bCs/>
                <w:i/>
                <w:color w:val="000000" w:themeColor="text1"/>
                <w:sz w:val="18"/>
                <w:szCs w:val="18"/>
                <w:lang w:val="nl-NL" w:eastAsia="ja-JP"/>
              </w:rPr>
              <w:t>J</w:t>
            </w:r>
            <w:r w:rsidRPr="005E6B7C">
              <w:rPr>
                <w:rFonts w:asciiTheme="majorHAnsi" w:eastAsia="Times New Roman" w:hAnsiTheme="majorHAnsi" w:cstheme="majorHAnsi"/>
                <w:bCs/>
                <w:color w:val="000000" w:themeColor="text1"/>
                <w:sz w:val="18"/>
                <w:szCs w:val="18"/>
                <w:lang w:val="nl-NL" w:eastAsia="ja-JP"/>
              </w:rPr>
              <w:t xml:space="preserve"> in Hz)</w:t>
            </w:r>
          </w:p>
        </w:tc>
        <w:tc>
          <w:tcPr>
            <w:tcW w:w="810" w:type="dxa"/>
            <w:vAlign w:val="center"/>
            <w:hideMark/>
          </w:tcPr>
          <w:p w14:paraId="22B712C2" w14:textId="5693DCC4"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val="en"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1109" w:type="dxa"/>
            <w:vAlign w:val="center"/>
            <w:hideMark/>
          </w:tcPr>
          <w:p w14:paraId="6457539F" w14:textId="05AC852E"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2041" w:type="dxa"/>
            <w:vAlign w:val="center"/>
          </w:tcPr>
          <w:p w14:paraId="052FEEFB" w14:textId="67E90DC9"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val="nl-NL"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Cs/>
                <w:color w:val="000000" w:themeColor="text1"/>
                <w:sz w:val="18"/>
                <w:szCs w:val="18"/>
                <w:vertAlign w:val="subscript"/>
                <w:lang w:val="nl-NL" w:eastAsia="ja-JP"/>
              </w:rPr>
              <w:t>H</w:t>
            </w:r>
            <w:r w:rsidRPr="005E6B7C">
              <w:rPr>
                <w:rFonts w:asciiTheme="majorHAnsi" w:eastAsia="Times New Roman" w:hAnsiTheme="majorHAnsi" w:cstheme="majorHAnsi"/>
                <w:bCs/>
                <w:color w:val="000000" w:themeColor="text1"/>
                <w:sz w:val="18"/>
                <w:szCs w:val="18"/>
                <w:vertAlign w:val="superscript"/>
                <w:lang w:val="nl-NL" w:eastAsia="ja-JP"/>
              </w:rPr>
              <w:t>a,b</w:t>
            </w:r>
            <w:r w:rsidRPr="005E6B7C">
              <w:rPr>
                <w:rFonts w:asciiTheme="majorHAnsi" w:eastAsia="Times New Roman" w:hAnsiTheme="majorHAnsi" w:cstheme="majorHAnsi"/>
                <w:bCs/>
                <w:color w:val="000000" w:themeColor="text1"/>
                <w:sz w:val="18"/>
                <w:szCs w:val="18"/>
                <w:lang w:val="nl-NL" w:eastAsia="ja-JP"/>
              </w:rPr>
              <w:t xml:space="preserve"> (mult., </w:t>
            </w:r>
            <w:r w:rsidRPr="005E6B7C">
              <w:rPr>
                <w:rFonts w:asciiTheme="majorHAnsi" w:eastAsia="Times New Roman" w:hAnsiTheme="majorHAnsi" w:cstheme="majorHAnsi"/>
                <w:bCs/>
                <w:i/>
                <w:color w:val="000000" w:themeColor="text1"/>
                <w:sz w:val="18"/>
                <w:szCs w:val="18"/>
                <w:lang w:val="nl-NL" w:eastAsia="ja-JP"/>
              </w:rPr>
              <w:t>J</w:t>
            </w:r>
            <w:r w:rsidRPr="005E6B7C">
              <w:rPr>
                <w:rFonts w:asciiTheme="majorHAnsi" w:eastAsia="Times New Roman" w:hAnsiTheme="majorHAnsi" w:cstheme="majorHAnsi"/>
                <w:bCs/>
                <w:color w:val="000000" w:themeColor="text1"/>
                <w:sz w:val="18"/>
                <w:szCs w:val="18"/>
                <w:lang w:val="nl-NL" w:eastAsia="ja-JP"/>
              </w:rPr>
              <w:t xml:space="preserve"> in Hz)</w:t>
            </w:r>
          </w:p>
        </w:tc>
        <w:tc>
          <w:tcPr>
            <w:tcW w:w="810" w:type="dxa"/>
            <w:vAlign w:val="center"/>
          </w:tcPr>
          <w:p w14:paraId="1AEFBC19" w14:textId="341F6039"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1241" w:type="dxa"/>
            <w:vAlign w:val="center"/>
          </w:tcPr>
          <w:p w14:paraId="7A0FC54C" w14:textId="51D7A7D8"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r>
      <w:tr w:rsidR="00E049CB" w:rsidRPr="005E6B7C" w14:paraId="388B52DC" w14:textId="77777777" w:rsidTr="008C0D47">
        <w:trPr>
          <w:jc w:val="center"/>
        </w:trPr>
        <w:tc>
          <w:tcPr>
            <w:tcW w:w="1081" w:type="dxa"/>
            <w:vAlign w:val="center"/>
            <w:hideMark/>
          </w:tcPr>
          <w:p w14:paraId="0852F85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w:t>
            </w:r>
          </w:p>
        </w:tc>
        <w:tc>
          <w:tcPr>
            <w:tcW w:w="1980" w:type="dxa"/>
            <w:vAlign w:val="center"/>
            <w:hideMark/>
          </w:tcPr>
          <w:p w14:paraId="720CDEA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hideMark/>
          </w:tcPr>
          <w:p w14:paraId="72C621A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130.2</w:t>
            </w:r>
          </w:p>
        </w:tc>
        <w:tc>
          <w:tcPr>
            <w:tcW w:w="1109" w:type="dxa"/>
            <w:vAlign w:val="center"/>
            <w:hideMark/>
          </w:tcPr>
          <w:p w14:paraId="3605E90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130.2</w:t>
            </w:r>
          </w:p>
        </w:tc>
        <w:tc>
          <w:tcPr>
            <w:tcW w:w="2041" w:type="dxa"/>
            <w:vAlign w:val="center"/>
          </w:tcPr>
          <w:p w14:paraId="1BCA420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395504F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130.2</w:t>
            </w:r>
          </w:p>
        </w:tc>
        <w:tc>
          <w:tcPr>
            <w:tcW w:w="1241" w:type="dxa"/>
            <w:vAlign w:val="center"/>
          </w:tcPr>
          <w:p w14:paraId="0DACC84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130.2</w:t>
            </w:r>
          </w:p>
        </w:tc>
      </w:tr>
      <w:tr w:rsidR="00E049CB" w:rsidRPr="005E6B7C" w14:paraId="3C780A04" w14:textId="77777777" w:rsidTr="008C0D47">
        <w:trPr>
          <w:jc w:val="center"/>
        </w:trPr>
        <w:tc>
          <w:tcPr>
            <w:tcW w:w="1081" w:type="dxa"/>
            <w:vAlign w:val="center"/>
            <w:hideMark/>
          </w:tcPr>
          <w:p w14:paraId="53F6955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w:t>
            </w:r>
          </w:p>
        </w:tc>
        <w:tc>
          <w:tcPr>
            <w:tcW w:w="1980" w:type="dxa"/>
            <w:vAlign w:val="center"/>
            <w:hideMark/>
          </w:tcPr>
          <w:p w14:paraId="35CB24A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6.61 (1H, s)</w:t>
            </w:r>
          </w:p>
        </w:tc>
        <w:tc>
          <w:tcPr>
            <w:tcW w:w="810" w:type="dxa"/>
            <w:vAlign w:val="center"/>
            <w:hideMark/>
          </w:tcPr>
          <w:p w14:paraId="4D493D6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107.8</w:t>
            </w:r>
          </w:p>
        </w:tc>
        <w:tc>
          <w:tcPr>
            <w:tcW w:w="1109" w:type="dxa"/>
            <w:vAlign w:val="center"/>
            <w:hideMark/>
          </w:tcPr>
          <w:p w14:paraId="0DC4ACF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107.8</w:t>
            </w:r>
          </w:p>
        </w:tc>
        <w:tc>
          <w:tcPr>
            <w:tcW w:w="2041" w:type="dxa"/>
            <w:vAlign w:val="center"/>
          </w:tcPr>
          <w:p w14:paraId="4D2C942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6.58 (1H, s)</w:t>
            </w:r>
          </w:p>
        </w:tc>
        <w:tc>
          <w:tcPr>
            <w:tcW w:w="810" w:type="dxa"/>
            <w:vAlign w:val="center"/>
          </w:tcPr>
          <w:p w14:paraId="423CE29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107.9</w:t>
            </w:r>
          </w:p>
        </w:tc>
        <w:tc>
          <w:tcPr>
            <w:tcW w:w="1241" w:type="dxa"/>
            <w:vAlign w:val="center"/>
          </w:tcPr>
          <w:p w14:paraId="34CD210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107.9</w:t>
            </w:r>
          </w:p>
        </w:tc>
      </w:tr>
      <w:tr w:rsidR="00E049CB" w:rsidRPr="005E6B7C" w14:paraId="52E738ED" w14:textId="77777777" w:rsidTr="008C0D47">
        <w:trPr>
          <w:jc w:val="center"/>
        </w:trPr>
        <w:tc>
          <w:tcPr>
            <w:tcW w:w="1081" w:type="dxa"/>
            <w:vAlign w:val="center"/>
            <w:hideMark/>
          </w:tcPr>
          <w:p w14:paraId="64250F7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w:t>
            </w:r>
          </w:p>
        </w:tc>
        <w:tc>
          <w:tcPr>
            <w:tcW w:w="1980" w:type="dxa"/>
            <w:vAlign w:val="center"/>
          </w:tcPr>
          <w:p w14:paraId="7CCE7A0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tcPr>
          <w:p w14:paraId="182B604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148.7</w:t>
            </w:r>
          </w:p>
        </w:tc>
        <w:tc>
          <w:tcPr>
            <w:tcW w:w="1109" w:type="dxa"/>
            <w:vAlign w:val="center"/>
          </w:tcPr>
          <w:p w14:paraId="5319CE5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148.7</w:t>
            </w:r>
          </w:p>
        </w:tc>
        <w:tc>
          <w:tcPr>
            <w:tcW w:w="2041" w:type="dxa"/>
            <w:vAlign w:val="center"/>
          </w:tcPr>
          <w:p w14:paraId="200D1F0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326BC6A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148.7</w:t>
            </w:r>
          </w:p>
        </w:tc>
        <w:tc>
          <w:tcPr>
            <w:tcW w:w="1241" w:type="dxa"/>
            <w:vAlign w:val="center"/>
          </w:tcPr>
          <w:p w14:paraId="6BAFD0B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148.7</w:t>
            </w:r>
          </w:p>
        </w:tc>
      </w:tr>
      <w:tr w:rsidR="00E049CB" w:rsidRPr="005E6B7C" w14:paraId="4F2BB8DD" w14:textId="77777777" w:rsidTr="008C0D47">
        <w:trPr>
          <w:jc w:val="center"/>
        </w:trPr>
        <w:tc>
          <w:tcPr>
            <w:tcW w:w="1081" w:type="dxa"/>
            <w:vAlign w:val="center"/>
            <w:hideMark/>
          </w:tcPr>
          <w:p w14:paraId="0B7FAF5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4</w:t>
            </w:r>
          </w:p>
        </w:tc>
        <w:tc>
          <w:tcPr>
            <w:tcW w:w="1980" w:type="dxa"/>
            <w:vAlign w:val="center"/>
          </w:tcPr>
          <w:p w14:paraId="3C76953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tcPr>
          <w:p w14:paraId="2C482FE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138.9</w:t>
            </w:r>
          </w:p>
        </w:tc>
        <w:tc>
          <w:tcPr>
            <w:tcW w:w="1109" w:type="dxa"/>
            <w:vAlign w:val="center"/>
          </w:tcPr>
          <w:p w14:paraId="6863B77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138.9</w:t>
            </w:r>
          </w:p>
        </w:tc>
        <w:tc>
          <w:tcPr>
            <w:tcW w:w="2041" w:type="dxa"/>
            <w:vAlign w:val="center"/>
          </w:tcPr>
          <w:p w14:paraId="54815F2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022CA46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138.9</w:t>
            </w:r>
          </w:p>
        </w:tc>
        <w:tc>
          <w:tcPr>
            <w:tcW w:w="1241" w:type="dxa"/>
            <w:vAlign w:val="center"/>
          </w:tcPr>
          <w:p w14:paraId="05ACBF1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138.9</w:t>
            </w:r>
          </w:p>
        </w:tc>
      </w:tr>
      <w:tr w:rsidR="00E049CB" w:rsidRPr="005E6B7C" w14:paraId="6DCA9082" w14:textId="77777777" w:rsidTr="008C0D47">
        <w:trPr>
          <w:jc w:val="center"/>
        </w:trPr>
        <w:tc>
          <w:tcPr>
            <w:tcW w:w="1081" w:type="dxa"/>
            <w:vAlign w:val="center"/>
            <w:hideMark/>
          </w:tcPr>
          <w:p w14:paraId="5B5FC92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5</w:t>
            </w:r>
          </w:p>
        </w:tc>
        <w:tc>
          <w:tcPr>
            <w:tcW w:w="1980" w:type="dxa"/>
            <w:vAlign w:val="center"/>
          </w:tcPr>
          <w:p w14:paraId="04B47D5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hideMark/>
          </w:tcPr>
          <w:p w14:paraId="1B383CF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147.7</w:t>
            </w:r>
          </w:p>
        </w:tc>
        <w:tc>
          <w:tcPr>
            <w:tcW w:w="1109" w:type="dxa"/>
            <w:vAlign w:val="center"/>
            <w:hideMark/>
          </w:tcPr>
          <w:p w14:paraId="578837A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147.7</w:t>
            </w:r>
          </w:p>
        </w:tc>
        <w:tc>
          <w:tcPr>
            <w:tcW w:w="2041" w:type="dxa"/>
            <w:vAlign w:val="center"/>
          </w:tcPr>
          <w:p w14:paraId="1FCB228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4EF7BB3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147.6</w:t>
            </w:r>
          </w:p>
        </w:tc>
        <w:tc>
          <w:tcPr>
            <w:tcW w:w="1241" w:type="dxa"/>
            <w:vAlign w:val="center"/>
          </w:tcPr>
          <w:p w14:paraId="10D59BE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147.6</w:t>
            </w:r>
          </w:p>
        </w:tc>
      </w:tr>
      <w:tr w:rsidR="00E049CB" w:rsidRPr="005E6B7C" w14:paraId="49B50E0E" w14:textId="77777777" w:rsidTr="008C0D47">
        <w:trPr>
          <w:jc w:val="center"/>
        </w:trPr>
        <w:tc>
          <w:tcPr>
            <w:tcW w:w="1081" w:type="dxa"/>
            <w:vAlign w:val="center"/>
            <w:hideMark/>
          </w:tcPr>
          <w:p w14:paraId="0F16AFC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6</w:t>
            </w:r>
          </w:p>
        </w:tc>
        <w:tc>
          <w:tcPr>
            <w:tcW w:w="1980" w:type="dxa"/>
            <w:vAlign w:val="center"/>
          </w:tcPr>
          <w:p w14:paraId="74625C8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hideMark/>
          </w:tcPr>
          <w:p w14:paraId="7C839A5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126.3</w:t>
            </w:r>
          </w:p>
        </w:tc>
        <w:tc>
          <w:tcPr>
            <w:tcW w:w="1109" w:type="dxa"/>
            <w:vAlign w:val="center"/>
            <w:hideMark/>
          </w:tcPr>
          <w:p w14:paraId="5FC45DD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126.3</w:t>
            </w:r>
          </w:p>
        </w:tc>
        <w:tc>
          <w:tcPr>
            <w:tcW w:w="2041" w:type="dxa"/>
            <w:vAlign w:val="center"/>
          </w:tcPr>
          <w:p w14:paraId="0B51969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810" w:type="dxa"/>
            <w:vAlign w:val="center"/>
          </w:tcPr>
          <w:p w14:paraId="540A03C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126.4</w:t>
            </w:r>
          </w:p>
        </w:tc>
        <w:tc>
          <w:tcPr>
            <w:tcW w:w="1241" w:type="dxa"/>
            <w:vAlign w:val="center"/>
          </w:tcPr>
          <w:p w14:paraId="1F3EDD1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126.4</w:t>
            </w:r>
          </w:p>
        </w:tc>
      </w:tr>
      <w:tr w:rsidR="00E049CB" w:rsidRPr="005E6B7C" w14:paraId="671568FB" w14:textId="77777777" w:rsidTr="008C0D47">
        <w:trPr>
          <w:jc w:val="center"/>
        </w:trPr>
        <w:tc>
          <w:tcPr>
            <w:tcW w:w="1081" w:type="dxa"/>
            <w:vAlign w:val="center"/>
            <w:hideMark/>
          </w:tcPr>
          <w:p w14:paraId="41E9003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7</w:t>
            </w:r>
          </w:p>
        </w:tc>
        <w:tc>
          <w:tcPr>
            <w:tcW w:w="1980" w:type="dxa"/>
            <w:vAlign w:val="center"/>
            <w:hideMark/>
          </w:tcPr>
          <w:p w14:paraId="22BACCC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2.72 (1H, dd, 15.0, 4.8)</w:t>
            </w:r>
          </w:p>
          <w:p w14:paraId="734E8CA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2.59 (1H, dd, 15.0, 11.4)</w:t>
            </w:r>
          </w:p>
        </w:tc>
        <w:tc>
          <w:tcPr>
            <w:tcW w:w="810" w:type="dxa"/>
            <w:vAlign w:val="center"/>
            <w:hideMark/>
          </w:tcPr>
          <w:p w14:paraId="277638B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33.6</w:t>
            </w:r>
          </w:p>
          <w:p w14:paraId="7D6A5C6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1109" w:type="dxa"/>
            <w:vAlign w:val="center"/>
            <w:hideMark/>
          </w:tcPr>
          <w:p w14:paraId="7466F34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33.6</w:t>
            </w:r>
          </w:p>
          <w:p w14:paraId="2C8F65A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2041" w:type="dxa"/>
            <w:vAlign w:val="center"/>
          </w:tcPr>
          <w:p w14:paraId="143A709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2.71 (1H, dd, 15.0, 4.8)</w:t>
            </w:r>
          </w:p>
          <w:p w14:paraId="20FDEC9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2.61 (1H, dd, 15.0, 12.0)</w:t>
            </w:r>
          </w:p>
        </w:tc>
        <w:tc>
          <w:tcPr>
            <w:tcW w:w="810" w:type="dxa"/>
            <w:vAlign w:val="center"/>
          </w:tcPr>
          <w:p w14:paraId="4869CB8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33.8</w:t>
            </w:r>
          </w:p>
        </w:tc>
        <w:tc>
          <w:tcPr>
            <w:tcW w:w="1241" w:type="dxa"/>
            <w:vAlign w:val="center"/>
          </w:tcPr>
          <w:p w14:paraId="1DB2954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33.8</w:t>
            </w:r>
          </w:p>
        </w:tc>
      </w:tr>
      <w:tr w:rsidR="00E049CB" w:rsidRPr="005E6B7C" w14:paraId="20FB8110" w14:textId="77777777" w:rsidTr="008C0D47">
        <w:trPr>
          <w:jc w:val="center"/>
        </w:trPr>
        <w:tc>
          <w:tcPr>
            <w:tcW w:w="1081" w:type="dxa"/>
            <w:vAlign w:val="center"/>
            <w:hideMark/>
          </w:tcPr>
          <w:p w14:paraId="3B695B1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8</w:t>
            </w:r>
          </w:p>
        </w:tc>
        <w:tc>
          <w:tcPr>
            <w:tcW w:w="1980" w:type="dxa"/>
            <w:vAlign w:val="center"/>
            <w:hideMark/>
          </w:tcPr>
          <w:p w14:paraId="53D98A5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1.64 (1H, m)</w:t>
            </w:r>
          </w:p>
        </w:tc>
        <w:tc>
          <w:tcPr>
            <w:tcW w:w="810" w:type="dxa"/>
            <w:vAlign w:val="center"/>
            <w:hideMark/>
          </w:tcPr>
          <w:p w14:paraId="5B9D939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40.9</w:t>
            </w:r>
          </w:p>
        </w:tc>
        <w:tc>
          <w:tcPr>
            <w:tcW w:w="1109" w:type="dxa"/>
            <w:vAlign w:val="center"/>
            <w:hideMark/>
          </w:tcPr>
          <w:p w14:paraId="4733A2C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40.9</w:t>
            </w:r>
          </w:p>
        </w:tc>
        <w:tc>
          <w:tcPr>
            <w:tcW w:w="2041" w:type="dxa"/>
            <w:vAlign w:val="center"/>
          </w:tcPr>
          <w:p w14:paraId="22F7A7F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1.70 (1H, m)</w:t>
            </w:r>
          </w:p>
        </w:tc>
        <w:tc>
          <w:tcPr>
            <w:tcW w:w="810" w:type="dxa"/>
            <w:vAlign w:val="center"/>
          </w:tcPr>
          <w:p w14:paraId="11F3B77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40.6</w:t>
            </w:r>
          </w:p>
        </w:tc>
        <w:tc>
          <w:tcPr>
            <w:tcW w:w="1241" w:type="dxa"/>
            <w:vAlign w:val="center"/>
          </w:tcPr>
          <w:p w14:paraId="4DD289C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40.6</w:t>
            </w:r>
          </w:p>
        </w:tc>
      </w:tr>
      <w:tr w:rsidR="00E049CB" w:rsidRPr="005E6B7C" w14:paraId="45890CBD" w14:textId="77777777" w:rsidTr="008C0D47">
        <w:trPr>
          <w:jc w:val="center"/>
        </w:trPr>
        <w:tc>
          <w:tcPr>
            <w:tcW w:w="1081" w:type="dxa"/>
            <w:vAlign w:val="center"/>
            <w:hideMark/>
          </w:tcPr>
          <w:p w14:paraId="6B93156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lastRenderedPageBreak/>
              <w:t>9</w:t>
            </w:r>
          </w:p>
        </w:tc>
        <w:tc>
          <w:tcPr>
            <w:tcW w:w="1980" w:type="dxa"/>
            <w:vAlign w:val="center"/>
            <w:hideMark/>
          </w:tcPr>
          <w:p w14:paraId="04A830E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3.61 (1H, dd, 9.0, 5.4)</w:t>
            </w:r>
          </w:p>
          <w:p w14:paraId="436837A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3.51 (1H, m)</w:t>
            </w:r>
          </w:p>
        </w:tc>
        <w:tc>
          <w:tcPr>
            <w:tcW w:w="810" w:type="dxa"/>
            <w:vAlign w:val="center"/>
            <w:hideMark/>
          </w:tcPr>
          <w:p w14:paraId="102CBF1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66.8</w:t>
            </w:r>
          </w:p>
          <w:p w14:paraId="1FAAB32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1109" w:type="dxa"/>
            <w:vAlign w:val="center"/>
            <w:hideMark/>
          </w:tcPr>
          <w:p w14:paraId="72A715E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66.8</w:t>
            </w:r>
          </w:p>
        </w:tc>
        <w:tc>
          <w:tcPr>
            <w:tcW w:w="2041" w:type="dxa"/>
            <w:vAlign w:val="center"/>
          </w:tcPr>
          <w:p w14:paraId="0EFF8CF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3.64 (1H, m)</w:t>
            </w:r>
          </w:p>
          <w:p w14:paraId="7CCECD8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3.53 (1H, dd, 10.8, 6.6)</w:t>
            </w:r>
          </w:p>
        </w:tc>
        <w:tc>
          <w:tcPr>
            <w:tcW w:w="810" w:type="dxa"/>
            <w:vAlign w:val="center"/>
          </w:tcPr>
          <w:p w14:paraId="24B03F1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66.3</w:t>
            </w:r>
          </w:p>
        </w:tc>
        <w:tc>
          <w:tcPr>
            <w:tcW w:w="1241" w:type="dxa"/>
            <w:vAlign w:val="center"/>
          </w:tcPr>
          <w:p w14:paraId="187116E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66.2</w:t>
            </w:r>
          </w:p>
        </w:tc>
      </w:tr>
      <w:tr w:rsidR="00E049CB" w:rsidRPr="005E6B7C" w14:paraId="7DDF460E" w14:textId="77777777" w:rsidTr="008C0D47">
        <w:trPr>
          <w:jc w:val="center"/>
        </w:trPr>
        <w:tc>
          <w:tcPr>
            <w:tcW w:w="1081" w:type="dxa"/>
            <w:vAlign w:val="center"/>
          </w:tcPr>
          <w:p w14:paraId="35BA808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3-OCH</w:t>
            </w:r>
            <w:r w:rsidRPr="005E6B7C">
              <w:rPr>
                <w:rFonts w:asciiTheme="majorHAnsi" w:eastAsia="Times New Roman" w:hAnsiTheme="majorHAnsi" w:cstheme="majorHAnsi"/>
                <w:color w:val="000000" w:themeColor="text1"/>
                <w:sz w:val="18"/>
                <w:szCs w:val="18"/>
                <w:vertAlign w:val="subscript"/>
                <w:lang w:eastAsia="ja-JP"/>
              </w:rPr>
              <w:t>3</w:t>
            </w:r>
          </w:p>
        </w:tc>
        <w:tc>
          <w:tcPr>
            <w:tcW w:w="1980" w:type="dxa"/>
            <w:vAlign w:val="center"/>
          </w:tcPr>
          <w:p w14:paraId="4EE2B5E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3.88 (3H, s)</w:t>
            </w:r>
          </w:p>
        </w:tc>
        <w:tc>
          <w:tcPr>
            <w:tcW w:w="810" w:type="dxa"/>
            <w:vAlign w:val="center"/>
          </w:tcPr>
          <w:p w14:paraId="6A6860F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56.6</w:t>
            </w:r>
          </w:p>
        </w:tc>
        <w:tc>
          <w:tcPr>
            <w:tcW w:w="1109" w:type="dxa"/>
            <w:vAlign w:val="center"/>
          </w:tcPr>
          <w:p w14:paraId="415CB09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56.6</w:t>
            </w:r>
          </w:p>
        </w:tc>
        <w:tc>
          <w:tcPr>
            <w:tcW w:w="2041" w:type="dxa"/>
            <w:vAlign w:val="center"/>
          </w:tcPr>
          <w:p w14:paraId="1BF0121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3.86 (3H, s)</w:t>
            </w:r>
          </w:p>
        </w:tc>
        <w:tc>
          <w:tcPr>
            <w:tcW w:w="810" w:type="dxa"/>
            <w:vAlign w:val="center"/>
          </w:tcPr>
          <w:p w14:paraId="63F29F6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56.6</w:t>
            </w:r>
          </w:p>
        </w:tc>
        <w:tc>
          <w:tcPr>
            <w:tcW w:w="1241" w:type="dxa"/>
            <w:vAlign w:val="center"/>
          </w:tcPr>
          <w:p w14:paraId="6DDACC5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56.6</w:t>
            </w:r>
          </w:p>
        </w:tc>
      </w:tr>
      <w:tr w:rsidR="00E049CB" w:rsidRPr="005E6B7C" w14:paraId="3239D0C3" w14:textId="77777777" w:rsidTr="008C0D47">
        <w:trPr>
          <w:jc w:val="center"/>
        </w:trPr>
        <w:tc>
          <w:tcPr>
            <w:tcW w:w="1081" w:type="dxa"/>
            <w:vAlign w:val="center"/>
          </w:tcPr>
          <w:p w14:paraId="798F768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5-OCH</w:t>
            </w:r>
            <w:r w:rsidRPr="005E6B7C">
              <w:rPr>
                <w:rFonts w:asciiTheme="majorHAnsi" w:eastAsia="Times New Roman" w:hAnsiTheme="majorHAnsi" w:cstheme="majorHAnsi"/>
                <w:color w:val="000000" w:themeColor="text1"/>
                <w:sz w:val="18"/>
                <w:szCs w:val="18"/>
                <w:vertAlign w:val="subscript"/>
                <w:lang w:eastAsia="ja-JP"/>
              </w:rPr>
              <w:t>3</w:t>
            </w:r>
          </w:p>
        </w:tc>
        <w:tc>
          <w:tcPr>
            <w:tcW w:w="1980" w:type="dxa"/>
            <w:vAlign w:val="center"/>
          </w:tcPr>
          <w:p w14:paraId="0FC2109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3.40 (3H, s)</w:t>
            </w:r>
          </w:p>
        </w:tc>
        <w:tc>
          <w:tcPr>
            <w:tcW w:w="810" w:type="dxa"/>
            <w:vAlign w:val="center"/>
          </w:tcPr>
          <w:p w14:paraId="2303A06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60.2</w:t>
            </w:r>
          </w:p>
        </w:tc>
        <w:tc>
          <w:tcPr>
            <w:tcW w:w="1109" w:type="dxa"/>
            <w:vAlign w:val="center"/>
          </w:tcPr>
          <w:p w14:paraId="5D2DCC6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60.2</w:t>
            </w:r>
          </w:p>
        </w:tc>
        <w:tc>
          <w:tcPr>
            <w:tcW w:w="2041" w:type="dxa"/>
            <w:vAlign w:val="center"/>
          </w:tcPr>
          <w:p w14:paraId="4106CF8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3.35 (3H, s)</w:t>
            </w:r>
          </w:p>
        </w:tc>
        <w:tc>
          <w:tcPr>
            <w:tcW w:w="810" w:type="dxa"/>
            <w:vAlign w:val="center"/>
          </w:tcPr>
          <w:p w14:paraId="3D55290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60.2</w:t>
            </w:r>
          </w:p>
        </w:tc>
        <w:tc>
          <w:tcPr>
            <w:tcW w:w="1241" w:type="dxa"/>
            <w:vAlign w:val="center"/>
          </w:tcPr>
          <w:p w14:paraId="0714562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60.2</w:t>
            </w:r>
          </w:p>
        </w:tc>
      </w:tr>
      <w:tr w:rsidR="00E049CB" w:rsidRPr="005E6B7C" w14:paraId="665C140F" w14:textId="77777777" w:rsidTr="008C0D47">
        <w:trPr>
          <w:jc w:val="center"/>
        </w:trPr>
        <w:tc>
          <w:tcPr>
            <w:tcW w:w="1081" w:type="dxa"/>
            <w:vAlign w:val="center"/>
            <w:hideMark/>
          </w:tcPr>
          <w:p w14:paraId="6F0AA45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1ʹ</w:t>
            </w:r>
          </w:p>
        </w:tc>
        <w:tc>
          <w:tcPr>
            <w:tcW w:w="1980" w:type="dxa"/>
            <w:vAlign w:val="center"/>
            <w:hideMark/>
          </w:tcPr>
          <w:p w14:paraId="064EFC0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0" w:type="dxa"/>
            <w:vAlign w:val="center"/>
            <w:hideMark/>
          </w:tcPr>
          <w:p w14:paraId="1F27D71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139.3</w:t>
            </w:r>
          </w:p>
        </w:tc>
        <w:tc>
          <w:tcPr>
            <w:tcW w:w="1109" w:type="dxa"/>
            <w:vAlign w:val="center"/>
            <w:hideMark/>
          </w:tcPr>
          <w:p w14:paraId="56733D7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139.3</w:t>
            </w:r>
          </w:p>
        </w:tc>
        <w:tc>
          <w:tcPr>
            <w:tcW w:w="2041" w:type="dxa"/>
            <w:vAlign w:val="center"/>
          </w:tcPr>
          <w:p w14:paraId="1E09A2D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72BA180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139.3</w:t>
            </w:r>
          </w:p>
        </w:tc>
        <w:tc>
          <w:tcPr>
            <w:tcW w:w="1241" w:type="dxa"/>
            <w:vAlign w:val="center"/>
          </w:tcPr>
          <w:p w14:paraId="6838CEA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139.3</w:t>
            </w:r>
          </w:p>
        </w:tc>
      </w:tr>
      <w:tr w:rsidR="00E049CB" w:rsidRPr="005E6B7C" w14:paraId="35D63CC5" w14:textId="77777777" w:rsidTr="008C0D47">
        <w:trPr>
          <w:jc w:val="center"/>
        </w:trPr>
        <w:tc>
          <w:tcPr>
            <w:tcW w:w="1081" w:type="dxa"/>
            <w:vAlign w:val="center"/>
            <w:hideMark/>
          </w:tcPr>
          <w:p w14:paraId="757A834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2ʹ, 6ʹ</w:t>
            </w:r>
          </w:p>
        </w:tc>
        <w:tc>
          <w:tcPr>
            <w:tcW w:w="1980" w:type="dxa"/>
            <w:vAlign w:val="center"/>
            <w:hideMark/>
          </w:tcPr>
          <w:p w14:paraId="780B0FF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6.40 (2H, s)</w:t>
            </w:r>
          </w:p>
        </w:tc>
        <w:tc>
          <w:tcPr>
            <w:tcW w:w="810" w:type="dxa"/>
            <w:vAlign w:val="center"/>
            <w:hideMark/>
          </w:tcPr>
          <w:p w14:paraId="5B71249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106.9</w:t>
            </w:r>
          </w:p>
        </w:tc>
        <w:tc>
          <w:tcPr>
            <w:tcW w:w="1109" w:type="dxa"/>
            <w:vAlign w:val="center"/>
            <w:hideMark/>
          </w:tcPr>
          <w:p w14:paraId="1E9694C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106.9</w:t>
            </w:r>
          </w:p>
        </w:tc>
        <w:tc>
          <w:tcPr>
            <w:tcW w:w="2041" w:type="dxa"/>
            <w:vAlign w:val="center"/>
          </w:tcPr>
          <w:p w14:paraId="11D70FF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6.43 (2H, s)</w:t>
            </w:r>
          </w:p>
        </w:tc>
        <w:tc>
          <w:tcPr>
            <w:tcW w:w="810" w:type="dxa"/>
            <w:vAlign w:val="center"/>
          </w:tcPr>
          <w:p w14:paraId="028BE62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107.0</w:t>
            </w:r>
          </w:p>
        </w:tc>
        <w:tc>
          <w:tcPr>
            <w:tcW w:w="1241" w:type="dxa"/>
            <w:vAlign w:val="center"/>
          </w:tcPr>
          <w:p w14:paraId="4C09FA5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107.0</w:t>
            </w:r>
          </w:p>
        </w:tc>
      </w:tr>
      <w:tr w:rsidR="00E049CB" w:rsidRPr="005E6B7C" w14:paraId="77C5D471" w14:textId="77777777" w:rsidTr="008C0D47">
        <w:trPr>
          <w:jc w:val="center"/>
        </w:trPr>
        <w:tc>
          <w:tcPr>
            <w:tcW w:w="1081" w:type="dxa"/>
            <w:vAlign w:val="center"/>
            <w:hideMark/>
          </w:tcPr>
          <w:p w14:paraId="76E6158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3ʹ, 5ʹ</w:t>
            </w:r>
          </w:p>
        </w:tc>
        <w:tc>
          <w:tcPr>
            <w:tcW w:w="1980" w:type="dxa"/>
            <w:vAlign w:val="center"/>
            <w:hideMark/>
          </w:tcPr>
          <w:p w14:paraId="73D4AC3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0" w:type="dxa"/>
            <w:vAlign w:val="center"/>
            <w:hideMark/>
          </w:tcPr>
          <w:p w14:paraId="40DFA19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149.0</w:t>
            </w:r>
          </w:p>
        </w:tc>
        <w:tc>
          <w:tcPr>
            <w:tcW w:w="1109" w:type="dxa"/>
            <w:vAlign w:val="center"/>
            <w:hideMark/>
          </w:tcPr>
          <w:p w14:paraId="5E47993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149.0</w:t>
            </w:r>
          </w:p>
        </w:tc>
        <w:tc>
          <w:tcPr>
            <w:tcW w:w="2041" w:type="dxa"/>
            <w:vAlign w:val="center"/>
          </w:tcPr>
          <w:p w14:paraId="7BCEA28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413D3DE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149.0</w:t>
            </w:r>
          </w:p>
        </w:tc>
        <w:tc>
          <w:tcPr>
            <w:tcW w:w="1241" w:type="dxa"/>
            <w:vAlign w:val="center"/>
          </w:tcPr>
          <w:p w14:paraId="657C975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149.0</w:t>
            </w:r>
          </w:p>
        </w:tc>
      </w:tr>
      <w:tr w:rsidR="00E049CB" w:rsidRPr="005E6B7C" w14:paraId="048E6291" w14:textId="77777777" w:rsidTr="008C0D47">
        <w:trPr>
          <w:jc w:val="center"/>
        </w:trPr>
        <w:tc>
          <w:tcPr>
            <w:tcW w:w="1081" w:type="dxa"/>
            <w:vAlign w:val="center"/>
            <w:hideMark/>
          </w:tcPr>
          <w:p w14:paraId="7B73E0F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4ʹ</w:t>
            </w:r>
          </w:p>
        </w:tc>
        <w:tc>
          <w:tcPr>
            <w:tcW w:w="1980" w:type="dxa"/>
            <w:vAlign w:val="center"/>
            <w:hideMark/>
          </w:tcPr>
          <w:p w14:paraId="278A75E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0" w:type="dxa"/>
            <w:vAlign w:val="center"/>
            <w:hideMark/>
          </w:tcPr>
          <w:p w14:paraId="05DA7A8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134.6</w:t>
            </w:r>
          </w:p>
        </w:tc>
        <w:tc>
          <w:tcPr>
            <w:tcW w:w="1109" w:type="dxa"/>
            <w:vAlign w:val="center"/>
            <w:hideMark/>
          </w:tcPr>
          <w:p w14:paraId="299B9C28"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134.5</w:t>
            </w:r>
          </w:p>
        </w:tc>
        <w:tc>
          <w:tcPr>
            <w:tcW w:w="2041" w:type="dxa"/>
            <w:vAlign w:val="center"/>
          </w:tcPr>
          <w:p w14:paraId="51C281D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2DFB469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134.5</w:t>
            </w:r>
          </w:p>
        </w:tc>
        <w:tc>
          <w:tcPr>
            <w:tcW w:w="1241" w:type="dxa"/>
            <w:vAlign w:val="center"/>
          </w:tcPr>
          <w:p w14:paraId="1BCF8E2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134.5</w:t>
            </w:r>
          </w:p>
        </w:tc>
      </w:tr>
      <w:tr w:rsidR="00E049CB" w:rsidRPr="005E6B7C" w14:paraId="26C5C55F" w14:textId="77777777" w:rsidTr="008C0D47">
        <w:trPr>
          <w:jc w:val="center"/>
        </w:trPr>
        <w:tc>
          <w:tcPr>
            <w:tcW w:w="1081" w:type="dxa"/>
            <w:vAlign w:val="center"/>
          </w:tcPr>
          <w:p w14:paraId="6567FEB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7ʹ</w:t>
            </w:r>
          </w:p>
        </w:tc>
        <w:tc>
          <w:tcPr>
            <w:tcW w:w="1980" w:type="dxa"/>
            <w:vAlign w:val="center"/>
          </w:tcPr>
          <w:p w14:paraId="61A3622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4.33 (1H, d, 5.4)</w:t>
            </w:r>
          </w:p>
        </w:tc>
        <w:tc>
          <w:tcPr>
            <w:tcW w:w="810" w:type="dxa"/>
            <w:vAlign w:val="center"/>
          </w:tcPr>
          <w:p w14:paraId="53F8A04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42.3</w:t>
            </w:r>
          </w:p>
        </w:tc>
        <w:tc>
          <w:tcPr>
            <w:tcW w:w="1109" w:type="dxa"/>
            <w:vAlign w:val="center"/>
          </w:tcPr>
          <w:p w14:paraId="042962D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42.3</w:t>
            </w:r>
          </w:p>
        </w:tc>
        <w:tc>
          <w:tcPr>
            <w:tcW w:w="2041" w:type="dxa"/>
            <w:vAlign w:val="center"/>
          </w:tcPr>
          <w:p w14:paraId="42C0A70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4.41 (1H, d, 6.6)</w:t>
            </w:r>
          </w:p>
        </w:tc>
        <w:tc>
          <w:tcPr>
            <w:tcW w:w="810" w:type="dxa"/>
            <w:vAlign w:val="center"/>
          </w:tcPr>
          <w:p w14:paraId="73D536E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42.8</w:t>
            </w:r>
          </w:p>
        </w:tc>
        <w:tc>
          <w:tcPr>
            <w:tcW w:w="1241" w:type="dxa"/>
            <w:vAlign w:val="center"/>
          </w:tcPr>
          <w:p w14:paraId="55A7F09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42.8</w:t>
            </w:r>
          </w:p>
        </w:tc>
      </w:tr>
      <w:tr w:rsidR="00E049CB" w:rsidRPr="005E6B7C" w14:paraId="5F72DE65" w14:textId="77777777" w:rsidTr="008C0D47">
        <w:trPr>
          <w:jc w:val="center"/>
        </w:trPr>
        <w:tc>
          <w:tcPr>
            <w:tcW w:w="1081" w:type="dxa"/>
            <w:vAlign w:val="center"/>
          </w:tcPr>
          <w:p w14:paraId="0C31924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8ʹ</w:t>
            </w:r>
          </w:p>
        </w:tc>
        <w:tc>
          <w:tcPr>
            <w:tcW w:w="1980" w:type="dxa"/>
            <w:vAlign w:val="center"/>
          </w:tcPr>
          <w:p w14:paraId="64C63DB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1.99 (1H, dq, 9.0, 5.4)</w:t>
            </w:r>
          </w:p>
        </w:tc>
        <w:tc>
          <w:tcPr>
            <w:tcW w:w="810" w:type="dxa"/>
            <w:vAlign w:val="center"/>
          </w:tcPr>
          <w:p w14:paraId="243A294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49.9</w:t>
            </w:r>
          </w:p>
        </w:tc>
        <w:tc>
          <w:tcPr>
            <w:tcW w:w="1109" w:type="dxa"/>
            <w:vAlign w:val="center"/>
          </w:tcPr>
          <w:p w14:paraId="664DC76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49.9</w:t>
            </w:r>
          </w:p>
        </w:tc>
        <w:tc>
          <w:tcPr>
            <w:tcW w:w="2041" w:type="dxa"/>
            <w:vAlign w:val="center"/>
          </w:tcPr>
          <w:p w14:paraId="50E6BE7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2.08 (1H, m)</w:t>
            </w:r>
          </w:p>
        </w:tc>
        <w:tc>
          <w:tcPr>
            <w:tcW w:w="810" w:type="dxa"/>
            <w:vAlign w:val="center"/>
          </w:tcPr>
          <w:p w14:paraId="3F268A9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46.7</w:t>
            </w:r>
          </w:p>
        </w:tc>
        <w:tc>
          <w:tcPr>
            <w:tcW w:w="1241" w:type="dxa"/>
            <w:vAlign w:val="center"/>
          </w:tcPr>
          <w:p w14:paraId="44A094A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46.7</w:t>
            </w:r>
          </w:p>
        </w:tc>
      </w:tr>
      <w:tr w:rsidR="00E049CB" w:rsidRPr="005E6B7C" w14:paraId="7E3CFF2A" w14:textId="77777777" w:rsidTr="008C0D47">
        <w:trPr>
          <w:jc w:val="center"/>
        </w:trPr>
        <w:tc>
          <w:tcPr>
            <w:tcW w:w="1081" w:type="dxa"/>
            <w:vAlign w:val="center"/>
          </w:tcPr>
          <w:p w14:paraId="54CAB6D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9ʹ</w:t>
            </w:r>
          </w:p>
        </w:tc>
        <w:tc>
          <w:tcPr>
            <w:tcW w:w="1980" w:type="dxa"/>
            <w:vAlign w:val="center"/>
          </w:tcPr>
          <w:p w14:paraId="7FD50A0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3.51 (2H, d, 5.4)</w:t>
            </w:r>
          </w:p>
        </w:tc>
        <w:tc>
          <w:tcPr>
            <w:tcW w:w="810" w:type="dxa"/>
            <w:vAlign w:val="center"/>
          </w:tcPr>
          <w:p w14:paraId="2AEEAA0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64.2</w:t>
            </w:r>
          </w:p>
        </w:tc>
        <w:tc>
          <w:tcPr>
            <w:tcW w:w="1109" w:type="dxa"/>
            <w:vAlign w:val="center"/>
          </w:tcPr>
          <w:p w14:paraId="20FD8F3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64.2</w:t>
            </w:r>
          </w:p>
        </w:tc>
        <w:tc>
          <w:tcPr>
            <w:tcW w:w="2041" w:type="dxa"/>
            <w:vAlign w:val="center"/>
          </w:tcPr>
          <w:p w14:paraId="3A6BB4B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3.88 (1H, dd, 9.6, 5.4).</w:t>
            </w:r>
          </w:p>
          <w:p w14:paraId="5101208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3.45 (1H, dd, 9.6, 4.2)</w:t>
            </w:r>
          </w:p>
        </w:tc>
        <w:tc>
          <w:tcPr>
            <w:tcW w:w="810" w:type="dxa"/>
            <w:vAlign w:val="center"/>
          </w:tcPr>
          <w:p w14:paraId="334AD16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71.5</w:t>
            </w:r>
          </w:p>
        </w:tc>
        <w:tc>
          <w:tcPr>
            <w:tcW w:w="1241" w:type="dxa"/>
            <w:vAlign w:val="center"/>
          </w:tcPr>
          <w:p w14:paraId="584F88B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71.5</w:t>
            </w:r>
          </w:p>
        </w:tc>
      </w:tr>
      <w:tr w:rsidR="00E049CB" w:rsidRPr="005E6B7C" w14:paraId="386CE602" w14:textId="77777777" w:rsidTr="008C0D47">
        <w:trPr>
          <w:jc w:val="center"/>
        </w:trPr>
        <w:tc>
          <w:tcPr>
            <w:tcW w:w="1081" w:type="dxa"/>
            <w:vAlign w:val="center"/>
          </w:tcPr>
          <w:p w14:paraId="0515E5E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vertAlign w:val="subscript"/>
                <w:lang w:val="en" w:eastAsia="ja-JP"/>
              </w:rPr>
            </w:pPr>
            <w:r w:rsidRPr="005E6B7C">
              <w:rPr>
                <w:rFonts w:asciiTheme="majorHAnsi" w:eastAsia="Times New Roman" w:hAnsiTheme="majorHAnsi" w:cstheme="majorHAnsi"/>
                <w:color w:val="000000" w:themeColor="text1"/>
                <w:sz w:val="18"/>
                <w:szCs w:val="18"/>
                <w:lang w:eastAsia="ja-JP"/>
              </w:rPr>
              <w:t>3ʹ,5ʹ-OCH</w:t>
            </w:r>
            <w:r w:rsidRPr="005E6B7C">
              <w:rPr>
                <w:rFonts w:asciiTheme="majorHAnsi" w:eastAsia="Times New Roman" w:hAnsiTheme="majorHAnsi" w:cstheme="majorHAnsi"/>
                <w:color w:val="000000" w:themeColor="text1"/>
                <w:sz w:val="18"/>
                <w:szCs w:val="18"/>
                <w:vertAlign w:val="subscript"/>
                <w:lang w:eastAsia="ja-JP"/>
              </w:rPr>
              <w:t>3</w:t>
            </w:r>
          </w:p>
        </w:tc>
        <w:tc>
          <w:tcPr>
            <w:tcW w:w="1980" w:type="dxa"/>
            <w:vAlign w:val="center"/>
          </w:tcPr>
          <w:p w14:paraId="3422455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3,76 (6H, s)</w:t>
            </w:r>
          </w:p>
        </w:tc>
        <w:tc>
          <w:tcPr>
            <w:tcW w:w="810" w:type="dxa"/>
            <w:vAlign w:val="center"/>
          </w:tcPr>
          <w:p w14:paraId="21CB9DD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56.8</w:t>
            </w:r>
          </w:p>
        </w:tc>
        <w:tc>
          <w:tcPr>
            <w:tcW w:w="1109" w:type="dxa"/>
            <w:vAlign w:val="center"/>
          </w:tcPr>
          <w:p w14:paraId="1B73C6A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56.8</w:t>
            </w:r>
          </w:p>
        </w:tc>
        <w:tc>
          <w:tcPr>
            <w:tcW w:w="2041" w:type="dxa"/>
            <w:vAlign w:val="center"/>
          </w:tcPr>
          <w:p w14:paraId="4399DF2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3.75 (6H, s)</w:t>
            </w:r>
          </w:p>
        </w:tc>
        <w:tc>
          <w:tcPr>
            <w:tcW w:w="810" w:type="dxa"/>
            <w:vAlign w:val="center"/>
          </w:tcPr>
          <w:p w14:paraId="01136C4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56.9</w:t>
            </w:r>
          </w:p>
        </w:tc>
        <w:tc>
          <w:tcPr>
            <w:tcW w:w="1241" w:type="dxa"/>
            <w:vAlign w:val="center"/>
          </w:tcPr>
          <w:p w14:paraId="612DE31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56.9</w:t>
            </w:r>
          </w:p>
        </w:tc>
      </w:tr>
      <w:tr w:rsidR="00E049CB" w:rsidRPr="005E6B7C" w14:paraId="5F4B34EA" w14:textId="77777777" w:rsidTr="008C0D47">
        <w:trPr>
          <w:jc w:val="center"/>
        </w:trPr>
        <w:tc>
          <w:tcPr>
            <w:tcW w:w="1081" w:type="dxa"/>
            <w:vAlign w:val="center"/>
          </w:tcPr>
          <w:p w14:paraId="44C0B01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1ʹ</w:t>
            </w:r>
          </w:p>
        </w:tc>
        <w:tc>
          <w:tcPr>
            <w:tcW w:w="1980" w:type="dxa"/>
            <w:vAlign w:val="center"/>
          </w:tcPr>
          <w:p w14:paraId="2F2F781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4B1F8E48"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14A23E45"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2F3B95F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4.28 (1H, d, 7.8)</w:t>
            </w:r>
          </w:p>
        </w:tc>
        <w:tc>
          <w:tcPr>
            <w:tcW w:w="810" w:type="dxa"/>
            <w:vAlign w:val="center"/>
          </w:tcPr>
          <w:p w14:paraId="1BF3ECD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104.8</w:t>
            </w:r>
          </w:p>
        </w:tc>
        <w:tc>
          <w:tcPr>
            <w:tcW w:w="1241" w:type="dxa"/>
            <w:vAlign w:val="center"/>
          </w:tcPr>
          <w:p w14:paraId="77D2712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104.8</w:t>
            </w:r>
          </w:p>
        </w:tc>
      </w:tr>
      <w:tr w:rsidR="00E049CB" w:rsidRPr="005E6B7C" w14:paraId="06BF374A" w14:textId="77777777" w:rsidTr="008C0D47">
        <w:trPr>
          <w:jc w:val="center"/>
        </w:trPr>
        <w:tc>
          <w:tcPr>
            <w:tcW w:w="1081" w:type="dxa"/>
            <w:vAlign w:val="center"/>
          </w:tcPr>
          <w:p w14:paraId="6339CFB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2ʹ</w:t>
            </w:r>
          </w:p>
        </w:tc>
        <w:tc>
          <w:tcPr>
            <w:tcW w:w="1980" w:type="dxa"/>
            <w:vAlign w:val="center"/>
          </w:tcPr>
          <w:p w14:paraId="3BE3AAF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282220F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4056904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53E9954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3.24 (1H, m)</w:t>
            </w:r>
          </w:p>
        </w:tc>
        <w:tc>
          <w:tcPr>
            <w:tcW w:w="810" w:type="dxa"/>
            <w:vAlign w:val="center"/>
          </w:tcPr>
          <w:p w14:paraId="4310F2C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75.2</w:t>
            </w:r>
          </w:p>
        </w:tc>
        <w:tc>
          <w:tcPr>
            <w:tcW w:w="1241" w:type="dxa"/>
            <w:vAlign w:val="center"/>
          </w:tcPr>
          <w:p w14:paraId="7C3E8D4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75.2</w:t>
            </w:r>
          </w:p>
        </w:tc>
      </w:tr>
      <w:tr w:rsidR="00E049CB" w:rsidRPr="005E6B7C" w14:paraId="30E4F05D" w14:textId="77777777" w:rsidTr="008C0D47">
        <w:trPr>
          <w:jc w:val="center"/>
        </w:trPr>
        <w:tc>
          <w:tcPr>
            <w:tcW w:w="1081" w:type="dxa"/>
            <w:vAlign w:val="center"/>
          </w:tcPr>
          <w:p w14:paraId="70B8B87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3ʹ</w:t>
            </w:r>
          </w:p>
        </w:tc>
        <w:tc>
          <w:tcPr>
            <w:tcW w:w="1980" w:type="dxa"/>
            <w:vAlign w:val="center"/>
          </w:tcPr>
          <w:p w14:paraId="7989C25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34F1491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278CD35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609472F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3.24 (1H, m)</w:t>
            </w:r>
          </w:p>
        </w:tc>
        <w:tc>
          <w:tcPr>
            <w:tcW w:w="810" w:type="dxa"/>
            <w:vAlign w:val="center"/>
          </w:tcPr>
          <w:p w14:paraId="3A0C519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78.0</w:t>
            </w:r>
          </w:p>
        </w:tc>
        <w:tc>
          <w:tcPr>
            <w:tcW w:w="1241" w:type="dxa"/>
            <w:vAlign w:val="center"/>
          </w:tcPr>
          <w:p w14:paraId="05A1F29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77.9</w:t>
            </w:r>
          </w:p>
        </w:tc>
      </w:tr>
      <w:tr w:rsidR="00E049CB" w:rsidRPr="005E6B7C" w14:paraId="56EF7F85" w14:textId="77777777" w:rsidTr="008C0D47">
        <w:trPr>
          <w:jc w:val="center"/>
        </w:trPr>
        <w:tc>
          <w:tcPr>
            <w:tcW w:w="1081" w:type="dxa"/>
            <w:vAlign w:val="center"/>
          </w:tcPr>
          <w:p w14:paraId="59E5E14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4ʹ</w:t>
            </w:r>
          </w:p>
        </w:tc>
        <w:tc>
          <w:tcPr>
            <w:tcW w:w="1980" w:type="dxa"/>
            <w:vAlign w:val="center"/>
          </w:tcPr>
          <w:p w14:paraId="63000AD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13AC3D0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51AE49D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26530F6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3.28 (1H, m)</w:t>
            </w:r>
          </w:p>
        </w:tc>
        <w:tc>
          <w:tcPr>
            <w:tcW w:w="810" w:type="dxa"/>
            <w:vAlign w:val="center"/>
          </w:tcPr>
          <w:p w14:paraId="5B829D8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71.7</w:t>
            </w:r>
          </w:p>
        </w:tc>
        <w:tc>
          <w:tcPr>
            <w:tcW w:w="1241" w:type="dxa"/>
            <w:vAlign w:val="center"/>
          </w:tcPr>
          <w:p w14:paraId="3CE276A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71.7</w:t>
            </w:r>
          </w:p>
        </w:tc>
      </w:tr>
      <w:tr w:rsidR="00E049CB" w:rsidRPr="005E6B7C" w14:paraId="2AE89B64" w14:textId="77777777" w:rsidTr="008C0D47">
        <w:trPr>
          <w:jc w:val="center"/>
        </w:trPr>
        <w:tc>
          <w:tcPr>
            <w:tcW w:w="1081" w:type="dxa"/>
            <w:vAlign w:val="center"/>
          </w:tcPr>
          <w:p w14:paraId="3CFC05C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5ʹ</w:t>
            </w:r>
          </w:p>
        </w:tc>
        <w:tc>
          <w:tcPr>
            <w:tcW w:w="1980" w:type="dxa"/>
            <w:vAlign w:val="center"/>
          </w:tcPr>
          <w:p w14:paraId="2B75A14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5AB98E7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1B9B4B5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2FA70A5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3.36 (1H, m)</w:t>
            </w:r>
          </w:p>
        </w:tc>
        <w:tc>
          <w:tcPr>
            <w:tcW w:w="810" w:type="dxa"/>
            <w:vAlign w:val="center"/>
          </w:tcPr>
          <w:p w14:paraId="3644D0D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78.3</w:t>
            </w:r>
          </w:p>
        </w:tc>
        <w:tc>
          <w:tcPr>
            <w:tcW w:w="1241" w:type="dxa"/>
            <w:vAlign w:val="center"/>
          </w:tcPr>
          <w:p w14:paraId="090BF5F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78.2</w:t>
            </w:r>
          </w:p>
        </w:tc>
      </w:tr>
      <w:tr w:rsidR="00E049CB" w:rsidRPr="005E6B7C" w14:paraId="4F80207B" w14:textId="77777777" w:rsidTr="008C0D47">
        <w:trPr>
          <w:jc w:val="center"/>
        </w:trPr>
        <w:tc>
          <w:tcPr>
            <w:tcW w:w="1081" w:type="dxa"/>
            <w:vAlign w:val="center"/>
          </w:tcPr>
          <w:p w14:paraId="389E12C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6ʹ</w:t>
            </w:r>
          </w:p>
        </w:tc>
        <w:tc>
          <w:tcPr>
            <w:tcW w:w="1980" w:type="dxa"/>
            <w:vAlign w:val="center"/>
          </w:tcPr>
          <w:p w14:paraId="234473F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0" w:type="dxa"/>
            <w:vAlign w:val="center"/>
          </w:tcPr>
          <w:p w14:paraId="1422236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1109" w:type="dxa"/>
            <w:vAlign w:val="center"/>
          </w:tcPr>
          <w:p w14:paraId="7CB5CBC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041" w:type="dxa"/>
            <w:vAlign w:val="center"/>
          </w:tcPr>
          <w:p w14:paraId="6556D66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3.83 (1H, dd, 12.0, 2.4)</w:t>
            </w:r>
          </w:p>
          <w:p w14:paraId="4F6BE9E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3.64 (1H, m)</w:t>
            </w:r>
          </w:p>
        </w:tc>
        <w:tc>
          <w:tcPr>
            <w:tcW w:w="810" w:type="dxa"/>
            <w:vAlign w:val="center"/>
          </w:tcPr>
          <w:p w14:paraId="79F8735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62.9</w:t>
            </w:r>
          </w:p>
        </w:tc>
        <w:tc>
          <w:tcPr>
            <w:tcW w:w="1241" w:type="dxa"/>
            <w:vAlign w:val="center"/>
          </w:tcPr>
          <w:p w14:paraId="4B6DD48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62.8</w:t>
            </w:r>
          </w:p>
        </w:tc>
      </w:tr>
    </w:tbl>
    <w:p w14:paraId="016AE0CF" w14:textId="77777777" w:rsidR="00E049CB" w:rsidRPr="005E6B7C" w:rsidRDefault="00E049CB" w:rsidP="008C0D47">
      <w:pPr>
        <w:tabs>
          <w:tab w:val="left" w:pos="270"/>
          <w:tab w:val="left" w:pos="540"/>
          <w:tab w:val="left" w:pos="9270"/>
        </w:tabs>
        <w:spacing w:before="120"/>
        <w:ind w:right="-20" w:firstLine="284"/>
        <w:jc w:val="both"/>
        <w:rPr>
          <w:rFonts w:asciiTheme="majorHAnsi" w:eastAsia="Calibri" w:hAnsiTheme="majorHAnsi" w:cstheme="majorHAnsi"/>
          <w:bCs/>
          <w:i/>
          <w:iCs/>
          <w:color w:val="000000" w:themeColor="text1"/>
          <w:sz w:val="18"/>
          <w:szCs w:val="18"/>
          <w:lang w:eastAsia="fr-FR"/>
        </w:rPr>
      </w:pPr>
      <w:r w:rsidRPr="005E6B7C">
        <w:rPr>
          <w:rFonts w:asciiTheme="majorHAnsi" w:eastAsia="Calibri" w:hAnsiTheme="majorHAnsi" w:cstheme="majorHAnsi"/>
          <w:bCs/>
          <w:i/>
          <w:iCs/>
          <w:color w:val="000000" w:themeColor="text1"/>
          <w:sz w:val="18"/>
          <w:szCs w:val="18"/>
          <w:vertAlign w:val="superscript"/>
          <w:lang w:eastAsia="fr-FR"/>
        </w:rPr>
        <w:t xml:space="preserve">a: </w:t>
      </w:r>
      <w:r w:rsidRPr="005E6B7C">
        <w:rPr>
          <w:rFonts w:asciiTheme="majorHAnsi" w:eastAsia="Calibri" w:hAnsiTheme="majorHAnsi" w:cstheme="majorHAnsi"/>
          <w:bCs/>
          <w:i/>
          <w:iCs/>
          <w:color w:val="000000" w:themeColor="text1"/>
          <w:sz w:val="18"/>
          <w:szCs w:val="18"/>
          <w:lang w:eastAsia="fr-FR"/>
        </w:rPr>
        <w:t>CD</w:t>
      </w:r>
      <w:r w:rsidRPr="005E6B7C">
        <w:rPr>
          <w:rFonts w:asciiTheme="majorHAnsi" w:eastAsia="Calibri" w:hAnsiTheme="majorHAnsi" w:cstheme="majorHAnsi"/>
          <w:bCs/>
          <w:i/>
          <w:iCs/>
          <w:color w:val="000000" w:themeColor="text1"/>
          <w:sz w:val="18"/>
          <w:szCs w:val="18"/>
          <w:vertAlign w:val="subscript"/>
          <w:lang w:eastAsia="fr-FR"/>
        </w:rPr>
        <w:t>3</w:t>
      </w:r>
      <w:r w:rsidRPr="005E6B7C">
        <w:rPr>
          <w:rFonts w:asciiTheme="majorHAnsi" w:eastAsia="Calibri" w:hAnsiTheme="majorHAnsi" w:cstheme="majorHAnsi"/>
          <w:bCs/>
          <w:i/>
          <w:iCs/>
          <w:color w:val="000000" w:themeColor="text1"/>
          <w:sz w:val="18"/>
          <w:szCs w:val="18"/>
          <w:lang w:eastAsia="fr-FR"/>
        </w:rPr>
        <w:t xml:space="preserve">OD, </w:t>
      </w:r>
      <w:r w:rsidRPr="005E6B7C">
        <w:rPr>
          <w:rFonts w:asciiTheme="majorHAnsi" w:eastAsia="Calibri" w:hAnsiTheme="majorHAnsi" w:cstheme="majorHAnsi"/>
          <w:bCs/>
          <w:i/>
          <w:iCs/>
          <w:color w:val="000000" w:themeColor="text1"/>
          <w:sz w:val="18"/>
          <w:szCs w:val="18"/>
          <w:vertAlign w:val="superscript"/>
          <w:lang w:eastAsia="fr-FR"/>
        </w:rPr>
        <w:t>b</w:t>
      </w:r>
      <w:r w:rsidRPr="005E6B7C">
        <w:rPr>
          <w:rFonts w:asciiTheme="majorHAnsi" w:eastAsia="Calibri" w:hAnsiTheme="majorHAnsi" w:cstheme="majorHAnsi"/>
          <w:bCs/>
          <w:i/>
          <w:iCs/>
          <w:color w:val="000000" w:themeColor="text1"/>
          <w:sz w:val="18"/>
          <w:szCs w:val="18"/>
          <w:lang w:eastAsia="fr-FR"/>
        </w:rPr>
        <w:t xml:space="preserve"> 600 MHz, </w:t>
      </w:r>
      <w:r w:rsidRPr="005E6B7C">
        <w:rPr>
          <w:rFonts w:asciiTheme="majorHAnsi" w:eastAsia="Calibri" w:hAnsiTheme="majorHAnsi" w:cstheme="majorHAnsi"/>
          <w:bCs/>
          <w:i/>
          <w:iCs/>
          <w:color w:val="000000" w:themeColor="text1"/>
          <w:sz w:val="18"/>
          <w:szCs w:val="18"/>
          <w:vertAlign w:val="superscript"/>
          <w:lang w:eastAsia="fr-FR"/>
        </w:rPr>
        <w:t xml:space="preserve">c: </w:t>
      </w:r>
      <w:r w:rsidRPr="005E6B7C">
        <w:rPr>
          <w:rFonts w:asciiTheme="majorHAnsi" w:eastAsia="Calibri" w:hAnsiTheme="majorHAnsi" w:cstheme="majorHAnsi"/>
          <w:bCs/>
          <w:i/>
          <w:iCs/>
          <w:color w:val="000000" w:themeColor="text1"/>
          <w:sz w:val="18"/>
          <w:szCs w:val="18"/>
          <w:lang w:eastAsia="fr-FR"/>
        </w:rPr>
        <w:t>125 Mz</w:t>
      </w:r>
      <w:r w:rsidR="00ED2775" w:rsidRPr="005E6B7C">
        <w:rPr>
          <w:rFonts w:asciiTheme="majorHAnsi" w:eastAsia="Calibri" w:hAnsiTheme="majorHAnsi" w:cstheme="majorHAnsi"/>
          <w:bCs/>
          <w:i/>
          <w:iCs/>
          <w:color w:val="000000" w:themeColor="text1"/>
          <w:sz w:val="18"/>
          <w:szCs w:val="18"/>
          <w:lang w:eastAsia="fr-FR"/>
        </w:rPr>
        <w:t>.</w:t>
      </w:r>
      <w:r w:rsidRPr="005E6B7C">
        <w:rPr>
          <w:rFonts w:asciiTheme="majorHAnsi" w:eastAsia="Calibri" w:hAnsiTheme="majorHAnsi" w:cstheme="majorHAnsi"/>
          <w:bCs/>
          <w:i/>
          <w:iCs/>
          <w:color w:val="000000" w:themeColor="text1"/>
          <w:sz w:val="18"/>
          <w:szCs w:val="18"/>
          <w:lang w:eastAsia="fr-FR"/>
        </w:rPr>
        <w:t xml:space="preserve">  </w:t>
      </w:r>
    </w:p>
    <w:p w14:paraId="7C3F1BAB"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1C15715A" w14:textId="77777777" w:rsidR="00207C22" w:rsidRPr="005E6B7C" w:rsidRDefault="00207C22" w:rsidP="008C0D47">
      <w:pPr>
        <w:tabs>
          <w:tab w:val="left" w:pos="9270"/>
        </w:tabs>
        <w:spacing w:line="264" w:lineRule="exact"/>
        <w:ind w:firstLine="284"/>
        <w:jc w:val="both"/>
        <w:rPr>
          <w:rFonts w:asciiTheme="majorHAnsi" w:eastAsia="Yu Mincho" w:hAnsiTheme="majorHAnsi" w:cstheme="majorHAnsi"/>
          <w:color w:val="000000" w:themeColor="text1"/>
          <w:sz w:val="22"/>
          <w:szCs w:val="22"/>
          <w:lang w:eastAsia="ja-JP"/>
        </w:rPr>
        <w:sectPr w:rsidR="00207C22" w:rsidRPr="005E6B7C" w:rsidSect="002206BB">
          <w:type w:val="continuous"/>
          <w:pgSz w:w="10773" w:h="15309" w:code="9"/>
          <w:pgMar w:top="907" w:right="851" w:bottom="1418" w:left="851" w:header="397" w:footer="851" w:gutter="0"/>
          <w:cols w:space="284"/>
          <w:docGrid w:linePitch="360"/>
        </w:sectPr>
      </w:pPr>
    </w:p>
    <w:p w14:paraId="7DAA3CDE" w14:textId="77777777" w:rsidR="00207C22" w:rsidRPr="005E6B7C" w:rsidRDefault="00E049CB" w:rsidP="008C0D47">
      <w:pPr>
        <w:tabs>
          <w:tab w:val="left" w:pos="9270"/>
        </w:tabs>
        <w:spacing w:line="264" w:lineRule="exact"/>
        <w:ind w:firstLine="284"/>
        <w:jc w:val="both"/>
        <w:rPr>
          <w:rFonts w:asciiTheme="majorHAnsi" w:eastAsia="Yu Mincho" w:hAnsiTheme="majorHAnsi" w:cstheme="majorHAnsi"/>
          <w:color w:val="000000" w:themeColor="text1"/>
          <w:sz w:val="22"/>
          <w:szCs w:val="22"/>
          <w:lang w:eastAsia="ja-JP"/>
        </w:rPr>
        <w:sectPr w:rsidR="00207C22" w:rsidRPr="005E6B7C" w:rsidSect="00207C22">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 xml:space="preserve">Compound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isolated as a pale yellow solid. The negative ESI-MS spectrum showed the peak </w:t>
      </w:r>
      <w:r w:rsidRPr="005E6B7C">
        <w:rPr>
          <w:rFonts w:asciiTheme="majorHAnsi" w:eastAsia="Yu Mincho" w:hAnsiTheme="majorHAnsi" w:cstheme="majorHAnsi"/>
          <w:i/>
          <w:iCs/>
          <w:color w:val="000000" w:themeColor="text1"/>
          <w:sz w:val="22"/>
          <w:szCs w:val="22"/>
          <w:lang w:eastAsia="ja-JP"/>
        </w:rPr>
        <w:t>m/z</w:t>
      </w:r>
      <w:r w:rsidRPr="005E6B7C">
        <w:rPr>
          <w:rFonts w:asciiTheme="majorHAnsi" w:eastAsia="Yu Mincho" w:hAnsiTheme="majorHAnsi" w:cstheme="majorHAnsi"/>
          <w:color w:val="000000" w:themeColor="text1"/>
          <w:sz w:val="22"/>
          <w:szCs w:val="22"/>
          <w:lang w:eastAsia="ja-JP"/>
        </w:rPr>
        <w:t xml:space="preserve"> 323 [M–H]</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suggesting the molecular formula C</w:t>
      </w:r>
      <w:r w:rsidRPr="005E6B7C">
        <w:rPr>
          <w:rFonts w:asciiTheme="majorHAnsi" w:eastAsia="Yu Mincho" w:hAnsiTheme="majorHAnsi" w:cstheme="majorHAnsi"/>
          <w:color w:val="000000" w:themeColor="text1"/>
          <w:sz w:val="22"/>
          <w:szCs w:val="22"/>
          <w:vertAlign w:val="subscript"/>
          <w:lang w:eastAsia="ja-JP"/>
        </w:rPr>
        <w:t>21</w:t>
      </w:r>
      <w:r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vertAlign w:val="subscript"/>
          <w:lang w:eastAsia="ja-JP"/>
        </w:rPr>
        <w:t>20</w:t>
      </w:r>
      <w:r w:rsidRPr="005E6B7C">
        <w:rPr>
          <w:rFonts w:asciiTheme="majorHAnsi" w:eastAsia="Yu Mincho" w:hAnsiTheme="majorHAnsi" w:cstheme="majorHAnsi"/>
          <w:color w:val="000000" w:themeColor="text1"/>
          <w:sz w:val="22"/>
          <w:szCs w:val="22"/>
          <w:lang w:eastAsia="ja-JP"/>
        </w:rPr>
        <w:t>O</w:t>
      </w:r>
      <w:r w:rsidRPr="005E6B7C">
        <w:rPr>
          <w:rFonts w:asciiTheme="majorHAnsi" w:eastAsia="Yu Mincho" w:hAnsiTheme="majorHAnsi" w:cstheme="majorHAnsi"/>
          <w:color w:val="000000" w:themeColor="text1"/>
          <w:sz w:val="22"/>
          <w:szCs w:val="22"/>
          <w:vertAlign w:val="subscript"/>
          <w:lang w:eastAsia="ja-JP"/>
        </w:rPr>
        <w:t>10</w:t>
      </w:r>
      <w:r w:rsidRPr="005E6B7C">
        <w:rPr>
          <w:rFonts w:asciiTheme="majorHAnsi" w:eastAsia="Yu Mincho" w:hAnsiTheme="majorHAnsi" w:cstheme="majorHAnsi"/>
          <w:color w:val="000000" w:themeColor="text1"/>
          <w:sz w:val="22"/>
          <w:szCs w:val="22"/>
          <w:lang w:eastAsia="ja-JP"/>
        </w:rPr>
        <w:t xml:space="preserve">. The </w:t>
      </w:r>
      <w:r w:rsidRPr="005E6B7C">
        <w:rPr>
          <w:rFonts w:asciiTheme="majorHAnsi" w:eastAsia="Yu Mincho" w:hAnsiTheme="majorHAnsi" w:cstheme="majorHAnsi"/>
          <w:color w:val="000000" w:themeColor="text1"/>
          <w:sz w:val="22"/>
          <w:szCs w:val="22"/>
          <w:vertAlign w:val="superscript"/>
          <w:lang w:eastAsia="ja-JP"/>
        </w:rPr>
        <w:t>1</w:t>
      </w:r>
      <w:r w:rsidRPr="005E6B7C">
        <w:rPr>
          <w:rFonts w:asciiTheme="majorHAnsi" w:eastAsia="Yu Mincho" w:hAnsiTheme="majorHAnsi" w:cstheme="majorHAnsi"/>
          <w:color w:val="000000" w:themeColor="text1"/>
          <w:sz w:val="22"/>
          <w:szCs w:val="22"/>
          <w:lang w:eastAsia="ja-JP"/>
        </w:rPr>
        <w:t xml:space="preserve">H-NMR spectrum of </w:t>
      </w:r>
      <w:r w:rsidRPr="005E6B7C">
        <w:rPr>
          <w:rFonts w:asciiTheme="majorHAnsi" w:eastAsia="Yu Mincho" w:hAnsiTheme="majorHAnsi" w:cstheme="majorHAnsi"/>
          <w:b/>
          <w:bCs/>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displayed 4 aromatic signals including a singlet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7.41 (1H, s) </w:t>
      </w:r>
      <w:r w:rsidRPr="005E6B7C">
        <w:rPr>
          <w:rFonts w:asciiTheme="majorHAnsi" w:eastAsia="Yu Mincho" w:hAnsiTheme="majorHAnsi" w:cstheme="majorHAnsi"/>
          <w:color w:val="000000" w:themeColor="text1"/>
          <w:sz w:val="22"/>
          <w:szCs w:val="22"/>
          <w:lang w:eastAsia="ja-JP"/>
        </w:rPr>
        <w:t xml:space="preserve">and 3 protons of an ABX system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7.39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2.4 Hz, H-5), 7.03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2.4, 8.4  Hz, H-7), and 8.03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8.4 Hz, H-8); a methyl singlet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2.18 (3H, s, 2-Me); and signals of a sugar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Yu Mincho" w:hAnsiTheme="majorHAnsi" w:cstheme="majorHAnsi"/>
          <w:color w:val="000000" w:themeColor="text1"/>
          <w:sz w:val="22"/>
          <w:szCs w:val="22"/>
          <w:lang w:eastAsia="ja-JP"/>
        </w:rPr>
        <w:t xml:space="preserve"> 5.07 (1H, 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2.4 Hz, H-</w:t>
      </w:r>
      <w:r w:rsidRPr="005E6B7C">
        <w:rPr>
          <w:rFonts w:asciiTheme="majorHAnsi" w:eastAsia="Times New Roman" w:hAnsiTheme="majorHAnsi" w:cstheme="majorHAnsi"/>
          <w:color w:val="000000" w:themeColor="text1"/>
          <w:sz w:val="22"/>
          <w:szCs w:val="22"/>
          <w:lang w:eastAsia="ja-JP"/>
        </w:rPr>
        <w:t xml:space="preserve">1ʹ), 3.37-3.43 (4H, m, </w:t>
      </w:r>
      <w:r w:rsidRPr="005E6B7C">
        <w:rPr>
          <w:rFonts w:asciiTheme="majorHAnsi" w:eastAsia="Yu Mincho"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lang w:eastAsia="ja-JP"/>
        </w:rPr>
        <w:t xml:space="preserve">2ʹ, </w:t>
      </w:r>
      <w:r w:rsidRPr="005E6B7C">
        <w:rPr>
          <w:rFonts w:asciiTheme="majorHAnsi" w:eastAsia="Yu Mincho"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lang w:eastAsia="ja-JP"/>
        </w:rPr>
        <w:t xml:space="preserve">3ʹ, </w:t>
      </w:r>
      <w:r w:rsidRPr="005E6B7C">
        <w:rPr>
          <w:rFonts w:asciiTheme="majorHAnsi" w:eastAsia="Yu Mincho"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lang w:eastAsia="ja-JP"/>
        </w:rPr>
        <w:t xml:space="preserve">4ʹ, </w:t>
      </w:r>
      <w:r w:rsidRPr="005E6B7C">
        <w:rPr>
          <w:rFonts w:asciiTheme="majorHAnsi" w:eastAsia="Yu Mincho" w:hAnsiTheme="majorHAnsi" w:cstheme="majorHAnsi"/>
          <w:color w:val="000000" w:themeColor="text1"/>
          <w:sz w:val="22"/>
          <w:szCs w:val="22"/>
          <w:lang w:eastAsia="ja-JP"/>
        </w:rPr>
        <w:t>H-</w:t>
      </w:r>
      <w:r w:rsidRPr="005E6B7C">
        <w:rPr>
          <w:rFonts w:asciiTheme="majorHAnsi" w:eastAsia="Times New Roman" w:hAnsiTheme="majorHAnsi" w:cstheme="majorHAnsi"/>
          <w:color w:val="000000" w:themeColor="text1"/>
          <w:sz w:val="22"/>
          <w:szCs w:val="22"/>
          <w:lang w:eastAsia="ja-JP"/>
        </w:rPr>
        <w:t xml:space="preserve">5ʹ), and 3.82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w:t>
      </w:r>
      <w:r w:rsidRPr="005E6B7C">
        <w:rPr>
          <w:rFonts w:asciiTheme="majorHAnsi" w:eastAsia="Times New Roman" w:hAnsiTheme="majorHAnsi" w:cstheme="majorHAnsi"/>
          <w:color w:val="000000" w:themeColor="text1"/>
          <w:sz w:val="22"/>
          <w:szCs w:val="22"/>
          <w:lang w:eastAsia="ja-JP"/>
        </w:rPr>
        <w:t xml:space="preserve">12.0; 2.4 Hz, H-6a), 3.67 (1H, dd, </w:t>
      </w:r>
      <w:r w:rsidRPr="005E6B7C">
        <w:rPr>
          <w:rFonts w:asciiTheme="majorHAnsi" w:eastAsia="Yu Mincho" w:hAnsiTheme="majorHAnsi" w:cstheme="majorHAnsi"/>
          <w:i/>
          <w:color w:val="000000" w:themeColor="text1"/>
          <w:sz w:val="22"/>
          <w:szCs w:val="22"/>
          <w:lang w:eastAsia="ja-JP"/>
        </w:rPr>
        <w:t>J</w:t>
      </w:r>
      <w:r w:rsidRPr="005E6B7C">
        <w:rPr>
          <w:rFonts w:asciiTheme="majorHAnsi" w:eastAsia="Yu Mincho" w:hAnsiTheme="majorHAnsi" w:cstheme="majorHAnsi"/>
          <w:color w:val="000000" w:themeColor="text1"/>
          <w:sz w:val="22"/>
          <w:szCs w:val="22"/>
          <w:lang w:eastAsia="ja-JP"/>
        </w:rPr>
        <w:t xml:space="preserve"> = </w:t>
      </w:r>
      <w:r w:rsidRPr="005E6B7C">
        <w:rPr>
          <w:rFonts w:asciiTheme="majorHAnsi" w:eastAsia="Times New Roman" w:hAnsiTheme="majorHAnsi" w:cstheme="majorHAnsi"/>
          <w:color w:val="000000" w:themeColor="text1"/>
          <w:sz w:val="22"/>
          <w:szCs w:val="22"/>
          <w:lang w:eastAsia="ja-JP"/>
        </w:rPr>
        <w:t xml:space="preserve">12.0, 6.0 Hz, H-6b).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vertAlign w:val="superscript"/>
          <w:lang w:eastAsia="ja-JP"/>
        </w:rPr>
        <w:t>13</w:t>
      </w:r>
      <w:r w:rsidRPr="005E6B7C">
        <w:rPr>
          <w:rFonts w:asciiTheme="majorHAnsi" w:eastAsia="Yu Mincho" w:hAnsiTheme="majorHAnsi" w:cstheme="majorHAnsi"/>
          <w:color w:val="000000" w:themeColor="text1"/>
          <w:sz w:val="22"/>
          <w:szCs w:val="22"/>
          <w:lang w:eastAsia="ja-JP"/>
        </w:rPr>
        <w:t xml:space="preserve">C NMR and HSQC spectra showed signals for 21 carbons, including 2 ketone groups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188.1 (C-9) and </w:t>
      </w:r>
      <w:r w:rsidRPr="005E6B7C">
        <w:rPr>
          <w:rFonts w:asciiTheme="majorHAnsi" w:eastAsia="Yu Mincho" w:hAnsiTheme="majorHAnsi" w:cstheme="majorHAnsi"/>
          <w:color w:val="000000" w:themeColor="text1"/>
          <w:sz w:val="22"/>
          <w:szCs w:val="22"/>
          <w:lang w:eastAsia="ja-JP"/>
        </w:rPr>
        <w:t xml:space="preserve">183.8 (C-10); 12 aromatic carbons, a methyl carbon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8.6 and carbon signals of a </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-D-glucopyranosyl</w:t>
      </w:r>
      <w:r w:rsidRPr="005E6B7C">
        <w:rPr>
          <w:rFonts w:asciiTheme="majorHAnsi" w:eastAsia="Yu Mincho" w:hAnsiTheme="majorHAnsi" w:cstheme="majorHAnsi"/>
          <w:color w:val="000000" w:themeColor="text1"/>
          <w:sz w:val="22"/>
          <w:szCs w:val="22"/>
          <w:lang w:eastAsia="ja-JP"/>
        </w:rPr>
        <w:t xml:space="preserve"> part at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101.6 (C-1</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74.8 (C-2</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78.1 (C-3</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71.1 (C-4</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78.3 (C-5</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and 62.3 (C-6</w:t>
      </w:r>
      <w:r w:rsidRPr="005E6B7C">
        <w:rPr>
          <w:rFonts w:asciiTheme="majorHAnsi" w:eastAsia="Times New Roman" w:hAnsiTheme="majorHAnsi" w:cstheme="majorHAnsi"/>
          <w:color w:val="000000" w:themeColor="text1"/>
          <w:sz w:val="22"/>
          <w:szCs w:val="22"/>
          <w:lang w:eastAsia="ja-JP"/>
        </w:rPr>
        <w:t>ʹ</w:t>
      </w:r>
      <w:r w:rsidRPr="005E6B7C">
        <w:rPr>
          <w:rFonts w:asciiTheme="majorHAnsi" w:eastAsia="Yu Mincho" w:hAnsiTheme="majorHAnsi" w:cstheme="majorHAnsi"/>
          <w:color w:val="000000" w:themeColor="text1"/>
          <w:sz w:val="22"/>
          <w:szCs w:val="22"/>
          <w:lang w:eastAsia="ja-JP"/>
        </w:rPr>
        <w:t xml:space="preserve">). The NMR and MS data suggested that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an anthraquinone glucoside. HMBC correlations of methyl protons to C-1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163.2), C-2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122.5), and C-3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Times New Roman" w:hAnsiTheme="majorHAnsi" w:cstheme="majorHAnsi"/>
          <w:color w:val="000000" w:themeColor="text1"/>
          <w:sz w:val="22"/>
          <w:szCs w:val="22"/>
          <w:lang w:eastAsia="ja-JP"/>
        </w:rPr>
        <w:t xml:space="preserve"> 162.1); of H-4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7.41) to C-10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183.8) and C-2; of H-8 </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H</w:t>
      </w:r>
      <w:r w:rsidRPr="005E6B7C">
        <w:rPr>
          <w:rFonts w:asciiTheme="majorHAnsi" w:eastAsia="Times New Roman" w:hAnsiTheme="majorHAnsi" w:cstheme="majorHAnsi"/>
          <w:color w:val="000000" w:themeColor="text1"/>
          <w:sz w:val="22"/>
          <w:szCs w:val="22"/>
          <w:lang w:eastAsia="ja-JP"/>
        </w:rPr>
        <w:t xml:space="preserve"> 8.03) </w:t>
      </w:r>
      <w:r w:rsidRPr="005E6B7C">
        <w:rPr>
          <w:rFonts w:asciiTheme="majorHAnsi" w:eastAsia="Yu Mincho" w:hAnsiTheme="majorHAnsi" w:cstheme="majorHAnsi"/>
          <w:color w:val="000000" w:themeColor="text1"/>
          <w:sz w:val="22"/>
          <w:szCs w:val="22"/>
          <w:lang w:eastAsia="ja-JP"/>
        </w:rPr>
        <w:t>to C-9 (</w:t>
      </w:r>
      <w:r w:rsidRPr="005E6B7C">
        <w:rPr>
          <w:rFonts w:asciiTheme="majorHAnsi" w:eastAsia="Yu Mincho" w:hAnsiTheme="majorHAnsi" w:cstheme="majorHAnsi"/>
          <w:i/>
          <w:color w:val="000000" w:themeColor="text1"/>
          <w:sz w:val="22"/>
          <w:szCs w:val="22"/>
          <w:lang w:eastAsia="ja-JP"/>
        </w:rPr>
        <w:t>δ</w:t>
      </w:r>
      <w:r w:rsidRPr="005E6B7C">
        <w:rPr>
          <w:rFonts w:asciiTheme="majorHAnsi" w:eastAsia="Yu Mincho" w:hAnsiTheme="majorHAnsi" w:cstheme="majorHAnsi"/>
          <w:color w:val="000000" w:themeColor="text1"/>
          <w:sz w:val="22"/>
          <w:szCs w:val="22"/>
          <w:vertAlign w:val="subscript"/>
          <w:lang w:eastAsia="ja-JP"/>
        </w:rPr>
        <w:t>C</w:t>
      </w:r>
      <w:r w:rsidRPr="005E6B7C">
        <w:rPr>
          <w:rFonts w:asciiTheme="majorHAnsi" w:eastAsia="Yu Mincho" w:hAnsiTheme="majorHAnsi" w:cstheme="majorHAnsi"/>
          <w:color w:val="000000" w:themeColor="text1"/>
          <w:sz w:val="22"/>
          <w:szCs w:val="22"/>
          <w:lang w:eastAsia="ja-JP"/>
        </w:rPr>
        <w:t xml:space="preserve"> 188.1) allowed the assignment of substitutions at the anthraquinone skeleton. Comparing the NMR data with reference [13], compound </w:t>
      </w: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t xml:space="preserve"> was determined as </w:t>
      </w:r>
      <w:r w:rsidRPr="005E6B7C">
        <w:rPr>
          <w:rFonts w:asciiTheme="majorHAnsi" w:eastAsia="Times New Roman" w:hAnsiTheme="majorHAnsi" w:cstheme="majorHAnsi"/>
          <w:color w:val="000000" w:themeColor="text1"/>
          <w:sz w:val="22"/>
          <w:szCs w:val="22"/>
          <w:lang w:eastAsia="ja-JP"/>
        </w:rPr>
        <w:t>2-methyl-1,3,6-trihydroxy-9,10-anthraquinone 3-</w:t>
      </w:r>
      <w:r w:rsidRPr="005E6B7C">
        <w:rPr>
          <w:rFonts w:asciiTheme="majorHAnsi" w:eastAsia="Times New Roman" w:hAnsiTheme="majorHAnsi" w:cstheme="majorHAnsi"/>
          <w:i/>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w:t>
      </w:r>
      <w:r w:rsidRPr="005E6B7C">
        <w:rPr>
          <w:rFonts w:asciiTheme="majorHAnsi" w:eastAsia="Yu Mincho" w:hAnsiTheme="majorHAnsi" w:cstheme="majorHAnsi"/>
          <w:color w:val="000000" w:themeColor="text1"/>
          <w:sz w:val="22"/>
          <w:szCs w:val="22"/>
          <w:lang w:eastAsia="ja-JP"/>
        </w:rPr>
        <w:t>.</w:t>
      </w:r>
    </w:p>
    <w:p w14:paraId="06EE132D" w14:textId="77777777"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Table 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vertAlign w:val="superscript"/>
          <w:lang w:eastAsia="ja-JP"/>
        </w:rPr>
        <w:t>13</w:t>
      </w:r>
      <w:r w:rsidRPr="005E6B7C">
        <w:rPr>
          <w:rFonts w:asciiTheme="majorHAnsi" w:eastAsia="Yu Mincho" w:hAnsiTheme="majorHAnsi" w:cstheme="majorHAnsi"/>
          <w:color w:val="000000" w:themeColor="text1"/>
          <w:sz w:val="18"/>
          <w:szCs w:val="18"/>
          <w:lang w:eastAsia="ja-JP"/>
        </w:rPr>
        <w:t xml:space="preserve">C-NMR spectroscopic data of </w:t>
      </w:r>
      <w:r w:rsidRPr="005E6B7C">
        <w:rPr>
          <w:rFonts w:asciiTheme="majorHAnsi" w:eastAsia="Yu Mincho" w:hAnsiTheme="majorHAnsi" w:cstheme="majorHAnsi"/>
          <w:b/>
          <w:bCs/>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4</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00" w:firstRow="0" w:lastRow="0" w:firstColumn="0" w:lastColumn="0" w:noHBand="0" w:noVBand="1"/>
      </w:tblPr>
      <w:tblGrid>
        <w:gridCol w:w="774"/>
        <w:gridCol w:w="2307"/>
        <w:gridCol w:w="817"/>
        <w:gridCol w:w="867"/>
        <w:gridCol w:w="2764"/>
        <w:gridCol w:w="726"/>
        <w:gridCol w:w="817"/>
      </w:tblGrid>
      <w:tr w:rsidR="00B857B1" w:rsidRPr="005E6B7C" w14:paraId="03F100EC" w14:textId="77777777" w:rsidTr="007A051F">
        <w:trPr>
          <w:trHeight w:val="65"/>
          <w:tblHeader/>
          <w:jc w:val="center"/>
        </w:trPr>
        <w:tc>
          <w:tcPr>
            <w:tcW w:w="774" w:type="dxa"/>
            <w:vMerge w:val="restart"/>
            <w:vAlign w:val="center"/>
            <w:hideMark/>
          </w:tcPr>
          <w:p w14:paraId="76626901" w14:textId="77777777"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eastAsia="ja-JP"/>
              </w:rPr>
              <w:t>Pos.</w:t>
            </w:r>
          </w:p>
        </w:tc>
        <w:tc>
          <w:tcPr>
            <w:tcW w:w="3124" w:type="dxa"/>
            <w:gridSpan w:val="2"/>
            <w:vAlign w:val="center"/>
            <w:hideMark/>
          </w:tcPr>
          <w:p w14:paraId="38634C64" w14:textId="67BE7B4B"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eastAsia="ja-JP"/>
              </w:rPr>
              <w:t>3</w:t>
            </w:r>
          </w:p>
        </w:tc>
        <w:tc>
          <w:tcPr>
            <w:tcW w:w="867" w:type="dxa"/>
            <w:vAlign w:val="center"/>
          </w:tcPr>
          <w:p w14:paraId="54766A13" w14:textId="63584BFA"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Ref [13]</w:t>
            </w:r>
          </w:p>
        </w:tc>
        <w:tc>
          <w:tcPr>
            <w:tcW w:w="2764" w:type="dxa"/>
            <w:vAlign w:val="center"/>
          </w:tcPr>
          <w:p w14:paraId="5DD03B42" w14:textId="1CD90BB6"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4</w:t>
            </w:r>
          </w:p>
        </w:tc>
        <w:tc>
          <w:tcPr>
            <w:tcW w:w="726" w:type="dxa"/>
            <w:vAlign w:val="center"/>
            <w:hideMark/>
          </w:tcPr>
          <w:p w14:paraId="187E4372" w14:textId="77777777"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p>
        </w:tc>
        <w:tc>
          <w:tcPr>
            <w:tcW w:w="817" w:type="dxa"/>
            <w:vAlign w:val="center"/>
          </w:tcPr>
          <w:p w14:paraId="53FBF4F3" w14:textId="00F98774"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color w:val="000000" w:themeColor="text1"/>
                <w:sz w:val="18"/>
                <w:szCs w:val="18"/>
                <w:lang w:val="en" w:eastAsia="ja-JP"/>
              </w:rPr>
              <w:t>Ref [14]</w:t>
            </w:r>
          </w:p>
        </w:tc>
      </w:tr>
      <w:tr w:rsidR="00B857B1" w:rsidRPr="005E6B7C" w14:paraId="00F12E74" w14:textId="77777777" w:rsidTr="007A051F">
        <w:trPr>
          <w:tblHeader/>
          <w:jc w:val="center"/>
        </w:trPr>
        <w:tc>
          <w:tcPr>
            <w:tcW w:w="774" w:type="dxa"/>
            <w:vMerge/>
            <w:vAlign w:val="center"/>
            <w:hideMark/>
          </w:tcPr>
          <w:p w14:paraId="4FBD0DC3" w14:textId="77777777"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p>
        </w:tc>
        <w:tc>
          <w:tcPr>
            <w:tcW w:w="2307" w:type="dxa"/>
            <w:vAlign w:val="center"/>
            <w:hideMark/>
          </w:tcPr>
          <w:p w14:paraId="22C5DC3D" w14:textId="229DB560"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nl-NL"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val="nl-NL" w:eastAsia="ja-JP"/>
              </w:rPr>
              <w:t>H</w:t>
            </w:r>
            <w:r w:rsidRPr="005E6B7C">
              <w:rPr>
                <w:rFonts w:asciiTheme="majorHAnsi" w:eastAsia="Times New Roman" w:hAnsiTheme="majorHAnsi" w:cstheme="majorHAnsi"/>
                <w:b/>
                <w:bCs/>
                <w:color w:val="000000" w:themeColor="text1"/>
                <w:sz w:val="18"/>
                <w:szCs w:val="18"/>
                <w:vertAlign w:val="superscript"/>
                <w:lang w:val="nl-NL" w:eastAsia="ja-JP"/>
              </w:rPr>
              <w:t>a,b</w:t>
            </w:r>
            <w:r w:rsidRPr="005E6B7C">
              <w:rPr>
                <w:rFonts w:asciiTheme="majorHAnsi" w:eastAsia="Times New Roman" w:hAnsiTheme="majorHAnsi" w:cstheme="majorHAnsi"/>
                <w:b/>
                <w:bCs/>
                <w:color w:val="000000" w:themeColor="text1"/>
                <w:sz w:val="18"/>
                <w:szCs w:val="18"/>
                <w:lang w:val="nl-NL" w:eastAsia="ja-JP"/>
              </w:rPr>
              <w:t xml:space="preserve"> (mult., </w:t>
            </w:r>
            <w:r w:rsidRPr="005E6B7C">
              <w:rPr>
                <w:rFonts w:asciiTheme="majorHAnsi" w:eastAsia="Times New Roman" w:hAnsiTheme="majorHAnsi" w:cstheme="majorHAnsi"/>
                <w:b/>
                <w:bCs/>
                <w:i/>
                <w:color w:val="000000" w:themeColor="text1"/>
                <w:sz w:val="18"/>
                <w:szCs w:val="18"/>
                <w:lang w:val="nl-NL" w:eastAsia="ja-JP"/>
              </w:rPr>
              <w:t>J</w:t>
            </w:r>
            <w:r w:rsidRPr="005E6B7C">
              <w:rPr>
                <w:rFonts w:asciiTheme="majorHAnsi" w:eastAsia="Times New Roman" w:hAnsiTheme="majorHAnsi" w:cstheme="majorHAnsi"/>
                <w:b/>
                <w:bCs/>
                <w:color w:val="000000" w:themeColor="text1"/>
                <w:sz w:val="18"/>
                <w:szCs w:val="18"/>
                <w:lang w:val="nl-NL" w:eastAsia="ja-JP"/>
              </w:rPr>
              <w:t xml:space="preserve"> in Hz)</w:t>
            </w:r>
          </w:p>
        </w:tc>
        <w:tc>
          <w:tcPr>
            <w:tcW w:w="817" w:type="dxa"/>
            <w:vAlign w:val="center"/>
            <w:hideMark/>
          </w:tcPr>
          <w:p w14:paraId="1B9EE74E" w14:textId="220259DA"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val="en"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867" w:type="dxa"/>
            <w:vAlign w:val="center"/>
            <w:hideMark/>
          </w:tcPr>
          <w:p w14:paraId="3A1C5854" w14:textId="0DB258B1"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val="en"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a,d</w:t>
            </w:r>
          </w:p>
        </w:tc>
        <w:tc>
          <w:tcPr>
            <w:tcW w:w="2764" w:type="dxa"/>
            <w:vAlign w:val="center"/>
          </w:tcPr>
          <w:p w14:paraId="6C7562CF" w14:textId="626BC819"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val="nl-NL"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val="nl-NL" w:eastAsia="ja-JP"/>
              </w:rPr>
              <w:t>H</w:t>
            </w:r>
            <w:r w:rsidRPr="005E6B7C">
              <w:rPr>
                <w:rFonts w:asciiTheme="majorHAnsi" w:eastAsia="Times New Roman" w:hAnsiTheme="majorHAnsi" w:cstheme="majorHAnsi"/>
                <w:b/>
                <w:bCs/>
                <w:color w:val="000000" w:themeColor="text1"/>
                <w:sz w:val="18"/>
                <w:szCs w:val="18"/>
                <w:vertAlign w:val="superscript"/>
                <w:lang w:val="nl-NL" w:eastAsia="ja-JP"/>
              </w:rPr>
              <w:t>a,b</w:t>
            </w:r>
            <w:r w:rsidRPr="005E6B7C">
              <w:rPr>
                <w:rFonts w:asciiTheme="majorHAnsi" w:eastAsia="Times New Roman" w:hAnsiTheme="majorHAnsi" w:cstheme="majorHAnsi"/>
                <w:b/>
                <w:bCs/>
                <w:color w:val="000000" w:themeColor="text1"/>
                <w:sz w:val="18"/>
                <w:szCs w:val="18"/>
                <w:lang w:val="nl-NL" w:eastAsia="ja-JP"/>
              </w:rPr>
              <w:t xml:space="preserve"> (mult., </w:t>
            </w:r>
            <w:r w:rsidRPr="005E6B7C">
              <w:rPr>
                <w:rFonts w:asciiTheme="majorHAnsi" w:eastAsia="Times New Roman" w:hAnsiTheme="majorHAnsi" w:cstheme="majorHAnsi"/>
                <w:b/>
                <w:bCs/>
                <w:i/>
                <w:color w:val="000000" w:themeColor="text1"/>
                <w:sz w:val="18"/>
                <w:szCs w:val="18"/>
                <w:lang w:val="nl-NL" w:eastAsia="ja-JP"/>
              </w:rPr>
              <w:t>J</w:t>
            </w:r>
            <w:r w:rsidRPr="005E6B7C">
              <w:rPr>
                <w:rFonts w:asciiTheme="majorHAnsi" w:eastAsia="Times New Roman" w:hAnsiTheme="majorHAnsi" w:cstheme="majorHAnsi"/>
                <w:b/>
                <w:bCs/>
                <w:color w:val="000000" w:themeColor="text1"/>
                <w:sz w:val="18"/>
                <w:szCs w:val="18"/>
                <w:lang w:val="nl-NL" w:eastAsia="ja-JP"/>
              </w:rPr>
              <w:t xml:space="preserve"> in Hz)</w:t>
            </w:r>
          </w:p>
        </w:tc>
        <w:tc>
          <w:tcPr>
            <w:tcW w:w="726" w:type="dxa"/>
            <w:vAlign w:val="center"/>
          </w:tcPr>
          <w:p w14:paraId="6E5C864C" w14:textId="784EAC8F"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Pr="005E6B7C">
              <w:rPr>
                <w:rFonts w:asciiTheme="majorHAnsi" w:eastAsia="Times New Roman" w:hAnsiTheme="majorHAnsi" w:cstheme="majorHAnsi"/>
                <w:b/>
                <w:bCs/>
                <w:color w:val="000000" w:themeColor="text1"/>
                <w:sz w:val="18"/>
                <w:szCs w:val="18"/>
                <w:vertAlign w:val="subscript"/>
                <w:lang w:eastAsia="ja-JP"/>
              </w:rPr>
              <w:t>C</w:t>
            </w:r>
            <w:r w:rsidRPr="005E6B7C">
              <w:rPr>
                <w:rFonts w:asciiTheme="majorHAnsi" w:eastAsia="Times New Roman" w:hAnsiTheme="majorHAnsi" w:cstheme="majorHAnsi"/>
                <w:b/>
                <w:bCs/>
                <w:color w:val="000000" w:themeColor="text1"/>
                <w:sz w:val="18"/>
                <w:szCs w:val="18"/>
                <w:vertAlign w:val="superscript"/>
                <w:lang w:eastAsia="ja-JP"/>
              </w:rPr>
              <w:t>a,c</w:t>
            </w:r>
          </w:p>
        </w:tc>
        <w:tc>
          <w:tcPr>
            <w:tcW w:w="817" w:type="dxa"/>
            <w:vAlign w:val="center"/>
          </w:tcPr>
          <w:p w14:paraId="6E990F69" w14:textId="5C401501" w:rsidR="00B857B1" w:rsidRPr="005E6B7C" w:rsidRDefault="00B857B1" w:rsidP="00B857B1">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δ</w:t>
            </w:r>
            <w:r w:rsidR="007A051F" w:rsidRPr="005E6B7C">
              <w:rPr>
                <w:rFonts w:asciiTheme="majorHAnsi" w:eastAsia="Times New Roman" w:hAnsiTheme="majorHAnsi" w:cstheme="majorHAnsi"/>
                <w:b/>
                <w:bCs/>
                <w:color w:val="000000" w:themeColor="text1"/>
                <w:sz w:val="18"/>
                <w:szCs w:val="18"/>
                <w:vertAlign w:val="subscript"/>
                <w:lang w:eastAsia="ja-JP"/>
              </w:rPr>
              <w:t>C</w:t>
            </w:r>
          </w:p>
        </w:tc>
      </w:tr>
      <w:tr w:rsidR="00E049CB" w:rsidRPr="005E6B7C" w14:paraId="2E0872DC" w14:textId="77777777" w:rsidTr="007A051F">
        <w:trPr>
          <w:jc w:val="center"/>
        </w:trPr>
        <w:tc>
          <w:tcPr>
            <w:tcW w:w="774" w:type="dxa"/>
            <w:vAlign w:val="center"/>
            <w:hideMark/>
          </w:tcPr>
          <w:p w14:paraId="3F8FBCA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w:t>
            </w:r>
          </w:p>
        </w:tc>
        <w:tc>
          <w:tcPr>
            <w:tcW w:w="2307" w:type="dxa"/>
            <w:vAlign w:val="center"/>
          </w:tcPr>
          <w:p w14:paraId="084457F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40EE634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163.2</w:t>
            </w:r>
          </w:p>
        </w:tc>
        <w:tc>
          <w:tcPr>
            <w:tcW w:w="867" w:type="dxa"/>
            <w:vAlign w:val="center"/>
          </w:tcPr>
          <w:p w14:paraId="1462C95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163.4</w:t>
            </w:r>
          </w:p>
        </w:tc>
        <w:tc>
          <w:tcPr>
            <w:tcW w:w="2764" w:type="dxa"/>
            <w:vAlign w:val="center"/>
          </w:tcPr>
          <w:p w14:paraId="2CD3242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5.19 (1H, d, 16.5)</w:t>
            </w:r>
          </w:p>
          <w:p w14:paraId="3B1F280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5.08 (1H, d, 11.0)</w:t>
            </w:r>
          </w:p>
        </w:tc>
        <w:tc>
          <w:tcPr>
            <w:tcW w:w="726" w:type="dxa"/>
            <w:vAlign w:val="center"/>
          </w:tcPr>
          <w:p w14:paraId="354EE33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141.0</w:t>
            </w:r>
          </w:p>
        </w:tc>
        <w:tc>
          <w:tcPr>
            <w:tcW w:w="817" w:type="dxa"/>
            <w:vAlign w:val="center"/>
          </w:tcPr>
          <w:p w14:paraId="2E70876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141.0</w:t>
            </w:r>
          </w:p>
        </w:tc>
      </w:tr>
      <w:tr w:rsidR="00E049CB" w:rsidRPr="005E6B7C" w14:paraId="5CB5F2B3" w14:textId="77777777" w:rsidTr="007A051F">
        <w:trPr>
          <w:jc w:val="center"/>
        </w:trPr>
        <w:tc>
          <w:tcPr>
            <w:tcW w:w="774" w:type="dxa"/>
            <w:vAlign w:val="center"/>
            <w:hideMark/>
          </w:tcPr>
          <w:p w14:paraId="152B2AF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w:t>
            </w:r>
          </w:p>
        </w:tc>
        <w:tc>
          <w:tcPr>
            <w:tcW w:w="2307" w:type="dxa"/>
            <w:vAlign w:val="center"/>
          </w:tcPr>
          <w:p w14:paraId="341C967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47C5C87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122.5</w:t>
            </w:r>
          </w:p>
        </w:tc>
        <w:tc>
          <w:tcPr>
            <w:tcW w:w="867" w:type="dxa"/>
            <w:vAlign w:val="center"/>
          </w:tcPr>
          <w:p w14:paraId="09A890F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120.7</w:t>
            </w:r>
          </w:p>
        </w:tc>
        <w:tc>
          <w:tcPr>
            <w:tcW w:w="2764" w:type="dxa"/>
            <w:vAlign w:val="center"/>
          </w:tcPr>
          <w:p w14:paraId="22CF1B3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5.87 (1H, ddd, 16.5, 11.0, 7.0)</w:t>
            </w:r>
          </w:p>
        </w:tc>
        <w:tc>
          <w:tcPr>
            <w:tcW w:w="726" w:type="dxa"/>
            <w:vAlign w:val="center"/>
          </w:tcPr>
          <w:p w14:paraId="7E54F17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116.0</w:t>
            </w:r>
          </w:p>
        </w:tc>
        <w:tc>
          <w:tcPr>
            <w:tcW w:w="817" w:type="dxa"/>
            <w:vAlign w:val="center"/>
          </w:tcPr>
          <w:p w14:paraId="1BC12BB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116.0</w:t>
            </w:r>
          </w:p>
        </w:tc>
      </w:tr>
      <w:tr w:rsidR="00E049CB" w:rsidRPr="005E6B7C" w14:paraId="0F107780" w14:textId="77777777" w:rsidTr="007A051F">
        <w:trPr>
          <w:jc w:val="center"/>
        </w:trPr>
        <w:tc>
          <w:tcPr>
            <w:tcW w:w="774" w:type="dxa"/>
            <w:vAlign w:val="center"/>
            <w:hideMark/>
          </w:tcPr>
          <w:p w14:paraId="4B2CAF3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w:t>
            </w:r>
          </w:p>
        </w:tc>
        <w:tc>
          <w:tcPr>
            <w:tcW w:w="2307" w:type="dxa"/>
            <w:vAlign w:val="center"/>
          </w:tcPr>
          <w:p w14:paraId="0C4ACA4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2C3F55A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162.1</w:t>
            </w:r>
          </w:p>
        </w:tc>
        <w:tc>
          <w:tcPr>
            <w:tcW w:w="867" w:type="dxa"/>
            <w:vAlign w:val="center"/>
          </w:tcPr>
          <w:p w14:paraId="14C56FD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160.7</w:t>
            </w:r>
          </w:p>
        </w:tc>
        <w:tc>
          <w:tcPr>
            <w:tcW w:w="2764" w:type="dxa"/>
            <w:vAlign w:val="center"/>
          </w:tcPr>
          <w:p w14:paraId="756036D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4.12 (1H, q, 7.0)</w:t>
            </w:r>
          </w:p>
        </w:tc>
        <w:tc>
          <w:tcPr>
            <w:tcW w:w="726" w:type="dxa"/>
            <w:vAlign w:val="center"/>
          </w:tcPr>
          <w:p w14:paraId="0725992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82.8</w:t>
            </w:r>
          </w:p>
        </w:tc>
        <w:tc>
          <w:tcPr>
            <w:tcW w:w="817" w:type="dxa"/>
            <w:vAlign w:val="center"/>
          </w:tcPr>
          <w:p w14:paraId="4870163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82.8</w:t>
            </w:r>
          </w:p>
        </w:tc>
      </w:tr>
      <w:tr w:rsidR="00E049CB" w:rsidRPr="005E6B7C" w14:paraId="7B6AA077" w14:textId="77777777" w:rsidTr="007A051F">
        <w:trPr>
          <w:jc w:val="center"/>
        </w:trPr>
        <w:tc>
          <w:tcPr>
            <w:tcW w:w="774" w:type="dxa"/>
            <w:vAlign w:val="center"/>
            <w:hideMark/>
          </w:tcPr>
          <w:p w14:paraId="05C51C3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4</w:t>
            </w:r>
          </w:p>
        </w:tc>
        <w:tc>
          <w:tcPr>
            <w:tcW w:w="2307" w:type="dxa"/>
            <w:vAlign w:val="center"/>
          </w:tcPr>
          <w:p w14:paraId="75D8B5C8"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7.41 (1H, s)</w:t>
            </w:r>
          </w:p>
        </w:tc>
        <w:tc>
          <w:tcPr>
            <w:tcW w:w="817" w:type="dxa"/>
            <w:vAlign w:val="center"/>
          </w:tcPr>
          <w:p w14:paraId="15C2BC4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106.9</w:t>
            </w:r>
          </w:p>
        </w:tc>
        <w:tc>
          <w:tcPr>
            <w:tcW w:w="867" w:type="dxa"/>
            <w:vAlign w:val="center"/>
          </w:tcPr>
          <w:p w14:paraId="6ABCFA8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105.6</w:t>
            </w:r>
          </w:p>
        </w:tc>
        <w:tc>
          <w:tcPr>
            <w:tcW w:w="2764" w:type="dxa"/>
            <w:vAlign w:val="center"/>
          </w:tcPr>
          <w:p w14:paraId="6EE402F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1.68 (1H, m)</w:t>
            </w:r>
          </w:p>
          <w:p w14:paraId="3C532D4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1.52 (1H, m)</w:t>
            </w:r>
          </w:p>
        </w:tc>
        <w:tc>
          <w:tcPr>
            <w:tcW w:w="726" w:type="dxa"/>
            <w:vAlign w:val="center"/>
          </w:tcPr>
          <w:p w14:paraId="5DFCCB6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33.0</w:t>
            </w:r>
          </w:p>
        </w:tc>
        <w:tc>
          <w:tcPr>
            <w:tcW w:w="817" w:type="dxa"/>
            <w:vAlign w:val="center"/>
          </w:tcPr>
          <w:p w14:paraId="4613A9E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33.0</w:t>
            </w:r>
          </w:p>
        </w:tc>
      </w:tr>
      <w:tr w:rsidR="00E049CB" w:rsidRPr="005E6B7C" w14:paraId="255672AC" w14:textId="77777777" w:rsidTr="007A051F">
        <w:trPr>
          <w:jc w:val="center"/>
        </w:trPr>
        <w:tc>
          <w:tcPr>
            <w:tcW w:w="774" w:type="dxa"/>
            <w:vAlign w:val="center"/>
            <w:hideMark/>
          </w:tcPr>
          <w:p w14:paraId="449AFE5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5</w:t>
            </w:r>
          </w:p>
        </w:tc>
        <w:tc>
          <w:tcPr>
            <w:tcW w:w="2307" w:type="dxa"/>
            <w:vAlign w:val="center"/>
          </w:tcPr>
          <w:p w14:paraId="091C85C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7.39 (1H, d, 2,4)</w:t>
            </w:r>
          </w:p>
        </w:tc>
        <w:tc>
          <w:tcPr>
            <w:tcW w:w="817" w:type="dxa"/>
            <w:vAlign w:val="center"/>
          </w:tcPr>
          <w:p w14:paraId="26442CC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114.1</w:t>
            </w:r>
          </w:p>
        </w:tc>
        <w:tc>
          <w:tcPr>
            <w:tcW w:w="867" w:type="dxa"/>
            <w:vAlign w:val="center"/>
          </w:tcPr>
          <w:p w14:paraId="2075DAA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112.5</w:t>
            </w:r>
          </w:p>
        </w:tc>
        <w:tc>
          <w:tcPr>
            <w:tcW w:w="2764" w:type="dxa"/>
            <w:vAlign w:val="center"/>
          </w:tcPr>
          <w:p w14:paraId="645314A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w:t>
            </w:r>
            <w:r w:rsidRPr="005E6B7C">
              <w:rPr>
                <w:rFonts w:asciiTheme="majorHAnsi" w:eastAsia="Symbol"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1.29 (6H, m)</w:t>
            </w:r>
          </w:p>
        </w:tc>
        <w:tc>
          <w:tcPr>
            <w:tcW w:w="726" w:type="dxa"/>
            <w:vAlign w:val="center"/>
          </w:tcPr>
          <w:p w14:paraId="624B795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25.6</w:t>
            </w:r>
          </w:p>
        </w:tc>
        <w:tc>
          <w:tcPr>
            <w:tcW w:w="817" w:type="dxa"/>
            <w:vAlign w:val="center"/>
          </w:tcPr>
          <w:p w14:paraId="047C084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25.6</w:t>
            </w:r>
          </w:p>
        </w:tc>
      </w:tr>
      <w:tr w:rsidR="00E049CB" w:rsidRPr="005E6B7C" w14:paraId="47B847A9" w14:textId="77777777" w:rsidTr="007A051F">
        <w:trPr>
          <w:jc w:val="center"/>
        </w:trPr>
        <w:tc>
          <w:tcPr>
            <w:tcW w:w="774" w:type="dxa"/>
            <w:vAlign w:val="center"/>
            <w:hideMark/>
          </w:tcPr>
          <w:p w14:paraId="0079F30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6</w:t>
            </w:r>
          </w:p>
        </w:tc>
        <w:tc>
          <w:tcPr>
            <w:tcW w:w="2307" w:type="dxa"/>
            <w:vAlign w:val="center"/>
          </w:tcPr>
          <w:p w14:paraId="616CEC0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2AA84B0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165.8</w:t>
            </w:r>
          </w:p>
        </w:tc>
        <w:tc>
          <w:tcPr>
            <w:tcW w:w="867" w:type="dxa"/>
            <w:vAlign w:val="center"/>
          </w:tcPr>
          <w:p w14:paraId="1553E3A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161.2</w:t>
            </w:r>
          </w:p>
        </w:tc>
        <w:tc>
          <w:tcPr>
            <w:tcW w:w="2764" w:type="dxa"/>
            <w:vAlign w:val="center"/>
          </w:tcPr>
          <w:p w14:paraId="4E5049E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p>
        </w:tc>
        <w:tc>
          <w:tcPr>
            <w:tcW w:w="726" w:type="dxa"/>
            <w:vAlign w:val="center"/>
          </w:tcPr>
          <w:p w14:paraId="7930793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35.6</w:t>
            </w:r>
          </w:p>
        </w:tc>
        <w:tc>
          <w:tcPr>
            <w:tcW w:w="817" w:type="dxa"/>
            <w:vAlign w:val="center"/>
          </w:tcPr>
          <w:p w14:paraId="53A6F95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35.6</w:t>
            </w:r>
          </w:p>
        </w:tc>
      </w:tr>
      <w:tr w:rsidR="00E049CB" w:rsidRPr="005E6B7C" w14:paraId="4FF38168" w14:textId="77777777" w:rsidTr="007A051F">
        <w:trPr>
          <w:jc w:val="center"/>
        </w:trPr>
        <w:tc>
          <w:tcPr>
            <w:tcW w:w="774" w:type="dxa"/>
            <w:vAlign w:val="center"/>
            <w:hideMark/>
          </w:tcPr>
          <w:p w14:paraId="03A1FC0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7</w:t>
            </w:r>
          </w:p>
        </w:tc>
        <w:tc>
          <w:tcPr>
            <w:tcW w:w="2307" w:type="dxa"/>
            <w:vAlign w:val="center"/>
          </w:tcPr>
          <w:p w14:paraId="784F80D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7.03 (1H, dd, 8.4, 2.4)</w:t>
            </w:r>
          </w:p>
        </w:tc>
        <w:tc>
          <w:tcPr>
            <w:tcW w:w="817" w:type="dxa"/>
            <w:vAlign w:val="center"/>
          </w:tcPr>
          <w:p w14:paraId="1D0FD86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122.5</w:t>
            </w:r>
          </w:p>
        </w:tc>
        <w:tc>
          <w:tcPr>
            <w:tcW w:w="867" w:type="dxa"/>
            <w:vAlign w:val="center"/>
          </w:tcPr>
          <w:p w14:paraId="03EDEF1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121.3</w:t>
            </w:r>
          </w:p>
        </w:tc>
        <w:tc>
          <w:tcPr>
            <w:tcW w:w="2764" w:type="dxa"/>
            <w:vAlign w:val="center"/>
          </w:tcPr>
          <w:p w14:paraId="59FB038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0DC228C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23.6</w:t>
            </w:r>
          </w:p>
        </w:tc>
        <w:tc>
          <w:tcPr>
            <w:tcW w:w="817" w:type="dxa"/>
            <w:vAlign w:val="center"/>
          </w:tcPr>
          <w:p w14:paraId="6CA34DF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23.6</w:t>
            </w:r>
          </w:p>
        </w:tc>
      </w:tr>
      <w:tr w:rsidR="00E049CB" w:rsidRPr="005E6B7C" w14:paraId="2EA2ED76" w14:textId="77777777" w:rsidTr="007A051F">
        <w:trPr>
          <w:jc w:val="center"/>
        </w:trPr>
        <w:tc>
          <w:tcPr>
            <w:tcW w:w="774" w:type="dxa"/>
            <w:vAlign w:val="center"/>
            <w:hideMark/>
          </w:tcPr>
          <w:p w14:paraId="4BB849E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8</w:t>
            </w:r>
          </w:p>
        </w:tc>
        <w:tc>
          <w:tcPr>
            <w:tcW w:w="2307" w:type="dxa"/>
            <w:vAlign w:val="center"/>
          </w:tcPr>
          <w:p w14:paraId="77F8C61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8.03 (1H, d, 8.4)</w:t>
            </w:r>
          </w:p>
        </w:tc>
        <w:tc>
          <w:tcPr>
            <w:tcW w:w="817" w:type="dxa"/>
            <w:vAlign w:val="center"/>
          </w:tcPr>
          <w:p w14:paraId="1DD434A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130.7</w:t>
            </w:r>
          </w:p>
        </w:tc>
        <w:tc>
          <w:tcPr>
            <w:tcW w:w="867" w:type="dxa"/>
            <w:vAlign w:val="center"/>
          </w:tcPr>
          <w:p w14:paraId="70F4AB7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129.5</w:t>
            </w:r>
          </w:p>
        </w:tc>
        <w:tc>
          <w:tcPr>
            <w:tcW w:w="2764" w:type="dxa"/>
            <w:vAlign w:val="center"/>
          </w:tcPr>
          <w:p w14:paraId="75636C1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0.90 (3H, t, 7.0)</w:t>
            </w:r>
          </w:p>
        </w:tc>
        <w:tc>
          <w:tcPr>
            <w:tcW w:w="726" w:type="dxa"/>
            <w:vAlign w:val="center"/>
          </w:tcPr>
          <w:p w14:paraId="0236A97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14.4</w:t>
            </w:r>
          </w:p>
        </w:tc>
        <w:tc>
          <w:tcPr>
            <w:tcW w:w="817" w:type="dxa"/>
            <w:vAlign w:val="center"/>
          </w:tcPr>
          <w:p w14:paraId="060FFE7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14.4</w:t>
            </w:r>
          </w:p>
        </w:tc>
      </w:tr>
      <w:tr w:rsidR="00E049CB" w:rsidRPr="005E6B7C" w14:paraId="38EDA553" w14:textId="77777777" w:rsidTr="007A051F">
        <w:trPr>
          <w:jc w:val="center"/>
        </w:trPr>
        <w:tc>
          <w:tcPr>
            <w:tcW w:w="774" w:type="dxa"/>
            <w:vAlign w:val="center"/>
            <w:hideMark/>
          </w:tcPr>
          <w:p w14:paraId="3B7C8F7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9</w:t>
            </w:r>
          </w:p>
        </w:tc>
        <w:tc>
          <w:tcPr>
            <w:tcW w:w="2307" w:type="dxa"/>
            <w:vAlign w:val="center"/>
          </w:tcPr>
          <w:p w14:paraId="349991E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027E304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188.1</w:t>
            </w:r>
          </w:p>
        </w:tc>
        <w:tc>
          <w:tcPr>
            <w:tcW w:w="867" w:type="dxa"/>
            <w:vAlign w:val="center"/>
          </w:tcPr>
          <w:p w14:paraId="3E0E7E2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186.3</w:t>
            </w:r>
          </w:p>
        </w:tc>
        <w:tc>
          <w:tcPr>
            <w:tcW w:w="2764" w:type="dxa"/>
            <w:vAlign w:val="center"/>
          </w:tcPr>
          <w:p w14:paraId="4D09F1F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119454C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0284BA5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30218817" w14:textId="77777777" w:rsidTr="007A051F">
        <w:trPr>
          <w:jc w:val="center"/>
        </w:trPr>
        <w:tc>
          <w:tcPr>
            <w:tcW w:w="774" w:type="dxa"/>
            <w:vAlign w:val="center"/>
          </w:tcPr>
          <w:p w14:paraId="0FEC357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c>
          <w:tcPr>
            <w:tcW w:w="2307" w:type="dxa"/>
            <w:vAlign w:val="center"/>
          </w:tcPr>
          <w:p w14:paraId="73CB548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5A7640B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183.8</w:t>
            </w:r>
          </w:p>
        </w:tc>
        <w:tc>
          <w:tcPr>
            <w:tcW w:w="867" w:type="dxa"/>
            <w:vAlign w:val="center"/>
          </w:tcPr>
          <w:p w14:paraId="059CA02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181.5</w:t>
            </w:r>
          </w:p>
        </w:tc>
        <w:tc>
          <w:tcPr>
            <w:tcW w:w="2764" w:type="dxa"/>
            <w:vAlign w:val="center"/>
          </w:tcPr>
          <w:p w14:paraId="64B856C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0EE4DD2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7D047C4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1961D97A" w14:textId="77777777" w:rsidTr="007A051F">
        <w:trPr>
          <w:jc w:val="center"/>
        </w:trPr>
        <w:tc>
          <w:tcPr>
            <w:tcW w:w="774" w:type="dxa"/>
            <w:vAlign w:val="center"/>
          </w:tcPr>
          <w:p w14:paraId="116EA66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lastRenderedPageBreak/>
              <w:t>11</w:t>
            </w:r>
          </w:p>
        </w:tc>
        <w:tc>
          <w:tcPr>
            <w:tcW w:w="2307" w:type="dxa"/>
            <w:vAlign w:val="center"/>
          </w:tcPr>
          <w:p w14:paraId="5CF2CBA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697AD63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137.0</w:t>
            </w:r>
          </w:p>
        </w:tc>
        <w:tc>
          <w:tcPr>
            <w:tcW w:w="867" w:type="dxa"/>
            <w:vAlign w:val="center"/>
          </w:tcPr>
          <w:p w14:paraId="287A2B4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135.2</w:t>
            </w:r>
          </w:p>
        </w:tc>
        <w:tc>
          <w:tcPr>
            <w:tcW w:w="2764" w:type="dxa"/>
            <w:vAlign w:val="center"/>
          </w:tcPr>
          <w:p w14:paraId="71DABD9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6FA9688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511B24D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60C09537" w14:textId="77777777" w:rsidTr="007A051F">
        <w:trPr>
          <w:jc w:val="center"/>
        </w:trPr>
        <w:tc>
          <w:tcPr>
            <w:tcW w:w="774" w:type="dxa"/>
            <w:vAlign w:val="center"/>
            <w:hideMark/>
          </w:tcPr>
          <w:p w14:paraId="59E0D0B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w:t>
            </w:r>
          </w:p>
        </w:tc>
        <w:tc>
          <w:tcPr>
            <w:tcW w:w="2307" w:type="dxa"/>
            <w:vAlign w:val="center"/>
          </w:tcPr>
          <w:p w14:paraId="20B413E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376CAF2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126.0</w:t>
            </w:r>
          </w:p>
        </w:tc>
        <w:tc>
          <w:tcPr>
            <w:tcW w:w="867" w:type="dxa"/>
            <w:vAlign w:val="center"/>
          </w:tcPr>
          <w:p w14:paraId="5F885F6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124.4</w:t>
            </w:r>
          </w:p>
        </w:tc>
        <w:tc>
          <w:tcPr>
            <w:tcW w:w="2764" w:type="dxa"/>
            <w:vAlign w:val="center"/>
          </w:tcPr>
          <w:p w14:paraId="0DC001E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1A14CEF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2B546C0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42EAE8F3" w14:textId="77777777" w:rsidTr="007A051F">
        <w:trPr>
          <w:jc w:val="center"/>
        </w:trPr>
        <w:tc>
          <w:tcPr>
            <w:tcW w:w="774" w:type="dxa"/>
            <w:vAlign w:val="center"/>
            <w:hideMark/>
          </w:tcPr>
          <w:p w14:paraId="57294EE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w:t>
            </w:r>
          </w:p>
        </w:tc>
        <w:tc>
          <w:tcPr>
            <w:tcW w:w="2307" w:type="dxa"/>
            <w:vAlign w:val="center"/>
          </w:tcPr>
          <w:p w14:paraId="66C59BC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45F7398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112.0</w:t>
            </w:r>
          </w:p>
        </w:tc>
        <w:tc>
          <w:tcPr>
            <w:tcW w:w="867" w:type="dxa"/>
            <w:vAlign w:val="center"/>
          </w:tcPr>
          <w:p w14:paraId="3865D38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110.5</w:t>
            </w:r>
          </w:p>
        </w:tc>
        <w:tc>
          <w:tcPr>
            <w:tcW w:w="2764" w:type="dxa"/>
            <w:vAlign w:val="center"/>
          </w:tcPr>
          <w:p w14:paraId="35705DF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32D2E0D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5F07A25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31A55E7B" w14:textId="77777777" w:rsidTr="007A051F">
        <w:trPr>
          <w:jc w:val="center"/>
        </w:trPr>
        <w:tc>
          <w:tcPr>
            <w:tcW w:w="774" w:type="dxa"/>
            <w:vAlign w:val="center"/>
            <w:hideMark/>
          </w:tcPr>
          <w:p w14:paraId="48F77ED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14</w:t>
            </w:r>
          </w:p>
        </w:tc>
        <w:tc>
          <w:tcPr>
            <w:tcW w:w="2307" w:type="dxa"/>
            <w:vAlign w:val="center"/>
          </w:tcPr>
          <w:p w14:paraId="59CA637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w:t>
            </w:r>
          </w:p>
        </w:tc>
        <w:tc>
          <w:tcPr>
            <w:tcW w:w="817" w:type="dxa"/>
            <w:vAlign w:val="center"/>
          </w:tcPr>
          <w:p w14:paraId="44567FC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133.7</w:t>
            </w:r>
          </w:p>
        </w:tc>
        <w:tc>
          <w:tcPr>
            <w:tcW w:w="867" w:type="dxa"/>
            <w:vAlign w:val="center"/>
          </w:tcPr>
          <w:p w14:paraId="4570F44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131.9</w:t>
            </w:r>
          </w:p>
        </w:tc>
        <w:tc>
          <w:tcPr>
            <w:tcW w:w="2764" w:type="dxa"/>
            <w:vAlign w:val="center"/>
          </w:tcPr>
          <w:p w14:paraId="1958DCE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011E725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08153BD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6C508609" w14:textId="77777777" w:rsidTr="007A051F">
        <w:trPr>
          <w:jc w:val="center"/>
        </w:trPr>
        <w:tc>
          <w:tcPr>
            <w:tcW w:w="774" w:type="dxa"/>
            <w:vAlign w:val="center"/>
            <w:hideMark/>
          </w:tcPr>
          <w:p w14:paraId="30265C9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2-Me</w:t>
            </w:r>
          </w:p>
        </w:tc>
        <w:tc>
          <w:tcPr>
            <w:tcW w:w="2307" w:type="dxa"/>
            <w:vAlign w:val="center"/>
          </w:tcPr>
          <w:p w14:paraId="4ABA6B5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2.18 (3H, s)</w:t>
            </w:r>
          </w:p>
        </w:tc>
        <w:tc>
          <w:tcPr>
            <w:tcW w:w="817" w:type="dxa"/>
            <w:vAlign w:val="center"/>
          </w:tcPr>
          <w:p w14:paraId="6CB4314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8.6</w:t>
            </w:r>
          </w:p>
        </w:tc>
        <w:tc>
          <w:tcPr>
            <w:tcW w:w="867" w:type="dxa"/>
            <w:vAlign w:val="center"/>
          </w:tcPr>
          <w:p w14:paraId="57D30B9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val="en" w:eastAsia="ja-JP"/>
              </w:rPr>
            </w:pPr>
            <w:r w:rsidRPr="005E6B7C">
              <w:rPr>
                <w:rFonts w:asciiTheme="majorHAnsi" w:eastAsia="Times New Roman" w:hAnsiTheme="majorHAnsi" w:cstheme="majorHAnsi"/>
                <w:color w:val="000000" w:themeColor="text1"/>
                <w:sz w:val="18"/>
                <w:szCs w:val="18"/>
                <w:lang w:eastAsia="ja-JP"/>
              </w:rPr>
              <w:t>8.3</w:t>
            </w:r>
          </w:p>
        </w:tc>
        <w:tc>
          <w:tcPr>
            <w:tcW w:w="2764" w:type="dxa"/>
            <w:vAlign w:val="center"/>
          </w:tcPr>
          <w:p w14:paraId="5671876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726" w:type="dxa"/>
            <w:vAlign w:val="center"/>
          </w:tcPr>
          <w:p w14:paraId="5C65A1C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17" w:type="dxa"/>
            <w:vAlign w:val="center"/>
          </w:tcPr>
          <w:p w14:paraId="41FB9A0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r>
      <w:tr w:rsidR="00E049CB" w:rsidRPr="005E6B7C" w14:paraId="3FCDC666" w14:textId="77777777" w:rsidTr="007A051F">
        <w:trPr>
          <w:jc w:val="center"/>
        </w:trPr>
        <w:tc>
          <w:tcPr>
            <w:tcW w:w="774" w:type="dxa"/>
            <w:vAlign w:val="center"/>
          </w:tcPr>
          <w:p w14:paraId="6832E76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1ʹ</w:t>
            </w:r>
          </w:p>
        </w:tc>
        <w:tc>
          <w:tcPr>
            <w:tcW w:w="2307" w:type="dxa"/>
            <w:vAlign w:val="center"/>
          </w:tcPr>
          <w:p w14:paraId="03E4360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5.07 (1H, d, 7.2)</w:t>
            </w:r>
          </w:p>
        </w:tc>
        <w:tc>
          <w:tcPr>
            <w:tcW w:w="817" w:type="dxa"/>
            <w:vAlign w:val="center"/>
          </w:tcPr>
          <w:p w14:paraId="64FA968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101.6</w:t>
            </w:r>
          </w:p>
        </w:tc>
        <w:tc>
          <w:tcPr>
            <w:tcW w:w="867" w:type="dxa"/>
            <w:vAlign w:val="center"/>
          </w:tcPr>
          <w:p w14:paraId="7C6E3C1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100.3</w:t>
            </w:r>
          </w:p>
        </w:tc>
        <w:tc>
          <w:tcPr>
            <w:tcW w:w="2764" w:type="dxa"/>
            <w:vAlign w:val="center"/>
          </w:tcPr>
          <w:p w14:paraId="2C0355C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4.32 (1H, d, 7.5)</w:t>
            </w:r>
          </w:p>
        </w:tc>
        <w:tc>
          <w:tcPr>
            <w:tcW w:w="726" w:type="dxa"/>
            <w:vAlign w:val="center"/>
          </w:tcPr>
          <w:p w14:paraId="16FDB77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103.2</w:t>
            </w:r>
          </w:p>
        </w:tc>
        <w:tc>
          <w:tcPr>
            <w:tcW w:w="817" w:type="dxa"/>
            <w:vAlign w:val="center"/>
          </w:tcPr>
          <w:p w14:paraId="1E7313D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103.2</w:t>
            </w:r>
          </w:p>
        </w:tc>
      </w:tr>
      <w:tr w:rsidR="00E049CB" w:rsidRPr="005E6B7C" w14:paraId="672F7228" w14:textId="77777777" w:rsidTr="007A051F">
        <w:trPr>
          <w:jc w:val="center"/>
        </w:trPr>
        <w:tc>
          <w:tcPr>
            <w:tcW w:w="774" w:type="dxa"/>
            <w:vAlign w:val="center"/>
          </w:tcPr>
          <w:p w14:paraId="54410AF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2ʹ</w:t>
            </w:r>
          </w:p>
        </w:tc>
        <w:tc>
          <w:tcPr>
            <w:tcW w:w="2307" w:type="dxa"/>
            <w:vMerge w:val="restart"/>
            <w:vAlign w:val="center"/>
          </w:tcPr>
          <w:p w14:paraId="5E4EDD1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p w14:paraId="12843451"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3.37</w:t>
            </w:r>
            <w:r w:rsidRPr="005E6B7C">
              <w:rPr>
                <w:rFonts w:asciiTheme="majorHAnsi" w:eastAsia="Symbol"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3.47 (4H, m)</w:t>
            </w:r>
          </w:p>
        </w:tc>
        <w:tc>
          <w:tcPr>
            <w:tcW w:w="817" w:type="dxa"/>
            <w:vAlign w:val="center"/>
          </w:tcPr>
          <w:p w14:paraId="74D7B80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74.8</w:t>
            </w:r>
          </w:p>
        </w:tc>
        <w:tc>
          <w:tcPr>
            <w:tcW w:w="867" w:type="dxa"/>
            <w:vAlign w:val="center"/>
          </w:tcPr>
          <w:p w14:paraId="12BCC68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73.1</w:t>
            </w:r>
          </w:p>
        </w:tc>
        <w:tc>
          <w:tcPr>
            <w:tcW w:w="2764" w:type="dxa"/>
            <w:vAlign w:val="center"/>
          </w:tcPr>
          <w:p w14:paraId="6F181F6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3.19 (1H, m)</w:t>
            </w:r>
          </w:p>
        </w:tc>
        <w:tc>
          <w:tcPr>
            <w:tcW w:w="726" w:type="dxa"/>
            <w:vAlign w:val="center"/>
          </w:tcPr>
          <w:p w14:paraId="0B79726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75.3</w:t>
            </w:r>
          </w:p>
        </w:tc>
        <w:tc>
          <w:tcPr>
            <w:tcW w:w="817" w:type="dxa"/>
            <w:vAlign w:val="center"/>
          </w:tcPr>
          <w:p w14:paraId="4D26DE6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75.3</w:t>
            </w:r>
          </w:p>
        </w:tc>
      </w:tr>
      <w:tr w:rsidR="00E049CB" w:rsidRPr="005E6B7C" w14:paraId="5A551DBD" w14:textId="77777777" w:rsidTr="007A051F">
        <w:trPr>
          <w:jc w:val="center"/>
        </w:trPr>
        <w:tc>
          <w:tcPr>
            <w:tcW w:w="774" w:type="dxa"/>
            <w:vAlign w:val="center"/>
          </w:tcPr>
          <w:p w14:paraId="223B46B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3ʹ</w:t>
            </w:r>
          </w:p>
        </w:tc>
        <w:tc>
          <w:tcPr>
            <w:tcW w:w="2307" w:type="dxa"/>
            <w:vMerge/>
            <w:vAlign w:val="center"/>
          </w:tcPr>
          <w:p w14:paraId="5714C0A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7" w:type="dxa"/>
            <w:vAlign w:val="center"/>
          </w:tcPr>
          <w:p w14:paraId="5230CA1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78.1</w:t>
            </w:r>
          </w:p>
        </w:tc>
        <w:tc>
          <w:tcPr>
            <w:tcW w:w="867" w:type="dxa"/>
            <w:vAlign w:val="center"/>
          </w:tcPr>
          <w:p w14:paraId="34C6EB3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76.2</w:t>
            </w:r>
          </w:p>
        </w:tc>
        <w:tc>
          <w:tcPr>
            <w:tcW w:w="2764" w:type="dxa"/>
            <w:vAlign w:val="center"/>
          </w:tcPr>
          <w:p w14:paraId="4E3A82A8"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3.32 (1H, m)</w:t>
            </w:r>
          </w:p>
        </w:tc>
        <w:tc>
          <w:tcPr>
            <w:tcW w:w="726" w:type="dxa"/>
            <w:vAlign w:val="center"/>
          </w:tcPr>
          <w:p w14:paraId="35B3538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78.2</w:t>
            </w:r>
          </w:p>
        </w:tc>
        <w:tc>
          <w:tcPr>
            <w:tcW w:w="817" w:type="dxa"/>
            <w:vAlign w:val="center"/>
          </w:tcPr>
          <w:p w14:paraId="3B983C7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78.2</w:t>
            </w:r>
          </w:p>
        </w:tc>
      </w:tr>
      <w:tr w:rsidR="00E049CB" w:rsidRPr="005E6B7C" w14:paraId="1EB6FD34" w14:textId="77777777" w:rsidTr="007A051F">
        <w:trPr>
          <w:jc w:val="center"/>
        </w:trPr>
        <w:tc>
          <w:tcPr>
            <w:tcW w:w="774" w:type="dxa"/>
            <w:vAlign w:val="center"/>
          </w:tcPr>
          <w:p w14:paraId="0E62BA7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4ʹ</w:t>
            </w:r>
          </w:p>
        </w:tc>
        <w:tc>
          <w:tcPr>
            <w:tcW w:w="2307" w:type="dxa"/>
            <w:vMerge/>
            <w:vAlign w:val="center"/>
          </w:tcPr>
          <w:p w14:paraId="7C9778A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7" w:type="dxa"/>
            <w:vAlign w:val="center"/>
          </w:tcPr>
          <w:p w14:paraId="59FBDB2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71.1</w:t>
            </w:r>
          </w:p>
        </w:tc>
        <w:tc>
          <w:tcPr>
            <w:tcW w:w="867" w:type="dxa"/>
            <w:vAlign w:val="center"/>
          </w:tcPr>
          <w:p w14:paraId="2E13748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69.3</w:t>
            </w:r>
          </w:p>
        </w:tc>
        <w:tc>
          <w:tcPr>
            <w:tcW w:w="2764" w:type="dxa"/>
            <w:vAlign w:val="center"/>
          </w:tcPr>
          <w:p w14:paraId="3B6B626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3.29 (1H, m)</w:t>
            </w:r>
          </w:p>
        </w:tc>
        <w:tc>
          <w:tcPr>
            <w:tcW w:w="726" w:type="dxa"/>
            <w:vAlign w:val="center"/>
          </w:tcPr>
          <w:p w14:paraId="21ABA63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71.7</w:t>
            </w:r>
          </w:p>
        </w:tc>
        <w:tc>
          <w:tcPr>
            <w:tcW w:w="817" w:type="dxa"/>
            <w:vAlign w:val="center"/>
          </w:tcPr>
          <w:p w14:paraId="51149C2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71.6</w:t>
            </w:r>
          </w:p>
        </w:tc>
      </w:tr>
      <w:tr w:rsidR="00E049CB" w:rsidRPr="005E6B7C" w14:paraId="3D8FEB2A" w14:textId="77777777" w:rsidTr="007A051F">
        <w:trPr>
          <w:jc w:val="center"/>
        </w:trPr>
        <w:tc>
          <w:tcPr>
            <w:tcW w:w="774" w:type="dxa"/>
            <w:vAlign w:val="center"/>
          </w:tcPr>
          <w:p w14:paraId="6D1C6B7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5ʹ</w:t>
            </w:r>
          </w:p>
        </w:tc>
        <w:tc>
          <w:tcPr>
            <w:tcW w:w="2307" w:type="dxa"/>
            <w:vMerge/>
            <w:vAlign w:val="center"/>
          </w:tcPr>
          <w:p w14:paraId="76546BB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817" w:type="dxa"/>
            <w:vAlign w:val="center"/>
          </w:tcPr>
          <w:p w14:paraId="1FB4DBB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78.3</w:t>
            </w:r>
          </w:p>
        </w:tc>
        <w:tc>
          <w:tcPr>
            <w:tcW w:w="867" w:type="dxa"/>
            <w:vAlign w:val="center"/>
          </w:tcPr>
          <w:p w14:paraId="785ECB8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72.2</w:t>
            </w:r>
          </w:p>
        </w:tc>
        <w:tc>
          <w:tcPr>
            <w:tcW w:w="2764" w:type="dxa"/>
            <w:vAlign w:val="center"/>
          </w:tcPr>
          <w:p w14:paraId="67B3137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3.19 (1H, m)</w:t>
            </w:r>
          </w:p>
        </w:tc>
        <w:tc>
          <w:tcPr>
            <w:tcW w:w="726" w:type="dxa"/>
            <w:vAlign w:val="center"/>
          </w:tcPr>
          <w:p w14:paraId="5BFFC8F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77.8</w:t>
            </w:r>
          </w:p>
        </w:tc>
        <w:tc>
          <w:tcPr>
            <w:tcW w:w="817" w:type="dxa"/>
            <w:vAlign w:val="center"/>
          </w:tcPr>
          <w:p w14:paraId="7ECDF07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77.8</w:t>
            </w:r>
          </w:p>
        </w:tc>
      </w:tr>
      <w:tr w:rsidR="00E049CB" w:rsidRPr="005E6B7C" w14:paraId="12366B6A" w14:textId="77777777" w:rsidTr="007A051F">
        <w:trPr>
          <w:jc w:val="center"/>
        </w:trPr>
        <w:tc>
          <w:tcPr>
            <w:tcW w:w="774" w:type="dxa"/>
            <w:vAlign w:val="center"/>
          </w:tcPr>
          <w:p w14:paraId="553D788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6ʹ</w:t>
            </w:r>
          </w:p>
        </w:tc>
        <w:tc>
          <w:tcPr>
            <w:tcW w:w="2307" w:type="dxa"/>
            <w:vAlign w:val="center"/>
          </w:tcPr>
          <w:p w14:paraId="3246D8A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3.82 (1H, dd, 12.0, 2.4)</w:t>
            </w:r>
          </w:p>
          <w:p w14:paraId="62F3065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3.67 (1H, dd, 12.0, 6.0)</w:t>
            </w:r>
          </w:p>
        </w:tc>
        <w:tc>
          <w:tcPr>
            <w:tcW w:w="817" w:type="dxa"/>
            <w:vAlign w:val="center"/>
          </w:tcPr>
          <w:p w14:paraId="204718D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62.3</w:t>
            </w:r>
          </w:p>
        </w:tc>
        <w:tc>
          <w:tcPr>
            <w:tcW w:w="867" w:type="dxa"/>
            <w:vAlign w:val="center"/>
          </w:tcPr>
          <w:p w14:paraId="6291A74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60.4</w:t>
            </w:r>
          </w:p>
        </w:tc>
        <w:tc>
          <w:tcPr>
            <w:tcW w:w="2764" w:type="dxa"/>
            <w:vAlign w:val="center"/>
          </w:tcPr>
          <w:p w14:paraId="08CB5C9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3.80 (1H, dd, 12.0, 2.4)</w:t>
            </w:r>
          </w:p>
          <w:p w14:paraId="7CAAA6E6"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3.65 (1H, dd, 12.0, 6.0)</w:t>
            </w:r>
          </w:p>
        </w:tc>
        <w:tc>
          <w:tcPr>
            <w:tcW w:w="726" w:type="dxa"/>
            <w:vAlign w:val="center"/>
          </w:tcPr>
          <w:p w14:paraId="39D1B44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62.8</w:t>
            </w:r>
          </w:p>
        </w:tc>
        <w:tc>
          <w:tcPr>
            <w:tcW w:w="817" w:type="dxa"/>
            <w:vAlign w:val="center"/>
          </w:tcPr>
          <w:p w14:paraId="3CFEB36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62.8</w:t>
            </w:r>
          </w:p>
        </w:tc>
      </w:tr>
    </w:tbl>
    <w:p w14:paraId="4CC37CED" w14:textId="77777777" w:rsidR="00E049CB" w:rsidRPr="005E6B7C" w:rsidRDefault="00E049CB" w:rsidP="008C0D47">
      <w:pPr>
        <w:tabs>
          <w:tab w:val="left" w:pos="9270"/>
        </w:tabs>
        <w:spacing w:before="120"/>
        <w:ind w:right="-20" w:firstLine="284"/>
        <w:jc w:val="both"/>
        <w:rPr>
          <w:rFonts w:asciiTheme="majorHAnsi" w:eastAsia="Yu Mincho" w:hAnsiTheme="majorHAnsi" w:cstheme="majorHAnsi"/>
          <w:i/>
          <w:iCs/>
          <w:color w:val="000000" w:themeColor="text1"/>
          <w:sz w:val="18"/>
          <w:szCs w:val="18"/>
          <w:lang w:val="pt-BR" w:eastAsia="ja-JP"/>
        </w:rPr>
      </w:pPr>
      <w:r w:rsidRPr="005E6B7C">
        <w:rPr>
          <w:rFonts w:asciiTheme="majorHAnsi" w:eastAsia="Calibri" w:hAnsiTheme="majorHAnsi" w:cstheme="majorHAnsi"/>
          <w:bCs/>
          <w:i/>
          <w:iCs/>
          <w:color w:val="000000" w:themeColor="text1"/>
          <w:sz w:val="18"/>
          <w:szCs w:val="18"/>
          <w:vertAlign w:val="superscript"/>
          <w:lang w:val="pt-BR" w:eastAsia="fr-FR"/>
        </w:rPr>
        <w:t xml:space="preserve">a: </w:t>
      </w:r>
      <w:r w:rsidRPr="005E6B7C">
        <w:rPr>
          <w:rFonts w:asciiTheme="majorHAnsi" w:eastAsia="Calibri" w:hAnsiTheme="majorHAnsi" w:cstheme="majorHAnsi"/>
          <w:bCs/>
          <w:i/>
          <w:iCs/>
          <w:color w:val="000000" w:themeColor="text1"/>
          <w:sz w:val="18"/>
          <w:szCs w:val="18"/>
          <w:lang w:val="pt-BR" w:eastAsia="fr-FR"/>
        </w:rPr>
        <w:t>CDCl</w:t>
      </w:r>
      <w:r w:rsidRPr="005E6B7C">
        <w:rPr>
          <w:rFonts w:asciiTheme="majorHAnsi" w:eastAsia="Calibri" w:hAnsiTheme="majorHAnsi" w:cstheme="majorHAnsi"/>
          <w:bCs/>
          <w:i/>
          <w:iCs/>
          <w:color w:val="000000" w:themeColor="text1"/>
          <w:sz w:val="18"/>
          <w:szCs w:val="18"/>
          <w:vertAlign w:val="subscript"/>
          <w:lang w:val="pt-BR" w:eastAsia="fr-FR"/>
        </w:rPr>
        <w:t>3</w:t>
      </w:r>
      <w:r w:rsidRPr="005E6B7C">
        <w:rPr>
          <w:rFonts w:asciiTheme="majorHAnsi" w:eastAsia="Calibri" w:hAnsiTheme="majorHAnsi" w:cstheme="majorHAnsi"/>
          <w:bCs/>
          <w:i/>
          <w:iCs/>
          <w:color w:val="000000" w:themeColor="text1"/>
          <w:sz w:val="18"/>
          <w:szCs w:val="18"/>
          <w:lang w:val="pt-BR" w:eastAsia="fr-FR"/>
        </w:rPr>
        <w:t xml:space="preserve">, </w:t>
      </w:r>
      <w:r w:rsidRPr="005E6B7C">
        <w:rPr>
          <w:rFonts w:asciiTheme="majorHAnsi" w:eastAsia="Calibri" w:hAnsiTheme="majorHAnsi" w:cstheme="majorHAnsi"/>
          <w:bCs/>
          <w:i/>
          <w:iCs/>
          <w:color w:val="000000" w:themeColor="text1"/>
          <w:sz w:val="18"/>
          <w:szCs w:val="18"/>
          <w:vertAlign w:val="superscript"/>
          <w:lang w:val="pt-BR" w:eastAsia="fr-FR"/>
        </w:rPr>
        <w:t xml:space="preserve">b: </w:t>
      </w:r>
      <w:r w:rsidRPr="005E6B7C">
        <w:rPr>
          <w:rFonts w:asciiTheme="majorHAnsi" w:eastAsia="Calibri" w:hAnsiTheme="majorHAnsi" w:cstheme="majorHAnsi"/>
          <w:bCs/>
          <w:i/>
          <w:iCs/>
          <w:color w:val="000000" w:themeColor="text1"/>
          <w:sz w:val="18"/>
          <w:szCs w:val="18"/>
          <w:lang w:val="pt-BR" w:eastAsia="fr-FR"/>
        </w:rPr>
        <w:t xml:space="preserve">600 MHz, </w:t>
      </w:r>
      <w:r w:rsidRPr="005E6B7C">
        <w:rPr>
          <w:rFonts w:asciiTheme="majorHAnsi" w:eastAsia="Calibri" w:hAnsiTheme="majorHAnsi" w:cstheme="majorHAnsi"/>
          <w:bCs/>
          <w:i/>
          <w:iCs/>
          <w:color w:val="000000" w:themeColor="text1"/>
          <w:sz w:val="18"/>
          <w:szCs w:val="18"/>
          <w:vertAlign w:val="superscript"/>
          <w:lang w:val="pt-BR" w:eastAsia="fr-FR"/>
        </w:rPr>
        <w:t>c:</w:t>
      </w:r>
      <w:r w:rsidRPr="005E6B7C">
        <w:rPr>
          <w:rFonts w:asciiTheme="majorHAnsi" w:eastAsia="Calibri" w:hAnsiTheme="majorHAnsi" w:cstheme="majorHAnsi"/>
          <w:bCs/>
          <w:i/>
          <w:iCs/>
          <w:color w:val="000000" w:themeColor="text1"/>
          <w:sz w:val="18"/>
          <w:szCs w:val="18"/>
          <w:lang w:val="pt-BR" w:eastAsia="fr-FR"/>
        </w:rPr>
        <w:t xml:space="preserve">125 MHz, </w:t>
      </w:r>
      <w:r w:rsidRPr="005E6B7C">
        <w:rPr>
          <w:rFonts w:asciiTheme="majorHAnsi" w:eastAsia="Calibri" w:hAnsiTheme="majorHAnsi" w:cstheme="majorHAnsi"/>
          <w:bCs/>
          <w:i/>
          <w:iCs/>
          <w:color w:val="000000" w:themeColor="text1"/>
          <w:sz w:val="18"/>
          <w:szCs w:val="18"/>
          <w:vertAlign w:val="superscript"/>
          <w:lang w:val="pt-BR" w:eastAsia="fr-FR"/>
        </w:rPr>
        <w:t>d:</w:t>
      </w:r>
      <w:r w:rsidRPr="005E6B7C">
        <w:rPr>
          <w:rFonts w:asciiTheme="majorHAnsi" w:eastAsia="Calibri" w:hAnsiTheme="majorHAnsi" w:cstheme="majorHAnsi"/>
          <w:bCs/>
          <w:i/>
          <w:iCs/>
          <w:color w:val="000000" w:themeColor="text1"/>
          <w:sz w:val="18"/>
          <w:szCs w:val="18"/>
          <w:lang w:val="pt-BR" w:eastAsia="fr-FR"/>
        </w:rPr>
        <w:t xml:space="preserve"> 100 MHz</w:t>
      </w:r>
      <w:r w:rsidR="00ED2775" w:rsidRPr="005E6B7C">
        <w:rPr>
          <w:rFonts w:asciiTheme="majorHAnsi" w:eastAsia="Calibri" w:hAnsiTheme="majorHAnsi" w:cstheme="majorHAnsi"/>
          <w:bCs/>
          <w:i/>
          <w:iCs/>
          <w:color w:val="000000" w:themeColor="text1"/>
          <w:sz w:val="18"/>
          <w:szCs w:val="18"/>
          <w:lang w:val="pt-BR" w:eastAsia="fr-FR"/>
        </w:rPr>
        <w:t>.</w:t>
      </w:r>
    </w:p>
    <w:p w14:paraId="029C6B84"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val="pt-BR" w:eastAsia="ja-JP"/>
        </w:rPr>
      </w:pPr>
    </w:p>
    <w:p w14:paraId="45D54B25" w14:textId="77777777" w:rsidR="00207C22" w:rsidRPr="005E6B7C" w:rsidRDefault="00207C22" w:rsidP="008C0D47">
      <w:pPr>
        <w:tabs>
          <w:tab w:val="left" w:pos="9270"/>
        </w:tabs>
        <w:spacing w:line="264" w:lineRule="exact"/>
        <w:ind w:firstLine="284"/>
        <w:jc w:val="both"/>
        <w:rPr>
          <w:rFonts w:asciiTheme="majorHAnsi" w:eastAsia="Yu Mincho" w:hAnsiTheme="majorHAnsi" w:cstheme="majorHAnsi"/>
          <w:color w:val="000000" w:themeColor="text1"/>
          <w:sz w:val="22"/>
          <w:szCs w:val="22"/>
          <w:lang w:val="pt-BR" w:eastAsia="ja-JP"/>
        </w:rPr>
        <w:sectPr w:rsidR="00207C22" w:rsidRPr="005E6B7C" w:rsidSect="002206BB">
          <w:type w:val="continuous"/>
          <w:pgSz w:w="10773" w:h="15309" w:code="9"/>
          <w:pgMar w:top="907" w:right="851" w:bottom="1418" w:left="851" w:header="397" w:footer="851" w:gutter="0"/>
          <w:cols w:space="284"/>
          <w:docGrid w:linePitch="360"/>
        </w:sectPr>
      </w:pPr>
    </w:p>
    <w:p w14:paraId="22B09A05" w14:textId="77777777" w:rsidR="00E049CB" w:rsidRPr="005E6B7C" w:rsidRDefault="00E049CB" w:rsidP="008C0D47">
      <w:pPr>
        <w:tabs>
          <w:tab w:val="left" w:pos="9270"/>
        </w:tabs>
        <w:spacing w:line="264"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Compound </w:t>
      </w:r>
      <w:r w:rsidRPr="005E6B7C">
        <w:rPr>
          <w:rFonts w:asciiTheme="majorHAnsi" w:eastAsia="Yu Mincho" w:hAnsiTheme="majorHAnsi" w:cstheme="majorHAnsi"/>
          <w:b/>
          <w:bCs/>
          <w:color w:val="000000" w:themeColor="text1"/>
          <w:spacing w:val="-2"/>
          <w:sz w:val="22"/>
          <w:szCs w:val="22"/>
          <w:lang w:eastAsia="ja-JP"/>
        </w:rPr>
        <w:t>4</w:t>
      </w:r>
      <w:r w:rsidRPr="005E6B7C">
        <w:rPr>
          <w:rFonts w:asciiTheme="majorHAnsi" w:eastAsia="Yu Mincho" w:hAnsiTheme="majorHAnsi" w:cstheme="majorHAnsi"/>
          <w:color w:val="000000" w:themeColor="text1"/>
          <w:spacing w:val="-2"/>
          <w:sz w:val="22"/>
          <w:szCs w:val="22"/>
          <w:lang w:eastAsia="ja-JP"/>
        </w:rPr>
        <w:t xml:space="preserve">  was isolated as a yellow solid. The </w:t>
      </w:r>
      <w:r w:rsidRPr="005E6B7C">
        <w:rPr>
          <w:rFonts w:asciiTheme="majorHAnsi" w:eastAsia="Yu Mincho" w:hAnsiTheme="majorHAnsi" w:cstheme="majorHAnsi"/>
          <w:color w:val="000000" w:themeColor="text1"/>
          <w:spacing w:val="-2"/>
          <w:sz w:val="22"/>
          <w:szCs w:val="22"/>
          <w:vertAlign w:val="superscript"/>
          <w:lang w:eastAsia="ja-JP"/>
        </w:rPr>
        <w:t>1</w:t>
      </w:r>
      <w:r w:rsidRPr="005E6B7C">
        <w:rPr>
          <w:rFonts w:asciiTheme="majorHAnsi" w:eastAsia="Yu Mincho" w:hAnsiTheme="majorHAnsi" w:cstheme="majorHAnsi"/>
          <w:color w:val="000000" w:themeColor="text1"/>
          <w:spacing w:val="-2"/>
          <w:sz w:val="22"/>
          <w:szCs w:val="22"/>
          <w:lang w:eastAsia="ja-JP"/>
        </w:rPr>
        <w:t xml:space="preserve">H-NMR spectrum of </w:t>
      </w:r>
      <w:r w:rsidRPr="005E6B7C">
        <w:rPr>
          <w:rFonts w:asciiTheme="majorHAnsi" w:eastAsia="Yu Mincho" w:hAnsiTheme="majorHAnsi" w:cstheme="majorHAnsi"/>
          <w:b/>
          <w:bCs/>
          <w:color w:val="000000" w:themeColor="text1"/>
          <w:spacing w:val="-2"/>
          <w:sz w:val="22"/>
          <w:szCs w:val="22"/>
          <w:lang w:eastAsia="ja-JP"/>
        </w:rPr>
        <w:t>4</w:t>
      </w:r>
      <w:r w:rsidRPr="005E6B7C">
        <w:rPr>
          <w:rFonts w:asciiTheme="majorHAnsi" w:eastAsia="Yu Mincho" w:hAnsiTheme="majorHAnsi" w:cstheme="majorHAnsi"/>
          <w:color w:val="000000" w:themeColor="text1"/>
          <w:spacing w:val="-2"/>
          <w:sz w:val="22"/>
          <w:szCs w:val="22"/>
          <w:lang w:eastAsia="ja-JP"/>
        </w:rPr>
        <w:t xml:space="preserve"> shows signals of allyl group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Times New Roman" w:hAnsiTheme="majorHAnsi" w:cstheme="majorHAnsi"/>
          <w:color w:val="000000" w:themeColor="text1"/>
          <w:spacing w:val="-2"/>
          <w:sz w:val="22"/>
          <w:szCs w:val="22"/>
          <w:lang w:eastAsia="ja-JP"/>
        </w:rPr>
        <w:t>5</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 xml:space="preserve">19 (1H, d,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16.5 Hz, H-1a</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Times New Roman" w:hAnsiTheme="majorHAnsi" w:cstheme="majorHAnsi"/>
          <w:color w:val="000000" w:themeColor="text1"/>
          <w:spacing w:val="-2"/>
          <w:sz w:val="22"/>
          <w:szCs w:val="22"/>
          <w:lang w:eastAsia="ja-JP"/>
        </w:rPr>
        <w:t>5</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 xml:space="preserve">08 (1H, d,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11.0 Hz, H-1b</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Times New Roman" w:hAnsiTheme="majorHAnsi" w:cstheme="majorHAnsi"/>
          <w:color w:val="000000" w:themeColor="text1"/>
          <w:spacing w:val="-2"/>
          <w:sz w:val="22"/>
          <w:szCs w:val="22"/>
          <w:lang w:eastAsia="ja-JP"/>
        </w:rPr>
        <w:t>5</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 xml:space="preserve">87 (1H, ddd,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w:t>
      </w:r>
      <w:r w:rsidRPr="005E6B7C">
        <w:rPr>
          <w:rFonts w:asciiTheme="majorHAnsi" w:eastAsia="Times New Roman" w:hAnsiTheme="majorHAnsi" w:cstheme="majorHAnsi"/>
          <w:color w:val="000000" w:themeColor="text1"/>
          <w:spacing w:val="-2"/>
          <w:sz w:val="22"/>
          <w:szCs w:val="22"/>
          <w:lang w:eastAsia="ja-JP"/>
        </w:rPr>
        <w:t>16.5, 11.0, 7.0</w:t>
      </w:r>
      <w:r w:rsidRPr="005E6B7C">
        <w:rPr>
          <w:rFonts w:asciiTheme="majorHAnsi" w:eastAsia="Yu Mincho" w:hAnsiTheme="majorHAnsi" w:cstheme="majorHAnsi"/>
          <w:color w:val="000000" w:themeColor="text1"/>
          <w:spacing w:val="-2"/>
          <w:sz w:val="22"/>
          <w:szCs w:val="22"/>
          <w:lang w:eastAsia="ja-JP"/>
        </w:rPr>
        <w:t xml:space="preserve"> Hz, H-2</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an oxymethine group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Times New Roman" w:hAnsiTheme="majorHAnsi" w:cstheme="majorHAnsi"/>
          <w:color w:val="000000" w:themeColor="text1"/>
          <w:spacing w:val="-2"/>
          <w:sz w:val="22"/>
          <w:szCs w:val="22"/>
          <w:lang w:eastAsia="ja-JP"/>
        </w:rPr>
        <w:t xml:space="preserve"> 4</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 xml:space="preserve">12 (1H, q,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w:t>
      </w:r>
      <w:r w:rsidRPr="005E6B7C">
        <w:rPr>
          <w:rFonts w:asciiTheme="majorHAnsi" w:eastAsia="Times New Roman" w:hAnsiTheme="majorHAnsi" w:cstheme="majorHAnsi"/>
          <w:color w:val="000000" w:themeColor="text1"/>
          <w:spacing w:val="-2"/>
          <w:sz w:val="22"/>
          <w:szCs w:val="22"/>
          <w:lang w:eastAsia="ja-JP"/>
        </w:rPr>
        <w:t>7</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0</w:t>
      </w:r>
      <w:r w:rsidRPr="005E6B7C">
        <w:rPr>
          <w:rFonts w:asciiTheme="majorHAnsi" w:eastAsia="Yu Mincho" w:hAnsiTheme="majorHAnsi" w:cstheme="majorHAnsi"/>
          <w:color w:val="000000" w:themeColor="text1"/>
          <w:spacing w:val="-2"/>
          <w:sz w:val="22"/>
          <w:szCs w:val="22"/>
          <w:lang w:eastAsia="ja-JP"/>
        </w:rPr>
        <w:t xml:space="preserve"> Hz, H-3</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4 methylene groups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1.68-1.52 (2H, m, H-4), 1.40-1.29 (6H, m, H-5, H-6, H-7), and a methyl group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Times New Roman" w:hAnsiTheme="majorHAnsi" w:cstheme="majorHAnsi"/>
          <w:color w:val="000000" w:themeColor="text1"/>
          <w:spacing w:val="-2"/>
          <w:sz w:val="22"/>
          <w:szCs w:val="22"/>
          <w:lang w:eastAsia="ja-JP"/>
        </w:rPr>
        <w:t xml:space="preserve"> 0.90 (3H, t,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w:t>
      </w:r>
      <w:r w:rsidRPr="005E6B7C">
        <w:rPr>
          <w:rFonts w:asciiTheme="majorHAnsi" w:eastAsia="Times New Roman" w:hAnsiTheme="majorHAnsi" w:cstheme="majorHAnsi"/>
          <w:color w:val="000000" w:themeColor="text1"/>
          <w:spacing w:val="-2"/>
          <w:sz w:val="22"/>
          <w:szCs w:val="22"/>
          <w:lang w:eastAsia="ja-JP"/>
        </w:rPr>
        <w:t>7</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0 Hz)</w:t>
      </w:r>
      <w:r w:rsidRPr="005E6B7C">
        <w:rPr>
          <w:rFonts w:asciiTheme="majorHAnsi" w:eastAsia="Yu Mincho" w:hAnsiTheme="majorHAnsi" w:cstheme="majorHAnsi"/>
          <w:color w:val="000000" w:themeColor="text1"/>
          <w:spacing w:val="-2"/>
          <w:sz w:val="22"/>
          <w:szCs w:val="22"/>
          <w:lang w:eastAsia="ja-JP"/>
        </w:rPr>
        <w:t xml:space="preserve">. In addition, a </w:t>
      </w:r>
      <w:r w:rsidRPr="005E6B7C">
        <w:rPr>
          <w:rFonts w:asciiTheme="majorHAnsi" w:eastAsia="Times New Roman" w:hAnsiTheme="majorHAnsi" w:cstheme="majorHAnsi"/>
          <w:i/>
          <w:color w:val="000000" w:themeColor="text1"/>
          <w:spacing w:val="-2"/>
          <w:sz w:val="22"/>
          <w:szCs w:val="22"/>
          <w:lang w:eastAsia="ja-JP"/>
        </w:rPr>
        <w:t>β</w:t>
      </w:r>
      <w:r w:rsidRPr="005E6B7C">
        <w:rPr>
          <w:rFonts w:asciiTheme="majorHAnsi" w:eastAsia="Times New Roman" w:hAnsiTheme="majorHAnsi" w:cstheme="majorHAnsi"/>
          <w:color w:val="000000" w:themeColor="text1"/>
          <w:spacing w:val="-2"/>
          <w:sz w:val="22"/>
          <w:szCs w:val="22"/>
          <w:lang w:eastAsia="ja-JP"/>
        </w:rPr>
        <w:t>-glucos</w:t>
      </w:r>
      <w:r w:rsidRPr="005E6B7C">
        <w:rPr>
          <w:rFonts w:asciiTheme="majorHAnsi" w:eastAsia="Yu Mincho" w:hAnsiTheme="majorHAnsi" w:cstheme="majorHAnsi"/>
          <w:color w:val="000000" w:themeColor="text1"/>
          <w:spacing w:val="-2"/>
          <w:sz w:val="22"/>
          <w:szCs w:val="22"/>
          <w:lang w:eastAsia="ja-JP"/>
        </w:rPr>
        <w:t xml:space="preserve">e moiety was observed with signals at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Times New Roman" w:hAnsiTheme="majorHAnsi" w:cstheme="majorHAnsi"/>
          <w:color w:val="000000" w:themeColor="text1"/>
          <w:spacing w:val="-2"/>
          <w:sz w:val="22"/>
          <w:szCs w:val="22"/>
          <w:lang w:eastAsia="ja-JP"/>
        </w:rPr>
        <w:t xml:space="preserve"> 4</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 xml:space="preserve">32 (1H, d, </w:t>
      </w:r>
      <w:r w:rsidRPr="005E6B7C">
        <w:rPr>
          <w:rFonts w:asciiTheme="majorHAnsi" w:eastAsia="Yu Mincho" w:hAnsiTheme="majorHAnsi" w:cstheme="majorHAnsi"/>
          <w:i/>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w:t>
      </w:r>
      <w:r w:rsidRPr="005E6B7C">
        <w:rPr>
          <w:rFonts w:asciiTheme="majorHAnsi" w:eastAsia="Times New Roman" w:hAnsiTheme="majorHAnsi" w:cstheme="majorHAnsi"/>
          <w:color w:val="000000" w:themeColor="text1"/>
          <w:spacing w:val="-2"/>
          <w:sz w:val="22"/>
          <w:szCs w:val="22"/>
          <w:lang w:eastAsia="ja-JP"/>
        </w:rPr>
        <w:t>7</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5 Hz</w:t>
      </w:r>
      <w:r w:rsidRPr="005E6B7C">
        <w:rPr>
          <w:rFonts w:asciiTheme="majorHAnsi" w:eastAsia="Yu Mincho" w:hAnsiTheme="majorHAnsi" w:cstheme="majorHAnsi"/>
          <w:color w:val="000000" w:themeColor="text1"/>
          <w:spacing w:val="-2"/>
          <w:sz w:val="22"/>
          <w:szCs w:val="22"/>
          <w:lang w:eastAsia="ja-JP"/>
        </w:rPr>
        <w:t>, H-1</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Yu Mincho" w:hAnsiTheme="majorHAnsi" w:cstheme="majorHAnsi"/>
          <w:color w:val="000000" w:themeColor="text1"/>
          <w:spacing w:val="-2"/>
          <w:sz w:val="22"/>
          <w:szCs w:val="22"/>
          <w:lang w:eastAsia="ja-JP"/>
        </w:rPr>
        <w:t xml:space="preserve">, 3.19-3.32 (4H, m, H-2, H-3, H-4, H-5), </w:t>
      </w:r>
      <w:r w:rsidRPr="005E6B7C">
        <w:rPr>
          <w:rFonts w:asciiTheme="majorHAnsi" w:eastAsia="Times New Roman" w:hAnsiTheme="majorHAnsi" w:cstheme="majorHAnsi"/>
          <w:color w:val="000000" w:themeColor="text1"/>
          <w:spacing w:val="-2"/>
          <w:sz w:val="22"/>
          <w:szCs w:val="22"/>
          <w:lang w:eastAsia="ja-JP"/>
        </w:rPr>
        <w:t xml:space="preserve">3.80 (1H, dd,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Times New Roman" w:hAnsiTheme="majorHAnsi" w:cstheme="majorHAnsi"/>
          <w:color w:val="000000" w:themeColor="text1"/>
          <w:spacing w:val="-2"/>
          <w:sz w:val="22"/>
          <w:szCs w:val="22"/>
          <w:lang w:eastAsia="ja-JP"/>
        </w:rPr>
        <w:t xml:space="preserve"> 12,0, 2.4 Hz, H-6a) and 3.65 (1H, dd, </w:t>
      </w:r>
      <w:r w:rsidRPr="005E6B7C">
        <w:rPr>
          <w:rFonts w:asciiTheme="majorHAnsi" w:eastAsia="Yu Mincho" w:hAnsiTheme="majorHAnsi" w:cstheme="majorHAnsi"/>
          <w:i/>
          <w:iCs/>
          <w:color w:val="000000" w:themeColor="text1"/>
          <w:spacing w:val="-2"/>
          <w:sz w:val="22"/>
          <w:szCs w:val="22"/>
          <w:lang w:eastAsia="ja-JP"/>
        </w:rPr>
        <w:t>J</w:t>
      </w:r>
      <w:r w:rsidRPr="005E6B7C">
        <w:rPr>
          <w:rFonts w:asciiTheme="majorHAnsi" w:eastAsia="Yu Mincho" w:hAnsiTheme="majorHAnsi" w:cstheme="majorHAnsi"/>
          <w:color w:val="000000" w:themeColor="text1"/>
          <w:spacing w:val="-2"/>
          <w:sz w:val="22"/>
          <w:szCs w:val="22"/>
          <w:lang w:eastAsia="ja-JP"/>
        </w:rPr>
        <w:t xml:space="preserve"> = </w:t>
      </w:r>
      <w:r w:rsidRPr="005E6B7C">
        <w:rPr>
          <w:rFonts w:asciiTheme="majorHAnsi" w:eastAsia="Times New Roman" w:hAnsiTheme="majorHAnsi" w:cstheme="majorHAnsi"/>
          <w:color w:val="000000" w:themeColor="text1"/>
          <w:spacing w:val="-2"/>
          <w:sz w:val="22"/>
          <w:szCs w:val="22"/>
          <w:lang w:eastAsia="ja-JP"/>
        </w:rPr>
        <w:t>12.0, 6.0 Hz, H-6b). The HMBC correlations of H-1ʹ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Times New Roman" w:hAnsiTheme="majorHAnsi" w:cstheme="majorHAnsi"/>
          <w:color w:val="000000" w:themeColor="text1"/>
          <w:spacing w:val="-2"/>
          <w:sz w:val="22"/>
          <w:szCs w:val="22"/>
          <w:lang w:eastAsia="ja-JP"/>
        </w:rPr>
        <w:t xml:space="preserve"> 4.32) and H-1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H</w:t>
      </w:r>
      <w:r w:rsidRPr="005E6B7C">
        <w:rPr>
          <w:rFonts w:asciiTheme="majorHAnsi" w:eastAsia="Yu Mincho" w:hAnsiTheme="majorHAnsi" w:cstheme="majorHAnsi"/>
          <w:color w:val="000000" w:themeColor="text1"/>
          <w:spacing w:val="-2"/>
          <w:sz w:val="22"/>
          <w:szCs w:val="22"/>
          <w:lang w:eastAsia="ja-JP"/>
        </w:rPr>
        <w:t xml:space="preserve"> </w:t>
      </w:r>
      <w:r w:rsidRPr="005E6B7C">
        <w:rPr>
          <w:rFonts w:asciiTheme="majorHAnsi" w:eastAsia="Times New Roman" w:hAnsiTheme="majorHAnsi" w:cstheme="majorHAnsi"/>
          <w:color w:val="000000" w:themeColor="text1"/>
          <w:spacing w:val="-2"/>
          <w:sz w:val="22"/>
          <w:szCs w:val="22"/>
          <w:lang w:eastAsia="ja-JP"/>
        </w:rPr>
        <w:t>5</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Times New Roman" w:hAnsiTheme="majorHAnsi" w:cstheme="majorHAnsi"/>
          <w:color w:val="000000" w:themeColor="text1"/>
          <w:spacing w:val="-2"/>
          <w:sz w:val="22"/>
          <w:szCs w:val="22"/>
          <w:lang w:eastAsia="ja-JP"/>
        </w:rPr>
        <w:t>19 and 5.08) to C-3 (</w:t>
      </w:r>
      <w:r w:rsidRPr="005E6B7C">
        <w:rPr>
          <w:rFonts w:asciiTheme="majorHAnsi" w:eastAsia="Yu Mincho" w:hAnsiTheme="majorHAnsi" w:cstheme="majorHAnsi"/>
          <w:i/>
          <w:color w:val="000000" w:themeColor="text1"/>
          <w:spacing w:val="-2"/>
          <w:sz w:val="22"/>
          <w:szCs w:val="22"/>
          <w:lang w:eastAsia="ja-JP"/>
        </w:rPr>
        <w:t>δ</w:t>
      </w:r>
      <w:r w:rsidRPr="005E6B7C">
        <w:rPr>
          <w:rFonts w:asciiTheme="majorHAnsi" w:eastAsia="Yu Mincho" w:hAnsiTheme="majorHAnsi" w:cstheme="majorHAnsi"/>
          <w:color w:val="000000" w:themeColor="text1"/>
          <w:spacing w:val="-2"/>
          <w:sz w:val="22"/>
          <w:szCs w:val="22"/>
          <w:vertAlign w:val="subscript"/>
          <w:lang w:eastAsia="ja-JP"/>
        </w:rPr>
        <w:t>C</w:t>
      </w:r>
      <w:r w:rsidRPr="005E6B7C">
        <w:rPr>
          <w:rFonts w:asciiTheme="majorHAnsi" w:eastAsia="Yu Mincho" w:hAnsiTheme="majorHAnsi" w:cstheme="majorHAnsi"/>
          <w:color w:val="000000" w:themeColor="text1"/>
          <w:spacing w:val="-2"/>
          <w:sz w:val="22"/>
          <w:szCs w:val="22"/>
          <w:lang w:eastAsia="ja-JP"/>
        </w:rPr>
        <w:t xml:space="preserve"> 82.8) indicated the sugar linked to the carbon chain at C-3. Compound </w:t>
      </w:r>
      <w:r w:rsidRPr="005E6B7C">
        <w:rPr>
          <w:rFonts w:asciiTheme="majorHAnsi" w:eastAsia="Yu Mincho" w:hAnsiTheme="majorHAnsi" w:cstheme="majorHAnsi"/>
          <w:b/>
          <w:color w:val="000000" w:themeColor="text1"/>
          <w:spacing w:val="-2"/>
          <w:sz w:val="22"/>
          <w:szCs w:val="22"/>
          <w:lang w:eastAsia="ja-JP"/>
        </w:rPr>
        <w:t>4</w:t>
      </w:r>
      <w:r w:rsidRPr="005E6B7C">
        <w:rPr>
          <w:rFonts w:asciiTheme="majorHAnsi" w:eastAsia="Yu Mincho" w:hAnsiTheme="majorHAnsi" w:cstheme="majorHAnsi"/>
          <w:color w:val="000000" w:themeColor="text1"/>
          <w:spacing w:val="-2"/>
          <w:sz w:val="22"/>
          <w:szCs w:val="22"/>
          <w:lang w:eastAsia="ja-JP"/>
        </w:rPr>
        <w:t xml:space="preserve"> was identified as </w:t>
      </w:r>
      <w:r w:rsidRPr="005E6B7C">
        <w:rPr>
          <w:rFonts w:asciiTheme="majorHAnsi" w:eastAsia="Times New Roman" w:hAnsiTheme="majorHAnsi" w:cstheme="majorHAnsi"/>
          <w:color w:val="000000" w:themeColor="text1"/>
          <w:spacing w:val="-2"/>
          <w:sz w:val="22"/>
          <w:szCs w:val="22"/>
          <w:lang w:eastAsia="ja-JP"/>
        </w:rPr>
        <w:t>(-)-3-</w:t>
      </w:r>
      <w:r w:rsidRPr="005E6B7C">
        <w:rPr>
          <w:rFonts w:asciiTheme="majorHAnsi" w:eastAsia="Times New Roman" w:hAnsiTheme="majorHAnsi" w:cstheme="majorHAnsi"/>
          <w:i/>
          <w:iCs/>
          <w:color w:val="000000" w:themeColor="text1"/>
          <w:spacing w:val="-2"/>
          <w:sz w:val="22"/>
          <w:szCs w:val="22"/>
          <w:lang w:eastAsia="ja-JP"/>
        </w:rPr>
        <w:t>O</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Times New Roman" w:hAnsiTheme="majorHAnsi" w:cstheme="majorHAnsi"/>
          <w:i/>
          <w:iCs/>
          <w:color w:val="000000" w:themeColor="text1"/>
          <w:spacing w:val="-2"/>
          <w:sz w:val="22"/>
          <w:szCs w:val="22"/>
          <w:lang w:eastAsia="ja-JP"/>
        </w:rPr>
        <w:t>β</w:t>
      </w:r>
      <w:r w:rsidRPr="005E6B7C">
        <w:rPr>
          <w:rFonts w:asciiTheme="majorHAnsi" w:eastAsia="Times New Roman" w:hAnsiTheme="majorHAnsi" w:cstheme="majorHAnsi"/>
          <w:color w:val="000000" w:themeColor="text1"/>
          <w:spacing w:val="-2"/>
          <w:sz w:val="22"/>
          <w:szCs w:val="22"/>
          <w:lang w:eastAsia="ja-JP"/>
        </w:rPr>
        <w:t>-D-glucopyranosyl (3</w:t>
      </w:r>
      <w:r w:rsidRPr="005E6B7C">
        <w:rPr>
          <w:rFonts w:asciiTheme="majorHAnsi" w:eastAsia="Times New Roman" w:hAnsiTheme="majorHAnsi" w:cstheme="majorHAnsi"/>
          <w:i/>
          <w:iCs/>
          <w:color w:val="000000" w:themeColor="text1"/>
          <w:spacing w:val="-2"/>
          <w:sz w:val="22"/>
          <w:szCs w:val="22"/>
          <w:lang w:eastAsia="ja-JP"/>
        </w:rPr>
        <w:t>S</w:t>
      </w:r>
      <w:r w:rsidRPr="005E6B7C">
        <w:rPr>
          <w:rFonts w:asciiTheme="majorHAnsi" w:eastAsia="Times New Roman" w:hAnsiTheme="majorHAnsi" w:cstheme="majorHAnsi"/>
          <w:color w:val="000000" w:themeColor="text1"/>
          <w:spacing w:val="-2"/>
          <w:sz w:val="22"/>
          <w:szCs w:val="22"/>
          <w:lang w:eastAsia="ja-JP"/>
        </w:rPr>
        <w:t>)-l-octen-3-ol</w:t>
      </w:r>
      <w:r w:rsidRPr="005E6B7C">
        <w:rPr>
          <w:rFonts w:asciiTheme="majorHAnsi" w:eastAsia="Times New Roman" w:hAnsiTheme="majorHAnsi" w:cstheme="majorHAnsi"/>
          <w:b/>
          <w:bCs/>
          <w:color w:val="000000" w:themeColor="text1"/>
          <w:spacing w:val="-2"/>
          <w:sz w:val="22"/>
          <w:szCs w:val="22"/>
          <w:lang w:eastAsia="ja-JP"/>
        </w:rPr>
        <w:t xml:space="preserve"> </w:t>
      </w:r>
      <w:r w:rsidRPr="005E6B7C">
        <w:rPr>
          <w:rFonts w:asciiTheme="majorHAnsi" w:eastAsia="Yu Mincho" w:hAnsiTheme="majorHAnsi" w:cstheme="majorHAnsi"/>
          <w:color w:val="000000" w:themeColor="text1"/>
          <w:spacing w:val="-2"/>
          <w:sz w:val="22"/>
          <w:szCs w:val="22"/>
          <w:lang w:eastAsia="ja-JP"/>
        </w:rPr>
        <w:t>by comparison of specific optical rotation (</w:t>
      </w:r>
      <w:r w:rsidRPr="005E6B7C">
        <w:rPr>
          <w:rFonts w:asciiTheme="majorHAnsi" w:eastAsia="Times New Roman" w:hAnsiTheme="majorHAnsi" w:cstheme="majorHAnsi"/>
          <w:color w:val="000000" w:themeColor="text1"/>
          <w:spacing w:val="-2"/>
          <w:sz w:val="22"/>
          <w:szCs w:val="22"/>
          <w:lang w:eastAsia="ja-JP"/>
        </w:rPr>
        <w:t>-7.9) ([α]</w:t>
      </w:r>
      <w:r w:rsidRPr="005E6B7C">
        <w:rPr>
          <w:rFonts w:asciiTheme="majorHAnsi" w:eastAsia="Times New Roman" w:hAnsiTheme="majorHAnsi" w:cstheme="majorHAnsi"/>
          <w:color w:val="000000" w:themeColor="text1"/>
          <w:spacing w:val="-2"/>
          <w:sz w:val="22"/>
          <w:szCs w:val="22"/>
          <w:vertAlign w:val="subscript"/>
          <w:lang w:eastAsia="ja-JP"/>
        </w:rPr>
        <w:t>D</w:t>
      </w:r>
      <w:r w:rsidRPr="005E6B7C">
        <w:rPr>
          <w:rFonts w:asciiTheme="majorHAnsi" w:eastAsia="Times New Roman" w:hAnsiTheme="majorHAnsi" w:cstheme="majorHAnsi"/>
          <w:color w:val="000000" w:themeColor="text1"/>
          <w:spacing w:val="-2"/>
          <w:sz w:val="22"/>
          <w:szCs w:val="22"/>
          <w:vertAlign w:val="superscript"/>
          <w:lang w:eastAsia="ja-JP"/>
        </w:rPr>
        <w:t>20</w:t>
      </w:r>
      <w:r w:rsidRPr="005E6B7C">
        <w:rPr>
          <w:rFonts w:asciiTheme="majorHAnsi" w:eastAsia="Times New Roman" w:hAnsiTheme="majorHAnsi" w:cstheme="majorHAnsi"/>
          <w:color w:val="000000" w:themeColor="text1"/>
          <w:spacing w:val="-2"/>
          <w:sz w:val="22"/>
          <w:szCs w:val="22"/>
          <w:lang w:eastAsia="ja-JP"/>
        </w:rPr>
        <w:t xml:space="preserve"> = -37.2 (MeOH, </w:t>
      </w:r>
      <w:r w:rsidRPr="005E6B7C">
        <w:rPr>
          <w:rFonts w:asciiTheme="majorHAnsi" w:eastAsia="Times New Roman" w:hAnsiTheme="majorHAnsi" w:cstheme="majorHAnsi"/>
          <w:i/>
          <w:iCs/>
          <w:color w:val="000000" w:themeColor="text1"/>
          <w:spacing w:val="-2"/>
          <w:sz w:val="22"/>
          <w:szCs w:val="22"/>
          <w:lang w:eastAsia="ja-JP"/>
        </w:rPr>
        <w:t>c</w:t>
      </w:r>
      <w:r w:rsidRPr="005E6B7C">
        <w:rPr>
          <w:rFonts w:asciiTheme="majorHAnsi" w:eastAsia="Times New Roman" w:hAnsiTheme="majorHAnsi" w:cstheme="majorHAnsi"/>
          <w:color w:val="000000" w:themeColor="text1"/>
          <w:spacing w:val="-2"/>
          <w:sz w:val="22"/>
          <w:szCs w:val="22"/>
          <w:lang w:eastAsia="ja-JP"/>
        </w:rPr>
        <w:t xml:space="preserve"> = 0.17)</w:t>
      </w:r>
      <w:r w:rsidRPr="005E6B7C">
        <w:rPr>
          <w:rFonts w:asciiTheme="majorHAnsi" w:eastAsia="Yu Mincho" w:hAnsiTheme="majorHAnsi" w:cstheme="majorHAnsi"/>
          <w:color w:val="000000" w:themeColor="text1"/>
          <w:spacing w:val="-2"/>
          <w:sz w:val="22"/>
          <w:szCs w:val="22"/>
        </w:rPr>
        <w:t xml:space="preserve">  </w:t>
      </w:r>
      <w:r w:rsidRPr="005E6B7C">
        <w:rPr>
          <w:rFonts w:asciiTheme="majorHAnsi" w:eastAsia="Yu Mincho" w:hAnsiTheme="majorHAnsi" w:cstheme="majorHAnsi"/>
          <w:color w:val="000000" w:themeColor="text1"/>
          <w:spacing w:val="-2"/>
          <w:sz w:val="22"/>
          <w:szCs w:val="22"/>
          <w:lang w:eastAsia="ja-JP"/>
        </w:rPr>
        <w:t xml:space="preserve">and NMR data with previous literature [14]. </w:t>
      </w:r>
    </w:p>
    <w:p w14:paraId="6C11788C" w14:textId="77777777" w:rsidR="00E049CB" w:rsidRPr="005E6B7C" w:rsidRDefault="00E049CB" w:rsidP="008C0D47">
      <w:pPr>
        <w:tabs>
          <w:tab w:val="left" w:pos="9270"/>
        </w:tabs>
        <w:spacing w:line="26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Finally, compounds </w:t>
      </w:r>
      <w:r w:rsidRPr="005E6B7C">
        <w:rPr>
          <w:rFonts w:asciiTheme="majorHAnsi" w:eastAsia="Yu Mincho" w:hAnsiTheme="majorHAnsi" w:cstheme="majorHAnsi"/>
          <w:b/>
          <w:bCs/>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b/>
          <w:bCs/>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were determined as uracil and stigmasterol, respectively, based on the comparison of NMR data with those in the previous literature [15], [16]. </w:t>
      </w:r>
    </w:p>
    <w:p w14:paraId="754A7EAE" w14:textId="009D29A8" w:rsidR="00E049CB" w:rsidRPr="005E6B7C" w:rsidRDefault="00E049CB" w:rsidP="008C0D47">
      <w:pPr>
        <w:tabs>
          <w:tab w:val="left" w:pos="9270"/>
        </w:tabs>
        <w:spacing w:line="264" w:lineRule="exact"/>
        <w:ind w:firstLine="284"/>
        <w:jc w:val="both"/>
        <w:rPr>
          <w:rFonts w:asciiTheme="majorHAnsi" w:eastAsia="Yu Mincho" w:hAnsiTheme="majorHAnsi" w:cstheme="majorHAnsi"/>
          <w:bCs/>
          <w:color w:val="000000" w:themeColor="text1"/>
          <w:spacing w:val="-2"/>
          <w:sz w:val="22"/>
          <w:szCs w:val="22"/>
          <w:lang w:eastAsia="ja-JP"/>
        </w:rPr>
      </w:pPr>
      <w:r w:rsidRPr="005E6B7C">
        <w:rPr>
          <w:rFonts w:asciiTheme="majorHAnsi" w:eastAsia="Times New Roman" w:hAnsiTheme="majorHAnsi" w:cstheme="majorHAnsi"/>
          <w:color w:val="000000" w:themeColor="text1"/>
          <w:spacing w:val="-2"/>
          <w:sz w:val="22"/>
          <w:szCs w:val="22"/>
          <w:lang w:eastAsia="ja-JP"/>
        </w:rPr>
        <w:t xml:space="preserve">(+)-Lyoniresinol </w:t>
      </w:r>
      <w:r w:rsidRPr="005E6B7C">
        <w:rPr>
          <w:rFonts w:asciiTheme="majorHAnsi" w:eastAsia="Yu Mincho" w:hAnsiTheme="majorHAnsi" w:cstheme="majorHAnsi"/>
          <w:color w:val="000000" w:themeColor="text1"/>
          <w:spacing w:val="-2"/>
          <w:sz w:val="22"/>
          <w:szCs w:val="22"/>
          <w:lang w:eastAsia="ja-JP"/>
        </w:rPr>
        <w:t>9</w:t>
      </w:r>
      <w:r w:rsidRPr="005E6B7C">
        <w:rPr>
          <w:rFonts w:asciiTheme="majorHAnsi" w:eastAsia="Times New Roman" w:hAnsiTheme="majorHAnsi" w:cstheme="majorHAnsi"/>
          <w:color w:val="000000" w:themeColor="text1"/>
          <w:spacing w:val="-2"/>
          <w:sz w:val="22"/>
          <w:szCs w:val="22"/>
          <w:lang w:eastAsia="ja-JP"/>
        </w:rPr>
        <w:t>ʹ-</w:t>
      </w:r>
      <w:r w:rsidRPr="005E6B7C">
        <w:rPr>
          <w:rFonts w:asciiTheme="majorHAnsi" w:eastAsia="Times New Roman" w:hAnsiTheme="majorHAnsi" w:cstheme="majorHAnsi"/>
          <w:i/>
          <w:iCs/>
          <w:color w:val="000000" w:themeColor="text1"/>
          <w:spacing w:val="-2"/>
          <w:sz w:val="22"/>
          <w:szCs w:val="22"/>
          <w:lang w:eastAsia="ja-JP"/>
        </w:rPr>
        <w:t>O</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Times New Roman" w:hAnsiTheme="majorHAnsi" w:cstheme="majorHAnsi"/>
          <w:i/>
          <w:iCs/>
          <w:color w:val="000000" w:themeColor="text1"/>
          <w:spacing w:val="-2"/>
          <w:sz w:val="22"/>
          <w:szCs w:val="22"/>
          <w:lang w:eastAsia="ja-JP"/>
        </w:rPr>
        <w:t>β</w:t>
      </w:r>
      <w:r w:rsidRPr="005E6B7C">
        <w:rPr>
          <w:rFonts w:asciiTheme="majorHAnsi" w:eastAsia="Times New Roman" w:hAnsiTheme="majorHAnsi" w:cstheme="majorHAnsi"/>
          <w:color w:val="000000" w:themeColor="text1"/>
          <w:spacing w:val="-2"/>
          <w:sz w:val="22"/>
          <w:szCs w:val="22"/>
          <w:lang w:eastAsia="ja-JP"/>
        </w:rPr>
        <w:t>-glucoside</w:t>
      </w:r>
      <w:r w:rsidRPr="005E6B7C">
        <w:rPr>
          <w:rFonts w:asciiTheme="majorHAnsi" w:eastAsia="Yu Mincho" w:hAnsiTheme="majorHAnsi" w:cstheme="majorHAnsi"/>
          <w:bCs/>
          <w:color w:val="000000" w:themeColor="text1"/>
          <w:spacing w:val="-2"/>
          <w:sz w:val="22"/>
          <w:szCs w:val="22"/>
          <w:lang w:eastAsia="ja-JP"/>
        </w:rPr>
        <w:t xml:space="preserve"> </w:t>
      </w:r>
      <w:r w:rsidRPr="005E6B7C">
        <w:rPr>
          <w:rFonts w:asciiTheme="majorHAnsi" w:eastAsia="Yu Mincho" w:hAnsiTheme="majorHAnsi" w:cstheme="majorHAnsi"/>
          <w:b/>
          <w:bCs/>
          <w:color w:val="000000" w:themeColor="text1"/>
          <w:spacing w:val="-2"/>
          <w:sz w:val="22"/>
          <w:szCs w:val="22"/>
          <w:lang w:eastAsia="ja-JP"/>
        </w:rPr>
        <w:t>2</w:t>
      </w:r>
      <w:r w:rsidRPr="005E6B7C">
        <w:rPr>
          <w:rFonts w:asciiTheme="majorHAnsi" w:eastAsia="Yu Mincho" w:hAnsiTheme="majorHAnsi" w:cstheme="majorHAnsi"/>
          <w:bCs/>
          <w:color w:val="000000" w:themeColor="text1"/>
          <w:spacing w:val="-2"/>
          <w:sz w:val="22"/>
          <w:szCs w:val="22"/>
          <w:lang w:eastAsia="ja-JP"/>
        </w:rPr>
        <w:t xml:space="preserve"> has already been identified from </w:t>
      </w:r>
      <w:r w:rsidRPr="005E6B7C">
        <w:rPr>
          <w:rFonts w:asciiTheme="majorHAnsi" w:eastAsia="Yu Mincho" w:hAnsiTheme="majorHAnsi" w:cstheme="majorHAnsi"/>
          <w:bCs/>
          <w:i/>
          <w:color w:val="000000" w:themeColor="text1"/>
          <w:spacing w:val="-2"/>
          <w:sz w:val="22"/>
          <w:szCs w:val="22"/>
          <w:lang w:eastAsia="ja-JP"/>
        </w:rPr>
        <w:t>B. lupulina</w:t>
      </w:r>
      <w:r w:rsidRPr="005E6B7C">
        <w:rPr>
          <w:rFonts w:asciiTheme="majorHAnsi" w:eastAsia="Yu Mincho" w:hAnsiTheme="majorHAnsi" w:cstheme="majorHAnsi"/>
          <w:bCs/>
          <w:color w:val="000000" w:themeColor="text1"/>
          <w:spacing w:val="-2"/>
          <w:sz w:val="22"/>
          <w:szCs w:val="22"/>
          <w:lang w:eastAsia="ja-JP"/>
        </w:rPr>
        <w:t xml:space="preserve"> </w:t>
      </w:r>
      <w:r w:rsidRPr="005E6B7C">
        <w:rPr>
          <w:rFonts w:asciiTheme="majorHAnsi" w:eastAsia="Times New Roman" w:hAnsiTheme="majorHAnsi" w:cstheme="majorHAnsi"/>
          <w:iCs/>
          <w:color w:val="000000" w:themeColor="text1"/>
          <w:spacing w:val="-2"/>
          <w:sz w:val="22"/>
          <w:szCs w:val="22"/>
        </w:rPr>
        <w:t>[1], but its aglycone (</w:t>
      </w:r>
      <w:r w:rsidRPr="005E6B7C">
        <w:rPr>
          <w:rFonts w:asciiTheme="majorHAnsi" w:eastAsia="Times New Roman" w:hAnsiTheme="majorHAnsi" w:cstheme="majorHAnsi"/>
          <w:b/>
          <w:iCs/>
          <w:color w:val="000000" w:themeColor="text1"/>
          <w:spacing w:val="-2"/>
          <w:sz w:val="22"/>
          <w:szCs w:val="22"/>
        </w:rPr>
        <w:t>1</w:t>
      </w:r>
      <w:r w:rsidRPr="005E6B7C">
        <w:rPr>
          <w:rFonts w:asciiTheme="majorHAnsi" w:eastAsia="Times New Roman" w:hAnsiTheme="majorHAnsi" w:cstheme="majorHAnsi"/>
          <w:iCs/>
          <w:color w:val="000000" w:themeColor="text1"/>
          <w:spacing w:val="-2"/>
          <w:sz w:val="22"/>
          <w:szCs w:val="22"/>
        </w:rPr>
        <w:t xml:space="preserve">) was found in the genus </w:t>
      </w:r>
      <w:r w:rsidRPr="005E6B7C">
        <w:rPr>
          <w:rFonts w:asciiTheme="majorHAnsi" w:eastAsia="Times New Roman" w:hAnsiTheme="majorHAnsi" w:cstheme="majorHAnsi"/>
          <w:i/>
          <w:iCs/>
          <w:color w:val="000000" w:themeColor="text1"/>
          <w:spacing w:val="-2"/>
          <w:sz w:val="22"/>
          <w:szCs w:val="22"/>
        </w:rPr>
        <w:t>Barleria</w:t>
      </w:r>
      <w:r w:rsidRPr="005E6B7C">
        <w:rPr>
          <w:rFonts w:asciiTheme="majorHAnsi" w:eastAsia="Times New Roman" w:hAnsiTheme="majorHAnsi" w:cstheme="majorHAnsi"/>
          <w:iCs/>
          <w:color w:val="000000" w:themeColor="text1"/>
          <w:spacing w:val="-2"/>
          <w:sz w:val="22"/>
          <w:szCs w:val="22"/>
        </w:rPr>
        <w:t xml:space="preserve"> for the first time. </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Times New Roman" w:hAnsiTheme="majorHAnsi" w:cstheme="majorHAnsi"/>
          <w:iCs/>
          <w:color w:val="000000" w:themeColor="text1"/>
          <w:spacing w:val="-2"/>
          <w:sz w:val="22"/>
          <w:szCs w:val="22"/>
        </w:rPr>
        <w:t>Lyoniresinol (</w:t>
      </w:r>
      <w:r w:rsidRPr="005E6B7C">
        <w:rPr>
          <w:rFonts w:asciiTheme="majorHAnsi" w:eastAsia="Times New Roman" w:hAnsiTheme="majorHAnsi" w:cstheme="majorHAnsi"/>
          <w:b/>
          <w:iCs/>
          <w:color w:val="000000" w:themeColor="text1"/>
          <w:spacing w:val="-2"/>
          <w:sz w:val="22"/>
          <w:szCs w:val="22"/>
        </w:rPr>
        <w:t>1</w:t>
      </w:r>
      <w:r w:rsidRPr="005E6B7C">
        <w:rPr>
          <w:rFonts w:asciiTheme="majorHAnsi" w:eastAsia="Times New Roman" w:hAnsiTheme="majorHAnsi" w:cstheme="majorHAnsi"/>
          <w:iCs/>
          <w:color w:val="000000" w:themeColor="text1"/>
          <w:spacing w:val="-2"/>
          <w:sz w:val="22"/>
          <w:szCs w:val="22"/>
        </w:rPr>
        <w:t xml:space="preserve">) was identified in various plants and displayed antioxidant, anti-inflammatory, and cytoprotective activities [17], while </w:t>
      </w:r>
      <w:r w:rsidRPr="005E6B7C">
        <w:rPr>
          <w:rFonts w:asciiTheme="majorHAnsi" w:eastAsia="Times New Roman" w:hAnsiTheme="majorHAnsi" w:cstheme="majorHAnsi"/>
          <w:color w:val="000000" w:themeColor="text1"/>
          <w:spacing w:val="-2"/>
          <w:sz w:val="22"/>
          <w:szCs w:val="22"/>
          <w:lang w:eastAsia="ja-JP"/>
        </w:rPr>
        <w:t xml:space="preserve">(+)-lyoniresinol </w:t>
      </w:r>
      <w:r w:rsidRPr="005E6B7C">
        <w:rPr>
          <w:rFonts w:asciiTheme="majorHAnsi" w:eastAsia="Yu Mincho" w:hAnsiTheme="majorHAnsi" w:cstheme="majorHAnsi"/>
          <w:color w:val="000000" w:themeColor="text1"/>
          <w:spacing w:val="-2"/>
          <w:sz w:val="22"/>
          <w:szCs w:val="22"/>
          <w:lang w:eastAsia="ja-JP"/>
        </w:rPr>
        <w:t>9</w:t>
      </w:r>
      <w:r w:rsidRPr="005E6B7C">
        <w:rPr>
          <w:rFonts w:asciiTheme="majorHAnsi" w:eastAsia="Times New Roman" w:hAnsiTheme="majorHAnsi" w:cstheme="majorHAnsi"/>
          <w:color w:val="000000" w:themeColor="text1"/>
          <w:spacing w:val="-2"/>
          <w:sz w:val="22"/>
          <w:szCs w:val="22"/>
          <w:lang w:eastAsia="ja-JP"/>
        </w:rPr>
        <w:t>ʹ-</w:t>
      </w:r>
      <w:r w:rsidRPr="005E6B7C">
        <w:rPr>
          <w:rFonts w:asciiTheme="majorHAnsi" w:eastAsia="Times New Roman" w:hAnsiTheme="majorHAnsi" w:cstheme="majorHAnsi"/>
          <w:i/>
          <w:iCs/>
          <w:color w:val="000000" w:themeColor="text1"/>
          <w:spacing w:val="-2"/>
          <w:sz w:val="22"/>
          <w:szCs w:val="22"/>
          <w:lang w:eastAsia="ja-JP"/>
        </w:rPr>
        <w:t>O</w:t>
      </w:r>
      <w:r w:rsidRPr="005E6B7C">
        <w:rPr>
          <w:rFonts w:asciiTheme="majorHAnsi" w:eastAsia="Times New Roman" w:hAnsiTheme="majorHAnsi" w:cstheme="majorHAnsi"/>
          <w:color w:val="000000" w:themeColor="text1"/>
          <w:spacing w:val="-2"/>
          <w:sz w:val="22"/>
          <w:szCs w:val="22"/>
          <w:lang w:eastAsia="ja-JP"/>
        </w:rPr>
        <w:t>-</w:t>
      </w:r>
      <w:r w:rsidRPr="005E6B7C">
        <w:rPr>
          <w:rFonts w:asciiTheme="majorHAnsi" w:eastAsia="Times New Roman" w:hAnsiTheme="majorHAnsi" w:cstheme="majorHAnsi"/>
          <w:i/>
          <w:iCs/>
          <w:color w:val="000000" w:themeColor="text1"/>
          <w:spacing w:val="-2"/>
          <w:sz w:val="22"/>
          <w:szCs w:val="22"/>
          <w:lang w:eastAsia="ja-JP"/>
        </w:rPr>
        <w:t>β</w:t>
      </w:r>
      <w:r w:rsidRPr="005E6B7C">
        <w:rPr>
          <w:rFonts w:asciiTheme="majorHAnsi" w:eastAsia="Times New Roman" w:hAnsiTheme="majorHAnsi" w:cstheme="majorHAnsi"/>
          <w:color w:val="000000" w:themeColor="text1"/>
          <w:spacing w:val="-2"/>
          <w:sz w:val="22"/>
          <w:szCs w:val="22"/>
          <w:lang w:eastAsia="ja-JP"/>
        </w:rPr>
        <w:t>-glucoside</w:t>
      </w:r>
      <w:r w:rsidRPr="005E6B7C">
        <w:rPr>
          <w:rFonts w:asciiTheme="majorHAnsi" w:eastAsia="Times New Roman" w:hAnsiTheme="majorHAnsi" w:cstheme="majorHAnsi"/>
          <w:iCs/>
          <w:color w:val="000000" w:themeColor="text1"/>
          <w:spacing w:val="-2"/>
          <w:sz w:val="22"/>
          <w:szCs w:val="22"/>
        </w:rPr>
        <w:t xml:space="preserve"> (</w:t>
      </w:r>
      <w:r w:rsidRPr="005E6B7C">
        <w:rPr>
          <w:rFonts w:asciiTheme="majorHAnsi" w:eastAsia="Times New Roman" w:hAnsiTheme="majorHAnsi" w:cstheme="majorHAnsi"/>
          <w:b/>
          <w:iCs/>
          <w:color w:val="000000" w:themeColor="text1"/>
          <w:spacing w:val="-2"/>
          <w:sz w:val="22"/>
          <w:szCs w:val="22"/>
        </w:rPr>
        <w:t>2</w:t>
      </w:r>
      <w:r w:rsidRPr="005E6B7C">
        <w:rPr>
          <w:rFonts w:asciiTheme="majorHAnsi" w:eastAsia="Times New Roman" w:hAnsiTheme="majorHAnsi" w:cstheme="majorHAnsi"/>
          <w:iCs/>
          <w:color w:val="000000" w:themeColor="text1"/>
          <w:spacing w:val="-2"/>
          <w:sz w:val="22"/>
          <w:szCs w:val="22"/>
        </w:rPr>
        <w:t xml:space="preserve">) exhibited antimicrobial and antidiabetic effects [18]. In the assay, </w:t>
      </w:r>
      <w:r w:rsidRPr="005E6B7C">
        <w:rPr>
          <w:rFonts w:asciiTheme="majorHAnsi" w:eastAsia="Times New Roman" w:hAnsiTheme="majorHAnsi" w:cstheme="majorHAnsi"/>
          <w:color w:val="000000" w:themeColor="text1"/>
          <w:spacing w:val="-2"/>
          <w:sz w:val="22"/>
          <w:szCs w:val="22"/>
          <w:lang w:eastAsia="ja-JP"/>
        </w:rPr>
        <w:t>(+)-l</w:t>
      </w:r>
      <w:r w:rsidRPr="005E6B7C">
        <w:rPr>
          <w:rFonts w:asciiTheme="majorHAnsi" w:eastAsia="Times New Roman" w:hAnsiTheme="majorHAnsi" w:cstheme="majorHAnsi"/>
          <w:iCs/>
          <w:color w:val="000000" w:themeColor="text1"/>
          <w:spacing w:val="-2"/>
          <w:sz w:val="22"/>
          <w:szCs w:val="22"/>
        </w:rPr>
        <w:t>yoniresinol showed weak NO-production inhibitory activity with an IC</w:t>
      </w:r>
      <w:r w:rsidRPr="005E6B7C">
        <w:rPr>
          <w:rFonts w:asciiTheme="majorHAnsi" w:eastAsia="Times New Roman" w:hAnsiTheme="majorHAnsi" w:cstheme="majorHAnsi"/>
          <w:iCs/>
          <w:color w:val="000000" w:themeColor="text1"/>
          <w:spacing w:val="-2"/>
          <w:sz w:val="22"/>
          <w:szCs w:val="22"/>
          <w:vertAlign w:val="subscript"/>
        </w:rPr>
        <w:t>50</w:t>
      </w:r>
      <w:r w:rsidRPr="005E6B7C">
        <w:rPr>
          <w:rFonts w:asciiTheme="majorHAnsi" w:eastAsia="Times New Roman" w:hAnsiTheme="majorHAnsi" w:cstheme="majorHAnsi"/>
          <w:iCs/>
          <w:color w:val="000000" w:themeColor="text1"/>
          <w:spacing w:val="-2"/>
          <w:sz w:val="22"/>
          <w:szCs w:val="22"/>
        </w:rPr>
        <w:t xml:space="preserve"> value of 238 </w:t>
      </w:r>
      <w:r w:rsidR="00266B26" w:rsidRPr="005E6B7C">
        <w:rPr>
          <w:rFonts w:asciiTheme="majorHAnsi" w:eastAsia="Times New Roman" w:hAnsiTheme="majorHAnsi" w:cstheme="majorHAnsi"/>
          <w:i/>
          <w:iCs/>
          <w:color w:val="000000" w:themeColor="text1"/>
          <w:spacing w:val="-2"/>
          <w:sz w:val="22"/>
          <w:szCs w:val="22"/>
        </w:rPr>
        <w:t>µ</w:t>
      </w:r>
      <w:r w:rsidRPr="005E6B7C">
        <w:rPr>
          <w:rFonts w:asciiTheme="majorHAnsi" w:eastAsia="Times New Roman" w:hAnsiTheme="majorHAnsi" w:cstheme="majorHAnsi"/>
          <w:color w:val="000000" w:themeColor="text1"/>
          <w:spacing w:val="-2"/>
          <w:sz w:val="22"/>
          <w:szCs w:val="22"/>
        </w:rPr>
        <w:t xml:space="preserve">M [19]. </w:t>
      </w:r>
      <w:r w:rsidRPr="005E6B7C">
        <w:rPr>
          <w:rFonts w:asciiTheme="majorHAnsi" w:eastAsia="Times New Roman" w:hAnsiTheme="majorHAnsi" w:cstheme="majorHAnsi"/>
          <w:iCs/>
          <w:color w:val="000000" w:themeColor="text1"/>
          <w:spacing w:val="-2"/>
          <w:sz w:val="22"/>
          <w:szCs w:val="22"/>
        </w:rPr>
        <w:t xml:space="preserve">Compound </w:t>
      </w:r>
      <w:r w:rsidRPr="005E6B7C">
        <w:rPr>
          <w:rFonts w:asciiTheme="majorHAnsi" w:eastAsia="Times New Roman" w:hAnsiTheme="majorHAnsi" w:cstheme="majorHAnsi"/>
          <w:b/>
          <w:iCs/>
          <w:color w:val="000000" w:themeColor="text1"/>
          <w:spacing w:val="-2"/>
          <w:sz w:val="22"/>
          <w:szCs w:val="22"/>
        </w:rPr>
        <w:t>3</w:t>
      </w:r>
      <w:r w:rsidRPr="005E6B7C">
        <w:rPr>
          <w:rFonts w:asciiTheme="majorHAnsi" w:eastAsia="Times New Roman" w:hAnsiTheme="majorHAnsi" w:cstheme="majorHAnsi"/>
          <w:iCs/>
          <w:color w:val="000000" w:themeColor="text1"/>
          <w:spacing w:val="-2"/>
          <w:sz w:val="22"/>
          <w:szCs w:val="22"/>
        </w:rPr>
        <w:t xml:space="preserve"> was only </w:t>
      </w:r>
      <w:r w:rsidRPr="005E6B7C">
        <w:rPr>
          <w:rFonts w:asciiTheme="majorHAnsi" w:eastAsia="Times New Roman" w:hAnsiTheme="majorHAnsi" w:cstheme="majorHAnsi"/>
          <w:iCs/>
          <w:color w:val="000000" w:themeColor="text1"/>
          <w:spacing w:val="-2"/>
          <w:sz w:val="22"/>
          <w:szCs w:val="22"/>
        </w:rPr>
        <w:t xml:space="preserve">reported from </w:t>
      </w:r>
      <w:r w:rsidRPr="005E6B7C">
        <w:rPr>
          <w:rFonts w:asciiTheme="majorHAnsi" w:eastAsia="Yu Mincho" w:hAnsiTheme="majorHAnsi" w:cstheme="majorHAnsi"/>
          <w:i/>
          <w:color w:val="000000" w:themeColor="text1"/>
          <w:spacing w:val="-2"/>
          <w:sz w:val="22"/>
          <w:szCs w:val="22"/>
          <w:lang w:eastAsia="ja-JP"/>
        </w:rPr>
        <w:t>Rubia cordifolia</w:t>
      </w:r>
      <w:r w:rsidRPr="005E6B7C">
        <w:rPr>
          <w:rFonts w:asciiTheme="majorHAnsi" w:eastAsia="Times New Roman" w:hAnsiTheme="majorHAnsi" w:cstheme="majorHAnsi"/>
          <w:iCs/>
          <w:color w:val="000000" w:themeColor="text1"/>
          <w:spacing w:val="-2"/>
          <w:sz w:val="22"/>
          <w:szCs w:val="22"/>
        </w:rPr>
        <w:t xml:space="preserve"> (Rubiacea family); it was first identified from the </w:t>
      </w:r>
      <w:r w:rsidRPr="005E6B7C">
        <w:rPr>
          <w:rFonts w:asciiTheme="majorHAnsi" w:eastAsia="Times New Roman" w:hAnsiTheme="majorHAnsi" w:cstheme="majorHAnsi"/>
          <w:i/>
          <w:iCs/>
          <w:color w:val="000000" w:themeColor="text1"/>
          <w:spacing w:val="-2"/>
          <w:sz w:val="22"/>
          <w:szCs w:val="22"/>
        </w:rPr>
        <w:t>Barleria</w:t>
      </w:r>
      <w:r w:rsidRPr="005E6B7C">
        <w:rPr>
          <w:rFonts w:asciiTheme="majorHAnsi" w:eastAsia="Times New Roman" w:hAnsiTheme="majorHAnsi" w:cstheme="majorHAnsi"/>
          <w:iCs/>
          <w:color w:val="000000" w:themeColor="text1"/>
          <w:spacing w:val="-2"/>
          <w:sz w:val="22"/>
          <w:szCs w:val="22"/>
        </w:rPr>
        <w:t xml:space="preserve"> genus. Compound </w:t>
      </w:r>
      <w:r w:rsidRPr="005E6B7C">
        <w:rPr>
          <w:rFonts w:asciiTheme="majorHAnsi" w:eastAsia="Times New Roman" w:hAnsiTheme="majorHAnsi" w:cstheme="majorHAnsi"/>
          <w:b/>
          <w:iCs/>
          <w:color w:val="000000" w:themeColor="text1"/>
          <w:spacing w:val="-2"/>
          <w:sz w:val="22"/>
          <w:szCs w:val="22"/>
        </w:rPr>
        <w:t>4</w:t>
      </w:r>
      <w:r w:rsidRPr="005E6B7C">
        <w:rPr>
          <w:rFonts w:asciiTheme="majorHAnsi" w:eastAsia="Times New Roman" w:hAnsiTheme="majorHAnsi" w:cstheme="majorHAnsi"/>
          <w:iCs/>
          <w:color w:val="000000" w:themeColor="text1"/>
          <w:spacing w:val="-2"/>
          <w:sz w:val="22"/>
          <w:szCs w:val="22"/>
        </w:rPr>
        <w:t xml:space="preserve"> might be a hydrolyzed product from </w:t>
      </w:r>
      <w:r w:rsidRPr="005E6B7C">
        <w:rPr>
          <w:rFonts w:asciiTheme="majorHAnsi" w:eastAsia="Yu Mincho" w:hAnsiTheme="majorHAnsi" w:cstheme="majorHAnsi"/>
          <w:color w:val="000000" w:themeColor="text1"/>
          <w:spacing w:val="-2"/>
          <w:sz w:val="22"/>
          <w:szCs w:val="22"/>
          <w:lang w:eastAsia="ja-JP"/>
        </w:rPr>
        <w:t xml:space="preserve">1-octen-3-yl </w:t>
      </w:r>
      <w:r w:rsidRPr="005E6B7C">
        <w:rPr>
          <w:rFonts w:asciiTheme="majorHAnsi" w:eastAsia="Yu Mincho" w:hAnsiTheme="majorHAnsi" w:cstheme="majorHAnsi"/>
          <w:i/>
          <w:color w:val="000000" w:themeColor="text1"/>
          <w:spacing w:val="-2"/>
          <w:sz w:val="22"/>
          <w:szCs w:val="22"/>
          <w:lang w:eastAsia="ja-JP"/>
        </w:rPr>
        <w:t>β</w:t>
      </w:r>
      <w:r w:rsidRPr="005E6B7C">
        <w:rPr>
          <w:rFonts w:asciiTheme="majorHAnsi" w:eastAsia="Yu Mincho" w:hAnsiTheme="majorHAnsi" w:cstheme="majorHAnsi"/>
          <w:color w:val="000000" w:themeColor="text1"/>
          <w:spacing w:val="-2"/>
          <w:sz w:val="22"/>
          <w:szCs w:val="22"/>
          <w:lang w:eastAsia="ja-JP"/>
        </w:rPr>
        <w:t>–primeveroside, which was found in this plant [1]</w:t>
      </w:r>
      <w:r w:rsidRPr="005E6B7C">
        <w:rPr>
          <w:rFonts w:asciiTheme="majorHAnsi" w:eastAsia="Times New Roman" w:hAnsiTheme="majorHAnsi" w:cstheme="majorHAnsi"/>
          <w:iCs/>
          <w:color w:val="000000" w:themeColor="text1"/>
          <w:spacing w:val="-2"/>
          <w:sz w:val="22"/>
          <w:szCs w:val="22"/>
        </w:rPr>
        <w:t xml:space="preserve">. </w:t>
      </w:r>
      <w:r w:rsidRPr="005E6B7C">
        <w:rPr>
          <w:rFonts w:asciiTheme="majorHAnsi" w:eastAsia="Yu Mincho" w:hAnsiTheme="majorHAnsi" w:cstheme="majorHAnsi"/>
          <w:color w:val="000000" w:themeColor="text1"/>
          <w:spacing w:val="-2"/>
          <w:sz w:val="22"/>
          <w:szCs w:val="22"/>
          <w:lang w:eastAsia="ja-JP"/>
        </w:rPr>
        <w:t>Uridine (</w:t>
      </w:r>
      <w:r w:rsidRPr="005E6B7C">
        <w:rPr>
          <w:rFonts w:asciiTheme="majorHAnsi" w:eastAsia="Yu Mincho" w:hAnsiTheme="majorHAnsi" w:cstheme="majorHAnsi"/>
          <w:b/>
          <w:color w:val="000000" w:themeColor="text1"/>
          <w:spacing w:val="-2"/>
          <w:sz w:val="22"/>
          <w:szCs w:val="22"/>
          <w:lang w:eastAsia="ja-JP"/>
        </w:rPr>
        <w:t>5</w:t>
      </w:r>
      <w:r w:rsidRPr="005E6B7C">
        <w:rPr>
          <w:rFonts w:asciiTheme="majorHAnsi" w:eastAsia="Yu Mincho" w:hAnsiTheme="majorHAnsi" w:cstheme="majorHAnsi"/>
          <w:color w:val="000000" w:themeColor="text1"/>
          <w:spacing w:val="-2"/>
          <w:sz w:val="22"/>
          <w:szCs w:val="22"/>
          <w:lang w:eastAsia="ja-JP"/>
        </w:rPr>
        <w:t>) is an essential nucleoside that plays a pivotal role in various biological processes, including macromolecule synthesis, circadian rhythms, inflammatory response, and antioxidant process [20]</w:t>
      </w:r>
      <w:r w:rsidRPr="005E6B7C">
        <w:rPr>
          <w:rFonts w:asciiTheme="majorHAnsi" w:eastAsia="Times New Roman" w:hAnsiTheme="majorHAnsi" w:cstheme="majorHAnsi"/>
          <w:color w:val="000000" w:themeColor="text1"/>
          <w:spacing w:val="-2"/>
          <w:sz w:val="22"/>
          <w:szCs w:val="22"/>
        </w:rPr>
        <w:t xml:space="preserve">. </w:t>
      </w:r>
      <w:r w:rsidRPr="005E6B7C">
        <w:rPr>
          <w:rFonts w:asciiTheme="majorHAnsi" w:eastAsia="Yu Mincho" w:hAnsiTheme="majorHAnsi" w:cstheme="majorHAnsi"/>
          <w:color w:val="000000" w:themeColor="text1"/>
          <w:spacing w:val="-2"/>
          <w:sz w:val="22"/>
          <w:szCs w:val="22"/>
          <w:lang w:eastAsia="ja-JP"/>
        </w:rPr>
        <w:t>Uridine was reported to reduce oxidative stress and inflammation by inhibiting the MAPK and NF-kB signaling pathways under pathological conditions [21].</w:t>
      </w:r>
      <w:r w:rsidRPr="005E6B7C">
        <w:rPr>
          <w:rFonts w:asciiTheme="majorHAnsi" w:eastAsia="Times New Roman" w:hAnsiTheme="majorHAnsi" w:cstheme="majorHAnsi"/>
          <w:iCs/>
          <w:color w:val="000000" w:themeColor="text1"/>
          <w:spacing w:val="-2"/>
          <w:sz w:val="22"/>
          <w:szCs w:val="22"/>
        </w:rPr>
        <w:t xml:space="preserve"> Stigmasterol (</w:t>
      </w:r>
      <w:r w:rsidRPr="005E6B7C">
        <w:rPr>
          <w:rFonts w:asciiTheme="majorHAnsi" w:eastAsia="Yu Mincho" w:hAnsiTheme="majorHAnsi" w:cstheme="majorHAnsi"/>
          <w:b/>
          <w:bCs/>
          <w:color w:val="000000" w:themeColor="text1"/>
          <w:spacing w:val="-2"/>
          <w:sz w:val="22"/>
          <w:szCs w:val="22"/>
          <w:lang w:eastAsia="ja-JP"/>
        </w:rPr>
        <w:t>6)</w:t>
      </w:r>
      <w:r w:rsidRPr="005E6B7C">
        <w:rPr>
          <w:rFonts w:asciiTheme="majorHAnsi" w:eastAsia="Yu Mincho" w:hAnsiTheme="majorHAnsi" w:cstheme="majorHAnsi"/>
          <w:bCs/>
          <w:color w:val="000000" w:themeColor="text1"/>
          <w:spacing w:val="-2"/>
          <w:sz w:val="22"/>
          <w:szCs w:val="22"/>
          <w:lang w:eastAsia="ja-JP"/>
        </w:rPr>
        <w:t xml:space="preserve"> is a common sterol in many plants and possesses </w:t>
      </w:r>
      <w:r w:rsidRPr="005E6B7C">
        <w:rPr>
          <w:rFonts w:asciiTheme="majorHAnsi" w:eastAsia="Times New Roman" w:hAnsiTheme="majorHAnsi" w:cstheme="majorHAnsi"/>
          <w:iCs/>
          <w:color w:val="000000" w:themeColor="text1"/>
          <w:spacing w:val="-2"/>
          <w:sz w:val="22"/>
          <w:szCs w:val="22"/>
        </w:rPr>
        <w:t>anti-inflammatory, antioxidant, and neuroprotective activities [22].</w:t>
      </w:r>
      <w:r w:rsidRPr="005E6B7C">
        <w:rPr>
          <w:rFonts w:asciiTheme="majorHAnsi" w:eastAsia="Yu Mincho" w:hAnsiTheme="majorHAnsi" w:cstheme="majorHAnsi"/>
          <w:color w:val="000000" w:themeColor="text1"/>
          <w:spacing w:val="-2"/>
          <w:sz w:val="22"/>
          <w:szCs w:val="22"/>
          <w:lang w:eastAsia="ja-JP"/>
        </w:rPr>
        <w:t xml:space="preserve"> Studies revealed that stigmasterol exhibited substantial anti-inflammatory and immune regulatory effects and has potential for the prevention and treatment of inflammation-related diseases like arthritis [23],[24]. The anti-inflammatory effect of these isolated compounds may make contributions to the activity of </w:t>
      </w:r>
      <w:r w:rsidRPr="005E6B7C">
        <w:rPr>
          <w:rFonts w:asciiTheme="majorHAnsi" w:eastAsia="Yu Mincho" w:hAnsiTheme="majorHAnsi" w:cstheme="majorHAnsi"/>
          <w:i/>
          <w:iCs/>
          <w:color w:val="000000" w:themeColor="text1"/>
          <w:spacing w:val="-2"/>
          <w:sz w:val="22"/>
          <w:szCs w:val="22"/>
          <w:lang w:val="en-GB" w:eastAsia="ja-JP"/>
        </w:rPr>
        <w:t>n</w:t>
      </w:r>
      <w:r w:rsidRPr="005E6B7C">
        <w:rPr>
          <w:rFonts w:asciiTheme="majorHAnsi" w:eastAsia="Yu Mincho" w:hAnsiTheme="majorHAnsi" w:cstheme="majorHAnsi"/>
          <w:color w:val="000000" w:themeColor="text1"/>
          <w:spacing w:val="-2"/>
          <w:sz w:val="22"/>
          <w:szCs w:val="22"/>
          <w:lang w:val="en-GB" w:eastAsia="ja-JP"/>
        </w:rPr>
        <w:t>-hexane and ethyl acetate extracts</w:t>
      </w:r>
      <w:r w:rsidRPr="005E6B7C">
        <w:rPr>
          <w:rFonts w:asciiTheme="majorHAnsi" w:eastAsia="Times New Roman" w:hAnsiTheme="majorHAnsi" w:cstheme="majorHAnsi"/>
          <w:color w:val="000000" w:themeColor="text1"/>
          <w:spacing w:val="-2"/>
          <w:sz w:val="22"/>
          <w:szCs w:val="22"/>
        </w:rPr>
        <w:t xml:space="preserve"> </w:t>
      </w:r>
      <w:r w:rsidRPr="005E6B7C">
        <w:rPr>
          <w:rFonts w:asciiTheme="majorHAnsi" w:eastAsia="Yu Mincho" w:hAnsiTheme="majorHAnsi" w:cstheme="majorHAnsi"/>
          <w:color w:val="000000" w:themeColor="text1"/>
          <w:spacing w:val="-2"/>
          <w:sz w:val="22"/>
          <w:szCs w:val="22"/>
          <w:lang w:val="en-GB" w:eastAsia="ja-JP"/>
        </w:rPr>
        <w:t xml:space="preserve">from </w:t>
      </w:r>
      <w:r w:rsidRPr="005E6B7C">
        <w:rPr>
          <w:rFonts w:asciiTheme="majorHAnsi" w:eastAsia="Yu Mincho" w:hAnsiTheme="majorHAnsi" w:cstheme="majorHAnsi"/>
          <w:i/>
          <w:iCs/>
          <w:color w:val="000000" w:themeColor="text1"/>
          <w:spacing w:val="-2"/>
          <w:sz w:val="22"/>
          <w:szCs w:val="22"/>
          <w:lang w:val="en-GB" w:eastAsia="ja-JP"/>
        </w:rPr>
        <w:t>B. lupulina.</w:t>
      </w:r>
    </w:p>
    <w:p w14:paraId="45EAC1BC" w14:textId="77777777" w:rsidR="00E049CB" w:rsidRPr="005E6B7C" w:rsidRDefault="00E049CB" w:rsidP="008C0D47">
      <w:pPr>
        <w:tabs>
          <w:tab w:val="left" w:pos="9270"/>
        </w:tabs>
        <w:spacing w:line="264" w:lineRule="exact"/>
        <w:ind w:firstLine="284"/>
        <w:contextualSpacing/>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4. Conclusions </w:t>
      </w:r>
    </w:p>
    <w:p w14:paraId="5A17321F" w14:textId="77777777" w:rsidR="00207C22" w:rsidRPr="005E6B7C" w:rsidRDefault="00E049CB" w:rsidP="008C0D47">
      <w:pPr>
        <w:tabs>
          <w:tab w:val="left" w:pos="9270"/>
        </w:tabs>
        <w:spacing w:line="264"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Six chemical constituents including </w:t>
      </w:r>
      <w:r w:rsidRPr="005E6B7C">
        <w:rPr>
          <w:rFonts w:asciiTheme="majorHAnsi" w:eastAsia="Times New Roman" w:hAnsiTheme="majorHAnsi" w:cstheme="majorHAnsi"/>
          <w:color w:val="000000" w:themeColor="text1"/>
          <w:sz w:val="22"/>
          <w:szCs w:val="22"/>
          <w:lang w:eastAsia="ja-JP"/>
        </w:rPr>
        <w:t>(+)-lyoniresinol (</w:t>
      </w:r>
      <w:r w:rsidRPr="005E6B7C">
        <w:rPr>
          <w:rFonts w:asciiTheme="majorHAnsi" w:eastAsia="Times New Roman" w:hAnsiTheme="majorHAnsi" w:cstheme="majorHAnsi"/>
          <w:b/>
          <w:color w:val="000000" w:themeColor="text1"/>
          <w:sz w:val="22"/>
          <w:szCs w:val="22"/>
          <w:lang w:eastAsia="ja-JP"/>
        </w:rPr>
        <w:t>1</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en-GB" w:eastAsia="ja-JP"/>
        </w:rPr>
        <w:t xml:space="preserve">, </w:t>
      </w:r>
      <w:r w:rsidRPr="005E6B7C">
        <w:rPr>
          <w:rFonts w:asciiTheme="majorHAnsi" w:eastAsia="Times New Roman" w:hAnsiTheme="majorHAnsi" w:cstheme="majorHAnsi"/>
          <w:color w:val="000000" w:themeColor="text1"/>
          <w:sz w:val="22"/>
          <w:szCs w:val="22"/>
          <w:lang w:eastAsia="ja-JP"/>
        </w:rPr>
        <w:t>(+)-lyoniresinol 9-</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-D-glucopyranoside (</w:t>
      </w:r>
      <w:r w:rsidRPr="005E6B7C">
        <w:rPr>
          <w:rFonts w:asciiTheme="majorHAnsi" w:eastAsia="Times New Roman" w:hAnsiTheme="majorHAnsi" w:cstheme="majorHAnsi"/>
          <w:b/>
          <w:color w:val="000000" w:themeColor="text1"/>
          <w:sz w:val="22"/>
          <w:szCs w:val="22"/>
          <w:lang w:eastAsia="ja-JP"/>
        </w:rPr>
        <w:t>2</w:t>
      </w:r>
      <w:r w:rsidRPr="005E6B7C">
        <w:rPr>
          <w:rFonts w:asciiTheme="majorHAnsi" w:eastAsia="Times New Roman" w:hAnsiTheme="majorHAnsi" w:cstheme="majorHAnsi"/>
          <w:color w:val="000000" w:themeColor="text1"/>
          <w:sz w:val="22"/>
          <w:szCs w:val="22"/>
          <w:lang w:eastAsia="ja-JP"/>
        </w:rPr>
        <w:t>), 2-methyl-1,3,6-trihydroxy-9,10-anthraquinone 3-</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 glucopyranoside (</w:t>
      </w:r>
      <w:r w:rsidRPr="005E6B7C">
        <w:rPr>
          <w:rFonts w:asciiTheme="majorHAnsi" w:eastAsia="Times New Roman" w:hAnsiTheme="majorHAnsi" w:cstheme="majorHAnsi"/>
          <w:b/>
          <w:color w:val="000000" w:themeColor="text1"/>
          <w:sz w:val="22"/>
          <w:szCs w:val="22"/>
          <w:lang w:eastAsia="ja-JP"/>
        </w:rPr>
        <w:t>3</w:t>
      </w:r>
      <w:r w:rsidRPr="005E6B7C">
        <w:rPr>
          <w:rFonts w:asciiTheme="majorHAnsi" w:eastAsia="Times New Roman" w:hAnsiTheme="majorHAnsi" w:cstheme="majorHAnsi"/>
          <w:color w:val="000000" w:themeColor="text1"/>
          <w:sz w:val="22"/>
          <w:szCs w:val="22"/>
          <w:lang w:eastAsia="ja-JP"/>
        </w:rPr>
        <w:t>), 3-</w:t>
      </w:r>
      <w:r w:rsidRPr="005E6B7C">
        <w:rPr>
          <w:rFonts w:asciiTheme="majorHAnsi" w:eastAsia="Times New Roman" w:hAnsiTheme="majorHAnsi" w:cstheme="majorHAnsi"/>
          <w:i/>
          <w:iCs/>
          <w:color w:val="000000" w:themeColor="text1"/>
          <w:sz w:val="22"/>
          <w:szCs w:val="22"/>
          <w:lang w:eastAsia="ja-JP"/>
        </w:rPr>
        <w:t>O</w:t>
      </w:r>
      <w:r w:rsidRPr="005E6B7C">
        <w:rPr>
          <w:rFonts w:asciiTheme="majorHAnsi" w:eastAsia="Times New Roman" w:hAnsiTheme="majorHAnsi" w:cstheme="majorHAnsi"/>
          <w:color w:val="000000" w:themeColor="text1"/>
          <w:sz w:val="22"/>
          <w:szCs w:val="22"/>
          <w:lang w:eastAsia="ja-JP"/>
        </w:rPr>
        <w:t>-</w:t>
      </w:r>
      <w:r w:rsidRPr="005E6B7C">
        <w:rPr>
          <w:rFonts w:asciiTheme="majorHAnsi" w:eastAsia="Times New Roman" w:hAnsiTheme="majorHAnsi" w:cstheme="majorHAnsi"/>
          <w:i/>
          <w:iCs/>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-D-glucopyranosyl (3</w:t>
      </w:r>
      <w:r w:rsidRPr="005E6B7C">
        <w:rPr>
          <w:rFonts w:asciiTheme="majorHAnsi" w:eastAsia="Times New Roman" w:hAnsiTheme="majorHAnsi" w:cstheme="majorHAnsi"/>
          <w:i/>
          <w:iCs/>
          <w:color w:val="000000" w:themeColor="text1"/>
          <w:sz w:val="22"/>
          <w:szCs w:val="22"/>
          <w:lang w:eastAsia="ja-JP"/>
        </w:rPr>
        <w:t>S</w:t>
      </w:r>
      <w:r w:rsidRPr="005E6B7C">
        <w:rPr>
          <w:rFonts w:asciiTheme="majorHAnsi" w:eastAsia="Times New Roman" w:hAnsiTheme="majorHAnsi" w:cstheme="majorHAnsi"/>
          <w:color w:val="000000" w:themeColor="text1"/>
          <w:sz w:val="22"/>
          <w:szCs w:val="22"/>
          <w:lang w:eastAsia="ja-JP"/>
        </w:rPr>
        <w:t>)-l-octen-3-ol (</w:t>
      </w:r>
      <w:r w:rsidRPr="005E6B7C">
        <w:rPr>
          <w:rFonts w:asciiTheme="majorHAnsi" w:eastAsia="Times New Roman" w:hAnsiTheme="majorHAnsi" w:cstheme="majorHAnsi"/>
          <w:b/>
          <w:color w:val="000000" w:themeColor="text1"/>
          <w:sz w:val="22"/>
          <w:szCs w:val="22"/>
          <w:lang w:eastAsia="ja-JP"/>
        </w:rPr>
        <w:t>4</w:t>
      </w:r>
      <w:r w:rsidRPr="005E6B7C">
        <w:rPr>
          <w:rFonts w:asciiTheme="majorHAnsi" w:eastAsia="Times New Roman" w:hAnsiTheme="majorHAnsi" w:cstheme="majorHAnsi"/>
          <w:color w:val="000000" w:themeColor="text1"/>
          <w:sz w:val="22"/>
          <w:szCs w:val="22"/>
          <w:lang w:eastAsia="ja-JP"/>
        </w:rPr>
        <w:t>), uracil (</w:t>
      </w:r>
      <w:r w:rsidRPr="005E6B7C">
        <w:rPr>
          <w:rFonts w:asciiTheme="majorHAnsi" w:eastAsia="Times New Roman" w:hAnsiTheme="majorHAnsi" w:cstheme="majorHAnsi"/>
          <w:b/>
          <w:color w:val="000000" w:themeColor="text1"/>
          <w:sz w:val="22"/>
          <w:szCs w:val="22"/>
          <w:lang w:eastAsia="ja-JP"/>
        </w:rPr>
        <w:t>5</w:t>
      </w:r>
      <w:r w:rsidRPr="005E6B7C">
        <w:rPr>
          <w:rFonts w:asciiTheme="majorHAnsi" w:eastAsia="Times New Roman"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lang w:val="en-GB" w:eastAsia="ja-JP"/>
        </w:rPr>
        <w:t>stigmasterol (</w:t>
      </w:r>
      <w:r w:rsidRPr="005E6B7C">
        <w:rPr>
          <w:rFonts w:asciiTheme="majorHAnsi" w:eastAsia="Yu Mincho" w:hAnsiTheme="majorHAnsi" w:cstheme="majorHAnsi"/>
          <w:b/>
          <w:color w:val="000000" w:themeColor="text1"/>
          <w:sz w:val="22"/>
          <w:szCs w:val="22"/>
          <w:lang w:val="en-GB" w:eastAsia="ja-JP"/>
        </w:rPr>
        <w:t>6</w:t>
      </w:r>
      <w:r w:rsidRPr="005E6B7C">
        <w:rPr>
          <w:rFonts w:asciiTheme="majorHAnsi" w:eastAsia="Yu Mincho" w:hAnsiTheme="majorHAnsi" w:cstheme="majorHAnsi"/>
          <w:color w:val="000000" w:themeColor="text1"/>
          <w:sz w:val="22"/>
          <w:szCs w:val="22"/>
          <w:lang w:val="en-GB" w:eastAsia="ja-JP"/>
        </w:rPr>
        <w:t xml:space="preserve">) were identified from </w:t>
      </w:r>
      <w:r w:rsidRPr="005E6B7C">
        <w:rPr>
          <w:rFonts w:asciiTheme="majorHAnsi" w:eastAsia="Yu Mincho" w:hAnsiTheme="majorHAnsi" w:cstheme="majorHAnsi"/>
          <w:i/>
          <w:color w:val="000000" w:themeColor="text1"/>
          <w:sz w:val="22"/>
          <w:szCs w:val="22"/>
          <w:lang w:val="en-GB" w:eastAsia="ja-JP"/>
        </w:rPr>
        <w:t>n</w:t>
      </w:r>
      <w:r w:rsidRPr="005E6B7C">
        <w:rPr>
          <w:rFonts w:asciiTheme="majorHAnsi" w:eastAsia="Yu Mincho" w:hAnsiTheme="majorHAnsi" w:cstheme="majorHAnsi"/>
          <w:color w:val="000000" w:themeColor="text1"/>
          <w:sz w:val="22"/>
          <w:szCs w:val="22"/>
          <w:lang w:val="en-GB" w:eastAsia="ja-JP"/>
        </w:rPr>
        <w:t xml:space="preserve">-hexane and ethyl acetate extracts of </w:t>
      </w:r>
      <w:r w:rsidRPr="005E6B7C">
        <w:rPr>
          <w:rFonts w:asciiTheme="majorHAnsi" w:eastAsia="Yu Mincho" w:hAnsiTheme="majorHAnsi" w:cstheme="majorHAnsi"/>
          <w:i/>
          <w:color w:val="000000" w:themeColor="text1"/>
          <w:sz w:val="22"/>
          <w:szCs w:val="22"/>
          <w:lang w:val="en-GB" w:eastAsia="ja-JP"/>
        </w:rPr>
        <w:t>B. lupulina</w:t>
      </w:r>
      <w:r w:rsidRPr="005E6B7C">
        <w:rPr>
          <w:rFonts w:asciiTheme="majorHAnsi" w:eastAsia="Yu Mincho" w:hAnsiTheme="majorHAnsi" w:cstheme="majorHAnsi"/>
          <w:color w:val="000000" w:themeColor="text1"/>
          <w:sz w:val="22"/>
          <w:szCs w:val="22"/>
          <w:lang w:val="en-GB" w:eastAsia="ja-JP"/>
        </w:rPr>
        <w:t xml:space="preserve"> aerial parts collected in Ho Chi Minh city</w:t>
      </w:r>
      <w:r w:rsidRPr="005E6B7C">
        <w:rPr>
          <w:rFonts w:asciiTheme="majorHAnsi" w:eastAsia="Yu Mincho" w:hAnsiTheme="majorHAnsi" w:cstheme="majorHAnsi"/>
          <w:color w:val="000000" w:themeColor="text1"/>
          <w:sz w:val="22"/>
          <w:szCs w:val="22"/>
          <w:lang w:eastAsia="ja-JP"/>
        </w:rPr>
        <w:t xml:space="preserve">. To the best of our knowledge, compounds </w:t>
      </w:r>
      <w:r w:rsidRPr="005E6B7C">
        <w:rPr>
          <w:rFonts w:asciiTheme="majorHAnsi" w:eastAsia="Yu Mincho" w:hAnsiTheme="majorHAnsi" w:cstheme="majorHAnsi"/>
          <w:b/>
          <w:bCs/>
          <w:color w:val="000000" w:themeColor="text1"/>
          <w:sz w:val="22"/>
          <w:szCs w:val="22"/>
          <w:lang w:eastAsia="ja-JP"/>
        </w:rPr>
        <w:t>1</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 xml:space="preserve"> 3</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 xml:space="preserve"> 4</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and</w:t>
      </w:r>
      <w:r w:rsidRPr="005E6B7C">
        <w:rPr>
          <w:rFonts w:asciiTheme="majorHAnsi" w:eastAsia="Yu Mincho" w:hAnsiTheme="majorHAnsi" w:cstheme="majorHAnsi"/>
          <w:b/>
          <w:bCs/>
          <w:color w:val="000000" w:themeColor="text1"/>
          <w:sz w:val="22"/>
          <w:szCs w:val="22"/>
          <w:lang w:eastAsia="ja-JP"/>
        </w:rPr>
        <w:t xml:space="preserve"> 5</w:t>
      </w:r>
      <w:r w:rsidRPr="005E6B7C">
        <w:rPr>
          <w:rFonts w:asciiTheme="majorHAnsi" w:eastAsia="Yu Mincho" w:hAnsiTheme="majorHAnsi" w:cstheme="majorHAnsi"/>
          <w:color w:val="000000" w:themeColor="text1"/>
          <w:sz w:val="22"/>
          <w:szCs w:val="22"/>
          <w:lang w:eastAsia="ja-JP"/>
        </w:rPr>
        <w:t xml:space="preserve"> were identified for the first time from the </w:t>
      </w:r>
      <w:r w:rsidRPr="005E6B7C">
        <w:rPr>
          <w:rFonts w:asciiTheme="majorHAnsi" w:eastAsia="Yu Mincho" w:hAnsiTheme="majorHAnsi" w:cstheme="majorHAnsi"/>
          <w:bCs/>
          <w:i/>
          <w:color w:val="000000" w:themeColor="text1"/>
          <w:sz w:val="22"/>
          <w:szCs w:val="22"/>
          <w:lang w:eastAsia="ja-JP"/>
        </w:rPr>
        <w:t>Barleria</w:t>
      </w:r>
      <w:r w:rsidRPr="005E6B7C">
        <w:rPr>
          <w:rFonts w:asciiTheme="majorHAnsi" w:eastAsia="Yu Mincho" w:hAnsiTheme="majorHAnsi" w:cstheme="majorHAnsi"/>
          <w:bCs/>
          <w:color w:val="000000" w:themeColor="text1"/>
          <w:sz w:val="22"/>
          <w:szCs w:val="22"/>
          <w:lang w:eastAsia="ja-JP"/>
        </w:rPr>
        <w:t xml:space="preserve"> genus</w:t>
      </w:r>
      <w:r w:rsidRPr="005E6B7C">
        <w:rPr>
          <w:rFonts w:asciiTheme="majorHAnsi" w:eastAsia="Yu Mincho" w:hAnsiTheme="majorHAnsi" w:cstheme="majorHAnsi"/>
          <w:iCs/>
          <w:color w:val="000000" w:themeColor="text1"/>
          <w:sz w:val="22"/>
          <w:szCs w:val="22"/>
          <w:lang w:eastAsia="ja-JP"/>
        </w:rPr>
        <w:t>.</w:t>
      </w:r>
    </w:p>
    <w:p w14:paraId="46EAAD85" w14:textId="77777777" w:rsidR="00207C22" w:rsidRPr="005E6B7C" w:rsidRDefault="00207C22" w:rsidP="008C0D47">
      <w:pPr>
        <w:tabs>
          <w:tab w:val="left" w:pos="9270"/>
        </w:tabs>
        <w:spacing w:line="264" w:lineRule="exact"/>
        <w:ind w:firstLine="284"/>
        <w:contextualSpacing/>
        <w:jc w:val="both"/>
        <w:rPr>
          <w:rFonts w:asciiTheme="majorHAnsi" w:eastAsia="Yu Mincho" w:hAnsiTheme="majorHAnsi" w:cstheme="majorHAnsi"/>
          <w:iCs/>
          <w:color w:val="000000" w:themeColor="text1"/>
          <w:sz w:val="22"/>
          <w:szCs w:val="22"/>
          <w:lang w:eastAsia="ja-JP"/>
        </w:rPr>
        <w:sectPr w:rsidR="00207C22" w:rsidRPr="005E6B7C" w:rsidSect="00207C22">
          <w:type w:val="continuous"/>
          <w:pgSz w:w="10773" w:h="15309" w:code="9"/>
          <w:pgMar w:top="907" w:right="851" w:bottom="1418" w:left="851" w:header="397" w:footer="851" w:gutter="0"/>
          <w:cols w:num="2" w:space="284"/>
          <w:docGrid w:linePitch="360"/>
        </w:sectPr>
      </w:pPr>
    </w:p>
    <w:p w14:paraId="340FB47D" w14:textId="77777777" w:rsidR="00E049CB" w:rsidRPr="005E6B7C" w:rsidRDefault="00E049CB" w:rsidP="008C0D47">
      <w:pPr>
        <w:spacing w:before="120" w:after="120"/>
        <w:jc w:val="center"/>
        <w:rPr>
          <w:b/>
          <w:sz w:val="18"/>
          <w:szCs w:val="18"/>
        </w:rPr>
      </w:pPr>
      <w:r w:rsidRPr="005E6B7C">
        <w:rPr>
          <w:b/>
          <w:sz w:val="18"/>
          <w:szCs w:val="18"/>
        </w:rPr>
        <w:lastRenderedPageBreak/>
        <w:t>References</w:t>
      </w:r>
    </w:p>
    <w:p w14:paraId="598BEBD6" w14:textId="4113E34C"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 xml:space="preserve"> Gangaram S., Naidoo Y., Dewir Y. H., El-Hendawy S</w:t>
      </w:r>
      <w:r w:rsidR="007A051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(2021), Phytochemicals and biological activities of </w:t>
      </w:r>
      <w:r w:rsidRPr="005E6B7C">
        <w:rPr>
          <w:rFonts w:asciiTheme="majorHAnsi" w:eastAsia="Yu Mincho" w:hAnsiTheme="majorHAnsi" w:cstheme="majorHAnsi"/>
          <w:i/>
          <w:noProof/>
          <w:color w:val="000000" w:themeColor="text1"/>
          <w:sz w:val="18"/>
          <w:szCs w:val="18"/>
          <w:lang w:eastAsia="ja-JP"/>
        </w:rPr>
        <w:t>Barleria</w:t>
      </w:r>
      <w:r w:rsidRPr="005E6B7C">
        <w:rPr>
          <w:rFonts w:asciiTheme="majorHAnsi" w:eastAsia="Yu Mincho" w:hAnsiTheme="majorHAnsi" w:cstheme="majorHAnsi"/>
          <w:noProof/>
          <w:color w:val="000000" w:themeColor="text1"/>
          <w:sz w:val="18"/>
          <w:szCs w:val="18"/>
          <w:lang w:eastAsia="ja-JP"/>
        </w:rPr>
        <w:t xml:space="preserve"> (Acanthaceae), </w:t>
      </w:r>
      <w:r w:rsidRPr="005E6B7C">
        <w:rPr>
          <w:rFonts w:asciiTheme="majorHAnsi" w:eastAsia="Yu Mincho" w:hAnsiTheme="majorHAnsi" w:cstheme="majorHAnsi"/>
          <w:i/>
          <w:iCs/>
          <w:noProof/>
          <w:color w:val="000000" w:themeColor="text1"/>
          <w:sz w:val="18"/>
          <w:szCs w:val="18"/>
          <w:lang w:eastAsia="ja-JP"/>
        </w:rPr>
        <w:t>Plants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 xml:space="preserve">(1), 82. </w:t>
      </w:r>
    </w:p>
    <w:p w14:paraId="67E3551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 xml:space="preserve">2. </w:t>
      </w:r>
      <w:r w:rsidRPr="005E6B7C">
        <w:rPr>
          <w:rFonts w:asciiTheme="majorHAnsi" w:eastAsia="Yu Mincho" w:hAnsiTheme="majorHAnsi" w:cstheme="majorHAnsi"/>
          <w:noProof/>
          <w:color w:val="000000" w:themeColor="text1"/>
          <w:sz w:val="18"/>
          <w:szCs w:val="18"/>
          <w:lang w:eastAsia="ja-JP"/>
        </w:rPr>
        <w:t xml:space="preserve">Sawarkar H. A., Pandey A. K., Biyani K. R. (2023), Phytochemicals and therapeutic potentials of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Bangladesh Journal of Pharmacology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 xml:space="preserve">(4), 119-129. </w:t>
      </w:r>
    </w:p>
    <w:p w14:paraId="174375B3"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xml:space="preserve"> Do T. L. (2004), </w:t>
      </w:r>
      <w:r w:rsidRPr="005E6B7C">
        <w:rPr>
          <w:rFonts w:asciiTheme="majorHAnsi" w:eastAsia="Yu Mincho" w:hAnsiTheme="majorHAnsi" w:cstheme="majorHAnsi"/>
          <w:i/>
          <w:noProof/>
          <w:color w:val="000000" w:themeColor="text1"/>
          <w:sz w:val="18"/>
          <w:szCs w:val="18"/>
          <w:lang w:eastAsia="ja-JP"/>
        </w:rPr>
        <w:t>Vietnamese medicinal plants and materials</w:t>
      </w:r>
      <w:r w:rsidRPr="005E6B7C">
        <w:rPr>
          <w:rFonts w:asciiTheme="majorHAnsi" w:eastAsia="Yu Mincho" w:hAnsiTheme="majorHAnsi" w:cstheme="majorHAnsi"/>
          <w:noProof/>
          <w:color w:val="000000" w:themeColor="text1"/>
          <w:sz w:val="18"/>
          <w:szCs w:val="18"/>
          <w:lang w:eastAsia="ja-JP"/>
        </w:rPr>
        <w:t xml:space="preserve">, Medical Publishing House, Hanoi. </w:t>
      </w:r>
    </w:p>
    <w:p w14:paraId="1207058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 xml:space="preserve"> Keomanykham O., Anh H. T., Duyen N. T., Giang T. N., Kim N. Q., Hoa T. T., Hoa L. T. P., Quang D. N. (2025), Iridoid glucosides from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LINDL, </w:t>
      </w:r>
      <w:r w:rsidRPr="005E6B7C">
        <w:rPr>
          <w:rFonts w:asciiTheme="majorHAnsi" w:eastAsia="Yu Mincho" w:hAnsiTheme="majorHAnsi" w:cstheme="majorHAnsi"/>
          <w:i/>
          <w:noProof/>
          <w:color w:val="000000" w:themeColor="text1"/>
          <w:sz w:val="18"/>
          <w:szCs w:val="18"/>
          <w:lang w:eastAsia="ja-JP"/>
        </w:rPr>
        <w:t>HNUE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Science Natural Science</w:t>
      </w:r>
      <w:r w:rsidRPr="005E6B7C">
        <w:rPr>
          <w:rFonts w:asciiTheme="majorHAnsi" w:eastAsia="Yu Mincho" w:hAnsiTheme="majorHAnsi" w:cstheme="majorHAnsi"/>
          <w:noProof/>
          <w:color w:val="000000" w:themeColor="text1"/>
          <w:sz w:val="18"/>
          <w:szCs w:val="18"/>
          <w:lang w:eastAsia="ja-JP"/>
        </w:rPr>
        <w:t>, 70(1), 53-60.</w:t>
      </w:r>
    </w:p>
    <w:p w14:paraId="326CF4E6"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 xml:space="preserve"> Lee S. R., Clardy J., Senger D. R., Cao S., Kim K. H. (2016), Iridoid and phenylethanoid glycosides from the aerial part of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Revista Brasileira de Farmacognosia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26</w:t>
      </w:r>
      <w:r w:rsidRPr="005E6B7C">
        <w:rPr>
          <w:rFonts w:asciiTheme="majorHAnsi" w:eastAsia="Yu Mincho" w:hAnsiTheme="majorHAnsi" w:cstheme="majorHAnsi"/>
          <w:noProof/>
          <w:color w:val="000000" w:themeColor="text1"/>
          <w:sz w:val="18"/>
          <w:szCs w:val="18"/>
          <w:lang w:eastAsia="ja-JP"/>
        </w:rPr>
        <w:t>(3), 281-284.</w:t>
      </w:r>
    </w:p>
    <w:p w14:paraId="18FBED01"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noProof/>
          <w:color w:val="000000" w:themeColor="text1"/>
          <w:sz w:val="18"/>
          <w:szCs w:val="18"/>
          <w:lang w:eastAsia="ja-JP"/>
        </w:rPr>
        <w:t xml:space="preserve">6. </w:t>
      </w:r>
      <w:r w:rsidRPr="005E6B7C">
        <w:rPr>
          <w:rFonts w:asciiTheme="majorHAnsi" w:eastAsia="Yu Mincho" w:hAnsiTheme="majorHAnsi" w:cstheme="majorHAnsi"/>
          <w:noProof/>
          <w:color w:val="000000" w:themeColor="text1"/>
          <w:sz w:val="18"/>
          <w:szCs w:val="18"/>
          <w:lang w:eastAsia="ja-JP"/>
        </w:rPr>
        <w:t xml:space="preserve">Kim K. H., Park Y. J., Chung K. H., Yip M. R., Clardy J., Senger D., Cao S. (2015), Iridoid glycosides from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Natural Products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78</w:t>
      </w:r>
      <w:r w:rsidRPr="005E6B7C">
        <w:rPr>
          <w:rFonts w:asciiTheme="majorHAnsi" w:eastAsia="Yu Mincho" w:hAnsiTheme="majorHAnsi" w:cstheme="majorHAnsi"/>
          <w:noProof/>
          <w:color w:val="000000" w:themeColor="text1"/>
          <w:sz w:val="18"/>
          <w:szCs w:val="18"/>
          <w:lang w:eastAsia="ja-JP"/>
        </w:rPr>
        <w:t>(2), 320-324.</w:t>
      </w:r>
    </w:p>
    <w:p w14:paraId="13C003D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7. </w:t>
      </w:r>
      <w:r w:rsidRPr="005E6B7C">
        <w:rPr>
          <w:rFonts w:asciiTheme="majorHAnsi" w:eastAsia="Yu Mincho" w:hAnsiTheme="majorHAnsi" w:cstheme="majorHAnsi"/>
          <w:noProof/>
          <w:color w:val="000000" w:themeColor="text1"/>
          <w:sz w:val="18"/>
          <w:szCs w:val="18"/>
          <w:lang w:eastAsia="ja-JP"/>
        </w:rPr>
        <w:t xml:space="preserve">Suba V., Murugesan T., Arunachalam G., Mandal S. C., Saha B. P. (2004), Anti-diabetic potential of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extract in rats, </w:t>
      </w:r>
      <w:r w:rsidRPr="005E6B7C">
        <w:rPr>
          <w:rFonts w:asciiTheme="majorHAnsi" w:eastAsia="Yu Mincho" w:hAnsiTheme="majorHAnsi" w:cstheme="majorHAnsi"/>
          <w:i/>
          <w:iCs/>
          <w:noProof/>
          <w:color w:val="000000" w:themeColor="text1"/>
          <w:sz w:val="18"/>
          <w:szCs w:val="18"/>
          <w:lang w:eastAsia="ja-JP"/>
        </w:rPr>
        <w:t>Phytomedicine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(2-3), 202-205.</w:t>
      </w:r>
    </w:p>
    <w:p w14:paraId="4860766C"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 xml:space="preserve">8. </w:t>
      </w:r>
      <w:r w:rsidRPr="005E6B7C">
        <w:rPr>
          <w:rFonts w:asciiTheme="majorHAnsi" w:eastAsia="Yu Mincho" w:hAnsiTheme="majorHAnsi" w:cstheme="majorHAnsi"/>
          <w:noProof/>
          <w:color w:val="000000" w:themeColor="text1"/>
          <w:sz w:val="18"/>
          <w:szCs w:val="18"/>
          <w:lang w:eastAsia="ja-JP"/>
        </w:rPr>
        <w:t xml:space="preserve">Ilori N. T. O., Liew C. X. Q., Fang C. M. (2020), The anti-inflammatory properties of </w:t>
      </w:r>
      <w:r w:rsidRPr="005E6B7C">
        <w:rPr>
          <w:rFonts w:asciiTheme="majorHAnsi" w:eastAsia="Yu Mincho" w:hAnsiTheme="majorHAnsi" w:cstheme="majorHAnsi"/>
          <w:i/>
          <w:noProof/>
          <w:color w:val="000000" w:themeColor="text1"/>
          <w:sz w:val="18"/>
          <w:szCs w:val="18"/>
          <w:lang w:eastAsia="ja-JP"/>
        </w:rPr>
        <w:t>Acanthus ebracteatus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and </w:t>
      </w:r>
      <w:r w:rsidRPr="005E6B7C">
        <w:rPr>
          <w:rFonts w:asciiTheme="majorHAnsi" w:eastAsia="Yu Mincho" w:hAnsiTheme="majorHAnsi" w:cstheme="majorHAnsi"/>
          <w:i/>
          <w:noProof/>
          <w:color w:val="000000" w:themeColor="text1"/>
          <w:sz w:val="18"/>
          <w:szCs w:val="18"/>
          <w:lang w:eastAsia="ja-JP"/>
        </w:rPr>
        <w:t>Clinacanthus nutans</w:t>
      </w:r>
      <w:r w:rsidRPr="005E6B7C">
        <w:rPr>
          <w:rFonts w:asciiTheme="majorHAnsi" w:eastAsia="Yu Mincho" w:hAnsiTheme="majorHAnsi" w:cstheme="majorHAnsi"/>
          <w:noProof/>
          <w:color w:val="000000" w:themeColor="text1"/>
          <w:sz w:val="18"/>
          <w:szCs w:val="18"/>
          <w:lang w:eastAsia="ja-JP"/>
        </w:rPr>
        <w:t xml:space="preserve">: A systematic review, </w:t>
      </w:r>
      <w:r w:rsidRPr="005E6B7C">
        <w:rPr>
          <w:rFonts w:asciiTheme="majorHAnsi" w:eastAsia="Yu Mincho" w:hAnsiTheme="majorHAnsi" w:cstheme="majorHAnsi"/>
          <w:i/>
          <w:iCs/>
          <w:noProof/>
          <w:color w:val="000000" w:themeColor="text1"/>
          <w:sz w:val="18"/>
          <w:szCs w:val="18"/>
          <w:lang w:eastAsia="ja-JP"/>
        </w:rPr>
        <w:t>Molecular Biology Reports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47</w:t>
      </w:r>
      <w:r w:rsidRPr="005E6B7C">
        <w:rPr>
          <w:rFonts w:asciiTheme="majorHAnsi" w:eastAsia="Yu Mincho" w:hAnsiTheme="majorHAnsi" w:cstheme="majorHAnsi"/>
          <w:noProof/>
          <w:color w:val="000000" w:themeColor="text1"/>
          <w:sz w:val="18"/>
          <w:szCs w:val="18"/>
          <w:lang w:eastAsia="ja-JP"/>
        </w:rPr>
        <w:t>(12), 9883-9894.</w:t>
      </w:r>
    </w:p>
    <w:p w14:paraId="37ABD7D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9</w:t>
      </w:r>
      <w:r w:rsidRPr="005E6B7C">
        <w:rPr>
          <w:rFonts w:asciiTheme="majorHAnsi" w:eastAsia="Yu Mincho" w:hAnsiTheme="majorHAnsi" w:cstheme="majorHAnsi"/>
          <w:noProof/>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 xml:space="preserve">Kumari R., Kumar S., Kumar A., Goel K. K., Dubey R. C. (2017), Antibacterial, antioxidant and immuno-modulatory properties in extracts of </w:t>
      </w:r>
      <w:r w:rsidRPr="005E6B7C">
        <w:rPr>
          <w:rFonts w:asciiTheme="majorHAnsi" w:eastAsia="Yu Mincho" w:hAnsiTheme="majorHAnsi" w:cstheme="majorHAnsi"/>
          <w:i/>
          <w:noProof/>
          <w:color w:val="000000" w:themeColor="text1"/>
          <w:sz w:val="18"/>
          <w:szCs w:val="18"/>
          <w:lang w:eastAsia="ja-JP"/>
        </w:rPr>
        <w:t>Barleria lupulina</w:t>
      </w:r>
      <w:r w:rsidRPr="005E6B7C">
        <w:rPr>
          <w:rFonts w:asciiTheme="majorHAnsi" w:eastAsia="Yu Mincho" w:hAnsiTheme="majorHAnsi" w:cstheme="majorHAnsi"/>
          <w:noProof/>
          <w:color w:val="000000" w:themeColor="text1"/>
          <w:sz w:val="18"/>
          <w:szCs w:val="18"/>
          <w:lang w:eastAsia="ja-JP"/>
        </w:rPr>
        <w:t xml:space="preserve"> Lindl, </w:t>
      </w:r>
      <w:r w:rsidRPr="005E6B7C">
        <w:rPr>
          <w:rFonts w:asciiTheme="majorHAnsi" w:eastAsia="Yu Mincho" w:hAnsiTheme="majorHAnsi" w:cstheme="majorHAnsi"/>
          <w:i/>
          <w:iCs/>
          <w:noProof/>
          <w:color w:val="000000" w:themeColor="text1"/>
          <w:sz w:val="18"/>
          <w:szCs w:val="18"/>
          <w:lang w:eastAsia="ja-JP"/>
        </w:rPr>
        <w:t>BMC Complementary and Alternative Medicine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(1), 484.</w:t>
      </w:r>
    </w:p>
    <w:p w14:paraId="56850FD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10.</w:t>
      </w:r>
      <w:r w:rsidRPr="005E6B7C">
        <w:rPr>
          <w:rFonts w:asciiTheme="majorHAnsi" w:eastAsia="Yu Mincho" w:hAnsiTheme="majorHAnsi" w:cstheme="majorHAnsi"/>
          <w:noProof/>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 xml:space="preserve">Nguyen N. T., Dang P. H., Nguyen H. X., Le T. H., Do T. N. V., Nguyen M. T. T. (2022), A new lignan from the stems of </w:t>
      </w:r>
      <w:r w:rsidRPr="005E6B7C">
        <w:rPr>
          <w:rFonts w:asciiTheme="majorHAnsi" w:eastAsia="Yu Mincho" w:hAnsiTheme="majorHAnsi" w:cstheme="majorHAnsi"/>
          <w:i/>
          <w:noProof/>
          <w:color w:val="000000" w:themeColor="text1"/>
          <w:sz w:val="18"/>
          <w:szCs w:val="18"/>
          <w:lang w:eastAsia="ja-JP"/>
        </w:rPr>
        <w:t>Buchanania lucida</w:t>
      </w:r>
      <w:r w:rsidRPr="005E6B7C">
        <w:rPr>
          <w:rFonts w:asciiTheme="majorHAnsi" w:eastAsia="Yu Mincho" w:hAnsiTheme="majorHAnsi" w:cstheme="majorHAnsi"/>
          <w:noProof/>
          <w:color w:val="000000" w:themeColor="text1"/>
          <w:sz w:val="18"/>
          <w:szCs w:val="18"/>
          <w:lang w:eastAsia="ja-JP"/>
        </w:rPr>
        <w:t xml:space="preserve"> Blume (Anacardiaceae), </w:t>
      </w:r>
      <w:r w:rsidRPr="005E6B7C">
        <w:rPr>
          <w:rFonts w:asciiTheme="majorHAnsi" w:eastAsia="Yu Mincho" w:hAnsiTheme="majorHAnsi" w:cstheme="majorHAnsi"/>
          <w:i/>
          <w:iCs/>
          <w:noProof/>
          <w:color w:val="000000" w:themeColor="text1"/>
          <w:sz w:val="18"/>
          <w:szCs w:val="18"/>
          <w:lang w:eastAsia="ja-JP"/>
        </w:rPr>
        <w:t>Natural Product Research</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36</w:t>
      </w:r>
      <w:r w:rsidRPr="005E6B7C">
        <w:rPr>
          <w:rFonts w:asciiTheme="majorHAnsi" w:eastAsia="Yu Mincho" w:hAnsiTheme="majorHAnsi" w:cstheme="majorHAnsi"/>
          <w:noProof/>
          <w:color w:val="000000" w:themeColor="text1"/>
          <w:sz w:val="18"/>
          <w:szCs w:val="18"/>
          <w:lang w:eastAsia="ja-JP"/>
        </w:rPr>
        <w:t>(14), 3737-3740.</w:t>
      </w:r>
    </w:p>
    <w:p w14:paraId="49BD09F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Yu Mincho" w:hAnsiTheme="majorHAnsi" w:cstheme="majorHAnsi"/>
          <w:b/>
          <w:bCs/>
          <w:noProof/>
          <w:color w:val="000000" w:themeColor="text1"/>
          <w:sz w:val="18"/>
          <w:szCs w:val="18"/>
          <w:shd w:val="clear" w:color="auto" w:fill="FFFFFF"/>
          <w:lang w:eastAsia="ja-JP"/>
        </w:rPr>
        <w:t>11.</w:t>
      </w:r>
      <w:r w:rsidRPr="005E6B7C">
        <w:rPr>
          <w:rFonts w:asciiTheme="majorHAnsi" w:eastAsia="Yu Mincho" w:hAnsiTheme="majorHAnsi" w:cstheme="majorHAnsi"/>
          <w:noProof/>
          <w:color w:val="000000" w:themeColor="text1"/>
          <w:sz w:val="18"/>
          <w:szCs w:val="18"/>
          <w:lang w:eastAsia="ja-JP"/>
        </w:rPr>
        <w:t xml:space="preserve"> Pham H. Y., Dan T. T. H., Nguyen H. H., Ngo A. B., Duong T. H. Y., Nguyen A. H., Nguyen V. T., Bui H. T., Nguyen X. N., Phan V. K. (2022), Lignans from </w:t>
      </w:r>
      <w:r w:rsidRPr="005E6B7C">
        <w:rPr>
          <w:rFonts w:asciiTheme="majorHAnsi" w:eastAsia="Yu Mincho" w:hAnsiTheme="majorHAnsi" w:cstheme="majorHAnsi"/>
          <w:i/>
          <w:noProof/>
          <w:color w:val="000000" w:themeColor="text1"/>
          <w:sz w:val="18"/>
          <w:szCs w:val="18"/>
          <w:lang w:eastAsia="ja-JP"/>
        </w:rPr>
        <w:t>Gymnema sylvestre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VNU Journal of Science: Natural Sciences and 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38</w:t>
      </w:r>
      <w:r w:rsidRPr="005E6B7C">
        <w:rPr>
          <w:rFonts w:asciiTheme="majorHAnsi" w:eastAsia="Yu Mincho" w:hAnsiTheme="majorHAnsi" w:cstheme="majorHAnsi"/>
          <w:noProof/>
          <w:color w:val="000000" w:themeColor="text1"/>
          <w:sz w:val="18"/>
          <w:szCs w:val="18"/>
          <w:lang w:eastAsia="ja-JP"/>
        </w:rPr>
        <w:t>(4), 18-24.</w:t>
      </w:r>
      <w:r w:rsidRPr="005E6B7C">
        <w:rPr>
          <w:rFonts w:asciiTheme="majorHAnsi" w:eastAsia="Yu Mincho" w:hAnsiTheme="majorHAnsi" w:cstheme="majorHAnsi"/>
          <w:noProof/>
          <w:color w:val="000000" w:themeColor="text1"/>
          <w:sz w:val="18"/>
          <w:szCs w:val="18"/>
          <w:shd w:val="clear" w:color="auto" w:fill="FFFFFF"/>
          <w:lang w:eastAsia="ja-JP"/>
        </w:rPr>
        <w:t xml:space="preserve"> </w:t>
      </w:r>
    </w:p>
    <w:p w14:paraId="7434FDC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12. </w:t>
      </w:r>
      <w:r w:rsidRPr="005E6B7C">
        <w:rPr>
          <w:rFonts w:asciiTheme="majorHAnsi" w:eastAsia="Yu Mincho" w:hAnsiTheme="majorHAnsi" w:cstheme="majorHAnsi"/>
          <w:noProof/>
          <w:color w:val="000000" w:themeColor="text1"/>
          <w:sz w:val="18"/>
          <w:szCs w:val="18"/>
          <w:lang w:eastAsia="ja-JP"/>
        </w:rPr>
        <w:t xml:space="preserve">Yuasa K., Ide T., Otsuka H., Ogimi C., Hirata E., Takushi A., Takeda Y. (1997), Lignan and neolignan glycosides from stems of </w:t>
      </w:r>
      <w:r w:rsidRPr="005E6B7C">
        <w:rPr>
          <w:rFonts w:asciiTheme="majorHAnsi" w:eastAsia="Yu Mincho" w:hAnsiTheme="majorHAnsi" w:cstheme="majorHAnsi"/>
          <w:i/>
          <w:noProof/>
          <w:color w:val="000000" w:themeColor="text1"/>
          <w:sz w:val="18"/>
          <w:szCs w:val="18"/>
          <w:lang w:eastAsia="ja-JP"/>
        </w:rPr>
        <w:t>Alangium premnifolium</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Phytochemistry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45</w:t>
      </w:r>
      <w:r w:rsidRPr="005E6B7C">
        <w:rPr>
          <w:rFonts w:asciiTheme="majorHAnsi" w:eastAsia="Yu Mincho" w:hAnsiTheme="majorHAnsi" w:cstheme="majorHAnsi"/>
          <w:noProof/>
          <w:color w:val="000000" w:themeColor="text1"/>
          <w:sz w:val="18"/>
          <w:szCs w:val="18"/>
          <w:lang w:eastAsia="ja-JP"/>
        </w:rPr>
        <w:t xml:space="preserve">(3), 611-615 </w:t>
      </w:r>
    </w:p>
    <w:p w14:paraId="2FF9D24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 xml:space="preserve"> Itokawa H., Qiao Y., Takeya K. (1989), Anthraquinones and naphthohydroquinones from </w:t>
      </w:r>
      <w:r w:rsidRPr="005E6B7C">
        <w:rPr>
          <w:rFonts w:asciiTheme="majorHAnsi" w:eastAsia="Yu Mincho" w:hAnsiTheme="majorHAnsi" w:cstheme="majorHAnsi"/>
          <w:i/>
          <w:noProof/>
          <w:color w:val="000000" w:themeColor="text1"/>
          <w:sz w:val="18"/>
          <w:szCs w:val="18"/>
          <w:lang w:eastAsia="ja-JP"/>
        </w:rPr>
        <w:t>Rubia cordifolia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Phytochemistry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28</w:t>
      </w:r>
      <w:r w:rsidRPr="005E6B7C">
        <w:rPr>
          <w:rFonts w:asciiTheme="majorHAnsi" w:eastAsia="Yu Mincho" w:hAnsiTheme="majorHAnsi" w:cstheme="majorHAnsi"/>
          <w:noProof/>
          <w:color w:val="000000" w:themeColor="text1"/>
          <w:sz w:val="18"/>
          <w:szCs w:val="18"/>
          <w:lang w:eastAsia="ja-JP"/>
        </w:rPr>
        <w:t>(12), 3465-3468</w:t>
      </w:r>
      <w:r w:rsidRPr="005E6B7C">
        <w:rPr>
          <w:rFonts w:asciiTheme="majorHAnsi" w:eastAsia="Yu Mincho" w:hAnsiTheme="majorHAnsi" w:cstheme="majorHAnsi"/>
          <w:noProof/>
          <w:color w:val="000000" w:themeColor="text1"/>
          <w:sz w:val="18"/>
          <w:szCs w:val="18"/>
          <w:shd w:val="clear" w:color="auto" w:fill="FFFFFF"/>
          <w:lang w:eastAsia="ja-JP"/>
        </w:rPr>
        <w:t xml:space="preserve">. </w:t>
      </w:r>
    </w:p>
    <w:p w14:paraId="1E05C79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14.</w:t>
      </w:r>
      <w:r w:rsidRPr="005E6B7C">
        <w:rPr>
          <w:rFonts w:asciiTheme="majorHAnsi" w:eastAsia="Times New Roman"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Yamamura S., Ozawa K., Ohtani K., Kasai R., Yamasaki K. (1998), Antihistaminic flavones and aliphatic glycosides from </w:t>
      </w:r>
      <w:r w:rsidRPr="005E6B7C">
        <w:rPr>
          <w:rFonts w:asciiTheme="majorHAnsi" w:eastAsia="Yu Mincho" w:hAnsiTheme="majorHAnsi" w:cstheme="majorHAnsi"/>
          <w:i/>
          <w:noProof/>
          <w:color w:val="000000" w:themeColor="text1"/>
          <w:sz w:val="18"/>
          <w:szCs w:val="18"/>
          <w:lang w:eastAsia="ja-JP"/>
        </w:rPr>
        <w:t>Mentha spicata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Phytochemistry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48</w:t>
      </w:r>
      <w:r w:rsidRPr="005E6B7C">
        <w:rPr>
          <w:rFonts w:asciiTheme="majorHAnsi" w:eastAsia="Yu Mincho" w:hAnsiTheme="majorHAnsi" w:cstheme="majorHAnsi"/>
          <w:noProof/>
          <w:color w:val="000000" w:themeColor="text1"/>
          <w:sz w:val="18"/>
          <w:szCs w:val="18"/>
          <w:lang w:eastAsia="ja-JP"/>
        </w:rPr>
        <w:t>(1), 131-136.</w:t>
      </w:r>
      <w:r w:rsidRPr="005E6B7C">
        <w:rPr>
          <w:rFonts w:asciiTheme="majorHAnsi" w:eastAsia="Yu Mincho" w:hAnsiTheme="majorHAnsi" w:cstheme="majorHAnsi"/>
          <w:noProof/>
          <w:color w:val="000000" w:themeColor="text1"/>
          <w:sz w:val="18"/>
          <w:szCs w:val="18"/>
          <w:lang w:val="vi-VN" w:eastAsia="ja-JP"/>
        </w:rPr>
        <w:t xml:space="preserve"> </w:t>
      </w:r>
    </w:p>
    <w:p w14:paraId="5EC6A9B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15. </w:t>
      </w:r>
      <w:r w:rsidRPr="005E6B7C">
        <w:rPr>
          <w:rFonts w:asciiTheme="majorHAnsi" w:eastAsia="Yu Mincho" w:hAnsiTheme="majorHAnsi" w:cstheme="majorHAnsi"/>
          <w:noProof/>
          <w:color w:val="000000" w:themeColor="text1"/>
          <w:sz w:val="18"/>
          <w:szCs w:val="18"/>
          <w:lang w:eastAsia="ja-JP"/>
        </w:rPr>
        <w:t xml:space="preserve">Ha N. T. T., Tra N. T., Ninh B. H., Tiep N. K. (2022), Chemical constituents from the stem barks of </w:t>
      </w:r>
      <w:r w:rsidRPr="005E6B7C">
        <w:rPr>
          <w:rFonts w:asciiTheme="majorHAnsi" w:eastAsia="Yu Mincho" w:hAnsiTheme="majorHAnsi" w:cstheme="majorHAnsi"/>
          <w:i/>
          <w:noProof/>
          <w:color w:val="000000" w:themeColor="text1"/>
          <w:sz w:val="18"/>
          <w:szCs w:val="18"/>
          <w:lang w:eastAsia="ja-JP"/>
        </w:rPr>
        <w:t>Polyscias serrata</w:t>
      </w:r>
      <w:r w:rsidRPr="005E6B7C">
        <w:rPr>
          <w:rFonts w:asciiTheme="majorHAnsi" w:eastAsia="Yu Mincho" w:hAnsiTheme="majorHAnsi" w:cstheme="majorHAnsi"/>
          <w:noProof/>
          <w:color w:val="000000" w:themeColor="text1"/>
          <w:sz w:val="18"/>
          <w:szCs w:val="18"/>
          <w:lang w:eastAsia="ja-JP"/>
        </w:rPr>
        <w:t xml:space="preserve"> Balf, </w:t>
      </w:r>
      <w:r w:rsidRPr="005E6B7C">
        <w:rPr>
          <w:rFonts w:asciiTheme="majorHAnsi" w:eastAsia="Yu Mincho" w:hAnsiTheme="majorHAnsi" w:cstheme="majorHAnsi"/>
          <w:i/>
          <w:iCs/>
          <w:noProof/>
          <w:color w:val="000000" w:themeColor="text1"/>
          <w:sz w:val="18"/>
          <w:szCs w:val="18"/>
          <w:lang w:eastAsia="ja-JP"/>
        </w:rPr>
        <w:t>Vietnam Journal of Science and 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60</w:t>
      </w:r>
      <w:r w:rsidRPr="005E6B7C">
        <w:rPr>
          <w:rFonts w:asciiTheme="majorHAnsi" w:eastAsia="Yu Mincho" w:hAnsiTheme="majorHAnsi" w:cstheme="majorHAnsi"/>
          <w:noProof/>
          <w:color w:val="000000" w:themeColor="text1"/>
          <w:sz w:val="18"/>
          <w:szCs w:val="18"/>
          <w:lang w:eastAsia="ja-JP"/>
        </w:rPr>
        <w:t>(6), 966-973.</w:t>
      </w:r>
    </w:p>
    <w:p w14:paraId="066ADF94"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 xml:space="preserve">16. </w:t>
      </w:r>
      <w:r w:rsidRPr="005E6B7C">
        <w:rPr>
          <w:rFonts w:asciiTheme="majorHAnsi" w:eastAsia="Yu Mincho" w:hAnsiTheme="majorHAnsi" w:cstheme="majorHAnsi"/>
          <w:noProof/>
          <w:color w:val="000000" w:themeColor="text1"/>
          <w:sz w:val="18"/>
          <w:szCs w:val="18"/>
          <w:lang w:eastAsia="ja-JP"/>
        </w:rPr>
        <w:t xml:space="preserve">Khoi N. M., Luc T. M. (2016), Isolation of stigmasterol from methanolic extract of stem and foliage of </w:t>
      </w:r>
      <w:r w:rsidRPr="005E6B7C">
        <w:rPr>
          <w:rFonts w:asciiTheme="majorHAnsi" w:eastAsia="Yu Mincho" w:hAnsiTheme="majorHAnsi" w:cstheme="majorHAnsi"/>
          <w:i/>
          <w:noProof/>
          <w:color w:val="000000" w:themeColor="text1"/>
          <w:sz w:val="18"/>
          <w:szCs w:val="18"/>
          <w:lang w:eastAsia="ja-JP"/>
        </w:rPr>
        <w:t>Abrus precatoriu</w:t>
      </w:r>
      <w:r w:rsidRPr="005E6B7C">
        <w:rPr>
          <w:rFonts w:asciiTheme="majorHAnsi" w:eastAsia="Yu Mincho" w:hAnsiTheme="majorHAnsi" w:cstheme="majorHAnsi"/>
          <w:noProof/>
          <w:color w:val="000000" w:themeColor="text1"/>
          <w:sz w:val="18"/>
          <w:szCs w:val="18"/>
          <w:lang w:eastAsia="ja-JP"/>
        </w:rPr>
        <w:t xml:space="preserve">s Linn, </w:t>
      </w:r>
      <w:r w:rsidRPr="005E6B7C">
        <w:rPr>
          <w:rFonts w:asciiTheme="majorHAnsi" w:eastAsia="Yu Mincho" w:hAnsiTheme="majorHAnsi" w:cstheme="majorHAnsi"/>
          <w:i/>
          <w:noProof/>
          <w:color w:val="000000" w:themeColor="text1"/>
          <w:sz w:val="18"/>
          <w:szCs w:val="18"/>
          <w:lang w:eastAsia="ja-JP"/>
        </w:rPr>
        <w:t>Journal of Science and Technology,  the University of Danang</w:t>
      </w:r>
      <w:r w:rsidRPr="005E6B7C">
        <w:rPr>
          <w:rFonts w:asciiTheme="majorHAnsi" w:eastAsia="Yu Mincho" w:hAnsiTheme="majorHAnsi" w:cstheme="majorHAnsi"/>
          <w:noProof/>
          <w:color w:val="000000" w:themeColor="text1"/>
          <w:sz w:val="18"/>
          <w:szCs w:val="18"/>
          <w:lang w:eastAsia="ja-JP"/>
        </w:rPr>
        <w:t>, 12(109), 39-42</w:t>
      </w:r>
      <w:r w:rsidRPr="005E6B7C">
        <w:rPr>
          <w:rFonts w:asciiTheme="majorHAnsi" w:eastAsia="Yu Mincho" w:hAnsiTheme="majorHAnsi" w:cstheme="majorHAnsi"/>
          <w:noProof/>
          <w:color w:val="000000" w:themeColor="text1"/>
          <w:sz w:val="18"/>
          <w:szCs w:val="18"/>
          <w:shd w:val="clear" w:color="auto" w:fill="FFFFFF"/>
          <w:lang w:eastAsia="ja-JP"/>
        </w:rPr>
        <w:t>.</w:t>
      </w:r>
    </w:p>
    <w:p w14:paraId="4D0FE66A"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Times New Roman" w:hAnsiTheme="majorHAnsi" w:cstheme="majorHAnsi"/>
          <w:b/>
          <w:bCs/>
          <w:noProof/>
          <w:color w:val="000000" w:themeColor="text1"/>
          <w:sz w:val="18"/>
          <w:szCs w:val="18"/>
          <w:lang w:eastAsia="ja-JP"/>
        </w:rPr>
        <w:t>17.</w:t>
      </w:r>
      <w:r w:rsidRPr="005E6B7C">
        <w:rPr>
          <w:rFonts w:asciiTheme="majorHAnsi" w:eastAsia="Yu Mincho" w:hAnsiTheme="majorHAnsi" w:cstheme="majorHAnsi"/>
          <w:b/>
          <w:b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Guo X. H., Pang L., Gao C. Y., Meng F. L., Jin W. (2023), Lyoniresinol attenuates cerebral ischemic stroke injury in MCAO rat based on oxidative stress suppression via regulation of Akt/GSK-3β/Nrf2 signaling, </w:t>
      </w:r>
      <w:r w:rsidRPr="005E6B7C">
        <w:rPr>
          <w:rFonts w:asciiTheme="majorHAnsi" w:eastAsia="Yu Mincho" w:hAnsiTheme="majorHAnsi" w:cstheme="majorHAnsi"/>
          <w:i/>
          <w:iCs/>
          <w:noProof/>
          <w:color w:val="000000" w:themeColor="text1"/>
          <w:sz w:val="18"/>
          <w:szCs w:val="18"/>
          <w:lang w:eastAsia="ja-JP"/>
        </w:rPr>
        <w:t>Biomedicine &amp; Pharmacotherapy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167</w:t>
      </w:r>
      <w:r w:rsidRPr="005E6B7C">
        <w:rPr>
          <w:rFonts w:asciiTheme="majorHAnsi" w:eastAsia="Yu Mincho" w:hAnsiTheme="majorHAnsi" w:cstheme="majorHAnsi"/>
          <w:noProof/>
          <w:color w:val="000000" w:themeColor="text1"/>
          <w:sz w:val="18"/>
          <w:szCs w:val="18"/>
          <w:lang w:eastAsia="ja-JP"/>
        </w:rPr>
        <w:t>, 115543.</w:t>
      </w:r>
    </w:p>
    <w:p w14:paraId="76074C71" w14:textId="07596CA5"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18. </w:t>
      </w:r>
      <w:r w:rsidRPr="005E6B7C">
        <w:rPr>
          <w:rFonts w:asciiTheme="majorHAnsi" w:eastAsia="Yu Mincho" w:hAnsiTheme="majorHAnsi" w:cstheme="majorHAnsi"/>
          <w:noProof/>
          <w:color w:val="000000" w:themeColor="text1"/>
          <w:sz w:val="18"/>
          <w:szCs w:val="18"/>
          <w:lang w:eastAsia="ja-JP"/>
        </w:rPr>
        <w:t xml:space="preserve">Lu C. L., Zhu W., Wang D. M., Chen W. L., Hu M. M., Wang M., Lu C. J. (2015), Inhibitory effects of chemical compounds isolated from the rhizome of </w:t>
      </w:r>
      <w:r w:rsidRPr="005E6B7C">
        <w:rPr>
          <w:rFonts w:asciiTheme="majorHAnsi" w:eastAsia="Yu Mincho" w:hAnsiTheme="majorHAnsi" w:cstheme="majorHAnsi"/>
          <w:i/>
          <w:noProof/>
          <w:color w:val="000000" w:themeColor="text1"/>
          <w:sz w:val="18"/>
          <w:szCs w:val="18"/>
          <w:lang w:eastAsia="ja-JP"/>
        </w:rPr>
        <w:t>Smilax glabra</w:t>
      </w:r>
      <w:r w:rsidRPr="005E6B7C">
        <w:rPr>
          <w:rFonts w:asciiTheme="majorHAnsi" w:eastAsia="Yu Mincho" w:hAnsiTheme="majorHAnsi" w:cstheme="majorHAnsi" w:hint="eastAsia"/>
          <w:noProof/>
          <w:color w:val="000000" w:themeColor="text1"/>
          <w:sz w:val="18"/>
          <w:szCs w:val="18"/>
          <w:lang w:eastAsia="ja-JP"/>
        </w:rPr>
        <w:t xml:space="preserve"> on nitric oxide and tumor necrosis factor</w:t>
      </w:r>
      <w:r w:rsidR="008C0D47" w:rsidRPr="005E6B7C">
        <w:rPr>
          <w:rFonts w:asciiTheme="majorHAnsi" w:eastAsia="Yu Mincho" w:hAnsiTheme="majorHAnsi" w:cstheme="majorHAnsi" w:hint="eastAsia"/>
          <w:noProof/>
          <w:color w:val="000000" w:themeColor="text1"/>
          <w:sz w:val="18"/>
          <w:szCs w:val="18"/>
          <w:lang w:eastAsia="ja-JP"/>
        </w:rPr>
        <w:t>-</w:t>
      </w:r>
      <w:r w:rsidR="008C0D47" w:rsidRPr="005E6B7C">
        <w:rPr>
          <w:rFonts w:asciiTheme="majorHAnsi" w:eastAsia="Yu Mincho" w:hAnsiTheme="majorHAnsi" w:cstheme="majorHAnsi"/>
          <w:noProof/>
          <w:color w:val="000000" w:themeColor="text1"/>
          <w:sz w:val="18"/>
          <w:szCs w:val="18"/>
          <w:lang w:eastAsia="ja-JP"/>
        </w:rPr>
        <w:t xml:space="preserve">α </w:t>
      </w:r>
      <w:r w:rsidRPr="005E6B7C">
        <w:rPr>
          <w:rFonts w:asciiTheme="majorHAnsi" w:eastAsia="Yu Mincho" w:hAnsiTheme="majorHAnsi" w:cstheme="majorHAnsi" w:hint="eastAsia"/>
          <w:noProof/>
          <w:color w:val="000000" w:themeColor="text1"/>
          <w:sz w:val="18"/>
          <w:szCs w:val="18"/>
          <w:lang w:eastAsia="ja-JP"/>
        </w:rPr>
        <w:t>production in lipopolysaccharide</w:t>
      </w:r>
      <w:r w:rsidR="008C0D47" w:rsidRPr="005E6B7C">
        <w:rPr>
          <w:rFonts w:asciiTheme="majorHAnsi" w:eastAsia="Yu Mincho" w:hAnsiTheme="majorHAnsi" w:cstheme="majorHAnsi" w:hint="eastAsia"/>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 xml:space="preserve">induced RAW264.7 cell, </w:t>
      </w:r>
      <w:r w:rsidRPr="005E6B7C">
        <w:rPr>
          <w:rFonts w:asciiTheme="majorHAnsi" w:eastAsia="Yu Mincho" w:hAnsiTheme="majorHAnsi" w:cstheme="majorHAnsi" w:hint="eastAsia"/>
          <w:i/>
          <w:iCs/>
          <w:noProof/>
          <w:color w:val="000000" w:themeColor="text1"/>
          <w:sz w:val="18"/>
          <w:szCs w:val="18"/>
          <w:lang w:eastAsia="ja-JP"/>
        </w:rPr>
        <w:t>Evidence</w:t>
      </w:r>
      <w:r w:rsidR="008C0D47" w:rsidRPr="005E6B7C">
        <w:rPr>
          <w:rFonts w:asciiTheme="majorHAnsi" w:eastAsia="Yu Mincho" w:hAnsiTheme="majorHAnsi" w:cstheme="majorHAnsi" w:hint="eastAsia"/>
          <w:i/>
          <w:iCs/>
          <w:noProof/>
          <w:color w:val="000000" w:themeColor="text1"/>
          <w:sz w:val="18"/>
          <w:szCs w:val="18"/>
          <w:lang w:eastAsia="ja-JP"/>
        </w:rPr>
        <w:t>-</w:t>
      </w:r>
      <w:r w:rsidRPr="005E6B7C">
        <w:rPr>
          <w:rFonts w:asciiTheme="majorHAnsi" w:eastAsia="Yu Mincho" w:hAnsiTheme="majorHAnsi" w:cstheme="majorHAnsi" w:hint="eastAsia"/>
          <w:i/>
          <w:iCs/>
          <w:noProof/>
          <w:color w:val="000000" w:themeColor="text1"/>
          <w:sz w:val="18"/>
          <w:szCs w:val="18"/>
          <w:lang w:eastAsia="ja-JP"/>
        </w:rPr>
        <w:t>Based Complementary and Alternative Medicine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2015</w:t>
      </w:r>
      <w:r w:rsidRPr="005E6B7C">
        <w:rPr>
          <w:rFonts w:asciiTheme="majorHAnsi" w:eastAsia="Yu Mincho" w:hAnsiTheme="majorHAnsi" w:cstheme="majorHAnsi"/>
          <w:noProof/>
          <w:color w:val="000000" w:themeColor="text1"/>
          <w:sz w:val="18"/>
          <w:szCs w:val="18"/>
          <w:lang w:eastAsia="ja-JP"/>
        </w:rPr>
        <w:t>(1), 602425.</w:t>
      </w:r>
    </w:p>
    <w:p w14:paraId="110C8663"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shd w:val="clear" w:color="auto" w:fill="FFFFFF"/>
          <w:lang w:eastAsia="ja-JP"/>
        </w:rPr>
      </w:pPr>
      <w:r w:rsidRPr="005E6B7C">
        <w:rPr>
          <w:rFonts w:asciiTheme="majorHAnsi" w:eastAsia="Times New Roman" w:hAnsiTheme="majorHAnsi" w:cstheme="majorHAnsi"/>
          <w:b/>
          <w:bCs/>
          <w:noProof/>
          <w:color w:val="000000" w:themeColor="text1"/>
          <w:sz w:val="18"/>
          <w:szCs w:val="18"/>
          <w:lang w:eastAsia="ja-JP"/>
        </w:rPr>
        <w:t>19.</w:t>
      </w:r>
      <w:r w:rsidRPr="005E6B7C">
        <w:rPr>
          <w:rFonts w:asciiTheme="majorHAnsi" w:eastAsia="Yu Mincho" w:hAnsiTheme="majorHAnsi" w:cstheme="majorHAnsi"/>
          <w:b/>
          <w:bCs/>
          <w:noProof/>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shd w:val="clear" w:color="auto" w:fill="FFFFFF"/>
          <w:lang w:eastAsia="ja-JP"/>
        </w:rPr>
        <w:t>Lee D. G., Jung H. J., Woo E. R. (2025), Antimicrobial property of (+)-lyoniresinol-3</w:t>
      </w:r>
      <w:r w:rsidRPr="005E6B7C">
        <w:rPr>
          <w:rFonts w:asciiTheme="majorHAnsi" w:eastAsia="Yu Mincho" w:hAnsiTheme="majorHAnsi" w:cstheme="majorHAnsi"/>
          <w:i/>
          <w:noProof/>
          <w:color w:val="000000" w:themeColor="text1"/>
          <w:sz w:val="18"/>
          <w:szCs w:val="18"/>
          <w:shd w:val="clear" w:color="auto" w:fill="FFFFFF"/>
          <w:lang w:eastAsia="ja-JP"/>
        </w:rPr>
        <w:t>α</w:t>
      </w:r>
      <w:r w:rsidRPr="005E6B7C">
        <w:rPr>
          <w:rFonts w:asciiTheme="majorHAnsi" w:eastAsia="Yu Mincho" w:hAnsiTheme="majorHAnsi" w:cstheme="majorHAnsi"/>
          <w:noProof/>
          <w:color w:val="000000" w:themeColor="text1"/>
          <w:sz w:val="18"/>
          <w:szCs w:val="18"/>
          <w:shd w:val="clear" w:color="auto" w:fill="FFFFFF"/>
          <w:lang w:eastAsia="ja-JP"/>
        </w:rPr>
        <w:t>-</w:t>
      </w:r>
      <w:r w:rsidRPr="005E6B7C">
        <w:rPr>
          <w:rFonts w:asciiTheme="majorHAnsi" w:eastAsia="Yu Mincho" w:hAnsiTheme="majorHAnsi" w:cstheme="majorHAnsi"/>
          <w:i/>
          <w:iCs/>
          <w:noProof/>
          <w:color w:val="000000" w:themeColor="text1"/>
          <w:sz w:val="18"/>
          <w:szCs w:val="18"/>
          <w:shd w:val="clear" w:color="auto" w:fill="FFFFFF"/>
          <w:lang w:eastAsia="ja-JP"/>
        </w:rPr>
        <w:t>O</w:t>
      </w:r>
      <w:r w:rsidRPr="005E6B7C">
        <w:rPr>
          <w:rFonts w:asciiTheme="majorHAnsi" w:eastAsia="Yu Mincho" w:hAnsiTheme="majorHAnsi" w:cstheme="majorHAnsi"/>
          <w:noProof/>
          <w:color w:val="000000" w:themeColor="text1"/>
          <w:sz w:val="18"/>
          <w:szCs w:val="18"/>
          <w:shd w:val="clear" w:color="auto" w:fill="FFFFFF"/>
          <w:lang w:eastAsia="ja-JP"/>
        </w:rPr>
        <w:t>-</w:t>
      </w:r>
      <w:r w:rsidRPr="005E6B7C">
        <w:rPr>
          <w:rFonts w:asciiTheme="majorHAnsi" w:eastAsia="Yu Mincho" w:hAnsiTheme="majorHAnsi" w:cstheme="majorHAnsi"/>
          <w:i/>
          <w:noProof/>
          <w:color w:val="000000" w:themeColor="text1"/>
          <w:sz w:val="18"/>
          <w:szCs w:val="18"/>
          <w:shd w:val="clear" w:color="auto" w:fill="FFFFFF"/>
          <w:lang w:eastAsia="ja-JP"/>
        </w:rPr>
        <w:t>β</w:t>
      </w:r>
      <w:r w:rsidRPr="005E6B7C">
        <w:rPr>
          <w:rFonts w:asciiTheme="majorHAnsi" w:eastAsia="Yu Mincho" w:hAnsiTheme="majorHAnsi" w:cstheme="majorHAnsi"/>
          <w:noProof/>
          <w:color w:val="000000" w:themeColor="text1"/>
          <w:sz w:val="18"/>
          <w:szCs w:val="18"/>
          <w:shd w:val="clear" w:color="auto" w:fill="FFFFFF"/>
          <w:lang w:eastAsia="ja-JP"/>
        </w:rPr>
        <w:t>-</w:t>
      </w:r>
      <w:r w:rsidRPr="005E6B7C">
        <w:rPr>
          <w:rFonts w:asciiTheme="majorHAnsi" w:eastAsia="Yu Mincho" w:hAnsiTheme="majorHAnsi" w:cstheme="majorHAnsi"/>
          <w:caps/>
          <w:noProof/>
          <w:color w:val="000000" w:themeColor="text1"/>
          <w:sz w:val="18"/>
          <w:szCs w:val="18"/>
          <w:shd w:val="clear" w:color="auto" w:fill="FFFFFF"/>
          <w:lang w:eastAsia="ja-JP"/>
        </w:rPr>
        <w:t>d</w:t>
      </w:r>
      <w:r w:rsidRPr="005E6B7C">
        <w:rPr>
          <w:rFonts w:asciiTheme="majorHAnsi" w:eastAsia="Yu Mincho" w:hAnsiTheme="majorHAnsi" w:cstheme="majorHAnsi"/>
          <w:noProof/>
          <w:color w:val="000000" w:themeColor="text1"/>
          <w:sz w:val="18"/>
          <w:szCs w:val="18"/>
          <w:shd w:val="clear" w:color="auto" w:fill="FFFFFF"/>
          <w:lang w:eastAsia="ja-JP"/>
        </w:rPr>
        <w:t xml:space="preserve">-glucopyranoside isolated from the root bark of </w:t>
      </w:r>
      <w:r w:rsidRPr="005E6B7C">
        <w:rPr>
          <w:rFonts w:asciiTheme="majorHAnsi" w:eastAsia="Yu Mincho" w:hAnsiTheme="majorHAnsi" w:cstheme="majorHAnsi"/>
          <w:i/>
          <w:iCs/>
          <w:noProof/>
          <w:color w:val="000000" w:themeColor="text1"/>
          <w:sz w:val="18"/>
          <w:szCs w:val="18"/>
          <w:shd w:val="clear" w:color="auto" w:fill="FFFFFF"/>
          <w:lang w:eastAsia="ja-JP"/>
        </w:rPr>
        <w:t>Lycium chinense</w:t>
      </w:r>
      <w:r w:rsidRPr="005E6B7C">
        <w:rPr>
          <w:rFonts w:asciiTheme="majorHAnsi" w:eastAsia="Yu Mincho" w:hAnsiTheme="majorHAnsi" w:cstheme="majorHAnsi"/>
          <w:noProof/>
          <w:color w:val="000000" w:themeColor="text1"/>
          <w:sz w:val="18"/>
          <w:szCs w:val="18"/>
          <w:shd w:val="clear" w:color="auto" w:fill="FFFFFF"/>
          <w:lang w:eastAsia="ja-JP"/>
        </w:rPr>
        <w:t> Miller against human pathogenic microorganisms, </w:t>
      </w:r>
      <w:r w:rsidRPr="005E6B7C">
        <w:rPr>
          <w:rFonts w:asciiTheme="majorHAnsi" w:eastAsia="Yu Mincho" w:hAnsiTheme="majorHAnsi" w:cstheme="majorHAnsi"/>
          <w:i/>
          <w:iCs/>
          <w:noProof/>
          <w:color w:val="000000" w:themeColor="text1"/>
          <w:sz w:val="18"/>
          <w:szCs w:val="18"/>
          <w:shd w:val="clear" w:color="auto" w:fill="FFFFFF"/>
          <w:lang w:eastAsia="ja-JP"/>
        </w:rPr>
        <w:t>Archives of Pharmacal Research</w:t>
      </w:r>
      <w:r w:rsidRPr="005E6B7C">
        <w:rPr>
          <w:rFonts w:asciiTheme="majorHAnsi" w:eastAsia="Yu Mincho" w:hAnsiTheme="majorHAnsi" w:cstheme="majorHAnsi"/>
          <w:iCs/>
          <w:noProof/>
          <w:color w:val="000000" w:themeColor="text1"/>
          <w:sz w:val="18"/>
          <w:szCs w:val="18"/>
          <w:shd w:val="clear" w:color="auto" w:fill="FFFFFF"/>
          <w:lang w:eastAsia="ja-JP"/>
        </w:rPr>
        <w:t>,</w:t>
      </w:r>
      <w:r w:rsidRPr="005E6B7C">
        <w:rPr>
          <w:rFonts w:asciiTheme="majorHAnsi" w:eastAsia="Yu Mincho" w:hAnsiTheme="majorHAnsi" w:cstheme="majorHAnsi"/>
          <w:i/>
          <w:iCs/>
          <w:noProof/>
          <w:color w:val="000000" w:themeColor="text1"/>
          <w:sz w:val="18"/>
          <w:szCs w:val="18"/>
          <w:shd w:val="clear" w:color="auto" w:fill="FFFFFF"/>
          <w:lang w:eastAsia="ja-JP"/>
        </w:rPr>
        <w:t xml:space="preserve"> </w:t>
      </w:r>
      <w:r w:rsidRPr="005E6B7C">
        <w:rPr>
          <w:rFonts w:asciiTheme="majorHAnsi" w:eastAsia="Yu Mincho" w:hAnsiTheme="majorHAnsi" w:cstheme="majorHAnsi"/>
          <w:bCs/>
          <w:noProof/>
          <w:color w:val="000000" w:themeColor="text1"/>
          <w:sz w:val="18"/>
          <w:szCs w:val="18"/>
          <w:shd w:val="clear" w:color="auto" w:fill="FFFFFF"/>
          <w:lang w:eastAsia="ja-JP"/>
        </w:rPr>
        <w:t>28</w:t>
      </w:r>
      <w:r w:rsidRPr="005E6B7C">
        <w:rPr>
          <w:rFonts w:asciiTheme="majorHAnsi" w:eastAsia="Yu Mincho" w:hAnsiTheme="majorHAnsi" w:cstheme="majorHAnsi"/>
          <w:noProof/>
          <w:color w:val="000000" w:themeColor="text1"/>
          <w:sz w:val="18"/>
          <w:szCs w:val="18"/>
          <w:shd w:val="clear" w:color="auto" w:fill="FFFFFF"/>
          <w:lang w:eastAsia="ja-JP"/>
        </w:rPr>
        <w:t xml:space="preserve">, 1031-1036 </w:t>
      </w:r>
    </w:p>
    <w:p w14:paraId="288C36D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20. </w:t>
      </w:r>
      <w:r w:rsidRPr="005E6B7C">
        <w:rPr>
          <w:rFonts w:asciiTheme="majorHAnsi" w:eastAsia="Yu Mincho" w:hAnsiTheme="majorHAnsi" w:cstheme="majorHAnsi"/>
          <w:noProof/>
          <w:color w:val="000000" w:themeColor="text1"/>
          <w:sz w:val="18"/>
          <w:szCs w:val="18"/>
          <w:lang w:eastAsia="ja-JP"/>
        </w:rPr>
        <w:t xml:space="preserve">Yang Y., Ye Y., Deng Y., Gao L. (2024), Uridine and its role in metabolic diseases, tumors, and neurodegenerative diseases, </w:t>
      </w:r>
      <w:r w:rsidRPr="005E6B7C">
        <w:rPr>
          <w:rFonts w:asciiTheme="majorHAnsi" w:eastAsia="Yu Mincho" w:hAnsiTheme="majorHAnsi" w:cstheme="majorHAnsi"/>
          <w:i/>
          <w:iCs/>
          <w:noProof/>
          <w:color w:val="000000" w:themeColor="text1"/>
          <w:sz w:val="18"/>
          <w:szCs w:val="18"/>
          <w:lang w:eastAsia="ja-JP"/>
        </w:rPr>
        <w:t>Frontiers in Physiology</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 1360891.</w:t>
      </w:r>
    </w:p>
    <w:p w14:paraId="2620BCC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iCs/>
          <w:noProof/>
          <w:color w:val="000000" w:themeColor="text1"/>
          <w:sz w:val="18"/>
          <w:szCs w:val="18"/>
          <w:lang w:eastAsia="ja-JP"/>
        </w:rPr>
        <w:t xml:space="preserve">21. </w:t>
      </w:r>
      <w:r w:rsidRPr="005E6B7C">
        <w:rPr>
          <w:rFonts w:asciiTheme="majorHAnsi" w:eastAsia="Yu Mincho" w:hAnsiTheme="majorHAnsi" w:cstheme="majorHAnsi"/>
          <w:iCs/>
          <w:noProof/>
          <w:color w:val="000000" w:themeColor="text1"/>
          <w:sz w:val="18"/>
          <w:szCs w:val="18"/>
          <w:lang w:eastAsia="ja-JP"/>
        </w:rPr>
        <w:t xml:space="preserve">Luo Y., Chen H., Huang R., Wu Q., Li Y., He Y. (2021), Guanosine and uridine alleviate airway inflammation via inhibition of the MAPK and NF-κB signals in OVA-induced asthmatic mice, </w:t>
      </w:r>
      <w:r w:rsidRPr="005E6B7C">
        <w:rPr>
          <w:rFonts w:asciiTheme="majorHAnsi" w:eastAsia="Yu Mincho" w:hAnsiTheme="majorHAnsi" w:cstheme="majorHAnsi"/>
          <w:i/>
          <w:iCs/>
          <w:noProof/>
          <w:color w:val="000000" w:themeColor="text1"/>
          <w:sz w:val="18"/>
          <w:szCs w:val="18"/>
          <w:lang w:eastAsia="ja-JP"/>
        </w:rPr>
        <w:t>Pulmonary Pharmacology &amp; Therapeutics</w:t>
      </w:r>
      <w:r w:rsidRPr="005E6B7C">
        <w:rPr>
          <w:rFonts w:asciiTheme="majorHAnsi" w:eastAsia="Yu Mincho" w:hAnsiTheme="majorHAnsi" w:cstheme="majorHAnsi"/>
          <w:iCs/>
          <w:noProof/>
          <w:color w:val="000000" w:themeColor="text1"/>
          <w:sz w:val="18"/>
          <w:szCs w:val="18"/>
          <w:lang w:eastAsia="ja-JP"/>
        </w:rPr>
        <w:t xml:space="preserve">, 69, 102049. </w:t>
      </w:r>
    </w:p>
    <w:p w14:paraId="50F6327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 xml:space="preserve"> Li J., Zheng X., Qi J. (2025), Research progress on the therapeutic mechanisms of stigmasterol for multiple diseases, </w:t>
      </w:r>
      <w:r w:rsidRPr="005E6B7C">
        <w:rPr>
          <w:rFonts w:asciiTheme="majorHAnsi" w:eastAsia="Yu Mincho" w:hAnsiTheme="majorHAnsi" w:cstheme="majorHAnsi"/>
          <w:i/>
          <w:iCs/>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30</w:t>
      </w:r>
      <w:r w:rsidRPr="005E6B7C">
        <w:rPr>
          <w:rFonts w:asciiTheme="majorHAnsi" w:eastAsia="Yu Mincho" w:hAnsiTheme="majorHAnsi" w:cstheme="majorHAnsi"/>
          <w:noProof/>
          <w:color w:val="000000" w:themeColor="text1"/>
          <w:sz w:val="18"/>
          <w:szCs w:val="18"/>
          <w:lang w:eastAsia="ja-JP"/>
        </w:rPr>
        <w:t>(9), 1874.</w:t>
      </w:r>
    </w:p>
    <w:p w14:paraId="0FFB1730"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23.</w:t>
      </w:r>
      <w:r w:rsidRPr="005E6B7C">
        <w:rPr>
          <w:rFonts w:asciiTheme="majorHAnsi" w:eastAsia="Yu Mincho" w:hAnsiTheme="majorHAnsi" w:cstheme="majorHAnsi"/>
          <w:noProof/>
          <w:color w:val="000000" w:themeColor="text1"/>
          <w:sz w:val="18"/>
          <w:szCs w:val="18"/>
          <w:lang w:eastAsia="ja-JP"/>
        </w:rPr>
        <w:t xml:space="preserve"> Xie W., Yang H., Guo C., Xie R., Yu G., Li Y. (2023), Integrated network pharmacology and experimental validation approach to investigate the mechanisms of stigmasterol in the treatment of rheumatoid arthritis, </w:t>
      </w:r>
      <w:r w:rsidRPr="005E6B7C">
        <w:rPr>
          <w:rFonts w:asciiTheme="majorHAnsi" w:eastAsia="Yu Mincho" w:hAnsiTheme="majorHAnsi" w:cstheme="majorHAnsi"/>
          <w:bCs/>
          <w:i/>
          <w:noProof/>
          <w:color w:val="000000" w:themeColor="text1"/>
          <w:sz w:val="18"/>
          <w:szCs w:val="18"/>
          <w:lang w:eastAsia="ja-JP"/>
        </w:rPr>
        <w:t>Drug Design, Development and Therapy</w:t>
      </w:r>
      <w:r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691–706.</w:t>
      </w:r>
    </w:p>
    <w:p w14:paraId="2EB54E00"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24.</w:t>
      </w:r>
      <w:r w:rsidRPr="005E6B7C">
        <w:rPr>
          <w:rFonts w:asciiTheme="majorHAnsi" w:eastAsia="Yu Mincho" w:hAnsiTheme="majorHAnsi" w:cstheme="majorHAnsi"/>
          <w:noProof/>
          <w:color w:val="000000" w:themeColor="text1"/>
          <w:sz w:val="18"/>
          <w:szCs w:val="18"/>
          <w:lang w:eastAsia="ja-JP"/>
        </w:rPr>
        <w:t xml:space="preserve"> Ahmad-Khan M., Sarwar A., Rahat R., Ahmed R. S., Umar S. (2020), Stigmasterol protects rats from collagen induced arthritis by inhibiting proinflammatory cytokines, </w:t>
      </w:r>
      <w:r w:rsidRPr="005E6B7C">
        <w:rPr>
          <w:rFonts w:asciiTheme="majorHAnsi" w:eastAsia="Yu Mincho" w:hAnsiTheme="majorHAnsi" w:cstheme="majorHAnsi"/>
          <w:i/>
          <w:iCs/>
          <w:noProof/>
          <w:color w:val="000000" w:themeColor="text1"/>
          <w:sz w:val="18"/>
          <w:szCs w:val="18"/>
          <w:lang w:eastAsia="ja-JP"/>
        </w:rPr>
        <w:t>International Immunopharmacology</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i/>
          <w:iCs/>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85</w:t>
      </w:r>
      <w:r w:rsidRPr="005E6B7C">
        <w:rPr>
          <w:rFonts w:asciiTheme="majorHAnsi" w:eastAsia="Yu Mincho" w:hAnsiTheme="majorHAnsi" w:cstheme="majorHAnsi"/>
          <w:noProof/>
          <w:color w:val="000000" w:themeColor="text1"/>
          <w:sz w:val="18"/>
          <w:szCs w:val="18"/>
          <w:lang w:eastAsia="ja-JP"/>
        </w:rPr>
        <w:t>, 106642</w:t>
      </w:r>
      <w:r w:rsidRPr="005E6B7C">
        <w:rPr>
          <w:rFonts w:asciiTheme="majorHAnsi" w:eastAsia="Times New Roman" w:hAnsiTheme="majorHAnsi" w:cstheme="majorHAnsi"/>
          <w:noProof/>
          <w:color w:val="000000" w:themeColor="text1"/>
          <w:sz w:val="18"/>
          <w:szCs w:val="18"/>
          <w:lang w:eastAsia="ja-JP"/>
        </w:rPr>
        <w:t xml:space="preserve">.  </w:t>
      </w:r>
    </w:p>
    <w:p w14:paraId="7C7E2D5D" w14:textId="77777777" w:rsidR="00C644FB" w:rsidRPr="005E6B7C" w:rsidRDefault="00C644FB" w:rsidP="008C0D47">
      <w:pPr>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p>
    <w:p w14:paraId="0F9F410C"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AE667E" w:rsidRPr="005E6B7C">
        <w:rPr>
          <w:rFonts w:asciiTheme="majorHAnsi" w:eastAsia="Yu Mincho" w:hAnsiTheme="majorHAnsi" w:cstheme="majorHAnsi"/>
          <w:b/>
          <w:bCs/>
          <w:i/>
          <w:color w:val="000000" w:themeColor="text1"/>
          <w:sz w:val="26"/>
          <w:szCs w:val="26"/>
          <w:lang w:eastAsia="ja-JP"/>
        </w:rPr>
        <w:t xml:space="preserve"> 74 - </w:t>
      </w:r>
      <w:r w:rsidR="0079118F" w:rsidRPr="005E6B7C">
        <w:rPr>
          <w:rFonts w:asciiTheme="majorHAnsi" w:eastAsia="Yu Mincho" w:hAnsiTheme="majorHAnsi" w:cstheme="majorHAnsi"/>
          <w:b/>
          <w:bCs/>
          <w:i/>
          <w:color w:val="000000" w:themeColor="text1"/>
          <w:sz w:val="26"/>
          <w:szCs w:val="26"/>
          <w:lang w:eastAsia="ja-JP"/>
        </w:rPr>
        <w:t>79</w:t>
      </w:r>
      <w:r w:rsidRPr="005E6B7C">
        <w:rPr>
          <w:rFonts w:asciiTheme="majorHAnsi" w:eastAsia="Yu Mincho" w:hAnsiTheme="majorHAnsi" w:cstheme="majorHAnsi"/>
          <w:b/>
          <w:bCs/>
          <w:i/>
          <w:color w:val="000000" w:themeColor="text1"/>
          <w:sz w:val="26"/>
          <w:szCs w:val="26"/>
          <w:lang w:eastAsia="ja-JP"/>
        </w:rPr>
        <w:t>)</w:t>
      </w:r>
    </w:p>
    <w:p w14:paraId="6B8F315D" w14:textId="77777777" w:rsidR="00367819" w:rsidRPr="005E6B7C" w:rsidRDefault="0079118F" w:rsidP="008C0D47">
      <w:pPr>
        <w:tabs>
          <w:tab w:val="left" w:pos="1290"/>
        </w:tabs>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ab/>
      </w:r>
    </w:p>
    <w:p w14:paraId="6F65ABFA" w14:textId="7571EDDF" w:rsidR="00ED2775" w:rsidRPr="005E6B7C" w:rsidRDefault="00E049CB" w:rsidP="008C0D47">
      <w:pPr>
        <w:tabs>
          <w:tab w:val="left" w:pos="9270"/>
        </w:tabs>
        <w:ind w:right="-20"/>
        <w:jc w:val="center"/>
        <w:rPr>
          <w:rFonts w:asciiTheme="majorHAnsi" w:eastAsia="Yu Mincho" w:hAnsiTheme="majorHAnsi" w:cstheme="majorHAnsi"/>
          <w:b/>
          <w:bCs/>
          <w:color w:val="000000" w:themeColor="text1"/>
          <w:sz w:val="26"/>
          <w:szCs w:val="26"/>
          <w:lang w:eastAsia="ja-JP"/>
        </w:rPr>
      </w:pPr>
      <w:bookmarkStart w:id="21" w:name="_Hlk213406581"/>
      <w:r w:rsidRPr="005E6B7C">
        <w:rPr>
          <w:rFonts w:asciiTheme="majorHAnsi" w:eastAsia="Yu Mincho" w:hAnsiTheme="majorHAnsi" w:cstheme="majorHAnsi"/>
          <w:b/>
          <w:bCs/>
          <w:color w:val="000000" w:themeColor="text1"/>
          <w:sz w:val="26"/>
          <w:szCs w:val="26"/>
          <w:lang w:eastAsia="ja-JP"/>
        </w:rPr>
        <w:t>DETERMINATION OF ESSENTIAL OIL CONTENT</w:t>
      </w:r>
      <w:r w:rsidR="00055D14" w:rsidRPr="005E6B7C">
        <w:rPr>
          <w:rFonts w:asciiTheme="majorHAnsi" w:eastAsia="Yu Mincho" w:hAnsiTheme="majorHAnsi" w:cstheme="majorHAnsi"/>
          <w:b/>
          <w:bCs/>
          <w:color w:val="000000" w:themeColor="text1"/>
          <w:sz w:val="26"/>
          <w:szCs w:val="26"/>
          <w:lang w:val="vi-VN" w:eastAsia="ja-JP"/>
        </w:rPr>
        <w:t>,</w:t>
      </w:r>
      <w:r w:rsidRPr="005E6B7C">
        <w:rPr>
          <w:rFonts w:asciiTheme="majorHAnsi" w:eastAsia="Yu Mincho" w:hAnsiTheme="majorHAnsi" w:cstheme="majorHAnsi"/>
          <w:b/>
          <w:bCs/>
          <w:color w:val="000000" w:themeColor="text1"/>
          <w:sz w:val="26"/>
          <w:szCs w:val="26"/>
          <w:lang w:eastAsia="ja-JP"/>
        </w:rPr>
        <w:t xml:space="preserve">COMPOSITION, </w:t>
      </w:r>
    </w:p>
    <w:p w14:paraId="2A8384F1" w14:textId="2C7BCC86" w:rsidR="00E049CB" w:rsidRPr="005E6B7C" w:rsidRDefault="00055D14" w:rsidP="008C0D47">
      <w:pPr>
        <w:tabs>
          <w:tab w:val="left" w:pos="9270"/>
        </w:tabs>
        <w:ind w:right="-20"/>
        <w:jc w:val="center"/>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AND</w:t>
      </w:r>
      <w:r w:rsidRPr="005E6B7C">
        <w:rPr>
          <w:rFonts w:asciiTheme="majorHAnsi" w:eastAsia="Yu Mincho" w:hAnsiTheme="majorHAnsi" w:cstheme="majorHAnsi"/>
          <w:b/>
          <w:bCs/>
          <w:color w:val="000000" w:themeColor="text1"/>
          <w:sz w:val="26"/>
          <w:szCs w:val="26"/>
          <w:lang w:val="vi-VN" w:eastAsia="ja-JP"/>
        </w:rPr>
        <w:t xml:space="preserve"> </w:t>
      </w:r>
      <w:r w:rsidR="00E049CB" w:rsidRPr="005E6B7C">
        <w:rPr>
          <w:rFonts w:asciiTheme="majorHAnsi" w:eastAsia="Yu Mincho" w:hAnsiTheme="majorHAnsi" w:cstheme="majorHAnsi"/>
          <w:b/>
          <w:bCs/>
          <w:color w:val="000000" w:themeColor="text1"/>
          <w:sz w:val="26"/>
          <w:szCs w:val="26"/>
          <w:lang w:eastAsia="ja-JP"/>
        </w:rPr>
        <w:t>TOTAL POLYPHENOL CONTENT OF</w:t>
      </w:r>
      <w:r w:rsidR="00E049CB" w:rsidRPr="005E6B7C">
        <w:rPr>
          <w:rFonts w:asciiTheme="majorHAnsi" w:eastAsia="Yu Mincho" w:hAnsiTheme="majorHAnsi" w:cstheme="majorHAnsi"/>
          <w:b/>
          <w:bCs/>
          <w:i/>
          <w:color w:val="000000" w:themeColor="text1"/>
          <w:sz w:val="26"/>
          <w:szCs w:val="26"/>
          <w:lang w:eastAsia="ja-JP"/>
        </w:rPr>
        <w:t xml:space="preserve"> RHIZOMA HOMALOMENAE OCCULTAE</w:t>
      </w:r>
      <w:r w:rsidR="00E049CB" w:rsidRPr="005E6B7C">
        <w:rPr>
          <w:rFonts w:asciiTheme="majorHAnsi" w:eastAsia="Yu Mincho" w:hAnsiTheme="majorHAnsi" w:cstheme="majorHAnsi"/>
          <w:b/>
          <w:bCs/>
          <w:color w:val="000000" w:themeColor="text1"/>
          <w:sz w:val="26"/>
          <w:szCs w:val="26"/>
          <w:lang w:eastAsia="ja-JP"/>
        </w:rPr>
        <w:t xml:space="preserve"> COLLECTED IN VIETNAM</w:t>
      </w:r>
    </w:p>
    <w:bookmarkEnd w:id="21"/>
    <w:p w14:paraId="128FD36A" w14:textId="77777777" w:rsidR="00E049CB" w:rsidRPr="005E6B7C" w:rsidRDefault="00E049CB" w:rsidP="008C0D47">
      <w:pPr>
        <w:tabs>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Nguyen Thi Ha Ly</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Pham Thi Hien</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Ngo Thi Thanh Huong</w:t>
      </w:r>
      <w:r w:rsidRPr="005E6B7C">
        <w:rPr>
          <w:rFonts w:asciiTheme="majorHAnsi" w:eastAsia="Yu Mincho" w:hAnsiTheme="majorHAnsi" w:cstheme="majorHAnsi"/>
          <w:b/>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 Hoang Dieu Linh</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w:t>
      </w:r>
      <w:r w:rsidR="006C6E2D" w:rsidRPr="005E6B7C">
        <w:rPr>
          <w:rFonts w:asciiTheme="majorHAnsi" w:eastAsia="Yu Mincho" w:hAnsiTheme="majorHAnsi" w:cstheme="majorHAnsi"/>
          <w:b/>
          <w:i/>
          <w:iCs/>
          <w:color w:val="000000" w:themeColor="text1"/>
          <w:sz w:val="22"/>
          <w:szCs w:val="22"/>
          <w:lang w:eastAsia="ja-JP"/>
        </w:rPr>
        <w:br/>
      </w:r>
      <w:r w:rsidRPr="005E6B7C">
        <w:rPr>
          <w:rFonts w:asciiTheme="majorHAnsi" w:eastAsia="Yu Mincho" w:hAnsiTheme="majorHAnsi" w:cstheme="majorHAnsi"/>
          <w:b/>
          <w:i/>
          <w:iCs/>
          <w:color w:val="000000" w:themeColor="text1"/>
          <w:sz w:val="22"/>
          <w:szCs w:val="22"/>
          <w:lang w:eastAsia="ja-JP"/>
        </w:rPr>
        <w:t>Tran Huyen Trang</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Nguyen Minh Khoi</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w:t>
      </w:r>
    </w:p>
    <w:p w14:paraId="32AE5663" w14:textId="4366A789" w:rsidR="00517F81" w:rsidRPr="005E6B7C" w:rsidRDefault="00E049CB" w:rsidP="008C0D47">
      <w:pPr>
        <w:tabs>
          <w:tab w:val="left" w:pos="9270"/>
        </w:tabs>
        <w:ind w:right="-20"/>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vertAlign w:val="superscript"/>
          <w:lang w:eastAsia="ja-JP"/>
        </w:rPr>
        <w:t>1</w:t>
      </w:r>
      <w:r w:rsidR="00517F81" w:rsidRPr="005E6B7C">
        <w:rPr>
          <w:rFonts w:asciiTheme="majorHAnsi" w:eastAsia="Yu Mincho" w:hAnsiTheme="majorHAnsi" w:cstheme="majorHAnsi"/>
          <w:bCs/>
          <w:i/>
          <w:iCs/>
          <w:color w:val="000000" w:themeColor="text1"/>
          <w:sz w:val="22"/>
          <w:szCs w:val="22"/>
          <w:lang w:eastAsia="ja-JP"/>
        </w:rPr>
        <w:t>National Institute of Medic</w:t>
      </w:r>
      <w:r w:rsidR="00055D14" w:rsidRPr="005E6B7C">
        <w:rPr>
          <w:rFonts w:asciiTheme="majorHAnsi" w:eastAsia="Yu Mincho" w:hAnsiTheme="majorHAnsi" w:cstheme="majorHAnsi"/>
          <w:bCs/>
          <w:i/>
          <w:iCs/>
          <w:color w:val="000000" w:themeColor="text1"/>
          <w:sz w:val="22"/>
          <w:szCs w:val="22"/>
          <w:lang w:eastAsia="ja-JP"/>
        </w:rPr>
        <w:t>in</w:t>
      </w:r>
      <w:r w:rsidR="00517F81" w:rsidRPr="005E6B7C">
        <w:rPr>
          <w:rFonts w:asciiTheme="majorHAnsi" w:eastAsia="Yu Mincho" w:hAnsiTheme="majorHAnsi" w:cstheme="majorHAnsi"/>
          <w:bCs/>
          <w:i/>
          <w:iCs/>
          <w:color w:val="000000" w:themeColor="text1"/>
          <w:sz w:val="22"/>
          <w:szCs w:val="22"/>
          <w:lang w:eastAsia="ja-JP"/>
        </w:rPr>
        <w:t>al Materials (NIMM), Hanoi 11018, Vietnam;</w:t>
      </w:r>
    </w:p>
    <w:p w14:paraId="6534D560" w14:textId="77777777" w:rsidR="00E049CB" w:rsidRPr="005E6B7C" w:rsidRDefault="00E049CB" w:rsidP="008C0D47">
      <w:pPr>
        <w:tabs>
          <w:tab w:val="left" w:pos="9270"/>
        </w:tabs>
        <w:ind w:right="-20"/>
        <w:jc w:val="center"/>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color w:val="000000" w:themeColor="text1"/>
          <w:sz w:val="22"/>
          <w:szCs w:val="22"/>
          <w:vertAlign w:val="superscript"/>
          <w:lang w:eastAsia="ja-JP"/>
        </w:rPr>
        <w:t xml:space="preserve"> </w:t>
      </w:r>
      <w:r w:rsidRPr="005E6B7C">
        <w:rPr>
          <w:rFonts w:asciiTheme="majorHAnsi" w:eastAsia="Yu Mincho" w:hAnsiTheme="majorHAnsi" w:cstheme="majorHAnsi"/>
          <w:bCs/>
          <w:i/>
          <w:color w:val="000000" w:themeColor="text1"/>
          <w:sz w:val="22"/>
          <w:szCs w:val="22"/>
          <w:vertAlign w:val="superscript"/>
          <w:lang w:eastAsia="ja-JP"/>
        </w:rPr>
        <w:t>2</w:t>
      </w:r>
      <w:r w:rsidRPr="005E6B7C">
        <w:rPr>
          <w:rFonts w:asciiTheme="majorHAnsi" w:eastAsia="Yu Mincho" w:hAnsiTheme="majorHAnsi" w:cstheme="majorHAnsi"/>
          <w:bCs/>
          <w:i/>
          <w:color w:val="000000" w:themeColor="text1"/>
          <w:sz w:val="22"/>
          <w:szCs w:val="22"/>
          <w:lang w:eastAsia="ja-JP"/>
        </w:rPr>
        <w:t>VNU School of Medicine and Pharmacy, Hanoi, Vietnam</w:t>
      </w:r>
    </w:p>
    <w:p w14:paraId="36EAB3AB" w14:textId="77777777" w:rsidR="00E049CB" w:rsidRPr="005E6B7C" w:rsidRDefault="00E049CB" w:rsidP="008C0D47">
      <w:pPr>
        <w:tabs>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Khoinguyenimm6@gmail.com</w:t>
      </w:r>
    </w:p>
    <w:p w14:paraId="64FB8142" w14:textId="77777777" w:rsidR="002F541E" w:rsidRPr="005E6B7C" w:rsidRDefault="002F541E" w:rsidP="008C0D47">
      <w:pPr>
        <w:tabs>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October 21</w:t>
      </w:r>
      <w:r w:rsidRPr="005E6B7C">
        <w:rPr>
          <w:rFonts w:asciiTheme="majorHAnsi" w:eastAsia="Yu Mincho" w:hAnsiTheme="majorHAnsi" w:cstheme="majorHAnsi"/>
          <w:color w:val="000000" w:themeColor="text1"/>
          <w:sz w:val="20"/>
          <w:szCs w:val="20"/>
          <w:vertAlign w:val="superscript"/>
          <w:lang w:eastAsia="ja-JP"/>
        </w:rPr>
        <w:t>st</w:t>
      </w:r>
      <w:r w:rsidRPr="005E6B7C">
        <w:rPr>
          <w:rFonts w:asciiTheme="majorHAnsi" w:eastAsia="Yu Mincho" w:hAnsiTheme="majorHAnsi" w:cstheme="majorHAnsi"/>
          <w:color w:val="000000" w:themeColor="text1"/>
          <w:sz w:val="20"/>
          <w:szCs w:val="20"/>
          <w:lang w:eastAsia="ja-JP"/>
        </w:rPr>
        <w:t>, 202</w:t>
      </w:r>
      <w:r w:rsidR="00AD16CC" w:rsidRPr="005E6B7C">
        <w:rPr>
          <w:rFonts w:asciiTheme="majorHAnsi" w:eastAsia="Yu Mincho" w:hAnsiTheme="majorHAnsi" w:cstheme="majorHAnsi"/>
          <w:color w:val="000000" w:themeColor="text1"/>
          <w:sz w:val="20"/>
          <w:szCs w:val="20"/>
          <w:lang w:eastAsia="ja-JP"/>
        </w:rPr>
        <w:t>5</w:t>
      </w:r>
      <w:r w:rsidRPr="005E6B7C">
        <w:rPr>
          <w:rFonts w:asciiTheme="majorHAnsi" w:eastAsia="Yu Mincho" w:hAnsiTheme="majorHAnsi" w:cstheme="majorHAnsi"/>
          <w:color w:val="000000" w:themeColor="text1"/>
          <w:sz w:val="20"/>
          <w:szCs w:val="20"/>
          <w:lang w:eastAsia="ja-JP"/>
        </w:rPr>
        <w:t xml:space="preserve">               Accepted December 3</w:t>
      </w:r>
      <w:r w:rsidRPr="005E6B7C">
        <w:rPr>
          <w:rFonts w:asciiTheme="majorHAnsi" w:eastAsia="Yu Mincho" w:hAnsiTheme="majorHAnsi" w:cstheme="majorHAnsi"/>
          <w:color w:val="000000" w:themeColor="text1"/>
          <w:sz w:val="20"/>
          <w:szCs w:val="20"/>
          <w:vertAlign w:val="superscript"/>
          <w:lang w:eastAsia="ja-JP"/>
        </w:rPr>
        <w:t>rd</w:t>
      </w:r>
      <w:r w:rsidRPr="005E6B7C">
        <w:rPr>
          <w:rFonts w:asciiTheme="majorHAnsi" w:eastAsia="Yu Mincho" w:hAnsiTheme="majorHAnsi" w:cstheme="majorHAnsi"/>
          <w:color w:val="000000" w:themeColor="text1"/>
          <w:sz w:val="20"/>
          <w:szCs w:val="20"/>
          <w:lang w:eastAsia="ja-JP"/>
        </w:rPr>
        <w:t>, 202</w:t>
      </w:r>
      <w:r w:rsidR="00AD16CC" w:rsidRPr="005E6B7C">
        <w:rPr>
          <w:rFonts w:asciiTheme="majorHAnsi" w:eastAsia="Yu Mincho" w:hAnsiTheme="majorHAnsi" w:cstheme="majorHAnsi"/>
          <w:color w:val="000000" w:themeColor="text1"/>
          <w:sz w:val="20"/>
          <w:szCs w:val="20"/>
          <w:lang w:eastAsia="ja-JP"/>
        </w:rPr>
        <w:t>5</w:t>
      </w:r>
    </w:p>
    <w:p w14:paraId="1F9AAE86" w14:textId="77777777" w:rsidR="00E049CB" w:rsidRPr="005E6B7C" w:rsidRDefault="00E049CB" w:rsidP="008C0D47">
      <w:pPr>
        <w:tabs>
          <w:tab w:val="left" w:pos="270"/>
          <w:tab w:val="left" w:pos="540"/>
          <w:tab w:val="left" w:pos="9270"/>
        </w:tabs>
        <w:ind w:right="-20"/>
        <w:jc w:val="center"/>
        <w:outlineLvl w:val="0"/>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Summary</w:t>
      </w:r>
    </w:p>
    <w:p w14:paraId="0C261397" w14:textId="4CF948D1" w:rsidR="00E049CB" w:rsidRPr="005E6B7C" w:rsidRDefault="00E049CB" w:rsidP="008C0D47">
      <w:pPr>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en" w:eastAsia="ja-JP"/>
        </w:rPr>
        <w:t xml:space="preserve">The quality of </w:t>
      </w:r>
      <w:r w:rsidRPr="005E6B7C">
        <w:rPr>
          <w:rFonts w:asciiTheme="majorHAnsi" w:eastAsia="Yu Mincho" w:hAnsiTheme="majorHAnsi" w:cstheme="majorHAnsi"/>
          <w:bCs/>
          <w:i/>
          <w:iCs/>
          <w:color w:val="000000" w:themeColor="text1"/>
          <w:sz w:val="18"/>
          <w:szCs w:val="18"/>
          <w:lang w:eastAsia="ja-JP"/>
        </w:rPr>
        <w:t>Rhizoma Homalomenae occultae</w:t>
      </w:r>
      <w:r w:rsidRPr="005E6B7C">
        <w:rPr>
          <w:rFonts w:asciiTheme="majorHAnsi" w:eastAsia="Yu Mincho" w:hAnsiTheme="majorHAnsi" w:cstheme="majorHAnsi"/>
          <w:bCs/>
          <w:i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en" w:eastAsia="ja-JP"/>
        </w:rPr>
        <w:t xml:space="preserve">samples collected in Vietnam was evaluated based on </w:t>
      </w:r>
      <w:r w:rsidRPr="005E6B7C">
        <w:rPr>
          <w:rFonts w:asciiTheme="majorHAnsi" w:eastAsia="Yu Mincho" w:hAnsiTheme="majorHAnsi" w:cstheme="majorHAnsi"/>
          <w:color w:val="000000" w:themeColor="text1"/>
          <w:sz w:val="18"/>
          <w:szCs w:val="18"/>
          <w:lang w:eastAsia="ja-JP"/>
        </w:rPr>
        <w:t>total polyphenol content, total essential oil content,</w:t>
      </w:r>
      <w:r w:rsidRPr="005E6B7C">
        <w:rPr>
          <w:rFonts w:asciiTheme="majorHAnsi" w:eastAsia="Yu Mincho" w:hAnsiTheme="majorHAnsi" w:cstheme="majorHAnsi"/>
          <w:color w:val="000000" w:themeColor="text1"/>
          <w:sz w:val="18"/>
          <w:szCs w:val="18"/>
          <w:lang w:val="en" w:eastAsia="ja-JP"/>
        </w:rPr>
        <w:t xml:space="preserve"> and essential oil </w:t>
      </w:r>
      <w:r w:rsidRPr="005E6B7C">
        <w:rPr>
          <w:rFonts w:asciiTheme="majorHAnsi" w:eastAsia="Yu Mincho" w:hAnsiTheme="majorHAnsi" w:cstheme="majorHAnsi"/>
          <w:color w:val="000000" w:themeColor="text1"/>
          <w:sz w:val="18"/>
          <w:szCs w:val="18"/>
          <w:lang w:eastAsia="ja-JP"/>
        </w:rPr>
        <w:t>composition</w:t>
      </w:r>
      <w:r w:rsidRPr="005E6B7C">
        <w:rPr>
          <w:rFonts w:asciiTheme="majorHAnsi" w:eastAsia="Yu Mincho" w:hAnsiTheme="majorHAnsi" w:cstheme="majorHAnsi"/>
          <w:color w:val="000000" w:themeColor="text1"/>
          <w:sz w:val="18"/>
          <w:szCs w:val="18"/>
          <w:lang w:val="en" w:eastAsia="ja-JP"/>
        </w:rPr>
        <w:t xml:space="preserve">. The results showed that </w:t>
      </w:r>
      <w:r w:rsidRPr="005E6B7C">
        <w:rPr>
          <w:rFonts w:asciiTheme="majorHAnsi" w:eastAsia="Yu Mincho" w:hAnsiTheme="majorHAnsi" w:cstheme="majorHAnsi"/>
          <w:color w:val="000000" w:themeColor="text1"/>
          <w:sz w:val="18"/>
          <w:szCs w:val="18"/>
          <w:lang w:eastAsia="ja-JP"/>
        </w:rPr>
        <w:t xml:space="preserve">the total polyphenol content ranged from 0.25% to 2.64%, while essential oil content ranged from 0.27% to 0.92%, </w:t>
      </w:r>
      <w:r w:rsidR="00055D14" w:rsidRPr="005E6B7C">
        <w:rPr>
          <w:rFonts w:asciiTheme="majorHAnsi" w:eastAsia="Yu Mincho" w:hAnsiTheme="majorHAnsi" w:cstheme="majorHAnsi"/>
          <w:color w:val="000000" w:themeColor="text1"/>
          <w:sz w:val="18"/>
          <w:szCs w:val="18"/>
          <w:lang w:eastAsia="ja-JP"/>
        </w:rPr>
        <w:t xml:space="preserve">meeting the essential oil content criteria specified </w:t>
      </w:r>
      <w:r w:rsidRPr="005E6B7C">
        <w:rPr>
          <w:rFonts w:asciiTheme="majorHAnsi" w:eastAsia="Yu Mincho" w:hAnsiTheme="majorHAnsi" w:cstheme="majorHAnsi"/>
          <w:color w:val="000000" w:themeColor="text1"/>
          <w:sz w:val="18"/>
          <w:szCs w:val="18"/>
          <w:lang w:eastAsia="ja-JP"/>
        </w:rPr>
        <w:t xml:space="preserve">in the Vietnamese Pharmacopoeia V. Gas chromatography-mass spectrometry (GC-MS) analysis of the essential oil revealed the presence of compounds such as </w:t>
      </w:r>
      <w:bookmarkStart w:id="22" w:name="_Hlk213406905"/>
      <w:r w:rsidRPr="005E6B7C">
        <w:rPr>
          <w:rFonts w:asciiTheme="majorHAnsi" w:eastAsia="Yu Mincho" w:hAnsiTheme="majorHAnsi" w:cstheme="majorHAnsi"/>
          <w:color w:val="000000" w:themeColor="text1"/>
          <w:sz w:val="18"/>
          <w:szCs w:val="18"/>
          <w:lang w:eastAsia="ja-JP"/>
        </w:rPr>
        <w:t xml:space="preserve">6-methyl-2-(2-oxiranyl)-5-hepten-2-ol, </w:t>
      </w:r>
      <w:r w:rsidRPr="005E6B7C">
        <w:rPr>
          <w:rFonts w:asciiTheme="majorHAnsi" w:eastAsia="Yu Mincho" w:hAnsiTheme="majorHAnsi" w:cstheme="majorHAnsi"/>
          <w:i/>
          <w:color w:val="000000" w:themeColor="text1"/>
          <w:sz w:val="18"/>
          <w:szCs w:val="18"/>
          <w:lang w:eastAsia="ja-JP"/>
        </w:rPr>
        <w:t>trans</w:t>
      </w:r>
      <w:r w:rsidRPr="005E6B7C">
        <w:rPr>
          <w:rFonts w:asciiTheme="majorHAnsi" w:eastAsia="Yu Mincho" w:hAnsiTheme="majorHAnsi" w:cstheme="majorHAnsi"/>
          <w:color w:val="000000" w:themeColor="text1"/>
          <w:sz w:val="18"/>
          <w:szCs w:val="18"/>
          <w:lang w:eastAsia="ja-JP"/>
        </w:rPr>
        <w:t xml:space="preserve">-linalool oxide, hotrienol, </w:t>
      </w:r>
      <w:r w:rsidRPr="005E6B7C">
        <w:rPr>
          <w:rFonts w:asciiTheme="majorHAnsi" w:eastAsia="Yu Mincho" w:hAnsiTheme="majorHAnsi" w:cstheme="majorHAnsi"/>
          <w:i/>
          <w:color w:val="000000" w:themeColor="text1"/>
          <w:sz w:val="18"/>
          <w:szCs w:val="18"/>
          <w:lang w:eastAsia="ja-JP"/>
        </w:rPr>
        <w:t>L</w:t>
      </w:r>
      <w:r w:rsidRPr="005E6B7C">
        <w:rPr>
          <w:rFonts w:asciiTheme="majorHAnsi" w:eastAsia="Yu Mincho" w:hAnsiTheme="majorHAnsi" w:cstheme="majorHAnsi"/>
          <w:color w:val="000000" w:themeColor="text1"/>
          <w:sz w:val="18"/>
          <w:szCs w:val="18"/>
          <w:lang w:eastAsia="ja-JP"/>
        </w:rPr>
        <w:t xml:space="preserve">-terpinen-4-ol,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xml:space="preserve">-terpineol, </w:t>
      </w:r>
      <w:r w:rsidRPr="005E6B7C">
        <w:rPr>
          <w:rFonts w:asciiTheme="majorHAnsi" w:eastAsia="Yu Mincho" w:hAnsiTheme="majorHAnsi" w:cstheme="majorHAnsi"/>
          <w:i/>
          <w:color w:val="000000" w:themeColor="text1"/>
          <w:sz w:val="18"/>
          <w:szCs w:val="18"/>
          <w:lang w:eastAsia="ja-JP"/>
        </w:rPr>
        <w:t>δ</w:t>
      </w:r>
      <w:r w:rsidRPr="005E6B7C">
        <w:rPr>
          <w:rFonts w:asciiTheme="majorHAnsi" w:eastAsia="Yu Mincho" w:hAnsiTheme="majorHAnsi" w:cstheme="majorHAnsi"/>
          <w:color w:val="000000" w:themeColor="text1"/>
          <w:sz w:val="18"/>
          <w:szCs w:val="18"/>
          <w:lang w:eastAsia="ja-JP"/>
        </w:rPr>
        <w:t>-cadinene, spathulenol, and notably linalool</w:t>
      </w:r>
      <w:bookmarkEnd w:id="22"/>
      <w:r w:rsidRPr="005E6B7C">
        <w:rPr>
          <w:rFonts w:asciiTheme="majorHAnsi" w:eastAsia="Yu Mincho" w:hAnsiTheme="majorHAnsi" w:cstheme="majorHAnsi"/>
          <w:color w:val="000000" w:themeColor="text1"/>
          <w:sz w:val="18"/>
          <w:szCs w:val="18"/>
          <w:lang w:eastAsia="ja-JP"/>
        </w:rPr>
        <w:t xml:space="preserve">, which accounted for over 40% (based on peak area percent). </w:t>
      </w:r>
      <w:r w:rsidRPr="005E6B7C">
        <w:rPr>
          <w:rFonts w:asciiTheme="majorHAnsi" w:eastAsia="Yu Mincho" w:hAnsiTheme="majorHAnsi" w:cstheme="majorHAnsi"/>
          <w:color w:val="000000" w:themeColor="text1"/>
          <w:sz w:val="18"/>
          <w:szCs w:val="18"/>
          <w:lang w:val="en" w:eastAsia="ja-JP"/>
        </w:rPr>
        <w:t xml:space="preserve">The findings provide valuable data for upgrading quality standards for </w:t>
      </w:r>
      <w:r w:rsidRPr="005E6B7C">
        <w:rPr>
          <w:rFonts w:asciiTheme="majorHAnsi" w:eastAsia="Yu Mincho" w:hAnsiTheme="majorHAnsi" w:cstheme="majorHAnsi"/>
          <w:bCs/>
          <w:i/>
          <w:iCs/>
          <w:color w:val="000000" w:themeColor="text1"/>
          <w:sz w:val="18"/>
          <w:szCs w:val="18"/>
          <w:lang w:eastAsia="ja-JP"/>
        </w:rPr>
        <w:t>Rhizoma Homalomenae occultae</w:t>
      </w:r>
      <w:r w:rsidRPr="005E6B7C">
        <w:rPr>
          <w:rFonts w:asciiTheme="majorHAnsi" w:eastAsia="Yu Mincho" w:hAnsiTheme="majorHAnsi" w:cstheme="majorHAnsi"/>
          <w:bCs/>
          <w:i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en" w:eastAsia="ja-JP"/>
        </w:rPr>
        <w:t>in Vietnam</w:t>
      </w:r>
      <w:r w:rsidRPr="005E6B7C">
        <w:rPr>
          <w:rFonts w:asciiTheme="majorHAnsi" w:eastAsia="Yu Mincho" w:hAnsiTheme="majorHAnsi" w:cstheme="majorHAnsi"/>
          <w:color w:val="000000" w:themeColor="text1"/>
          <w:sz w:val="18"/>
          <w:szCs w:val="18"/>
          <w:lang w:eastAsia="ja-JP"/>
        </w:rPr>
        <w:t>.</w:t>
      </w:r>
    </w:p>
    <w:p w14:paraId="2BCA3138" w14:textId="57F537BC" w:rsidR="00E049CB" w:rsidRPr="005E6B7C" w:rsidRDefault="00E049CB" w:rsidP="008C0D47">
      <w:pPr>
        <w:tabs>
          <w:tab w:val="left" w:pos="9270"/>
        </w:tabs>
        <w:ind w:right="-20" w:firstLine="284"/>
        <w:jc w:val="both"/>
        <w:rPr>
          <w:rFonts w:asciiTheme="majorHAnsi" w:eastAsia="Yu Mincho" w:hAnsiTheme="majorHAnsi" w:cstheme="majorHAnsi"/>
          <w:i/>
          <w:color w:val="000000" w:themeColor="text1"/>
          <w:sz w:val="18"/>
          <w:szCs w:val="18"/>
          <w:lang w:val="vi-VN" w:eastAsia="ja-JP"/>
        </w:rPr>
      </w:pPr>
      <w:r w:rsidRPr="005E6B7C">
        <w:rPr>
          <w:rFonts w:asciiTheme="majorHAnsi" w:eastAsia="Yu Mincho" w:hAnsiTheme="majorHAnsi" w:cstheme="majorHAnsi"/>
          <w:b/>
          <w:iCs/>
          <w:color w:val="000000" w:themeColor="text1"/>
          <w:sz w:val="18"/>
          <w:szCs w:val="18"/>
          <w:lang w:eastAsia="ja-JP"/>
        </w:rPr>
        <w:t>Keywords</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 xml:space="preserve"> </w:t>
      </w:r>
      <w:r w:rsidRPr="005E6B7C">
        <w:rPr>
          <w:rFonts w:asciiTheme="majorHAnsi" w:eastAsia="Yu Mincho" w:hAnsiTheme="majorHAnsi" w:cstheme="majorHAnsi"/>
          <w:bCs/>
          <w:i/>
          <w:iCs/>
          <w:color w:val="000000" w:themeColor="text1"/>
          <w:sz w:val="18"/>
          <w:szCs w:val="18"/>
          <w:lang w:eastAsia="ja-JP"/>
        </w:rPr>
        <w:t>Homalomenae occultae;</w:t>
      </w:r>
      <w:r w:rsidRPr="005E6B7C">
        <w:rPr>
          <w:rFonts w:asciiTheme="majorHAnsi" w:eastAsia="Yu Mincho" w:hAnsiTheme="majorHAnsi" w:cstheme="majorHAnsi"/>
          <w:i/>
          <w:color w:val="000000" w:themeColor="text1"/>
          <w:sz w:val="18"/>
          <w:szCs w:val="18"/>
          <w:lang w:eastAsia="ja-JP"/>
        </w:rPr>
        <w:t xml:space="preserve"> Essential oil; Polyphenol; Quality evaluation; GC-MS.</w:t>
      </w:r>
      <w:r w:rsidR="00055D14" w:rsidRPr="005E6B7C">
        <w:rPr>
          <w:rFonts w:asciiTheme="majorHAnsi" w:eastAsia="Yu Mincho" w:hAnsiTheme="majorHAnsi" w:cstheme="majorHAnsi"/>
          <w:i/>
          <w:color w:val="000000" w:themeColor="text1"/>
          <w:sz w:val="18"/>
          <w:szCs w:val="18"/>
          <w:lang w:val="vi-VN" w:eastAsia="ja-JP"/>
        </w:rPr>
        <w:t xml:space="preserve"> </w:t>
      </w:r>
    </w:p>
    <w:p w14:paraId="06CEEF03" w14:textId="77777777" w:rsidR="00EC45B5" w:rsidRPr="005E6B7C" w:rsidRDefault="00EC45B5" w:rsidP="008C0D47">
      <w:pPr>
        <w:tabs>
          <w:tab w:val="left" w:pos="270"/>
          <w:tab w:val="left" w:pos="540"/>
          <w:tab w:val="left" w:pos="9270"/>
        </w:tabs>
        <w:ind w:right="-20"/>
        <w:jc w:val="both"/>
        <w:outlineLvl w:val="0"/>
        <w:rPr>
          <w:rFonts w:asciiTheme="majorHAnsi" w:eastAsia="Times New Roman" w:hAnsiTheme="majorHAnsi" w:cstheme="majorHAnsi"/>
          <w:b/>
          <w:bCs/>
          <w:color w:val="000000" w:themeColor="text1"/>
          <w:sz w:val="22"/>
          <w:szCs w:val="22"/>
          <w:lang w:eastAsia="ja-JP"/>
        </w:rPr>
      </w:pPr>
    </w:p>
    <w:p w14:paraId="4BB40C5F" w14:textId="77777777" w:rsidR="0079118F" w:rsidRPr="005E6B7C" w:rsidRDefault="0079118F" w:rsidP="008C0D47">
      <w:pPr>
        <w:tabs>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sectPr w:rsidR="0079118F" w:rsidRPr="005E6B7C" w:rsidSect="002206BB">
          <w:type w:val="continuous"/>
          <w:pgSz w:w="10773" w:h="15309" w:code="9"/>
          <w:pgMar w:top="907" w:right="851" w:bottom="1418" w:left="851" w:header="397" w:footer="851" w:gutter="0"/>
          <w:cols w:space="284"/>
          <w:docGrid w:linePitch="360"/>
        </w:sectPr>
      </w:pPr>
    </w:p>
    <w:p w14:paraId="554B80E3" w14:textId="77777777" w:rsidR="00E049CB" w:rsidRPr="005E6B7C" w:rsidRDefault="00E049CB" w:rsidP="008C0D47">
      <w:pPr>
        <w:tabs>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1. Introduction</w:t>
      </w:r>
    </w:p>
    <w:p w14:paraId="4C9C5F47" w14:textId="77777777" w:rsidR="00E049CB" w:rsidRPr="005E6B7C" w:rsidRDefault="00E049CB" w:rsidP="008C0D47">
      <w:pPr>
        <w:tabs>
          <w:tab w:val="left" w:pos="9270"/>
        </w:tabs>
        <w:spacing w:line="240" w:lineRule="exact"/>
        <w:ind w:right="-23"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shd w:val="clear" w:color="auto" w:fill="FFFFFF"/>
          <w:lang w:eastAsia="ja-JP"/>
        </w:rPr>
        <w:t>The genus </w:t>
      </w:r>
      <w:r w:rsidRPr="005E6B7C">
        <w:rPr>
          <w:rFonts w:asciiTheme="majorHAnsi" w:eastAsia="Yu Mincho" w:hAnsiTheme="majorHAnsi" w:cstheme="majorHAnsi"/>
          <w:i/>
          <w:iCs/>
          <w:color w:val="000000" w:themeColor="text1"/>
          <w:spacing w:val="-4"/>
          <w:sz w:val="22"/>
          <w:szCs w:val="22"/>
          <w:shd w:val="clear" w:color="auto" w:fill="FFFFFF"/>
          <w:lang w:eastAsia="ja-JP"/>
        </w:rPr>
        <w:t>Homalomena</w:t>
      </w:r>
      <w:r w:rsidRPr="005E6B7C">
        <w:rPr>
          <w:rFonts w:asciiTheme="majorHAnsi" w:eastAsia="Yu Mincho" w:hAnsiTheme="majorHAnsi" w:cstheme="majorHAnsi"/>
          <w:color w:val="000000" w:themeColor="text1"/>
          <w:spacing w:val="-4"/>
          <w:sz w:val="22"/>
          <w:szCs w:val="22"/>
          <w:shd w:val="clear" w:color="auto" w:fill="FFFFFF"/>
          <w:lang w:eastAsia="ja-JP"/>
        </w:rPr>
        <w:t>, particularly the species </w:t>
      </w:r>
      <w:r w:rsidRPr="005E6B7C">
        <w:rPr>
          <w:rFonts w:asciiTheme="majorHAnsi" w:eastAsia="Yu Mincho" w:hAnsiTheme="majorHAnsi" w:cstheme="majorHAnsi"/>
          <w:i/>
          <w:iCs/>
          <w:color w:val="000000" w:themeColor="text1"/>
          <w:spacing w:val="-4"/>
          <w:sz w:val="22"/>
          <w:szCs w:val="22"/>
          <w:shd w:val="clear" w:color="auto" w:fill="FFFFFF"/>
          <w:lang w:eastAsia="ja-JP"/>
        </w:rPr>
        <w:t>Homalomena occulta</w:t>
      </w:r>
      <w:r w:rsidRPr="005E6B7C">
        <w:rPr>
          <w:rFonts w:asciiTheme="majorHAnsi" w:eastAsia="Yu Mincho" w:hAnsiTheme="majorHAnsi" w:cstheme="majorHAnsi"/>
          <w:color w:val="000000" w:themeColor="text1"/>
          <w:spacing w:val="-4"/>
          <w:sz w:val="22"/>
          <w:szCs w:val="22"/>
          <w:shd w:val="clear" w:color="auto" w:fill="FFFFFF"/>
          <w:lang w:eastAsia="ja-JP"/>
        </w:rPr>
        <w:t xml:space="preserve"> (Lour.) Schott, is considered a valuable medicinal herb in traditional Vietnamese medicine. It has long been used as a folk remedy for treating various conditions such as rheumatism, joint pain, inflammation, bacterial infections, gastrointestinal disorders, and enteritis </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&lt;EndNote&gt;&lt;Cite&gt;&lt;Author&gt;Yang J. L.&lt;/Author&gt;&lt;Year&gt;2019&lt;/Year&gt;&lt;RecNum&gt;1&lt;/RecNum&gt;&lt;DisplayText&gt;[1]&lt;/DisplayText&gt;&lt;record&gt;&lt;rec-number&gt;1&lt;/rec-number&gt;&lt;foreign-keys&gt;&lt;key app="EN" db-id="swxa5wfewsdrtme5aw2xswf6eerwsdwxa055" timestamp="1760749908"&gt;1&lt;/key&gt;&lt;/foreign-keys&gt;&lt;ref-type name="Journal Article"&gt;17&lt;/ref-type&gt;&lt;contributors&gt;&lt;authors&gt;&lt;author&gt;Yang J. L.,&lt;/author&gt;&lt;author&gt;Dao T. T.,&lt;/author&gt;&lt;author&gt;Hien T. T.,&lt;/author&gt;&lt;author&gt;Zhao Y. M.,&lt;/author&gt;&lt;author&gt;Shi Y. P.&lt;/author&gt;&lt;/authors&gt;&lt;/contributors&gt;&lt;titles&gt;&lt;title&gt;&lt;style face="normal" font="default" size="100%"&gt;Further sesquiterpenoids from the rhizomes of &lt;/style&gt;&lt;style face="italic" font="default" size="100%"&gt;Homalomena occulta &lt;/style&gt;&lt;style face="normal" font="default" size="100%"&gt;and their anti-inflammatory activity&lt;/style&gt;&lt;/title&gt;&lt;secondary-title&gt;Bioorganic and Medicinal Chemistry Letters&lt;/secondary-title&gt;&lt;/titles&gt;&lt;periodical&gt;&lt;full-title&gt;Bioorganic and Medicinal Chemistry Letters&lt;/full-title&gt;&lt;/periodical&gt;&lt;pages&gt;1162-1167&lt;/pages&gt;&lt;volume&gt;29&lt;/volume&gt;&lt;number&gt;10&lt;/number&gt;&lt;dates&gt;&lt;year&gt;2019&lt;/year&gt;&lt;/dates&gt;&lt;isbn&gt;0960-894X&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w:t>
      </w:r>
      <w:hyperlink w:anchor="_ENREF_1" w:tooltip="Yang J. L., 2019 #1" w:history="1">
        <w:r w:rsidRPr="005E6B7C">
          <w:rPr>
            <w:rFonts w:asciiTheme="majorHAnsi" w:eastAsia="Yu Mincho" w:hAnsiTheme="majorHAnsi" w:cstheme="majorHAnsi"/>
            <w:noProof/>
            <w:color w:val="000000" w:themeColor="text1"/>
            <w:spacing w:val="-4"/>
            <w:sz w:val="22"/>
            <w:szCs w:val="22"/>
            <w:lang w:eastAsia="ja-JP"/>
          </w:rPr>
          <w:t>1</w:t>
        </w:r>
      </w:hyperlink>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&lt;EndNote&gt;&lt;Cite&gt;&lt;Author&gt;Yang J. L.&lt;/Author&gt;&lt;Year&gt;2019&lt;/Year&gt;&lt;RecNum&gt;1&lt;/RecNum&gt;&lt;DisplayText&gt;[1]&lt;/DisplayText&gt;&lt;record&gt;&lt;rec-number&gt;1&lt;/rec-number&gt;&lt;foreign-keys&gt;&lt;key app="EN" db-id="swxa5wfewsdrtme5aw2xswf6eerwsdwxa055" timestamp="1760749908"&gt;1&lt;/key&gt;&lt;/foreign-keys&gt;&lt;ref-type name="Journal Article"&gt;17&lt;/ref-type&gt;&lt;contributors&gt;&lt;authors&gt;&lt;author&gt;Yang J. L.,&lt;/author&gt;&lt;author&gt;Dao T. T.,&lt;/author&gt;&lt;author&gt;Hien T. T.,&lt;/author&gt;&lt;author&gt;Zhao Y. M.,&lt;/author&gt;&lt;author&gt;Shi Y. P.&lt;/author&gt;&lt;/authors&gt;&lt;/contributors&gt;&lt;titles&gt;&lt;title&gt;&lt;style face="normal" font="default" size="100%"&gt;Further sesquiterpenoids from the rhizomes of &lt;/style&gt;&lt;style face="italic" font="default" size="100%"&gt;Homalomena occulta &lt;/style&gt;&lt;style face="normal" font="default" size="100%"&gt;and their anti-inflammatory activity&lt;/style&gt;&lt;/title&gt;&lt;secondary-title&gt;Bioorganic and Medicinal Chemistry Letters&lt;/secondary-title&gt;&lt;/titles&gt;&lt;periodical&gt;&lt;full-title&gt;Bioorganic and Medicinal Chemistry Letters&lt;/full-title&gt;&lt;/periodical&gt;&lt;pages&gt;1162-1167&lt;/pages&gt;&lt;volume&gt;29&lt;/volume&gt;&lt;number&gt;10&lt;/number&gt;&lt;dates&gt;&lt;year&gt;2019&lt;/year&gt;&lt;/dates&gt;&lt;isbn&gt;0960-894X&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w:t>
      </w:r>
      <w:hyperlink w:anchor="_ENREF_1" w:tooltip="Yang J. L., 2019 #1" w:history="1">
        <w:r w:rsidRPr="005E6B7C">
          <w:rPr>
            <w:rFonts w:asciiTheme="majorHAnsi" w:eastAsia="Yu Mincho" w:hAnsiTheme="majorHAnsi" w:cstheme="majorHAnsi"/>
            <w:noProof/>
            <w:color w:val="000000" w:themeColor="text1"/>
            <w:spacing w:val="-4"/>
            <w:sz w:val="22"/>
            <w:szCs w:val="22"/>
            <w:lang w:eastAsia="ja-JP"/>
          </w:rPr>
          <w:t>2</w:t>
        </w:r>
      </w:hyperlink>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&lt;EndNote&gt;&lt;Cite&gt;&lt;Author&gt;Yang J. L.&lt;/Author&gt;&lt;Year&gt;2019&lt;/Year&gt;&lt;RecNum&gt;1&lt;/RecNum&gt;&lt;DisplayText&gt;[1]&lt;/DisplayText&gt;&lt;record&gt;&lt;rec-number&gt;1&lt;/rec-number&gt;&lt;foreign-keys&gt;&lt;key app="EN" db-id="swxa5wfewsdrtme5aw2xswf6eerwsdwxa055" timestamp="1760749908"&gt;1&lt;/key&gt;&lt;/foreign-keys&gt;&lt;ref-type name="Journal Article"&gt;17&lt;/ref-type&gt;&lt;contributors&gt;&lt;authors&gt;&lt;author&gt;Yang J. L.,&lt;/author&gt;&lt;author&gt;Dao T. T.,&lt;/author&gt;&lt;author&gt;Hien T. T.,&lt;/author&gt;&lt;author&gt;Zhao Y. M.,&lt;/author&gt;&lt;author&gt;Shi Y. P.&lt;/author&gt;&lt;/authors&gt;&lt;/contributors&gt;&lt;titles&gt;&lt;title&gt;&lt;style face="normal" font="default" size="100%"&gt;Further sesquiterpenoids from the rhizomes of &lt;/style&gt;&lt;style face="italic" font="default" size="100%"&gt;Homalomena occulta &lt;/style&gt;&lt;style face="normal" font="default" size="100%"&gt;and their anti-inflammatory activity&lt;/style&gt;&lt;/title&gt;&lt;secondary-title&gt;Bioorganic and Medicinal Chemistry Letters&lt;/secondary-title&gt;&lt;/titles&gt;&lt;periodical&gt;&lt;full-title&gt;Bioorganic and Medicinal Chemistry Letters&lt;/full-title&gt;&lt;/periodical&gt;&lt;pages&gt;1162-1167&lt;/pages&gt;&lt;volume&gt;29&lt;/volume&gt;&lt;number&gt;10&lt;/number&gt;&lt;dates&gt;&lt;year&gt;2019&lt;/year&gt;&lt;/dates&gt;&lt;isbn&gt;0960-894X&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w:t>
      </w:r>
      <w:hyperlink w:anchor="_ENREF_1" w:tooltip="Yang J. L., 2019 #1" w:history="1">
        <w:r w:rsidRPr="005E6B7C">
          <w:rPr>
            <w:rFonts w:asciiTheme="majorHAnsi" w:eastAsia="Yu Mincho" w:hAnsiTheme="majorHAnsi" w:cstheme="majorHAnsi"/>
            <w:noProof/>
            <w:color w:val="000000" w:themeColor="text1"/>
            <w:spacing w:val="-4"/>
            <w:sz w:val="22"/>
            <w:szCs w:val="22"/>
            <w:lang w:eastAsia="ja-JP"/>
          </w:rPr>
          <w:t>3</w:t>
        </w:r>
      </w:hyperlink>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Previous studies have revealed the presence of numerous bioactive compounds in </w:t>
      </w:r>
      <w:r w:rsidRPr="005E6B7C">
        <w:rPr>
          <w:rFonts w:asciiTheme="majorHAnsi" w:eastAsia="Yu Mincho" w:hAnsiTheme="majorHAnsi" w:cstheme="majorHAnsi"/>
          <w:i/>
          <w:color w:val="000000" w:themeColor="text1"/>
          <w:spacing w:val="-4"/>
          <w:sz w:val="22"/>
          <w:szCs w:val="22"/>
          <w:lang w:eastAsia="ja-JP"/>
        </w:rPr>
        <w:t>H. occulta</w:t>
      </w:r>
      <w:r w:rsidRPr="005E6B7C">
        <w:rPr>
          <w:rFonts w:asciiTheme="majorHAnsi" w:eastAsia="Yu Mincho" w:hAnsiTheme="majorHAnsi" w:cstheme="majorHAnsi"/>
          <w:color w:val="000000" w:themeColor="text1"/>
          <w:spacing w:val="-4"/>
          <w:sz w:val="22"/>
          <w:szCs w:val="22"/>
          <w:lang w:eastAsia="ja-JP"/>
        </w:rPr>
        <w:t xml:space="preserve">, such as sesquiterpenoids, triterpenoids, triterpenoid saponins, flavonoids, alkaloids, phenolic acids, lignans, and essential oils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&lt;EndNote&gt;&lt;Cite&gt;&lt;Author&gt;Ye J.&lt;/Author&gt;&lt;Year&gt;2017&lt;/Year&gt;&lt;RecNum&gt;4&lt;/RecNum&gt;&lt;DisplayText&gt;[4]&lt;/DisplayText&gt;&lt;record&gt;&lt;rec-number&gt;4&lt;/rec-number&gt;&lt;foreign-keys&gt;&lt;key app="EN" db-id="swxa5wfewsdrtme5aw2xswf6eerwsdwxa055" timestamp="1760749908"&gt;4&lt;/key&gt;&lt;/foreign-keys&gt;&lt;ref-type name="Journal Article"&gt;17&lt;/ref-type&gt;&lt;contributors&gt;&lt;authors&gt;&lt;author&gt;Ye J.,&lt;/author&gt;&lt;author&gt;Yin P.,&lt;/author&gt;&lt;author&gt;Xiao M. T.&lt;/author&gt;&lt;/authors&gt;&lt;/contributors&gt;&lt;titles&gt;&lt;title&gt;&lt;style face="normal" font="default" size="100%"&gt;New aromatic compounds from the rhizomes of &lt;/style&gt;&lt;style face="italic" font="default" size="100%"&gt;Homalomena occulta&lt;/style&gt;&lt;/title&gt;&lt;secondary-title&gt;Phytochemistry Letters&lt;/secondary-title&gt;&lt;/titles&gt;&lt;periodical&gt;&lt;full-title&gt;Phytochemistry Letters&lt;/full-title&gt;&lt;/periodical&gt;&lt;pages&gt;57-60&lt;/pages&gt;&lt;volume&gt;21&lt;/volume&gt;&lt;dates&gt;&lt;year&gt;2017&lt;/year&gt;&lt;/dates&gt;&lt;isbn&gt;1874-3900&lt;/isbn&gt;&lt;urls&gt;&lt;/urls&gt;&lt;/record&gt;&lt;/Cite&gt;&lt;/EndNote&gt;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w:t>
      </w:r>
      <w:hyperlink w:anchor="_ENREF_4" w:tooltip="Ye J., 2017 #4" w:history="1">
        <w:r w:rsidRPr="005E6B7C">
          <w:rPr>
            <w:rFonts w:asciiTheme="majorHAnsi" w:eastAsia="Yu Mincho" w:hAnsiTheme="majorHAnsi" w:cstheme="majorHAnsi"/>
            <w:noProof/>
            <w:color w:val="000000" w:themeColor="text1"/>
            <w:spacing w:val="-4"/>
            <w:sz w:val="22"/>
            <w:szCs w:val="22"/>
            <w:lang w:eastAsia="ja-JP"/>
          </w:rPr>
          <w:t>4</w:t>
        </w:r>
      </w:hyperlink>
      <w:r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shd w:val="clear" w:color="auto" w:fill="FFFFFF"/>
          <w:lang w:eastAsia="ja-JP"/>
        </w:rPr>
        <w:fldChar w:fldCharType="begin"/>
      </w:r>
      <w:r w:rsidRPr="005E6B7C">
        <w:rPr>
          <w:rFonts w:asciiTheme="majorHAnsi" w:eastAsia="Yu Mincho" w:hAnsiTheme="majorHAnsi" w:cstheme="majorHAnsi" w:hint="eastAsia"/>
          <w:color w:val="000000" w:themeColor="text1"/>
          <w:spacing w:val="-4"/>
          <w:sz w:val="22"/>
          <w:szCs w:val="22"/>
          <w:shd w:val="clear" w:color="auto" w:fill="FFFFFF"/>
          <w:lang w:eastAsia="ja-JP"/>
        </w:rPr>
        <w:instrText xml:space="preserve"> ADDIN EN.CITE &lt;EndNote&gt;&lt;Cite&gt;&lt;Author&gt;Tian X. Y.&lt;/Author&gt;&lt;Year&gt;2010&lt;/Year&gt;&lt;RecNum&gt;5&lt;/RecNum&gt;&lt;DisplayText&gt;[5]&lt;/DisplayText&gt;&lt;record&gt;&lt;rec-number&gt;5&lt;/rec-number&gt;&lt;foreign-keys&gt;&lt;key app="EN" db-id="swxa5wfewsdrtme5aw2xswf6eerwsdwxa055" timestamp="1760749908"&gt;5&lt;/key&gt;&lt;/foreign-keys&gt;&lt;ref-type name="Journal Article"&gt;17&lt;/ref-type&gt;&lt;contributors&gt;&lt;authors&gt;&lt;author&gt;Tian X. Y.,&lt;/author&gt;&lt;author&gt;Zhao Y.,&lt;/author&gt;&lt;author&gt;Yu S. S.,&lt;/author&gt;&lt;author&gt;Fang W. S.&lt;/author&gt;&lt;/authors&gt;&lt;/contributors&gt;&lt;titles&gt;&lt;title&gt;&lt;style face="normal" font="default" size="100%"&gt;BACE1 (beta</w:instrText>
      </w:r>
      <w:r w:rsidRPr="005E6B7C">
        <w:rPr>
          <w:rFonts w:asciiTheme="majorHAnsi" w:eastAsia="Yu Mincho" w:hAnsiTheme="majorHAnsi" w:cstheme="majorHAnsi" w:hint="eastAsia"/>
          <w:color w:val="000000" w:themeColor="text1"/>
          <w:spacing w:val="-4"/>
          <w:sz w:val="22"/>
          <w:szCs w:val="22"/>
          <w:shd w:val="clear" w:color="auto" w:fill="FFFFFF"/>
          <w:lang w:eastAsia="ja-JP"/>
        </w:rPr>
        <w:instrText>‐</w:instrText>
      </w:r>
      <w:r w:rsidRPr="005E6B7C">
        <w:rPr>
          <w:rFonts w:asciiTheme="majorHAnsi" w:eastAsia="Yu Mincho" w:hAnsiTheme="majorHAnsi" w:cstheme="majorHAnsi" w:hint="eastAsia"/>
          <w:color w:val="000000" w:themeColor="text1"/>
          <w:spacing w:val="-4"/>
          <w:sz w:val="22"/>
          <w:szCs w:val="22"/>
          <w:shd w:val="clear" w:color="auto" w:fill="FFFFFF"/>
          <w:lang w:eastAsia="ja-JP"/>
        </w:rPr>
        <w:instrText>secretase) inhibitory phenolic acids and a novel sesquiterpenoid from &lt;/style&gt;&lt;style face="italic" font="default" size="100%"&gt;Homalomena occulta&lt;/style&gt;&lt;/title&gt;&lt;secondary-title&gt;Chemistry &amp;amp; Biodiversity&lt;/secondary-title&gt;&lt;/titles&gt;&lt;periodical&gt;&lt;full-title&gt;Chemistry &amp;amp; Biodiversity&lt;/full-title&gt;&lt;/periodical&gt;&lt;pages&gt;984-992&lt;/pages&gt;&lt;volume&gt;7&lt;/volume&gt;&lt;number&gt;4&lt;/number&gt;&lt;dates&gt;&lt;year&gt;2010&lt;/year&gt;&lt;/dates&gt;&lt;isbn&gt;1612-1872&lt;/isbn&gt;&lt;urls&gt;&lt;/urls&gt;&lt;/record&gt;&lt;/Cite&gt;&lt;/EndNote&gt;</w:instrText>
      </w:r>
      <w:r w:rsidRPr="005E6B7C">
        <w:rPr>
          <w:rFonts w:asciiTheme="majorHAnsi" w:eastAsia="Yu Mincho" w:hAnsiTheme="majorHAnsi" w:cstheme="majorHAnsi"/>
          <w:color w:val="000000" w:themeColor="text1"/>
          <w:spacing w:val="-4"/>
          <w:sz w:val="22"/>
          <w:szCs w:val="22"/>
          <w:shd w:val="clear" w:color="auto" w:fill="FFFFFF"/>
          <w:lang w:eastAsia="ja-JP"/>
        </w:rPr>
        <w:fldChar w:fldCharType="separate"/>
      </w:r>
      <w:r w:rsidRPr="005E6B7C">
        <w:rPr>
          <w:rFonts w:asciiTheme="majorHAnsi" w:eastAsia="Yu Mincho" w:hAnsiTheme="majorHAnsi" w:cstheme="majorHAnsi"/>
          <w:noProof/>
          <w:color w:val="000000" w:themeColor="text1"/>
          <w:spacing w:val="-4"/>
          <w:sz w:val="22"/>
          <w:szCs w:val="22"/>
          <w:shd w:val="clear" w:color="auto" w:fill="FFFFFF"/>
          <w:lang w:eastAsia="ja-JP"/>
        </w:rPr>
        <w:t>[</w:t>
      </w:r>
      <w:hyperlink w:anchor="_ENREF_5" w:tooltip="Tian X. Y., 2010 #5" w:history="1">
        <w:r w:rsidRPr="005E6B7C">
          <w:rPr>
            <w:rFonts w:asciiTheme="majorHAnsi" w:eastAsia="Yu Mincho" w:hAnsiTheme="majorHAnsi" w:cstheme="majorHAnsi"/>
            <w:noProof/>
            <w:color w:val="000000" w:themeColor="text1"/>
            <w:spacing w:val="-4"/>
            <w:sz w:val="22"/>
            <w:szCs w:val="22"/>
            <w:shd w:val="clear" w:color="auto" w:fill="FFFFFF"/>
            <w:lang w:eastAsia="ja-JP"/>
          </w:rPr>
          <w:t>5</w:t>
        </w:r>
      </w:hyperlink>
      <w:r w:rsidRPr="005E6B7C">
        <w:rPr>
          <w:rFonts w:asciiTheme="majorHAnsi" w:eastAsia="Yu Mincho" w:hAnsiTheme="majorHAnsi" w:cstheme="majorHAnsi"/>
          <w:noProof/>
          <w:color w:val="000000" w:themeColor="text1"/>
          <w:spacing w:val="-4"/>
          <w:sz w:val="22"/>
          <w:szCs w:val="22"/>
          <w:shd w:val="clear" w:color="auto" w:fill="FFFFFF"/>
          <w:lang w:eastAsia="ja-JP"/>
        </w:rPr>
        <w:t>]</w:t>
      </w:r>
      <w:r w:rsidRPr="005E6B7C">
        <w:rPr>
          <w:rFonts w:asciiTheme="majorHAnsi" w:eastAsia="Yu Mincho" w:hAnsiTheme="majorHAnsi" w:cstheme="majorHAnsi"/>
          <w:color w:val="000000" w:themeColor="text1"/>
          <w:spacing w:val="-4"/>
          <w:sz w:val="22"/>
          <w:szCs w:val="22"/>
          <w:shd w:val="clear" w:color="auto" w:fill="FFFFFF"/>
          <w:lang w:eastAsia="ja-JP"/>
        </w:rPr>
        <w:fldChar w:fldCharType="end"/>
      </w:r>
      <w:r w:rsidRPr="005E6B7C">
        <w:rPr>
          <w:rFonts w:asciiTheme="majorHAnsi" w:eastAsia="Yu Mincho" w:hAnsiTheme="majorHAnsi" w:cstheme="majorHAnsi"/>
          <w:color w:val="000000" w:themeColor="text1"/>
          <w:spacing w:val="-4"/>
          <w:sz w:val="22"/>
          <w:szCs w:val="22"/>
          <w:shd w:val="clear" w:color="auto" w:fill="FFFFFF"/>
          <w:lang w:eastAsia="ja-JP"/>
        </w:rPr>
        <w:t>,</w:t>
      </w:r>
      <w:r w:rsidRPr="005E6B7C">
        <w:rPr>
          <w:rFonts w:asciiTheme="majorHAnsi" w:eastAsia="Yu Mincho" w:hAnsiTheme="majorHAnsi" w:cstheme="majorHAnsi"/>
          <w:color w:val="000000" w:themeColor="text1"/>
          <w:spacing w:val="-4"/>
          <w:sz w:val="22"/>
          <w:szCs w:val="22"/>
          <w:shd w:val="clear" w:color="auto" w:fill="FFFFFF"/>
          <w:lang w:eastAsia="ja-JP"/>
        </w:rPr>
        <w:fldChar w:fldCharType="begin"/>
      </w:r>
      <w:r w:rsidRPr="005E6B7C">
        <w:rPr>
          <w:rFonts w:asciiTheme="majorHAnsi" w:eastAsia="Yu Mincho" w:hAnsiTheme="majorHAnsi" w:cstheme="majorHAnsi"/>
          <w:color w:val="000000" w:themeColor="text1"/>
          <w:spacing w:val="-4"/>
          <w:sz w:val="22"/>
          <w:szCs w:val="22"/>
          <w:shd w:val="clear" w:color="auto" w:fill="FFFFFF"/>
          <w:lang w:eastAsia="ja-JP"/>
        </w:rPr>
        <w:instrText xml:space="preserve"> ADDIN EN.CITE &lt;EndNote&gt;&lt;Cite&gt;&lt;Author&gt;Wang Y. F.&lt;/Author&gt;&lt;Year&gt;2007&lt;/Year&gt;&lt;RecNum&gt;6&lt;/RecNum&gt;&lt;DisplayText&gt;[6]&lt;/DisplayText&gt;&lt;record&gt;&lt;rec-number&gt;6&lt;/rec-number&gt;&lt;foreign-keys&gt;&lt;key app="EN" db-id="swxa5wfewsdrtme5aw2xswf6eerwsdwxa055" timestamp="1760749908"&gt;6&lt;/key&gt;&lt;/foreign-keys&gt;&lt;ref-type name="Journal Article"&gt;17&lt;/ref-type&gt;&lt;contributors&gt;&lt;authors&gt;&lt;author&gt;Wang Y. F., &lt;/author&gt;&lt;author&gt;Wang X. Y., &lt;/author&gt;&lt;author&gt;Lai G. F., &lt;/author&gt;&lt;author&gt;Lu C. H., &lt;/author&gt;&lt;author&gt;Luo S. D.&lt;/author&gt;&lt;/authors&gt;&lt;/contributors&gt;&lt;titles&gt;&lt;title&gt;&lt;style face="normal" font="default" size="100%"&gt;Three new sesquiterpenoids from the aerial parts of &lt;/style&gt;&lt;style face="italic" font="default" size="100%"&gt;Homalomena occulta&lt;/style&gt;&lt;/title&gt;&lt;secondary-title&gt;Chemistry &amp;amp; Biodiversity&lt;/secondary-title&gt;&lt;/titles&gt;&lt;periodical&gt;&lt;full-title&gt;Chemistry &amp;amp; Biodiversity&lt;/full-title&gt;&lt;/periodical&gt;&lt;pages&gt;925-931&lt;/pages&gt;&lt;volume&gt;4&lt;/volume&gt;&lt;number&gt;5&lt;/number&gt;&lt;dates&gt;&lt;year&gt;2007&lt;/year&gt;&lt;/dates&gt;&lt;isbn&gt;1612-1872&lt;/isbn&gt;&lt;urls&gt;&lt;/urls&gt;&lt;/record&gt;&lt;/Cite&gt;&lt;/EndNote&gt;</w:instrText>
      </w:r>
      <w:r w:rsidRPr="005E6B7C">
        <w:rPr>
          <w:rFonts w:asciiTheme="majorHAnsi" w:eastAsia="Yu Mincho" w:hAnsiTheme="majorHAnsi" w:cstheme="majorHAnsi"/>
          <w:color w:val="000000" w:themeColor="text1"/>
          <w:spacing w:val="-4"/>
          <w:sz w:val="22"/>
          <w:szCs w:val="22"/>
          <w:shd w:val="clear" w:color="auto" w:fill="FFFFFF"/>
          <w:lang w:eastAsia="ja-JP"/>
        </w:rPr>
        <w:fldChar w:fldCharType="separate"/>
      </w:r>
      <w:r w:rsidRPr="005E6B7C">
        <w:rPr>
          <w:rFonts w:asciiTheme="majorHAnsi" w:eastAsia="Yu Mincho" w:hAnsiTheme="majorHAnsi" w:cstheme="majorHAnsi"/>
          <w:noProof/>
          <w:color w:val="000000" w:themeColor="text1"/>
          <w:spacing w:val="-4"/>
          <w:sz w:val="22"/>
          <w:szCs w:val="22"/>
          <w:shd w:val="clear" w:color="auto" w:fill="FFFFFF"/>
          <w:lang w:eastAsia="ja-JP"/>
        </w:rPr>
        <w:t>[</w:t>
      </w:r>
      <w:hyperlink w:anchor="_ENREF_6" w:tooltip="Wang Y. F., 2007 #6" w:history="1">
        <w:r w:rsidRPr="005E6B7C">
          <w:rPr>
            <w:rFonts w:asciiTheme="majorHAnsi" w:eastAsia="Yu Mincho" w:hAnsiTheme="majorHAnsi" w:cstheme="majorHAnsi"/>
            <w:noProof/>
            <w:color w:val="000000" w:themeColor="text1"/>
            <w:spacing w:val="-4"/>
            <w:sz w:val="22"/>
            <w:szCs w:val="22"/>
            <w:shd w:val="clear" w:color="auto" w:fill="FFFFFF"/>
            <w:lang w:eastAsia="ja-JP"/>
          </w:rPr>
          <w:t>6</w:t>
        </w:r>
      </w:hyperlink>
      <w:r w:rsidRPr="005E6B7C">
        <w:rPr>
          <w:rFonts w:asciiTheme="majorHAnsi" w:eastAsia="Yu Mincho" w:hAnsiTheme="majorHAnsi" w:cstheme="majorHAnsi"/>
          <w:noProof/>
          <w:color w:val="000000" w:themeColor="text1"/>
          <w:spacing w:val="-4"/>
          <w:sz w:val="22"/>
          <w:szCs w:val="22"/>
          <w:shd w:val="clear" w:color="auto" w:fill="FFFFFF"/>
          <w:lang w:eastAsia="ja-JP"/>
        </w:rPr>
        <w:t>]</w:t>
      </w:r>
      <w:r w:rsidRPr="005E6B7C">
        <w:rPr>
          <w:rFonts w:asciiTheme="majorHAnsi" w:eastAsia="Yu Mincho" w:hAnsiTheme="majorHAnsi" w:cstheme="majorHAnsi"/>
          <w:color w:val="000000" w:themeColor="text1"/>
          <w:spacing w:val="-4"/>
          <w:sz w:val="22"/>
          <w:szCs w:val="22"/>
          <w:shd w:val="clear" w:color="auto" w:fill="FFFFFF"/>
          <w:lang w:eastAsia="ja-JP"/>
        </w:rPr>
        <w:fldChar w:fldCharType="end"/>
      </w:r>
      <w:r w:rsidRPr="005E6B7C">
        <w:rPr>
          <w:rFonts w:asciiTheme="majorHAnsi" w:eastAsia="Yu Mincho" w:hAnsiTheme="majorHAnsi" w:cstheme="majorHAnsi"/>
          <w:color w:val="000000" w:themeColor="text1"/>
          <w:spacing w:val="-4"/>
          <w:sz w:val="22"/>
          <w:szCs w:val="22"/>
          <w:shd w:val="clear" w:color="auto" w:fill="FFFFFF"/>
          <w:lang w:eastAsia="ja-JP"/>
        </w:rPr>
        <w:t>. Notably, </w:t>
      </w:r>
      <w:r w:rsidRPr="005E6B7C">
        <w:rPr>
          <w:rFonts w:asciiTheme="majorHAnsi" w:eastAsia="Yu Mincho" w:hAnsiTheme="majorHAnsi" w:cstheme="majorHAnsi"/>
          <w:i/>
          <w:iCs/>
          <w:color w:val="000000" w:themeColor="text1"/>
          <w:spacing w:val="-4"/>
          <w:sz w:val="22"/>
          <w:szCs w:val="22"/>
          <w:shd w:val="clear" w:color="auto" w:fill="FFFFFF"/>
          <w:lang w:eastAsia="ja-JP"/>
        </w:rPr>
        <w:t>H. occulta</w:t>
      </w:r>
      <w:r w:rsidRPr="005E6B7C">
        <w:rPr>
          <w:rFonts w:asciiTheme="majorHAnsi" w:eastAsia="Yu Mincho" w:hAnsiTheme="majorHAnsi" w:cstheme="majorHAnsi"/>
          <w:color w:val="000000" w:themeColor="text1"/>
          <w:spacing w:val="-4"/>
          <w:sz w:val="22"/>
          <w:szCs w:val="22"/>
          <w:shd w:val="clear" w:color="auto" w:fill="FFFFFF"/>
          <w:lang w:eastAsia="ja-JP"/>
        </w:rPr>
        <w:t xml:space="preserve"> contains a high content of linalool, which is known for its sedative, anxiolytic, analgesic, anticonvulsant, and anti-inflammatory properties, among others </w:t>
      </w:r>
      <w:r w:rsidRPr="005E6B7C">
        <w:rPr>
          <w:rFonts w:asciiTheme="majorHAnsi" w:eastAsia="Yu Mincho" w:hAnsiTheme="majorHAnsi" w:cstheme="majorHAnsi"/>
          <w:color w:val="000000" w:themeColor="text1"/>
          <w:spacing w:val="-4"/>
          <w:sz w:val="22"/>
          <w:szCs w:val="22"/>
          <w:shd w:val="clear" w:color="auto" w:fill="FFFFFF"/>
          <w:lang w:eastAsia="ja-JP"/>
        </w:rPr>
        <w:fldChar w:fldCharType="begin"/>
      </w:r>
      <w:r w:rsidRPr="005E6B7C">
        <w:rPr>
          <w:rFonts w:asciiTheme="majorHAnsi" w:eastAsia="Yu Mincho" w:hAnsiTheme="majorHAnsi" w:cstheme="majorHAnsi"/>
          <w:color w:val="000000" w:themeColor="text1"/>
          <w:spacing w:val="-4"/>
          <w:sz w:val="22"/>
          <w:szCs w:val="22"/>
          <w:shd w:val="clear" w:color="auto" w:fill="FFFFFF"/>
          <w:lang w:eastAsia="ja-JP"/>
        </w:rPr>
        <w:instrText xml:space="preserve"> ADDIN EN.CITE &lt;EndNote&gt;&lt;Cite&gt;&lt;Author&gt;Aprotosoaie A. C.&lt;/Author&gt;&lt;Year&gt;2014&lt;/Year&gt;&lt;RecNum&gt;7&lt;/RecNum&gt;&lt;DisplayText&gt;[7]&lt;/DisplayText&gt;&lt;record&gt;&lt;rec-number&gt;7&lt;/rec-number&gt;&lt;foreign-keys&gt;&lt;key app="EN" db-id="swxa5wfewsdrtme5aw2xswf6eerwsdwxa055" timestamp="1760749908"&gt;7&lt;/key&gt;&lt;/foreign-keys&gt;&lt;ref-type name="Journal Article"&gt;17&lt;/ref-type&gt;&lt;contributors&gt;&lt;authors&gt;&lt;author&gt;Aprotosoaie A. C.,&lt;/author&gt;&lt;author&gt;Hăncianu M.,&lt;/author&gt;&lt;author&gt;Costache I. I.,&lt;/author&gt;&lt;author&gt;Miron A.&lt;/author&gt;&lt;/authors&gt;&lt;/contributors&gt;&lt;titles&gt;&lt;title&gt;Linalool: a review on a key odorant molecule with valuable biological properties&lt;/title&gt;&lt;secondary-title&gt;Flavour and Fragrance Journal&lt;/secondary-title&gt;&lt;/titles&gt;&lt;periodical&gt;&lt;full-title&gt;Flavour and fragrance journal&lt;/full-title&gt;&lt;/periodical&gt;&lt;pages&gt;193-219&lt;/pages&gt;&lt;volume&gt;29&lt;/volume&gt;&lt;number&gt;4&lt;/number&gt;&lt;dates&gt;&lt;year&gt;2014&lt;/year&gt;&lt;/dates&gt;&lt;isbn&gt;0882-5734&lt;/isbn&gt;&lt;urls&gt;&lt;/urls&gt;&lt;/record&gt;&lt;/Cite&gt;&lt;/EndNote&gt;</w:instrText>
      </w:r>
      <w:r w:rsidRPr="005E6B7C">
        <w:rPr>
          <w:rFonts w:asciiTheme="majorHAnsi" w:eastAsia="Yu Mincho" w:hAnsiTheme="majorHAnsi" w:cstheme="majorHAnsi"/>
          <w:color w:val="000000" w:themeColor="text1"/>
          <w:spacing w:val="-4"/>
          <w:sz w:val="22"/>
          <w:szCs w:val="22"/>
          <w:shd w:val="clear" w:color="auto" w:fill="FFFFFF"/>
          <w:lang w:eastAsia="ja-JP"/>
        </w:rPr>
        <w:fldChar w:fldCharType="separate"/>
      </w:r>
      <w:r w:rsidRPr="005E6B7C">
        <w:rPr>
          <w:rFonts w:asciiTheme="majorHAnsi" w:eastAsia="Yu Mincho" w:hAnsiTheme="majorHAnsi" w:cstheme="majorHAnsi"/>
          <w:noProof/>
          <w:color w:val="000000" w:themeColor="text1"/>
          <w:spacing w:val="-4"/>
          <w:sz w:val="22"/>
          <w:szCs w:val="22"/>
          <w:shd w:val="clear" w:color="auto" w:fill="FFFFFF"/>
          <w:lang w:eastAsia="ja-JP"/>
        </w:rPr>
        <w:t>[</w:t>
      </w:r>
      <w:hyperlink w:anchor="_ENREF_7" w:tooltip="Aprotosoaie A. C., 2014 #7" w:history="1">
        <w:r w:rsidRPr="005E6B7C">
          <w:rPr>
            <w:rFonts w:asciiTheme="majorHAnsi" w:eastAsia="Yu Mincho" w:hAnsiTheme="majorHAnsi" w:cstheme="majorHAnsi"/>
            <w:noProof/>
            <w:color w:val="000000" w:themeColor="text1"/>
            <w:spacing w:val="-4"/>
            <w:sz w:val="22"/>
            <w:szCs w:val="22"/>
            <w:shd w:val="clear" w:color="auto" w:fill="FFFFFF"/>
            <w:lang w:eastAsia="ja-JP"/>
          </w:rPr>
          <w:t>7</w:t>
        </w:r>
      </w:hyperlink>
      <w:r w:rsidRPr="005E6B7C">
        <w:rPr>
          <w:rFonts w:asciiTheme="majorHAnsi" w:eastAsia="Yu Mincho" w:hAnsiTheme="majorHAnsi" w:cstheme="majorHAnsi"/>
          <w:noProof/>
          <w:color w:val="000000" w:themeColor="text1"/>
          <w:spacing w:val="-4"/>
          <w:sz w:val="22"/>
          <w:szCs w:val="22"/>
          <w:shd w:val="clear" w:color="auto" w:fill="FFFFFF"/>
          <w:lang w:eastAsia="ja-JP"/>
        </w:rPr>
        <w:t>]</w:t>
      </w:r>
      <w:r w:rsidRPr="005E6B7C">
        <w:rPr>
          <w:rFonts w:asciiTheme="majorHAnsi" w:eastAsia="Yu Mincho" w:hAnsiTheme="majorHAnsi" w:cstheme="majorHAnsi"/>
          <w:color w:val="000000" w:themeColor="text1"/>
          <w:spacing w:val="-4"/>
          <w:sz w:val="22"/>
          <w:szCs w:val="22"/>
          <w:shd w:val="clear" w:color="auto" w:fill="FFFFFF"/>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Owing to these pharmacological properties, various commercial products derived from </w:t>
      </w:r>
      <w:r w:rsidRPr="005E6B7C">
        <w:rPr>
          <w:rFonts w:asciiTheme="majorHAnsi" w:eastAsia="Yu Mincho" w:hAnsiTheme="majorHAnsi" w:cstheme="majorHAnsi"/>
          <w:i/>
          <w:color w:val="000000" w:themeColor="text1"/>
          <w:spacing w:val="-4"/>
          <w:sz w:val="22"/>
          <w:szCs w:val="22"/>
          <w:lang w:eastAsia="ja-JP"/>
        </w:rPr>
        <w:t>H. occulta</w:t>
      </w:r>
      <w:r w:rsidRPr="005E6B7C">
        <w:rPr>
          <w:rFonts w:asciiTheme="majorHAnsi" w:eastAsia="Yu Mincho" w:hAnsiTheme="majorHAnsi" w:cstheme="majorHAnsi"/>
          <w:color w:val="000000" w:themeColor="text1"/>
          <w:spacing w:val="-4"/>
          <w:sz w:val="22"/>
          <w:szCs w:val="22"/>
          <w:lang w:eastAsia="ja-JP"/>
        </w:rPr>
        <w:t xml:space="preserve"> have been developed, including massage oils, capsules, liquid extracts, and traditional prescription-based formulations such as Cot Thoai Vuong, PQA Thien Nien Kien, Tuzamin-F, Phuoc An Trat Da Thap Khop, Phong Te Thap Fito Pharma, and Phong Te Thap DHĐ.</w:t>
      </w:r>
    </w:p>
    <w:p w14:paraId="26000654" w14:textId="3B1787C4" w:rsidR="00E049CB" w:rsidRPr="005E6B7C" w:rsidRDefault="00E049CB" w:rsidP="008C0D47">
      <w:pPr>
        <w:tabs>
          <w:tab w:val="left" w:pos="9270"/>
        </w:tabs>
        <w:spacing w:line="240" w:lineRule="exact"/>
        <w:ind w:right="-23" w:firstLine="284"/>
        <w:jc w:val="both"/>
        <w:rPr>
          <w:rFonts w:asciiTheme="majorHAnsi" w:eastAsia="Times New Roman" w:hAnsiTheme="majorHAnsi" w:cstheme="majorHAnsi"/>
          <w:color w:val="000000" w:themeColor="text1"/>
          <w:sz w:val="22"/>
          <w:szCs w:val="22"/>
        </w:rPr>
      </w:pPr>
      <w:r w:rsidRPr="005E6B7C">
        <w:rPr>
          <w:rFonts w:asciiTheme="majorHAnsi" w:eastAsia="Yu Mincho" w:hAnsiTheme="majorHAnsi" w:cstheme="majorHAnsi"/>
          <w:color w:val="000000" w:themeColor="text1"/>
          <w:sz w:val="22"/>
          <w:szCs w:val="22"/>
          <w:shd w:val="clear" w:color="auto" w:fill="FFFFFF"/>
          <w:lang w:eastAsia="ja-JP"/>
        </w:rPr>
        <w:t xml:space="preserve">In Vietnam, there are six different species of </w:t>
      </w:r>
      <w:r w:rsidRPr="005E6B7C">
        <w:rPr>
          <w:rFonts w:asciiTheme="majorHAnsi" w:eastAsia="Yu Mincho" w:hAnsiTheme="majorHAnsi" w:cstheme="majorHAnsi"/>
          <w:i/>
          <w:iCs/>
          <w:color w:val="000000" w:themeColor="text1"/>
          <w:sz w:val="22"/>
          <w:szCs w:val="22"/>
          <w:shd w:val="clear" w:color="auto" w:fill="FFFFFF"/>
          <w:lang w:eastAsia="ja-JP"/>
        </w:rPr>
        <w:t>Homalomena</w:t>
      </w:r>
      <w:r w:rsidRPr="005E6B7C">
        <w:rPr>
          <w:rFonts w:asciiTheme="majorHAnsi" w:eastAsia="Yu Mincho" w:hAnsiTheme="majorHAnsi" w:cstheme="majorHAnsi"/>
          <w:color w:val="000000" w:themeColor="text1"/>
          <w:sz w:val="22"/>
          <w:szCs w:val="22"/>
          <w:shd w:val="clear" w:color="auto" w:fill="FFFFFF"/>
          <w:lang w:eastAsia="ja-JP"/>
        </w:rPr>
        <w:t xml:space="preserve">, all of which are used medicinally. Among these,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(Lour.) Schott </w:t>
      </w:r>
      <w:r w:rsidR="00055D14" w:rsidRPr="005E6B7C">
        <w:rPr>
          <w:rFonts w:asciiTheme="majorHAnsi" w:eastAsia="Yu Mincho" w:hAnsiTheme="majorHAnsi" w:cstheme="majorHAnsi"/>
          <w:color w:val="000000" w:themeColor="text1"/>
          <w:sz w:val="22"/>
          <w:szCs w:val="22"/>
          <w:shd w:val="clear" w:color="auto" w:fill="FFFFFF"/>
          <w:lang w:eastAsia="ja-JP"/>
        </w:rPr>
        <w:t>is the most widely distributed</w:t>
      </w:r>
      <w:r w:rsidRPr="005E6B7C">
        <w:rPr>
          <w:rFonts w:asciiTheme="majorHAnsi" w:eastAsia="Yu Mincho" w:hAnsiTheme="majorHAnsi" w:cstheme="majorHAnsi"/>
          <w:color w:val="000000" w:themeColor="text1"/>
          <w:sz w:val="22"/>
          <w:szCs w:val="22"/>
          <w:shd w:val="clear" w:color="auto" w:fill="FFFFFF"/>
          <w:lang w:eastAsia="ja-JP"/>
        </w:rPr>
        <w:t xml:space="preserve">, primarily concentrated in the mountainous provinces of Northern Vietnam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&lt;EndNote&gt;&lt;Cite&gt;&lt;Author&gt;Yang J. L.&lt;/Author&gt;&lt;Year&gt;2019&lt;/Year&gt;&lt;RecNum&gt;1&lt;/RecNum&gt;&lt;DisplayText&gt;[1]&lt;/DisplayText&gt;&lt;record&gt;&lt;rec-number&gt;1&lt;/rec-number&gt;&lt;foreign-keys&gt;&lt;key app="EN" db-id="swxa5wfewsdrtme5aw2xswf6eerwsdwxa055" timestamp="1760749908"&gt;1&lt;/key&gt;&lt;/foreign-keys&gt;&lt;ref-type name="Journal Article"&gt;17&lt;/ref-type&gt;&lt;contributors&gt;&lt;authors&gt;&lt;author&gt;Yang J. L.,&lt;/author&gt;&lt;author&gt;Dao T. T.,&lt;/author&gt;&lt;author&gt;Hien T. T.,&lt;/author&gt;&lt;author&gt;Zhao Y. M.,&lt;/author&gt;&lt;author&gt;Shi Y. P.&lt;/author&gt;&lt;/authors&gt;&lt;/contributors&gt;&lt;titles&gt;&lt;title&gt;&lt;style face="normal" font="default" size="100%"&gt;Further sesquiterpenoids from the rhizomes of &lt;/style&gt;&lt;style face="italic" font="default" size="100%"&gt;Homalomena occulta &lt;/style&gt;&lt;style face="normal" font="default" size="100%"&gt;and their anti-inflammatory activity&lt;/style&gt;&lt;/title&gt;&lt;secondary-title&gt;Bioorganic and Medicinal Chemistry Letters&lt;/secondary-title&gt;&lt;/titles&gt;&lt;periodical&gt;&lt;full-title&gt;Bioorganic and Medicinal Chemistry Letters&lt;/full-title&gt;&lt;/periodical&gt;&lt;pages&gt;1162-1167&lt;/pages&gt;&lt;volume&gt;29&lt;/volume&gt;&lt;number&gt;10&lt;/number&gt;&lt;dates&gt;&lt;year&gt;2019&lt;/year&gt;&lt;/dates&gt;&lt;isbn&gt;0960-894X&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 w:tooltip="Yang J. L., 2019 #1" w:history="1">
        <w:r w:rsidRPr="005E6B7C">
          <w:rPr>
            <w:rFonts w:asciiTheme="majorHAnsi" w:eastAsia="Yu Mincho" w:hAnsiTheme="majorHAnsi" w:cstheme="majorHAnsi"/>
            <w:noProof/>
            <w:color w:val="000000" w:themeColor="text1"/>
            <w:sz w:val="22"/>
            <w:szCs w:val="22"/>
            <w:lang w:eastAsia="ja-JP"/>
          </w:rPr>
          <w:t>3</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&lt;EndNote&gt;&lt;Cite&gt;&lt;Author&gt;National Institute of Medicinal Materials&lt;/Author&gt;&lt;Year&gt;2006&lt;/Year&gt;&lt;RecNum&gt;3&lt;/RecNum&gt;&lt;DisplayText&gt;[3, 8]&lt;/DisplayText&gt;&lt;record&gt;&lt;rec-number&gt;3&lt;/rec-number&gt;&lt;foreign-keys&gt;&lt;key app="EN" db-id="swxa5wfewsdrtme5aw2xswf6eerwsdwxa055" timestamp="1760749908"&gt;3&lt;/key&gt;&lt;/foreign-keys&gt;&lt;ref-type name="Book"&gt;6&lt;/ref-type&gt;&lt;contributors&gt;&lt;authors&gt;&lt;author&gt;National Institute of Medicinal Materials,&lt;/author&gt;&lt;/authors&gt;&lt;/contributors&gt;&lt;titles&gt;&lt;title&gt;&lt;style face="normal" font="default" charset="163" size="100%"&gt;The medicinal plants and animals in Vietnam &lt;/style&gt;&lt;style face="normal" font="default" size="100%"&gt;(in Vietnamese), Volume II&lt;/style&gt;&lt;/title&gt;&lt;/titles&gt;&lt;pages&gt;&lt;style face="normal" font="default" charset="163" size="100%"&gt;868-871&lt;/style&gt;&lt;/pages&gt;&lt;num-vols&gt;II&lt;/num-vols&gt;&lt;dates&gt;&lt;year&gt;&lt;style face="normal" font="default" charset="163" size="100%"&gt;200&lt;/style&gt;&lt;style face="normal" font="default" size="100%"&gt;6&lt;/style&gt;&lt;/year&gt;&lt;/dates&gt;&lt;pub-location&gt;&lt;style face="normal" font="default" charset="163" size="100%"&gt;Science and Technology Publishing House, Ho Chi Minh City&lt;/style&gt;&lt;/pub-location&gt;&lt;urls&gt;&lt;/urls&gt;&lt;/record&gt;&lt;/Cite&gt;&lt;Cite&gt;&lt;Author&gt;National Institute of Medicinal Materials&lt;/Author&gt;&lt;Year&gt;2006&lt;/Year&gt;&lt;RecNum&gt;8&lt;/RecNum&gt;&lt;record&gt;&lt;rec-number&gt;8&lt;/rec-number&gt;&lt;foreign-keys&gt;&lt;key app="EN" db-id="swxa5wfewsdrtme5aw2xswf6eerwsdwxa055" timestamp="1760749908"&gt;8&lt;/key&gt;&lt;/foreign-keys&gt;&lt;ref-type name="Book"&gt;6&lt;/ref-type&gt;&lt;contributors&gt;&lt;authors&gt;&lt;author&gt;National Institute of Medicinal Materials,&lt;/author&gt;&lt;/authors&gt;&lt;/contributors&gt;&lt;titles&gt;&lt;title&gt;Checklist of Medicinal Plants in Vietnam (in Vietnamese)&lt;/title&gt;&lt;/titles&gt;&lt;pages&gt;899&lt;/pages&gt;&lt;dates&gt;&lt;year&gt;2006&lt;/year&gt;&lt;/dates&gt;&lt;pub-location&gt;Science and Technology Publishing House, Hanoi &lt;/pub-location&gt;&lt;urls&gt;&lt;/urls&gt;&lt;/record&gt;&lt;/Cite&gt;&lt;/EndNote&gt;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w:t>
      </w:r>
      <w:hyperlink w:anchor="_ENREF_8" w:tooltip="National Institute of Medicinal Materials, 2006 #8" w:history="1">
        <w:r w:rsidRPr="005E6B7C">
          <w:rPr>
            <w:rFonts w:asciiTheme="majorHAnsi" w:eastAsia="Times New Roman" w:hAnsiTheme="majorHAnsi" w:cstheme="majorHAnsi"/>
            <w:noProof/>
            <w:color w:val="000000" w:themeColor="text1"/>
            <w:sz w:val="22"/>
            <w:szCs w:val="22"/>
          </w:rPr>
          <w:t>8</w:t>
        </w:r>
      </w:hyperlink>
      <w:r w:rsidRPr="005E6B7C">
        <w:rPr>
          <w:rFonts w:asciiTheme="majorHAnsi" w:eastAsia="Times New Roman" w:hAnsiTheme="majorHAnsi" w:cstheme="majorHAnsi"/>
          <w:noProof/>
          <w:color w:val="000000" w:themeColor="text1"/>
          <w:sz w:val="22"/>
          <w:szCs w:val="22"/>
        </w:rPr>
        <w:t>]</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shd w:val="clear" w:color="auto" w:fill="FFFFFF"/>
          <w:lang w:eastAsia="ja-JP"/>
        </w:rPr>
        <w:t xml:space="preserve">As part of the project titled ‘Experimental cultivation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(Lour.) Schott – Araceae) </w:t>
      </w:r>
      <w:r w:rsidRPr="005E6B7C">
        <w:rPr>
          <w:rFonts w:asciiTheme="majorHAnsi" w:eastAsia="Yu Mincho" w:hAnsiTheme="majorHAnsi" w:cstheme="majorHAnsi"/>
          <w:color w:val="000000" w:themeColor="text1"/>
          <w:sz w:val="22"/>
          <w:szCs w:val="22"/>
          <w:shd w:val="clear" w:color="auto" w:fill="FFFFFF"/>
          <w:lang w:eastAsia="ja-JP"/>
        </w:rPr>
        <w:t xml:space="preserve">according to GACP guidelines in Lang Son province, efforts are underway to propagate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in Lang Son. The evaluation of the quality of the initially collected samples </w:t>
      </w:r>
      <w:r w:rsidR="00055D14" w:rsidRPr="005E6B7C">
        <w:rPr>
          <w:rFonts w:asciiTheme="majorHAnsi" w:eastAsia="Yu Mincho" w:hAnsiTheme="majorHAnsi" w:cstheme="majorHAnsi"/>
          <w:color w:val="000000" w:themeColor="text1"/>
          <w:sz w:val="22"/>
          <w:szCs w:val="22"/>
          <w:shd w:val="clear" w:color="auto" w:fill="FFFFFF"/>
          <w:lang w:eastAsia="ja-JP"/>
        </w:rPr>
        <w:t>crucial for the conservation and evaluation of genetic resources</w:t>
      </w:r>
      <w:r w:rsidRPr="005E6B7C">
        <w:rPr>
          <w:rFonts w:asciiTheme="majorHAnsi" w:eastAsia="Yu Mincho" w:hAnsiTheme="majorHAnsi" w:cstheme="majorHAnsi"/>
          <w:color w:val="000000" w:themeColor="text1"/>
          <w:sz w:val="22"/>
          <w:szCs w:val="22"/>
          <w:shd w:val="clear" w:color="auto" w:fill="FFFFFF"/>
          <w:lang w:eastAsia="ja-JP"/>
        </w:rPr>
        <w:t xml:space="preserve">. The Vietnamese Pharmacopoeia V specifies quality assessment parameters for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including macroscopic description, microscopic examination, powder characteristics, identification, moisture content, total ash, and essential oil quantification </w:t>
      </w:r>
      <w:r w:rsidRPr="005E6B7C">
        <w:rPr>
          <w:rFonts w:asciiTheme="majorHAnsi" w:eastAsia="Times New Roman" w:hAnsiTheme="majorHAnsi" w:cstheme="majorHAnsi"/>
          <w:color w:val="000000" w:themeColor="text1"/>
          <w:sz w:val="22"/>
          <w:szCs w:val="22"/>
        </w:rPr>
        <w:fldChar w:fldCharType="begin"/>
      </w:r>
      <w:r w:rsidRPr="005E6B7C">
        <w:rPr>
          <w:rFonts w:asciiTheme="majorHAnsi" w:eastAsia="Times New Roman" w:hAnsiTheme="majorHAnsi" w:cstheme="majorHAnsi"/>
          <w:color w:val="000000" w:themeColor="text1"/>
          <w:sz w:val="22"/>
          <w:szCs w:val="22"/>
        </w:rPr>
        <w:instrText xml:space="preserve"> ADDIN EN.CITE &lt;EndNote&gt;&lt;Cite&gt;&lt;Author&gt;Ministry of Health&lt;/Author&gt;&lt;Year&gt;2017&lt;/Year&gt;&lt;RecNum&gt;9&lt;/RecNum&gt;&lt;DisplayText&gt;[9]&lt;/DisplayText&gt;&lt;record&gt;&lt;rec-number&gt;9&lt;/rec-number&gt;&lt;foreign-keys&gt;&lt;key app="EN" db-id="swxa5wfewsdrtme5aw2xswf6eerwsdwxa055" timestamp="1760749908"&gt;9&lt;/key&gt;&lt;/foreign-keys&gt;&lt;ref-type name="Book"&gt;6&lt;/ref-type&gt;&lt;contributors&gt;&lt;authors&gt;&lt;author&gt;Ministry of Health,&lt;/author&gt;&lt;/authors&gt;&lt;/contributors&gt;&lt;titles&gt;&lt;title&gt;Vietnamese Pharmacopoeia V, Pharbitidis Semen (in Vietnamese)&lt;/title&gt;&lt;/titles&gt;&lt;pages&gt;1340-1341&lt;/pages&gt;&lt;dates&gt;&lt;year&gt;2017&lt;/year&gt;&lt;/dates&gt;&lt;pub-location&gt;Medical Publishing House, Hanoi&lt;/pub-location&gt;&lt;urls&gt;&lt;/urls&gt;&lt;/record&gt;&lt;/Cite&gt;&lt;/EndNote&gt;</w:instrText>
      </w:r>
      <w:r w:rsidRPr="005E6B7C">
        <w:rPr>
          <w:rFonts w:asciiTheme="majorHAnsi" w:eastAsia="Times New Roman" w:hAnsiTheme="majorHAnsi" w:cstheme="majorHAnsi"/>
          <w:color w:val="000000" w:themeColor="text1"/>
          <w:sz w:val="22"/>
          <w:szCs w:val="22"/>
        </w:rPr>
        <w:fldChar w:fldCharType="separate"/>
      </w:r>
      <w:r w:rsidRPr="005E6B7C">
        <w:rPr>
          <w:rFonts w:asciiTheme="majorHAnsi" w:eastAsia="Times New Roman" w:hAnsiTheme="majorHAnsi" w:cstheme="majorHAnsi"/>
          <w:noProof/>
          <w:color w:val="000000" w:themeColor="text1"/>
          <w:sz w:val="22"/>
          <w:szCs w:val="22"/>
        </w:rPr>
        <w:t>[</w:t>
      </w:r>
      <w:hyperlink w:anchor="_ENREF_9" w:tooltip="Ministry of Health, 2017 #9" w:history="1">
        <w:r w:rsidRPr="005E6B7C">
          <w:rPr>
            <w:rFonts w:asciiTheme="majorHAnsi" w:eastAsia="Times New Roman" w:hAnsiTheme="majorHAnsi" w:cstheme="majorHAnsi"/>
            <w:noProof/>
            <w:color w:val="000000" w:themeColor="text1"/>
            <w:sz w:val="22"/>
            <w:szCs w:val="22"/>
          </w:rPr>
          <w:t>9</w:t>
        </w:r>
      </w:hyperlink>
      <w:r w:rsidRPr="005E6B7C">
        <w:rPr>
          <w:rFonts w:asciiTheme="majorHAnsi" w:eastAsia="Times New Roman" w:hAnsiTheme="majorHAnsi" w:cstheme="majorHAnsi"/>
          <w:noProof/>
          <w:color w:val="000000" w:themeColor="text1"/>
          <w:sz w:val="22"/>
          <w:szCs w:val="22"/>
        </w:rPr>
        <w:t>]</w:t>
      </w:r>
      <w:r w:rsidRPr="005E6B7C">
        <w:rPr>
          <w:rFonts w:asciiTheme="majorHAnsi" w:eastAsia="Times New Roman" w:hAnsiTheme="majorHAnsi" w:cstheme="majorHAnsi"/>
          <w:color w:val="000000" w:themeColor="text1"/>
          <w:sz w:val="22"/>
          <w:szCs w:val="22"/>
        </w:rPr>
        <w:fldChar w:fldCharType="end"/>
      </w:r>
      <w:r w:rsidRPr="005E6B7C">
        <w:rPr>
          <w:rFonts w:asciiTheme="majorHAnsi" w:eastAsia="Times New Roman" w:hAnsiTheme="majorHAnsi" w:cstheme="majorHAnsi"/>
          <w:color w:val="000000" w:themeColor="text1"/>
          <w:sz w:val="22"/>
          <w:szCs w:val="22"/>
        </w:rPr>
        <w:t xml:space="preserve">. </w:t>
      </w:r>
      <w:r w:rsidRPr="005E6B7C">
        <w:rPr>
          <w:rFonts w:asciiTheme="majorHAnsi" w:eastAsia="Yu Mincho" w:hAnsiTheme="majorHAnsi" w:cstheme="majorHAnsi"/>
          <w:color w:val="000000" w:themeColor="text1"/>
          <w:sz w:val="22"/>
          <w:szCs w:val="22"/>
          <w:shd w:val="clear" w:color="auto" w:fill="FFFFFF"/>
          <w:lang w:eastAsia="ja-JP"/>
        </w:rPr>
        <w:t xml:space="preserve">Based on the research by Lam Bich Thao and colleagues, essential oils and polyphenols are two key pharmacologically valuable components in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Times New Roman" w:hAnsiTheme="majorHAnsi" w:cstheme="majorHAnsi"/>
          <w:color w:val="000000" w:themeColor="text1"/>
          <w:sz w:val="22"/>
          <w:szCs w:val="22"/>
        </w:rPr>
        <w:t xml:space="preserve"> </w:t>
      </w:r>
      <w:r w:rsidRPr="005E6B7C">
        <w:rPr>
          <w:rFonts w:asciiTheme="majorHAnsi" w:eastAsia="Yu Mincho" w:hAnsiTheme="majorHAnsi" w:cstheme="majorHAnsi"/>
          <w:color w:val="000000" w:themeColor="text1"/>
          <w:sz w:val="22"/>
          <w:szCs w:val="22"/>
          <w:shd w:val="clear" w:color="auto" w:fill="FFFFFF"/>
          <w:lang w:eastAsia="ja-JP"/>
        </w:rPr>
        <w:fldChar w:fldCharType="begin">
          <w:fldData xml:space="preserve">PEVuZE5vdGU+PENpdGU+PEF1dGhvcj5MYW0gQi4gVC48L0F1dGhvcj48WWVhcj4yMDIwPC9ZZWFy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</w:fldData>
        </w:fldChar>
      </w:r>
      <w:r w:rsidRPr="005E6B7C">
        <w:rPr>
          <w:rFonts w:asciiTheme="majorHAnsi" w:eastAsia="Yu Mincho" w:hAnsiTheme="majorHAnsi" w:cstheme="majorHAnsi"/>
          <w:color w:val="000000" w:themeColor="text1"/>
          <w:sz w:val="22"/>
          <w:szCs w:val="22"/>
          <w:shd w:val="clear" w:color="auto" w:fill="FFFFFF"/>
          <w:lang w:eastAsia="ja-JP"/>
        </w:rPr>
        <w:instrText xml:space="preserve"> ADDIN EN.CITE </w:instrText>
      </w:r>
      <w:r w:rsidRPr="005E6B7C">
        <w:rPr>
          <w:rFonts w:asciiTheme="majorHAnsi" w:eastAsia="Yu Mincho" w:hAnsiTheme="majorHAnsi" w:cstheme="majorHAnsi"/>
          <w:color w:val="000000" w:themeColor="text1"/>
          <w:sz w:val="22"/>
          <w:szCs w:val="22"/>
          <w:shd w:val="clear" w:color="auto" w:fill="FFFFFF"/>
          <w:lang w:eastAsia="ja-JP"/>
        </w:rPr>
        <w:fldChar w:fldCharType="begin">
          <w:fldData xml:space="preserve">PEVuZE5vdGU+PENpdGU+PEF1dGhvcj5MYW0gQi4gVC48L0F1dGhvcj48WWVhcj4yMDIwPC9ZZWFy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</w:fldData>
        </w:fldChar>
      </w:r>
      <w:r w:rsidRPr="005E6B7C">
        <w:rPr>
          <w:rFonts w:asciiTheme="majorHAnsi" w:eastAsia="Yu Mincho" w:hAnsiTheme="majorHAnsi" w:cstheme="majorHAnsi"/>
          <w:color w:val="000000" w:themeColor="text1"/>
          <w:sz w:val="22"/>
          <w:szCs w:val="22"/>
          <w:shd w:val="clear" w:color="auto" w:fill="FFFFFF"/>
          <w:lang w:eastAsia="ja-JP"/>
        </w:rPr>
        <w:instrText xml:space="preserve"> ADDIN EN.CITE.DATA </w:instrText>
      </w:r>
      <w:r w:rsidRPr="005E6B7C">
        <w:rPr>
          <w:rFonts w:asciiTheme="majorHAnsi" w:eastAsia="Yu Mincho" w:hAnsiTheme="majorHAnsi" w:cstheme="majorHAnsi"/>
          <w:color w:val="000000" w:themeColor="text1"/>
          <w:sz w:val="22"/>
          <w:szCs w:val="22"/>
          <w:shd w:val="clear" w:color="auto" w:fill="FFFFFF"/>
          <w:lang w:eastAsia="ja-JP"/>
        </w:rPr>
      </w:r>
      <w:r w:rsidRPr="005E6B7C">
        <w:rPr>
          <w:rFonts w:asciiTheme="majorHAnsi" w:eastAsia="Yu Mincho" w:hAnsiTheme="majorHAnsi" w:cstheme="majorHAnsi"/>
          <w:color w:val="000000" w:themeColor="text1"/>
          <w:sz w:val="22"/>
          <w:szCs w:val="22"/>
          <w:shd w:val="clear" w:color="auto" w:fill="FFFFFF"/>
          <w:lang w:eastAsia="ja-JP"/>
        </w:rPr>
        <w:fldChar w:fldCharType="end"/>
      </w:r>
      <w:r w:rsidRPr="005E6B7C">
        <w:rPr>
          <w:rFonts w:asciiTheme="majorHAnsi" w:eastAsia="Yu Mincho" w:hAnsiTheme="majorHAnsi" w:cstheme="majorHAnsi"/>
          <w:color w:val="000000" w:themeColor="text1"/>
          <w:sz w:val="22"/>
          <w:szCs w:val="22"/>
          <w:shd w:val="clear" w:color="auto" w:fill="FFFFFF"/>
          <w:lang w:eastAsia="ja-JP"/>
        </w:rPr>
      </w:r>
      <w:r w:rsidRPr="005E6B7C">
        <w:rPr>
          <w:rFonts w:asciiTheme="majorHAnsi" w:eastAsia="Yu Mincho" w:hAnsiTheme="majorHAnsi" w:cstheme="majorHAnsi"/>
          <w:color w:val="000000" w:themeColor="text1"/>
          <w:sz w:val="22"/>
          <w:szCs w:val="22"/>
          <w:shd w:val="clear" w:color="auto" w:fill="FFFFFF"/>
          <w:lang w:eastAsia="ja-JP"/>
        </w:rPr>
        <w:fldChar w:fldCharType="separate"/>
      </w:r>
      <w:r w:rsidRPr="005E6B7C">
        <w:rPr>
          <w:rFonts w:asciiTheme="majorHAnsi" w:eastAsia="Yu Mincho" w:hAnsiTheme="majorHAnsi" w:cstheme="majorHAnsi"/>
          <w:noProof/>
          <w:color w:val="000000" w:themeColor="text1"/>
          <w:sz w:val="22"/>
          <w:szCs w:val="22"/>
          <w:shd w:val="clear" w:color="auto" w:fill="FFFFFF"/>
          <w:lang w:eastAsia="ja-JP"/>
        </w:rPr>
        <w:t>[</w:t>
      </w:r>
      <w:hyperlink w:anchor="_ENREF_10" w:tooltip="Lam B. T., 2020 #10" w:history="1">
        <w:r w:rsidRPr="005E6B7C">
          <w:rPr>
            <w:rFonts w:asciiTheme="majorHAnsi" w:eastAsia="Yu Mincho" w:hAnsiTheme="majorHAnsi" w:cstheme="majorHAnsi"/>
            <w:noProof/>
            <w:color w:val="000000" w:themeColor="text1"/>
            <w:sz w:val="22"/>
            <w:szCs w:val="22"/>
            <w:shd w:val="clear" w:color="auto" w:fill="FFFFFF"/>
            <w:lang w:eastAsia="ja-JP"/>
          </w:rPr>
          <w:t>10</w:t>
        </w:r>
      </w:hyperlink>
      <w:r w:rsidRPr="005E6B7C">
        <w:rPr>
          <w:rFonts w:asciiTheme="majorHAnsi" w:eastAsia="Yu Mincho" w:hAnsiTheme="majorHAnsi" w:cstheme="majorHAnsi"/>
          <w:noProof/>
          <w:color w:val="000000" w:themeColor="text1"/>
          <w:sz w:val="22"/>
          <w:szCs w:val="22"/>
          <w:shd w:val="clear" w:color="auto" w:fill="FFFFFF"/>
          <w:lang w:eastAsia="ja-JP"/>
        </w:rPr>
        <w:t>]</w:t>
      </w:r>
      <w:r w:rsidRPr="005E6B7C">
        <w:rPr>
          <w:rFonts w:asciiTheme="majorHAnsi" w:eastAsia="Yu Mincho" w:hAnsiTheme="majorHAnsi" w:cstheme="majorHAnsi"/>
          <w:color w:val="000000" w:themeColor="text1"/>
          <w:sz w:val="22"/>
          <w:szCs w:val="22"/>
          <w:shd w:val="clear" w:color="auto" w:fill="FFFFFF"/>
          <w:lang w:eastAsia="ja-JP"/>
        </w:rPr>
        <w:fldChar w:fldCharType="end"/>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shd w:val="clear" w:color="auto" w:fill="FFFFFF"/>
          <w:lang w:eastAsia="ja-JP"/>
        </w:rPr>
        <w:t xml:space="preserve">Consequently, this study focuses on determining the total polyphenol content and total essential oil content in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samples collected from Lang Son, as well as analyzing the essential oil composition for comparison and quality assessment of the genetic resources.</w:t>
      </w:r>
    </w:p>
    <w:p w14:paraId="69FF8EB1" w14:textId="77777777" w:rsidR="00E049CB" w:rsidRPr="005E6B7C" w:rsidRDefault="00E049CB" w:rsidP="008C0D47">
      <w:pPr>
        <w:tabs>
          <w:tab w:val="left" w:pos="9270"/>
        </w:tabs>
        <w:spacing w:line="240" w:lineRule="exact"/>
        <w:ind w:right="-23" w:firstLine="284"/>
        <w:jc w:val="both"/>
        <w:outlineLvl w:val="0"/>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2. Materials and Methods</w:t>
      </w:r>
    </w:p>
    <w:p w14:paraId="0C1215C3" w14:textId="77777777" w:rsidR="00E049CB" w:rsidRPr="005E6B7C" w:rsidRDefault="00E049CB" w:rsidP="008C0D47">
      <w:pPr>
        <w:tabs>
          <w:tab w:val="left" w:pos="9270"/>
        </w:tabs>
        <w:spacing w:line="240" w:lineRule="exact"/>
        <w:ind w:right="-23" w:firstLine="284"/>
        <w:jc w:val="both"/>
        <w:outlineLvl w:val="1"/>
        <w:rPr>
          <w:rFonts w:asciiTheme="majorHAnsi" w:eastAsia="Times New Roman" w:hAnsiTheme="majorHAnsi" w:cstheme="majorHAnsi"/>
          <w:b/>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lang w:eastAsia="ja-JP"/>
        </w:rPr>
        <w:t>2.1. Materials</w:t>
      </w:r>
    </w:p>
    <w:p w14:paraId="2CD99E2D" w14:textId="10C03E0D" w:rsidR="0079118F" w:rsidRPr="005E6B7C" w:rsidRDefault="00E049CB" w:rsidP="008C0D47">
      <w:pPr>
        <w:tabs>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shd w:val="clear" w:color="auto" w:fill="FFFFFF"/>
          <w:lang w:eastAsia="ja-JP"/>
        </w:rPr>
        <w:t xml:space="preserve">The materials used in this study were the dried rhizome of </w:t>
      </w:r>
      <w:r w:rsidRPr="005E6B7C">
        <w:rPr>
          <w:rFonts w:asciiTheme="majorHAnsi" w:eastAsia="Yu Mincho" w:hAnsiTheme="majorHAnsi" w:cstheme="majorHAnsi"/>
          <w:i/>
          <w:color w:val="000000" w:themeColor="text1"/>
          <w:sz w:val="22"/>
          <w:szCs w:val="22"/>
          <w:shd w:val="clear" w:color="auto" w:fill="FFFFFF"/>
          <w:lang w:eastAsia="ja-JP"/>
        </w:rPr>
        <w:t>Homalomena occulta</w:t>
      </w:r>
      <w:r w:rsidRPr="005E6B7C">
        <w:rPr>
          <w:rFonts w:asciiTheme="majorHAnsi" w:eastAsia="Yu Mincho" w:hAnsiTheme="majorHAnsi" w:cstheme="majorHAnsi"/>
          <w:color w:val="000000" w:themeColor="text1"/>
          <w:sz w:val="22"/>
          <w:szCs w:val="22"/>
          <w:shd w:val="clear" w:color="auto" w:fill="FFFFFF"/>
          <w:lang w:eastAsia="ja-JP"/>
        </w:rPr>
        <w:t xml:space="preserve"> (Lour.) Schott (Araceae). The rhizome</w:t>
      </w:r>
      <w:r w:rsidR="00DC0259" w:rsidRPr="005E6B7C">
        <w:rPr>
          <w:rFonts w:asciiTheme="majorHAnsi" w:eastAsia="Yu Mincho" w:hAnsiTheme="majorHAnsi" w:cstheme="majorHAnsi"/>
          <w:color w:val="000000" w:themeColor="text1"/>
          <w:sz w:val="22"/>
          <w:szCs w:val="22"/>
          <w:shd w:val="clear" w:color="auto" w:fill="FFFFFF"/>
          <w:lang w:eastAsia="ja-JP"/>
        </w:rPr>
        <w:t>s</w:t>
      </w:r>
      <w:r w:rsidRPr="005E6B7C">
        <w:rPr>
          <w:rFonts w:asciiTheme="majorHAnsi" w:eastAsia="Yu Mincho" w:hAnsiTheme="majorHAnsi" w:cstheme="majorHAnsi"/>
          <w:color w:val="000000" w:themeColor="text1"/>
          <w:sz w:val="22"/>
          <w:szCs w:val="22"/>
          <w:shd w:val="clear" w:color="auto" w:fill="FFFFFF"/>
          <w:lang w:eastAsia="ja-JP"/>
        </w:rPr>
        <w:t xml:space="preserve">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samples were collected in some provinces in Vietnam during the period of 2024-2025. They were provided and identified by the National Center for Research on Genetic Resources and Medicinal Plant Varieties, National Institute of Medicinal Materials</w:t>
      </w:r>
      <w:r w:rsidRPr="005E6B7C">
        <w:rPr>
          <w:rFonts w:asciiTheme="majorHAnsi" w:eastAsia="Yu Mincho" w:hAnsiTheme="majorHAnsi" w:cstheme="majorHAnsi"/>
          <w:color w:val="000000" w:themeColor="text1"/>
          <w:sz w:val="22"/>
          <w:szCs w:val="22"/>
          <w:lang w:eastAsia="ja-JP"/>
        </w:rPr>
        <w:t xml:space="preserve">. The information on </w:t>
      </w:r>
      <w:r w:rsidRPr="005E6B7C">
        <w:rPr>
          <w:rFonts w:asciiTheme="majorHAnsi" w:eastAsia="Yu Mincho" w:hAnsiTheme="majorHAnsi" w:cstheme="majorHAnsi"/>
          <w:color w:val="EE0000"/>
          <w:sz w:val="22"/>
          <w:szCs w:val="22"/>
          <w:lang w:eastAsia="ja-JP"/>
        </w:rPr>
        <w:t xml:space="preserve">these samples </w:t>
      </w:r>
      <w:r w:rsidR="00DC0259" w:rsidRPr="005E6B7C">
        <w:rPr>
          <w:rFonts w:asciiTheme="majorHAnsi" w:eastAsia="Yu Mincho" w:hAnsiTheme="majorHAnsi" w:cstheme="majorHAnsi"/>
          <w:color w:val="EE0000"/>
          <w:sz w:val="22"/>
          <w:szCs w:val="22"/>
          <w:lang w:eastAsia="ja-JP"/>
        </w:rPr>
        <w:t>is</w:t>
      </w:r>
      <w:r w:rsidRPr="005E6B7C">
        <w:rPr>
          <w:rFonts w:asciiTheme="majorHAnsi" w:eastAsia="Yu Mincho" w:hAnsiTheme="majorHAnsi" w:cstheme="majorHAnsi"/>
          <w:color w:val="EE0000"/>
          <w:sz w:val="22"/>
          <w:szCs w:val="22"/>
          <w:lang w:eastAsia="ja-JP"/>
        </w:rPr>
        <w:t xml:space="preserve"> </w:t>
      </w:r>
      <w:r w:rsidRPr="005E6B7C">
        <w:rPr>
          <w:rFonts w:asciiTheme="majorHAnsi" w:eastAsia="Yu Mincho" w:hAnsiTheme="majorHAnsi" w:cstheme="majorHAnsi"/>
          <w:color w:val="000000" w:themeColor="text1"/>
          <w:sz w:val="22"/>
          <w:szCs w:val="22"/>
          <w:lang w:eastAsia="ja-JP"/>
        </w:rPr>
        <w:t>presented in Table 1.</w:t>
      </w:r>
    </w:p>
    <w:p w14:paraId="3395F100" w14:textId="77777777" w:rsidR="0079118F" w:rsidRPr="005E6B7C" w:rsidRDefault="0079118F" w:rsidP="008C0D47">
      <w:pPr>
        <w:tabs>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sectPr w:rsidR="0079118F" w:rsidRPr="005E6B7C" w:rsidSect="0079118F">
          <w:type w:val="continuous"/>
          <w:pgSz w:w="10773" w:h="15309" w:code="9"/>
          <w:pgMar w:top="907" w:right="851" w:bottom="1418" w:left="851" w:header="397" w:footer="851" w:gutter="0"/>
          <w:cols w:num="2" w:space="284"/>
          <w:docGrid w:linePitch="360"/>
        </w:sectPr>
      </w:pPr>
    </w:p>
    <w:p w14:paraId="1A4B5FE0" w14:textId="77777777"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 xml:space="preserve">Table </w:t>
      </w:r>
      <w:r w:rsidRPr="005E6B7C">
        <w:rPr>
          <w:rFonts w:asciiTheme="majorHAnsi" w:eastAsia="Calibri" w:hAnsiTheme="majorHAnsi" w:cstheme="majorHAnsi"/>
          <w:b/>
          <w:color w:val="000000" w:themeColor="text1"/>
          <w:kern w:val="2"/>
          <w:sz w:val="18"/>
          <w:szCs w:val="18"/>
          <w14:ligatures w14:val="standardContextual"/>
        </w:rPr>
        <w:fldChar w:fldCharType="begin"/>
      </w:r>
      <w:r w:rsidRPr="005E6B7C">
        <w:rPr>
          <w:rFonts w:asciiTheme="majorHAnsi" w:eastAsia="Calibri" w:hAnsiTheme="majorHAnsi" w:cstheme="majorHAnsi"/>
          <w:b/>
          <w:color w:val="000000" w:themeColor="text1"/>
          <w:kern w:val="2"/>
          <w:sz w:val="18"/>
          <w:szCs w:val="18"/>
          <w14:ligatures w14:val="standardContextual"/>
        </w:rPr>
        <w:instrText xml:space="preserve"> SEQ Table \* ARABIC </w:instrText>
      </w:r>
      <w:r w:rsidRPr="005E6B7C">
        <w:rPr>
          <w:rFonts w:asciiTheme="majorHAnsi" w:eastAsia="Calibri" w:hAnsiTheme="majorHAnsi" w:cstheme="majorHAnsi"/>
          <w:b/>
          <w:color w:val="000000" w:themeColor="text1"/>
          <w:kern w:val="2"/>
          <w:sz w:val="18"/>
          <w:szCs w:val="18"/>
          <w14:ligatures w14:val="standardContextual"/>
        </w:rPr>
        <w:fldChar w:fldCharType="separate"/>
      </w:r>
      <w:r w:rsidR="007967DB" w:rsidRPr="005E6B7C">
        <w:rPr>
          <w:rFonts w:asciiTheme="majorHAnsi" w:eastAsia="Calibri" w:hAnsiTheme="majorHAnsi" w:cstheme="majorHAnsi"/>
          <w:b/>
          <w:noProof/>
          <w:color w:val="000000" w:themeColor="text1"/>
          <w:kern w:val="2"/>
          <w:sz w:val="18"/>
          <w:szCs w:val="18"/>
          <w14:ligatures w14:val="standardContextual"/>
        </w:rPr>
        <w:t>1</w:t>
      </w:r>
      <w:r w:rsidRPr="005E6B7C">
        <w:rPr>
          <w:rFonts w:asciiTheme="majorHAnsi" w:eastAsia="Calibri" w:hAnsiTheme="majorHAnsi" w:cstheme="majorHAnsi"/>
          <w:b/>
          <w:noProof/>
          <w:color w:val="000000" w:themeColor="text1"/>
          <w:kern w:val="2"/>
          <w:sz w:val="18"/>
          <w:szCs w:val="18"/>
          <w14:ligatures w14:val="standardContextual"/>
        </w:rPr>
        <w:fldChar w:fldCharType="end"/>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Sample information used in this study</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0"/>
        <w:gridCol w:w="1644"/>
        <w:gridCol w:w="3393"/>
        <w:gridCol w:w="3025"/>
      </w:tblGrid>
      <w:tr w:rsidR="00573010" w:rsidRPr="005E6B7C" w14:paraId="44ABBFC0" w14:textId="77777777" w:rsidTr="006C6E2D">
        <w:trPr>
          <w:jc w:val="center"/>
        </w:trPr>
        <w:tc>
          <w:tcPr>
            <w:tcW w:w="557" w:type="pct"/>
            <w:vMerge w:val="restart"/>
            <w:vAlign w:val="center"/>
            <w:hideMark/>
          </w:tcPr>
          <w:p w14:paraId="58A9C3CE"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lastRenderedPageBreak/>
              <w:t>Sample</w:t>
            </w:r>
          </w:p>
        </w:tc>
        <w:tc>
          <w:tcPr>
            <w:tcW w:w="906" w:type="pct"/>
            <w:vMerge w:val="restart"/>
            <w:noWrap/>
            <w:vAlign w:val="center"/>
            <w:hideMark/>
          </w:tcPr>
          <w:p w14:paraId="03C98EDB"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Sampling time</w:t>
            </w:r>
          </w:p>
          <w:p w14:paraId="667A12F1"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(month/year)</w:t>
            </w:r>
          </w:p>
        </w:tc>
        <w:tc>
          <w:tcPr>
            <w:tcW w:w="3538" w:type="pct"/>
            <w:gridSpan w:val="2"/>
            <w:noWrap/>
            <w:vAlign w:val="center"/>
            <w:hideMark/>
          </w:tcPr>
          <w:p w14:paraId="743587E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Sampling location</w:t>
            </w:r>
          </w:p>
        </w:tc>
      </w:tr>
      <w:tr w:rsidR="00573010" w:rsidRPr="005E6B7C" w14:paraId="66016D91" w14:textId="77777777" w:rsidTr="006C6E2D">
        <w:trPr>
          <w:jc w:val="center"/>
        </w:trPr>
        <w:tc>
          <w:tcPr>
            <w:tcW w:w="557" w:type="pct"/>
            <w:vMerge/>
            <w:vAlign w:val="center"/>
          </w:tcPr>
          <w:p w14:paraId="0BE7F4F5"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p>
        </w:tc>
        <w:tc>
          <w:tcPr>
            <w:tcW w:w="906" w:type="pct"/>
            <w:vMerge/>
            <w:noWrap/>
            <w:vAlign w:val="center"/>
          </w:tcPr>
          <w:p w14:paraId="5CAD0410"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p>
        </w:tc>
        <w:tc>
          <w:tcPr>
            <w:tcW w:w="1870" w:type="pct"/>
            <w:noWrap/>
            <w:vAlign w:val="center"/>
          </w:tcPr>
          <w:p w14:paraId="7481C854"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Before July 1, 2025</w:t>
            </w:r>
          </w:p>
        </w:tc>
        <w:tc>
          <w:tcPr>
            <w:tcW w:w="1668" w:type="pct"/>
          </w:tcPr>
          <w:p w14:paraId="31EF3BA6"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After the merger</w:t>
            </w:r>
          </w:p>
          <w:p w14:paraId="41D00FF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(effective from July 1, 2025)</w:t>
            </w:r>
          </w:p>
        </w:tc>
      </w:tr>
      <w:tr w:rsidR="00573010" w:rsidRPr="005E6B7C" w14:paraId="0B91E8F7" w14:textId="77777777" w:rsidTr="006C6E2D">
        <w:trPr>
          <w:jc w:val="center"/>
        </w:trPr>
        <w:tc>
          <w:tcPr>
            <w:tcW w:w="557" w:type="pct"/>
            <w:vAlign w:val="center"/>
            <w:hideMark/>
          </w:tcPr>
          <w:p w14:paraId="5FD530A9"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M1</w:t>
            </w:r>
          </w:p>
        </w:tc>
        <w:tc>
          <w:tcPr>
            <w:tcW w:w="906" w:type="pct"/>
            <w:noWrap/>
            <w:vAlign w:val="bottom"/>
            <w:hideMark/>
          </w:tcPr>
          <w:p w14:paraId="10B8AD32"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17D91CED"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nl-NL"/>
              </w:rPr>
            </w:pPr>
            <w:r w:rsidRPr="005E6B7C">
              <w:rPr>
                <w:rFonts w:asciiTheme="majorHAnsi" w:eastAsia="Times New Roman" w:hAnsiTheme="majorHAnsi" w:cstheme="majorHAnsi"/>
                <w:color w:val="000000" w:themeColor="text1"/>
                <w:sz w:val="18"/>
                <w:szCs w:val="18"/>
                <w:lang w:val="nl-NL"/>
              </w:rPr>
              <w:t>Dong Giap, Van Quan, Lang Son</w:t>
            </w:r>
          </w:p>
        </w:tc>
        <w:tc>
          <w:tcPr>
            <w:tcW w:w="1668" w:type="pct"/>
          </w:tcPr>
          <w:p w14:paraId="7F3767B1"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Tan Doan, Lang Son</w:t>
            </w:r>
          </w:p>
        </w:tc>
      </w:tr>
      <w:tr w:rsidR="00573010" w:rsidRPr="005E6B7C" w14:paraId="70985176" w14:textId="77777777" w:rsidTr="006C6E2D">
        <w:trPr>
          <w:jc w:val="center"/>
        </w:trPr>
        <w:tc>
          <w:tcPr>
            <w:tcW w:w="557" w:type="pct"/>
            <w:vAlign w:val="center"/>
            <w:hideMark/>
          </w:tcPr>
          <w:p w14:paraId="77A3025A"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M2</w:t>
            </w:r>
          </w:p>
        </w:tc>
        <w:tc>
          <w:tcPr>
            <w:tcW w:w="906" w:type="pct"/>
            <w:noWrap/>
            <w:vAlign w:val="bottom"/>
            <w:hideMark/>
          </w:tcPr>
          <w:p w14:paraId="439E207F"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24516DE6"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sv-SE"/>
              </w:rPr>
            </w:pPr>
            <w:r w:rsidRPr="005E6B7C">
              <w:rPr>
                <w:rFonts w:asciiTheme="majorHAnsi" w:eastAsia="Times New Roman" w:hAnsiTheme="majorHAnsi" w:cstheme="majorHAnsi"/>
                <w:color w:val="000000" w:themeColor="text1"/>
                <w:sz w:val="18"/>
                <w:szCs w:val="18"/>
                <w:lang w:val="sv-SE"/>
              </w:rPr>
              <w:t>Tan Van, Binh Gia, Lang Son</w:t>
            </w:r>
          </w:p>
        </w:tc>
        <w:tc>
          <w:tcPr>
            <w:tcW w:w="1668" w:type="pct"/>
          </w:tcPr>
          <w:p w14:paraId="62F1C826"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Tan Van, Lang Son</w:t>
            </w:r>
          </w:p>
        </w:tc>
      </w:tr>
      <w:tr w:rsidR="00573010" w:rsidRPr="005E6B7C" w14:paraId="6E52F585" w14:textId="77777777" w:rsidTr="006C6E2D">
        <w:trPr>
          <w:jc w:val="center"/>
        </w:trPr>
        <w:tc>
          <w:tcPr>
            <w:tcW w:w="557" w:type="pct"/>
            <w:vAlign w:val="center"/>
            <w:hideMark/>
          </w:tcPr>
          <w:p w14:paraId="1E7A1F25"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M3</w:t>
            </w:r>
          </w:p>
        </w:tc>
        <w:tc>
          <w:tcPr>
            <w:tcW w:w="906" w:type="pct"/>
            <w:noWrap/>
            <w:vAlign w:val="bottom"/>
            <w:hideMark/>
          </w:tcPr>
          <w:p w14:paraId="4E098AE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5F22D686"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Huu Lien, Huu Lung, Lang Son</w:t>
            </w:r>
          </w:p>
        </w:tc>
        <w:tc>
          <w:tcPr>
            <w:tcW w:w="1668" w:type="pct"/>
          </w:tcPr>
          <w:p w14:paraId="568CB044"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Huu Lien, Lang Son</w:t>
            </w:r>
          </w:p>
        </w:tc>
      </w:tr>
      <w:tr w:rsidR="00573010" w:rsidRPr="005E6B7C" w14:paraId="04754171" w14:textId="77777777" w:rsidTr="006C6E2D">
        <w:trPr>
          <w:jc w:val="center"/>
        </w:trPr>
        <w:tc>
          <w:tcPr>
            <w:tcW w:w="557" w:type="pct"/>
            <w:vAlign w:val="center"/>
            <w:hideMark/>
          </w:tcPr>
          <w:p w14:paraId="7FA1E0D4"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M4</w:t>
            </w:r>
          </w:p>
        </w:tc>
        <w:tc>
          <w:tcPr>
            <w:tcW w:w="906" w:type="pct"/>
            <w:noWrap/>
            <w:vAlign w:val="bottom"/>
            <w:hideMark/>
          </w:tcPr>
          <w:p w14:paraId="003B2C6A"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79239AAC"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fr-FR"/>
              </w:rPr>
            </w:pPr>
            <w:r w:rsidRPr="005E6B7C">
              <w:rPr>
                <w:rFonts w:asciiTheme="majorHAnsi" w:eastAsia="Times New Roman" w:hAnsiTheme="majorHAnsi" w:cstheme="majorHAnsi"/>
                <w:color w:val="000000" w:themeColor="text1"/>
                <w:sz w:val="18"/>
                <w:szCs w:val="18"/>
                <w:lang w:val="fr-FR"/>
              </w:rPr>
              <w:t>Hai Yen, Cao Loc, Lang Son</w:t>
            </w:r>
          </w:p>
        </w:tc>
        <w:tc>
          <w:tcPr>
            <w:tcW w:w="1668" w:type="pct"/>
          </w:tcPr>
          <w:p w14:paraId="65F1B337"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Cong Son, Lang Son</w:t>
            </w:r>
          </w:p>
        </w:tc>
      </w:tr>
      <w:tr w:rsidR="00573010" w:rsidRPr="005E6B7C" w14:paraId="6DB47431" w14:textId="77777777" w:rsidTr="006C6E2D">
        <w:trPr>
          <w:jc w:val="center"/>
        </w:trPr>
        <w:tc>
          <w:tcPr>
            <w:tcW w:w="557" w:type="pct"/>
            <w:vAlign w:val="center"/>
          </w:tcPr>
          <w:p w14:paraId="215C3437"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M5</w:t>
            </w:r>
          </w:p>
        </w:tc>
        <w:tc>
          <w:tcPr>
            <w:tcW w:w="906" w:type="pct"/>
            <w:noWrap/>
            <w:vAlign w:val="bottom"/>
          </w:tcPr>
          <w:p w14:paraId="694BE33E"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04/2025</w:t>
            </w:r>
          </w:p>
        </w:tc>
        <w:tc>
          <w:tcPr>
            <w:tcW w:w="1870" w:type="pct"/>
            <w:noWrap/>
            <w:vAlign w:val="center"/>
          </w:tcPr>
          <w:p w14:paraId="1F59A362"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Loc Binh, Loc Binh, Lang Son</w:t>
            </w:r>
          </w:p>
        </w:tc>
        <w:tc>
          <w:tcPr>
            <w:tcW w:w="1668" w:type="pct"/>
          </w:tcPr>
          <w:p w14:paraId="4CDDA29E"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Loc Binh, Lang Son</w:t>
            </w:r>
          </w:p>
        </w:tc>
      </w:tr>
      <w:tr w:rsidR="00573010" w:rsidRPr="005E6B7C" w14:paraId="09953603" w14:textId="77777777" w:rsidTr="006C6E2D">
        <w:trPr>
          <w:jc w:val="center"/>
        </w:trPr>
        <w:tc>
          <w:tcPr>
            <w:tcW w:w="557" w:type="pct"/>
            <w:vAlign w:val="center"/>
            <w:hideMark/>
          </w:tcPr>
          <w:p w14:paraId="3EDA721D"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M6</w:t>
            </w:r>
          </w:p>
        </w:tc>
        <w:tc>
          <w:tcPr>
            <w:tcW w:w="906" w:type="pct"/>
            <w:noWrap/>
            <w:vAlign w:val="bottom"/>
            <w:hideMark/>
          </w:tcPr>
          <w:p w14:paraId="5D58952E"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2A5FECF7"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Chien Thang, Bac Son, Lang Son</w:t>
            </w:r>
          </w:p>
        </w:tc>
        <w:tc>
          <w:tcPr>
            <w:tcW w:w="1668" w:type="pct"/>
          </w:tcPr>
          <w:p w14:paraId="3D127EBF"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Vu Le, Lang Son</w:t>
            </w:r>
          </w:p>
        </w:tc>
      </w:tr>
      <w:tr w:rsidR="00573010" w:rsidRPr="005E6B7C" w14:paraId="413FF035" w14:textId="77777777" w:rsidTr="006C6E2D">
        <w:trPr>
          <w:jc w:val="center"/>
        </w:trPr>
        <w:tc>
          <w:tcPr>
            <w:tcW w:w="557" w:type="pct"/>
            <w:vAlign w:val="center"/>
            <w:hideMark/>
          </w:tcPr>
          <w:p w14:paraId="3C45D5A6"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M7</w:t>
            </w:r>
          </w:p>
        </w:tc>
        <w:tc>
          <w:tcPr>
            <w:tcW w:w="906" w:type="pct"/>
            <w:noWrap/>
            <w:vAlign w:val="bottom"/>
            <w:hideMark/>
          </w:tcPr>
          <w:p w14:paraId="5E2222DC"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5EA03ECB"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fr-FR"/>
              </w:rPr>
            </w:pPr>
            <w:r w:rsidRPr="005E6B7C">
              <w:rPr>
                <w:rFonts w:asciiTheme="majorHAnsi" w:eastAsia="Times New Roman" w:hAnsiTheme="majorHAnsi" w:cstheme="majorHAnsi"/>
                <w:color w:val="000000" w:themeColor="text1"/>
                <w:sz w:val="18"/>
                <w:szCs w:val="18"/>
                <w:lang w:val="fr-FR"/>
              </w:rPr>
              <w:t>Mau Son, Loc Binh, Lang Son</w:t>
            </w:r>
          </w:p>
        </w:tc>
        <w:tc>
          <w:tcPr>
            <w:tcW w:w="1668" w:type="pct"/>
          </w:tcPr>
          <w:p w14:paraId="4495C8AA"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Mau Son, Lang Son</w:t>
            </w:r>
          </w:p>
        </w:tc>
      </w:tr>
      <w:tr w:rsidR="00573010" w:rsidRPr="005E6B7C" w14:paraId="20A283DF" w14:textId="77777777" w:rsidTr="006C6E2D">
        <w:trPr>
          <w:jc w:val="center"/>
        </w:trPr>
        <w:tc>
          <w:tcPr>
            <w:tcW w:w="557" w:type="pct"/>
            <w:vAlign w:val="center"/>
            <w:hideMark/>
          </w:tcPr>
          <w:p w14:paraId="4CEF01E9"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M8</w:t>
            </w:r>
          </w:p>
        </w:tc>
        <w:tc>
          <w:tcPr>
            <w:tcW w:w="906" w:type="pct"/>
            <w:noWrap/>
            <w:vAlign w:val="bottom"/>
            <w:hideMark/>
          </w:tcPr>
          <w:p w14:paraId="08292DA0"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05/2025</w:t>
            </w:r>
          </w:p>
        </w:tc>
        <w:tc>
          <w:tcPr>
            <w:tcW w:w="1870" w:type="pct"/>
            <w:noWrap/>
            <w:vAlign w:val="center"/>
            <w:hideMark/>
          </w:tcPr>
          <w:p w14:paraId="2EC80EC5"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sv-SE"/>
              </w:rPr>
            </w:pPr>
            <w:r w:rsidRPr="005E6B7C">
              <w:rPr>
                <w:rFonts w:asciiTheme="majorHAnsi" w:eastAsia="Times New Roman" w:hAnsiTheme="majorHAnsi" w:cstheme="majorHAnsi"/>
                <w:color w:val="000000" w:themeColor="text1"/>
                <w:sz w:val="18"/>
                <w:szCs w:val="18"/>
                <w:lang w:val="sv-SE"/>
              </w:rPr>
              <w:t>Thien Tan, Huu Lung, Lang Son</w:t>
            </w:r>
          </w:p>
        </w:tc>
        <w:tc>
          <w:tcPr>
            <w:tcW w:w="1668" w:type="pct"/>
          </w:tcPr>
          <w:p w14:paraId="4BEB6585"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Thien Tan, Lang Son</w:t>
            </w:r>
          </w:p>
        </w:tc>
      </w:tr>
      <w:tr w:rsidR="00573010" w:rsidRPr="005E6B7C" w14:paraId="570EDECE" w14:textId="77777777" w:rsidTr="006C6E2D">
        <w:trPr>
          <w:jc w:val="center"/>
        </w:trPr>
        <w:tc>
          <w:tcPr>
            <w:tcW w:w="557" w:type="pct"/>
            <w:vAlign w:val="center"/>
            <w:hideMark/>
          </w:tcPr>
          <w:p w14:paraId="15A9D2B6"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M9</w:t>
            </w:r>
          </w:p>
        </w:tc>
        <w:tc>
          <w:tcPr>
            <w:tcW w:w="906" w:type="pct"/>
            <w:noWrap/>
            <w:vAlign w:val="bottom"/>
            <w:hideMark/>
          </w:tcPr>
          <w:p w14:paraId="2F055BA5"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06/2025</w:t>
            </w:r>
          </w:p>
        </w:tc>
        <w:tc>
          <w:tcPr>
            <w:tcW w:w="1870" w:type="pct"/>
            <w:noWrap/>
            <w:vAlign w:val="center"/>
            <w:hideMark/>
          </w:tcPr>
          <w:p w14:paraId="7B99A660"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sv-SE"/>
              </w:rPr>
            </w:pPr>
            <w:r w:rsidRPr="005E6B7C">
              <w:rPr>
                <w:rFonts w:asciiTheme="majorHAnsi" w:eastAsia="Times New Roman" w:hAnsiTheme="majorHAnsi" w:cstheme="majorHAnsi"/>
                <w:color w:val="000000" w:themeColor="text1"/>
                <w:sz w:val="18"/>
                <w:szCs w:val="18"/>
                <w:lang w:val="sv-SE"/>
              </w:rPr>
              <w:t>Tan Van, Binh Gia, Lang Son</w:t>
            </w:r>
          </w:p>
        </w:tc>
        <w:tc>
          <w:tcPr>
            <w:tcW w:w="1668" w:type="pct"/>
          </w:tcPr>
          <w:p w14:paraId="50909E1F"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Tan Van, Lang Son</w:t>
            </w:r>
          </w:p>
        </w:tc>
      </w:tr>
      <w:tr w:rsidR="00573010" w:rsidRPr="005E6B7C" w14:paraId="64CC7BB1" w14:textId="77777777" w:rsidTr="006C6E2D">
        <w:trPr>
          <w:jc w:val="center"/>
        </w:trPr>
        <w:tc>
          <w:tcPr>
            <w:tcW w:w="557" w:type="pct"/>
            <w:vAlign w:val="center"/>
            <w:hideMark/>
          </w:tcPr>
          <w:p w14:paraId="708672FA"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M10</w:t>
            </w:r>
          </w:p>
        </w:tc>
        <w:tc>
          <w:tcPr>
            <w:tcW w:w="906" w:type="pct"/>
            <w:noWrap/>
            <w:vAlign w:val="bottom"/>
            <w:hideMark/>
          </w:tcPr>
          <w:p w14:paraId="70F5E17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06/2025</w:t>
            </w:r>
          </w:p>
        </w:tc>
        <w:tc>
          <w:tcPr>
            <w:tcW w:w="1870" w:type="pct"/>
            <w:noWrap/>
            <w:vAlign w:val="center"/>
            <w:hideMark/>
          </w:tcPr>
          <w:p w14:paraId="23D7B427"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nl-NL"/>
              </w:rPr>
            </w:pPr>
            <w:r w:rsidRPr="005E6B7C">
              <w:rPr>
                <w:rFonts w:asciiTheme="majorHAnsi" w:eastAsia="Times New Roman" w:hAnsiTheme="majorHAnsi" w:cstheme="majorHAnsi"/>
                <w:color w:val="000000" w:themeColor="text1"/>
                <w:sz w:val="18"/>
                <w:szCs w:val="18"/>
                <w:lang w:val="nl-NL"/>
              </w:rPr>
              <w:t>Van Linh, Chi Lang, Lang Son</w:t>
            </w:r>
          </w:p>
        </w:tc>
        <w:tc>
          <w:tcPr>
            <w:tcW w:w="1668" w:type="pct"/>
          </w:tcPr>
          <w:p w14:paraId="252703E0"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Van Linh, Lang Son</w:t>
            </w:r>
          </w:p>
        </w:tc>
      </w:tr>
      <w:tr w:rsidR="00573010" w:rsidRPr="005E6B7C" w14:paraId="3BF22910" w14:textId="77777777" w:rsidTr="006C6E2D">
        <w:trPr>
          <w:jc w:val="center"/>
        </w:trPr>
        <w:tc>
          <w:tcPr>
            <w:tcW w:w="557" w:type="pct"/>
            <w:vAlign w:val="center"/>
          </w:tcPr>
          <w:p w14:paraId="13B234E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M11</w:t>
            </w:r>
          </w:p>
        </w:tc>
        <w:tc>
          <w:tcPr>
            <w:tcW w:w="906" w:type="pct"/>
            <w:noWrap/>
          </w:tcPr>
          <w:p w14:paraId="36A46892"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11/2024</w:t>
            </w:r>
          </w:p>
        </w:tc>
        <w:tc>
          <w:tcPr>
            <w:tcW w:w="1870" w:type="pct"/>
            <w:noWrap/>
          </w:tcPr>
          <w:p w14:paraId="5C4C7D08"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vi-VN"/>
              </w:rPr>
            </w:pPr>
            <w:r w:rsidRPr="005E6B7C">
              <w:rPr>
                <w:rFonts w:asciiTheme="majorHAnsi" w:eastAsia="Yu Mincho" w:hAnsiTheme="majorHAnsi" w:cstheme="majorHAnsi"/>
                <w:color w:val="000000" w:themeColor="text1"/>
                <w:sz w:val="18"/>
                <w:szCs w:val="18"/>
                <w:lang w:val="vi-VN" w:eastAsia="ja-JP"/>
              </w:rPr>
              <w:t>Phong Van, Luc Ngan, Bac Giang</w:t>
            </w:r>
          </w:p>
        </w:tc>
        <w:tc>
          <w:tcPr>
            <w:tcW w:w="1668" w:type="pct"/>
          </w:tcPr>
          <w:p w14:paraId="7D658D7E"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Bien Son, Bac Ninh</w:t>
            </w:r>
          </w:p>
        </w:tc>
      </w:tr>
      <w:tr w:rsidR="00573010" w:rsidRPr="005E6B7C" w14:paraId="29F4803B" w14:textId="77777777" w:rsidTr="006C6E2D">
        <w:trPr>
          <w:jc w:val="center"/>
        </w:trPr>
        <w:tc>
          <w:tcPr>
            <w:tcW w:w="557" w:type="pct"/>
          </w:tcPr>
          <w:p w14:paraId="541E2241"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M12</w:t>
            </w:r>
          </w:p>
        </w:tc>
        <w:tc>
          <w:tcPr>
            <w:tcW w:w="906" w:type="pct"/>
            <w:noWrap/>
          </w:tcPr>
          <w:p w14:paraId="2314F07B"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11/2024</w:t>
            </w:r>
          </w:p>
        </w:tc>
        <w:tc>
          <w:tcPr>
            <w:tcW w:w="1870" w:type="pct"/>
            <w:noWrap/>
          </w:tcPr>
          <w:p w14:paraId="755A627E"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Truong Son, Luc Nam, Bac Giang</w:t>
            </w:r>
          </w:p>
        </w:tc>
        <w:tc>
          <w:tcPr>
            <w:tcW w:w="1668" w:type="pct"/>
          </w:tcPr>
          <w:p w14:paraId="27816460"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Truong Son, Bac Ninh</w:t>
            </w:r>
          </w:p>
        </w:tc>
      </w:tr>
      <w:tr w:rsidR="00573010" w:rsidRPr="005E6B7C" w14:paraId="6A8CD301" w14:textId="77777777" w:rsidTr="006C6E2D">
        <w:trPr>
          <w:jc w:val="center"/>
        </w:trPr>
        <w:tc>
          <w:tcPr>
            <w:tcW w:w="557" w:type="pct"/>
          </w:tcPr>
          <w:p w14:paraId="23E82A9B"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M13</w:t>
            </w:r>
          </w:p>
        </w:tc>
        <w:tc>
          <w:tcPr>
            <w:tcW w:w="906" w:type="pct"/>
            <w:noWrap/>
          </w:tcPr>
          <w:p w14:paraId="1CB7479D"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11/2024</w:t>
            </w:r>
          </w:p>
        </w:tc>
        <w:tc>
          <w:tcPr>
            <w:tcW w:w="1870" w:type="pct"/>
            <w:noWrap/>
          </w:tcPr>
          <w:p w14:paraId="3E431A91"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pt-BR"/>
              </w:rPr>
            </w:pPr>
            <w:r w:rsidRPr="005E6B7C">
              <w:rPr>
                <w:rFonts w:asciiTheme="majorHAnsi" w:eastAsia="Yu Mincho" w:hAnsiTheme="majorHAnsi" w:cstheme="majorHAnsi"/>
                <w:color w:val="000000" w:themeColor="text1"/>
                <w:sz w:val="18"/>
                <w:szCs w:val="18"/>
                <w:lang w:val="pt-BR" w:eastAsia="ja-JP"/>
              </w:rPr>
              <w:t>Ta Ngao, Sin Ho, Lai Chau</w:t>
            </w:r>
          </w:p>
        </w:tc>
        <w:tc>
          <w:tcPr>
            <w:tcW w:w="1668" w:type="pct"/>
          </w:tcPr>
          <w:p w14:paraId="2F5EFFEC"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val="fr-FR" w:eastAsia="ja-JP"/>
              </w:rPr>
            </w:pPr>
            <w:r w:rsidRPr="005E6B7C">
              <w:rPr>
                <w:rFonts w:asciiTheme="majorHAnsi" w:eastAsia="Yu Mincho" w:hAnsiTheme="majorHAnsi" w:cstheme="majorHAnsi"/>
                <w:color w:val="000000" w:themeColor="text1"/>
                <w:sz w:val="18"/>
                <w:szCs w:val="18"/>
                <w:lang w:val="fr-FR" w:eastAsia="ja-JP"/>
              </w:rPr>
              <w:t>Tua Sin Chai, Lai Chau</w:t>
            </w:r>
          </w:p>
        </w:tc>
      </w:tr>
      <w:tr w:rsidR="00573010" w:rsidRPr="005E6B7C" w14:paraId="44DABD6A" w14:textId="77777777" w:rsidTr="006C6E2D">
        <w:trPr>
          <w:jc w:val="center"/>
        </w:trPr>
        <w:tc>
          <w:tcPr>
            <w:tcW w:w="557" w:type="pct"/>
          </w:tcPr>
          <w:p w14:paraId="3787B823"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M14</w:t>
            </w:r>
          </w:p>
        </w:tc>
        <w:tc>
          <w:tcPr>
            <w:tcW w:w="906" w:type="pct"/>
            <w:noWrap/>
          </w:tcPr>
          <w:p w14:paraId="6CAFEA55"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11/2024</w:t>
            </w:r>
          </w:p>
        </w:tc>
        <w:tc>
          <w:tcPr>
            <w:tcW w:w="1870" w:type="pct"/>
            <w:noWrap/>
          </w:tcPr>
          <w:p w14:paraId="33BDB3FE"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pt-BR"/>
              </w:rPr>
            </w:pPr>
            <w:r w:rsidRPr="005E6B7C">
              <w:rPr>
                <w:rFonts w:asciiTheme="majorHAnsi" w:eastAsia="Yu Mincho" w:hAnsiTheme="majorHAnsi" w:cstheme="majorHAnsi"/>
                <w:color w:val="000000" w:themeColor="text1"/>
                <w:sz w:val="18"/>
                <w:szCs w:val="18"/>
                <w:lang w:val="pt-BR" w:eastAsia="ja-JP"/>
              </w:rPr>
              <w:t>Ta Ngao, Sin Ho, Lai Chau</w:t>
            </w:r>
          </w:p>
        </w:tc>
        <w:tc>
          <w:tcPr>
            <w:tcW w:w="1668" w:type="pct"/>
          </w:tcPr>
          <w:p w14:paraId="0FAEED85"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val="fr-FR" w:eastAsia="ja-JP"/>
              </w:rPr>
            </w:pPr>
            <w:r w:rsidRPr="005E6B7C">
              <w:rPr>
                <w:rFonts w:asciiTheme="majorHAnsi" w:eastAsia="Yu Mincho" w:hAnsiTheme="majorHAnsi" w:cstheme="majorHAnsi"/>
                <w:color w:val="000000" w:themeColor="text1"/>
                <w:sz w:val="18"/>
                <w:szCs w:val="18"/>
                <w:lang w:val="fr-FR" w:eastAsia="ja-JP"/>
              </w:rPr>
              <w:t>Tua Sin Chai, Lai Chau</w:t>
            </w:r>
          </w:p>
        </w:tc>
      </w:tr>
      <w:tr w:rsidR="00573010" w:rsidRPr="005E6B7C" w14:paraId="23FD1CD1" w14:textId="77777777" w:rsidTr="006C6E2D">
        <w:trPr>
          <w:jc w:val="center"/>
        </w:trPr>
        <w:tc>
          <w:tcPr>
            <w:tcW w:w="557" w:type="pct"/>
          </w:tcPr>
          <w:p w14:paraId="16A16AE5"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M15</w:t>
            </w:r>
          </w:p>
        </w:tc>
        <w:tc>
          <w:tcPr>
            <w:tcW w:w="906" w:type="pct"/>
            <w:noWrap/>
          </w:tcPr>
          <w:p w14:paraId="498E8F6F"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11/2024</w:t>
            </w:r>
          </w:p>
        </w:tc>
        <w:tc>
          <w:tcPr>
            <w:tcW w:w="1870" w:type="pct"/>
            <w:noWrap/>
          </w:tcPr>
          <w:p w14:paraId="7D2170A9"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da-DK"/>
              </w:rPr>
            </w:pPr>
            <w:r w:rsidRPr="005E6B7C">
              <w:rPr>
                <w:rFonts w:asciiTheme="majorHAnsi" w:eastAsia="Yu Mincho" w:hAnsiTheme="majorHAnsi" w:cstheme="majorHAnsi"/>
                <w:color w:val="000000" w:themeColor="text1"/>
                <w:sz w:val="18"/>
                <w:szCs w:val="18"/>
                <w:lang w:val="da-DK" w:eastAsia="ja-JP"/>
              </w:rPr>
              <w:t>Han Da, Yen Binh, Yen Bai</w:t>
            </w:r>
          </w:p>
        </w:tc>
        <w:tc>
          <w:tcPr>
            <w:tcW w:w="1668" w:type="pct"/>
          </w:tcPr>
          <w:p w14:paraId="06EBED59"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Thac Ba, Lao Cai</w:t>
            </w:r>
          </w:p>
        </w:tc>
      </w:tr>
      <w:tr w:rsidR="00573010" w:rsidRPr="005E6B7C" w14:paraId="2C024A21" w14:textId="77777777" w:rsidTr="006C6E2D">
        <w:trPr>
          <w:jc w:val="center"/>
        </w:trPr>
        <w:tc>
          <w:tcPr>
            <w:tcW w:w="557" w:type="pct"/>
          </w:tcPr>
          <w:p w14:paraId="40473B38"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M16</w:t>
            </w:r>
          </w:p>
        </w:tc>
        <w:tc>
          <w:tcPr>
            <w:tcW w:w="906" w:type="pct"/>
            <w:noWrap/>
          </w:tcPr>
          <w:p w14:paraId="07B79D27" w14:textId="77777777" w:rsidR="00E049CB" w:rsidRPr="005E6B7C" w:rsidRDefault="00E049CB" w:rsidP="008C0D47">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eastAsia="ja-JP"/>
              </w:rPr>
              <w:t>1</w:t>
            </w:r>
            <w:r w:rsidRPr="005E6B7C">
              <w:rPr>
                <w:rFonts w:asciiTheme="majorHAnsi" w:eastAsia="Yu Mincho" w:hAnsiTheme="majorHAnsi" w:cstheme="majorHAnsi"/>
                <w:color w:val="000000" w:themeColor="text1"/>
                <w:sz w:val="18"/>
                <w:szCs w:val="18"/>
                <w:lang w:val="vi-VN" w:eastAsia="ja-JP"/>
              </w:rPr>
              <w:t>2/2014</w:t>
            </w:r>
          </w:p>
        </w:tc>
        <w:tc>
          <w:tcPr>
            <w:tcW w:w="1870" w:type="pct"/>
            <w:noWrap/>
          </w:tcPr>
          <w:p w14:paraId="2A14916C" w14:textId="77777777" w:rsidR="00E049CB" w:rsidRPr="005E6B7C" w:rsidRDefault="00E049CB" w:rsidP="008C0D47">
            <w:pPr>
              <w:tabs>
                <w:tab w:val="left" w:pos="270"/>
                <w:tab w:val="left" w:pos="540"/>
                <w:tab w:val="left" w:pos="9270"/>
              </w:tabs>
              <w:spacing w:line="180" w:lineRule="exact"/>
              <w:ind w:right="-20"/>
              <w:jc w:val="both"/>
              <w:rPr>
                <w:rFonts w:asciiTheme="majorHAnsi" w:eastAsia="Times New Roman" w:hAnsiTheme="majorHAnsi" w:cstheme="majorHAnsi"/>
                <w:color w:val="000000" w:themeColor="text1"/>
                <w:sz w:val="18"/>
                <w:szCs w:val="18"/>
                <w:lang w:val="da-DK"/>
              </w:rPr>
            </w:pPr>
            <w:r w:rsidRPr="005E6B7C">
              <w:rPr>
                <w:rFonts w:asciiTheme="majorHAnsi" w:eastAsia="Yu Mincho" w:hAnsiTheme="majorHAnsi" w:cstheme="majorHAnsi"/>
                <w:color w:val="000000" w:themeColor="text1"/>
                <w:sz w:val="18"/>
                <w:szCs w:val="18"/>
                <w:lang w:val="da-DK" w:eastAsia="ja-JP"/>
              </w:rPr>
              <w:t>Han Da, Yen Binh, Yen Bai</w:t>
            </w:r>
          </w:p>
        </w:tc>
        <w:tc>
          <w:tcPr>
            <w:tcW w:w="1668" w:type="pct"/>
          </w:tcPr>
          <w:p w14:paraId="721BB52C" w14:textId="77777777" w:rsidR="00E049CB" w:rsidRPr="005E6B7C" w:rsidRDefault="00E049CB" w:rsidP="008C0D47">
            <w:pPr>
              <w:tabs>
                <w:tab w:val="left" w:pos="270"/>
                <w:tab w:val="left" w:pos="540"/>
                <w:tab w:val="left" w:pos="9270"/>
              </w:tabs>
              <w:spacing w:line="180" w:lineRule="exact"/>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Thac Ba, Lao Cai</w:t>
            </w:r>
          </w:p>
        </w:tc>
      </w:tr>
    </w:tbl>
    <w:p w14:paraId="6EE29240" w14:textId="77777777" w:rsidR="00685C8E" w:rsidRPr="005E6B7C" w:rsidRDefault="00685C8E" w:rsidP="008C0D47">
      <w:pPr>
        <w:tabs>
          <w:tab w:val="left" w:pos="270"/>
          <w:tab w:val="left" w:pos="540"/>
          <w:tab w:val="left" w:pos="9270"/>
        </w:tabs>
        <w:ind w:right="-20"/>
        <w:jc w:val="both"/>
        <w:outlineLvl w:val="1"/>
        <w:rPr>
          <w:rFonts w:asciiTheme="majorHAnsi" w:eastAsia="Times New Roman" w:hAnsiTheme="majorHAnsi" w:cstheme="majorHAnsi"/>
          <w:i/>
          <w:color w:val="000000" w:themeColor="text1"/>
          <w:sz w:val="22"/>
          <w:szCs w:val="22"/>
          <w:lang w:eastAsia="ja-JP"/>
        </w:rPr>
      </w:pPr>
    </w:p>
    <w:p w14:paraId="05119F49" w14:textId="77777777" w:rsidR="0079118F" w:rsidRPr="005E6B7C" w:rsidRDefault="0079118F" w:rsidP="008C0D47">
      <w:pPr>
        <w:tabs>
          <w:tab w:val="left" w:pos="270"/>
          <w:tab w:val="left" w:pos="540"/>
          <w:tab w:val="left" w:pos="9270"/>
        </w:tabs>
        <w:spacing w:line="240" w:lineRule="exact"/>
        <w:ind w:right="-23" w:firstLine="284"/>
        <w:jc w:val="both"/>
        <w:outlineLvl w:val="1"/>
        <w:rPr>
          <w:rFonts w:asciiTheme="majorHAnsi" w:eastAsia="Times New Roman" w:hAnsiTheme="majorHAnsi" w:cstheme="majorHAnsi"/>
          <w:i/>
          <w:color w:val="000000" w:themeColor="text1"/>
          <w:sz w:val="22"/>
          <w:szCs w:val="22"/>
          <w:lang w:eastAsia="ja-JP"/>
        </w:rPr>
        <w:sectPr w:rsidR="0079118F" w:rsidRPr="005E6B7C" w:rsidSect="002206BB">
          <w:type w:val="continuous"/>
          <w:pgSz w:w="10773" w:h="15309" w:code="9"/>
          <w:pgMar w:top="907" w:right="851" w:bottom="1418" w:left="851" w:header="397" w:footer="851" w:gutter="0"/>
          <w:cols w:space="284"/>
          <w:docGrid w:linePitch="360"/>
        </w:sectPr>
      </w:pPr>
    </w:p>
    <w:p w14:paraId="101854B7" w14:textId="77777777" w:rsidR="00E049CB" w:rsidRPr="005E6B7C" w:rsidRDefault="00E049CB" w:rsidP="008C0D47">
      <w:pPr>
        <w:tabs>
          <w:tab w:val="left" w:pos="270"/>
          <w:tab w:val="left" w:pos="540"/>
          <w:tab w:val="left" w:pos="9270"/>
        </w:tabs>
        <w:spacing w:line="244" w:lineRule="exact"/>
        <w:ind w:right="-23" w:firstLine="284"/>
        <w:jc w:val="both"/>
        <w:outlineLvl w:val="1"/>
        <w:rPr>
          <w:rFonts w:asciiTheme="majorHAnsi" w:eastAsia="Times New Roman" w:hAnsiTheme="majorHAnsi" w:cstheme="majorHAnsi"/>
          <w:i/>
          <w:color w:val="000000" w:themeColor="text1"/>
          <w:sz w:val="22"/>
          <w:szCs w:val="22"/>
          <w:lang w:eastAsia="ja-JP"/>
        </w:rPr>
      </w:pPr>
      <w:r w:rsidRPr="005E6B7C">
        <w:rPr>
          <w:rFonts w:asciiTheme="majorHAnsi" w:eastAsia="Times New Roman" w:hAnsiTheme="majorHAnsi" w:cstheme="majorHAnsi"/>
          <w:i/>
          <w:color w:val="000000" w:themeColor="text1"/>
          <w:sz w:val="22"/>
          <w:szCs w:val="22"/>
          <w:lang w:eastAsia="ja-JP"/>
        </w:rPr>
        <w:t xml:space="preserve">2.2. </w:t>
      </w:r>
      <w:r w:rsidRPr="005E6B7C">
        <w:rPr>
          <w:rFonts w:asciiTheme="majorHAnsi" w:eastAsia="Times New Roman" w:hAnsiTheme="majorHAnsi" w:cstheme="majorHAnsi"/>
          <w:bCs/>
          <w:i/>
          <w:color w:val="000000" w:themeColor="text1"/>
          <w:sz w:val="22"/>
          <w:szCs w:val="22"/>
          <w:lang w:eastAsia="ja-JP"/>
        </w:rPr>
        <w:t>Chemicals</w:t>
      </w:r>
    </w:p>
    <w:p w14:paraId="1076B5DE"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shd w:val="clear" w:color="auto" w:fill="FFFFFF"/>
          <w:lang w:eastAsia="ja-JP"/>
        </w:rPr>
        <w:t>The gallic acid standard was purchased from Chemfaces (China), CAS No. 149-91-7, Lot No. CFS201501, purity of 98%. Folin-Ciocalteu's phenol reagent was purchased from Merck (USA)</w:t>
      </w: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 Solvents and chemicals used to extract and process samples for quantitative analysis all meet analytical purity standards (P.A.)</w:t>
      </w:r>
      <w:r w:rsidRPr="005E6B7C">
        <w:rPr>
          <w:rFonts w:asciiTheme="majorHAnsi" w:eastAsia="Yu Mincho" w:hAnsiTheme="majorHAnsi" w:cstheme="majorHAnsi"/>
          <w:color w:val="000000" w:themeColor="text1"/>
          <w:sz w:val="22"/>
          <w:szCs w:val="22"/>
          <w:shd w:val="clear" w:color="auto" w:fill="FFFFFF"/>
          <w:lang w:val="vi-VN"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shd w:val="clear" w:color="auto" w:fill="FFFFFF"/>
          <w:lang w:eastAsia="ja-JP"/>
        </w:rPr>
        <w:t>The solvent used for GC/MS analysis was from Merck (USA), meeting purity standards for mass spectrometry analysis</w:t>
      </w:r>
      <w:r w:rsidRPr="005E6B7C">
        <w:rPr>
          <w:rFonts w:asciiTheme="majorHAnsi" w:eastAsia="Yu Mincho" w:hAnsiTheme="majorHAnsi" w:cstheme="majorHAnsi"/>
          <w:color w:val="000000" w:themeColor="text1"/>
          <w:sz w:val="22"/>
          <w:szCs w:val="22"/>
          <w:lang w:val="vi-VN" w:eastAsia="ja-JP"/>
        </w:rPr>
        <w:t>.</w:t>
      </w:r>
    </w:p>
    <w:p w14:paraId="352BC0C5" w14:textId="77777777" w:rsidR="00E049CB" w:rsidRPr="005E6B7C" w:rsidRDefault="00E049CB" w:rsidP="008C0D47">
      <w:pPr>
        <w:tabs>
          <w:tab w:val="left" w:pos="270"/>
          <w:tab w:val="left" w:pos="540"/>
          <w:tab w:val="left" w:pos="9270"/>
        </w:tabs>
        <w:spacing w:line="244" w:lineRule="exact"/>
        <w:ind w:right="-23" w:firstLine="284"/>
        <w:jc w:val="both"/>
        <w:outlineLvl w:val="1"/>
        <w:rPr>
          <w:rFonts w:asciiTheme="majorHAnsi" w:eastAsia="Times New Roman" w:hAnsiTheme="majorHAnsi" w:cstheme="majorHAnsi"/>
          <w:b/>
          <w:color w:val="000000" w:themeColor="text1"/>
          <w:sz w:val="22"/>
          <w:szCs w:val="22"/>
          <w:lang w:val="vi-VN" w:eastAsia="ja-JP"/>
        </w:rPr>
      </w:pPr>
      <w:r w:rsidRPr="005E6B7C">
        <w:rPr>
          <w:rFonts w:asciiTheme="majorHAnsi" w:eastAsia="Times New Roman" w:hAnsiTheme="majorHAnsi" w:cstheme="majorHAnsi"/>
          <w:i/>
          <w:color w:val="000000" w:themeColor="text1"/>
          <w:sz w:val="22"/>
          <w:szCs w:val="22"/>
          <w:lang w:val="vi-VN" w:eastAsia="ja-JP"/>
        </w:rPr>
        <w:t xml:space="preserve">2.3. Instruments </w:t>
      </w:r>
    </w:p>
    <w:p w14:paraId="6A8F051A" w14:textId="2DADC1DB" w:rsidR="00E049CB" w:rsidRPr="005E6B7C" w:rsidRDefault="00E049CB" w:rsidP="008C0D47">
      <w:pPr>
        <w:tabs>
          <w:tab w:val="left" w:pos="270"/>
          <w:tab w:val="left" w:pos="540"/>
          <w:tab w:val="left" w:pos="9270"/>
        </w:tabs>
        <w:spacing w:line="244" w:lineRule="exact"/>
        <w:ind w:right="-23" w:firstLine="284"/>
        <w:jc w:val="both"/>
        <w:outlineLvl w:val="1"/>
        <w:rPr>
          <w:rFonts w:asciiTheme="majorHAnsi" w:eastAsia="Times New Roman" w:hAnsiTheme="majorHAnsi" w:cstheme="majorHAnsi"/>
          <w:b/>
          <w:color w:val="000000" w:themeColor="text1"/>
          <w:sz w:val="22"/>
          <w:szCs w:val="22"/>
          <w:lang w:val="vi-VN" w:eastAsia="ja-JP"/>
        </w:rPr>
      </w:pPr>
      <w:r w:rsidRPr="005E6B7C">
        <w:rPr>
          <w:rFonts w:asciiTheme="majorHAnsi" w:eastAsia="Times New Roman" w:hAnsiTheme="majorHAnsi" w:cstheme="majorHAnsi"/>
          <w:color w:val="000000" w:themeColor="text1"/>
          <w:sz w:val="22"/>
          <w:szCs w:val="22"/>
          <w:lang w:val="vi-VN" w:eastAsia="ja-JP"/>
        </w:rPr>
        <w:t>Gas Chromatography Mass Spectrometry (</w:t>
      </w:r>
      <w:r w:rsidRPr="005E6B7C">
        <w:rPr>
          <w:rFonts w:asciiTheme="majorHAnsi" w:eastAsia="Times New Roman" w:hAnsiTheme="majorHAnsi" w:cstheme="majorHAnsi"/>
          <w:bCs/>
          <w:color w:val="000000" w:themeColor="text1"/>
          <w:sz w:val="22"/>
          <w:szCs w:val="22"/>
          <w:lang w:val="vi-VN" w:eastAsia="ja-JP"/>
        </w:rPr>
        <w:t xml:space="preserve">GCMS-QP2020) system (Shimadzu, Japan) with a SH-Rxi-5Sil MS capillary column (30 m x 0.25 mm x 0.25 </w:t>
      </w:r>
      <w:r w:rsidR="00266B26" w:rsidRPr="005E6B7C">
        <w:rPr>
          <w:rFonts w:asciiTheme="majorHAnsi" w:eastAsia="Times New Roman" w:hAnsiTheme="majorHAnsi" w:cstheme="majorHAnsi"/>
          <w:bCs/>
          <w:i/>
          <w:iCs/>
          <w:color w:val="000000" w:themeColor="text1"/>
          <w:sz w:val="22"/>
          <w:szCs w:val="22"/>
          <w:lang w:val="vi-VN" w:eastAsia="ja-JP"/>
        </w:rPr>
        <w:t>µ</w:t>
      </w:r>
      <w:r w:rsidRPr="005E6B7C">
        <w:rPr>
          <w:rFonts w:asciiTheme="majorHAnsi" w:eastAsia="Times New Roman" w:hAnsiTheme="majorHAnsi" w:cstheme="majorHAnsi"/>
          <w:bCs/>
          <w:color w:val="000000" w:themeColor="text1"/>
          <w:sz w:val="22"/>
          <w:szCs w:val="22"/>
          <w:lang w:val="vi-VN" w:eastAsia="ja-JP"/>
        </w:rPr>
        <w:t>m)</w:t>
      </w:r>
      <w:r w:rsidRPr="005E6B7C">
        <w:rPr>
          <w:rFonts w:asciiTheme="majorHAnsi" w:eastAsia="Times New Roman" w:hAnsiTheme="majorHAnsi" w:cstheme="majorHAnsi"/>
          <w:color w:val="000000" w:themeColor="text1"/>
          <w:sz w:val="22"/>
          <w:szCs w:val="22"/>
          <w:lang w:val="vi-VN" w:eastAsia="ja-JP"/>
        </w:rPr>
        <w:t xml:space="preserve">; </w:t>
      </w:r>
      <w:r w:rsidR="00DC0259" w:rsidRPr="005E6B7C">
        <w:rPr>
          <w:rFonts w:asciiTheme="majorHAnsi" w:eastAsia="Times New Roman" w:hAnsiTheme="majorHAnsi" w:cstheme="majorHAnsi"/>
          <w:bCs/>
          <w:color w:val="000000" w:themeColor="text1"/>
          <w:sz w:val="22"/>
          <w:szCs w:val="22"/>
          <w:lang w:val="vi-VN" w:eastAsia="ja-JP"/>
        </w:rPr>
        <w:t xml:space="preserve">UV–Vis </w:t>
      </w:r>
      <w:r w:rsidRPr="005E6B7C">
        <w:rPr>
          <w:rFonts w:asciiTheme="majorHAnsi" w:eastAsia="Times New Roman" w:hAnsiTheme="majorHAnsi" w:cstheme="majorHAnsi"/>
          <w:color w:val="000000" w:themeColor="text1"/>
          <w:sz w:val="22"/>
          <w:szCs w:val="22"/>
          <w:lang w:val="vi-VN" w:eastAsia="ja-JP"/>
        </w:rPr>
        <w:t>Spectrophotometer (</w:t>
      </w:r>
      <w:r w:rsidRPr="005E6B7C">
        <w:rPr>
          <w:rFonts w:asciiTheme="majorHAnsi" w:eastAsia="Times New Roman" w:hAnsiTheme="majorHAnsi" w:cstheme="majorHAnsi"/>
          <w:bCs/>
          <w:color w:val="000000" w:themeColor="text1"/>
          <w:sz w:val="22"/>
          <w:szCs w:val="22"/>
          <w:lang w:val="vi-VN" w:eastAsia="ja-JP"/>
        </w:rPr>
        <w:t>UV</w:t>
      </w:r>
      <w:r w:rsidRPr="005E6B7C">
        <w:rPr>
          <w:rFonts w:asciiTheme="majorHAnsi" w:eastAsia="Times New Roman" w:hAnsiTheme="majorHAnsi" w:cstheme="majorHAnsi"/>
          <w:color w:val="000000" w:themeColor="text1"/>
          <w:sz w:val="22"/>
          <w:szCs w:val="22"/>
          <w:lang w:val="vi-VN" w:eastAsia="ja-JP"/>
        </w:rPr>
        <w:t>-</w:t>
      </w:r>
      <w:r w:rsidRPr="005E6B7C">
        <w:rPr>
          <w:rFonts w:asciiTheme="majorHAnsi" w:eastAsia="Times New Roman" w:hAnsiTheme="majorHAnsi" w:cstheme="majorHAnsi"/>
          <w:bCs/>
          <w:color w:val="000000" w:themeColor="text1"/>
          <w:sz w:val="22"/>
          <w:szCs w:val="22"/>
          <w:lang w:val="vi-VN" w:eastAsia="ja-JP"/>
        </w:rPr>
        <w:t>1800</w:t>
      </w:r>
      <w:r w:rsidRPr="005E6B7C">
        <w:rPr>
          <w:rFonts w:asciiTheme="majorHAnsi" w:eastAsia="Times New Roman" w:hAnsiTheme="majorHAnsi" w:cstheme="majorHAnsi"/>
          <w:color w:val="000000" w:themeColor="text1"/>
          <w:sz w:val="22"/>
          <w:szCs w:val="22"/>
          <w:lang w:val="vi-VN" w:eastAsia="ja-JP"/>
        </w:rPr>
        <w:t xml:space="preserve">) system (Shimadzu, Japan), </w:t>
      </w:r>
      <w:r w:rsidRPr="005E6B7C">
        <w:rPr>
          <w:rFonts w:asciiTheme="majorHAnsi" w:eastAsia="Times New Roman" w:hAnsiTheme="majorHAnsi" w:cstheme="majorHAnsi"/>
          <w:bCs/>
          <w:color w:val="000000" w:themeColor="text1"/>
          <w:sz w:val="22"/>
          <w:szCs w:val="22"/>
          <w:lang w:val="vi-VN" w:eastAsia="ja-JP"/>
        </w:rPr>
        <w:t>Steam distillation apparatus</w:t>
      </w:r>
      <w:r w:rsidRPr="005E6B7C">
        <w:rPr>
          <w:rFonts w:asciiTheme="majorHAnsi" w:eastAsia="Times New Roman" w:hAnsiTheme="majorHAnsi" w:cstheme="majorHAnsi"/>
          <w:color w:val="000000" w:themeColor="text1"/>
          <w:sz w:val="22"/>
          <w:szCs w:val="22"/>
          <w:lang w:val="vi-VN" w:eastAsia="ja-JP"/>
        </w:rPr>
        <w:t xml:space="preserve"> (Behr – Germany), and some other laboratory glassware.</w:t>
      </w:r>
    </w:p>
    <w:p w14:paraId="0BC3B7DA" w14:textId="77777777" w:rsidR="00E049CB" w:rsidRPr="005E6B7C" w:rsidRDefault="00E049CB" w:rsidP="008C0D47">
      <w:pPr>
        <w:tabs>
          <w:tab w:val="left" w:pos="270"/>
          <w:tab w:val="left" w:pos="540"/>
          <w:tab w:val="left" w:pos="9270"/>
        </w:tabs>
        <w:spacing w:line="244" w:lineRule="exact"/>
        <w:ind w:right="-23" w:firstLine="284"/>
        <w:jc w:val="both"/>
        <w:outlineLvl w:val="1"/>
        <w:rPr>
          <w:rFonts w:asciiTheme="majorHAnsi" w:eastAsia="Times New Roman" w:hAnsiTheme="majorHAnsi" w:cstheme="majorHAnsi"/>
          <w:b/>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lang w:eastAsia="ja-JP"/>
        </w:rPr>
        <w:t>2.4. Methods</w:t>
      </w:r>
    </w:p>
    <w:p w14:paraId="6E70CDE8" w14:textId="77777777" w:rsidR="00E049CB" w:rsidRPr="005E6B7C" w:rsidRDefault="00E049CB" w:rsidP="008C0D47">
      <w:pPr>
        <w:tabs>
          <w:tab w:val="left" w:pos="270"/>
          <w:tab w:val="left" w:pos="540"/>
          <w:tab w:val="left" w:pos="9270"/>
        </w:tabs>
        <w:spacing w:line="244" w:lineRule="exact"/>
        <w:ind w:right="-23" w:firstLine="284"/>
        <w:jc w:val="both"/>
        <w:outlineLvl w:val="2"/>
        <w:rPr>
          <w:rFonts w:asciiTheme="majorHAnsi" w:eastAsia="Times New Roman" w:hAnsiTheme="majorHAnsi" w:cstheme="majorHAnsi"/>
          <w:b/>
          <w:bCs/>
          <w:i/>
          <w:iCs/>
          <w:color w:val="000000" w:themeColor="text1"/>
          <w:sz w:val="22"/>
          <w:szCs w:val="22"/>
          <w:lang w:eastAsia="ja-JP"/>
        </w:rPr>
      </w:pPr>
      <w:r w:rsidRPr="005E6B7C">
        <w:rPr>
          <w:rFonts w:asciiTheme="majorHAnsi" w:eastAsia="Times New Roman" w:hAnsiTheme="majorHAnsi" w:cstheme="majorHAnsi"/>
          <w:iCs/>
          <w:color w:val="000000" w:themeColor="text1"/>
          <w:sz w:val="22"/>
          <w:szCs w:val="22"/>
          <w:lang w:eastAsia="ja-JP"/>
        </w:rPr>
        <w:t>2.4.1</w:t>
      </w:r>
      <w:r w:rsidR="005D308C" w:rsidRPr="005E6B7C">
        <w:rPr>
          <w:rFonts w:asciiTheme="majorHAnsi" w:eastAsia="Times New Roman" w:hAnsiTheme="majorHAnsi" w:cstheme="majorHAnsi"/>
          <w:b/>
          <w:bCs/>
          <w:iCs/>
          <w:color w:val="000000" w:themeColor="text1"/>
          <w:sz w:val="22"/>
          <w:szCs w:val="22"/>
          <w:lang w:eastAsia="ja-JP"/>
        </w:rPr>
        <w:t>.</w:t>
      </w:r>
      <w:r w:rsidRPr="005E6B7C">
        <w:rPr>
          <w:rFonts w:asciiTheme="majorHAnsi" w:eastAsia="Times New Roman" w:hAnsiTheme="majorHAnsi" w:cstheme="majorHAnsi"/>
          <w:b/>
          <w:bCs/>
          <w:iCs/>
          <w:color w:val="000000" w:themeColor="text1"/>
          <w:sz w:val="22"/>
          <w:szCs w:val="22"/>
          <w:lang w:eastAsia="ja-JP"/>
        </w:rPr>
        <w:t xml:space="preserve"> </w:t>
      </w:r>
      <w:r w:rsidRPr="005E6B7C">
        <w:rPr>
          <w:rFonts w:asciiTheme="majorHAnsi" w:eastAsia="Times New Roman" w:hAnsiTheme="majorHAnsi" w:cstheme="majorHAnsi"/>
          <w:iCs/>
          <w:color w:val="000000" w:themeColor="text1"/>
          <w:sz w:val="22"/>
          <w:szCs w:val="22"/>
          <w:shd w:val="clear" w:color="auto" w:fill="FFFFFF"/>
          <w:lang w:eastAsia="ja-JP"/>
        </w:rPr>
        <w:t>Determination of total polyphenol content in </w:t>
      </w:r>
      <w:r w:rsidRPr="005E6B7C">
        <w:rPr>
          <w:rFonts w:asciiTheme="majorHAnsi" w:eastAsia="Times New Roman" w:hAnsiTheme="majorHAnsi" w:cstheme="majorHAnsi"/>
          <w:i/>
          <w:color w:val="000000" w:themeColor="text1"/>
          <w:sz w:val="22"/>
          <w:szCs w:val="22"/>
          <w:shd w:val="clear" w:color="auto" w:fill="FFFFFF"/>
          <w:lang w:eastAsia="ja-JP"/>
        </w:rPr>
        <w:t>Homalomena occulta</w:t>
      </w:r>
      <w:r w:rsidRPr="005E6B7C">
        <w:rPr>
          <w:rFonts w:asciiTheme="majorHAnsi" w:eastAsia="Times New Roman" w:hAnsiTheme="majorHAnsi" w:cstheme="majorHAnsi"/>
          <w:b/>
          <w:bCs/>
          <w:iCs/>
          <w:color w:val="000000" w:themeColor="text1"/>
          <w:sz w:val="22"/>
          <w:szCs w:val="22"/>
          <w:shd w:val="clear" w:color="auto" w:fill="FFFFFF"/>
          <w:lang w:eastAsia="ja-JP"/>
        </w:rPr>
        <w:t>:</w:t>
      </w:r>
    </w:p>
    <w:p w14:paraId="78982175" w14:textId="77777777" w:rsidR="00E049CB" w:rsidRPr="005E6B7C" w:rsidRDefault="00E049CB" w:rsidP="008C0D47">
      <w:pPr>
        <w:tabs>
          <w:tab w:val="left" w:pos="270"/>
          <w:tab w:val="left" w:pos="540"/>
          <w:tab w:val="left" w:pos="9270"/>
        </w:tabs>
        <w:spacing w:line="244"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The total polyphenol content was determined by UV-VIS spectrophotometry using the Folin</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Ciocalteu method (according to Method 2 of Appendix 12.6 of the Vietnamese Pharmacopoeia V</w:t>
      </w:r>
      <w:r w:rsidRPr="005E6B7C">
        <w:rPr>
          <w:rFonts w:asciiTheme="majorHAnsi" w:eastAsia="Yu Mincho" w:hAnsiTheme="majorHAnsi" w:cstheme="majorHAnsi"/>
          <w:color w:val="000000" w:themeColor="text1"/>
          <w:sz w:val="22"/>
          <w:szCs w:val="22"/>
          <w:lang w:eastAsia="ja-JP"/>
        </w:rPr>
        <w:t>) [9].</w:t>
      </w:r>
    </w:p>
    <w:p w14:paraId="7F488028"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lang w:val="vi-VN" w:eastAsia="ja-JP"/>
        </w:rPr>
        <w:t xml:space="preserve">Sample extract: </w:t>
      </w:r>
      <w:r w:rsidRPr="005E6B7C">
        <w:rPr>
          <w:rFonts w:asciiTheme="majorHAnsi" w:eastAsia="Yu Mincho" w:hAnsiTheme="majorHAnsi" w:cstheme="majorHAnsi"/>
          <w:color w:val="000000" w:themeColor="text1"/>
          <w:sz w:val="22"/>
          <w:szCs w:val="22"/>
          <w:shd w:val="clear" w:color="auto" w:fill="FFFFFF"/>
          <w:lang w:eastAsia="ja-JP"/>
        </w:rPr>
        <w:t xml:space="preserve">Weigh accurately about 2 g of powdered sample and place it in a 100-mL conical flask, then add 20 mL of methanol. The mixture was sonicated for 30 minutes, cooled, and filtered. The extraction process was repeated with 10 mL of methanol. All extracts were collected, filtered into a 25-mL volumetric flask, and made up to mark with methanol. </w:t>
      </w:r>
    </w:p>
    <w:p w14:paraId="1B698C13" w14:textId="137C1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UV-VIS procedure: </w:t>
      </w:r>
      <w:r w:rsidRPr="005E6B7C">
        <w:rPr>
          <w:rFonts w:asciiTheme="majorHAnsi" w:eastAsia="Yu Mincho" w:hAnsiTheme="majorHAnsi" w:cstheme="majorHAnsi"/>
          <w:color w:val="000000" w:themeColor="text1"/>
          <w:sz w:val="22"/>
          <w:szCs w:val="22"/>
          <w:lang w:eastAsia="ja-JP"/>
        </w:rPr>
        <w:t xml:space="preserve">Briefly, 0.25 mL of each </w:t>
      </w:r>
      <w:r w:rsidRPr="005E6B7C">
        <w:rPr>
          <w:rFonts w:asciiTheme="majorHAnsi" w:eastAsia="Yu Mincho" w:hAnsiTheme="majorHAnsi" w:cstheme="majorHAnsi"/>
          <w:color w:val="000000" w:themeColor="text1"/>
          <w:spacing w:val="2"/>
          <w:sz w:val="22"/>
          <w:szCs w:val="22"/>
          <w:lang w:eastAsia="ja-JP"/>
        </w:rPr>
        <w:t>sample extract was mixed with 1.25 mL of Folin-</w:t>
      </w:r>
      <w:r w:rsidRPr="005E6B7C">
        <w:rPr>
          <w:rFonts w:asciiTheme="majorHAnsi" w:eastAsia="Yu Mincho" w:hAnsiTheme="majorHAnsi" w:cstheme="majorHAnsi"/>
          <w:color w:val="000000" w:themeColor="text1"/>
          <w:spacing w:val="2"/>
          <w:sz w:val="22"/>
          <w:szCs w:val="22"/>
          <w:lang w:eastAsia="ja-JP"/>
        </w:rPr>
        <w:t xml:space="preserve">Ciocalteu reagent. After 5 min of incubation, 1 mL of 7.5% </w:t>
      </w:r>
      <w:r w:rsidR="00DC0259" w:rsidRPr="005E6B7C">
        <w:rPr>
          <w:rFonts w:asciiTheme="majorHAnsi" w:eastAsia="Yu Mincho" w:hAnsiTheme="majorHAnsi" w:cstheme="majorHAnsi"/>
          <w:color w:val="000000" w:themeColor="text1"/>
          <w:spacing w:val="2"/>
          <w:sz w:val="22"/>
          <w:szCs w:val="22"/>
          <w:lang w:eastAsia="ja-JP"/>
        </w:rPr>
        <w:t>s</w:t>
      </w:r>
      <w:r w:rsidRPr="005E6B7C">
        <w:rPr>
          <w:rFonts w:asciiTheme="majorHAnsi" w:eastAsia="Yu Mincho" w:hAnsiTheme="majorHAnsi" w:cstheme="majorHAnsi"/>
          <w:color w:val="000000" w:themeColor="text1"/>
          <w:spacing w:val="2"/>
          <w:sz w:val="22"/>
          <w:szCs w:val="22"/>
          <w:lang w:eastAsia="ja-JP"/>
        </w:rPr>
        <w:t xml:space="preserve">odium carbonate was added to the mixture and homogenously using a vortex mixer and diluted with distilled water to a final volume of 5 mL. After </w:t>
      </w:r>
      <w:r w:rsidR="00DC0259" w:rsidRPr="005E6B7C">
        <w:rPr>
          <w:rFonts w:asciiTheme="majorHAnsi" w:eastAsia="Yu Mincho" w:hAnsiTheme="majorHAnsi" w:cstheme="majorHAnsi"/>
          <w:color w:val="000000" w:themeColor="text1"/>
          <w:spacing w:val="2"/>
          <w:sz w:val="22"/>
          <w:szCs w:val="22"/>
          <w:lang w:eastAsia="ja-JP"/>
        </w:rPr>
        <w:t>1</w:t>
      </w:r>
      <w:r w:rsidR="00DC0259" w:rsidRPr="005E6B7C">
        <w:rPr>
          <w:rFonts w:asciiTheme="majorHAnsi" w:eastAsia="Yu Mincho" w:hAnsiTheme="majorHAnsi" w:cstheme="majorHAnsi"/>
          <w:color w:val="000000" w:themeColor="text1"/>
          <w:spacing w:val="2"/>
          <w:sz w:val="22"/>
          <w:szCs w:val="22"/>
          <w:lang w:val="vi-VN" w:eastAsia="ja-JP"/>
        </w:rPr>
        <w:t xml:space="preserve"> h </w:t>
      </w:r>
      <w:r w:rsidRPr="005E6B7C">
        <w:rPr>
          <w:rFonts w:asciiTheme="majorHAnsi" w:eastAsia="Yu Mincho" w:hAnsiTheme="majorHAnsi" w:cstheme="majorHAnsi"/>
          <w:color w:val="000000" w:themeColor="text1"/>
          <w:spacing w:val="2"/>
          <w:sz w:val="22"/>
          <w:szCs w:val="22"/>
          <w:lang w:eastAsia="ja-JP"/>
        </w:rPr>
        <w:t xml:space="preserve">of incubation, the absorbance of each solution was measured at 760 nm using a double-beam UV-Vis spectrophotometer. Gallic acid was used to plot the calibration curve using different concentrations (0.137-1.096 mg/mL) to determine the total polyphenol content of each sample extract. Total phenolic content was expressed as milligrams of gallic acid equivalent per gram (mg GAE/g DW) of the extract by </w:t>
      </w:r>
      <w:r w:rsidR="00DC0259" w:rsidRPr="005E6B7C">
        <w:rPr>
          <w:rFonts w:asciiTheme="majorHAnsi" w:eastAsia="Yu Mincho" w:hAnsiTheme="majorHAnsi" w:cstheme="majorHAnsi"/>
          <w:color w:val="000000" w:themeColor="text1"/>
          <w:spacing w:val="2"/>
          <w:sz w:val="22"/>
          <w:szCs w:val="22"/>
          <w:lang w:eastAsia="ja-JP"/>
        </w:rPr>
        <w:t>using a standard calibration curve</w:t>
      </w:r>
      <w:r w:rsidRPr="005E6B7C">
        <w:rPr>
          <w:rFonts w:asciiTheme="majorHAnsi" w:eastAsia="Yu Mincho" w:hAnsiTheme="majorHAnsi" w:cstheme="majorHAnsi"/>
          <w:color w:val="000000" w:themeColor="text1"/>
          <w:spacing w:val="2"/>
          <w:sz w:val="22"/>
          <w:szCs w:val="22"/>
          <w:lang w:eastAsia="ja-JP"/>
        </w:rPr>
        <w:t>. All values were estimated in triplicate using the following formula:</w:t>
      </w:r>
      <w:r w:rsidRPr="005E6B7C">
        <w:rPr>
          <w:rFonts w:asciiTheme="majorHAnsi" w:eastAsia="Yu Mincho" w:hAnsiTheme="majorHAnsi" w:cstheme="majorHAnsi"/>
          <w:color w:val="000000" w:themeColor="text1"/>
          <w:sz w:val="22"/>
          <w:szCs w:val="22"/>
          <w:lang w:eastAsia="ja-JP"/>
        </w:rPr>
        <w:t xml:space="preserve">  </w:t>
      </w:r>
    </w:p>
    <w:p w14:paraId="3B2F6D06"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 = C.V/m </w:t>
      </w:r>
    </w:p>
    <w:p w14:paraId="25765AE5"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color w:val="000000" w:themeColor="text1"/>
          <w:spacing w:val="4"/>
          <w:sz w:val="22"/>
          <w:szCs w:val="22"/>
          <w:lang w:eastAsia="ja-JP"/>
        </w:rPr>
        <w:t>Where P is the total phenolic content (mg/g plant extract, in GAE), C is the concentration of gallic acid (mg/mL), V is the volume of extract (mL), and m is the weight of pure plant extract (g).</w:t>
      </w:r>
    </w:p>
    <w:p w14:paraId="4889C341" w14:textId="77777777" w:rsidR="00E049CB" w:rsidRPr="005E6B7C" w:rsidRDefault="00E049CB" w:rsidP="008C0D47">
      <w:pPr>
        <w:tabs>
          <w:tab w:val="left" w:pos="270"/>
          <w:tab w:val="left" w:pos="540"/>
          <w:tab w:val="left" w:pos="9270"/>
        </w:tabs>
        <w:spacing w:line="244" w:lineRule="exact"/>
        <w:ind w:right="-23"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Cs/>
          <w:color w:val="000000" w:themeColor="text1"/>
          <w:sz w:val="22"/>
          <w:szCs w:val="22"/>
          <w:lang w:eastAsia="ja-JP"/>
        </w:rPr>
        <w:t>2.4.2</w:t>
      </w:r>
      <w:r w:rsidR="005D308C" w:rsidRPr="005E6B7C">
        <w:rPr>
          <w:rFonts w:asciiTheme="majorHAnsi" w:eastAsia="Times New Roman" w:hAnsiTheme="majorHAnsi" w:cstheme="majorHAnsi"/>
          <w:iCs/>
          <w:color w:val="000000" w:themeColor="text1"/>
          <w:sz w:val="22"/>
          <w:szCs w:val="22"/>
          <w:lang w:eastAsia="ja-JP"/>
        </w:rPr>
        <w:t>.</w:t>
      </w:r>
      <w:r w:rsidRPr="005E6B7C">
        <w:rPr>
          <w:rFonts w:asciiTheme="majorHAnsi" w:eastAsia="Times New Roman" w:hAnsiTheme="majorHAnsi" w:cstheme="majorHAnsi"/>
          <w:iCs/>
          <w:color w:val="000000" w:themeColor="text1"/>
          <w:sz w:val="22"/>
          <w:szCs w:val="22"/>
          <w:lang w:eastAsia="ja-JP"/>
        </w:rPr>
        <w:t xml:space="preserve"> </w:t>
      </w:r>
      <w:r w:rsidRPr="005E6B7C">
        <w:rPr>
          <w:rFonts w:asciiTheme="majorHAnsi" w:eastAsia="Times New Roman" w:hAnsiTheme="majorHAnsi" w:cstheme="majorHAnsi"/>
          <w:iCs/>
          <w:color w:val="000000" w:themeColor="text1"/>
          <w:sz w:val="22"/>
          <w:szCs w:val="22"/>
          <w:shd w:val="clear" w:color="auto" w:fill="FFFFFF"/>
          <w:lang w:eastAsia="ja-JP"/>
        </w:rPr>
        <w:t xml:space="preserve">Determination of total essential oil content in the </w:t>
      </w:r>
      <w:r w:rsidRPr="005E6B7C">
        <w:rPr>
          <w:rFonts w:asciiTheme="majorHAnsi" w:eastAsia="Times New Roman" w:hAnsiTheme="majorHAnsi" w:cstheme="majorHAnsi"/>
          <w:iCs/>
          <w:color w:val="000000" w:themeColor="text1"/>
          <w:sz w:val="22"/>
          <w:szCs w:val="22"/>
          <w:lang w:eastAsia="ja-JP"/>
        </w:rPr>
        <w:t xml:space="preserve">rhizome of </w:t>
      </w:r>
      <w:r w:rsidRPr="005E6B7C">
        <w:rPr>
          <w:rFonts w:asciiTheme="majorHAnsi" w:eastAsia="Times New Roman" w:hAnsiTheme="majorHAnsi" w:cstheme="majorHAnsi"/>
          <w:i/>
          <w:color w:val="000000" w:themeColor="text1"/>
          <w:sz w:val="22"/>
          <w:szCs w:val="22"/>
          <w:shd w:val="clear" w:color="auto" w:fill="FFFFFF"/>
          <w:lang w:eastAsia="ja-JP"/>
        </w:rPr>
        <w:t>H. occulta</w:t>
      </w:r>
      <w:r w:rsidRPr="005E6B7C">
        <w:rPr>
          <w:rFonts w:asciiTheme="majorHAnsi" w:eastAsia="Times New Roman" w:hAnsiTheme="majorHAnsi" w:cstheme="majorHAnsi"/>
          <w:iCs/>
          <w:color w:val="000000" w:themeColor="text1"/>
          <w:sz w:val="22"/>
          <w:szCs w:val="22"/>
          <w:shd w:val="clear" w:color="auto" w:fill="FFFFFF"/>
          <w:lang w:eastAsia="ja-JP"/>
        </w:rPr>
        <w:t>:</w:t>
      </w:r>
    </w:p>
    <w:p w14:paraId="68147A10"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shd w:val="clear" w:color="auto" w:fill="FFFFFF"/>
          <w:lang w:eastAsia="ja-JP"/>
        </w:rPr>
        <w:t>The rhizomes of the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plant were cleaned, cut, and ground into coarse powder. The essential oil content in the medicinal plant was determined according to the Vietnamese Pharmacopoeia V, Appendix 12.7, “Determination of essential oil in medicinal plants” [9]. </w:t>
      </w:r>
    </w:p>
    <w:p w14:paraId="749BB5C4" w14:textId="77777777" w:rsidR="00E049CB" w:rsidRPr="005E6B7C" w:rsidRDefault="00E049CB" w:rsidP="008C0D47">
      <w:pPr>
        <w:tabs>
          <w:tab w:val="left" w:pos="270"/>
          <w:tab w:val="left" w:pos="540"/>
          <w:tab w:val="left" w:pos="720"/>
          <w:tab w:val="left" w:pos="3228"/>
          <w:tab w:val="left" w:pos="9270"/>
        </w:tabs>
        <w:spacing w:line="244" w:lineRule="exact"/>
        <w:ind w:right="-23" w:firstLine="284"/>
        <w:jc w:val="both"/>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Cs/>
          <w:color w:val="000000" w:themeColor="text1"/>
          <w:sz w:val="22"/>
          <w:szCs w:val="22"/>
          <w:lang w:eastAsia="ja-JP"/>
        </w:rPr>
        <w:t>2.4.3. Analysis of essential oil composition by gas chromatography-mass spectrometry (GC/MS):</w:t>
      </w:r>
    </w:p>
    <w:p w14:paraId="14990702" w14:textId="77777777" w:rsidR="00E049CB" w:rsidRPr="005E6B7C" w:rsidRDefault="00E049CB" w:rsidP="008C0D47">
      <w:pPr>
        <w:tabs>
          <w:tab w:val="left" w:pos="270"/>
          <w:tab w:val="left" w:pos="540"/>
          <w:tab w:val="left" w:pos="9270"/>
        </w:tabs>
        <w:spacing w:line="240" w:lineRule="exact"/>
        <w:ind w:right="-23" w:firstLine="284"/>
        <w:jc w:val="both"/>
        <w:outlineLvl w:val="3"/>
        <w:rPr>
          <w:rFonts w:asciiTheme="majorHAnsi" w:eastAsia="Times New Roman" w:hAnsiTheme="majorHAnsi" w:cstheme="majorHAnsi"/>
          <w:bCs/>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val="vi-VN" w:eastAsia="ja-JP"/>
        </w:rPr>
        <w:t xml:space="preserve">Sample </w:t>
      </w:r>
      <w:r w:rsidRPr="005E6B7C">
        <w:rPr>
          <w:rFonts w:asciiTheme="majorHAnsi" w:eastAsia="Times New Roman" w:hAnsiTheme="majorHAnsi" w:cstheme="majorHAnsi"/>
          <w:bCs/>
          <w:color w:val="000000" w:themeColor="text1"/>
          <w:sz w:val="22"/>
          <w:szCs w:val="22"/>
          <w:lang w:eastAsia="ja-JP"/>
        </w:rPr>
        <w:t>solution</w:t>
      </w:r>
      <w:r w:rsidRPr="005E6B7C">
        <w:rPr>
          <w:rFonts w:asciiTheme="majorHAnsi" w:eastAsia="Times New Roman" w:hAnsiTheme="majorHAnsi" w:cstheme="majorHAnsi"/>
          <w:color w:val="000000" w:themeColor="text1"/>
          <w:sz w:val="22"/>
          <w:szCs w:val="22"/>
          <w:lang w:eastAsia="ja-JP"/>
        </w:rPr>
        <w:t xml:space="preserve">: </w:t>
      </w:r>
      <w:r w:rsidRPr="005E6B7C">
        <w:rPr>
          <w:rFonts w:asciiTheme="majorHAnsi" w:eastAsia="Times New Roman" w:hAnsiTheme="majorHAnsi" w:cstheme="majorHAnsi"/>
          <w:color w:val="000000" w:themeColor="text1"/>
          <w:sz w:val="22"/>
          <w:szCs w:val="22"/>
          <w:shd w:val="clear" w:color="auto" w:fill="FFFFFF"/>
          <w:lang w:eastAsia="ja-JP"/>
        </w:rPr>
        <w:t>The oil was dried with anhydrous Na</w:t>
      </w:r>
      <w:r w:rsidRPr="005E6B7C">
        <w:rPr>
          <w:rFonts w:asciiTheme="majorHAnsi" w:eastAsia="Times New Roman" w:hAnsiTheme="majorHAnsi" w:cstheme="majorHAnsi"/>
          <w:color w:val="000000" w:themeColor="text1"/>
          <w:sz w:val="22"/>
          <w:szCs w:val="22"/>
          <w:shd w:val="clear" w:color="auto" w:fill="FFFFFF"/>
          <w:vertAlign w:val="subscript"/>
          <w:lang w:eastAsia="ja-JP"/>
        </w:rPr>
        <w:t>2</w:t>
      </w:r>
      <w:r w:rsidRPr="005E6B7C">
        <w:rPr>
          <w:rFonts w:asciiTheme="majorHAnsi" w:eastAsia="Times New Roman" w:hAnsiTheme="majorHAnsi" w:cstheme="majorHAnsi"/>
          <w:color w:val="000000" w:themeColor="text1"/>
          <w:sz w:val="22"/>
          <w:szCs w:val="22"/>
          <w:shd w:val="clear" w:color="auto" w:fill="FFFFFF"/>
          <w:lang w:eastAsia="ja-JP"/>
        </w:rPr>
        <w:t>SO</w:t>
      </w:r>
      <w:r w:rsidRPr="005E6B7C">
        <w:rPr>
          <w:rFonts w:asciiTheme="majorHAnsi" w:eastAsia="Times New Roman" w:hAnsiTheme="majorHAnsi" w:cstheme="majorHAnsi"/>
          <w:color w:val="000000" w:themeColor="text1"/>
          <w:sz w:val="22"/>
          <w:szCs w:val="22"/>
          <w:shd w:val="clear" w:color="auto" w:fill="FFFFFF"/>
          <w:vertAlign w:val="subscript"/>
          <w:lang w:eastAsia="ja-JP"/>
        </w:rPr>
        <w:t>4</w:t>
      </w:r>
      <w:r w:rsidRPr="005E6B7C">
        <w:rPr>
          <w:rFonts w:asciiTheme="majorHAnsi" w:eastAsia="Times New Roman" w:hAnsiTheme="majorHAnsi" w:cstheme="majorHAnsi"/>
          <w:color w:val="000000" w:themeColor="text1"/>
          <w:sz w:val="22"/>
          <w:szCs w:val="22"/>
          <w:shd w:val="clear" w:color="auto" w:fill="FFFFFF"/>
          <w:lang w:eastAsia="ja-JP"/>
        </w:rPr>
        <w:t xml:space="preserve">, then diluted with </w:t>
      </w:r>
      <w:r w:rsidRPr="005E6B7C">
        <w:rPr>
          <w:rFonts w:asciiTheme="majorHAnsi" w:eastAsia="Times New Roman" w:hAnsiTheme="majorHAnsi" w:cstheme="majorHAnsi"/>
          <w:i/>
          <w:color w:val="000000" w:themeColor="text1"/>
          <w:sz w:val="22"/>
          <w:szCs w:val="22"/>
          <w:shd w:val="clear" w:color="auto" w:fill="FFFFFF"/>
          <w:lang w:eastAsia="ja-JP"/>
        </w:rPr>
        <w:t>n</w:t>
      </w:r>
      <w:r w:rsidRPr="005E6B7C">
        <w:rPr>
          <w:rFonts w:asciiTheme="majorHAnsi" w:eastAsia="Times New Roman" w:hAnsiTheme="majorHAnsi" w:cstheme="majorHAnsi"/>
          <w:color w:val="000000" w:themeColor="text1"/>
          <w:sz w:val="22"/>
          <w:szCs w:val="22"/>
          <w:shd w:val="clear" w:color="auto" w:fill="FFFFFF"/>
          <w:lang w:eastAsia="ja-JP"/>
        </w:rPr>
        <w:t>-hexane to obtain a 1% (v/v) sample solution for GC/MS analysis.</w:t>
      </w:r>
    </w:p>
    <w:p w14:paraId="4DAE934B" w14:textId="1388256E" w:rsidR="00E049CB" w:rsidRPr="005E6B7C" w:rsidRDefault="00E049CB" w:rsidP="008C0D47">
      <w:pPr>
        <w:tabs>
          <w:tab w:val="left" w:pos="270"/>
          <w:tab w:val="left" w:pos="540"/>
          <w:tab w:val="left" w:pos="9270"/>
        </w:tabs>
        <w:spacing w:line="240" w:lineRule="exact"/>
        <w:ind w:right="-23" w:firstLine="284"/>
        <w:jc w:val="both"/>
        <w:outlineLvl w:val="3"/>
        <w:rPr>
          <w:rFonts w:asciiTheme="majorHAnsi" w:eastAsia="Times New Roman" w:hAnsiTheme="majorHAnsi" w:cstheme="majorHAnsi"/>
          <w:i/>
          <w:iCs/>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eastAsia="ja-JP"/>
        </w:rPr>
        <w:t>GC/MS analysis was performed on a GCMS-</w:t>
      </w:r>
      <w:r w:rsidRPr="005E6B7C">
        <w:rPr>
          <w:rFonts w:asciiTheme="majorHAnsi" w:eastAsia="Times New Roman" w:hAnsiTheme="majorHAnsi" w:cstheme="majorHAnsi"/>
          <w:bCs/>
          <w:color w:val="000000" w:themeColor="text1"/>
          <w:sz w:val="22"/>
          <w:szCs w:val="22"/>
          <w:lang w:eastAsia="ja-JP"/>
        </w:rPr>
        <w:lastRenderedPageBreak/>
        <w:t xml:space="preserve">QP2020 system with a SH-Rxi-5Sil MS capillary column (30 m x 0.25 mm x 0.25 </w:t>
      </w:r>
      <w:r w:rsidR="00266B26" w:rsidRPr="005E6B7C">
        <w:rPr>
          <w:rFonts w:asciiTheme="majorHAnsi" w:eastAsia="Times New Roman" w:hAnsiTheme="majorHAnsi" w:cstheme="majorHAnsi"/>
          <w:bCs/>
          <w:i/>
          <w:iCs/>
          <w:color w:val="000000" w:themeColor="text1"/>
          <w:sz w:val="22"/>
          <w:szCs w:val="22"/>
          <w:lang w:eastAsia="ja-JP"/>
        </w:rPr>
        <w:t>µ</w:t>
      </w:r>
      <w:r w:rsidRPr="005E6B7C">
        <w:rPr>
          <w:rFonts w:asciiTheme="majorHAnsi" w:eastAsia="Times New Roman" w:hAnsiTheme="majorHAnsi" w:cstheme="majorHAnsi"/>
          <w:bCs/>
          <w:color w:val="000000" w:themeColor="text1"/>
          <w:sz w:val="22"/>
          <w:szCs w:val="22"/>
          <w:lang w:eastAsia="ja-JP"/>
        </w:rPr>
        <w:t xml:space="preserve">m), temperature programmed as follows: 60°C (held for 2 minutes), 60°C−120°C (at 10°C/min), 120°C−240°C (at 5°C/min) and 240°C (held for 5 minutes). The carrier gas was helium at a flow of 2.0 mL/min. Injection volume was 1 </w:t>
      </w:r>
      <w:r w:rsidR="00266B26" w:rsidRPr="005E6B7C">
        <w:rPr>
          <w:rFonts w:asciiTheme="majorHAnsi" w:eastAsia="Times New Roman" w:hAnsiTheme="majorHAnsi" w:cstheme="majorHAnsi"/>
          <w:bCs/>
          <w:i/>
          <w:iCs/>
          <w:color w:val="000000" w:themeColor="text1"/>
          <w:sz w:val="22"/>
          <w:szCs w:val="22"/>
          <w:lang w:eastAsia="ja-JP"/>
        </w:rPr>
        <w:t>µ</w:t>
      </w:r>
      <w:r w:rsidRPr="005E6B7C">
        <w:rPr>
          <w:rFonts w:asciiTheme="majorHAnsi" w:eastAsia="Times New Roman" w:hAnsiTheme="majorHAnsi" w:cstheme="majorHAnsi"/>
          <w:bCs/>
          <w:color w:val="000000" w:themeColor="text1"/>
          <w:sz w:val="22"/>
          <w:szCs w:val="22"/>
          <w:lang w:eastAsia="ja-JP"/>
        </w:rPr>
        <w:t xml:space="preserve">L, and the split ratio was 1:20. Mass spectra were taken at 70 eV. Scan mass range was from 50-900 </w:t>
      </w:r>
      <w:r w:rsidRPr="005E6B7C">
        <w:rPr>
          <w:rFonts w:asciiTheme="majorHAnsi" w:eastAsia="Times New Roman" w:hAnsiTheme="majorHAnsi" w:cstheme="majorHAnsi"/>
          <w:bCs/>
          <w:i/>
          <w:color w:val="000000" w:themeColor="text1"/>
          <w:sz w:val="22"/>
          <w:szCs w:val="22"/>
          <w:lang w:eastAsia="ja-JP"/>
        </w:rPr>
        <w:t>m</w:t>
      </w:r>
      <w:r w:rsidRPr="005E6B7C">
        <w:rPr>
          <w:rFonts w:asciiTheme="majorHAnsi" w:eastAsia="Times New Roman" w:hAnsiTheme="majorHAnsi" w:cstheme="majorHAnsi"/>
          <w:bCs/>
          <w:color w:val="000000" w:themeColor="text1"/>
          <w:sz w:val="22"/>
          <w:szCs w:val="22"/>
          <w:lang w:eastAsia="ja-JP"/>
        </w:rPr>
        <w:t>/</w:t>
      </w:r>
      <w:r w:rsidRPr="005E6B7C">
        <w:rPr>
          <w:rFonts w:asciiTheme="majorHAnsi" w:eastAsia="Times New Roman" w:hAnsiTheme="majorHAnsi" w:cstheme="majorHAnsi"/>
          <w:bCs/>
          <w:i/>
          <w:color w:val="000000" w:themeColor="text1"/>
          <w:sz w:val="22"/>
          <w:szCs w:val="22"/>
          <w:lang w:eastAsia="ja-JP"/>
        </w:rPr>
        <w:t>z</w:t>
      </w:r>
      <w:r w:rsidRPr="005E6B7C">
        <w:rPr>
          <w:rFonts w:asciiTheme="majorHAnsi" w:eastAsia="Times New Roman" w:hAnsiTheme="majorHAnsi" w:cstheme="majorHAnsi"/>
          <w:bCs/>
          <w:color w:val="000000" w:themeColor="text1"/>
          <w:sz w:val="22"/>
          <w:szCs w:val="22"/>
          <w:lang w:eastAsia="ja-JP"/>
        </w:rPr>
        <w:t xml:space="preserve"> at a sampling rate of 1.0 scan/s. The components of the oil were identified by their retention time, mass spectra, and computer matching with the NIST MS Version 2.2 library. The percentage composition of the identified compounds was calculated from the GC peak areas and expressed as relative percentages. The analysis of the essential oil is the average of three replicates </w:t>
      </w:r>
      <w:r w:rsidRPr="005E6B7C">
        <w:rPr>
          <w:rFonts w:asciiTheme="majorHAnsi" w:eastAsia="Times New Roman" w:hAnsiTheme="majorHAnsi" w:cstheme="majorHAnsi"/>
          <w:iCs/>
          <w:color w:val="000000" w:themeColor="text1"/>
          <w:sz w:val="22"/>
          <w:szCs w:val="22"/>
          <w:shd w:val="clear" w:color="auto" w:fill="FFFFFF"/>
          <w:lang w:eastAsia="ja-JP"/>
        </w:rPr>
        <w:t>[14],[15].</w:t>
      </w:r>
    </w:p>
    <w:p w14:paraId="3D558D99" w14:textId="77777777" w:rsidR="00E049CB" w:rsidRPr="005E6B7C" w:rsidRDefault="00E049CB" w:rsidP="008C0D47">
      <w:pPr>
        <w:tabs>
          <w:tab w:val="left" w:pos="270"/>
          <w:tab w:val="left" w:pos="540"/>
          <w:tab w:val="left" w:pos="9270"/>
        </w:tabs>
        <w:spacing w:line="240" w:lineRule="exact"/>
        <w:ind w:right="-23" w:firstLine="284"/>
        <w:jc w:val="both"/>
        <w:outlineLvl w:val="3"/>
        <w:rPr>
          <w:rFonts w:asciiTheme="majorHAnsi" w:eastAsia="Times New Roman" w:hAnsiTheme="majorHAnsi" w:cstheme="majorHAnsi"/>
          <w:b/>
          <w:iCs/>
          <w:color w:val="000000" w:themeColor="text1"/>
          <w:sz w:val="22"/>
          <w:szCs w:val="22"/>
          <w:lang w:eastAsia="ja-JP"/>
        </w:rPr>
      </w:pPr>
      <w:r w:rsidRPr="005E6B7C">
        <w:rPr>
          <w:rFonts w:asciiTheme="majorHAnsi" w:eastAsia="Times New Roman" w:hAnsiTheme="majorHAnsi" w:cstheme="majorHAnsi"/>
          <w:b/>
          <w:iCs/>
          <w:color w:val="000000" w:themeColor="text1"/>
          <w:sz w:val="22"/>
          <w:szCs w:val="22"/>
          <w:lang w:eastAsia="ja-JP"/>
        </w:rPr>
        <w:t>3. Results and Discussion</w:t>
      </w:r>
    </w:p>
    <w:p w14:paraId="1625E8E5" w14:textId="77777777" w:rsidR="00E049CB" w:rsidRPr="005E6B7C" w:rsidRDefault="00E049CB" w:rsidP="008C0D47">
      <w:pPr>
        <w:tabs>
          <w:tab w:val="left" w:pos="270"/>
          <w:tab w:val="left" w:pos="540"/>
          <w:tab w:val="left" w:pos="9270"/>
        </w:tabs>
        <w:spacing w:line="240" w:lineRule="exact"/>
        <w:ind w:right="-23" w:firstLine="284"/>
        <w:jc w:val="both"/>
        <w:outlineLvl w:val="1"/>
        <w:rPr>
          <w:rFonts w:asciiTheme="majorHAnsi" w:eastAsia="Times New Roman" w:hAnsiTheme="majorHAnsi" w:cstheme="majorHAnsi"/>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lang w:eastAsia="ja-JP"/>
        </w:rPr>
        <w:t xml:space="preserve">3.1. </w:t>
      </w:r>
      <w:r w:rsidRPr="005E6B7C">
        <w:rPr>
          <w:rFonts w:asciiTheme="majorHAnsi" w:eastAsia="Times New Roman" w:hAnsiTheme="majorHAnsi" w:cstheme="majorHAnsi"/>
          <w:bCs/>
          <w:i/>
          <w:iCs/>
          <w:color w:val="000000" w:themeColor="text1"/>
          <w:sz w:val="22"/>
          <w:szCs w:val="22"/>
          <w:shd w:val="clear" w:color="auto" w:fill="FFFFFF"/>
          <w:lang w:eastAsia="ja-JP"/>
        </w:rPr>
        <w:t xml:space="preserve">Determination of total polyphenol content in </w:t>
      </w:r>
      <w:r w:rsidRPr="005E6B7C">
        <w:rPr>
          <w:rFonts w:asciiTheme="majorHAnsi" w:eastAsia="Times New Roman" w:hAnsiTheme="majorHAnsi" w:cstheme="majorHAnsi"/>
          <w:bCs/>
          <w:i/>
          <w:color w:val="000000" w:themeColor="text1"/>
          <w:sz w:val="22"/>
          <w:szCs w:val="22"/>
          <w:shd w:val="clear" w:color="auto" w:fill="FFFFFF"/>
          <w:lang w:eastAsia="ja-JP"/>
        </w:rPr>
        <w:t xml:space="preserve">the </w:t>
      </w:r>
      <w:r w:rsidRPr="005E6B7C">
        <w:rPr>
          <w:rFonts w:asciiTheme="majorHAnsi" w:eastAsia="Times New Roman" w:hAnsiTheme="majorHAnsi" w:cstheme="majorHAnsi"/>
          <w:bCs/>
          <w:i/>
          <w:color w:val="000000" w:themeColor="text1"/>
          <w:sz w:val="22"/>
          <w:szCs w:val="22"/>
          <w:lang w:eastAsia="ja-JP"/>
        </w:rPr>
        <w:t>rhizome of</w:t>
      </w:r>
      <w:r w:rsidRPr="005E6B7C">
        <w:rPr>
          <w:rFonts w:asciiTheme="majorHAnsi" w:eastAsia="Times New Roman" w:hAnsiTheme="majorHAnsi" w:cstheme="majorHAnsi"/>
          <w:bCs/>
          <w:color w:val="000000" w:themeColor="text1"/>
          <w:sz w:val="22"/>
          <w:szCs w:val="22"/>
          <w:lang w:eastAsia="ja-JP"/>
        </w:rPr>
        <w:t xml:space="preserve"> </w:t>
      </w:r>
      <w:r w:rsidRPr="005E6B7C">
        <w:rPr>
          <w:rFonts w:asciiTheme="majorHAnsi" w:eastAsia="Times New Roman" w:hAnsiTheme="majorHAnsi" w:cstheme="majorHAnsi"/>
          <w:bCs/>
          <w:i/>
          <w:iCs/>
          <w:color w:val="000000" w:themeColor="text1"/>
          <w:sz w:val="22"/>
          <w:szCs w:val="22"/>
          <w:shd w:val="clear" w:color="auto" w:fill="FFFFFF"/>
          <w:lang w:eastAsia="ja-JP"/>
        </w:rPr>
        <w:t> H. occulta</w:t>
      </w:r>
      <w:r w:rsidRPr="005E6B7C">
        <w:rPr>
          <w:rFonts w:asciiTheme="majorHAnsi" w:eastAsia="Times New Roman" w:hAnsiTheme="majorHAnsi" w:cstheme="majorHAnsi"/>
          <w:bCs/>
          <w:i/>
          <w:color w:val="000000" w:themeColor="text1"/>
          <w:sz w:val="22"/>
          <w:szCs w:val="22"/>
          <w:lang w:eastAsia="ja-JP"/>
        </w:rPr>
        <w:t xml:space="preserve"> samples</w:t>
      </w:r>
    </w:p>
    <w:p w14:paraId="47646984" w14:textId="60B5CA09" w:rsidR="00E049CB" w:rsidRPr="005E6B7C" w:rsidRDefault="00E049CB"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Determination of total polyphenol content in the rhizome of</w:t>
      </w:r>
      <w:r w:rsidRPr="005E6B7C">
        <w:rPr>
          <w:rFonts w:asciiTheme="majorHAnsi" w:eastAsia="Yu Mincho" w:hAnsiTheme="majorHAnsi" w:cstheme="majorHAnsi"/>
          <w:i/>
          <w:color w:val="000000" w:themeColor="text1"/>
          <w:sz w:val="22"/>
          <w:szCs w:val="22"/>
          <w:lang w:eastAsia="ja-JP"/>
        </w:rPr>
        <w:t xml:space="preserve"> H. occulta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 w:eastAsia="ja-JP"/>
        </w:rPr>
        <w:t>samples was conducted according to the method presented in Section 2.4.1</w:t>
      </w:r>
      <w:r w:rsidRPr="005E6B7C">
        <w:rPr>
          <w:rFonts w:asciiTheme="majorHAnsi" w:eastAsia="Yu Mincho" w:hAnsiTheme="majorHAnsi" w:cstheme="majorHAnsi"/>
          <w:color w:val="000000" w:themeColor="text1"/>
          <w:sz w:val="22"/>
          <w:szCs w:val="22"/>
          <w:lang w:eastAsia="ja-JP"/>
        </w:rPr>
        <w:t xml:space="preserve">. The calibration curve of gallic acid is shown in </w:t>
      </w:r>
      <w:r w:rsidR="000807A4" w:rsidRPr="005E6B7C">
        <w:rPr>
          <w:rFonts w:asciiTheme="majorHAnsi" w:eastAsia="Yu Mincho" w:hAnsiTheme="majorHAnsi" w:cstheme="majorHAnsi"/>
          <w:color w:val="000000" w:themeColor="text1"/>
          <w:sz w:val="22"/>
          <w:szCs w:val="22"/>
          <w:lang w:eastAsia="ja-JP"/>
        </w:rPr>
        <w:t xml:space="preserve">Table 2 and Fig. 1. </w:t>
      </w:r>
      <w:r w:rsidRPr="005E6B7C">
        <w:rPr>
          <w:rFonts w:asciiTheme="majorHAnsi" w:eastAsia="Yu Mincho" w:hAnsiTheme="majorHAnsi" w:cstheme="majorHAnsi"/>
          <w:color w:val="000000" w:themeColor="text1"/>
          <w:sz w:val="22"/>
          <w:szCs w:val="22"/>
          <w:lang w:eastAsia="ja-JP"/>
        </w:rPr>
        <w:t xml:space="preserve">The total polyphenol content of </w:t>
      </w:r>
      <w:r w:rsidRPr="005E6B7C">
        <w:rPr>
          <w:rFonts w:asciiTheme="majorHAnsi" w:eastAsia="Yu Mincho" w:hAnsiTheme="majorHAnsi" w:cstheme="majorHAnsi"/>
          <w:i/>
          <w:color w:val="000000" w:themeColor="text1"/>
          <w:sz w:val="22"/>
          <w:szCs w:val="22"/>
          <w:lang w:eastAsia="ja-JP"/>
        </w:rPr>
        <w:t>H. occulta</w:t>
      </w:r>
      <w:r w:rsidRPr="005E6B7C">
        <w:rPr>
          <w:rFonts w:asciiTheme="majorHAnsi" w:eastAsia="Yu Mincho" w:hAnsiTheme="majorHAnsi" w:cstheme="majorHAnsi"/>
          <w:color w:val="000000" w:themeColor="text1"/>
          <w:sz w:val="22"/>
          <w:szCs w:val="22"/>
          <w:lang w:eastAsia="ja-JP"/>
        </w:rPr>
        <w:t xml:space="preserve"> samples collected in Vietnam is presented in Table 2.</w:t>
      </w:r>
    </w:p>
    <w:p w14:paraId="7230BC00" w14:textId="77777777" w:rsidR="006C6E2D" w:rsidRPr="005E6B7C" w:rsidRDefault="006C6E2D"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p>
    <w:p w14:paraId="6160FEB1" w14:textId="77777777" w:rsidR="000807A4" w:rsidRPr="005E6B7C" w:rsidRDefault="000807A4" w:rsidP="000807A4">
      <w:pPr>
        <w:tabs>
          <w:tab w:val="left" w:pos="270"/>
          <w:tab w:val="left" w:pos="540"/>
          <w:tab w:val="left" w:pos="9270"/>
        </w:tabs>
        <w:spacing w:after="120"/>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Table 2. </w:t>
      </w:r>
      <w:r w:rsidRPr="005E6B7C">
        <w:rPr>
          <w:rFonts w:asciiTheme="majorHAnsi" w:eastAsia="Yu Mincho" w:hAnsiTheme="majorHAnsi" w:cstheme="majorHAnsi"/>
          <w:bCs/>
          <w:color w:val="000000" w:themeColor="text1"/>
          <w:sz w:val="18"/>
          <w:szCs w:val="18"/>
          <w:lang w:eastAsia="ja-JP"/>
        </w:rPr>
        <w:t>The data of the calibration curve of gallic acid</w:t>
      </w:r>
    </w:p>
    <w:tbl>
      <w:tblPr>
        <w:tblStyle w:val="TableGrid10"/>
        <w:tblW w:w="43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0"/>
        <w:gridCol w:w="1971"/>
        <w:gridCol w:w="1763"/>
      </w:tblGrid>
      <w:tr w:rsidR="00685C8E" w:rsidRPr="005E6B7C" w14:paraId="5C8E10D1" w14:textId="77777777" w:rsidTr="0079118F">
        <w:tc>
          <w:tcPr>
            <w:tcW w:w="528" w:type="dxa"/>
            <w:vAlign w:val="center"/>
          </w:tcPr>
          <w:p w14:paraId="41BDF128" w14:textId="77777777" w:rsidR="00685C8E" w:rsidRPr="005E6B7C" w:rsidRDefault="00685C8E" w:rsidP="008C0D47">
            <w:pPr>
              <w:tabs>
                <w:tab w:val="left" w:pos="270"/>
                <w:tab w:val="left" w:pos="540"/>
                <w:tab w:val="left" w:pos="720"/>
                <w:tab w:val="left" w:pos="3228"/>
                <w:tab w:val="left" w:pos="9270"/>
              </w:tabs>
              <w:spacing w:line="16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No.</w:t>
            </w:r>
          </w:p>
        </w:tc>
        <w:tc>
          <w:tcPr>
            <w:tcW w:w="1577" w:type="dxa"/>
            <w:vAlign w:val="center"/>
          </w:tcPr>
          <w:p w14:paraId="2ED9581C" w14:textId="77777777" w:rsidR="00685C8E" w:rsidRPr="005E6B7C" w:rsidRDefault="00685C8E" w:rsidP="008C0D47">
            <w:pPr>
              <w:tabs>
                <w:tab w:val="left" w:pos="270"/>
                <w:tab w:val="left" w:pos="540"/>
                <w:tab w:val="left" w:pos="720"/>
                <w:tab w:val="left" w:pos="3228"/>
                <w:tab w:val="left" w:pos="9270"/>
              </w:tabs>
              <w:spacing w:line="160" w:lineRule="exact"/>
              <w:ind w:right="-23"/>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The concentration of gallic acid (mg/mL)</w:t>
            </w:r>
          </w:p>
        </w:tc>
        <w:tc>
          <w:tcPr>
            <w:tcW w:w="1411" w:type="dxa"/>
            <w:vAlign w:val="center"/>
          </w:tcPr>
          <w:p w14:paraId="6315F613" w14:textId="77777777" w:rsidR="00685C8E" w:rsidRPr="005E6B7C" w:rsidRDefault="00685C8E" w:rsidP="008C0D47">
            <w:pPr>
              <w:tabs>
                <w:tab w:val="left" w:pos="270"/>
                <w:tab w:val="left" w:pos="540"/>
                <w:tab w:val="left" w:pos="720"/>
                <w:tab w:val="left" w:pos="3228"/>
                <w:tab w:val="left" w:pos="9270"/>
              </w:tabs>
              <w:spacing w:line="16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Absorbance (AU)</w:t>
            </w:r>
          </w:p>
        </w:tc>
      </w:tr>
      <w:tr w:rsidR="00685C8E" w:rsidRPr="005E6B7C" w14:paraId="266D4330" w14:textId="77777777" w:rsidTr="0079118F">
        <w:tc>
          <w:tcPr>
            <w:tcW w:w="528" w:type="dxa"/>
          </w:tcPr>
          <w:p w14:paraId="5127FA91"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1577" w:type="dxa"/>
          </w:tcPr>
          <w:p w14:paraId="05C461F3"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0.137</w:t>
            </w:r>
          </w:p>
        </w:tc>
        <w:tc>
          <w:tcPr>
            <w:tcW w:w="1411" w:type="dxa"/>
          </w:tcPr>
          <w:p w14:paraId="59EE4F83"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0.146</w:t>
            </w:r>
          </w:p>
        </w:tc>
      </w:tr>
      <w:tr w:rsidR="00685C8E" w:rsidRPr="005E6B7C" w14:paraId="6DEE81B6" w14:textId="77777777" w:rsidTr="0079118F">
        <w:tc>
          <w:tcPr>
            <w:tcW w:w="528" w:type="dxa"/>
          </w:tcPr>
          <w:p w14:paraId="48B73FCF"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2</w:t>
            </w:r>
          </w:p>
        </w:tc>
        <w:tc>
          <w:tcPr>
            <w:tcW w:w="1577" w:type="dxa"/>
          </w:tcPr>
          <w:p w14:paraId="3917CAF5"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0.274</w:t>
            </w:r>
          </w:p>
        </w:tc>
        <w:tc>
          <w:tcPr>
            <w:tcW w:w="1411" w:type="dxa"/>
          </w:tcPr>
          <w:p w14:paraId="60D1DBEA"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0.290</w:t>
            </w:r>
          </w:p>
        </w:tc>
      </w:tr>
      <w:tr w:rsidR="00685C8E" w:rsidRPr="005E6B7C" w14:paraId="78EDB75C" w14:textId="77777777" w:rsidTr="0079118F">
        <w:tc>
          <w:tcPr>
            <w:tcW w:w="528" w:type="dxa"/>
          </w:tcPr>
          <w:p w14:paraId="71F31DEC"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3</w:t>
            </w:r>
          </w:p>
        </w:tc>
        <w:tc>
          <w:tcPr>
            <w:tcW w:w="1577" w:type="dxa"/>
          </w:tcPr>
          <w:p w14:paraId="16CFDBDA"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0.548</w:t>
            </w:r>
          </w:p>
        </w:tc>
        <w:tc>
          <w:tcPr>
            <w:tcW w:w="1411" w:type="dxa"/>
          </w:tcPr>
          <w:p w14:paraId="3F31EA13"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0.536</w:t>
            </w:r>
          </w:p>
        </w:tc>
      </w:tr>
      <w:tr w:rsidR="00685C8E" w:rsidRPr="005E6B7C" w14:paraId="1B212BA0" w14:textId="77777777" w:rsidTr="0079118F">
        <w:tc>
          <w:tcPr>
            <w:tcW w:w="528" w:type="dxa"/>
          </w:tcPr>
          <w:p w14:paraId="52A04A2B"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4</w:t>
            </w:r>
          </w:p>
        </w:tc>
        <w:tc>
          <w:tcPr>
            <w:tcW w:w="1577" w:type="dxa"/>
          </w:tcPr>
          <w:p w14:paraId="6A4A364D"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0.822</w:t>
            </w:r>
          </w:p>
        </w:tc>
        <w:tc>
          <w:tcPr>
            <w:tcW w:w="1411" w:type="dxa"/>
          </w:tcPr>
          <w:p w14:paraId="3C120A47"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0.802</w:t>
            </w:r>
          </w:p>
        </w:tc>
      </w:tr>
      <w:tr w:rsidR="00685C8E" w:rsidRPr="005E6B7C" w14:paraId="33DFEAFF" w14:textId="77777777" w:rsidTr="0079118F">
        <w:tc>
          <w:tcPr>
            <w:tcW w:w="528" w:type="dxa"/>
          </w:tcPr>
          <w:p w14:paraId="629346D4"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5</w:t>
            </w:r>
          </w:p>
        </w:tc>
        <w:tc>
          <w:tcPr>
            <w:tcW w:w="1577" w:type="dxa"/>
          </w:tcPr>
          <w:p w14:paraId="47112B93"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1.096</w:t>
            </w:r>
          </w:p>
        </w:tc>
        <w:tc>
          <w:tcPr>
            <w:tcW w:w="1411" w:type="dxa"/>
          </w:tcPr>
          <w:p w14:paraId="78C18A34" w14:textId="77777777" w:rsidR="00685C8E" w:rsidRPr="005E6B7C" w:rsidRDefault="00685C8E" w:rsidP="008C0D47">
            <w:pPr>
              <w:tabs>
                <w:tab w:val="left" w:pos="270"/>
                <w:tab w:val="left" w:pos="540"/>
                <w:tab w:val="left" w:pos="720"/>
                <w:tab w:val="left" w:pos="3228"/>
                <w:tab w:val="left" w:pos="9270"/>
              </w:tabs>
              <w:spacing w:line="160" w:lineRule="exact"/>
              <w:ind w:right="-23"/>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1.047</w:t>
            </w:r>
          </w:p>
        </w:tc>
      </w:tr>
    </w:tbl>
    <w:p w14:paraId="3047071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2FE7B7A7" w14:textId="77777777" w:rsidR="00E049CB" w:rsidRPr="005E6B7C" w:rsidRDefault="0018773C"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noProof/>
          <w:color w:val="000000" w:themeColor="text1"/>
          <w:kern w:val="2"/>
          <w:sz w:val="18"/>
          <w:szCs w:val="18"/>
        </w:rPr>
        <w:drawing>
          <wp:inline distT="0" distB="0" distL="0" distR="0" wp14:anchorId="30D60407" wp14:editId="1D655570">
            <wp:extent cx="2774693" cy="1880006"/>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53" cstate="print">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77485" cy="1881898"/>
                    </a:xfrm>
                    <a:prstGeom prst="rect">
                      <a:avLst/>
                    </a:prstGeom>
                  </pic:spPr>
                </pic:pic>
              </a:graphicData>
            </a:graphic>
          </wp:inline>
        </w:drawing>
      </w:r>
    </w:p>
    <w:p w14:paraId="677D4148" w14:textId="77777777" w:rsidR="0018773C" w:rsidRPr="005E6B7C" w:rsidRDefault="0018773C" w:rsidP="008C0D47">
      <w:pPr>
        <w:tabs>
          <w:tab w:val="left" w:pos="270"/>
          <w:tab w:val="left" w:pos="540"/>
          <w:tab w:val="left" w:pos="9270"/>
        </w:tabs>
        <w:spacing w:before="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 xml:space="preserve">Fig. </w:t>
      </w:r>
      <w:r w:rsidRPr="005E6B7C">
        <w:rPr>
          <w:rFonts w:asciiTheme="majorHAnsi" w:eastAsia="Calibri" w:hAnsiTheme="majorHAnsi" w:cstheme="majorHAnsi"/>
          <w:b/>
          <w:color w:val="000000" w:themeColor="text1"/>
          <w:kern w:val="2"/>
          <w:sz w:val="18"/>
          <w:szCs w:val="18"/>
          <w14:ligatures w14:val="standardContextual"/>
        </w:rPr>
        <w:fldChar w:fldCharType="begin"/>
      </w:r>
      <w:r w:rsidRPr="005E6B7C">
        <w:rPr>
          <w:rFonts w:asciiTheme="majorHAnsi" w:eastAsia="Calibri" w:hAnsiTheme="majorHAnsi" w:cstheme="majorHAnsi"/>
          <w:b/>
          <w:color w:val="000000" w:themeColor="text1"/>
          <w:kern w:val="2"/>
          <w:sz w:val="18"/>
          <w:szCs w:val="18"/>
          <w14:ligatures w14:val="standardContextual"/>
        </w:rPr>
        <w:instrText xml:space="preserve"> SEQ Figure \* ARABIC </w:instrText>
      </w:r>
      <w:r w:rsidRPr="005E6B7C">
        <w:rPr>
          <w:rFonts w:asciiTheme="majorHAnsi" w:eastAsia="Calibri" w:hAnsiTheme="majorHAnsi" w:cstheme="majorHAnsi"/>
          <w:b/>
          <w:color w:val="000000" w:themeColor="text1"/>
          <w:kern w:val="2"/>
          <w:sz w:val="18"/>
          <w:szCs w:val="18"/>
          <w14:ligatures w14:val="standardContextual"/>
        </w:rPr>
        <w:fldChar w:fldCharType="separate"/>
      </w:r>
      <w:r w:rsidR="007967DB" w:rsidRPr="005E6B7C">
        <w:rPr>
          <w:rFonts w:asciiTheme="majorHAnsi" w:eastAsia="Calibri" w:hAnsiTheme="majorHAnsi" w:cstheme="majorHAnsi"/>
          <w:b/>
          <w:noProof/>
          <w:color w:val="000000" w:themeColor="text1"/>
          <w:kern w:val="2"/>
          <w:sz w:val="18"/>
          <w:szCs w:val="18"/>
          <w14:ligatures w14:val="standardContextual"/>
        </w:rPr>
        <w:t>1</w:t>
      </w:r>
      <w:r w:rsidRPr="005E6B7C">
        <w:rPr>
          <w:rFonts w:asciiTheme="majorHAnsi" w:eastAsia="Calibri" w:hAnsiTheme="majorHAnsi" w:cstheme="majorHAnsi"/>
          <w:b/>
          <w:noProof/>
          <w:color w:val="000000" w:themeColor="text1"/>
          <w:kern w:val="2"/>
          <w:sz w:val="18"/>
          <w:szCs w:val="18"/>
          <w14:ligatures w14:val="standardContextual"/>
        </w:rPr>
        <w:fldChar w:fldCharType="end"/>
      </w:r>
      <w:r w:rsidRPr="005E6B7C">
        <w:rPr>
          <w:rFonts w:asciiTheme="majorHAnsi" w:eastAsia="Calibri" w:hAnsiTheme="majorHAnsi" w:cstheme="majorHAnsi"/>
          <w:b/>
          <w:noProof/>
          <w:color w:val="000000" w:themeColor="text1"/>
          <w:kern w:val="2"/>
          <w:sz w:val="18"/>
          <w:szCs w:val="18"/>
          <w14:ligatures w14:val="standardContextual"/>
        </w:rPr>
        <w:t xml:space="preserve">. </w:t>
      </w:r>
      <w:r w:rsidRPr="005E6B7C">
        <w:rPr>
          <w:rFonts w:asciiTheme="majorHAnsi" w:eastAsia="Calibri" w:hAnsiTheme="majorHAnsi" w:cstheme="majorHAnsi"/>
          <w:bCs/>
          <w:noProof/>
          <w:color w:val="000000" w:themeColor="text1"/>
          <w:kern w:val="2"/>
          <w:sz w:val="18"/>
          <w:szCs w:val="18"/>
          <w14:ligatures w14:val="standardContextual"/>
        </w:rPr>
        <w:t>Calibration curves for gallic acid</w:t>
      </w:r>
    </w:p>
    <w:p w14:paraId="4B3E4929" w14:textId="77777777" w:rsidR="0079118F" w:rsidRPr="005E6B7C" w:rsidRDefault="0079118F"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sectPr w:rsidR="0079118F" w:rsidRPr="005E6B7C" w:rsidSect="0079118F">
          <w:type w:val="continuous"/>
          <w:pgSz w:w="10773" w:h="15309" w:code="9"/>
          <w:pgMar w:top="907" w:right="851" w:bottom="1418" w:left="851" w:header="397" w:footer="851" w:gutter="0"/>
          <w:cols w:num="2" w:space="284"/>
          <w:docGrid w:linePitch="360"/>
        </w:sectPr>
      </w:pPr>
    </w:p>
    <w:p w14:paraId="2F899A37" w14:textId="77777777" w:rsidR="006C6E2D" w:rsidRPr="005E6B7C" w:rsidRDefault="006C6E2D"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pPr>
    </w:p>
    <w:p w14:paraId="4CEDEE2C" w14:textId="7B9AAB30"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b/>
          <w:noProof/>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 xml:space="preserve">Table </w:t>
      </w:r>
      <w:r w:rsidR="000807A4" w:rsidRPr="005E6B7C">
        <w:rPr>
          <w:rFonts w:asciiTheme="majorHAnsi" w:eastAsia="Calibri" w:hAnsiTheme="majorHAnsi" w:cstheme="majorHAnsi"/>
          <w:b/>
          <w:color w:val="000000" w:themeColor="text1"/>
          <w:kern w:val="2"/>
          <w:sz w:val="18"/>
          <w:szCs w:val="18"/>
          <w14:ligatures w14:val="standardContextual"/>
        </w:rPr>
        <w:t>3</w:t>
      </w:r>
      <w:r w:rsidRPr="005E6B7C">
        <w:rPr>
          <w:rFonts w:asciiTheme="majorHAnsi" w:eastAsia="Calibri" w:hAnsiTheme="majorHAnsi" w:cstheme="majorHAnsi"/>
          <w:b/>
          <w:noProof/>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shd w:val="clear" w:color="auto" w:fill="FFFFFF"/>
          <w14:ligatures w14:val="standardContextual"/>
        </w:rPr>
        <w:t xml:space="preserve">Total polyphenol content in the </w:t>
      </w:r>
      <w:r w:rsidRPr="005E6B7C">
        <w:rPr>
          <w:rFonts w:asciiTheme="majorHAnsi" w:eastAsia="Calibri" w:hAnsiTheme="majorHAnsi" w:cstheme="majorHAnsi"/>
          <w:bCs/>
          <w:color w:val="000000" w:themeColor="text1"/>
          <w:kern w:val="2"/>
          <w:sz w:val="18"/>
          <w:szCs w:val="18"/>
          <w14:ligatures w14:val="standardContextual"/>
        </w:rPr>
        <w:t xml:space="preserve">rhizome of </w:t>
      </w:r>
      <w:r w:rsidRPr="005E6B7C">
        <w:rPr>
          <w:rFonts w:asciiTheme="majorHAnsi" w:eastAsia="Calibri" w:hAnsiTheme="majorHAnsi" w:cstheme="majorHAnsi"/>
          <w:bCs/>
          <w:color w:val="000000" w:themeColor="text1"/>
          <w:kern w:val="2"/>
          <w:sz w:val="18"/>
          <w:szCs w:val="18"/>
          <w:shd w:val="clear" w:color="auto" w:fill="FFFFFF"/>
          <w14:ligatures w14:val="standardContextual"/>
        </w:rPr>
        <w:t xml:space="preserve"> </w:t>
      </w:r>
      <w:r w:rsidRPr="005E6B7C">
        <w:rPr>
          <w:rFonts w:asciiTheme="majorHAnsi" w:eastAsia="Calibri" w:hAnsiTheme="majorHAnsi" w:cstheme="majorHAnsi"/>
          <w:bCs/>
          <w:i/>
          <w:color w:val="000000" w:themeColor="text1"/>
          <w:kern w:val="2"/>
          <w:sz w:val="18"/>
          <w:szCs w:val="18"/>
          <w14:ligatures w14:val="standardContextual"/>
        </w:rPr>
        <w:t>H. occulta</w:t>
      </w:r>
      <w:r w:rsidRPr="005E6B7C">
        <w:rPr>
          <w:rFonts w:asciiTheme="majorHAnsi" w:eastAsia="Calibri" w:hAnsiTheme="majorHAnsi" w:cstheme="majorHAnsi"/>
          <w:bCs/>
          <w:color w:val="000000" w:themeColor="text1"/>
          <w:kern w:val="2"/>
          <w:sz w:val="18"/>
          <w:szCs w:val="18"/>
          <w14:ligatures w14:val="standardContextual"/>
        </w:rPr>
        <w:t xml:space="preserve"> samples collected in Vietnam</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79"/>
        <w:gridCol w:w="1219"/>
        <w:gridCol w:w="2889"/>
        <w:gridCol w:w="557"/>
        <w:gridCol w:w="1344"/>
        <w:gridCol w:w="2384"/>
      </w:tblGrid>
      <w:tr w:rsidR="00573010" w:rsidRPr="005E6B7C" w14:paraId="42357F44" w14:textId="77777777" w:rsidTr="006C6E2D">
        <w:trPr>
          <w:tblHeader/>
          <w:jc w:val="center"/>
        </w:trPr>
        <w:tc>
          <w:tcPr>
            <w:tcW w:w="704" w:type="dxa"/>
            <w:vAlign w:val="center"/>
          </w:tcPr>
          <w:p w14:paraId="5ED6DE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No.</w:t>
            </w:r>
          </w:p>
        </w:tc>
        <w:tc>
          <w:tcPr>
            <w:tcW w:w="1276" w:type="dxa"/>
            <w:vAlign w:val="center"/>
          </w:tcPr>
          <w:p w14:paraId="7429AB1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Sample ID</w:t>
            </w:r>
          </w:p>
        </w:tc>
        <w:tc>
          <w:tcPr>
            <w:tcW w:w="3118" w:type="dxa"/>
            <w:vAlign w:val="center"/>
          </w:tcPr>
          <w:p w14:paraId="7D95E1E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The content of total polyphenol*</w:t>
            </w:r>
          </w:p>
          <w:p w14:paraId="7A0762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(mean ± SD, n=3)</w:t>
            </w:r>
          </w:p>
        </w:tc>
        <w:tc>
          <w:tcPr>
            <w:tcW w:w="567" w:type="dxa"/>
            <w:vAlign w:val="center"/>
          </w:tcPr>
          <w:p w14:paraId="0849B3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No.</w:t>
            </w:r>
          </w:p>
        </w:tc>
        <w:tc>
          <w:tcPr>
            <w:tcW w:w="1418" w:type="dxa"/>
            <w:vAlign w:val="center"/>
          </w:tcPr>
          <w:p w14:paraId="0E86EE9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Sample ID</w:t>
            </w:r>
          </w:p>
        </w:tc>
        <w:tc>
          <w:tcPr>
            <w:tcW w:w="2546" w:type="dxa"/>
            <w:vAlign w:val="center"/>
          </w:tcPr>
          <w:p w14:paraId="697C22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The content of total polyphenol*</w:t>
            </w:r>
          </w:p>
          <w:p w14:paraId="5A5677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(mean ± SD, n=3)</w:t>
            </w:r>
          </w:p>
        </w:tc>
      </w:tr>
      <w:tr w:rsidR="00573010" w:rsidRPr="005E6B7C" w14:paraId="42CF7E97" w14:textId="77777777" w:rsidTr="006C6E2D">
        <w:trPr>
          <w:jc w:val="center"/>
        </w:trPr>
        <w:tc>
          <w:tcPr>
            <w:tcW w:w="704" w:type="dxa"/>
          </w:tcPr>
          <w:p w14:paraId="196037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w:t>
            </w:r>
          </w:p>
        </w:tc>
        <w:tc>
          <w:tcPr>
            <w:tcW w:w="1276" w:type="dxa"/>
            <w:vAlign w:val="center"/>
          </w:tcPr>
          <w:p w14:paraId="1B2FEE9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M1</w:t>
            </w:r>
          </w:p>
        </w:tc>
        <w:tc>
          <w:tcPr>
            <w:tcW w:w="3118" w:type="dxa"/>
          </w:tcPr>
          <w:p w14:paraId="18E1E00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1.28 ± 0.03</w:t>
            </w:r>
          </w:p>
        </w:tc>
        <w:tc>
          <w:tcPr>
            <w:tcW w:w="567" w:type="dxa"/>
          </w:tcPr>
          <w:p w14:paraId="2C5BD14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9</w:t>
            </w:r>
          </w:p>
        </w:tc>
        <w:tc>
          <w:tcPr>
            <w:tcW w:w="1418" w:type="dxa"/>
            <w:vAlign w:val="center"/>
          </w:tcPr>
          <w:p w14:paraId="5978196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M9</w:t>
            </w:r>
          </w:p>
        </w:tc>
        <w:tc>
          <w:tcPr>
            <w:tcW w:w="2546" w:type="dxa"/>
          </w:tcPr>
          <w:p w14:paraId="6F73A6B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0.66 ± 0.02</w:t>
            </w:r>
          </w:p>
        </w:tc>
      </w:tr>
      <w:tr w:rsidR="00573010" w:rsidRPr="005E6B7C" w14:paraId="220F8297" w14:textId="77777777" w:rsidTr="006C6E2D">
        <w:trPr>
          <w:jc w:val="center"/>
        </w:trPr>
        <w:tc>
          <w:tcPr>
            <w:tcW w:w="704" w:type="dxa"/>
          </w:tcPr>
          <w:p w14:paraId="2D3845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2</w:t>
            </w:r>
          </w:p>
        </w:tc>
        <w:tc>
          <w:tcPr>
            <w:tcW w:w="1276" w:type="dxa"/>
            <w:vAlign w:val="center"/>
          </w:tcPr>
          <w:p w14:paraId="62BD76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M2</w:t>
            </w:r>
          </w:p>
        </w:tc>
        <w:tc>
          <w:tcPr>
            <w:tcW w:w="3118" w:type="dxa"/>
          </w:tcPr>
          <w:p w14:paraId="1984C0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1.25 ± 0.02</w:t>
            </w:r>
          </w:p>
        </w:tc>
        <w:tc>
          <w:tcPr>
            <w:tcW w:w="567" w:type="dxa"/>
          </w:tcPr>
          <w:p w14:paraId="14D1BA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10</w:t>
            </w:r>
          </w:p>
        </w:tc>
        <w:tc>
          <w:tcPr>
            <w:tcW w:w="1418" w:type="dxa"/>
            <w:vAlign w:val="center"/>
          </w:tcPr>
          <w:p w14:paraId="4CF9896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M10</w:t>
            </w:r>
          </w:p>
        </w:tc>
        <w:tc>
          <w:tcPr>
            <w:tcW w:w="2546" w:type="dxa"/>
          </w:tcPr>
          <w:p w14:paraId="1C19BA5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0.41 ± 0.02</w:t>
            </w:r>
          </w:p>
        </w:tc>
      </w:tr>
      <w:tr w:rsidR="00573010" w:rsidRPr="005E6B7C" w14:paraId="4A50518B" w14:textId="77777777" w:rsidTr="006C6E2D">
        <w:trPr>
          <w:jc w:val="center"/>
        </w:trPr>
        <w:tc>
          <w:tcPr>
            <w:tcW w:w="704" w:type="dxa"/>
          </w:tcPr>
          <w:p w14:paraId="481197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3</w:t>
            </w:r>
          </w:p>
        </w:tc>
        <w:tc>
          <w:tcPr>
            <w:tcW w:w="1276" w:type="dxa"/>
            <w:vAlign w:val="center"/>
          </w:tcPr>
          <w:p w14:paraId="65EFB4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M3</w:t>
            </w:r>
          </w:p>
        </w:tc>
        <w:tc>
          <w:tcPr>
            <w:tcW w:w="3118" w:type="dxa"/>
          </w:tcPr>
          <w:p w14:paraId="37F1EF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1.19 ± 0.03</w:t>
            </w:r>
          </w:p>
        </w:tc>
        <w:tc>
          <w:tcPr>
            <w:tcW w:w="567" w:type="dxa"/>
          </w:tcPr>
          <w:p w14:paraId="5770F4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11</w:t>
            </w:r>
          </w:p>
        </w:tc>
        <w:tc>
          <w:tcPr>
            <w:tcW w:w="1418" w:type="dxa"/>
            <w:vAlign w:val="center"/>
          </w:tcPr>
          <w:p w14:paraId="23552F7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M11</w:t>
            </w:r>
          </w:p>
        </w:tc>
        <w:tc>
          <w:tcPr>
            <w:tcW w:w="2546" w:type="dxa"/>
          </w:tcPr>
          <w:p w14:paraId="160B4B3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val="vi-VN"/>
              </w:rPr>
            </w:pPr>
            <w:r w:rsidRPr="005E6B7C">
              <w:rPr>
                <w:rFonts w:asciiTheme="majorHAnsi" w:eastAsia="Yu Mincho" w:hAnsiTheme="majorHAnsi" w:cstheme="majorHAnsi"/>
                <w:color w:val="000000" w:themeColor="text1"/>
                <w:sz w:val="18"/>
                <w:szCs w:val="18"/>
                <w:lang w:val="vi-VN" w:eastAsia="ja-JP"/>
              </w:rPr>
              <w:t>2.09</w:t>
            </w:r>
            <w:r w:rsidRPr="005E6B7C">
              <w:rPr>
                <w:rFonts w:asciiTheme="majorHAnsi" w:eastAsia="Times New Roman" w:hAnsiTheme="majorHAnsi" w:cstheme="majorHAnsi"/>
                <w:color w:val="000000" w:themeColor="text1"/>
                <w:sz w:val="18"/>
                <w:szCs w:val="18"/>
              </w:rPr>
              <w:t xml:space="preserve"> ± 0.0</w:t>
            </w:r>
            <w:r w:rsidRPr="005E6B7C">
              <w:rPr>
                <w:rFonts w:asciiTheme="majorHAnsi" w:eastAsia="Times New Roman" w:hAnsiTheme="majorHAnsi" w:cstheme="majorHAnsi"/>
                <w:color w:val="000000" w:themeColor="text1"/>
                <w:sz w:val="18"/>
                <w:szCs w:val="18"/>
                <w:lang w:val="vi-VN"/>
              </w:rPr>
              <w:t>4</w:t>
            </w:r>
          </w:p>
        </w:tc>
      </w:tr>
      <w:tr w:rsidR="00573010" w:rsidRPr="005E6B7C" w14:paraId="2CE2B3C6" w14:textId="77777777" w:rsidTr="006C6E2D">
        <w:trPr>
          <w:jc w:val="center"/>
        </w:trPr>
        <w:tc>
          <w:tcPr>
            <w:tcW w:w="704" w:type="dxa"/>
          </w:tcPr>
          <w:p w14:paraId="06552A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4</w:t>
            </w:r>
          </w:p>
        </w:tc>
        <w:tc>
          <w:tcPr>
            <w:tcW w:w="1276" w:type="dxa"/>
            <w:vAlign w:val="center"/>
          </w:tcPr>
          <w:p w14:paraId="0C5C690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M4</w:t>
            </w:r>
          </w:p>
        </w:tc>
        <w:tc>
          <w:tcPr>
            <w:tcW w:w="3118" w:type="dxa"/>
          </w:tcPr>
          <w:p w14:paraId="50358A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1.52 ± 0.02</w:t>
            </w:r>
          </w:p>
        </w:tc>
        <w:tc>
          <w:tcPr>
            <w:tcW w:w="567" w:type="dxa"/>
          </w:tcPr>
          <w:p w14:paraId="31151E7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12</w:t>
            </w:r>
          </w:p>
        </w:tc>
        <w:tc>
          <w:tcPr>
            <w:tcW w:w="1418" w:type="dxa"/>
          </w:tcPr>
          <w:p w14:paraId="123E36A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M12</w:t>
            </w:r>
          </w:p>
        </w:tc>
        <w:tc>
          <w:tcPr>
            <w:tcW w:w="2546" w:type="dxa"/>
          </w:tcPr>
          <w:p w14:paraId="77C3C82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val="vi-VN" w:eastAsia="ja-JP"/>
              </w:rPr>
              <w:t xml:space="preserve">2.08 </w:t>
            </w:r>
            <w:r w:rsidRPr="005E6B7C">
              <w:rPr>
                <w:rFonts w:asciiTheme="majorHAnsi" w:eastAsia="Times New Roman" w:hAnsiTheme="majorHAnsi" w:cstheme="majorHAnsi"/>
                <w:color w:val="000000" w:themeColor="text1"/>
                <w:sz w:val="18"/>
                <w:szCs w:val="18"/>
              </w:rPr>
              <w:t>± 0.03</w:t>
            </w:r>
          </w:p>
        </w:tc>
      </w:tr>
      <w:tr w:rsidR="00573010" w:rsidRPr="005E6B7C" w14:paraId="770477CD" w14:textId="77777777" w:rsidTr="006C6E2D">
        <w:trPr>
          <w:jc w:val="center"/>
        </w:trPr>
        <w:tc>
          <w:tcPr>
            <w:tcW w:w="704" w:type="dxa"/>
          </w:tcPr>
          <w:p w14:paraId="1017758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5</w:t>
            </w:r>
          </w:p>
        </w:tc>
        <w:tc>
          <w:tcPr>
            <w:tcW w:w="1276" w:type="dxa"/>
            <w:vAlign w:val="center"/>
          </w:tcPr>
          <w:p w14:paraId="6F051B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M5</w:t>
            </w:r>
          </w:p>
        </w:tc>
        <w:tc>
          <w:tcPr>
            <w:tcW w:w="3118" w:type="dxa"/>
          </w:tcPr>
          <w:p w14:paraId="31F64A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1.11 ± 0.01</w:t>
            </w:r>
          </w:p>
        </w:tc>
        <w:tc>
          <w:tcPr>
            <w:tcW w:w="567" w:type="dxa"/>
          </w:tcPr>
          <w:p w14:paraId="5092C4A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13</w:t>
            </w:r>
          </w:p>
        </w:tc>
        <w:tc>
          <w:tcPr>
            <w:tcW w:w="1418" w:type="dxa"/>
          </w:tcPr>
          <w:p w14:paraId="298F920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M13</w:t>
            </w:r>
          </w:p>
        </w:tc>
        <w:tc>
          <w:tcPr>
            <w:tcW w:w="2546" w:type="dxa"/>
          </w:tcPr>
          <w:p w14:paraId="03E1584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eastAsia="ja-JP"/>
              </w:rPr>
              <w:t>2.18</w:t>
            </w:r>
            <w:r w:rsidRPr="005E6B7C">
              <w:rPr>
                <w:rFonts w:asciiTheme="majorHAnsi" w:eastAsia="Times New Roman" w:hAnsiTheme="majorHAnsi" w:cstheme="majorHAnsi"/>
                <w:color w:val="000000" w:themeColor="text1"/>
                <w:sz w:val="18"/>
                <w:szCs w:val="18"/>
              </w:rPr>
              <w:t xml:space="preserve"> ± 0.02</w:t>
            </w:r>
          </w:p>
        </w:tc>
      </w:tr>
      <w:tr w:rsidR="00573010" w:rsidRPr="005E6B7C" w14:paraId="05B5AA58" w14:textId="77777777" w:rsidTr="006C6E2D">
        <w:trPr>
          <w:jc w:val="center"/>
        </w:trPr>
        <w:tc>
          <w:tcPr>
            <w:tcW w:w="704" w:type="dxa"/>
          </w:tcPr>
          <w:p w14:paraId="0174F5C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6</w:t>
            </w:r>
          </w:p>
        </w:tc>
        <w:tc>
          <w:tcPr>
            <w:tcW w:w="1276" w:type="dxa"/>
            <w:vAlign w:val="center"/>
          </w:tcPr>
          <w:p w14:paraId="7F0581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M6</w:t>
            </w:r>
          </w:p>
        </w:tc>
        <w:tc>
          <w:tcPr>
            <w:tcW w:w="3118" w:type="dxa"/>
          </w:tcPr>
          <w:p w14:paraId="11580D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1.06 ± 0.03</w:t>
            </w:r>
          </w:p>
        </w:tc>
        <w:tc>
          <w:tcPr>
            <w:tcW w:w="567" w:type="dxa"/>
          </w:tcPr>
          <w:p w14:paraId="7A0B6115"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14</w:t>
            </w:r>
          </w:p>
        </w:tc>
        <w:tc>
          <w:tcPr>
            <w:tcW w:w="1418" w:type="dxa"/>
          </w:tcPr>
          <w:p w14:paraId="219864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M14</w:t>
            </w:r>
          </w:p>
        </w:tc>
        <w:tc>
          <w:tcPr>
            <w:tcW w:w="2546" w:type="dxa"/>
          </w:tcPr>
          <w:p w14:paraId="6E5674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eastAsia="ja-JP"/>
              </w:rPr>
              <w:t>2.35</w:t>
            </w:r>
            <w:r w:rsidRPr="005E6B7C">
              <w:rPr>
                <w:rFonts w:asciiTheme="majorHAnsi" w:eastAsia="Times New Roman" w:hAnsiTheme="majorHAnsi" w:cstheme="majorHAnsi"/>
                <w:color w:val="000000" w:themeColor="text1"/>
                <w:sz w:val="18"/>
                <w:szCs w:val="18"/>
              </w:rPr>
              <w:t xml:space="preserve"> ± 0.05</w:t>
            </w:r>
          </w:p>
        </w:tc>
      </w:tr>
      <w:tr w:rsidR="00573010" w:rsidRPr="005E6B7C" w14:paraId="3BC19977" w14:textId="77777777" w:rsidTr="006C6E2D">
        <w:trPr>
          <w:jc w:val="center"/>
        </w:trPr>
        <w:tc>
          <w:tcPr>
            <w:tcW w:w="704" w:type="dxa"/>
          </w:tcPr>
          <w:p w14:paraId="25549A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7</w:t>
            </w:r>
          </w:p>
        </w:tc>
        <w:tc>
          <w:tcPr>
            <w:tcW w:w="1276" w:type="dxa"/>
            <w:vAlign w:val="center"/>
          </w:tcPr>
          <w:p w14:paraId="39B26B3A"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M7</w:t>
            </w:r>
          </w:p>
        </w:tc>
        <w:tc>
          <w:tcPr>
            <w:tcW w:w="3118" w:type="dxa"/>
          </w:tcPr>
          <w:p w14:paraId="0CC865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1.03 ± 0.02</w:t>
            </w:r>
          </w:p>
        </w:tc>
        <w:tc>
          <w:tcPr>
            <w:tcW w:w="567" w:type="dxa"/>
          </w:tcPr>
          <w:p w14:paraId="7EED28D0"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15</w:t>
            </w:r>
          </w:p>
        </w:tc>
        <w:tc>
          <w:tcPr>
            <w:tcW w:w="1418" w:type="dxa"/>
          </w:tcPr>
          <w:p w14:paraId="6B43BC2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M15</w:t>
            </w:r>
          </w:p>
        </w:tc>
        <w:tc>
          <w:tcPr>
            <w:tcW w:w="2546" w:type="dxa"/>
          </w:tcPr>
          <w:p w14:paraId="20962978"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eastAsia="ja-JP"/>
              </w:rPr>
              <w:t>2.52</w:t>
            </w:r>
            <w:r w:rsidRPr="005E6B7C">
              <w:rPr>
                <w:rFonts w:asciiTheme="majorHAnsi" w:eastAsia="Times New Roman" w:hAnsiTheme="majorHAnsi" w:cstheme="majorHAnsi"/>
                <w:color w:val="000000" w:themeColor="text1"/>
                <w:sz w:val="18"/>
                <w:szCs w:val="18"/>
              </w:rPr>
              <w:t xml:space="preserve"> ± 0.03</w:t>
            </w:r>
          </w:p>
        </w:tc>
      </w:tr>
      <w:tr w:rsidR="00573010" w:rsidRPr="005E6B7C" w14:paraId="35929E98" w14:textId="77777777" w:rsidTr="006C6E2D">
        <w:trPr>
          <w:jc w:val="center"/>
        </w:trPr>
        <w:tc>
          <w:tcPr>
            <w:tcW w:w="704" w:type="dxa"/>
          </w:tcPr>
          <w:p w14:paraId="0D293EE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8</w:t>
            </w:r>
          </w:p>
        </w:tc>
        <w:tc>
          <w:tcPr>
            <w:tcW w:w="1276" w:type="dxa"/>
            <w:vAlign w:val="center"/>
          </w:tcPr>
          <w:p w14:paraId="025EE1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M8</w:t>
            </w:r>
          </w:p>
        </w:tc>
        <w:tc>
          <w:tcPr>
            <w:tcW w:w="3118" w:type="dxa"/>
          </w:tcPr>
          <w:p w14:paraId="0CEFBE8E"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0.25 ± 0.01</w:t>
            </w:r>
          </w:p>
        </w:tc>
        <w:tc>
          <w:tcPr>
            <w:tcW w:w="567" w:type="dxa"/>
          </w:tcPr>
          <w:p w14:paraId="646E01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16</w:t>
            </w:r>
          </w:p>
        </w:tc>
        <w:tc>
          <w:tcPr>
            <w:tcW w:w="1418" w:type="dxa"/>
          </w:tcPr>
          <w:p w14:paraId="6B4E29E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M16</w:t>
            </w:r>
          </w:p>
        </w:tc>
        <w:tc>
          <w:tcPr>
            <w:tcW w:w="2546" w:type="dxa"/>
          </w:tcPr>
          <w:p w14:paraId="30AB456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lang w:eastAsia="ja-JP"/>
              </w:rPr>
              <w:t>2.64</w:t>
            </w:r>
            <w:r w:rsidRPr="005E6B7C">
              <w:rPr>
                <w:rFonts w:asciiTheme="majorHAnsi" w:eastAsia="Times New Roman" w:hAnsiTheme="majorHAnsi" w:cstheme="majorHAnsi"/>
                <w:color w:val="000000" w:themeColor="text1"/>
                <w:sz w:val="18"/>
                <w:szCs w:val="18"/>
              </w:rPr>
              <w:t xml:space="preserve"> ± 0.03</w:t>
            </w:r>
          </w:p>
        </w:tc>
      </w:tr>
    </w:tbl>
    <w:p w14:paraId="54DAF1B4" w14:textId="77777777" w:rsidR="00E049CB" w:rsidRPr="005E6B7C" w:rsidRDefault="00E049CB" w:rsidP="008C0D47">
      <w:pPr>
        <w:tabs>
          <w:tab w:val="left" w:pos="270"/>
          <w:tab w:val="left" w:pos="540"/>
          <w:tab w:val="left" w:pos="9270"/>
        </w:tabs>
        <w:spacing w:before="120"/>
        <w:ind w:right="-20" w:firstLine="284"/>
        <w:jc w:val="both"/>
        <w:rPr>
          <w:rFonts w:asciiTheme="majorHAnsi" w:eastAsia="Yu Mincho" w:hAnsiTheme="majorHAnsi" w:cstheme="majorHAnsi"/>
          <w:i/>
          <w:color w:val="000000" w:themeColor="text1"/>
          <w:sz w:val="18"/>
          <w:szCs w:val="18"/>
        </w:rPr>
      </w:pPr>
      <w:r w:rsidRPr="005E6B7C">
        <w:rPr>
          <w:rFonts w:asciiTheme="majorHAnsi" w:eastAsia="Yu Mincho" w:hAnsiTheme="majorHAnsi" w:cstheme="majorHAnsi"/>
          <w:i/>
          <w:color w:val="000000" w:themeColor="text1"/>
          <w:sz w:val="18"/>
          <w:szCs w:val="18"/>
        </w:rPr>
        <w:t>*</w:t>
      </w:r>
      <w:r w:rsidR="006C6E2D" w:rsidRPr="005E6B7C">
        <w:rPr>
          <w:rFonts w:asciiTheme="majorHAnsi" w:eastAsia="Yu Mincho" w:hAnsiTheme="majorHAnsi" w:cstheme="majorHAnsi"/>
          <w:i/>
          <w:color w:val="000000" w:themeColor="text1"/>
          <w:sz w:val="18"/>
          <w:szCs w:val="18"/>
        </w:rPr>
        <w:t xml:space="preserve"> </w:t>
      </w:r>
      <w:r w:rsidRPr="005E6B7C">
        <w:rPr>
          <w:rFonts w:asciiTheme="majorHAnsi" w:eastAsia="Yu Mincho" w:hAnsiTheme="majorHAnsi" w:cstheme="majorHAnsi"/>
          <w:i/>
          <w:color w:val="000000" w:themeColor="text1"/>
          <w:sz w:val="18"/>
          <w:szCs w:val="18"/>
        </w:rPr>
        <w:t>These results were calculated on a dry sample</w:t>
      </w:r>
      <w:r w:rsidR="005D308C" w:rsidRPr="005E6B7C">
        <w:rPr>
          <w:rFonts w:asciiTheme="majorHAnsi" w:eastAsia="Yu Mincho" w:hAnsiTheme="majorHAnsi" w:cstheme="majorHAnsi"/>
          <w:i/>
          <w:color w:val="000000" w:themeColor="text1"/>
          <w:sz w:val="18"/>
          <w:szCs w:val="18"/>
        </w:rPr>
        <w:t>.</w:t>
      </w:r>
    </w:p>
    <w:p w14:paraId="6E7760FA" w14:textId="77777777" w:rsidR="00EC45B5" w:rsidRPr="005E6B7C" w:rsidRDefault="00EC45B5" w:rsidP="008C0D47">
      <w:pPr>
        <w:tabs>
          <w:tab w:val="left" w:pos="270"/>
          <w:tab w:val="left" w:pos="540"/>
          <w:tab w:val="left" w:pos="720"/>
          <w:tab w:val="left" w:pos="3228"/>
          <w:tab w:val="left" w:pos="9270"/>
        </w:tabs>
        <w:ind w:right="-20"/>
        <w:jc w:val="both"/>
        <w:rPr>
          <w:rFonts w:asciiTheme="majorHAnsi" w:eastAsia="Yu Mincho" w:hAnsiTheme="majorHAnsi" w:cstheme="majorHAnsi"/>
          <w:color w:val="000000" w:themeColor="text1"/>
          <w:sz w:val="22"/>
          <w:szCs w:val="22"/>
          <w:lang w:eastAsia="ja-JP"/>
        </w:rPr>
      </w:pPr>
    </w:p>
    <w:p w14:paraId="74D047CF" w14:textId="77777777" w:rsidR="00E538FA" w:rsidRPr="005E6B7C" w:rsidRDefault="00E538FA" w:rsidP="008C0D47">
      <w:pPr>
        <w:tabs>
          <w:tab w:val="left" w:pos="270"/>
          <w:tab w:val="left" w:pos="540"/>
          <w:tab w:val="left" w:pos="720"/>
          <w:tab w:val="left" w:pos="3228"/>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sectPr w:rsidR="00E538FA" w:rsidRPr="005E6B7C" w:rsidSect="002206BB">
          <w:type w:val="continuous"/>
          <w:pgSz w:w="10773" w:h="15309" w:code="9"/>
          <w:pgMar w:top="907" w:right="851" w:bottom="1418" w:left="851" w:header="397" w:footer="851" w:gutter="0"/>
          <w:cols w:space="284"/>
          <w:docGrid w:linePitch="360"/>
        </w:sectPr>
      </w:pPr>
    </w:p>
    <w:p w14:paraId="755FCD1A" w14:textId="72EC9531" w:rsidR="00E049CB" w:rsidRPr="005E6B7C" w:rsidRDefault="00E049CB" w:rsidP="008C0D47">
      <w:pPr>
        <w:tabs>
          <w:tab w:val="left" w:pos="270"/>
          <w:tab w:val="left" w:pos="540"/>
          <w:tab w:val="left" w:pos="720"/>
          <w:tab w:val="left" w:pos="3228"/>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total polyphenol content among these samples showed a wide fluctuation, from 0.25% to 2.64%. </w:t>
      </w:r>
      <w:r w:rsidRPr="005E6B7C">
        <w:rPr>
          <w:rFonts w:asciiTheme="majorHAnsi" w:eastAsia="Yu Mincho" w:hAnsiTheme="majorHAnsi" w:cstheme="majorHAnsi"/>
          <w:color w:val="000000" w:themeColor="text1"/>
          <w:sz w:val="22"/>
          <w:szCs w:val="22"/>
          <w:lang w:val="en" w:eastAsia="ja-JP"/>
        </w:rPr>
        <w:t xml:space="preserve">The </w:t>
      </w:r>
      <w:r w:rsidRPr="005E6B7C">
        <w:rPr>
          <w:rFonts w:asciiTheme="majorHAnsi" w:eastAsia="Yu Mincho" w:hAnsiTheme="majorHAnsi" w:cstheme="majorHAnsi"/>
          <w:i/>
          <w:color w:val="000000" w:themeColor="text1"/>
          <w:sz w:val="22"/>
          <w:szCs w:val="22"/>
          <w:lang w:eastAsia="ja-JP"/>
        </w:rPr>
        <w:t>H. occulta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 w:eastAsia="ja-JP"/>
        </w:rPr>
        <w:t>samples collected in Bac Ninh, Lai Chau, and Yen Bai</w:t>
      </w:r>
      <w:r w:rsidR="00FA461B" w:rsidRPr="005E6B7C">
        <w:rPr>
          <w:rFonts w:asciiTheme="majorHAnsi" w:eastAsia="Yu Mincho" w:hAnsiTheme="majorHAnsi" w:cstheme="majorHAnsi"/>
          <w:color w:val="000000" w:themeColor="text1"/>
          <w:sz w:val="22"/>
          <w:szCs w:val="22"/>
          <w:lang w:val="vi-VN" w:eastAsia="ja-JP"/>
        </w:rPr>
        <w:t xml:space="preserve"> provinces</w:t>
      </w:r>
      <w:r w:rsidRPr="005E6B7C">
        <w:rPr>
          <w:rFonts w:asciiTheme="majorHAnsi" w:eastAsia="Yu Mincho" w:hAnsiTheme="majorHAnsi" w:cstheme="majorHAnsi"/>
          <w:color w:val="000000" w:themeColor="text1"/>
          <w:sz w:val="22"/>
          <w:szCs w:val="22"/>
          <w:lang w:val="en" w:eastAsia="ja-JP"/>
        </w:rPr>
        <w:t xml:space="preserve"> (</w:t>
      </w:r>
      <w:r w:rsidRPr="005E6B7C">
        <w:rPr>
          <w:rFonts w:asciiTheme="majorHAnsi" w:eastAsia="Yu Mincho" w:hAnsiTheme="majorHAnsi" w:cstheme="majorHAnsi"/>
          <w:b/>
          <w:color w:val="000000" w:themeColor="text1"/>
          <w:sz w:val="22"/>
          <w:szCs w:val="22"/>
          <w:lang w:val="en" w:eastAsia="ja-JP"/>
        </w:rPr>
        <w:t>M11</w:t>
      </w:r>
      <w:r w:rsidRPr="005E6B7C">
        <w:rPr>
          <w:rFonts w:asciiTheme="majorHAnsi" w:eastAsia="Yu Mincho" w:hAnsiTheme="majorHAnsi" w:cstheme="majorHAnsi"/>
          <w:color w:val="000000" w:themeColor="text1"/>
          <w:sz w:val="22"/>
          <w:szCs w:val="22"/>
          <w:lang w:val="en" w:eastAsia="ja-JP"/>
        </w:rPr>
        <w:t>-</w:t>
      </w:r>
      <w:r w:rsidRPr="005E6B7C">
        <w:rPr>
          <w:rFonts w:asciiTheme="majorHAnsi" w:eastAsia="Yu Mincho" w:hAnsiTheme="majorHAnsi" w:cstheme="majorHAnsi"/>
          <w:b/>
          <w:color w:val="000000" w:themeColor="text1"/>
          <w:sz w:val="22"/>
          <w:szCs w:val="22"/>
          <w:lang w:val="en" w:eastAsia="ja-JP"/>
        </w:rPr>
        <w:t>M16</w:t>
      </w:r>
      <w:r w:rsidRPr="005E6B7C">
        <w:rPr>
          <w:rFonts w:asciiTheme="majorHAnsi" w:eastAsia="Yu Mincho" w:hAnsiTheme="majorHAnsi" w:cstheme="majorHAnsi"/>
          <w:color w:val="000000" w:themeColor="text1"/>
          <w:sz w:val="22"/>
          <w:szCs w:val="22"/>
          <w:lang w:val="en" w:eastAsia="ja-JP"/>
        </w:rPr>
        <w:t xml:space="preserve">) had total polyphenol content greater than 2%, significantly higher than the total polyphenol content in the </w:t>
      </w:r>
      <w:r w:rsidRPr="005E6B7C">
        <w:rPr>
          <w:rFonts w:asciiTheme="majorHAnsi" w:eastAsia="Yu Mincho" w:hAnsiTheme="majorHAnsi" w:cstheme="majorHAnsi"/>
          <w:i/>
          <w:color w:val="000000" w:themeColor="text1"/>
          <w:sz w:val="22"/>
          <w:szCs w:val="22"/>
          <w:lang w:eastAsia="ja-JP"/>
        </w:rPr>
        <w:t>H. occulta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 w:eastAsia="ja-JP"/>
        </w:rPr>
        <w:t>samples collected in Lang Son (</w:t>
      </w:r>
      <w:r w:rsidRPr="005E6B7C">
        <w:rPr>
          <w:rFonts w:asciiTheme="majorHAnsi" w:eastAsia="Yu Mincho" w:hAnsiTheme="majorHAnsi" w:cstheme="majorHAnsi"/>
          <w:b/>
          <w:color w:val="000000" w:themeColor="text1"/>
          <w:sz w:val="22"/>
          <w:szCs w:val="22"/>
          <w:lang w:val="en" w:eastAsia="ja-JP"/>
        </w:rPr>
        <w:t>M1</w:t>
      </w:r>
      <w:r w:rsidRPr="005E6B7C">
        <w:rPr>
          <w:rFonts w:asciiTheme="majorHAnsi" w:eastAsia="Yu Mincho" w:hAnsiTheme="majorHAnsi" w:cstheme="majorHAnsi"/>
          <w:color w:val="000000" w:themeColor="text1"/>
          <w:sz w:val="22"/>
          <w:szCs w:val="22"/>
          <w:lang w:val="en" w:eastAsia="ja-JP"/>
        </w:rPr>
        <w:t>-</w:t>
      </w:r>
      <w:r w:rsidRPr="005E6B7C">
        <w:rPr>
          <w:rFonts w:asciiTheme="majorHAnsi" w:eastAsia="Yu Mincho" w:hAnsiTheme="majorHAnsi" w:cstheme="majorHAnsi"/>
          <w:b/>
          <w:color w:val="000000" w:themeColor="text1"/>
          <w:sz w:val="22"/>
          <w:szCs w:val="22"/>
          <w:lang w:val="en" w:eastAsia="ja-JP"/>
        </w:rPr>
        <w:t>M10</w:t>
      </w:r>
      <w:r w:rsidRPr="005E6B7C">
        <w:rPr>
          <w:rFonts w:asciiTheme="majorHAnsi" w:eastAsia="Yu Mincho" w:hAnsiTheme="majorHAnsi" w:cstheme="majorHAnsi"/>
          <w:color w:val="000000" w:themeColor="text1"/>
          <w:sz w:val="22"/>
          <w:szCs w:val="22"/>
          <w:lang w:val="en" w:eastAsia="ja-JP"/>
        </w:rPr>
        <w:t>).</w:t>
      </w:r>
    </w:p>
    <w:p w14:paraId="774C56DA" w14:textId="77777777" w:rsidR="00E049CB" w:rsidRPr="005E6B7C" w:rsidRDefault="00E049CB" w:rsidP="008C0D47">
      <w:pPr>
        <w:tabs>
          <w:tab w:val="left" w:pos="270"/>
          <w:tab w:val="left" w:pos="540"/>
          <w:tab w:val="left" w:pos="720"/>
          <w:tab w:val="left" w:pos="3228"/>
          <w:tab w:val="left" w:pos="9270"/>
        </w:tabs>
        <w:spacing w:line="240" w:lineRule="exact"/>
        <w:ind w:right="-23" w:firstLine="284"/>
        <w:jc w:val="both"/>
        <w:rPr>
          <w:rFonts w:asciiTheme="majorHAnsi" w:eastAsia="Yu Mincho" w:hAnsiTheme="majorHAnsi" w:cstheme="majorHAnsi"/>
          <w:bCs/>
          <w:i/>
          <w:iCs/>
          <w:color w:val="000000" w:themeColor="text1"/>
          <w:sz w:val="22"/>
          <w:szCs w:val="22"/>
          <w:shd w:val="clear" w:color="auto" w:fill="FFFFFF"/>
          <w:lang w:eastAsia="ja-JP"/>
        </w:rPr>
      </w:pPr>
      <w:r w:rsidRPr="005E6B7C">
        <w:rPr>
          <w:rFonts w:asciiTheme="majorHAnsi" w:eastAsia="Yu Mincho" w:hAnsiTheme="majorHAnsi" w:cstheme="majorHAnsi"/>
          <w:bCs/>
          <w:i/>
          <w:noProof/>
          <w:color w:val="000000" w:themeColor="text1"/>
          <w:sz w:val="22"/>
          <w:szCs w:val="22"/>
          <w:lang w:eastAsia="ja-JP"/>
        </w:rPr>
        <w:t xml:space="preserve">3.2. </w:t>
      </w:r>
      <w:r w:rsidRPr="005E6B7C">
        <w:rPr>
          <w:rFonts w:asciiTheme="majorHAnsi" w:eastAsia="Yu Mincho" w:hAnsiTheme="majorHAnsi" w:cstheme="majorHAnsi"/>
          <w:bCs/>
          <w:i/>
          <w:iCs/>
          <w:color w:val="000000" w:themeColor="text1"/>
          <w:sz w:val="22"/>
          <w:szCs w:val="22"/>
          <w:shd w:val="clear" w:color="auto" w:fill="FFFFFF"/>
          <w:lang w:eastAsia="ja-JP"/>
        </w:rPr>
        <w:t>Determination of total essential oil content in </w:t>
      </w:r>
      <w:r w:rsidRPr="005E6B7C">
        <w:rPr>
          <w:rFonts w:asciiTheme="majorHAnsi" w:eastAsia="Yu Mincho" w:hAnsiTheme="majorHAnsi" w:cstheme="majorHAnsi"/>
          <w:bCs/>
          <w:i/>
          <w:color w:val="000000" w:themeColor="text1"/>
          <w:sz w:val="22"/>
          <w:szCs w:val="22"/>
          <w:shd w:val="clear" w:color="auto" w:fill="FFFFFF"/>
          <w:lang w:eastAsia="ja-JP"/>
        </w:rPr>
        <w:t xml:space="preserve">the </w:t>
      </w:r>
      <w:r w:rsidRPr="005E6B7C">
        <w:rPr>
          <w:rFonts w:asciiTheme="majorHAnsi" w:eastAsia="Yu Mincho" w:hAnsiTheme="majorHAnsi" w:cstheme="majorHAnsi"/>
          <w:bCs/>
          <w:i/>
          <w:color w:val="000000" w:themeColor="text1"/>
          <w:sz w:val="22"/>
          <w:szCs w:val="22"/>
          <w:lang w:eastAsia="ja-JP"/>
        </w:rPr>
        <w:t>rhizome of</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shd w:val="clear" w:color="auto" w:fill="FFFFFF"/>
          <w:lang w:eastAsia="ja-JP"/>
        </w:rPr>
        <w:t>H. occulta</w:t>
      </w:r>
      <w:r w:rsidRPr="005E6B7C">
        <w:rPr>
          <w:rFonts w:asciiTheme="majorHAnsi" w:eastAsia="Yu Mincho" w:hAnsiTheme="majorHAnsi" w:cstheme="majorHAnsi"/>
          <w:bCs/>
          <w:i/>
          <w:color w:val="000000" w:themeColor="text1"/>
          <w:sz w:val="22"/>
          <w:szCs w:val="22"/>
          <w:lang w:eastAsia="ja-JP"/>
        </w:rPr>
        <w:t xml:space="preserve"> samples</w:t>
      </w:r>
    </w:p>
    <w:p w14:paraId="46ACE580" w14:textId="77777777" w:rsidR="00E538FA" w:rsidRPr="005E6B7C" w:rsidRDefault="00E049CB"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Determination of total essential oil content in </w:t>
      </w:r>
      <w:r w:rsidRPr="005E6B7C">
        <w:rPr>
          <w:rFonts w:asciiTheme="majorHAnsi" w:eastAsia="Yu Mincho" w:hAnsiTheme="majorHAnsi" w:cstheme="majorHAnsi"/>
          <w:i/>
          <w:color w:val="000000" w:themeColor="text1"/>
          <w:sz w:val="22"/>
          <w:szCs w:val="22"/>
          <w:lang w:eastAsia="ja-JP"/>
        </w:rPr>
        <w:t>H. occulta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en" w:eastAsia="ja-JP"/>
        </w:rPr>
        <w:t>samples was conducted according to the method presented in Section 2.4.2</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The results of total essential oil content analysis in </w:t>
      </w:r>
      <w:r w:rsidRPr="005E6B7C">
        <w:rPr>
          <w:rFonts w:asciiTheme="majorHAnsi" w:eastAsia="Yu Mincho" w:hAnsiTheme="majorHAnsi" w:cstheme="majorHAnsi"/>
          <w:bCs/>
          <w:i/>
          <w:color w:val="000000" w:themeColor="text1"/>
          <w:sz w:val="22"/>
          <w:szCs w:val="22"/>
          <w:lang w:eastAsia="ja-JP"/>
        </w:rPr>
        <w:t>H. occulta</w:t>
      </w:r>
      <w:r w:rsidRPr="005E6B7C">
        <w:rPr>
          <w:rFonts w:asciiTheme="majorHAnsi" w:eastAsia="Yu Mincho" w:hAnsiTheme="majorHAnsi" w:cstheme="majorHAnsi"/>
          <w:color w:val="000000" w:themeColor="text1"/>
          <w:sz w:val="22"/>
          <w:szCs w:val="22"/>
          <w:lang w:val="vi-VN" w:eastAsia="ja-JP"/>
        </w:rPr>
        <w:t xml:space="preserve"> samples are presented in Table 3</w:t>
      </w:r>
      <w:r w:rsidRPr="005E6B7C">
        <w:rPr>
          <w:rFonts w:asciiTheme="majorHAnsi" w:eastAsia="Yu Mincho" w:hAnsiTheme="majorHAnsi" w:cstheme="majorHAnsi"/>
          <w:color w:val="000000" w:themeColor="text1"/>
          <w:sz w:val="22"/>
          <w:szCs w:val="22"/>
          <w:lang w:eastAsia="ja-JP"/>
        </w:rPr>
        <w:t>.</w:t>
      </w:r>
    </w:p>
    <w:p w14:paraId="71ED4686" w14:textId="77777777" w:rsidR="00E538FA" w:rsidRPr="005E6B7C" w:rsidRDefault="00E538FA" w:rsidP="008C0D47">
      <w:pPr>
        <w:tabs>
          <w:tab w:val="left" w:pos="270"/>
          <w:tab w:val="left" w:pos="540"/>
          <w:tab w:val="left" w:pos="9270"/>
        </w:tabs>
        <w:spacing w:line="240" w:lineRule="exact"/>
        <w:ind w:right="-23" w:firstLine="284"/>
        <w:jc w:val="both"/>
        <w:rPr>
          <w:rFonts w:asciiTheme="majorHAnsi" w:eastAsia="Yu Mincho" w:hAnsiTheme="majorHAnsi" w:cstheme="majorHAnsi"/>
          <w:color w:val="000000" w:themeColor="text1"/>
          <w:sz w:val="22"/>
          <w:szCs w:val="22"/>
          <w:lang w:eastAsia="ja-JP"/>
        </w:rPr>
        <w:sectPr w:rsidR="00E538FA" w:rsidRPr="005E6B7C" w:rsidSect="00E538FA">
          <w:type w:val="continuous"/>
          <w:pgSz w:w="10773" w:h="15309" w:code="9"/>
          <w:pgMar w:top="907" w:right="851" w:bottom="1418" w:left="851" w:header="397" w:footer="851" w:gutter="0"/>
          <w:cols w:num="2" w:space="284"/>
          <w:docGrid w:linePitch="360"/>
        </w:sectPr>
      </w:pPr>
    </w:p>
    <w:p w14:paraId="36B77984" w14:textId="77777777" w:rsidR="00E049CB" w:rsidRPr="005E6B7C" w:rsidRDefault="00E049CB" w:rsidP="008C0D47">
      <w:pPr>
        <w:tabs>
          <w:tab w:val="left" w:pos="270"/>
          <w:tab w:val="left" w:pos="540"/>
          <w:tab w:val="left" w:pos="9270"/>
        </w:tabs>
        <w:spacing w:before="120" w:after="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 xml:space="preserve">Table </w:t>
      </w:r>
      <w:r w:rsidRPr="005E6B7C">
        <w:rPr>
          <w:rFonts w:asciiTheme="majorHAnsi" w:eastAsia="Calibri" w:hAnsiTheme="majorHAnsi" w:cstheme="majorHAnsi"/>
          <w:b/>
          <w:color w:val="000000" w:themeColor="text1"/>
          <w:kern w:val="2"/>
          <w:sz w:val="18"/>
          <w:szCs w:val="18"/>
          <w14:ligatures w14:val="standardContextual"/>
        </w:rPr>
        <w:fldChar w:fldCharType="begin"/>
      </w:r>
      <w:r w:rsidRPr="005E6B7C">
        <w:rPr>
          <w:rFonts w:asciiTheme="majorHAnsi" w:eastAsia="Calibri" w:hAnsiTheme="majorHAnsi" w:cstheme="majorHAnsi"/>
          <w:b/>
          <w:color w:val="000000" w:themeColor="text1"/>
          <w:kern w:val="2"/>
          <w:sz w:val="18"/>
          <w:szCs w:val="18"/>
          <w14:ligatures w14:val="standardContextual"/>
        </w:rPr>
        <w:instrText xml:space="preserve"> SEQ Table \* ARABIC </w:instrText>
      </w:r>
      <w:r w:rsidRPr="005E6B7C">
        <w:rPr>
          <w:rFonts w:asciiTheme="majorHAnsi" w:eastAsia="Calibri" w:hAnsiTheme="majorHAnsi" w:cstheme="majorHAnsi"/>
          <w:b/>
          <w:color w:val="000000" w:themeColor="text1"/>
          <w:kern w:val="2"/>
          <w:sz w:val="18"/>
          <w:szCs w:val="18"/>
          <w14:ligatures w14:val="standardContextual"/>
        </w:rPr>
        <w:fldChar w:fldCharType="separate"/>
      </w:r>
      <w:r w:rsidR="007967DB" w:rsidRPr="005E6B7C">
        <w:rPr>
          <w:rFonts w:asciiTheme="majorHAnsi" w:eastAsia="Calibri" w:hAnsiTheme="majorHAnsi" w:cstheme="majorHAnsi"/>
          <w:b/>
          <w:noProof/>
          <w:color w:val="000000" w:themeColor="text1"/>
          <w:kern w:val="2"/>
          <w:sz w:val="18"/>
          <w:szCs w:val="18"/>
          <w14:ligatures w14:val="standardContextual"/>
        </w:rPr>
        <w:t>3</w:t>
      </w:r>
      <w:r w:rsidRPr="005E6B7C">
        <w:rPr>
          <w:rFonts w:asciiTheme="majorHAnsi" w:eastAsia="Calibri" w:hAnsiTheme="majorHAnsi" w:cstheme="majorHAnsi"/>
          <w:b/>
          <w:noProof/>
          <w:color w:val="000000" w:themeColor="text1"/>
          <w:kern w:val="2"/>
          <w:sz w:val="18"/>
          <w:szCs w:val="18"/>
          <w14:ligatures w14:val="standardContextual"/>
        </w:rPr>
        <w:fldChar w:fldCharType="end"/>
      </w:r>
      <w:r w:rsidRPr="005E6B7C">
        <w:rPr>
          <w:rFonts w:asciiTheme="majorHAnsi" w:eastAsia="Calibri" w:hAnsiTheme="majorHAnsi" w:cstheme="majorHAnsi"/>
          <w:b/>
          <w:color w:val="000000" w:themeColor="text1"/>
          <w:kern w:val="2"/>
          <w:sz w:val="18"/>
          <w:szCs w:val="18"/>
          <w14:ligatures w14:val="standardContextual"/>
        </w:rPr>
        <w:t>.</w:t>
      </w:r>
      <w:r w:rsidRPr="005E6B7C">
        <w:rPr>
          <w:rFonts w:asciiTheme="majorHAnsi" w:eastAsia="Calibri" w:hAnsiTheme="majorHAnsi" w:cstheme="majorHAnsi"/>
          <w:b/>
          <w:color w:val="000000" w:themeColor="text1"/>
          <w:kern w:val="2"/>
          <w:sz w:val="18"/>
          <w:szCs w:val="18"/>
          <w:shd w:val="clear" w:color="auto" w:fill="FFFFFF"/>
          <w14:ligatures w14:val="standardContextual"/>
        </w:rPr>
        <w:t xml:space="preserve"> </w:t>
      </w:r>
      <w:r w:rsidRPr="005E6B7C">
        <w:rPr>
          <w:rFonts w:asciiTheme="majorHAnsi" w:eastAsia="Calibri" w:hAnsiTheme="majorHAnsi" w:cstheme="majorHAnsi"/>
          <w:bCs/>
          <w:color w:val="000000" w:themeColor="text1"/>
          <w:kern w:val="2"/>
          <w:sz w:val="18"/>
          <w:szCs w:val="18"/>
          <w:shd w:val="clear" w:color="auto" w:fill="FFFFFF"/>
          <w14:ligatures w14:val="standardContextual"/>
        </w:rPr>
        <w:t xml:space="preserve">Total </w:t>
      </w:r>
      <w:r w:rsidRPr="005E6B7C">
        <w:rPr>
          <w:rFonts w:asciiTheme="majorHAnsi" w:eastAsia="Calibri" w:hAnsiTheme="majorHAnsi" w:cstheme="majorHAnsi"/>
          <w:bCs/>
          <w:color w:val="000000" w:themeColor="text1"/>
          <w:kern w:val="2"/>
          <w:sz w:val="18"/>
          <w:szCs w:val="18"/>
          <w14:ligatures w14:val="standardContextual"/>
        </w:rPr>
        <w:t xml:space="preserve">essential oil content of </w:t>
      </w:r>
      <w:r w:rsidRPr="005E6B7C">
        <w:rPr>
          <w:rFonts w:asciiTheme="majorHAnsi" w:eastAsia="Calibri" w:hAnsiTheme="majorHAnsi" w:cstheme="majorHAnsi"/>
          <w:bCs/>
          <w:color w:val="000000" w:themeColor="text1"/>
          <w:kern w:val="2"/>
          <w:sz w:val="18"/>
          <w:szCs w:val="18"/>
          <w:shd w:val="clear" w:color="auto" w:fill="FFFFFF"/>
          <w14:ligatures w14:val="standardContextual"/>
        </w:rPr>
        <w:t xml:space="preserve">the </w:t>
      </w:r>
      <w:r w:rsidRPr="005E6B7C">
        <w:rPr>
          <w:rFonts w:asciiTheme="majorHAnsi" w:eastAsia="Calibri" w:hAnsiTheme="majorHAnsi" w:cstheme="majorHAnsi"/>
          <w:bCs/>
          <w:color w:val="000000" w:themeColor="text1"/>
          <w:kern w:val="2"/>
          <w:sz w:val="18"/>
          <w:szCs w:val="18"/>
          <w14:ligatures w14:val="standardContextual"/>
        </w:rPr>
        <w:t xml:space="preserve">rhizome of </w:t>
      </w:r>
      <w:r w:rsidRPr="005E6B7C">
        <w:rPr>
          <w:rFonts w:asciiTheme="majorHAnsi" w:eastAsia="Calibri" w:hAnsiTheme="majorHAnsi" w:cstheme="majorHAnsi"/>
          <w:bCs/>
          <w:i/>
          <w:color w:val="000000" w:themeColor="text1"/>
          <w:kern w:val="2"/>
          <w:sz w:val="18"/>
          <w:szCs w:val="18"/>
          <w14:ligatures w14:val="standardContextual"/>
        </w:rPr>
        <w:t>H. occulta</w:t>
      </w:r>
      <w:r w:rsidRPr="005E6B7C">
        <w:rPr>
          <w:rFonts w:asciiTheme="majorHAnsi" w:eastAsia="Calibri" w:hAnsiTheme="majorHAnsi" w:cstheme="majorHAnsi"/>
          <w:bCs/>
          <w:color w:val="000000" w:themeColor="text1"/>
          <w:kern w:val="2"/>
          <w:sz w:val="18"/>
          <w:szCs w:val="18"/>
          <w14:ligatures w14:val="standardContextual"/>
        </w:rPr>
        <w:t xml:space="preserve"> samples collected in Vietnam</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82"/>
        <w:gridCol w:w="1225"/>
        <w:gridCol w:w="2884"/>
        <w:gridCol w:w="558"/>
        <w:gridCol w:w="1352"/>
        <w:gridCol w:w="2371"/>
      </w:tblGrid>
      <w:tr w:rsidR="00573010" w:rsidRPr="005E6B7C" w14:paraId="74137B78" w14:textId="77777777" w:rsidTr="00E538FA">
        <w:trPr>
          <w:tblHeader/>
          <w:jc w:val="center"/>
        </w:trPr>
        <w:tc>
          <w:tcPr>
            <w:tcW w:w="704" w:type="dxa"/>
            <w:vAlign w:val="center"/>
          </w:tcPr>
          <w:p w14:paraId="37BD9A17"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No.</w:t>
            </w:r>
          </w:p>
        </w:tc>
        <w:tc>
          <w:tcPr>
            <w:tcW w:w="1276" w:type="dxa"/>
            <w:vAlign w:val="center"/>
          </w:tcPr>
          <w:p w14:paraId="7FCD35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Sample ID</w:t>
            </w:r>
          </w:p>
        </w:tc>
        <w:tc>
          <w:tcPr>
            <w:tcW w:w="3118" w:type="dxa"/>
            <w:vAlign w:val="center"/>
          </w:tcPr>
          <w:p w14:paraId="7E9304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The content of total essential oil*</w:t>
            </w:r>
          </w:p>
          <w:p w14:paraId="691E8E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(mean ± SD, n=3)</w:t>
            </w:r>
          </w:p>
        </w:tc>
        <w:tc>
          <w:tcPr>
            <w:tcW w:w="567" w:type="dxa"/>
            <w:vAlign w:val="center"/>
          </w:tcPr>
          <w:p w14:paraId="544FFB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No.</w:t>
            </w:r>
          </w:p>
        </w:tc>
        <w:tc>
          <w:tcPr>
            <w:tcW w:w="1418" w:type="dxa"/>
            <w:vAlign w:val="center"/>
          </w:tcPr>
          <w:p w14:paraId="1B746C96"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b/>
                <w:color w:val="000000" w:themeColor="text1"/>
                <w:sz w:val="18"/>
                <w:szCs w:val="18"/>
              </w:rPr>
            </w:pPr>
            <w:r w:rsidRPr="005E6B7C">
              <w:rPr>
                <w:rFonts w:asciiTheme="majorHAnsi" w:eastAsia="Yu Mincho" w:hAnsiTheme="majorHAnsi" w:cstheme="majorHAnsi"/>
                <w:b/>
                <w:color w:val="000000" w:themeColor="text1"/>
                <w:sz w:val="18"/>
                <w:szCs w:val="18"/>
              </w:rPr>
              <w:t>Sample ID</w:t>
            </w:r>
          </w:p>
        </w:tc>
        <w:tc>
          <w:tcPr>
            <w:tcW w:w="2546" w:type="dxa"/>
            <w:vAlign w:val="center"/>
          </w:tcPr>
          <w:p w14:paraId="5C7672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8"/>
                <w:szCs w:val="18"/>
              </w:rPr>
            </w:pPr>
            <w:r w:rsidRPr="005E6B7C">
              <w:rPr>
                <w:rFonts w:asciiTheme="majorHAnsi" w:eastAsia="Times New Roman" w:hAnsiTheme="majorHAnsi" w:cstheme="majorHAnsi"/>
                <w:b/>
                <w:bCs/>
                <w:color w:val="000000" w:themeColor="text1"/>
                <w:sz w:val="18"/>
                <w:szCs w:val="18"/>
              </w:rPr>
              <w:t>The content of total essential oil*</w:t>
            </w:r>
          </w:p>
          <w:p w14:paraId="4725113F" w14:textId="77777777" w:rsidR="00E049CB" w:rsidRPr="005E6B7C" w:rsidRDefault="00E049CB" w:rsidP="008C0D47">
            <w:pPr>
              <w:tabs>
                <w:tab w:val="left" w:pos="270"/>
                <w:tab w:val="left" w:pos="540"/>
                <w:tab w:val="left" w:pos="9270"/>
              </w:tabs>
              <w:spacing w:line="160" w:lineRule="exact"/>
              <w:ind w:right="-20"/>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(mean ± SD, n=3)</w:t>
            </w:r>
          </w:p>
        </w:tc>
      </w:tr>
      <w:tr w:rsidR="00573010" w:rsidRPr="005E6B7C" w14:paraId="318B2BD2" w14:textId="77777777" w:rsidTr="006C6E2D">
        <w:trPr>
          <w:jc w:val="center"/>
        </w:trPr>
        <w:tc>
          <w:tcPr>
            <w:tcW w:w="704" w:type="dxa"/>
          </w:tcPr>
          <w:p w14:paraId="2A74A5C7"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w:t>
            </w:r>
          </w:p>
        </w:tc>
        <w:tc>
          <w:tcPr>
            <w:tcW w:w="1276" w:type="dxa"/>
            <w:vAlign w:val="center"/>
          </w:tcPr>
          <w:p w14:paraId="58088E72"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M1</w:t>
            </w:r>
          </w:p>
        </w:tc>
        <w:tc>
          <w:tcPr>
            <w:tcW w:w="3118" w:type="dxa"/>
          </w:tcPr>
          <w:p w14:paraId="5B4D8C5F"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0.70 ± 0.04</w:t>
            </w:r>
          </w:p>
        </w:tc>
        <w:tc>
          <w:tcPr>
            <w:tcW w:w="567" w:type="dxa"/>
          </w:tcPr>
          <w:p w14:paraId="490EF400"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9</w:t>
            </w:r>
          </w:p>
        </w:tc>
        <w:tc>
          <w:tcPr>
            <w:tcW w:w="1418" w:type="dxa"/>
            <w:vAlign w:val="center"/>
          </w:tcPr>
          <w:p w14:paraId="5DB37585"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M9</w:t>
            </w:r>
          </w:p>
        </w:tc>
        <w:tc>
          <w:tcPr>
            <w:tcW w:w="2546" w:type="dxa"/>
          </w:tcPr>
          <w:p w14:paraId="48B06122"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0.62 ± 0.04</w:t>
            </w:r>
          </w:p>
        </w:tc>
      </w:tr>
      <w:tr w:rsidR="00573010" w:rsidRPr="005E6B7C" w14:paraId="1DACA5C2" w14:textId="77777777" w:rsidTr="006C6E2D">
        <w:trPr>
          <w:jc w:val="center"/>
        </w:trPr>
        <w:tc>
          <w:tcPr>
            <w:tcW w:w="704" w:type="dxa"/>
          </w:tcPr>
          <w:p w14:paraId="431CE24B"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2</w:t>
            </w:r>
          </w:p>
        </w:tc>
        <w:tc>
          <w:tcPr>
            <w:tcW w:w="1276" w:type="dxa"/>
            <w:vAlign w:val="center"/>
          </w:tcPr>
          <w:p w14:paraId="46222A44"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M2</w:t>
            </w:r>
          </w:p>
        </w:tc>
        <w:tc>
          <w:tcPr>
            <w:tcW w:w="3118" w:type="dxa"/>
          </w:tcPr>
          <w:p w14:paraId="27BC566F"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0.58 ± 0.03</w:t>
            </w:r>
          </w:p>
        </w:tc>
        <w:tc>
          <w:tcPr>
            <w:tcW w:w="567" w:type="dxa"/>
          </w:tcPr>
          <w:p w14:paraId="7F4CB118"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10</w:t>
            </w:r>
          </w:p>
        </w:tc>
        <w:tc>
          <w:tcPr>
            <w:tcW w:w="1418" w:type="dxa"/>
            <w:vAlign w:val="center"/>
          </w:tcPr>
          <w:p w14:paraId="3C32DE94"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M10</w:t>
            </w:r>
          </w:p>
        </w:tc>
        <w:tc>
          <w:tcPr>
            <w:tcW w:w="2546" w:type="dxa"/>
          </w:tcPr>
          <w:p w14:paraId="0691AD29"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0.62 ± 0.02</w:t>
            </w:r>
          </w:p>
        </w:tc>
      </w:tr>
      <w:tr w:rsidR="00573010" w:rsidRPr="005E6B7C" w14:paraId="07D9581F" w14:textId="77777777" w:rsidTr="006C6E2D">
        <w:trPr>
          <w:jc w:val="center"/>
        </w:trPr>
        <w:tc>
          <w:tcPr>
            <w:tcW w:w="704" w:type="dxa"/>
          </w:tcPr>
          <w:p w14:paraId="035FCF3C"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3</w:t>
            </w:r>
          </w:p>
        </w:tc>
        <w:tc>
          <w:tcPr>
            <w:tcW w:w="1276" w:type="dxa"/>
            <w:vAlign w:val="center"/>
          </w:tcPr>
          <w:p w14:paraId="0D9DD66A"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M3</w:t>
            </w:r>
          </w:p>
        </w:tc>
        <w:tc>
          <w:tcPr>
            <w:tcW w:w="3118" w:type="dxa"/>
          </w:tcPr>
          <w:p w14:paraId="7B375B0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0.92 ± 0.05</w:t>
            </w:r>
          </w:p>
        </w:tc>
        <w:tc>
          <w:tcPr>
            <w:tcW w:w="567" w:type="dxa"/>
          </w:tcPr>
          <w:p w14:paraId="15ABF011"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11</w:t>
            </w:r>
          </w:p>
        </w:tc>
        <w:tc>
          <w:tcPr>
            <w:tcW w:w="1418" w:type="dxa"/>
            <w:vAlign w:val="center"/>
          </w:tcPr>
          <w:p w14:paraId="00256B7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M11</w:t>
            </w:r>
          </w:p>
        </w:tc>
        <w:tc>
          <w:tcPr>
            <w:tcW w:w="2546" w:type="dxa"/>
          </w:tcPr>
          <w:p w14:paraId="36983295"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0.27 ± 0.03</w:t>
            </w:r>
          </w:p>
        </w:tc>
      </w:tr>
      <w:tr w:rsidR="00573010" w:rsidRPr="005E6B7C" w14:paraId="2A996441" w14:textId="77777777" w:rsidTr="006C6E2D">
        <w:trPr>
          <w:jc w:val="center"/>
        </w:trPr>
        <w:tc>
          <w:tcPr>
            <w:tcW w:w="704" w:type="dxa"/>
          </w:tcPr>
          <w:p w14:paraId="381664E5"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4</w:t>
            </w:r>
          </w:p>
        </w:tc>
        <w:tc>
          <w:tcPr>
            <w:tcW w:w="1276" w:type="dxa"/>
            <w:vAlign w:val="center"/>
          </w:tcPr>
          <w:p w14:paraId="4E29718B"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lang w:val="vi-VN"/>
              </w:rPr>
              <w:t>M4</w:t>
            </w:r>
          </w:p>
        </w:tc>
        <w:tc>
          <w:tcPr>
            <w:tcW w:w="3118" w:type="dxa"/>
          </w:tcPr>
          <w:p w14:paraId="26F5BEDC"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0.92 ± 0.05</w:t>
            </w:r>
          </w:p>
        </w:tc>
        <w:tc>
          <w:tcPr>
            <w:tcW w:w="567" w:type="dxa"/>
          </w:tcPr>
          <w:p w14:paraId="3CA7BDD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12</w:t>
            </w:r>
          </w:p>
        </w:tc>
        <w:tc>
          <w:tcPr>
            <w:tcW w:w="1418" w:type="dxa"/>
          </w:tcPr>
          <w:p w14:paraId="0A2A9243"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M12</w:t>
            </w:r>
          </w:p>
        </w:tc>
        <w:tc>
          <w:tcPr>
            <w:tcW w:w="2546" w:type="dxa"/>
          </w:tcPr>
          <w:p w14:paraId="1E39CDD0"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0.28 ± 0.04</w:t>
            </w:r>
          </w:p>
        </w:tc>
      </w:tr>
      <w:tr w:rsidR="00573010" w:rsidRPr="005E6B7C" w14:paraId="14AA96B2" w14:textId="77777777" w:rsidTr="006C6E2D">
        <w:trPr>
          <w:jc w:val="center"/>
        </w:trPr>
        <w:tc>
          <w:tcPr>
            <w:tcW w:w="704" w:type="dxa"/>
          </w:tcPr>
          <w:p w14:paraId="59A7D439"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5</w:t>
            </w:r>
          </w:p>
        </w:tc>
        <w:tc>
          <w:tcPr>
            <w:tcW w:w="1276" w:type="dxa"/>
            <w:vAlign w:val="center"/>
          </w:tcPr>
          <w:p w14:paraId="16857AE8"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M5</w:t>
            </w:r>
          </w:p>
        </w:tc>
        <w:tc>
          <w:tcPr>
            <w:tcW w:w="3118" w:type="dxa"/>
          </w:tcPr>
          <w:p w14:paraId="19C8D4D9"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0.69 ± 0.04</w:t>
            </w:r>
          </w:p>
        </w:tc>
        <w:tc>
          <w:tcPr>
            <w:tcW w:w="567" w:type="dxa"/>
          </w:tcPr>
          <w:p w14:paraId="489A5602"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13</w:t>
            </w:r>
          </w:p>
        </w:tc>
        <w:tc>
          <w:tcPr>
            <w:tcW w:w="1418" w:type="dxa"/>
          </w:tcPr>
          <w:p w14:paraId="63E26803"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M13</w:t>
            </w:r>
          </w:p>
        </w:tc>
        <w:tc>
          <w:tcPr>
            <w:tcW w:w="2546" w:type="dxa"/>
          </w:tcPr>
          <w:p w14:paraId="7FBD1A65"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0.55 ± 0.03</w:t>
            </w:r>
          </w:p>
        </w:tc>
      </w:tr>
      <w:tr w:rsidR="00573010" w:rsidRPr="005E6B7C" w14:paraId="612FB43C" w14:textId="77777777" w:rsidTr="006C6E2D">
        <w:trPr>
          <w:jc w:val="center"/>
        </w:trPr>
        <w:tc>
          <w:tcPr>
            <w:tcW w:w="704" w:type="dxa"/>
          </w:tcPr>
          <w:p w14:paraId="6F63E3D5"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lastRenderedPageBreak/>
              <w:t>6</w:t>
            </w:r>
          </w:p>
        </w:tc>
        <w:tc>
          <w:tcPr>
            <w:tcW w:w="1276" w:type="dxa"/>
            <w:vAlign w:val="center"/>
          </w:tcPr>
          <w:p w14:paraId="662852EB"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lang w:val="vi-VN"/>
              </w:rPr>
            </w:pPr>
            <w:r w:rsidRPr="005E6B7C">
              <w:rPr>
                <w:rFonts w:asciiTheme="majorHAnsi" w:eastAsia="Times New Roman" w:hAnsiTheme="majorHAnsi" w:cstheme="majorHAnsi"/>
                <w:b/>
                <w:bCs/>
                <w:color w:val="000000" w:themeColor="text1"/>
                <w:sz w:val="18"/>
                <w:szCs w:val="18"/>
                <w:lang w:val="vi-VN"/>
              </w:rPr>
              <w:t>M6</w:t>
            </w:r>
          </w:p>
        </w:tc>
        <w:tc>
          <w:tcPr>
            <w:tcW w:w="3118" w:type="dxa"/>
          </w:tcPr>
          <w:p w14:paraId="3401FAFB"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0.71 ± 0.03</w:t>
            </w:r>
          </w:p>
        </w:tc>
        <w:tc>
          <w:tcPr>
            <w:tcW w:w="567" w:type="dxa"/>
          </w:tcPr>
          <w:p w14:paraId="4B064174"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14</w:t>
            </w:r>
          </w:p>
        </w:tc>
        <w:tc>
          <w:tcPr>
            <w:tcW w:w="1418" w:type="dxa"/>
          </w:tcPr>
          <w:p w14:paraId="4A09E9EA"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M14</w:t>
            </w:r>
          </w:p>
        </w:tc>
        <w:tc>
          <w:tcPr>
            <w:tcW w:w="2546" w:type="dxa"/>
          </w:tcPr>
          <w:p w14:paraId="795F89A0"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0.52 ± 0.04</w:t>
            </w:r>
          </w:p>
        </w:tc>
      </w:tr>
      <w:tr w:rsidR="00573010" w:rsidRPr="005E6B7C" w14:paraId="502C4192" w14:textId="77777777" w:rsidTr="006C6E2D">
        <w:trPr>
          <w:jc w:val="center"/>
        </w:trPr>
        <w:tc>
          <w:tcPr>
            <w:tcW w:w="704" w:type="dxa"/>
          </w:tcPr>
          <w:p w14:paraId="7E225E6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7</w:t>
            </w:r>
          </w:p>
        </w:tc>
        <w:tc>
          <w:tcPr>
            <w:tcW w:w="1276" w:type="dxa"/>
            <w:vAlign w:val="center"/>
          </w:tcPr>
          <w:p w14:paraId="078C71E2"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M7</w:t>
            </w:r>
          </w:p>
        </w:tc>
        <w:tc>
          <w:tcPr>
            <w:tcW w:w="3118" w:type="dxa"/>
          </w:tcPr>
          <w:p w14:paraId="31F9A44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0.58 ± 0.04</w:t>
            </w:r>
          </w:p>
        </w:tc>
        <w:tc>
          <w:tcPr>
            <w:tcW w:w="567" w:type="dxa"/>
          </w:tcPr>
          <w:p w14:paraId="511FDB9C"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15</w:t>
            </w:r>
          </w:p>
        </w:tc>
        <w:tc>
          <w:tcPr>
            <w:tcW w:w="1418" w:type="dxa"/>
          </w:tcPr>
          <w:p w14:paraId="4E38C2C4"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M15</w:t>
            </w:r>
          </w:p>
        </w:tc>
        <w:tc>
          <w:tcPr>
            <w:tcW w:w="2546" w:type="dxa"/>
          </w:tcPr>
          <w:p w14:paraId="7294C3E6"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0.41 ± 0.03</w:t>
            </w:r>
          </w:p>
        </w:tc>
      </w:tr>
      <w:tr w:rsidR="00573010" w:rsidRPr="005E6B7C" w14:paraId="6D2E5F01" w14:textId="77777777" w:rsidTr="006C6E2D">
        <w:trPr>
          <w:jc w:val="center"/>
        </w:trPr>
        <w:tc>
          <w:tcPr>
            <w:tcW w:w="704" w:type="dxa"/>
          </w:tcPr>
          <w:p w14:paraId="4CDC50FC"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8</w:t>
            </w:r>
          </w:p>
        </w:tc>
        <w:tc>
          <w:tcPr>
            <w:tcW w:w="1276" w:type="dxa"/>
            <w:vAlign w:val="center"/>
          </w:tcPr>
          <w:p w14:paraId="3B1BB04F"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M8</w:t>
            </w:r>
          </w:p>
        </w:tc>
        <w:tc>
          <w:tcPr>
            <w:tcW w:w="3118" w:type="dxa"/>
          </w:tcPr>
          <w:p w14:paraId="30479B98"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0.69 ± 0.02</w:t>
            </w:r>
          </w:p>
        </w:tc>
        <w:tc>
          <w:tcPr>
            <w:tcW w:w="567" w:type="dxa"/>
          </w:tcPr>
          <w:p w14:paraId="4628E857"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16</w:t>
            </w:r>
          </w:p>
        </w:tc>
        <w:tc>
          <w:tcPr>
            <w:tcW w:w="1418" w:type="dxa"/>
          </w:tcPr>
          <w:p w14:paraId="2A662E71"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Times New Roman" w:hAnsiTheme="majorHAnsi" w:cstheme="majorHAnsi"/>
                <w:b/>
                <w:bCs/>
                <w:color w:val="000000" w:themeColor="text1"/>
                <w:sz w:val="18"/>
                <w:szCs w:val="18"/>
              </w:rPr>
              <w:t>M16</w:t>
            </w:r>
          </w:p>
        </w:tc>
        <w:tc>
          <w:tcPr>
            <w:tcW w:w="2546" w:type="dxa"/>
          </w:tcPr>
          <w:p w14:paraId="2D1080EA" w14:textId="77777777" w:rsidR="00E049CB" w:rsidRPr="005E6B7C" w:rsidRDefault="00E049CB" w:rsidP="003115FB">
            <w:pPr>
              <w:tabs>
                <w:tab w:val="left" w:pos="270"/>
                <w:tab w:val="left" w:pos="540"/>
                <w:tab w:val="left" w:pos="9270"/>
              </w:tabs>
              <w:spacing w:line="200" w:lineRule="exact"/>
              <w:ind w:right="-14"/>
              <w:jc w:val="center"/>
              <w:rPr>
                <w:rFonts w:asciiTheme="majorHAnsi" w:eastAsia="Yu Mincho" w:hAnsiTheme="majorHAnsi" w:cstheme="majorHAnsi"/>
                <w:color w:val="000000" w:themeColor="text1"/>
                <w:sz w:val="18"/>
                <w:szCs w:val="18"/>
              </w:rPr>
            </w:pPr>
            <w:r w:rsidRPr="005E6B7C">
              <w:rPr>
                <w:rFonts w:asciiTheme="majorHAnsi" w:eastAsia="Yu Mincho" w:hAnsiTheme="majorHAnsi" w:cstheme="majorHAnsi"/>
                <w:color w:val="000000" w:themeColor="text1"/>
                <w:sz w:val="18"/>
                <w:szCs w:val="18"/>
              </w:rPr>
              <w:t>0.46 ± 0.02</w:t>
            </w:r>
          </w:p>
        </w:tc>
      </w:tr>
    </w:tbl>
    <w:p w14:paraId="26FFACF0" w14:textId="77777777" w:rsidR="00E049CB" w:rsidRPr="005E6B7C" w:rsidRDefault="00E049CB" w:rsidP="008C0D47">
      <w:pPr>
        <w:tabs>
          <w:tab w:val="left" w:pos="270"/>
          <w:tab w:val="left" w:pos="540"/>
          <w:tab w:val="left" w:pos="9270"/>
        </w:tabs>
        <w:spacing w:before="120"/>
        <w:ind w:right="-20" w:firstLine="284"/>
        <w:jc w:val="both"/>
        <w:rPr>
          <w:rFonts w:asciiTheme="majorHAnsi" w:eastAsia="Yu Mincho" w:hAnsiTheme="majorHAnsi" w:cstheme="majorHAnsi"/>
          <w:i/>
          <w:color w:val="000000" w:themeColor="text1"/>
          <w:sz w:val="18"/>
          <w:szCs w:val="18"/>
        </w:rPr>
      </w:pPr>
      <w:r w:rsidRPr="005E6B7C">
        <w:rPr>
          <w:rFonts w:asciiTheme="majorHAnsi" w:eastAsia="Yu Mincho" w:hAnsiTheme="majorHAnsi" w:cstheme="majorHAnsi"/>
          <w:i/>
          <w:color w:val="000000" w:themeColor="text1"/>
          <w:sz w:val="18"/>
          <w:szCs w:val="18"/>
        </w:rPr>
        <w:t>*These results were calculated on a dry sample</w:t>
      </w:r>
    </w:p>
    <w:p w14:paraId="399A4B87" w14:textId="77777777" w:rsidR="00FB1BE2" w:rsidRPr="005E6B7C" w:rsidRDefault="00FB1BE2"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shd w:val="clear" w:color="auto" w:fill="FFFFFF"/>
          <w:lang w:val="en" w:eastAsia="ja-JP"/>
        </w:rPr>
      </w:pPr>
    </w:p>
    <w:p w14:paraId="6F5059CC" w14:textId="77777777" w:rsidR="00E538FA" w:rsidRPr="005E6B7C" w:rsidRDefault="00E538FA"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val="en" w:eastAsia="ja-JP"/>
        </w:rPr>
        <w:sectPr w:rsidR="00E538FA" w:rsidRPr="005E6B7C" w:rsidSect="002206BB">
          <w:type w:val="continuous"/>
          <w:pgSz w:w="10773" w:h="15309" w:code="9"/>
          <w:pgMar w:top="907" w:right="851" w:bottom="1418" w:left="851" w:header="397" w:footer="851" w:gutter="0"/>
          <w:cols w:space="284"/>
          <w:docGrid w:linePitch="360"/>
        </w:sectPr>
      </w:pPr>
    </w:p>
    <w:p w14:paraId="7891EC8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8"/>
          <w:sz w:val="22"/>
          <w:szCs w:val="22"/>
          <w:shd w:val="clear" w:color="auto" w:fill="FFFFFF"/>
          <w:lang w:eastAsia="ja-JP"/>
        </w:rPr>
      </w:pP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The total essential oil content in the rhizome of </w:t>
      </w:r>
      <w:r w:rsidRPr="005E6B7C">
        <w:rPr>
          <w:rFonts w:asciiTheme="majorHAnsi" w:eastAsia="Yu Mincho" w:hAnsiTheme="majorHAnsi" w:cstheme="majorHAnsi"/>
          <w:i/>
          <w:iCs/>
          <w:color w:val="000000" w:themeColor="text1"/>
          <w:spacing w:val="8"/>
          <w:sz w:val="22"/>
          <w:szCs w:val="22"/>
          <w:shd w:val="clear" w:color="auto" w:fill="FFFFFF"/>
          <w:lang w:eastAsia="ja-JP"/>
        </w:rPr>
        <w:t>H. occulta</w:t>
      </w:r>
      <w:r w:rsidRPr="005E6B7C">
        <w:rPr>
          <w:rFonts w:asciiTheme="majorHAnsi" w:eastAsia="Yu Mincho" w:hAnsiTheme="majorHAnsi" w:cstheme="majorHAnsi"/>
          <w:color w:val="000000" w:themeColor="text1"/>
          <w:spacing w:val="8"/>
          <w:sz w:val="22"/>
          <w:szCs w:val="22"/>
          <w:shd w:val="clear" w:color="auto" w:fill="FFFFFF"/>
          <w:lang w:eastAsia="ja-JP"/>
        </w:rPr>
        <w:t xml:space="preserve"> samples </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ranged from 0.27% to 0.92%.  In particular, the </w:t>
      </w:r>
      <w:r w:rsidRPr="005E6B7C">
        <w:rPr>
          <w:rFonts w:asciiTheme="majorHAnsi" w:eastAsia="Yu Mincho" w:hAnsiTheme="majorHAnsi" w:cstheme="majorHAnsi"/>
          <w:i/>
          <w:iCs/>
          <w:color w:val="000000" w:themeColor="text1"/>
          <w:spacing w:val="8"/>
          <w:sz w:val="22"/>
          <w:szCs w:val="22"/>
          <w:shd w:val="clear" w:color="auto" w:fill="FFFFFF"/>
          <w:lang w:eastAsia="ja-JP"/>
        </w:rPr>
        <w:t>H. occulta</w:t>
      </w:r>
      <w:r w:rsidRPr="005E6B7C">
        <w:rPr>
          <w:rFonts w:asciiTheme="majorHAnsi" w:eastAsia="Yu Mincho" w:hAnsiTheme="majorHAnsi" w:cstheme="majorHAnsi"/>
          <w:color w:val="000000" w:themeColor="text1"/>
          <w:spacing w:val="8"/>
          <w:sz w:val="22"/>
          <w:szCs w:val="22"/>
          <w:shd w:val="clear" w:color="auto" w:fill="FFFFFF"/>
          <w:lang w:eastAsia="ja-JP"/>
        </w:rPr>
        <w:t> </w:t>
      </w:r>
      <w:r w:rsidRPr="005E6B7C">
        <w:rPr>
          <w:rFonts w:asciiTheme="majorHAnsi" w:eastAsia="Yu Mincho" w:hAnsiTheme="majorHAnsi" w:cstheme="majorHAnsi"/>
          <w:color w:val="000000" w:themeColor="text1"/>
          <w:spacing w:val="8"/>
          <w:sz w:val="22"/>
          <w:szCs w:val="22"/>
          <w:shd w:val="clear" w:color="auto" w:fill="FFFFFF"/>
          <w:lang w:val="en" w:eastAsia="ja-JP"/>
        </w:rPr>
        <w:t>samples collected in Lang Son (</w:t>
      </w:r>
      <w:r w:rsidRPr="005E6B7C">
        <w:rPr>
          <w:rFonts w:asciiTheme="majorHAnsi" w:eastAsia="Yu Mincho" w:hAnsiTheme="majorHAnsi" w:cstheme="majorHAnsi"/>
          <w:b/>
          <w:color w:val="000000" w:themeColor="text1"/>
          <w:spacing w:val="8"/>
          <w:sz w:val="22"/>
          <w:szCs w:val="22"/>
          <w:shd w:val="clear" w:color="auto" w:fill="FFFFFF"/>
          <w:lang w:val="en" w:eastAsia="ja-JP"/>
        </w:rPr>
        <w:t>M1</w:t>
      </w:r>
      <w:r w:rsidRPr="005E6B7C">
        <w:rPr>
          <w:rFonts w:asciiTheme="majorHAnsi" w:eastAsia="Yu Mincho" w:hAnsiTheme="majorHAnsi" w:cstheme="majorHAnsi"/>
          <w:color w:val="000000" w:themeColor="text1"/>
          <w:spacing w:val="8"/>
          <w:sz w:val="22"/>
          <w:szCs w:val="22"/>
          <w:shd w:val="clear" w:color="auto" w:fill="FFFFFF"/>
          <w:lang w:val="en" w:eastAsia="ja-JP"/>
        </w:rPr>
        <w:t>-</w:t>
      </w:r>
      <w:r w:rsidRPr="005E6B7C">
        <w:rPr>
          <w:rFonts w:asciiTheme="majorHAnsi" w:eastAsia="Yu Mincho" w:hAnsiTheme="majorHAnsi" w:cstheme="majorHAnsi"/>
          <w:b/>
          <w:color w:val="000000" w:themeColor="text1"/>
          <w:spacing w:val="8"/>
          <w:sz w:val="22"/>
          <w:szCs w:val="22"/>
          <w:shd w:val="clear" w:color="auto" w:fill="FFFFFF"/>
          <w:lang w:val="en" w:eastAsia="ja-JP"/>
        </w:rPr>
        <w:t>M10</w:t>
      </w:r>
      <w:r w:rsidRPr="005E6B7C">
        <w:rPr>
          <w:rFonts w:asciiTheme="majorHAnsi" w:eastAsia="Yu Mincho" w:hAnsiTheme="majorHAnsi" w:cstheme="majorHAnsi"/>
          <w:color w:val="000000" w:themeColor="text1"/>
          <w:spacing w:val="8"/>
          <w:sz w:val="22"/>
          <w:szCs w:val="22"/>
          <w:shd w:val="clear" w:color="auto" w:fill="FFFFFF"/>
          <w:lang w:val="en" w:eastAsia="ja-JP"/>
        </w:rPr>
        <w:t>) and Lai Chau (</w:t>
      </w:r>
      <w:r w:rsidRPr="005E6B7C">
        <w:rPr>
          <w:rFonts w:asciiTheme="majorHAnsi" w:eastAsia="Yu Mincho" w:hAnsiTheme="majorHAnsi" w:cstheme="majorHAnsi"/>
          <w:b/>
          <w:color w:val="000000" w:themeColor="text1"/>
          <w:spacing w:val="8"/>
          <w:sz w:val="22"/>
          <w:szCs w:val="22"/>
          <w:shd w:val="clear" w:color="auto" w:fill="FFFFFF"/>
          <w:lang w:val="en" w:eastAsia="ja-JP"/>
        </w:rPr>
        <w:t>M13</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 and </w:t>
      </w:r>
      <w:r w:rsidRPr="005E6B7C">
        <w:rPr>
          <w:rFonts w:asciiTheme="majorHAnsi" w:eastAsia="Yu Mincho" w:hAnsiTheme="majorHAnsi" w:cstheme="majorHAnsi"/>
          <w:b/>
          <w:color w:val="000000" w:themeColor="text1"/>
          <w:spacing w:val="8"/>
          <w:sz w:val="22"/>
          <w:szCs w:val="22"/>
          <w:shd w:val="clear" w:color="auto" w:fill="FFFFFF"/>
          <w:lang w:val="en" w:eastAsia="ja-JP"/>
        </w:rPr>
        <w:t>M14</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 have essential oil content greater than 0.5% and all meet the regulations in the monograph </w:t>
      </w:r>
      <w:r w:rsidRPr="005E6B7C">
        <w:rPr>
          <w:rFonts w:asciiTheme="majorHAnsi" w:eastAsia="Yu Mincho" w:hAnsiTheme="majorHAnsi" w:cstheme="majorHAnsi"/>
          <w:i/>
          <w:iCs/>
          <w:color w:val="000000" w:themeColor="text1"/>
          <w:spacing w:val="8"/>
          <w:sz w:val="22"/>
          <w:szCs w:val="22"/>
          <w:shd w:val="clear" w:color="auto" w:fill="FFFFFF"/>
          <w:lang w:eastAsia="ja-JP"/>
        </w:rPr>
        <w:t>H. occulta</w:t>
      </w:r>
      <w:r w:rsidRPr="005E6B7C">
        <w:rPr>
          <w:rFonts w:asciiTheme="majorHAnsi" w:eastAsia="Yu Mincho" w:hAnsiTheme="majorHAnsi" w:cstheme="majorHAnsi"/>
          <w:color w:val="000000" w:themeColor="text1"/>
          <w:spacing w:val="8"/>
          <w:sz w:val="22"/>
          <w:szCs w:val="22"/>
          <w:shd w:val="clear" w:color="auto" w:fill="FFFFFF"/>
          <w:lang w:eastAsia="ja-JP"/>
        </w:rPr>
        <w:t xml:space="preserve"> in </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Vietnam Pharmacopoeia V. The </w:t>
      </w:r>
      <w:r w:rsidRPr="005E6B7C">
        <w:rPr>
          <w:rFonts w:asciiTheme="majorHAnsi" w:eastAsia="Yu Mincho" w:hAnsiTheme="majorHAnsi" w:cstheme="majorHAnsi"/>
          <w:i/>
          <w:iCs/>
          <w:color w:val="000000" w:themeColor="text1"/>
          <w:spacing w:val="8"/>
          <w:sz w:val="22"/>
          <w:szCs w:val="22"/>
          <w:shd w:val="clear" w:color="auto" w:fill="FFFFFF"/>
          <w:lang w:eastAsia="ja-JP"/>
        </w:rPr>
        <w:t>H. occulta</w:t>
      </w:r>
      <w:r w:rsidRPr="005E6B7C">
        <w:rPr>
          <w:rFonts w:asciiTheme="majorHAnsi" w:eastAsia="Yu Mincho" w:hAnsiTheme="majorHAnsi" w:cstheme="majorHAnsi"/>
          <w:color w:val="000000" w:themeColor="text1"/>
          <w:spacing w:val="8"/>
          <w:sz w:val="22"/>
          <w:szCs w:val="22"/>
          <w:shd w:val="clear" w:color="auto" w:fill="FFFFFF"/>
          <w:lang w:eastAsia="ja-JP"/>
        </w:rPr>
        <w:t> </w:t>
      </w:r>
      <w:r w:rsidRPr="005E6B7C">
        <w:rPr>
          <w:rFonts w:asciiTheme="majorHAnsi" w:eastAsia="Yu Mincho" w:hAnsiTheme="majorHAnsi" w:cstheme="majorHAnsi"/>
          <w:color w:val="000000" w:themeColor="text1"/>
          <w:spacing w:val="8"/>
          <w:sz w:val="22"/>
          <w:szCs w:val="22"/>
          <w:shd w:val="clear" w:color="auto" w:fill="FFFFFF"/>
          <w:lang w:val="en" w:eastAsia="ja-JP"/>
        </w:rPr>
        <w:t>samples collected in Bac Ninh (</w:t>
      </w:r>
      <w:r w:rsidRPr="005E6B7C">
        <w:rPr>
          <w:rFonts w:asciiTheme="majorHAnsi" w:eastAsia="Yu Mincho" w:hAnsiTheme="majorHAnsi" w:cstheme="majorHAnsi"/>
          <w:b/>
          <w:color w:val="000000" w:themeColor="text1"/>
          <w:spacing w:val="8"/>
          <w:sz w:val="22"/>
          <w:szCs w:val="22"/>
          <w:shd w:val="clear" w:color="auto" w:fill="FFFFFF"/>
          <w:lang w:val="en" w:eastAsia="ja-JP"/>
        </w:rPr>
        <w:t>M11</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 and </w:t>
      </w:r>
      <w:r w:rsidRPr="005E6B7C">
        <w:rPr>
          <w:rFonts w:asciiTheme="majorHAnsi" w:eastAsia="Yu Mincho" w:hAnsiTheme="majorHAnsi" w:cstheme="majorHAnsi"/>
          <w:b/>
          <w:color w:val="000000" w:themeColor="text1"/>
          <w:spacing w:val="8"/>
          <w:sz w:val="22"/>
          <w:szCs w:val="22"/>
          <w:shd w:val="clear" w:color="auto" w:fill="FFFFFF"/>
          <w:lang w:val="en" w:eastAsia="ja-JP"/>
        </w:rPr>
        <w:t>M12</w:t>
      </w:r>
      <w:r w:rsidRPr="005E6B7C">
        <w:rPr>
          <w:rFonts w:asciiTheme="majorHAnsi" w:eastAsia="Yu Mincho" w:hAnsiTheme="majorHAnsi" w:cstheme="majorHAnsi"/>
          <w:color w:val="000000" w:themeColor="text1"/>
          <w:spacing w:val="8"/>
          <w:sz w:val="22"/>
          <w:szCs w:val="22"/>
          <w:shd w:val="clear" w:color="auto" w:fill="FFFFFF"/>
          <w:lang w:val="en" w:eastAsia="ja-JP"/>
        </w:rPr>
        <w:t>) and Yen Bai (</w:t>
      </w:r>
      <w:r w:rsidRPr="005E6B7C">
        <w:rPr>
          <w:rFonts w:asciiTheme="majorHAnsi" w:eastAsia="Yu Mincho" w:hAnsiTheme="majorHAnsi" w:cstheme="majorHAnsi"/>
          <w:b/>
          <w:color w:val="000000" w:themeColor="text1"/>
          <w:spacing w:val="8"/>
          <w:sz w:val="22"/>
          <w:szCs w:val="22"/>
          <w:shd w:val="clear" w:color="auto" w:fill="FFFFFF"/>
          <w:lang w:val="en" w:eastAsia="ja-JP"/>
        </w:rPr>
        <w:t>M15</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 and </w:t>
      </w:r>
      <w:r w:rsidRPr="005E6B7C">
        <w:rPr>
          <w:rFonts w:asciiTheme="majorHAnsi" w:eastAsia="Yu Mincho" w:hAnsiTheme="majorHAnsi" w:cstheme="majorHAnsi"/>
          <w:b/>
          <w:color w:val="000000" w:themeColor="text1"/>
          <w:spacing w:val="8"/>
          <w:sz w:val="22"/>
          <w:szCs w:val="22"/>
          <w:shd w:val="clear" w:color="auto" w:fill="FFFFFF"/>
          <w:lang w:val="en" w:eastAsia="ja-JP"/>
        </w:rPr>
        <w:t>M16</w:t>
      </w:r>
      <w:r w:rsidRPr="005E6B7C">
        <w:rPr>
          <w:rFonts w:asciiTheme="majorHAnsi" w:eastAsia="Yu Mincho" w:hAnsiTheme="majorHAnsi" w:cstheme="majorHAnsi"/>
          <w:color w:val="000000" w:themeColor="text1"/>
          <w:spacing w:val="8"/>
          <w:sz w:val="22"/>
          <w:szCs w:val="22"/>
          <w:shd w:val="clear" w:color="auto" w:fill="FFFFFF"/>
          <w:lang w:val="en" w:eastAsia="ja-JP"/>
        </w:rPr>
        <w:t xml:space="preserve">) have </w:t>
      </w:r>
      <w:r w:rsidRPr="005E6B7C">
        <w:rPr>
          <w:rFonts w:asciiTheme="majorHAnsi" w:eastAsia="Yu Mincho" w:hAnsiTheme="majorHAnsi" w:cstheme="majorHAnsi"/>
          <w:color w:val="000000" w:themeColor="text1"/>
          <w:spacing w:val="8"/>
          <w:sz w:val="22"/>
          <w:szCs w:val="22"/>
          <w:shd w:val="clear" w:color="auto" w:fill="FFFFFF"/>
          <w:lang w:val="en" w:eastAsia="ja-JP"/>
        </w:rPr>
        <w:t>essential oil content lower than 0.5% and do not meet the standards of Vietnam Pharmacopoeia V [9].</w:t>
      </w:r>
    </w:p>
    <w:p w14:paraId="112CF0C2"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b/>
          <w:bCs/>
          <w:i/>
          <w:color w:val="000000" w:themeColor="text1"/>
          <w:sz w:val="22"/>
          <w:szCs w:val="22"/>
          <w:lang w:val="vi-VN" w:eastAsia="ja-JP"/>
        </w:rPr>
      </w:pPr>
      <w:bookmarkStart w:id="23" w:name="_Toc197429400"/>
      <w:r w:rsidRPr="005E6B7C">
        <w:rPr>
          <w:rFonts w:asciiTheme="majorHAnsi" w:eastAsia="Times New Roman" w:hAnsiTheme="majorHAnsi" w:cstheme="majorHAnsi"/>
          <w:bCs/>
          <w:i/>
          <w:color w:val="000000" w:themeColor="text1"/>
          <w:sz w:val="22"/>
          <w:szCs w:val="22"/>
          <w:lang w:val="vi-VN" w:eastAsia="ja-JP"/>
        </w:rPr>
        <w:t xml:space="preserve">3.3. </w:t>
      </w:r>
      <w:bookmarkEnd w:id="23"/>
      <w:r w:rsidRPr="005E6B7C">
        <w:rPr>
          <w:rFonts w:asciiTheme="majorHAnsi" w:eastAsia="Times New Roman" w:hAnsiTheme="majorHAnsi" w:cstheme="majorHAnsi"/>
          <w:bCs/>
          <w:i/>
          <w:color w:val="000000" w:themeColor="text1"/>
          <w:sz w:val="22"/>
          <w:szCs w:val="22"/>
          <w:lang w:val="vi-VN" w:eastAsia="ja-JP"/>
        </w:rPr>
        <w:t xml:space="preserve">GC/MS </w:t>
      </w:r>
      <w:r w:rsidRPr="005E6B7C">
        <w:rPr>
          <w:rFonts w:asciiTheme="majorHAnsi" w:eastAsia="Times New Roman" w:hAnsiTheme="majorHAnsi" w:cstheme="majorHAnsi"/>
          <w:bCs/>
          <w:i/>
          <w:color w:val="000000" w:themeColor="text1"/>
          <w:sz w:val="22"/>
          <w:szCs w:val="22"/>
          <w:shd w:val="clear" w:color="auto" w:fill="FFFFFF"/>
          <w:lang w:eastAsia="ja-JP"/>
        </w:rPr>
        <w:t xml:space="preserve">analysis of the essential oil from the </w:t>
      </w:r>
      <w:r w:rsidRPr="005E6B7C">
        <w:rPr>
          <w:rFonts w:asciiTheme="majorHAnsi" w:eastAsia="Times New Roman" w:hAnsiTheme="majorHAnsi" w:cstheme="majorHAnsi"/>
          <w:bCs/>
          <w:i/>
          <w:color w:val="000000" w:themeColor="text1"/>
          <w:sz w:val="22"/>
          <w:szCs w:val="22"/>
          <w:lang w:eastAsia="ja-JP"/>
        </w:rPr>
        <w:t>rhizome of</w:t>
      </w:r>
      <w:r w:rsidRPr="005E6B7C">
        <w:rPr>
          <w:rFonts w:asciiTheme="majorHAnsi" w:eastAsia="Times New Roman" w:hAnsiTheme="majorHAnsi" w:cstheme="majorHAnsi"/>
          <w:bCs/>
          <w:i/>
          <w:color w:val="000000" w:themeColor="text1"/>
          <w:sz w:val="22"/>
          <w:szCs w:val="22"/>
          <w:shd w:val="clear" w:color="auto" w:fill="FFFFFF"/>
          <w:lang w:eastAsia="ja-JP"/>
        </w:rPr>
        <w:t xml:space="preserve"> </w:t>
      </w:r>
      <w:r w:rsidRPr="005E6B7C">
        <w:rPr>
          <w:rFonts w:asciiTheme="majorHAnsi" w:eastAsia="Times New Roman" w:hAnsiTheme="majorHAnsi" w:cstheme="majorHAnsi"/>
          <w:bCs/>
          <w:i/>
          <w:iCs/>
          <w:color w:val="000000" w:themeColor="text1"/>
          <w:sz w:val="22"/>
          <w:szCs w:val="22"/>
          <w:shd w:val="clear" w:color="auto" w:fill="FFFFFF"/>
          <w:lang w:eastAsia="ja-JP"/>
        </w:rPr>
        <w:t>H. occulta</w:t>
      </w:r>
      <w:r w:rsidRPr="005E6B7C">
        <w:rPr>
          <w:rFonts w:asciiTheme="majorHAnsi" w:eastAsia="Times New Roman" w:hAnsiTheme="majorHAnsi" w:cstheme="majorHAnsi"/>
          <w:bCs/>
          <w:i/>
          <w:color w:val="000000" w:themeColor="text1"/>
          <w:sz w:val="22"/>
          <w:szCs w:val="22"/>
          <w:shd w:val="clear" w:color="auto" w:fill="FFFFFF"/>
          <w:lang w:eastAsia="ja-JP"/>
        </w:rPr>
        <w:t> </w:t>
      </w:r>
    </w:p>
    <w:p w14:paraId="041D0EFB" w14:textId="77777777" w:rsidR="00E538FA" w:rsidRPr="005E6B7C" w:rsidRDefault="00E049CB" w:rsidP="008C0D47">
      <w:pPr>
        <w:tabs>
          <w:tab w:val="left" w:pos="270"/>
          <w:tab w:val="left" w:pos="540"/>
          <w:tab w:val="left" w:pos="720"/>
          <w:tab w:val="left" w:pos="3228"/>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shd w:val="clear" w:color="auto" w:fill="FFFFFF"/>
          <w:lang w:eastAsia="ja-JP"/>
        </w:rPr>
        <w:t>The composition of the essential oil from the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samples was analyzed by GC/MS according to the conditions described in Section 2.4.3. The obtained results were presented in Table 4.</w:t>
      </w:r>
    </w:p>
    <w:p w14:paraId="69D4781E" w14:textId="77777777" w:rsidR="00E538FA" w:rsidRPr="005E6B7C" w:rsidRDefault="00E538FA" w:rsidP="008C0D47">
      <w:pPr>
        <w:tabs>
          <w:tab w:val="left" w:pos="270"/>
          <w:tab w:val="left" w:pos="540"/>
          <w:tab w:val="left" w:pos="720"/>
          <w:tab w:val="left" w:pos="3228"/>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eastAsia="ja-JP"/>
        </w:rPr>
        <w:sectPr w:rsidR="00E538FA" w:rsidRPr="005E6B7C" w:rsidSect="00E538FA">
          <w:type w:val="continuous"/>
          <w:pgSz w:w="10773" w:h="15309" w:code="9"/>
          <w:pgMar w:top="907" w:right="851" w:bottom="1418" w:left="851" w:header="397" w:footer="851" w:gutter="0"/>
          <w:cols w:num="2" w:space="284"/>
          <w:docGrid w:linePitch="360"/>
        </w:sectPr>
      </w:pPr>
    </w:p>
    <w:p w14:paraId="1710F4F0" w14:textId="77777777" w:rsidR="00E049CB" w:rsidRPr="005E6B7C" w:rsidRDefault="00E049CB" w:rsidP="008C0D47">
      <w:pPr>
        <w:tabs>
          <w:tab w:val="left" w:pos="270"/>
          <w:tab w:val="left" w:pos="540"/>
          <w:tab w:val="left" w:pos="720"/>
          <w:tab w:val="left" w:pos="3228"/>
          <w:tab w:val="left" w:pos="9270"/>
        </w:tabs>
        <w:spacing w:before="120" w:after="120"/>
        <w:ind w:right="-20"/>
        <w:jc w:val="center"/>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 xml:space="preserve">Table 4. </w:t>
      </w:r>
      <w:r w:rsidRPr="005E6B7C">
        <w:rPr>
          <w:rFonts w:asciiTheme="majorHAnsi" w:eastAsia="Yu Mincho" w:hAnsiTheme="majorHAnsi" w:cstheme="majorHAnsi"/>
          <w:bCs/>
          <w:color w:val="000000" w:themeColor="text1"/>
          <w:sz w:val="18"/>
          <w:szCs w:val="18"/>
          <w:shd w:val="clear" w:color="auto" w:fill="FFFFFF"/>
          <w:lang w:eastAsia="ja-JP"/>
        </w:rPr>
        <w:t xml:space="preserve">The composition of the essential oil from the </w:t>
      </w:r>
      <w:bookmarkStart w:id="24" w:name="_Hlk215678152"/>
      <w:r w:rsidRPr="005E6B7C">
        <w:rPr>
          <w:rFonts w:asciiTheme="majorHAnsi" w:eastAsia="Yu Mincho" w:hAnsiTheme="majorHAnsi" w:cstheme="majorHAnsi"/>
          <w:bCs/>
          <w:color w:val="000000" w:themeColor="text1"/>
          <w:sz w:val="18"/>
          <w:szCs w:val="18"/>
          <w:lang w:eastAsia="ja-JP"/>
        </w:rPr>
        <w:t>rhizome</w:t>
      </w:r>
      <w:bookmarkEnd w:id="24"/>
      <w:r w:rsidRPr="005E6B7C">
        <w:rPr>
          <w:rFonts w:asciiTheme="majorHAnsi" w:eastAsia="Yu Mincho" w:hAnsiTheme="majorHAnsi" w:cstheme="majorHAnsi"/>
          <w:bCs/>
          <w:color w:val="000000" w:themeColor="text1"/>
          <w:sz w:val="18"/>
          <w:szCs w:val="18"/>
          <w:lang w:eastAsia="ja-JP"/>
        </w:rPr>
        <w:t xml:space="preserve"> of </w:t>
      </w:r>
      <w:r w:rsidRPr="005E6B7C">
        <w:rPr>
          <w:rFonts w:asciiTheme="majorHAnsi" w:eastAsia="Yu Mincho" w:hAnsiTheme="majorHAnsi" w:cstheme="majorHAnsi"/>
          <w:bCs/>
          <w:i/>
          <w:iCs/>
          <w:color w:val="000000" w:themeColor="text1"/>
          <w:sz w:val="18"/>
          <w:szCs w:val="18"/>
          <w:shd w:val="clear" w:color="auto" w:fill="FFFFFF"/>
          <w:lang w:eastAsia="ja-JP"/>
        </w:rPr>
        <w:t>H. occulta</w:t>
      </w:r>
      <w:r w:rsidRPr="005E6B7C">
        <w:rPr>
          <w:rFonts w:asciiTheme="majorHAnsi" w:eastAsia="Yu Mincho" w:hAnsiTheme="majorHAnsi" w:cstheme="majorHAnsi"/>
          <w:bCs/>
          <w:color w:val="000000" w:themeColor="text1"/>
          <w:sz w:val="18"/>
          <w:szCs w:val="18"/>
          <w:shd w:val="clear" w:color="auto" w:fill="FFFFFF"/>
          <w:lang w:eastAsia="ja-JP"/>
        </w:rPr>
        <w:t> samples</w:t>
      </w:r>
    </w:p>
    <w:tbl>
      <w:tblPr>
        <w:tblW w:w="946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4A0" w:firstRow="1" w:lastRow="0" w:firstColumn="1" w:lastColumn="0" w:noHBand="0" w:noVBand="1"/>
      </w:tblPr>
      <w:tblGrid>
        <w:gridCol w:w="292"/>
        <w:gridCol w:w="1143"/>
        <w:gridCol w:w="1259"/>
        <w:gridCol w:w="336"/>
        <w:gridCol w:w="416"/>
        <w:gridCol w:w="416"/>
        <w:gridCol w:w="416"/>
        <w:gridCol w:w="416"/>
        <w:gridCol w:w="416"/>
        <w:gridCol w:w="416"/>
        <w:gridCol w:w="416"/>
        <w:gridCol w:w="416"/>
        <w:gridCol w:w="416"/>
        <w:gridCol w:w="416"/>
        <w:gridCol w:w="416"/>
        <w:gridCol w:w="416"/>
        <w:gridCol w:w="416"/>
        <w:gridCol w:w="416"/>
        <w:gridCol w:w="610"/>
      </w:tblGrid>
      <w:tr w:rsidR="00055D14" w:rsidRPr="005E6B7C" w14:paraId="1E620EF4" w14:textId="77777777" w:rsidTr="00266B26">
        <w:trPr>
          <w:trHeight w:val="163"/>
          <w:tblHeader/>
          <w:jc w:val="center"/>
        </w:trPr>
        <w:tc>
          <w:tcPr>
            <w:tcW w:w="0" w:type="auto"/>
            <w:vMerge w:val="restart"/>
            <w:noWrap/>
            <w:vAlign w:val="center"/>
            <w:hideMark/>
          </w:tcPr>
          <w:p w14:paraId="00914D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color w:val="000000" w:themeColor="text1"/>
                <w:sz w:val="16"/>
                <w:szCs w:val="16"/>
              </w:rPr>
            </w:pPr>
            <w:r w:rsidRPr="005E6B7C">
              <w:rPr>
                <w:rFonts w:asciiTheme="majorHAnsi" w:eastAsia="Times New Roman" w:hAnsiTheme="majorHAnsi" w:cstheme="majorHAnsi"/>
                <w:b/>
                <w:color w:val="000000" w:themeColor="text1"/>
                <w:sz w:val="16"/>
                <w:szCs w:val="16"/>
              </w:rPr>
              <w:t>No.</w:t>
            </w:r>
          </w:p>
        </w:tc>
        <w:tc>
          <w:tcPr>
            <w:tcW w:w="1143" w:type="dxa"/>
            <w:vMerge w:val="restart"/>
            <w:noWrap/>
            <w:vAlign w:val="center"/>
            <w:hideMark/>
          </w:tcPr>
          <w:p w14:paraId="614744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Retention time (min)</w:t>
            </w:r>
          </w:p>
        </w:tc>
        <w:tc>
          <w:tcPr>
            <w:tcW w:w="0" w:type="auto"/>
            <w:vMerge w:val="restart"/>
            <w:noWrap/>
            <w:vAlign w:val="center"/>
            <w:hideMark/>
          </w:tcPr>
          <w:p w14:paraId="060E22A7"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Compound</w:t>
            </w:r>
          </w:p>
        </w:tc>
        <w:tc>
          <w:tcPr>
            <w:tcW w:w="6770" w:type="dxa"/>
            <w:gridSpan w:val="16"/>
            <w:noWrap/>
            <w:vAlign w:val="center"/>
          </w:tcPr>
          <w:p w14:paraId="67540C2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Relative percentages (%)</w:t>
            </w:r>
          </w:p>
        </w:tc>
      </w:tr>
      <w:tr w:rsidR="00055D14" w:rsidRPr="005E6B7C" w14:paraId="0C5DB5A6" w14:textId="77777777" w:rsidTr="00266B26">
        <w:trPr>
          <w:trHeight w:val="171"/>
          <w:tblHeader/>
          <w:jc w:val="center"/>
        </w:trPr>
        <w:tc>
          <w:tcPr>
            <w:tcW w:w="0" w:type="auto"/>
            <w:vMerge/>
            <w:noWrap/>
            <w:vAlign w:val="bottom"/>
          </w:tcPr>
          <w:p w14:paraId="32E46C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p>
        </w:tc>
        <w:tc>
          <w:tcPr>
            <w:tcW w:w="1143" w:type="dxa"/>
            <w:vMerge/>
            <w:noWrap/>
            <w:vAlign w:val="bottom"/>
          </w:tcPr>
          <w:p w14:paraId="002802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p>
        </w:tc>
        <w:tc>
          <w:tcPr>
            <w:tcW w:w="0" w:type="auto"/>
            <w:vMerge/>
            <w:noWrap/>
            <w:vAlign w:val="bottom"/>
          </w:tcPr>
          <w:p w14:paraId="19F99F6D"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b/>
                <w:bCs/>
                <w:color w:val="000000" w:themeColor="text1"/>
                <w:sz w:val="16"/>
                <w:szCs w:val="16"/>
              </w:rPr>
            </w:pPr>
          </w:p>
        </w:tc>
        <w:tc>
          <w:tcPr>
            <w:tcW w:w="336" w:type="dxa"/>
            <w:noWrap/>
            <w:vAlign w:val="center"/>
          </w:tcPr>
          <w:p w14:paraId="1865D04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w:t>
            </w:r>
          </w:p>
        </w:tc>
        <w:tc>
          <w:tcPr>
            <w:tcW w:w="0" w:type="auto"/>
            <w:noWrap/>
            <w:vAlign w:val="center"/>
          </w:tcPr>
          <w:p w14:paraId="14F3CD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M2</w:t>
            </w:r>
          </w:p>
        </w:tc>
        <w:tc>
          <w:tcPr>
            <w:tcW w:w="0" w:type="auto"/>
            <w:noWrap/>
            <w:vAlign w:val="center"/>
          </w:tcPr>
          <w:p w14:paraId="682727D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M3</w:t>
            </w:r>
          </w:p>
        </w:tc>
        <w:tc>
          <w:tcPr>
            <w:tcW w:w="0" w:type="auto"/>
            <w:noWrap/>
            <w:vAlign w:val="center"/>
          </w:tcPr>
          <w:p w14:paraId="41316B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M4</w:t>
            </w:r>
          </w:p>
        </w:tc>
        <w:tc>
          <w:tcPr>
            <w:tcW w:w="0" w:type="auto"/>
            <w:noWrap/>
            <w:vAlign w:val="center"/>
          </w:tcPr>
          <w:p w14:paraId="2003BE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M5</w:t>
            </w:r>
          </w:p>
        </w:tc>
        <w:tc>
          <w:tcPr>
            <w:tcW w:w="0" w:type="auto"/>
            <w:noWrap/>
            <w:vAlign w:val="center"/>
          </w:tcPr>
          <w:p w14:paraId="4ABA82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M6</w:t>
            </w:r>
          </w:p>
        </w:tc>
        <w:tc>
          <w:tcPr>
            <w:tcW w:w="0" w:type="auto"/>
            <w:noWrap/>
            <w:vAlign w:val="center"/>
          </w:tcPr>
          <w:p w14:paraId="7026A68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M7</w:t>
            </w:r>
          </w:p>
        </w:tc>
        <w:tc>
          <w:tcPr>
            <w:tcW w:w="0" w:type="auto"/>
            <w:noWrap/>
            <w:vAlign w:val="center"/>
          </w:tcPr>
          <w:p w14:paraId="15CF9D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M8</w:t>
            </w:r>
          </w:p>
        </w:tc>
        <w:tc>
          <w:tcPr>
            <w:tcW w:w="0" w:type="auto"/>
            <w:noWrap/>
            <w:vAlign w:val="center"/>
          </w:tcPr>
          <w:p w14:paraId="58D364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M9</w:t>
            </w:r>
          </w:p>
        </w:tc>
        <w:tc>
          <w:tcPr>
            <w:tcW w:w="0" w:type="auto"/>
            <w:noWrap/>
            <w:vAlign w:val="center"/>
          </w:tcPr>
          <w:p w14:paraId="40D58CE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M10</w:t>
            </w:r>
          </w:p>
        </w:tc>
        <w:tc>
          <w:tcPr>
            <w:tcW w:w="0" w:type="auto"/>
            <w:vAlign w:val="center"/>
          </w:tcPr>
          <w:p w14:paraId="5B8B82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M11</w:t>
            </w:r>
          </w:p>
        </w:tc>
        <w:tc>
          <w:tcPr>
            <w:tcW w:w="0" w:type="auto"/>
            <w:vAlign w:val="center"/>
          </w:tcPr>
          <w:p w14:paraId="12097B3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M12</w:t>
            </w:r>
          </w:p>
        </w:tc>
        <w:tc>
          <w:tcPr>
            <w:tcW w:w="0" w:type="auto"/>
            <w:vAlign w:val="center"/>
          </w:tcPr>
          <w:p w14:paraId="10C92AA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M13</w:t>
            </w:r>
          </w:p>
        </w:tc>
        <w:tc>
          <w:tcPr>
            <w:tcW w:w="0" w:type="auto"/>
            <w:vAlign w:val="center"/>
          </w:tcPr>
          <w:p w14:paraId="10750B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M14</w:t>
            </w:r>
          </w:p>
        </w:tc>
        <w:tc>
          <w:tcPr>
            <w:tcW w:w="0" w:type="auto"/>
            <w:vAlign w:val="center"/>
          </w:tcPr>
          <w:p w14:paraId="754EA8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M15</w:t>
            </w:r>
          </w:p>
        </w:tc>
        <w:tc>
          <w:tcPr>
            <w:tcW w:w="0" w:type="auto"/>
            <w:vAlign w:val="center"/>
          </w:tcPr>
          <w:p w14:paraId="65947BC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
                <w:bCs/>
                <w:color w:val="000000" w:themeColor="text1"/>
                <w:sz w:val="16"/>
                <w:szCs w:val="16"/>
              </w:rPr>
            </w:pPr>
            <w:r w:rsidRPr="005E6B7C">
              <w:rPr>
                <w:rFonts w:asciiTheme="majorHAnsi" w:eastAsia="Times New Roman" w:hAnsiTheme="majorHAnsi" w:cstheme="majorHAnsi"/>
                <w:b/>
                <w:bCs/>
                <w:color w:val="000000" w:themeColor="text1"/>
                <w:sz w:val="16"/>
                <w:szCs w:val="16"/>
              </w:rPr>
              <w:t>M16</w:t>
            </w:r>
          </w:p>
        </w:tc>
      </w:tr>
      <w:tr w:rsidR="00055D14" w:rsidRPr="005E6B7C" w14:paraId="6DD87D5B" w14:textId="77777777" w:rsidTr="00266B26">
        <w:trPr>
          <w:trHeight w:val="154"/>
          <w:jc w:val="center"/>
        </w:trPr>
        <w:tc>
          <w:tcPr>
            <w:tcW w:w="0" w:type="auto"/>
            <w:noWrap/>
            <w:vAlign w:val="bottom"/>
            <w:hideMark/>
          </w:tcPr>
          <w:p w14:paraId="020E5CC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w:t>
            </w:r>
          </w:p>
        </w:tc>
        <w:tc>
          <w:tcPr>
            <w:tcW w:w="1143" w:type="dxa"/>
            <w:noWrap/>
            <w:vAlign w:val="center"/>
            <w:hideMark/>
          </w:tcPr>
          <w:p w14:paraId="7C0AE07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6.568</w:t>
            </w:r>
          </w:p>
        </w:tc>
        <w:tc>
          <w:tcPr>
            <w:tcW w:w="0" w:type="auto"/>
            <w:vAlign w:val="center"/>
            <w:hideMark/>
          </w:tcPr>
          <w:p w14:paraId="4853083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Sabinene</w:t>
            </w:r>
          </w:p>
        </w:tc>
        <w:tc>
          <w:tcPr>
            <w:tcW w:w="336" w:type="dxa"/>
            <w:noWrap/>
            <w:vAlign w:val="center"/>
            <w:hideMark/>
          </w:tcPr>
          <w:p w14:paraId="346EC04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0.73</w:t>
            </w:r>
          </w:p>
        </w:tc>
        <w:tc>
          <w:tcPr>
            <w:tcW w:w="0" w:type="auto"/>
            <w:noWrap/>
            <w:vAlign w:val="center"/>
            <w:hideMark/>
          </w:tcPr>
          <w:p w14:paraId="17D35A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0.50</w:t>
            </w:r>
          </w:p>
        </w:tc>
        <w:tc>
          <w:tcPr>
            <w:tcW w:w="0" w:type="auto"/>
            <w:noWrap/>
            <w:vAlign w:val="center"/>
            <w:hideMark/>
          </w:tcPr>
          <w:p w14:paraId="2248AF7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p>
        </w:tc>
        <w:tc>
          <w:tcPr>
            <w:tcW w:w="0" w:type="auto"/>
            <w:noWrap/>
            <w:vAlign w:val="center"/>
            <w:hideMark/>
          </w:tcPr>
          <w:p w14:paraId="59809E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0.24</w:t>
            </w:r>
          </w:p>
        </w:tc>
        <w:tc>
          <w:tcPr>
            <w:tcW w:w="0" w:type="auto"/>
            <w:noWrap/>
            <w:vAlign w:val="center"/>
            <w:hideMark/>
          </w:tcPr>
          <w:p w14:paraId="36573E3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0.22</w:t>
            </w:r>
          </w:p>
        </w:tc>
        <w:tc>
          <w:tcPr>
            <w:tcW w:w="0" w:type="auto"/>
            <w:noWrap/>
            <w:vAlign w:val="center"/>
            <w:hideMark/>
          </w:tcPr>
          <w:p w14:paraId="4BFB61C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5E220C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F1028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FBA2F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5A69B1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397B8C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E97E5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4524F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C28ED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6EDC36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A6E8B0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3D08218" w14:textId="77777777" w:rsidTr="00266B26">
        <w:trPr>
          <w:trHeight w:val="163"/>
          <w:jc w:val="center"/>
        </w:trPr>
        <w:tc>
          <w:tcPr>
            <w:tcW w:w="0" w:type="auto"/>
            <w:noWrap/>
            <w:vAlign w:val="bottom"/>
            <w:hideMark/>
          </w:tcPr>
          <w:p w14:paraId="254E08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w:t>
            </w:r>
          </w:p>
        </w:tc>
        <w:tc>
          <w:tcPr>
            <w:tcW w:w="1143" w:type="dxa"/>
            <w:noWrap/>
            <w:vAlign w:val="center"/>
            <w:hideMark/>
          </w:tcPr>
          <w:p w14:paraId="3DB7DDF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7.171</w:t>
            </w:r>
          </w:p>
        </w:tc>
        <w:tc>
          <w:tcPr>
            <w:tcW w:w="0" w:type="auto"/>
            <w:vAlign w:val="center"/>
            <w:hideMark/>
          </w:tcPr>
          <w:p w14:paraId="51CBC724"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β</w:t>
            </w:r>
            <w:r w:rsidRPr="005E6B7C">
              <w:rPr>
                <w:rFonts w:asciiTheme="majorHAnsi" w:eastAsia="Times New Roman" w:hAnsiTheme="majorHAnsi" w:cstheme="majorHAnsi"/>
                <w:color w:val="000000" w:themeColor="text1"/>
                <w:sz w:val="16"/>
                <w:szCs w:val="16"/>
              </w:rPr>
              <w:t>-Myrcene</w:t>
            </w:r>
          </w:p>
        </w:tc>
        <w:tc>
          <w:tcPr>
            <w:tcW w:w="336" w:type="dxa"/>
            <w:noWrap/>
            <w:vAlign w:val="center"/>
            <w:hideMark/>
          </w:tcPr>
          <w:p w14:paraId="11A38B9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0.51</w:t>
            </w:r>
          </w:p>
        </w:tc>
        <w:tc>
          <w:tcPr>
            <w:tcW w:w="0" w:type="auto"/>
            <w:noWrap/>
            <w:vAlign w:val="center"/>
            <w:hideMark/>
          </w:tcPr>
          <w:p w14:paraId="4A2E0B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0.58</w:t>
            </w:r>
          </w:p>
        </w:tc>
        <w:tc>
          <w:tcPr>
            <w:tcW w:w="0" w:type="auto"/>
            <w:noWrap/>
            <w:vAlign w:val="center"/>
            <w:hideMark/>
          </w:tcPr>
          <w:p w14:paraId="63706EF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0.26</w:t>
            </w:r>
          </w:p>
        </w:tc>
        <w:tc>
          <w:tcPr>
            <w:tcW w:w="0" w:type="auto"/>
            <w:noWrap/>
            <w:vAlign w:val="center"/>
            <w:hideMark/>
          </w:tcPr>
          <w:p w14:paraId="6B5E69A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0.21</w:t>
            </w:r>
          </w:p>
        </w:tc>
        <w:tc>
          <w:tcPr>
            <w:tcW w:w="0" w:type="auto"/>
            <w:noWrap/>
            <w:vAlign w:val="center"/>
            <w:hideMark/>
          </w:tcPr>
          <w:p w14:paraId="2007F6A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0.21</w:t>
            </w:r>
          </w:p>
        </w:tc>
        <w:tc>
          <w:tcPr>
            <w:tcW w:w="0" w:type="auto"/>
            <w:noWrap/>
            <w:vAlign w:val="center"/>
            <w:hideMark/>
          </w:tcPr>
          <w:p w14:paraId="6C8EF79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3BCD3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E0948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53DD8F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0B99E4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BF8D6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440C0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323DC2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1C0F4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282A83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7CCCF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8238CB7" w14:textId="77777777" w:rsidTr="00266B26">
        <w:trPr>
          <w:trHeight w:val="163"/>
          <w:jc w:val="center"/>
        </w:trPr>
        <w:tc>
          <w:tcPr>
            <w:tcW w:w="0" w:type="auto"/>
            <w:noWrap/>
            <w:vAlign w:val="bottom"/>
            <w:hideMark/>
          </w:tcPr>
          <w:p w14:paraId="411B7C1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w:t>
            </w:r>
          </w:p>
        </w:tc>
        <w:tc>
          <w:tcPr>
            <w:tcW w:w="1143" w:type="dxa"/>
            <w:noWrap/>
            <w:vAlign w:val="center"/>
            <w:hideMark/>
          </w:tcPr>
          <w:p w14:paraId="5673EF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7.912</w:t>
            </w:r>
          </w:p>
        </w:tc>
        <w:tc>
          <w:tcPr>
            <w:tcW w:w="0" w:type="auto"/>
            <w:vAlign w:val="center"/>
            <w:hideMark/>
          </w:tcPr>
          <w:p w14:paraId="38AFFCE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δ</w:t>
            </w:r>
            <w:r w:rsidRPr="005E6B7C">
              <w:rPr>
                <w:rFonts w:asciiTheme="majorHAnsi" w:eastAsia="Times New Roman" w:hAnsiTheme="majorHAnsi" w:cstheme="majorHAnsi"/>
                <w:color w:val="000000" w:themeColor="text1"/>
                <w:sz w:val="16"/>
                <w:szCs w:val="16"/>
              </w:rPr>
              <w:t>-3-Carene</w:t>
            </w:r>
          </w:p>
        </w:tc>
        <w:tc>
          <w:tcPr>
            <w:tcW w:w="336" w:type="dxa"/>
            <w:noWrap/>
            <w:vAlign w:val="center"/>
            <w:hideMark/>
          </w:tcPr>
          <w:p w14:paraId="52859F3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0.98</w:t>
            </w:r>
          </w:p>
        </w:tc>
        <w:tc>
          <w:tcPr>
            <w:tcW w:w="0" w:type="auto"/>
            <w:noWrap/>
            <w:vAlign w:val="center"/>
            <w:hideMark/>
          </w:tcPr>
          <w:p w14:paraId="6B3968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0.50</w:t>
            </w:r>
          </w:p>
        </w:tc>
        <w:tc>
          <w:tcPr>
            <w:tcW w:w="0" w:type="auto"/>
            <w:noWrap/>
            <w:vAlign w:val="center"/>
            <w:hideMark/>
          </w:tcPr>
          <w:p w14:paraId="1472A0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0.64</w:t>
            </w:r>
          </w:p>
        </w:tc>
        <w:tc>
          <w:tcPr>
            <w:tcW w:w="0" w:type="auto"/>
            <w:noWrap/>
            <w:vAlign w:val="center"/>
            <w:hideMark/>
          </w:tcPr>
          <w:p w14:paraId="0C946E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0.41</w:t>
            </w:r>
          </w:p>
        </w:tc>
        <w:tc>
          <w:tcPr>
            <w:tcW w:w="0" w:type="auto"/>
            <w:noWrap/>
            <w:vAlign w:val="center"/>
            <w:hideMark/>
          </w:tcPr>
          <w:p w14:paraId="355A4C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0.36</w:t>
            </w:r>
          </w:p>
        </w:tc>
        <w:tc>
          <w:tcPr>
            <w:tcW w:w="0" w:type="auto"/>
            <w:noWrap/>
            <w:vAlign w:val="center"/>
            <w:hideMark/>
          </w:tcPr>
          <w:p w14:paraId="643F950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646071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c>
          <w:tcPr>
            <w:tcW w:w="0" w:type="auto"/>
            <w:noWrap/>
            <w:vAlign w:val="center"/>
            <w:hideMark/>
          </w:tcPr>
          <w:p w14:paraId="778BB2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55A6F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0.38</w:t>
            </w:r>
          </w:p>
        </w:tc>
        <w:tc>
          <w:tcPr>
            <w:tcW w:w="0" w:type="auto"/>
            <w:noWrap/>
            <w:vAlign w:val="center"/>
            <w:hideMark/>
          </w:tcPr>
          <w:p w14:paraId="397D148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E885BD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0.69</w:t>
            </w:r>
          </w:p>
        </w:tc>
        <w:tc>
          <w:tcPr>
            <w:tcW w:w="0" w:type="auto"/>
            <w:noWrap/>
            <w:vAlign w:val="center"/>
            <w:hideMark/>
          </w:tcPr>
          <w:p w14:paraId="20387C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1.72</w:t>
            </w:r>
          </w:p>
        </w:tc>
        <w:tc>
          <w:tcPr>
            <w:tcW w:w="0" w:type="auto"/>
            <w:vAlign w:val="center"/>
            <w:hideMark/>
          </w:tcPr>
          <w:p w14:paraId="320D578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0.65</w:t>
            </w:r>
          </w:p>
        </w:tc>
        <w:tc>
          <w:tcPr>
            <w:tcW w:w="0" w:type="auto"/>
            <w:vAlign w:val="center"/>
            <w:hideMark/>
          </w:tcPr>
          <w:p w14:paraId="44E48B4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0.73</w:t>
            </w:r>
          </w:p>
        </w:tc>
        <w:tc>
          <w:tcPr>
            <w:tcW w:w="0" w:type="auto"/>
            <w:noWrap/>
            <w:vAlign w:val="center"/>
            <w:hideMark/>
          </w:tcPr>
          <w:p w14:paraId="0EBFC81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2.20</w:t>
            </w:r>
          </w:p>
        </w:tc>
        <w:tc>
          <w:tcPr>
            <w:tcW w:w="0" w:type="auto"/>
            <w:noWrap/>
            <w:vAlign w:val="center"/>
            <w:hideMark/>
          </w:tcPr>
          <w:p w14:paraId="6E6C9F2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47D7DC53" w14:textId="77777777" w:rsidTr="00266B26">
        <w:trPr>
          <w:trHeight w:val="163"/>
          <w:jc w:val="center"/>
        </w:trPr>
        <w:tc>
          <w:tcPr>
            <w:tcW w:w="0" w:type="auto"/>
            <w:noWrap/>
            <w:vAlign w:val="bottom"/>
            <w:hideMark/>
          </w:tcPr>
          <w:p w14:paraId="66DA1C9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w:t>
            </w:r>
          </w:p>
        </w:tc>
        <w:tc>
          <w:tcPr>
            <w:tcW w:w="1143" w:type="dxa"/>
            <w:noWrap/>
            <w:vAlign w:val="center"/>
            <w:hideMark/>
          </w:tcPr>
          <w:p w14:paraId="5888FF4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8.244</w:t>
            </w:r>
          </w:p>
        </w:tc>
        <w:tc>
          <w:tcPr>
            <w:tcW w:w="0" w:type="auto"/>
            <w:vAlign w:val="center"/>
            <w:hideMark/>
          </w:tcPr>
          <w:p w14:paraId="1AB69992"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α</w:t>
            </w:r>
            <w:r w:rsidRPr="005E6B7C">
              <w:rPr>
                <w:rFonts w:asciiTheme="majorHAnsi" w:eastAsia="Times New Roman" w:hAnsiTheme="majorHAnsi" w:cstheme="majorHAnsi"/>
                <w:color w:val="000000" w:themeColor="text1"/>
                <w:sz w:val="16"/>
                <w:szCs w:val="16"/>
              </w:rPr>
              <w:t>-Terpinene</w:t>
            </w:r>
          </w:p>
        </w:tc>
        <w:tc>
          <w:tcPr>
            <w:tcW w:w="336" w:type="dxa"/>
            <w:noWrap/>
            <w:vAlign w:val="center"/>
            <w:hideMark/>
          </w:tcPr>
          <w:p w14:paraId="6A2E27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0.44</w:t>
            </w:r>
          </w:p>
        </w:tc>
        <w:tc>
          <w:tcPr>
            <w:tcW w:w="0" w:type="auto"/>
            <w:noWrap/>
            <w:vAlign w:val="center"/>
            <w:hideMark/>
          </w:tcPr>
          <w:p w14:paraId="07B9619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0.27</w:t>
            </w:r>
          </w:p>
        </w:tc>
        <w:tc>
          <w:tcPr>
            <w:tcW w:w="0" w:type="auto"/>
            <w:noWrap/>
            <w:vAlign w:val="center"/>
            <w:hideMark/>
          </w:tcPr>
          <w:p w14:paraId="6DE2160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73F6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0.26</w:t>
            </w:r>
          </w:p>
        </w:tc>
        <w:tc>
          <w:tcPr>
            <w:tcW w:w="0" w:type="auto"/>
            <w:noWrap/>
            <w:vAlign w:val="center"/>
            <w:hideMark/>
          </w:tcPr>
          <w:p w14:paraId="1CC4F6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0.17</w:t>
            </w:r>
          </w:p>
        </w:tc>
        <w:tc>
          <w:tcPr>
            <w:tcW w:w="0" w:type="auto"/>
            <w:noWrap/>
            <w:vAlign w:val="center"/>
            <w:hideMark/>
          </w:tcPr>
          <w:p w14:paraId="4B20313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D0D7C7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96D183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946727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EA1DE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2D53ED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D967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475899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C2BC45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618F6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6AA21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4D2D2521" w14:textId="77777777" w:rsidTr="00266B26">
        <w:trPr>
          <w:trHeight w:val="154"/>
          <w:jc w:val="center"/>
        </w:trPr>
        <w:tc>
          <w:tcPr>
            <w:tcW w:w="0" w:type="auto"/>
            <w:noWrap/>
            <w:vAlign w:val="bottom"/>
            <w:hideMark/>
          </w:tcPr>
          <w:p w14:paraId="3F2C2BA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5</w:t>
            </w:r>
          </w:p>
        </w:tc>
        <w:tc>
          <w:tcPr>
            <w:tcW w:w="1143" w:type="dxa"/>
            <w:noWrap/>
            <w:vAlign w:val="center"/>
            <w:hideMark/>
          </w:tcPr>
          <w:p w14:paraId="1C9374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8.555</w:t>
            </w:r>
          </w:p>
        </w:tc>
        <w:tc>
          <w:tcPr>
            <w:tcW w:w="0" w:type="auto"/>
            <w:vAlign w:val="center"/>
            <w:hideMark/>
          </w:tcPr>
          <w:p w14:paraId="5FF46264"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o</w:t>
            </w:r>
            <w:r w:rsidRPr="005E6B7C">
              <w:rPr>
                <w:rFonts w:asciiTheme="majorHAnsi" w:eastAsia="Times New Roman" w:hAnsiTheme="majorHAnsi" w:cstheme="majorHAnsi"/>
                <w:color w:val="000000" w:themeColor="text1"/>
                <w:sz w:val="16"/>
                <w:szCs w:val="16"/>
              </w:rPr>
              <w:t>-Cymene</w:t>
            </w:r>
          </w:p>
        </w:tc>
        <w:tc>
          <w:tcPr>
            <w:tcW w:w="336" w:type="dxa"/>
            <w:noWrap/>
            <w:vAlign w:val="center"/>
            <w:hideMark/>
          </w:tcPr>
          <w:p w14:paraId="3D6F7D9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1.01</w:t>
            </w:r>
          </w:p>
        </w:tc>
        <w:tc>
          <w:tcPr>
            <w:tcW w:w="0" w:type="auto"/>
            <w:noWrap/>
            <w:vAlign w:val="center"/>
            <w:hideMark/>
          </w:tcPr>
          <w:p w14:paraId="79317C2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0.86</w:t>
            </w:r>
          </w:p>
        </w:tc>
        <w:tc>
          <w:tcPr>
            <w:tcW w:w="0" w:type="auto"/>
            <w:noWrap/>
            <w:vAlign w:val="center"/>
            <w:hideMark/>
          </w:tcPr>
          <w:p w14:paraId="7A7468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0.40</w:t>
            </w:r>
          </w:p>
        </w:tc>
        <w:tc>
          <w:tcPr>
            <w:tcW w:w="0" w:type="auto"/>
            <w:noWrap/>
            <w:vAlign w:val="center"/>
            <w:hideMark/>
          </w:tcPr>
          <w:p w14:paraId="5EC918B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0.57</w:t>
            </w:r>
          </w:p>
        </w:tc>
        <w:tc>
          <w:tcPr>
            <w:tcW w:w="0" w:type="auto"/>
            <w:noWrap/>
            <w:vAlign w:val="center"/>
            <w:hideMark/>
          </w:tcPr>
          <w:p w14:paraId="63C6C5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0.45</w:t>
            </w:r>
          </w:p>
        </w:tc>
        <w:tc>
          <w:tcPr>
            <w:tcW w:w="0" w:type="auto"/>
            <w:noWrap/>
            <w:vAlign w:val="center"/>
            <w:hideMark/>
          </w:tcPr>
          <w:p w14:paraId="5BA408E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EF7B1F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3F73DF5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B4D1CA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850DDA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5519B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8C8D34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0.79</w:t>
            </w:r>
          </w:p>
        </w:tc>
        <w:tc>
          <w:tcPr>
            <w:tcW w:w="0" w:type="auto"/>
            <w:noWrap/>
            <w:vAlign w:val="center"/>
            <w:hideMark/>
          </w:tcPr>
          <w:p w14:paraId="1B5E3B6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1A05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646A8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FC7C06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0.49</w:t>
            </w:r>
          </w:p>
        </w:tc>
      </w:tr>
      <w:tr w:rsidR="00055D14" w:rsidRPr="005E6B7C" w14:paraId="4F21249E" w14:textId="77777777" w:rsidTr="00266B26">
        <w:trPr>
          <w:trHeight w:val="163"/>
          <w:jc w:val="center"/>
        </w:trPr>
        <w:tc>
          <w:tcPr>
            <w:tcW w:w="0" w:type="auto"/>
            <w:noWrap/>
            <w:vAlign w:val="bottom"/>
            <w:hideMark/>
          </w:tcPr>
          <w:p w14:paraId="57F64A8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w:t>
            </w:r>
          </w:p>
        </w:tc>
        <w:tc>
          <w:tcPr>
            <w:tcW w:w="1143" w:type="dxa"/>
            <w:noWrap/>
            <w:vAlign w:val="center"/>
            <w:hideMark/>
          </w:tcPr>
          <w:p w14:paraId="1E966B0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8.766</w:t>
            </w:r>
          </w:p>
        </w:tc>
        <w:tc>
          <w:tcPr>
            <w:tcW w:w="0" w:type="auto"/>
            <w:vAlign w:val="center"/>
            <w:hideMark/>
          </w:tcPr>
          <w:p w14:paraId="0B948552"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D-Limonene</w:t>
            </w:r>
          </w:p>
        </w:tc>
        <w:tc>
          <w:tcPr>
            <w:tcW w:w="336" w:type="dxa"/>
            <w:noWrap/>
            <w:vAlign w:val="center"/>
            <w:hideMark/>
          </w:tcPr>
          <w:p w14:paraId="5BCB60D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0.79</w:t>
            </w:r>
          </w:p>
        </w:tc>
        <w:tc>
          <w:tcPr>
            <w:tcW w:w="0" w:type="auto"/>
            <w:noWrap/>
            <w:vAlign w:val="center"/>
            <w:hideMark/>
          </w:tcPr>
          <w:p w14:paraId="244F384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0.71</w:t>
            </w:r>
          </w:p>
        </w:tc>
        <w:tc>
          <w:tcPr>
            <w:tcW w:w="0" w:type="auto"/>
            <w:noWrap/>
            <w:vAlign w:val="center"/>
            <w:hideMark/>
          </w:tcPr>
          <w:p w14:paraId="0E2FC9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0.51</w:t>
            </w:r>
          </w:p>
        </w:tc>
        <w:tc>
          <w:tcPr>
            <w:tcW w:w="0" w:type="auto"/>
            <w:noWrap/>
            <w:vAlign w:val="center"/>
            <w:hideMark/>
          </w:tcPr>
          <w:p w14:paraId="5A44953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0.45</w:t>
            </w:r>
          </w:p>
        </w:tc>
        <w:tc>
          <w:tcPr>
            <w:tcW w:w="0" w:type="auto"/>
            <w:noWrap/>
            <w:vAlign w:val="center"/>
            <w:hideMark/>
          </w:tcPr>
          <w:p w14:paraId="141D33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0.23</w:t>
            </w:r>
          </w:p>
        </w:tc>
        <w:tc>
          <w:tcPr>
            <w:tcW w:w="0" w:type="auto"/>
            <w:noWrap/>
            <w:vAlign w:val="center"/>
            <w:hideMark/>
          </w:tcPr>
          <w:p w14:paraId="3F562A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7B3133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BF419E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E92FB0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7B601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C6F2A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FB4B5D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0.42</w:t>
            </w:r>
          </w:p>
        </w:tc>
        <w:tc>
          <w:tcPr>
            <w:tcW w:w="0" w:type="auto"/>
            <w:noWrap/>
            <w:vAlign w:val="center"/>
            <w:hideMark/>
          </w:tcPr>
          <w:p w14:paraId="72B1A6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44372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A9B4A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28DA5D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r>
      <w:tr w:rsidR="00055D14" w:rsidRPr="005E6B7C" w14:paraId="1378C55C" w14:textId="77777777" w:rsidTr="00266B26">
        <w:trPr>
          <w:trHeight w:val="326"/>
          <w:jc w:val="center"/>
        </w:trPr>
        <w:tc>
          <w:tcPr>
            <w:tcW w:w="0" w:type="auto"/>
            <w:noWrap/>
            <w:vAlign w:val="bottom"/>
            <w:hideMark/>
          </w:tcPr>
          <w:p w14:paraId="45869B9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w:t>
            </w:r>
          </w:p>
        </w:tc>
        <w:tc>
          <w:tcPr>
            <w:tcW w:w="1143" w:type="dxa"/>
            <w:noWrap/>
            <w:vAlign w:val="center"/>
            <w:hideMark/>
          </w:tcPr>
          <w:p w14:paraId="580CA4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9.106</w:t>
            </w:r>
          </w:p>
        </w:tc>
        <w:tc>
          <w:tcPr>
            <w:tcW w:w="0" w:type="auto"/>
            <w:vAlign w:val="center"/>
            <w:hideMark/>
          </w:tcPr>
          <w:p w14:paraId="78038A38"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trans-β</w:t>
            </w:r>
            <w:r w:rsidRPr="005E6B7C">
              <w:rPr>
                <w:rFonts w:asciiTheme="majorHAnsi" w:eastAsia="Times New Roman" w:hAnsiTheme="majorHAnsi" w:cstheme="majorHAnsi"/>
                <w:color w:val="000000" w:themeColor="text1"/>
                <w:sz w:val="16"/>
                <w:szCs w:val="16"/>
              </w:rPr>
              <w:t>-Ocimene</w:t>
            </w:r>
          </w:p>
        </w:tc>
        <w:tc>
          <w:tcPr>
            <w:tcW w:w="336" w:type="dxa"/>
            <w:noWrap/>
            <w:vAlign w:val="center"/>
            <w:hideMark/>
          </w:tcPr>
          <w:p w14:paraId="3ADA7C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0.17</w:t>
            </w:r>
          </w:p>
        </w:tc>
        <w:tc>
          <w:tcPr>
            <w:tcW w:w="0" w:type="auto"/>
            <w:noWrap/>
            <w:vAlign w:val="center"/>
            <w:hideMark/>
          </w:tcPr>
          <w:p w14:paraId="6AF2CB6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F72A6E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C78EBD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5FD6D4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65712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55DE4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E16F50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1C20F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CCBA1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AFFD25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33627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F8FB0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6839E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266B6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97EE08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76DB2012" w14:textId="77777777" w:rsidTr="00266B26">
        <w:trPr>
          <w:trHeight w:val="154"/>
          <w:jc w:val="center"/>
        </w:trPr>
        <w:tc>
          <w:tcPr>
            <w:tcW w:w="0" w:type="auto"/>
            <w:noWrap/>
            <w:vAlign w:val="bottom"/>
            <w:hideMark/>
          </w:tcPr>
          <w:p w14:paraId="1B3808F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w:t>
            </w:r>
          </w:p>
        </w:tc>
        <w:tc>
          <w:tcPr>
            <w:tcW w:w="1143" w:type="dxa"/>
            <w:noWrap/>
            <w:vAlign w:val="center"/>
            <w:hideMark/>
          </w:tcPr>
          <w:p w14:paraId="4FBC4A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9.579</w:t>
            </w:r>
          </w:p>
        </w:tc>
        <w:tc>
          <w:tcPr>
            <w:tcW w:w="0" w:type="auto"/>
            <w:vAlign w:val="center"/>
            <w:hideMark/>
          </w:tcPr>
          <w:p w14:paraId="058CF7AE"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cis-β</w:t>
            </w:r>
            <w:r w:rsidRPr="005E6B7C">
              <w:rPr>
                <w:rFonts w:asciiTheme="majorHAnsi" w:eastAsia="Times New Roman" w:hAnsiTheme="majorHAnsi" w:cstheme="majorHAnsi"/>
                <w:color w:val="000000" w:themeColor="text1"/>
                <w:sz w:val="16"/>
                <w:szCs w:val="16"/>
              </w:rPr>
              <w:t>-Ocimene</w:t>
            </w:r>
          </w:p>
        </w:tc>
        <w:tc>
          <w:tcPr>
            <w:tcW w:w="336" w:type="dxa"/>
            <w:noWrap/>
            <w:vAlign w:val="center"/>
            <w:hideMark/>
          </w:tcPr>
          <w:p w14:paraId="0C0683B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70F7AB1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0.39</w:t>
            </w:r>
          </w:p>
        </w:tc>
        <w:tc>
          <w:tcPr>
            <w:tcW w:w="0" w:type="auto"/>
            <w:noWrap/>
            <w:vAlign w:val="center"/>
            <w:hideMark/>
          </w:tcPr>
          <w:p w14:paraId="686C7B1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4BBB9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0C8B6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F08536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D74F6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B255D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38B10A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0AB87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52EF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7B1D5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C4DDD8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238342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13560D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7CFB83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2B527891" w14:textId="77777777" w:rsidTr="00266B26">
        <w:trPr>
          <w:trHeight w:val="163"/>
          <w:jc w:val="center"/>
        </w:trPr>
        <w:tc>
          <w:tcPr>
            <w:tcW w:w="0" w:type="auto"/>
            <w:noWrap/>
            <w:vAlign w:val="bottom"/>
            <w:hideMark/>
          </w:tcPr>
          <w:p w14:paraId="4F6A554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9</w:t>
            </w:r>
          </w:p>
        </w:tc>
        <w:tc>
          <w:tcPr>
            <w:tcW w:w="1143" w:type="dxa"/>
            <w:noWrap/>
            <w:vAlign w:val="center"/>
            <w:hideMark/>
          </w:tcPr>
          <w:p w14:paraId="3D56D06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10.092</w:t>
            </w:r>
          </w:p>
        </w:tc>
        <w:tc>
          <w:tcPr>
            <w:tcW w:w="0" w:type="auto"/>
            <w:vAlign w:val="center"/>
            <w:hideMark/>
          </w:tcPr>
          <w:p w14:paraId="4684BA3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γ</w:t>
            </w:r>
            <w:r w:rsidRPr="005E6B7C">
              <w:rPr>
                <w:rFonts w:asciiTheme="majorHAnsi" w:eastAsia="Times New Roman" w:hAnsiTheme="majorHAnsi" w:cstheme="majorHAnsi"/>
                <w:color w:val="000000" w:themeColor="text1"/>
                <w:sz w:val="16"/>
                <w:szCs w:val="16"/>
              </w:rPr>
              <w:t>-Terpinene</w:t>
            </w:r>
          </w:p>
        </w:tc>
        <w:tc>
          <w:tcPr>
            <w:tcW w:w="336" w:type="dxa"/>
            <w:noWrap/>
            <w:vAlign w:val="center"/>
            <w:hideMark/>
          </w:tcPr>
          <w:p w14:paraId="6CE85A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0.96</w:t>
            </w:r>
          </w:p>
        </w:tc>
        <w:tc>
          <w:tcPr>
            <w:tcW w:w="0" w:type="auto"/>
            <w:noWrap/>
            <w:vAlign w:val="center"/>
            <w:hideMark/>
          </w:tcPr>
          <w:p w14:paraId="28D538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0.57</w:t>
            </w:r>
          </w:p>
        </w:tc>
        <w:tc>
          <w:tcPr>
            <w:tcW w:w="0" w:type="auto"/>
            <w:noWrap/>
            <w:vAlign w:val="center"/>
            <w:hideMark/>
          </w:tcPr>
          <w:p w14:paraId="16E7D13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0.47</w:t>
            </w:r>
          </w:p>
        </w:tc>
        <w:tc>
          <w:tcPr>
            <w:tcW w:w="0" w:type="auto"/>
            <w:noWrap/>
            <w:vAlign w:val="center"/>
            <w:hideMark/>
          </w:tcPr>
          <w:p w14:paraId="565304B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0.48</w:t>
            </w:r>
          </w:p>
        </w:tc>
        <w:tc>
          <w:tcPr>
            <w:tcW w:w="0" w:type="auto"/>
            <w:noWrap/>
            <w:vAlign w:val="center"/>
            <w:hideMark/>
          </w:tcPr>
          <w:p w14:paraId="49E8245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69C5F05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9A3482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3813B94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7B728E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8A970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743250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5F0742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4A4EA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5C958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861CE7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vAlign w:val="center"/>
            <w:hideMark/>
          </w:tcPr>
          <w:p w14:paraId="6B3A01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r>
      <w:tr w:rsidR="00055D14" w:rsidRPr="005E6B7C" w14:paraId="7195B0D9" w14:textId="77777777" w:rsidTr="00266B26">
        <w:trPr>
          <w:trHeight w:val="163"/>
          <w:jc w:val="center"/>
        </w:trPr>
        <w:tc>
          <w:tcPr>
            <w:tcW w:w="0" w:type="auto"/>
            <w:noWrap/>
            <w:vAlign w:val="bottom"/>
            <w:hideMark/>
          </w:tcPr>
          <w:p w14:paraId="15E826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w:t>
            </w:r>
          </w:p>
        </w:tc>
        <w:tc>
          <w:tcPr>
            <w:tcW w:w="1143" w:type="dxa"/>
            <w:noWrap/>
            <w:vAlign w:val="center"/>
            <w:hideMark/>
          </w:tcPr>
          <w:p w14:paraId="060F207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10.350</w:t>
            </w:r>
          </w:p>
        </w:tc>
        <w:tc>
          <w:tcPr>
            <w:tcW w:w="0" w:type="auto"/>
            <w:vAlign w:val="center"/>
            <w:hideMark/>
          </w:tcPr>
          <w:p w14:paraId="0D5E35B4"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Unknown</w:t>
            </w:r>
          </w:p>
        </w:tc>
        <w:tc>
          <w:tcPr>
            <w:tcW w:w="336" w:type="dxa"/>
            <w:noWrap/>
            <w:vAlign w:val="center"/>
            <w:hideMark/>
          </w:tcPr>
          <w:p w14:paraId="723EE9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28317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A2827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172741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EDD1C7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39976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16480D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7AF9E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7648CB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777B57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vAlign w:val="center"/>
            <w:hideMark/>
          </w:tcPr>
          <w:p w14:paraId="2679F7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3.79</w:t>
            </w:r>
          </w:p>
        </w:tc>
        <w:tc>
          <w:tcPr>
            <w:tcW w:w="0" w:type="auto"/>
            <w:noWrap/>
            <w:vAlign w:val="center"/>
            <w:hideMark/>
          </w:tcPr>
          <w:p w14:paraId="30176A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3.12</w:t>
            </w:r>
          </w:p>
        </w:tc>
        <w:tc>
          <w:tcPr>
            <w:tcW w:w="0" w:type="auto"/>
            <w:noWrap/>
            <w:vAlign w:val="center"/>
            <w:hideMark/>
          </w:tcPr>
          <w:p w14:paraId="0D5E457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2.23</w:t>
            </w:r>
          </w:p>
        </w:tc>
        <w:tc>
          <w:tcPr>
            <w:tcW w:w="0" w:type="auto"/>
            <w:noWrap/>
            <w:vAlign w:val="center"/>
            <w:hideMark/>
          </w:tcPr>
          <w:p w14:paraId="749A9A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p>
        </w:tc>
        <w:tc>
          <w:tcPr>
            <w:tcW w:w="0" w:type="auto"/>
            <w:noWrap/>
            <w:vAlign w:val="center"/>
            <w:hideMark/>
          </w:tcPr>
          <w:p w14:paraId="6A203F2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2.65</w:t>
            </w:r>
          </w:p>
        </w:tc>
        <w:tc>
          <w:tcPr>
            <w:tcW w:w="0" w:type="auto"/>
            <w:vAlign w:val="center"/>
            <w:hideMark/>
          </w:tcPr>
          <w:p w14:paraId="722431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0.89</w:t>
            </w:r>
          </w:p>
        </w:tc>
      </w:tr>
      <w:tr w:rsidR="00055D14" w:rsidRPr="005E6B7C" w14:paraId="2679BAB9" w14:textId="77777777" w:rsidTr="00266B26">
        <w:trPr>
          <w:trHeight w:val="482"/>
          <w:jc w:val="center"/>
        </w:trPr>
        <w:tc>
          <w:tcPr>
            <w:tcW w:w="0" w:type="auto"/>
            <w:noWrap/>
            <w:vAlign w:val="bottom"/>
            <w:hideMark/>
          </w:tcPr>
          <w:p w14:paraId="16AE58D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w:t>
            </w:r>
          </w:p>
        </w:tc>
        <w:tc>
          <w:tcPr>
            <w:tcW w:w="1143" w:type="dxa"/>
            <w:noWrap/>
            <w:vAlign w:val="center"/>
            <w:hideMark/>
          </w:tcPr>
          <w:p w14:paraId="3993DCA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10.707</w:t>
            </w:r>
          </w:p>
        </w:tc>
        <w:tc>
          <w:tcPr>
            <w:tcW w:w="0" w:type="auto"/>
            <w:vAlign w:val="center"/>
            <w:hideMark/>
          </w:tcPr>
          <w:p w14:paraId="78846EEB"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6-Methyl-2-(2-oxiranyl)-5-hepten-2-ol</w:t>
            </w:r>
          </w:p>
        </w:tc>
        <w:tc>
          <w:tcPr>
            <w:tcW w:w="336" w:type="dxa"/>
            <w:noWrap/>
            <w:vAlign w:val="center"/>
            <w:hideMark/>
          </w:tcPr>
          <w:p w14:paraId="0BA02A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0.66</w:t>
            </w:r>
          </w:p>
        </w:tc>
        <w:tc>
          <w:tcPr>
            <w:tcW w:w="0" w:type="auto"/>
            <w:noWrap/>
            <w:vAlign w:val="center"/>
            <w:hideMark/>
          </w:tcPr>
          <w:p w14:paraId="1A8877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0.82</w:t>
            </w:r>
          </w:p>
        </w:tc>
        <w:tc>
          <w:tcPr>
            <w:tcW w:w="0" w:type="auto"/>
            <w:noWrap/>
            <w:vAlign w:val="center"/>
            <w:hideMark/>
          </w:tcPr>
          <w:p w14:paraId="00605CC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0.53</w:t>
            </w:r>
          </w:p>
        </w:tc>
        <w:tc>
          <w:tcPr>
            <w:tcW w:w="0" w:type="auto"/>
            <w:noWrap/>
            <w:vAlign w:val="center"/>
            <w:hideMark/>
          </w:tcPr>
          <w:p w14:paraId="0BD338D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0.65</w:t>
            </w:r>
          </w:p>
        </w:tc>
        <w:tc>
          <w:tcPr>
            <w:tcW w:w="0" w:type="auto"/>
            <w:noWrap/>
            <w:vAlign w:val="center"/>
            <w:hideMark/>
          </w:tcPr>
          <w:p w14:paraId="4138A36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0.71</w:t>
            </w:r>
          </w:p>
        </w:tc>
        <w:tc>
          <w:tcPr>
            <w:tcW w:w="0" w:type="auto"/>
            <w:noWrap/>
            <w:vAlign w:val="center"/>
            <w:hideMark/>
          </w:tcPr>
          <w:p w14:paraId="34E205C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0.44</w:t>
            </w:r>
          </w:p>
        </w:tc>
        <w:tc>
          <w:tcPr>
            <w:tcW w:w="0" w:type="auto"/>
            <w:noWrap/>
            <w:vAlign w:val="center"/>
            <w:hideMark/>
          </w:tcPr>
          <w:p w14:paraId="5E0433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0.81</w:t>
            </w:r>
          </w:p>
        </w:tc>
        <w:tc>
          <w:tcPr>
            <w:tcW w:w="0" w:type="auto"/>
            <w:noWrap/>
            <w:vAlign w:val="center"/>
            <w:hideMark/>
          </w:tcPr>
          <w:p w14:paraId="622C32A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0.96</w:t>
            </w:r>
          </w:p>
        </w:tc>
        <w:tc>
          <w:tcPr>
            <w:tcW w:w="0" w:type="auto"/>
            <w:noWrap/>
            <w:vAlign w:val="center"/>
            <w:hideMark/>
          </w:tcPr>
          <w:p w14:paraId="54A0A47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1.05</w:t>
            </w:r>
          </w:p>
        </w:tc>
        <w:tc>
          <w:tcPr>
            <w:tcW w:w="0" w:type="auto"/>
            <w:noWrap/>
            <w:vAlign w:val="center"/>
            <w:hideMark/>
          </w:tcPr>
          <w:p w14:paraId="31D305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1.74</w:t>
            </w:r>
          </w:p>
        </w:tc>
        <w:tc>
          <w:tcPr>
            <w:tcW w:w="0" w:type="auto"/>
            <w:noWrap/>
            <w:vAlign w:val="center"/>
            <w:hideMark/>
          </w:tcPr>
          <w:p w14:paraId="0778CC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040D0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98081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07C3C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1A2C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C24450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7E9FBAF" w14:textId="77777777" w:rsidTr="00266B26">
        <w:trPr>
          <w:trHeight w:val="163"/>
          <w:jc w:val="center"/>
        </w:trPr>
        <w:tc>
          <w:tcPr>
            <w:tcW w:w="0" w:type="auto"/>
            <w:noWrap/>
            <w:vAlign w:val="bottom"/>
            <w:hideMark/>
          </w:tcPr>
          <w:p w14:paraId="26FD0B1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w:t>
            </w:r>
          </w:p>
        </w:tc>
        <w:tc>
          <w:tcPr>
            <w:tcW w:w="1143" w:type="dxa"/>
            <w:noWrap/>
            <w:vAlign w:val="center"/>
            <w:hideMark/>
          </w:tcPr>
          <w:p w14:paraId="54A07BC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11.418</w:t>
            </w:r>
          </w:p>
        </w:tc>
        <w:tc>
          <w:tcPr>
            <w:tcW w:w="0" w:type="auto"/>
            <w:vAlign w:val="center"/>
            <w:hideMark/>
          </w:tcPr>
          <w:p w14:paraId="2BB96121"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(+)-4-Carene</w:t>
            </w:r>
          </w:p>
        </w:tc>
        <w:tc>
          <w:tcPr>
            <w:tcW w:w="336" w:type="dxa"/>
            <w:noWrap/>
            <w:vAlign w:val="center"/>
            <w:hideMark/>
          </w:tcPr>
          <w:p w14:paraId="01CFEE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c>
          <w:tcPr>
            <w:tcW w:w="0" w:type="auto"/>
            <w:noWrap/>
            <w:vAlign w:val="center"/>
            <w:hideMark/>
          </w:tcPr>
          <w:p w14:paraId="21044B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0.28</w:t>
            </w:r>
          </w:p>
        </w:tc>
        <w:tc>
          <w:tcPr>
            <w:tcW w:w="0" w:type="auto"/>
            <w:noWrap/>
            <w:vAlign w:val="center"/>
            <w:hideMark/>
          </w:tcPr>
          <w:p w14:paraId="3CDDA37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DD5C7F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0.13</w:t>
            </w:r>
          </w:p>
        </w:tc>
        <w:tc>
          <w:tcPr>
            <w:tcW w:w="0" w:type="auto"/>
            <w:noWrap/>
            <w:vAlign w:val="center"/>
            <w:hideMark/>
          </w:tcPr>
          <w:p w14:paraId="2D65AC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0.11</w:t>
            </w:r>
          </w:p>
        </w:tc>
        <w:tc>
          <w:tcPr>
            <w:tcW w:w="0" w:type="auto"/>
            <w:noWrap/>
            <w:vAlign w:val="center"/>
            <w:hideMark/>
          </w:tcPr>
          <w:p w14:paraId="308F97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FAE5D4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F3DDAE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304269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14931B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0042E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670E3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98945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780ABE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E4F509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3D4DB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59DA917" w14:textId="77777777" w:rsidTr="00266B26">
        <w:trPr>
          <w:trHeight w:val="474"/>
          <w:jc w:val="center"/>
        </w:trPr>
        <w:tc>
          <w:tcPr>
            <w:tcW w:w="0" w:type="auto"/>
            <w:noWrap/>
            <w:vAlign w:val="bottom"/>
            <w:hideMark/>
          </w:tcPr>
          <w:p w14:paraId="46693F5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w:t>
            </w:r>
          </w:p>
        </w:tc>
        <w:tc>
          <w:tcPr>
            <w:tcW w:w="1143" w:type="dxa"/>
            <w:noWrap/>
            <w:vAlign w:val="center"/>
            <w:hideMark/>
          </w:tcPr>
          <w:p w14:paraId="4EAFD37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11.521</w:t>
            </w:r>
          </w:p>
        </w:tc>
        <w:tc>
          <w:tcPr>
            <w:tcW w:w="0" w:type="auto"/>
            <w:vAlign w:val="center"/>
            <w:hideMark/>
          </w:tcPr>
          <w:p w14:paraId="4A50FE9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trans</w:t>
            </w:r>
            <w:r w:rsidRPr="005E6B7C">
              <w:rPr>
                <w:rFonts w:asciiTheme="majorHAnsi" w:eastAsia="Times New Roman" w:hAnsiTheme="majorHAnsi" w:cstheme="majorHAnsi"/>
                <w:color w:val="000000" w:themeColor="text1"/>
                <w:sz w:val="16"/>
                <w:szCs w:val="16"/>
              </w:rPr>
              <w:t>-Linalool oxide (furanoid)</w:t>
            </w:r>
          </w:p>
        </w:tc>
        <w:tc>
          <w:tcPr>
            <w:tcW w:w="336" w:type="dxa"/>
            <w:noWrap/>
            <w:vAlign w:val="center"/>
            <w:hideMark/>
          </w:tcPr>
          <w:p w14:paraId="20437F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0.45</w:t>
            </w:r>
          </w:p>
        </w:tc>
        <w:tc>
          <w:tcPr>
            <w:tcW w:w="0" w:type="auto"/>
            <w:noWrap/>
            <w:vAlign w:val="center"/>
            <w:hideMark/>
          </w:tcPr>
          <w:p w14:paraId="5879AF1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0.63</w:t>
            </w:r>
          </w:p>
        </w:tc>
        <w:tc>
          <w:tcPr>
            <w:tcW w:w="0" w:type="auto"/>
            <w:noWrap/>
            <w:vAlign w:val="center"/>
            <w:hideMark/>
          </w:tcPr>
          <w:p w14:paraId="4F3F91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0.42</w:t>
            </w:r>
          </w:p>
        </w:tc>
        <w:tc>
          <w:tcPr>
            <w:tcW w:w="0" w:type="auto"/>
            <w:noWrap/>
            <w:vAlign w:val="center"/>
            <w:hideMark/>
          </w:tcPr>
          <w:p w14:paraId="54CFDE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0.49</w:t>
            </w:r>
          </w:p>
        </w:tc>
        <w:tc>
          <w:tcPr>
            <w:tcW w:w="0" w:type="auto"/>
            <w:noWrap/>
            <w:vAlign w:val="center"/>
            <w:hideMark/>
          </w:tcPr>
          <w:p w14:paraId="458EA4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0.32</w:t>
            </w:r>
          </w:p>
        </w:tc>
        <w:tc>
          <w:tcPr>
            <w:tcW w:w="0" w:type="auto"/>
            <w:noWrap/>
            <w:vAlign w:val="center"/>
            <w:hideMark/>
          </w:tcPr>
          <w:p w14:paraId="0C402B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0.37</w:t>
            </w:r>
          </w:p>
        </w:tc>
        <w:tc>
          <w:tcPr>
            <w:tcW w:w="0" w:type="auto"/>
            <w:noWrap/>
            <w:vAlign w:val="center"/>
            <w:hideMark/>
          </w:tcPr>
          <w:p w14:paraId="14CCF2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0.66</w:t>
            </w:r>
          </w:p>
        </w:tc>
        <w:tc>
          <w:tcPr>
            <w:tcW w:w="0" w:type="auto"/>
            <w:noWrap/>
            <w:vAlign w:val="center"/>
            <w:hideMark/>
          </w:tcPr>
          <w:p w14:paraId="1590E5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0.81</w:t>
            </w:r>
          </w:p>
        </w:tc>
        <w:tc>
          <w:tcPr>
            <w:tcW w:w="0" w:type="auto"/>
            <w:noWrap/>
            <w:vAlign w:val="center"/>
            <w:hideMark/>
          </w:tcPr>
          <w:p w14:paraId="72B064A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0.88</w:t>
            </w:r>
          </w:p>
        </w:tc>
        <w:tc>
          <w:tcPr>
            <w:tcW w:w="0" w:type="auto"/>
            <w:noWrap/>
            <w:vAlign w:val="center"/>
            <w:hideMark/>
          </w:tcPr>
          <w:p w14:paraId="74129D0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1.38</w:t>
            </w:r>
          </w:p>
        </w:tc>
        <w:tc>
          <w:tcPr>
            <w:tcW w:w="0" w:type="auto"/>
            <w:vAlign w:val="center"/>
            <w:hideMark/>
          </w:tcPr>
          <w:p w14:paraId="091F1C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1.89</w:t>
            </w:r>
          </w:p>
        </w:tc>
        <w:tc>
          <w:tcPr>
            <w:tcW w:w="0" w:type="auto"/>
            <w:vAlign w:val="center"/>
            <w:hideMark/>
          </w:tcPr>
          <w:p w14:paraId="099A86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1.58</w:t>
            </w:r>
          </w:p>
        </w:tc>
        <w:tc>
          <w:tcPr>
            <w:tcW w:w="0" w:type="auto"/>
            <w:noWrap/>
            <w:vAlign w:val="center"/>
            <w:hideMark/>
          </w:tcPr>
          <w:p w14:paraId="081C90A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3.20</w:t>
            </w:r>
          </w:p>
        </w:tc>
        <w:tc>
          <w:tcPr>
            <w:tcW w:w="0" w:type="auto"/>
            <w:vAlign w:val="center"/>
            <w:hideMark/>
          </w:tcPr>
          <w:p w14:paraId="4AE61CE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2.57</w:t>
            </w:r>
          </w:p>
        </w:tc>
        <w:tc>
          <w:tcPr>
            <w:tcW w:w="0" w:type="auto"/>
            <w:noWrap/>
            <w:vAlign w:val="center"/>
            <w:hideMark/>
          </w:tcPr>
          <w:p w14:paraId="78EE9EC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0.79</w:t>
            </w:r>
          </w:p>
        </w:tc>
        <w:tc>
          <w:tcPr>
            <w:tcW w:w="0" w:type="auto"/>
            <w:vAlign w:val="center"/>
            <w:hideMark/>
          </w:tcPr>
          <w:p w14:paraId="754E3D9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2.52</w:t>
            </w:r>
          </w:p>
        </w:tc>
      </w:tr>
      <w:tr w:rsidR="00055D14" w:rsidRPr="005E6B7C" w14:paraId="0D09F246" w14:textId="77777777" w:rsidTr="00266B26">
        <w:trPr>
          <w:trHeight w:val="163"/>
          <w:jc w:val="center"/>
        </w:trPr>
        <w:tc>
          <w:tcPr>
            <w:tcW w:w="0" w:type="auto"/>
            <w:noWrap/>
            <w:vAlign w:val="bottom"/>
            <w:hideMark/>
          </w:tcPr>
          <w:p w14:paraId="1C6CAC1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14</w:t>
            </w:r>
          </w:p>
        </w:tc>
        <w:tc>
          <w:tcPr>
            <w:tcW w:w="1143" w:type="dxa"/>
            <w:noWrap/>
            <w:vAlign w:val="center"/>
            <w:hideMark/>
          </w:tcPr>
          <w:p w14:paraId="101325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12.508</w:t>
            </w:r>
          </w:p>
        </w:tc>
        <w:tc>
          <w:tcPr>
            <w:tcW w:w="0" w:type="auto"/>
            <w:vAlign w:val="center"/>
            <w:hideMark/>
          </w:tcPr>
          <w:p w14:paraId="49977691"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Linalool</w:t>
            </w:r>
          </w:p>
        </w:tc>
        <w:tc>
          <w:tcPr>
            <w:tcW w:w="336" w:type="dxa"/>
            <w:noWrap/>
            <w:vAlign w:val="center"/>
            <w:hideMark/>
          </w:tcPr>
          <w:p w14:paraId="52AC73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62.3</w:t>
            </w:r>
          </w:p>
        </w:tc>
        <w:tc>
          <w:tcPr>
            <w:tcW w:w="0" w:type="auto"/>
            <w:noWrap/>
            <w:vAlign w:val="center"/>
            <w:hideMark/>
          </w:tcPr>
          <w:p w14:paraId="3CE2E16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61.27</w:t>
            </w:r>
          </w:p>
        </w:tc>
        <w:tc>
          <w:tcPr>
            <w:tcW w:w="0" w:type="auto"/>
            <w:noWrap/>
            <w:vAlign w:val="center"/>
            <w:hideMark/>
          </w:tcPr>
          <w:p w14:paraId="66EEF2A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63.26</w:t>
            </w:r>
          </w:p>
        </w:tc>
        <w:tc>
          <w:tcPr>
            <w:tcW w:w="0" w:type="auto"/>
            <w:noWrap/>
            <w:vAlign w:val="center"/>
            <w:hideMark/>
          </w:tcPr>
          <w:p w14:paraId="77DFEB9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67.35</w:t>
            </w:r>
          </w:p>
        </w:tc>
        <w:tc>
          <w:tcPr>
            <w:tcW w:w="0" w:type="auto"/>
            <w:noWrap/>
            <w:vAlign w:val="center"/>
            <w:hideMark/>
          </w:tcPr>
          <w:p w14:paraId="645F35B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66.62</w:t>
            </w:r>
          </w:p>
        </w:tc>
        <w:tc>
          <w:tcPr>
            <w:tcW w:w="0" w:type="auto"/>
            <w:noWrap/>
            <w:vAlign w:val="center"/>
            <w:hideMark/>
          </w:tcPr>
          <w:p w14:paraId="339D5A9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68.43</w:t>
            </w:r>
          </w:p>
        </w:tc>
        <w:tc>
          <w:tcPr>
            <w:tcW w:w="0" w:type="auto"/>
            <w:noWrap/>
            <w:vAlign w:val="center"/>
            <w:hideMark/>
          </w:tcPr>
          <w:p w14:paraId="36AA39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72.87</w:t>
            </w:r>
          </w:p>
        </w:tc>
        <w:tc>
          <w:tcPr>
            <w:tcW w:w="0" w:type="auto"/>
            <w:noWrap/>
            <w:vAlign w:val="center"/>
            <w:hideMark/>
          </w:tcPr>
          <w:p w14:paraId="3B76C9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71.76</w:t>
            </w:r>
          </w:p>
        </w:tc>
        <w:tc>
          <w:tcPr>
            <w:tcW w:w="0" w:type="auto"/>
            <w:noWrap/>
            <w:vAlign w:val="center"/>
            <w:hideMark/>
          </w:tcPr>
          <w:p w14:paraId="572D6C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67.66</w:t>
            </w:r>
          </w:p>
        </w:tc>
        <w:tc>
          <w:tcPr>
            <w:tcW w:w="0" w:type="auto"/>
            <w:noWrap/>
            <w:vAlign w:val="center"/>
            <w:hideMark/>
          </w:tcPr>
          <w:p w14:paraId="0495333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50.49</w:t>
            </w:r>
          </w:p>
        </w:tc>
        <w:tc>
          <w:tcPr>
            <w:tcW w:w="0" w:type="auto"/>
            <w:vAlign w:val="center"/>
            <w:hideMark/>
          </w:tcPr>
          <w:p w14:paraId="6ADA781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69.7</w:t>
            </w:r>
          </w:p>
        </w:tc>
        <w:tc>
          <w:tcPr>
            <w:tcW w:w="0" w:type="auto"/>
            <w:vAlign w:val="center"/>
            <w:hideMark/>
          </w:tcPr>
          <w:p w14:paraId="5A3D92D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74.35</w:t>
            </w:r>
          </w:p>
        </w:tc>
        <w:tc>
          <w:tcPr>
            <w:tcW w:w="0" w:type="auto"/>
            <w:vAlign w:val="center"/>
            <w:hideMark/>
          </w:tcPr>
          <w:p w14:paraId="0736705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48.70</w:t>
            </w:r>
          </w:p>
        </w:tc>
        <w:tc>
          <w:tcPr>
            <w:tcW w:w="0" w:type="auto"/>
            <w:vAlign w:val="center"/>
            <w:hideMark/>
          </w:tcPr>
          <w:p w14:paraId="4E814CB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71.75</w:t>
            </w:r>
          </w:p>
        </w:tc>
        <w:tc>
          <w:tcPr>
            <w:tcW w:w="0" w:type="auto"/>
            <w:vAlign w:val="center"/>
            <w:hideMark/>
          </w:tcPr>
          <w:p w14:paraId="5169EE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69.27</w:t>
            </w:r>
          </w:p>
        </w:tc>
        <w:tc>
          <w:tcPr>
            <w:tcW w:w="0" w:type="auto"/>
            <w:vAlign w:val="center"/>
            <w:hideMark/>
          </w:tcPr>
          <w:p w14:paraId="67E666F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73.10</w:t>
            </w:r>
          </w:p>
        </w:tc>
      </w:tr>
      <w:tr w:rsidR="00055D14" w:rsidRPr="005E6B7C" w14:paraId="76076524" w14:textId="77777777" w:rsidTr="00266B26">
        <w:trPr>
          <w:trHeight w:val="163"/>
          <w:jc w:val="center"/>
        </w:trPr>
        <w:tc>
          <w:tcPr>
            <w:tcW w:w="0" w:type="auto"/>
            <w:noWrap/>
            <w:vAlign w:val="bottom"/>
            <w:hideMark/>
          </w:tcPr>
          <w:p w14:paraId="51A00C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15</w:t>
            </w:r>
          </w:p>
        </w:tc>
        <w:tc>
          <w:tcPr>
            <w:tcW w:w="1143" w:type="dxa"/>
            <w:noWrap/>
            <w:vAlign w:val="center"/>
            <w:hideMark/>
          </w:tcPr>
          <w:p w14:paraId="040481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12.555</w:t>
            </w:r>
          </w:p>
        </w:tc>
        <w:tc>
          <w:tcPr>
            <w:tcW w:w="0" w:type="auto"/>
            <w:vAlign w:val="center"/>
            <w:hideMark/>
          </w:tcPr>
          <w:p w14:paraId="3BDC4C5A"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Hotrienol</w:t>
            </w:r>
          </w:p>
        </w:tc>
        <w:tc>
          <w:tcPr>
            <w:tcW w:w="336" w:type="dxa"/>
            <w:noWrap/>
            <w:vAlign w:val="center"/>
            <w:hideMark/>
          </w:tcPr>
          <w:p w14:paraId="0D69EA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0.28</w:t>
            </w:r>
          </w:p>
        </w:tc>
        <w:tc>
          <w:tcPr>
            <w:tcW w:w="0" w:type="auto"/>
            <w:noWrap/>
            <w:vAlign w:val="center"/>
            <w:hideMark/>
          </w:tcPr>
          <w:p w14:paraId="335991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0.42</w:t>
            </w:r>
          </w:p>
        </w:tc>
        <w:tc>
          <w:tcPr>
            <w:tcW w:w="0" w:type="auto"/>
            <w:noWrap/>
            <w:vAlign w:val="center"/>
            <w:hideMark/>
          </w:tcPr>
          <w:p w14:paraId="0E2247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0.30</w:t>
            </w:r>
          </w:p>
        </w:tc>
        <w:tc>
          <w:tcPr>
            <w:tcW w:w="0" w:type="auto"/>
            <w:noWrap/>
            <w:vAlign w:val="center"/>
            <w:hideMark/>
          </w:tcPr>
          <w:p w14:paraId="540BCA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0.32</w:t>
            </w:r>
          </w:p>
        </w:tc>
        <w:tc>
          <w:tcPr>
            <w:tcW w:w="0" w:type="auto"/>
            <w:noWrap/>
            <w:vAlign w:val="center"/>
            <w:hideMark/>
          </w:tcPr>
          <w:p w14:paraId="636F42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0.41</w:t>
            </w:r>
          </w:p>
        </w:tc>
        <w:tc>
          <w:tcPr>
            <w:tcW w:w="0" w:type="auto"/>
            <w:noWrap/>
            <w:vAlign w:val="center"/>
            <w:hideMark/>
          </w:tcPr>
          <w:p w14:paraId="3E5465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0.40</w:t>
            </w:r>
          </w:p>
        </w:tc>
        <w:tc>
          <w:tcPr>
            <w:tcW w:w="0" w:type="auto"/>
            <w:noWrap/>
            <w:vAlign w:val="center"/>
            <w:hideMark/>
          </w:tcPr>
          <w:p w14:paraId="46D0774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1.68</w:t>
            </w:r>
          </w:p>
        </w:tc>
        <w:tc>
          <w:tcPr>
            <w:tcW w:w="0" w:type="auto"/>
            <w:noWrap/>
            <w:vAlign w:val="center"/>
            <w:hideMark/>
          </w:tcPr>
          <w:p w14:paraId="467BBF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1.34</w:t>
            </w:r>
          </w:p>
        </w:tc>
        <w:tc>
          <w:tcPr>
            <w:tcW w:w="0" w:type="auto"/>
            <w:noWrap/>
            <w:vAlign w:val="center"/>
            <w:hideMark/>
          </w:tcPr>
          <w:p w14:paraId="1479BE0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1.06</w:t>
            </w:r>
          </w:p>
        </w:tc>
        <w:tc>
          <w:tcPr>
            <w:tcW w:w="0" w:type="auto"/>
            <w:noWrap/>
            <w:vAlign w:val="center"/>
            <w:hideMark/>
          </w:tcPr>
          <w:p w14:paraId="1D7B6F2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1.72</w:t>
            </w:r>
          </w:p>
        </w:tc>
        <w:tc>
          <w:tcPr>
            <w:tcW w:w="0" w:type="auto"/>
            <w:vAlign w:val="center"/>
            <w:hideMark/>
          </w:tcPr>
          <w:p w14:paraId="2364F5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0.81</w:t>
            </w:r>
          </w:p>
        </w:tc>
        <w:tc>
          <w:tcPr>
            <w:tcW w:w="0" w:type="auto"/>
            <w:vAlign w:val="center"/>
            <w:hideMark/>
          </w:tcPr>
          <w:p w14:paraId="732650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0.36</w:t>
            </w:r>
          </w:p>
        </w:tc>
        <w:tc>
          <w:tcPr>
            <w:tcW w:w="0" w:type="auto"/>
            <w:noWrap/>
            <w:vAlign w:val="center"/>
            <w:hideMark/>
          </w:tcPr>
          <w:p w14:paraId="1FEBE6B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3.07</w:t>
            </w:r>
          </w:p>
        </w:tc>
        <w:tc>
          <w:tcPr>
            <w:tcW w:w="0" w:type="auto"/>
            <w:noWrap/>
            <w:vAlign w:val="center"/>
            <w:hideMark/>
          </w:tcPr>
          <w:p w14:paraId="37FDEF3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3CDEAF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DBAE5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r>
      <w:tr w:rsidR="00055D14" w:rsidRPr="005E6B7C" w14:paraId="4BD37D24" w14:textId="77777777" w:rsidTr="00266B26">
        <w:trPr>
          <w:trHeight w:val="318"/>
          <w:jc w:val="center"/>
        </w:trPr>
        <w:tc>
          <w:tcPr>
            <w:tcW w:w="0" w:type="auto"/>
            <w:noWrap/>
            <w:vAlign w:val="bottom"/>
            <w:hideMark/>
          </w:tcPr>
          <w:p w14:paraId="14BFFD4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w:t>
            </w:r>
          </w:p>
        </w:tc>
        <w:tc>
          <w:tcPr>
            <w:tcW w:w="1143" w:type="dxa"/>
            <w:noWrap/>
            <w:vAlign w:val="center"/>
            <w:hideMark/>
          </w:tcPr>
          <w:p w14:paraId="2463851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13.477</w:t>
            </w:r>
          </w:p>
        </w:tc>
        <w:tc>
          <w:tcPr>
            <w:tcW w:w="0" w:type="auto"/>
            <w:vAlign w:val="center"/>
            <w:hideMark/>
          </w:tcPr>
          <w:p w14:paraId="18F5EBCC"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trans</w:t>
            </w:r>
            <w:r w:rsidRPr="005E6B7C">
              <w:rPr>
                <w:rFonts w:asciiTheme="majorHAnsi" w:eastAsia="Times New Roman" w:hAnsiTheme="majorHAnsi" w:cstheme="majorHAnsi"/>
                <w:color w:val="000000" w:themeColor="text1"/>
                <w:sz w:val="16"/>
                <w:szCs w:val="16"/>
              </w:rPr>
              <w:t>-Sabinene hydrate</w:t>
            </w:r>
          </w:p>
        </w:tc>
        <w:tc>
          <w:tcPr>
            <w:tcW w:w="336" w:type="dxa"/>
            <w:noWrap/>
            <w:vAlign w:val="center"/>
            <w:hideMark/>
          </w:tcPr>
          <w:p w14:paraId="2D63B1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0.31</w:t>
            </w:r>
          </w:p>
        </w:tc>
        <w:tc>
          <w:tcPr>
            <w:tcW w:w="0" w:type="auto"/>
            <w:noWrap/>
            <w:vAlign w:val="center"/>
            <w:hideMark/>
          </w:tcPr>
          <w:p w14:paraId="6490CA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0.22</w:t>
            </w:r>
          </w:p>
        </w:tc>
        <w:tc>
          <w:tcPr>
            <w:tcW w:w="0" w:type="auto"/>
            <w:noWrap/>
            <w:vAlign w:val="center"/>
            <w:hideMark/>
          </w:tcPr>
          <w:p w14:paraId="21B3024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6B6B44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0.45</w:t>
            </w:r>
          </w:p>
        </w:tc>
        <w:tc>
          <w:tcPr>
            <w:tcW w:w="0" w:type="auto"/>
            <w:noWrap/>
            <w:vAlign w:val="center"/>
            <w:hideMark/>
          </w:tcPr>
          <w:p w14:paraId="0D335D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0689643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FD6F4B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76DC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EFCF4F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794FC9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4E4DA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A9A5C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ED8D3B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F3EA8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1C8EB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409ECF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6E8E4DF5" w14:textId="77777777" w:rsidTr="00266B26">
        <w:trPr>
          <w:trHeight w:val="326"/>
          <w:jc w:val="center"/>
        </w:trPr>
        <w:tc>
          <w:tcPr>
            <w:tcW w:w="0" w:type="auto"/>
            <w:noWrap/>
            <w:vAlign w:val="bottom"/>
            <w:hideMark/>
          </w:tcPr>
          <w:p w14:paraId="0B74B2A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17</w:t>
            </w:r>
          </w:p>
        </w:tc>
        <w:tc>
          <w:tcPr>
            <w:tcW w:w="1143" w:type="dxa"/>
            <w:noWrap/>
            <w:vAlign w:val="center"/>
            <w:hideMark/>
          </w:tcPr>
          <w:p w14:paraId="16F5C18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14.454</w:t>
            </w:r>
          </w:p>
        </w:tc>
        <w:tc>
          <w:tcPr>
            <w:tcW w:w="0" w:type="auto"/>
            <w:vAlign w:val="center"/>
            <w:hideMark/>
          </w:tcPr>
          <w:p w14:paraId="6D0F09BF"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cis</w:t>
            </w:r>
            <w:r w:rsidRPr="005E6B7C">
              <w:rPr>
                <w:rFonts w:asciiTheme="majorHAnsi" w:eastAsia="Times New Roman" w:hAnsiTheme="majorHAnsi" w:cstheme="majorHAnsi"/>
                <w:color w:val="000000" w:themeColor="text1"/>
                <w:sz w:val="16"/>
                <w:szCs w:val="16"/>
              </w:rPr>
              <w:t>-2</w:t>
            </w:r>
            <w:r w:rsidRPr="005E6B7C">
              <w:rPr>
                <w:rFonts w:asciiTheme="majorHAnsi" w:eastAsia="Times New Roman" w:hAnsiTheme="majorHAnsi" w:cstheme="majorHAnsi"/>
                <w:i/>
                <w:color w:val="000000" w:themeColor="text1"/>
                <w:sz w:val="16"/>
                <w:szCs w:val="16"/>
              </w:rPr>
              <w:t>-p</w:t>
            </w:r>
            <w:r w:rsidRPr="005E6B7C">
              <w:rPr>
                <w:rFonts w:asciiTheme="majorHAnsi" w:eastAsia="Times New Roman" w:hAnsiTheme="majorHAnsi" w:cstheme="majorHAnsi"/>
                <w:color w:val="000000" w:themeColor="text1"/>
                <w:sz w:val="16"/>
                <w:szCs w:val="16"/>
              </w:rPr>
              <w:t>-Menthen-1-ol</w:t>
            </w:r>
          </w:p>
        </w:tc>
        <w:tc>
          <w:tcPr>
            <w:tcW w:w="336" w:type="dxa"/>
            <w:noWrap/>
            <w:vAlign w:val="center"/>
            <w:hideMark/>
          </w:tcPr>
          <w:p w14:paraId="74F5E8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0.21</w:t>
            </w:r>
          </w:p>
        </w:tc>
        <w:tc>
          <w:tcPr>
            <w:tcW w:w="0" w:type="auto"/>
            <w:noWrap/>
            <w:vAlign w:val="center"/>
            <w:hideMark/>
          </w:tcPr>
          <w:p w14:paraId="18D9406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1883D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0.24</w:t>
            </w:r>
          </w:p>
        </w:tc>
        <w:tc>
          <w:tcPr>
            <w:tcW w:w="0" w:type="auto"/>
            <w:noWrap/>
            <w:vAlign w:val="center"/>
            <w:hideMark/>
          </w:tcPr>
          <w:p w14:paraId="429DFE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4227CA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0.47</w:t>
            </w:r>
          </w:p>
        </w:tc>
        <w:tc>
          <w:tcPr>
            <w:tcW w:w="0" w:type="auto"/>
            <w:noWrap/>
            <w:vAlign w:val="center"/>
            <w:hideMark/>
          </w:tcPr>
          <w:p w14:paraId="0B9B2B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AEF2C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491F6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E9D72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94883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DFAC45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84B06E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53FED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E63754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89757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11004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3C02D3CC" w14:textId="77777777" w:rsidTr="00266B26">
        <w:trPr>
          <w:trHeight w:val="318"/>
          <w:jc w:val="center"/>
        </w:trPr>
        <w:tc>
          <w:tcPr>
            <w:tcW w:w="0" w:type="auto"/>
            <w:noWrap/>
            <w:vAlign w:val="bottom"/>
            <w:hideMark/>
          </w:tcPr>
          <w:p w14:paraId="645196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18</w:t>
            </w:r>
          </w:p>
        </w:tc>
        <w:tc>
          <w:tcPr>
            <w:tcW w:w="1143" w:type="dxa"/>
            <w:noWrap/>
            <w:vAlign w:val="center"/>
            <w:hideMark/>
          </w:tcPr>
          <w:p w14:paraId="28F680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15.599</w:t>
            </w:r>
          </w:p>
        </w:tc>
        <w:tc>
          <w:tcPr>
            <w:tcW w:w="0" w:type="auto"/>
            <w:vAlign w:val="center"/>
            <w:hideMark/>
          </w:tcPr>
          <w:p w14:paraId="13A16B64"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p</w:t>
            </w:r>
            <w:r w:rsidRPr="005E6B7C">
              <w:rPr>
                <w:rFonts w:asciiTheme="majorHAnsi" w:eastAsia="Times New Roman" w:hAnsiTheme="majorHAnsi" w:cstheme="majorHAnsi"/>
                <w:color w:val="000000" w:themeColor="text1"/>
                <w:sz w:val="16"/>
                <w:szCs w:val="16"/>
              </w:rPr>
              <w:t>-Mentha-1,5-dien-8-ol</w:t>
            </w:r>
          </w:p>
        </w:tc>
        <w:tc>
          <w:tcPr>
            <w:tcW w:w="336" w:type="dxa"/>
            <w:noWrap/>
            <w:vAlign w:val="center"/>
            <w:hideMark/>
          </w:tcPr>
          <w:p w14:paraId="32A191A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c>
          <w:tcPr>
            <w:tcW w:w="0" w:type="auto"/>
            <w:noWrap/>
            <w:vAlign w:val="center"/>
            <w:hideMark/>
          </w:tcPr>
          <w:p w14:paraId="7B5D819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0.26</w:t>
            </w:r>
          </w:p>
        </w:tc>
        <w:tc>
          <w:tcPr>
            <w:tcW w:w="0" w:type="auto"/>
            <w:noWrap/>
            <w:vAlign w:val="center"/>
            <w:hideMark/>
          </w:tcPr>
          <w:p w14:paraId="4D417A7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0.68</w:t>
            </w:r>
          </w:p>
        </w:tc>
        <w:tc>
          <w:tcPr>
            <w:tcW w:w="0" w:type="auto"/>
            <w:noWrap/>
            <w:vAlign w:val="center"/>
            <w:hideMark/>
          </w:tcPr>
          <w:p w14:paraId="6403DD6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0.41</w:t>
            </w:r>
          </w:p>
        </w:tc>
        <w:tc>
          <w:tcPr>
            <w:tcW w:w="0" w:type="auto"/>
            <w:noWrap/>
            <w:vAlign w:val="center"/>
            <w:hideMark/>
          </w:tcPr>
          <w:p w14:paraId="03519E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0.32</w:t>
            </w:r>
          </w:p>
        </w:tc>
        <w:tc>
          <w:tcPr>
            <w:tcW w:w="0" w:type="auto"/>
            <w:noWrap/>
            <w:vAlign w:val="center"/>
            <w:hideMark/>
          </w:tcPr>
          <w:p w14:paraId="6D44CA0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0.70</w:t>
            </w:r>
          </w:p>
        </w:tc>
        <w:tc>
          <w:tcPr>
            <w:tcW w:w="0" w:type="auto"/>
            <w:noWrap/>
            <w:vAlign w:val="center"/>
            <w:hideMark/>
          </w:tcPr>
          <w:p w14:paraId="0308307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0.69</w:t>
            </w:r>
          </w:p>
        </w:tc>
        <w:tc>
          <w:tcPr>
            <w:tcW w:w="0" w:type="auto"/>
            <w:noWrap/>
            <w:vAlign w:val="center"/>
            <w:hideMark/>
          </w:tcPr>
          <w:p w14:paraId="6C370FD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7671B6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0.66</w:t>
            </w:r>
          </w:p>
        </w:tc>
        <w:tc>
          <w:tcPr>
            <w:tcW w:w="0" w:type="auto"/>
            <w:noWrap/>
            <w:vAlign w:val="center"/>
            <w:hideMark/>
          </w:tcPr>
          <w:p w14:paraId="6991F6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1.20</w:t>
            </w:r>
          </w:p>
        </w:tc>
        <w:tc>
          <w:tcPr>
            <w:tcW w:w="0" w:type="auto"/>
            <w:noWrap/>
            <w:vAlign w:val="center"/>
            <w:hideMark/>
          </w:tcPr>
          <w:p w14:paraId="1FB9211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vAlign w:val="center"/>
            <w:hideMark/>
          </w:tcPr>
          <w:p w14:paraId="1C37DC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0.62</w:t>
            </w:r>
          </w:p>
        </w:tc>
        <w:tc>
          <w:tcPr>
            <w:tcW w:w="0" w:type="auto"/>
            <w:noWrap/>
            <w:vAlign w:val="center"/>
            <w:hideMark/>
          </w:tcPr>
          <w:p w14:paraId="262455C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1.41</w:t>
            </w:r>
          </w:p>
        </w:tc>
        <w:tc>
          <w:tcPr>
            <w:tcW w:w="0" w:type="auto"/>
            <w:noWrap/>
            <w:vAlign w:val="center"/>
            <w:hideMark/>
          </w:tcPr>
          <w:p w14:paraId="5AFC9F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88089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62532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73411AE4" w14:textId="77777777" w:rsidTr="00266B26">
        <w:trPr>
          <w:trHeight w:val="163"/>
          <w:jc w:val="center"/>
        </w:trPr>
        <w:tc>
          <w:tcPr>
            <w:tcW w:w="0" w:type="auto"/>
            <w:noWrap/>
            <w:vAlign w:val="bottom"/>
            <w:hideMark/>
          </w:tcPr>
          <w:p w14:paraId="5383FEB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19</w:t>
            </w:r>
          </w:p>
        </w:tc>
        <w:tc>
          <w:tcPr>
            <w:tcW w:w="1143" w:type="dxa"/>
            <w:noWrap/>
            <w:vAlign w:val="center"/>
            <w:hideMark/>
          </w:tcPr>
          <w:p w14:paraId="09CFA8D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16.636</w:t>
            </w:r>
          </w:p>
        </w:tc>
        <w:tc>
          <w:tcPr>
            <w:tcW w:w="0" w:type="auto"/>
            <w:vAlign w:val="center"/>
            <w:hideMark/>
          </w:tcPr>
          <w:p w14:paraId="7E8E262F"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L-Terpinen-4-ol</w:t>
            </w:r>
          </w:p>
        </w:tc>
        <w:tc>
          <w:tcPr>
            <w:tcW w:w="336" w:type="dxa"/>
            <w:noWrap/>
            <w:vAlign w:val="center"/>
            <w:hideMark/>
          </w:tcPr>
          <w:p w14:paraId="2E5BDB9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9.17</w:t>
            </w:r>
          </w:p>
        </w:tc>
        <w:tc>
          <w:tcPr>
            <w:tcW w:w="0" w:type="auto"/>
            <w:noWrap/>
            <w:vAlign w:val="center"/>
            <w:hideMark/>
          </w:tcPr>
          <w:p w14:paraId="150466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7.56</w:t>
            </w:r>
          </w:p>
        </w:tc>
        <w:tc>
          <w:tcPr>
            <w:tcW w:w="0" w:type="auto"/>
            <w:noWrap/>
            <w:vAlign w:val="center"/>
            <w:hideMark/>
          </w:tcPr>
          <w:p w14:paraId="64E122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8.92</w:t>
            </w:r>
          </w:p>
        </w:tc>
        <w:tc>
          <w:tcPr>
            <w:tcW w:w="0" w:type="auto"/>
            <w:noWrap/>
            <w:vAlign w:val="center"/>
            <w:hideMark/>
          </w:tcPr>
          <w:p w14:paraId="2C077C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12.88</w:t>
            </w:r>
          </w:p>
        </w:tc>
        <w:tc>
          <w:tcPr>
            <w:tcW w:w="0" w:type="auto"/>
            <w:noWrap/>
            <w:vAlign w:val="center"/>
            <w:hideMark/>
          </w:tcPr>
          <w:p w14:paraId="362EF7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10.42</w:t>
            </w:r>
          </w:p>
        </w:tc>
        <w:tc>
          <w:tcPr>
            <w:tcW w:w="0" w:type="auto"/>
            <w:noWrap/>
            <w:vAlign w:val="center"/>
            <w:hideMark/>
          </w:tcPr>
          <w:p w14:paraId="42DA089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4.77</w:t>
            </w:r>
          </w:p>
        </w:tc>
        <w:tc>
          <w:tcPr>
            <w:tcW w:w="0" w:type="auto"/>
            <w:noWrap/>
            <w:vAlign w:val="center"/>
            <w:hideMark/>
          </w:tcPr>
          <w:p w14:paraId="4187BA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6.35</w:t>
            </w:r>
          </w:p>
        </w:tc>
        <w:tc>
          <w:tcPr>
            <w:tcW w:w="0" w:type="auto"/>
            <w:noWrap/>
            <w:vAlign w:val="center"/>
            <w:hideMark/>
          </w:tcPr>
          <w:p w14:paraId="0F155A2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6.62</w:t>
            </w:r>
          </w:p>
        </w:tc>
        <w:tc>
          <w:tcPr>
            <w:tcW w:w="0" w:type="auto"/>
            <w:noWrap/>
            <w:vAlign w:val="center"/>
            <w:hideMark/>
          </w:tcPr>
          <w:p w14:paraId="41307F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1.78</w:t>
            </w:r>
          </w:p>
        </w:tc>
        <w:tc>
          <w:tcPr>
            <w:tcW w:w="0" w:type="auto"/>
            <w:noWrap/>
            <w:vAlign w:val="center"/>
            <w:hideMark/>
          </w:tcPr>
          <w:p w14:paraId="7C9E22A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4.57</w:t>
            </w:r>
          </w:p>
        </w:tc>
        <w:tc>
          <w:tcPr>
            <w:tcW w:w="0" w:type="auto"/>
            <w:noWrap/>
            <w:vAlign w:val="center"/>
            <w:hideMark/>
          </w:tcPr>
          <w:p w14:paraId="59A52E1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2.00</w:t>
            </w:r>
          </w:p>
        </w:tc>
        <w:tc>
          <w:tcPr>
            <w:tcW w:w="0" w:type="auto"/>
            <w:vAlign w:val="center"/>
            <w:hideMark/>
          </w:tcPr>
          <w:p w14:paraId="30E65A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8.01</w:t>
            </w:r>
          </w:p>
        </w:tc>
        <w:tc>
          <w:tcPr>
            <w:tcW w:w="0" w:type="auto"/>
            <w:noWrap/>
            <w:vAlign w:val="center"/>
            <w:hideMark/>
          </w:tcPr>
          <w:p w14:paraId="102EF13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2.93</w:t>
            </w:r>
          </w:p>
        </w:tc>
        <w:tc>
          <w:tcPr>
            <w:tcW w:w="0" w:type="auto"/>
            <w:noWrap/>
            <w:vAlign w:val="center"/>
            <w:hideMark/>
          </w:tcPr>
          <w:p w14:paraId="73E9471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3.47</w:t>
            </w:r>
          </w:p>
        </w:tc>
        <w:tc>
          <w:tcPr>
            <w:tcW w:w="0" w:type="auto"/>
            <w:noWrap/>
            <w:vAlign w:val="center"/>
            <w:hideMark/>
          </w:tcPr>
          <w:p w14:paraId="575A05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7.56</w:t>
            </w:r>
          </w:p>
        </w:tc>
        <w:tc>
          <w:tcPr>
            <w:tcW w:w="0" w:type="auto"/>
            <w:noWrap/>
            <w:vAlign w:val="center"/>
            <w:hideMark/>
          </w:tcPr>
          <w:p w14:paraId="339EEEE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5.66</w:t>
            </w:r>
          </w:p>
        </w:tc>
      </w:tr>
      <w:tr w:rsidR="00055D14" w:rsidRPr="005E6B7C" w14:paraId="09FD1B1A" w14:textId="77777777" w:rsidTr="00266B26">
        <w:trPr>
          <w:trHeight w:val="163"/>
          <w:jc w:val="center"/>
        </w:trPr>
        <w:tc>
          <w:tcPr>
            <w:tcW w:w="0" w:type="auto"/>
            <w:noWrap/>
            <w:vAlign w:val="bottom"/>
            <w:hideMark/>
          </w:tcPr>
          <w:p w14:paraId="23B1956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20</w:t>
            </w:r>
          </w:p>
        </w:tc>
        <w:tc>
          <w:tcPr>
            <w:tcW w:w="1143" w:type="dxa"/>
            <w:noWrap/>
            <w:vAlign w:val="center"/>
            <w:hideMark/>
          </w:tcPr>
          <w:p w14:paraId="6EBCDA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16.888</w:t>
            </w:r>
          </w:p>
        </w:tc>
        <w:tc>
          <w:tcPr>
            <w:tcW w:w="0" w:type="auto"/>
            <w:vAlign w:val="center"/>
            <w:hideMark/>
          </w:tcPr>
          <w:p w14:paraId="5E246F2D"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Crypton</w:t>
            </w:r>
          </w:p>
        </w:tc>
        <w:tc>
          <w:tcPr>
            <w:tcW w:w="336" w:type="dxa"/>
            <w:noWrap/>
            <w:vAlign w:val="center"/>
            <w:hideMark/>
          </w:tcPr>
          <w:p w14:paraId="36CA01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0.27</w:t>
            </w:r>
          </w:p>
        </w:tc>
        <w:tc>
          <w:tcPr>
            <w:tcW w:w="0" w:type="auto"/>
            <w:noWrap/>
            <w:vAlign w:val="center"/>
            <w:hideMark/>
          </w:tcPr>
          <w:p w14:paraId="7EBA3AC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0.34</w:t>
            </w:r>
          </w:p>
        </w:tc>
        <w:tc>
          <w:tcPr>
            <w:tcW w:w="0" w:type="auto"/>
            <w:noWrap/>
            <w:vAlign w:val="center"/>
            <w:hideMark/>
          </w:tcPr>
          <w:p w14:paraId="496E645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2B0B91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0.45</w:t>
            </w:r>
          </w:p>
        </w:tc>
        <w:tc>
          <w:tcPr>
            <w:tcW w:w="0" w:type="auto"/>
            <w:noWrap/>
            <w:vAlign w:val="center"/>
            <w:hideMark/>
          </w:tcPr>
          <w:p w14:paraId="75D040E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0.12</w:t>
            </w:r>
          </w:p>
        </w:tc>
        <w:tc>
          <w:tcPr>
            <w:tcW w:w="0" w:type="auto"/>
            <w:noWrap/>
            <w:vAlign w:val="center"/>
            <w:hideMark/>
          </w:tcPr>
          <w:p w14:paraId="5157CD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0827F2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95558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A25BC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4CE8C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2DD87A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7AB1A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0.59</w:t>
            </w:r>
          </w:p>
        </w:tc>
        <w:tc>
          <w:tcPr>
            <w:tcW w:w="0" w:type="auto"/>
            <w:noWrap/>
            <w:vAlign w:val="center"/>
            <w:hideMark/>
          </w:tcPr>
          <w:p w14:paraId="1A2241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0.67</w:t>
            </w:r>
          </w:p>
        </w:tc>
        <w:tc>
          <w:tcPr>
            <w:tcW w:w="0" w:type="auto"/>
            <w:noWrap/>
            <w:vAlign w:val="center"/>
            <w:hideMark/>
          </w:tcPr>
          <w:p w14:paraId="2F25C3E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6D908E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0.35</w:t>
            </w:r>
          </w:p>
        </w:tc>
        <w:tc>
          <w:tcPr>
            <w:tcW w:w="0" w:type="auto"/>
            <w:noWrap/>
            <w:vAlign w:val="center"/>
            <w:hideMark/>
          </w:tcPr>
          <w:p w14:paraId="5F3832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39438789" w14:textId="77777777" w:rsidTr="00266B26">
        <w:trPr>
          <w:trHeight w:val="154"/>
          <w:jc w:val="center"/>
        </w:trPr>
        <w:tc>
          <w:tcPr>
            <w:tcW w:w="0" w:type="auto"/>
            <w:noWrap/>
            <w:vAlign w:val="bottom"/>
            <w:hideMark/>
          </w:tcPr>
          <w:p w14:paraId="4E05586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21</w:t>
            </w:r>
          </w:p>
        </w:tc>
        <w:tc>
          <w:tcPr>
            <w:tcW w:w="1143" w:type="dxa"/>
            <w:noWrap/>
            <w:vAlign w:val="center"/>
            <w:hideMark/>
          </w:tcPr>
          <w:p w14:paraId="3E1D95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17.035</w:t>
            </w:r>
          </w:p>
        </w:tc>
        <w:tc>
          <w:tcPr>
            <w:tcW w:w="0" w:type="auto"/>
            <w:vAlign w:val="center"/>
            <w:hideMark/>
          </w:tcPr>
          <w:p w14:paraId="0FF0C1CF"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p</w:t>
            </w:r>
            <w:r w:rsidRPr="005E6B7C">
              <w:rPr>
                <w:rFonts w:asciiTheme="majorHAnsi" w:eastAsia="Times New Roman" w:hAnsiTheme="majorHAnsi" w:cstheme="majorHAnsi"/>
                <w:color w:val="000000" w:themeColor="text1"/>
                <w:sz w:val="16"/>
                <w:szCs w:val="16"/>
              </w:rPr>
              <w:t>-Cymene-8-ol</w:t>
            </w:r>
          </w:p>
        </w:tc>
        <w:tc>
          <w:tcPr>
            <w:tcW w:w="336" w:type="dxa"/>
            <w:noWrap/>
            <w:vAlign w:val="center"/>
            <w:hideMark/>
          </w:tcPr>
          <w:p w14:paraId="2247C9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0.16</w:t>
            </w:r>
          </w:p>
        </w:tc>
        <w:tc>
          <w:tcPr>
            <w:tcW w:w="0" w:type="auto"/>
            <w:noWrap/>
            <w:vAlign w:val="center"/>
            <w:hideMark/>
          </w:tcPr>
          <w:p w14:paraId="36FFF4F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46660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0.23</w:t>
            </w:r>
          </w:p>
        </w:tc>
        <w:tc>
          <w:tcPr>
            <w:tcW w:w="0" w:type="auto"/>
            <w:noWrap/>
            <w:vAlign w:val="center"/>
            <w:hideMark/>
          </w:tcPr>
          <w:p w14:paraId="369E8E5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0.20</w:t>
            </w:r>
          </w:p>
        </w:tc>
        <w:tc>
          <w:tcPr>
            <w:tcW w:w="0" w:type="auto"/>
            <w:noWrap/>
            <w:vAlign w:val="center"/>
            <w:hideMark/>
          </w:tcPr>
          <w:p w14:paraId="7BC6B4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0.98</w:t>
            </w:r>
          </w:p>
        </w:tc>
        <w:tc>
          <w:tcPr>
            <w:tcW w:w="0" w:type="auto"/>
            <w:noWrap/>
            <w:vAlign w:val="center"/>
            <w:hideMark/>
          </w:tcPr>
          <w:p w14:paraId="110E6FB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1DFDC7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0.51</w:t>
            </w:r>
          </w:p>
        </w:tc>
        <w:tc>
          <w:tcPr>
            <w:tcW w:w="0" w:type="auto"/>
            <w:noWrap/>
            <w:vAlign w:val="center"/>
            <w:hideMark/>
          </w:tcPr>
          <w:p w14:paraId="341AF65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6A1BF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0.76</w:t>
            </w:r>
          </w:p>
        </w:tc>
        <w:tc>
          <w:tcPr>
            <w:tcW w:w="0" w:type="auto"/>
            <w:noWrap/>
            <w:vAlign w:val="center"/>
            <w:hideMark/>
          </w:tcPr>
          <w:p w14:paraId="46BE8A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0.77</w:t>
            </w:r>
          </w:p>
        </w:tc>
        <w:tc>
          <w:tcPr>
            <w:tcW w:w="0" w:type="auto"/>
            <w:noWrap/>
            <w:vAlign w:val="center"/>
            <w:hideMark/>
          </w:tcPr>
          <w:p w14:paraId="16E642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0.48</w:t>
            </w:r>
          </w:p>
        </w:tc>
        <w:tc>
          <w:tcPr>
            <w:tcW w:w="0" w:type="auto"/>
            <w:noWrap/>
            <w:vAlign w:val="center"/>
            <w:hideMark/>
          </w:tcPr>
          <w:p w14:paraId="1A94221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1.10</w:t>
            </w:r>
          </w:p>
        </w:tc>
        <w:tc>
          <w:tcPr>
            <w:tcW w:w="0" w:type="auto"/>
            <w:noWrap/>
            <w:vAlign w:val="center"/>
            <w:hideMark/>
          </w:tcPr>
          <w:p w14:paraId="3FECCA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2.07</w:t>
            </w:r>
          </w:p>
        </w:tc>
        <w:tc>
          <w:tcPr>
            <w:tcW w:w="0" w:type="auto"/>
            <w:noWrap/>
            <w:vAlign w:val="center"/>
            <w:hideMark/>
          </w:tcPr>
          <w:p w14:paraId="7A2B5E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CDDCE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0.28</w:t>
            </w:r>
          </w:p>
        </w:tc>
        <w:tc>
          <w:tcPr>
            <w:tcW w:w="0" w:type="auto"/>
            <w:noWrap/>
            <w:vAlign w:val="center"/>
            <w:hideMark/>
          </w:tcPr>
          <w:p w14:paraId="14526D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70BB572" w14:textId="77777777" w:rsidTr="00266B26">
        <w:trPr>
          <w:trHeight w:val="163"/>
          <w:jc w:val="center"/>
        </w:trPr>
        <w:tc>
          <w:tcPr>
            <w:tcW w:w="0" w:type="auto"/>
            <w:noWrap/>
            <w:vAlign w:val="bottom"/>
            <w:hideMark/>
          </w:tcPr>
          <w:p w14:paraId="6EB35D6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22</w:t>
            </w:r>
          </w:p>
        </w:tc>
        <w:tc>
          <w:tcPr>
            <w:tcW w:w="1143" w:type="dxa"/>
            <w:noWrap/>
            <w:vAlign w:val="center"/>
            <w:hideMark/>
          </w:tcPr>
          <w:p w14:paraId="7212E8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17.504</w:t>
            </w:r>
          </w:p>
        </w:tc>
        <w:tc>
          <w:tcPr>
            <w:tcW w:w="0" w:type="auto"/>
            <w:vAlign w:val="center"/>
            <w:hideMark/>
          </w:tcPr>
          <w:p w14:paraId="5A7207A1"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α</w:t>
            </w:r>
            <w:r w:rsidRPr="005E6B7C">
              <w:rPr>
                <w:rFonts w:asciiTheme="majorHAnsi" w:eastAsia="Times New Roman" w:hAnsiTheme="majorHAnsi" w:cstheme="majorHAnsi"/>
                <w:color w:val="000000" w:themeColor="text1"/>
                <w:sz w:val="16"/>
                <w:szCs w:val="16"/>
              </w:rPr>
              <w:t>-Terpineol</w:t>
            </w:r>
          </w:p>
        </w:tc>
        <w:tc>
          <w:tcPr>
            <w:tcW w:w="336" w:type="dxa"/>
            <w:noWrap/>
            <w:vAlign w:val="center"/>
            <w:hideMark/>
          </w:tcPr>
          <w:p w14:paraId="639B81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4.77</w:t>
            </w:r>
          </w:p>
        </w:tc>
        <w:tc>
          <w:tcPr>
            <w:tcW w:w="0" w:type="auto"/>
            <w:noWrap/>
            <w:vAlign w:val="center"/>
            <w:hideMark/>
          </w:tcPr>
          <w:p w14:paraId="5FC13FE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4.77</w:t>
            </w:r>
          </w:p>
        </w:tc>
        <w:tc>
          <w:tcPr>
            <w:tcW w:w="0" w:type="auto"/>
            <w:noWrap/>
            <w:vAlign w:val="center"/>
            <w:hideMark/>
          </w:tcPr>
          <w:p w14:paraId="13BDBD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2.78</w:t>
            </w:r>
          </w:p>
        </w:tc>
        <w:tc>
          <w:tcPr>
            <w:tcW w:w="0" w:type="auto"/>
            <w:noWrap/>
            <w:vAlign w:val="center"/>
            <w:hideMark/>
          </w:tcPr>
          <w:p w14:paraId="711C2BB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2.45</w:t>
            </w:r>
          </w:p>
        </w:tc>
        <w:tc>
          <w:tcPr>
            <w:tcW w:w="0" w:type="auto"/>
            <w:noWrap/>
            <w:vAlign w:val="center"/>
            <w:hideMark/>
          </w:tcPr>
          <w:p w14:paraId="60C5351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3.11</w:t>
            </w:r>
          </w:p>
        </w:tc>
        <w:tc>
          <w:tcPr>
            <w:tcW w:w="0" w:type="auto"/>
            <w:noWrap/>
            <w:vAlign w:val="center"/>
            <w:hideMark/>
          </w:tcPr>
          <w:p w14:paraId="08927CB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1.21</w:t>
            </w:r>
          </w:p>
        </w:tc>
        <w:tc>
          <w:tcPr>
            <w:tcW w:w="0" w:type="auto"/>
            <w:noWrap/>
            <w:vAlign w:val="center"/>
            <w:hideMark/>
          </w:tcPr>
          <w:p w14:paraId="76C7254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1.09</w:t>
            </w:r>
          </w:p>
        </w:tc>
        <w:tc>
          <w:tcPr>
            <w:tcW w:w="0" w:type="auto"/>
            <w:noWrap/>
            <w:vAlign w:val="center"/>
            <w:hideMark/>
          </w:tcPr>
          <w:p w14:paraId="50EE53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1.14</w:t>
            </w:r>
          </w:p>
        </w:tc>
        <w:tc>
          <w:tcPr>
            <w:tcW w:w="0" w:type="auto"/>
            <w:noWrap/>
            <w:vAlign w:val="center"/>
            <w:hideMark/>
          </w:tcPr>
          <w:p w14:paraId="61FA21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0.52</w:t>
            </w:r>
          </w:p>
        </w:tc>
        <w:tc>
          <w:tcPr>
            <w:tcW w:w="0" w:type="auto"/>
            <w:noWrap/>
            <w:vAlign w:val="center"/>
            <w:hideMark/>
          </w:tcPr>
          <w:p w14:paraId="53D27D3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0.99</w:t>
            </w:r>
          </w:p>
        </w:tc>
        <w:tc>
          <w:tcPr>
            <w:tcW w:w="0" w:type="auto"/>
            <w:noWrap/>
            <w:vAlign w:val="center"/>
            <w:hideMark/>
          </w:tcPr>
          <w:p w14:paraId="4D1A4E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2.37</w:t>
            </w:r>
          </w:p>
        </w:tc>
        <w:tc>
          <w:tcPr>
            <w:tcW w:w="0" w:type="auto"/>
            <w:noWrap/>
            <w:vAlign w:val="center"/>
            <w:hideMark/>
          </w:tcPr>
          <w:p w14:paraId="054CA0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0.79</w:t>
            </w:r>
          </w:p>
        </w:tc>
        <w:tc>
          <w:tcPr>
            <w:tcW w:w="0" w:type="auto"/>
            <w:noWrap/>
            <w:vAlign w:val="center"/>
            <w:hideMark/>
          </w:tcPr>
          <w:p w14:paraId="67B06C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10.31</w:t>
            </w:r>
          </w:p>
        </w:tc>
        <w:tc>
          <w:tcPr>
            <w:tcW w:w="0" w:type="auto"/>
            <w:noWrap/>
            <w:vAlign w:val="center"/>
            <w:hideMark/>
          </w:tcPr>
          <w:p w14:paraId="764A884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1.00</w:t>
            </w:r>
          </w:p>
        </w:tc>
        <w:tc>
          <w:tcPr>
            <w:tcW w:w="0" w:type="auto"/>
            <w:noWrap/>
            <w:vAlign w:val="center"/>
            <w:hideMark/>
          </w:tcPr>
          <w:p w14:paraId="2459FD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1.34</w:t>
            </w:r>
          </w:p>
        </w:tc>
        <w:tc>
          <w:tcPr>
            <w:tcW w:w="0" w:type="auto"/>
            <w:noWrap/>
            <w:vAlign w:val="center"/>
            <w:hideMark/>
          </w:tcPr>
          <w:p w14:paraId="2B64D9F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0.40</w:t>
            </w:r>
          </w:p>
        </w:tc>
      </w:tr>
      <w:tr w:rsidR="00055D14" w:rsidRPr="005E6B7C" w14:paraId="0E17427E" w14:textId="77777777" w:rsidTr="00266B26">
        <w:trPr>
          <w:trHeight w:val="163"/>
          <w:jc w:val="center"/>
        </w:trPr>
        <w:tc>
          <w:tcPr>
            <w:tcW w:w="0" w:type="auto"/>
            <w:noWrap/>
            <w:vAlign w:val="bottom"/>
            <w:hideMark/>
          </w:tcPr>
          <w:p w14:paraId="773CBDE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23</w:t>
            </w:r>
          </w:p>
        </w:tc>
        <w:tc>
          <w:tcPr>
            <w:tcW w:w="1143" w:type="dxa"/>
            <w:noWrap/>
            <w:vAlign w:val="center"/>
            <w:hideMark/>
          </w:tcPr>
          <w:p w14:paraId="704DA7B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18.345</w:t>
            </w:r>
          </w:p>
        </w:tc>
        <w:tc>
          <w:tcPr>
            <w:tcW w:w="0" w:type="auto"/>
            <w:vAlign w:val="center"/>
            <w:hideMark/>
          </w:tcPr>
          <w:p w14:paraId="6E293502"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cis</w:t>
            </w:r>
            <w:r w:rsidRPr="005E6B7C">
              <w:rPr>
                <w:rFonts w:asciiTheme="majorHAnsi" w:eastAsia="Times New Roman" w:hAnsiTheme="majorHAnsi" w:cstheme="majorHAnsi"/>
                <w:color w:val="000000" w:themeColor="text1"/>
                <w:sz w:val="16"/>
                <w:szCs w:val="16"/>
              </w:rPr>
              <w:t>-Piperitol</w:t>
            </w:r>
          </w:p>
        </w:tc>
        <w:tc>
          <w:tcPr>
            <w:tcW w:w="336" w:type="dxa"/>
            <w:noWrap/>
            <w:vAlign w:val="center"/>
            <w:hideMark/>
          </w:tcPr>
          <w:p w14:paraId="3DE379D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0.24</w:t>
            </w:r>
          </w:p>
        </w:tc>
        <w:tc>
          <w:tcPr>
            <w:tcW w:w="0" w:type="auto"/>
            <w:noWrap/>
            <w:vAlign w:val="center"/>
            <w:hideMark/>
          </w:tcPr>
          <w:p w14:paraId="5AC657D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625B7E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00D64C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0.36</w:t>
            </w:r>
          </w:p>
        </w:tc>
        <w:tc>
          <w:tcPr>
            <w:tcW w:w="0" w:type="auto"/>
            <w:noWrap/>
            <w:vAlign w:val="center"/>
            <w:hideMark/>
          </w:tcPr>
          <w:p w14:paraId="4CE0C95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6697EEC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DB05DF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212FCB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D74F24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A7FA82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E6274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20FA8E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DD090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53E70A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774E46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A6C0C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445E875E" w14:textId="77777777" w:rsidTr="00266B26">
        <w:trPr>
          <w:trHeight w:val="163"/>
          <w:jc w:val="center"/>
        </w:trPr>
        <w:tc>
          <w:tcPr>
            <w:tcW w:w="0" w:type="auto"/>
            <w:noWrap/>
            <w:vAlign w:val="bottom"/>
            <w:hideMark/>
          </w:tcPr>
          <w:p w14:paraId="2D5E81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24</w:t>
            </w:r>
          </w:p>
        </w:tc>
        <w:tc>
          <w:tcPr>
            <w:tcW w:w="1143" w:type="dxa"/>
            <w:noWrap/>
            <w:vAlign w:val="center"/>
            <w:hideMark/>
          </w:tcPr>
          <w:p w14:paraId="1D90D41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19.390</w:t>
            </w:r>
          </w:p>
        </w:tc>
        <w:tc>
          <w:tcPr>
            <w:tcW w:w="0" w:type="auto"/>
            <w:vAlign w:val="center"/>
            <w:hideMark/>
          </w:tcPr>
          <w:p w14:paraId="5825EC92"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cis</w:t>
            </w:r>
            <w:r w:rsidRPr="005E6B7C">
              <w:rPr>
                <w:rFonts w:asciiTheme="majorHAnsi" w:eastAsia="Times New Roman" w:hAnsiTheme="majorHAnsi" w:cstheme="majorHAnsi"/>
                <w:color w:val="000000" w:themeColor="text1"/>
                <w:sz w:val="16"/>
                <w:szCs w:val="16"/>
              </w:rPr>
              <w:t>-Geraniol</w:t>
            </w:r>
          </w:p>
        </w:tc>
        <w:tc>
          <w:tcPr>
            <w:tcW w:w="336" w:type="dxa"/>
            <w:noWrap/>
            <w:vAlign w:val="center"/>
            <w:hideMark/>
          </w:tcPr>
          <w:p w14:paraId="41F171E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0.59</w:t>
            </w:r>
          </w:p>
        </w:tc>
        <w:tc>
          <w:tcPr>
            <w:tcW w:w="0" w:type="auto"/>
            <w:noWrap/>
            <w:vAlign w:val="center"/>
            <w:hideMark/>
          </w:tcPr>
          <w:p w14:paraId="66ACAF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0.67</w:t>
            </w:r>
          </w:p>
        </w:tc>
        <w:tc>
          <w:tcPr>
            <w:tcW w:w="0" w:type="auto"/>
            <w:noWrap/>
            <w:vAlign w:val="center"/>
            <w:hideMark/>
          </w:tcPr>
          <w:p w14:paraId="09E6B3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0.32</w:t>
            </w:r>
          </w:p>
        </w:tc>
        <w:tc>
          <w:tcPr>
            <w:tcW w:w="0" w:type="auto"/>
            <w:noWrap/>
            <w:vAlign w:val="center"/>
            <w:hideMark/>
          </w:tcPr>
          <w:p w14:paraId="728AA8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0.22</w:t>
            </w:r>
          </w:p>
        </w:tc>
        <w:tc>
          <w:tcPr>
            <w:tcW w:w="0" w:type="auto"/>
            <w:noWrap/>
            <w:vAlign w:val="center"/>
            <w:hideMark/>
          </w:tcPr>
          <w:p w14:paraId="4C735D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0.18</w:t>
            </w:r>
          </w:p>
        </w:tc>
        <w:tc>
          <w:tcPr>
            <w:tcW w:w="0" w:type="auto"/>
            <w:noWrap/>
            <w:vAlign w:val="center"/>
            <w:hideMark/>
          </w:tcPr>
          <w:p w14:paraId="00C4FF8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08CC9E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2A31D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1C67C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6B554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57CFEE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74BD04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2818D3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F12EF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46EE27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CF3144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0E604DF5" w14:textId="77777777" w:rsidTr="00266B26">
        <w:trPr>
          <w:trHeight w:val="154"/>
          <w:jc w:val="center"/>
        </w:trPr>
        <w:tc>
          <w:tcPr>
            <w:tcW w:w="0" w:type="auto"/>
            <w:noWrap/>
            <w:vAlign w:val="bottom"/>
            <w:hideMark/>
          </w:tcPr>
          <w:p w14:paraId="797C00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25</w:t>
            </w:r>
          </w:p>
        </w:tc>
        <w:tc>
          <w:tcPr>
            <w:tcW w:w="1143" w:type="dxa"/>
            <w:noWrap/>
            <w:vAlign w:val="center"/>
            <w:hideMark/>
          </w:tcPr>
          <w:p w14:paraId="2527844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19.617</w:t>
            </w:r>
          </w:p>
        </w:tc>
        <w:tc>
          <w:tcPr>
            <w:tcW w:w="0" w:type="auto"/>
            <w:vAlign w:val="center"/>
            <w:hideMark/>
          </w:tcPr>
          <w:p w14:paraId="780A2ECB"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Citronellol</w:t>
            </w:r>
          </w:p>
        </w:tc>
        <w:tc>
          <w:tcPr>
            <w:tcW w:w="336" w:type="dxa"/>
            <w:noWrap/>
            <w:vAlign w:val="center"/>
            <w:hideMark/>
          </w:tcPr>
          <w:p w14:paraId="39B218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07168C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9CC4E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DF1A8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0.13</w:t>
            </w:r>
          </w:p>
        </w:tc>
        <w:tc>
          <w:tcPr>
            <w:tcW w:w="0" w:type="auto"/>
            <w:noWrap/>
            <w:vAlign w:val="center"/>
            <w:hideMark/>
          </w:tcPr>
          <w:p w14:paraId="4ADDAB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0.27</w:t>
            </w:r>
          </w:p>
        </w:tc>
        <w:tc>
          <w:tcPr>
            <w:tcW w:w="0" w:type="auto"/>
            <w:noWrap/>
            <w:vAlign w:val="center"/>
            <w:hideMark/>
          </w:tcPr>
          <w:p w14:paraId="3503222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418A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1669A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833DD9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8C908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3685DD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5E4D0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62399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EC209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50556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8CE53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089F4F0" w14:textId="77777777" w:rsidTr="00266B26">
        <w:trPr>
          <w:trHeight w:val="163"/>
          <w:jc w:val="center"/>
        </w:trPr>
        <w:tc>
          <w:tcPr>
            <w:tcW w:w="0" w:type="auto"/>
            <w:noWrap/>
            <w:vAlign w:val="bottom"/>
            <w:hideMark/>
          </w:tcPr>
          <w:p w14:paraId="1F9B74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26</w:t>
            </w:r>
          </w:p>
        </w:tc>
        <w:tc>
          <w:tcPr>
            <w:tcW w:w="1143" w:type="dxa"/>
            <w:noWrap/>
            <w:vAlign w:val="center"/>
            <w:hideMark/>
          </w:tcPr>
          <w:p w14:paraId="29D399D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21.058</w:t>
            </w:r>
          </w:p>
        </w:tc>
        <w:tc>
          <w:tcPr>
            <w:tcW w:w="0" w:type="auto"/>
            <w:vAlign w:val="center"/>
            <w:hideMark/>
          </w:tcPr>
          <w:p w14:paraId="35C2C68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trans</w:t>
            </w:r>
            <w:r w:rsidRPr="005E6B7C">
              <w:rPr>
                <w:rFonts w:asciiTheme="majorHAnsi" w:eastAsia="Times New Roman" w:hAnsiTheme="majorHAnsi" w:cstheme="majorHAnsi"/>
                <w:color w:val="000000" w:themeColor="text1"/>
                <w:sz w:val="16"/>
                <w:szCs w:val="16"/>
              </w:rPr>
              <w:t>-Geraniol</w:t>
            </w:r>
          </w:p>
        </w:tc>
        <w:tc>
          <w:tcPr>
            <w:tcW w:w="336" w:type="dxa"/>
            <w:noWrap/>
            <w:vAlign w:val="center"/>
            <w:hideMark/>
          </w:tcPr>
          <w:p w14:paraId="0C46B3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2.11</w:t>
            </w:r>
          </w:p>
        </w:tc>
        <w:tc>
          <w:tcPr>
            <w:tcW w:w="0" w:type="auto"/>
            <w:noWrap/>
            <w:vAlign w:val="center"/>
            <w:hideMark/>
          </w:tcPr>
          <w:p w14:paraId="0F56D34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3.17</w:t>
            </w:r>
          </w:p>
        </w:tc>
        <w:tc>
          <w:tcPr>
            <w:tcW w:w="0" w:type="auto"/>
            <w:noWrap/>
            <w:vAlign w:val="center"/>
            <w:hideMark/>
          </w:tcPr>
          <w:p w14:paraId="10F2F88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1.36</w:t>
            </w:r>
          </w:p>
        </w:tc>
        <w:tc>
          <w:tcPr>
            <w:tcW w:w="0" w:type="auto"/>
            <w:noWrap/>
            <w:vAlign w:val="center"/>
            <w:hideMark/>
          </w:tcPr>
          <w:p w14:paraId="5435D27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0.78</w:t>
            </w:r>
          </w:p>
        </w:tc>
        <w:tc>
          <w:tcPr>
            <w:tcW w:w="0" w:type="auto"/>
            <w:noWrap/>
            <w:vAlign w:val="center"/>
            <w:hideMark/>
          </w:tcPr>
          <w:p w14:paraId="2FD84D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1.02</w:t>
            </w:r>
          </w:p>
        </w:tc>
        <w:tc>
          <w:tcPr>
            <w:tcW w:w="0" w:type="auto"/>
            <w:noWrap/>
            <w:vAlign w:val="center"/>
            <w:hideMark/>
          </w:tcPr>
          <w:p w14:paraId="1833C6B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5A0C2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A901EB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5F611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C08DFA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B796A0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BE47B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76CA1A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6.58</w:t>
            </w:r>
          </w:p>
        </w:tc>
        <w:tc>
          <w:tcPr>
            <w:tcW w:w="0" w:type="auto"/>
            <w:noWrap/>
            <w:vAlign w:val="center"/>
            <w:hideMark/>
          </w:tcPr>
          <w:p w14:paraId="7D83991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1.31</w:t>
            </w:r>
          </w:p>
        </w:tc>
        <w:tc>
          <w:tcPr>
            <w:tcW w:w="0" w:type="auto"/>
            <w:noWrap/>
            <w:vAlign w:val="center"/>
            <w:hideMark/>
          </w:tcPr>
          <w:p w14:paraId="3C95752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1.25</w:t>
            </w:r>
          </w:p>
        </w:tc>
        <w:tc>
          <w:tcPr>
            <w:tcW w:w="0" w:type="auto"/>
            <w:noWrap/>
            <w:vAlign w:val="center"/>
            <w:hideMark/>
          </w:tcPr>
          <w:p w14:paraId="4CBD2D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BC1CC4F" w14:textId="77777777" w:rsidTr="00266B26">
        <w:trPr>
          <w:trHeight w:val="326"/>
          <w:jc w:val="center"/>
        </w:trPr>
        <w:tc>
          <w:tcPr>
            <w:tcW w:w="0" w:type="auto"/>
            <w:noWrap/>
            <w:vAlign w:val="bottom"/>
            <w:hideMark/>
          </w:tcPr>
          <w:p w14:paraId="178645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27</w:t>
            </w:r>
          </w:p>
        </w:tc>
        <w:tc>
          <w:tcPr>
            <w:tcW w:w="1143" w:type="dxa"/>
            <w:noWrap/>
            <w:vAlign w:val="center"/>
            <w:hideMark/>
          </w:tcPr>
          <w:p w14:paraId="153170B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25.378</w:t>
            </w:r>
          </w:p>
        </w:tc>
        <w:tc>
          <w:tcPr>
            <w:tcW w:w="0" w:type="auto"/>
            <w:vAlign w:val="center"/>
            <w:hideMark/>
          </w:tcPr>
          <w:p w14:paraId="24BD0341"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E</w:t>
            </w:r>
            <w:r w:rsidRPr="005E6B7C">
              <w:rPr>
                <w:rFonts w:asciiTheme="majorHAnsi" w:eastAsia="Times New Roman" w:hAnsiTheme="majorHAnsi" w:cstheme="majorHAnsi"/>
                <w:color w:val="000000" w:themeColor="text1"/>
                <w:sz w:val="16"/>
                <w:szCs w:val="16"/>
              </w:rPr>
              <w:t>-Methylgeranate</w:t>
            </w:r>
          </w:p>
        </w:tc>
        <w:tc>
          <w:tcPr>
            <w:tcW w:w="336" w:type="dxa"/>
            <w:noWrap/>
            <w:vAlign w:val="center"/>
            <w:hideMark/>
          </w:tcPr>
          <w:p w14:paraId="02329D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6ABDA7F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8E0C9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29C5B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0.16</w:t>
            </w:r>
          </w:p>
        </w:tc>
        <w:tc>
          <w:tcPr>
            <w:tcW w:w="0" w:type="auto"/>
            <w:noWrap/>
            <w:vAlign w:val="center"/>
            <w:hideMark/>
          </w:tcPr>
          <w:p w14:paraId="3373DA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0.11</w:t>
            </w:r>
          </w:p>
        </w:tc>
        <w:tc>
          <w:tcPr>
            <w:tcW w:w="0" w:type="auto"/>
            <w:noWrap/>
            <w:vAlign w:val="center"/>
            <w:hideMark/>
          </w:tcPr>
          <w:p w14:paraId="7E9ABDA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699BD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B8C2C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8850A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78A21D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41A1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5E36E5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10DD8C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B4303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4E41C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E303DD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1D03C9B" w14:textId="77777777" w:rsidTr="00266B26">
        <w:trPr>
          <w:trHeight w:val="318"/>
          <w:jc w:val="center"/>
        </w:trPr>
        <w:tc>
          <w:tcPr>
            <w:tcW w:w="0" w:type="auto"/>
            <w:noWrap/>
            <w:vAlign w:val="bottom"/>
            <w:hideMark/>
          </w:tcPr>
          <w:p w14:paraId="74C7AC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28</w:t>
            </w:r>
          </w:p>
        </w:tc>
        <w:tc>
          <w:tcPr>
            <w:tcW w:w="1143" w:type="dxa"/>
            <w:noWrap/>
            <w:vAlign w:val="center"/>
            <w:hideMark/>
          </w:tcPr>
          <w:p w14:paraId="2B3BD2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26.799</w:t>
            </w:r>
          </w:p>
        </w:tc>
        <w:tc>
          <w:tcPr>
            <w:tcW w:w="0" w:type="auto"/>
            <w:vAlign w:val="center"/>
            <w:hideMark/>
          </w:tcPr>
          <w:p w14:paraId="310CA5BC"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α</w:t>
            </w:r>
            <w:r w:rsidRPr="005E6B7C">
              <w:rPr>
                <w:rFonts w:asciiTheme="majorHAnsi" w:eastAsia="Times New Roman" w:hAnsiTheme="majorHAnsi" w:cstheme="majorHAnsi"/>
                <w:color w:val="000000" w:themeColor="text1"/>
                <w:sz w:val="16"/>
                <w:szCs w:val="16"/>
              </w:rPr>
              <w:t>-Terpinyl acetate</w:t>
            </w:r>
          </w:p>
        </w:tc>
        <w:tc>
          <w:tcPr>
            <w:tcW w:w="336" w:type="dxa"/>
            <w:noWrap/>
            <w:vAlign w:val="center"/>
            <w:hideMark/>
          </w:tcPr>
          <w:p w14:paraId="4D3EF4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0.31</w:t>
            </w:r>
          </w:p>
        </w:tc>
        <w:tc>
          <w:tcPr>
            <w:tcW w:w="0" w:type="auto"/>
            <w:noWrap/>
            <w:vAlign w:val="center"/>
            <w:hideMark/>
          </w:tcPr>
          <w:p w14:paraId="0325F0B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0.46</w:t>
            </w:r>
          </w:p>
        </w:tc>
        <w:tc>
          <w:tcPr>
            <w:tcW w:w="0" w:type="auto"/>
            <w:noWrap/>
            <w:vAlign w:val="center"/>
            <w:hideMark/>
          </w:tcPr>
          <w:p w14:paraId="618F78D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1B8E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0.20</w:t>
            </w:r>
          </w:p>
        </w:tc>
        <w:tc>
          <w:tcPr>
            <w:tcW w:w="0" w:type="auto"/>
            <w:noWrap/>
            <w:vAlign w:val="center"/>
            <w:hideMark/>
          </w:tcPr>
          <w:p w14:paraId="3448C02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0.21</w:t>
            </w:r>
          </w:p>
        </w:tc>
        <w:tc>
          <w:tcPr>
            <w:tcW w:w="0" w:type="auto"/>
            <w:noWrap/>
            <w:vAlign w:val="center"/>
            <w:hideMark/>
          </w:tcPr>
          <w:p w14:paraId="6600358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112D0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DFBC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756320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0C9458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47E0F5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3200D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FBE08A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85DC0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FBB9C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B5C5F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46E3F6B7" w14:textId="77777777" w:rsidTr="00266B26">
        <w:trPr>
          <w:trHeight w:val="318"/>
          <w:jc w:val="center"/>
        </w:trPr>
        <w:tc>
          <w:tcPr>
            <w:tcW w:w="0" w:type="auto"/>
            <w:noWrap/>
            <w:vAlign w:val="bottom"/>
            <w:hideMark/>
          </w:tcPr>
          <w:p w14:paraId="7CB1D35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29</w:t>
            </w:r>
          </w:p>
        </w:tc>
        <w:tc>
          <w:tcPr>
            <w:tcW w:w="1143" w:type="dxa"/>
            <w:noWrap/>
            <w:vAlign w:val="center"/>
            <w:hideMark/>
          </w:tcPr>
          <w:p w14:paraId="4D05599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27.769</w:t>
            </w:r>
          </w:p>
        </w:tc>
        <w:tc>
          <w:tcPr>
            <w:tcW w:w="0" w:type="auto"/>
            <w:vAlign w:val="center"/>
            <w:hideMark/>
          </w:tcPr>
          <w:p w14:paraId="614ADD7B"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cis</w:t>
            </w:r>
            <w:r w:rsidRPr="005E6B7C">
              <w:rPr>
                <w:rFonts w:asciiTheme="majorHAnsi" w:eastAsia="Times New Roman" w:hAnsiTheme="majorHAnsi" w:cstheme="majorHAnsi"/>
                <w:color w:val="000000" w:themeColor="text1"/>
                <w:sz w:val="16"/>
                <w:szCs w:val="16"/>
              </w:rPr>
              <w:t>-Geranyl acetate</w:t>
            </w:r>
          </w:p>
        </w:tc>
        <w:tc>
          <w:tcPr>
            <w:tcW w:w="336" w:type="dxa"/>
            <w:noWrap/>
            <w:vAlign w:val="center"/>
            <w:hideMark/>
          </w:tcPr>
          <w:p w14:paraId="101F998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0.76</w:t>
            </w:r>
          </w:p>
        </w:tc>
        <w:tc>
          <w:tcPr>
            <w:tcW w:w="0" w:type="auto"/>
            <w:noWrap/>
            <w:vAlign w:val="center"/>
            <w:hideMark/>
          </w:tcPr>
          <w:p w14:paraId="275225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1.11</w:t>
            </w:r>
          </w:p>
        </w:tc>
        <w:tc>
          <w:tcPr>
            <w:tcW w:w="0" w:type="auto"/>
            <w:noWrap/>
            <w:vAlign w:val="center"/>
            <w:hideMark/>
          </w:tcPr>
          <w:p w14:paraId="1575FF6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0.36</w:t>
            </w:r>
          </w:p>
        </w:tc>
        <w:tc>
          <w:tcPr>
            <w:tcW w:w="0" w:type="auto"/>
            <w:noWrap/>
            <w:vAlign w:val="center"/>
            <w:hideMark/>
          </w:tcPr>
          <w:p w14:paraId="6AD348E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0.21</w:t>
            </w:r>
          </w:p>
        </w:tc>
        <w:tc>
          <w:tcPr>
            <w:tcW w:w="0" w:type="auto"/>
            <w:noWrap/>
            <w:vAlign w:val="center"/>
            <w:hideMark/>
          </w:tcPr>
          <w:p w14:paraId="46A10B9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0.43</w:t>
            </w:r>
          </w:p>
        </w:tc>
        <w:tc>
          <w:tcPr>
            <w:tcW w:w="0" w:type="auto"/>
            <w:noWrap/>
            <w:vAlign w:val="center"/>
            <w:hideMark/>
          </w:tcPr>
          <w:p w14:paraId="2B460D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752E9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F8991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BB1067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5218B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8AE64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CB0AAF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09BFE5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B79B2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6B2E04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75299D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D0B68E8" w14:textId="77777777" w:rsidTr="00266B26">
        <w:trPr>
          <w:trHeight w:val="326"/>
          <w:jc w:val="center"/>
        </w:trPr>
        <w:tc>
          <w:tcPr>
            <w:tcW w:w="0" w:type="auto"/>
            <w:noWrap/>
            <w:vAlign w:val="bottom"/>
            <w:hideMark/>
          </w:tcPr>
          <w:p w14:paraId="327C93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30</w:t>
            </w:r>
          </w:p>
        </w:tc>
        <w:tc>
          <w:tcPr>
            <w:tcW w:w="1143" w:type="dxa"/>
            <w:noWrap/>
            <w:vAlign w:val="center"/>
            <w:hideMark/>
          </w:tcPr>
          <w:p w14:paraId="703D6C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29.002</w:t>
            </w:r>
          </w:p>
        </w:tc>
        <w:tc>
          <w:tcPr>
            <w:tcW w:w="0" w:type="auto"/>
            <w:vAlign w:val="center"/>
            <w:hideMark/>
          </w:tcPr>
          <w:p w14:paraId="7F66B16B"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pacing w:val="-8"/>
                <w:sz w:val="16"/>
                <w:szCs w:val="16"/>
              </w:rPr>
            </w:pPr>
            <w:r w:rsidRPr="005E6B7C">
              <w:rPr>
                <w:rFonts w:asciiTheme="majorHAnsi" w:eastAsia="Times New Roman" w:hAnsiTheme="majorHAnsi" w:cstheme="majorHAnsi"/>
                <w:i/>
                <w:color w:val="000000" w:themeColor="text1"/>
                <w:spacing w:val="-8"/>
                <w:sz w:val="16"/>
                <w:szCs w:val="16"/>
              </w:rPr>
              <w:t>trans</w:t>
            </w:r>
            <w:r w:rsidRPr="005E6B7C">
              <w:rPr>
                <w:rFonts w:asciiTheme="majorHAnsi" w:eastAsia="Times New Roman" w:hAnsiTheme="majorHAnsi" w:cstheme="majorHAnsi"/>
                <w:color w:val="000000" w:themeColor="text1"/>
                <w:spacing w:val="-8"/>
                <w:sz w:val="16"/>
                <w:szCs w:val="16"/>
              </w:rPr>
              <w:t>-Geranyl acetate</w:t>
            </w:r>
          </w:p>
        </w:tc>
        <w:tc>
          <w:tcPr>
            <w:tcW w:w="336" w:type="dxa"/>
            <w:noWrap/>
            <w:vAlign w:val="center"/>
            <w:hideMark/>
          </w:tcPr>
          <w:p w14:paraId="21B1446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1.5</w:t>
            </w:r>
          </w:p>
        </w:tc>
        <w:tc>
          <w:tcPr>
            <w:tcW w:w="0" w:type="auto"/>
            <w:noWrap/>
            <w:vAlign w:val="center"/>
            <w:hideMark/>
          </w:tcPr>
          <w:p w14:paraId="2899872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2.16</w:t>
            </w:r>
          </w:p>
        </w:tc>
        <w:tc>
          <w:tcPr>
            <w:tcW w:w="0" w:type="auto"/>
            <w:noWrap/>
            <w:vAlign w:val="center"/>
            <w:hideMark/>
          </w:tcPr>
          <w:p w14:paraId="24E36A7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0.79</w:t>
            </w:r>
          </w:p>
        </w:tc>
        <w:tc>
          <w:tcPr>
            <w:tcW w:w="0" w:type="auto"/>
            <w:noWrap/>
            <w:vAlign w:val="center"/>
            <w:hideMark/>
          </w:tcPr>
          <w:p w14:paraId="43783C0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0.39</w:t>
            </w:r>
          </w:p>
        </w:tc>
        <w:tc>
          <w:tcPr>
            <w:tcW w:w="0" w:type="auto"/>
            <w:noWrap/>
            <w:vAlign w:val="center"/>
            <w:hideMark/>
          </w:tcPr>
          <w:p w14:paraId="76A2FE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0.27</w:t>
            </w:r>
          </w:p>
        </w:tc>
        <w:tc>
          <w:tcPr>
            <w:tcW w:w="0" w:type="auto"/>
            <w:noWrap/>
            <w:vAlign w:val="center"/>
            <w:hideMark/>
          </w:tcPr>
          <w:p w14:paraId="6603C2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37FEA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43050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C7F2CE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5EA59C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A82380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0AC223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6A937E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4D25A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4F7374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B1057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2AE90474" w14:textId="77777777" w:rsidTr="00266B26">
        <w:trPr>
          <w:trHeight w:val="154"/>
          <w:jc w:val="center"/>
        </w:trPr>
        <w:tc>
          <w:tcPr>
            <w:tcW w:w="0" w:type="auto"/>
            <w:noWrap/>
            <w:vAlign w:val="bottom"/>
            <w:hideMark/>
          </w:tcPr>
          <w:p w14:paraId="19C485B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31</w:t>
            </w:r>
          </w:p>
        </w:tc>
        <w:tc>
          <w:tcPr>
            <w:tcW w:w="1143" w:type="dxa"/>
            <w:noWrap/>
            <w:vAlign w:val="center"/>
            <w:hideMark/>
          </w:tcPr>
          <w:p w14:paraId="234B8E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29.328</w:t>
            </w:r>
          </w:p>
        </w:tc>
        <w:tc>
          <w:tcPr>
            <w:tcW w:w="0" w:type="auto"/>
            <w:vAlign w:val="center"/>
            <w:hideMark/>
          </w:tcPr>
          <w:p w14:paraId="24A12C13"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β</w:t>
            </w:r>
            <w:r w:rsidRPr="005E6B7C">
              <w:rPr>
                <w:rFonts w:asciiTheme="majorHAnsi" w:eastAsia="Times New Roman" w:hAnsiTheme="majorHAnsi" w:cstheme="majorHAnsi"/>
                <w:color w:val="000000" w:themeColor="text1"/>
                <w:sz w:val="16"/>
                <w:szCs w:val="16"/>
              </w:rPr>
              <w:t>-Elemen</w:t>
            </w:r>
          </w:p>
        </w:tc>
        <w:tc>
          <w:tcPr>
            <w:tcW w:w="336" w:type="dxa"/>
            <w:noWrap/>
            <w:vAlign w:val="center"/>
            <w:hideMark/>
          </w:tcPr>
          <w:p w14:paraId="5624A7C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57452C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3D18E3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0.23</w:t>
            </w:r>
          </w:p>
        </w:tc>
        <w:tc>
          <w:tcPr>
            <w:tcW w:w="0" w:type="auto"/>
            <w:noWrap/>
            <w:vAlign w:val="center"/>
            <w:hideMark/>
          </w:tcPr>
          <w:p w14:paraId="6949F27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E72C7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3A2F49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1.69</w:t>
            </w:r>
          </w:p>
        </w:tc>
        <w:tc>
          <w:tcPr>
            <w:tcW w:w="0" w:type="auto"/>
            <w:noWrap/>
            <w:vAlign w:val="center"/>
            <w:hideMark/>
          </w:tcPr>
          <w:p w14:paraId="5D8EAA6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52D532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6DB7EB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D992F3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B5FB4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75642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A90F1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90B5C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9B36B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C8DE72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069CBFDE" w14:textId="77777777" w:rsidTr="00266B26">
        <w:trPr>
          <w:trHeight w:val="163"/>
          <w:jc w:val="center"/>
        </w:trPr>
        <w:tc>
          <w:tcPr>
            <w:tcW w:w="0" w:type="auto"/>
            <w:noWrap/>
            <w:vAlign w:val="bottom"/>
            <w:hideMark/>
          </w:tcPr>
          <w:p w14:paraId="485CAEB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32</w:t>
            </w:r>
          </w:p>
        </w:tc>
        <w:tc>
          <w:tcPr>
            <w:tcW w:w="1143" w:type="dxa"/>
            <w:noWrap/>
            <w:vAlign w:val="center"/>
            <w:hideMark/>
          </w:tcPr>
          <w:p w14:paraId="26A724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30.928</w:t>
            </w:r>
          </w:p>
        </w:tc>
        <w:tc>
          <w:tcPr>
            <w:tcW w:w="0" w:type="auto"/>
            <w:vAlign w:val="center"/>
            <w:hideMark/>
          </w:tcPr>
          <w:p w14:paraId="751EFFCE"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Caryophyllene</w:t>
            </w:r>
          </w:p>
        </w:tc>
        <w:tc>
          <w:tcPr>
            <w:tcW w:w="336" w:type="dxa"/>
            <w:noWrap/>
            <w:vAlign w:val="center"/>
            <w:hideMark/>
          </w:tcPr>
          <w:p w14:paraId="414870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0.23</w:t>
            </w:r>
          </w:p>
        </w:tc>
        <w:tc>
          <w:tcPr>
            <w:tcW w:w="0" w:type="auto"/>
            <w:noWrap/>
            <w:vAlign w:val="center"/>
            <w:hideMark/>
          </w:tcPr>
          <w:p w14:paraId="12FFAA6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539A2D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0.43</w:t>
            </w:r>
          </w:p>
        </w:tc>
        <w:tc>
          <w:tcPr>
            <w:tcW w:w="0" w:type="auto"/>
            <w:noWrap/>
            <w:vAlign w:val="center"/>
            <w:hideMark/>
          </w:tcPr>
          <w:p w14:paraId="3F28CF0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0.37</w:t>
            </w:r>
          </w:p>
        </w:tc>
        <w:tc>
          <w:tcPr>
            <w:tcW w:w="0" w:type="auto"/>
            <w:noWrap/>
            <w:vAlign w:val="center"/>
            <w:hideMark/>
          </w:tcPr>
          <w:p w14:paraId="1B9AE6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0.33</w:t>
            </w:r>
          </w:p>
        </w:tc>
        <w:tc>
          <w:tcPr>
            <w:tcW w:w="0" w:type="auto"/>
            <w:noWrap/>
            <w:vAlign w:val="center"/>
            <w:hideMark/>
          </w:tcPr>
          <w:p w14:paraId="208CAD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0.71</w:t>
            </w:r>
          </w:p>
        </w:tc>
        <w:tc>
          <w:tcPr>
            <w:tcW w:w="0" w:type="auto"/>
            <w:noWrap/>
            <w:vAlign w:val="center"/>
            <w:hideMark/>
          </w:tcPr>
          <w:p w14:paraId="4FFA62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0.60</w:t>
            </w:r>
          </w:p>
        </w:tc>
        <w:tc>
          <w:tcPr>
            <w:tcW w:w="0" w:type="auto"/>
            <w:noWrap/>
            <w:vAlign w:val="center"/>
            <w:hideMark/>
          </w:tcPr>
          <w:p w14:paraId="53B2E1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070118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1.16</w:t>
            </w:r>
          </w:p>
        </w:tc>
        <w:tc>
          <w:tcPr>
            <w:tcW w:w="0" w:type="auto"/>
            <w:noWrap/>
            <w:vAlign w:val="center"/>
            <w:hideMark/>
          </w:tcPr>
          <w:p w14:paraId="365D3A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1.21</w:t>
            </w:r>
          </w:p>
        </w:tc>
        <w:tc>
          <w:tcPr>
            <w:tcW w:w="0" w:type="auto"/>
            <w:noWrap/>
            <w:vAlign w:val="center"/>
            <w:hideMark/>
          </w:tcPr>
          <w:p w14:paraId="318D3A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FA86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309D02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A825F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68AFFD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D86C76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0.26</w:t>
            </w:r>
          </w:p>
        </w:tc>
      </w:tr>
      <w:tr w:rsidR="00055D14" w:rsidRPr="005E6B7C" w14:paraId="685E3811" w14:textId="77777777" w:rsidTr="00266B26">
        <w:trPr>
          <w:trHeight w:val="163"/>
          <w:jc w:val="center"/>
        </w:trPr>
        <w:tc>
          <w:tcPr>
            <w:tcW w:w="0" w:type="auto"/>
            <w:noWrap/>
            <w:vAlign w:val="bottom"/>
            <w:hideMark/>
          </w:tcPr>
          <w:p w14:paraId="46796E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33</w:t>
            </w:r>
          </w:p>
        </w:tc>
        <w:tc>
          <w:tcPr>
            <w:tcW w:w="1143" w:type="dxa"/>
            <w:noWrap/>
            <w:vAlign w:val="center"/>
            <w:hideMark/>
          </w:tcPr>
          <w:p w14:paraId="3B8C6B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33.103</w:t>
            </w:r>
          </w:p>
        </w:tc>
        <w:tc>
          <w:tcPr>
            <w:tcW w:w="0" w:type="auto"/>
            <w:vAlign w:val="center"/>
            <w:hideMark/>
          </w:tcPr>
          <w:p w14:paraId="14F406E7"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Humulene</w:t>
            </w:r>
          </w:p>
        </w:tc>
        <w:tc>
          <w:tcPr>
            <w:tcW w:w="336" w:type="dxa"/>
            <w:noWrap/>
            <w:vAlign w:val="center"/>
            <w:hideMark/>
          </w:tcPr>
          <w:p w14:paraId="70B9875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0.37</w:t>
            </w:r>
          </w:p>
        </w:tc>
        <w:tc>
          <w:tcPr>
            <w:tcW w:w="0" w:type="auto"/>
            <w:noWrap/>
            <w:vAlign w:val="center"/>
            <w:hideMark/>
          </w:tcPr>
          <w:p w14:paraId="1889C9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0.32</w:t>
            </w:r>
          </w:p>
        </w:tc>
        <w:tc>
          <w:tcPr>
            <w:tcW w:w="0" w:type="auto"/>
            <w:noWrap/>
            <w:vAlign w:val="center"/>
            <w:hideMark/>
          </w:tcPr>
          <w:p w14:paraId="7909FC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0.71</w:t>
            </w:r>
          </w:p>
        </w:tc>
        <w:tc>
          <w:tcPr>
            <w:tcW w:w="0" w:type="auto"/>
            <w:noWrap/>
            <w:vAlign w:val="center"/>
            <w:hideMark/>
          </w:tcPr>
          <w:p w14:paraId="0F2BD61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0.45</w:t>
            </w:r>
          </w:p>
        </w:tc>
        <w:tc>
          <w:tcPr>
            <w:tcW w:w="0" w:type="auto"/>
            <w:noWrap/>
            <w:vAlign w:val="center"/>
            <w:hideMark/>
          </w:tcPr>
          <w:p w14:paraId="1FC0206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0.49</w:t>
            </w:r>
          </w:p>
        </w:tc>
        <w:tc>
          <w:tcPr>
            <w:tcW w:w="0" w:type="auto"/>
            <w:noWrap/>
            <w:vAlign w:val="center"/>
            <w:hideMark/>
          </w:tcPr>
          <w:p w14:paraId="28A8855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0.69</w:t>
            </w:r>
          </w:p>
        </w:tc>
        <w:tc>
          <w:tcPr>
            <w:tcW w:w="0" w:type="auto"/>
            <w:noWrap/>
            <w:vAlign w:val="center"/>
            <w:hideMark/>
          </w:tcPr>
          <w:p w14:paraId="640FED4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20E05F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F06F04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83BB1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1.15</w:t>
            </w:r>
          </w:p>
        </w:tc>
        <w:tc>
          <w:tcPr>
            <w:tcW w:w="0" w:type="auto"/>
            <w:noWrap/>
            <w:vAlign w:val="center"/>
            <w:hideMark/>
          </w:tcPr>
          <w:p w14:paraId="3509C56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2E5B12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0CA886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4E0943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6A2DAE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0B55A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D88A18B" w14:textId="77777777" w:rsidTr="00266B26">
        <w:trPr>
          <w:trHeight w:val="318"/>
          <w:jc w:val="center"/>
        </w:trPr>
        <w:tc>
          <w:tcPr>
            <w:tcW w:w="0" w:type="auto"/>
            <w:noWrap/>
            <w:vAlign w:val="bottom"/>
            <w:hideMark/>
          </w:tcPr>
          <w:p w14:paraId="0199D44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34</w:t>
            </w:r>
          </w:p>
        </w:tc>
        <w:tc>
          <w:tcPr>
            <w:tcW w:w="1143" w:type="dxa"/>
            <w:noWrap/>
            <w:vAlign w:val="center"/>
            <w:hideMark/>
          </w:tcPr>
          <w:p w14:paraId="05712AB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33.398</w:t>
            </w:r>
          </w:p>
        </w:tc>
        <w:tc>
          <w:tcPr>
            <w:tcW w:w="0" w:type="auto"/>
            <w:vAlign w:val="center"/>
            <w:hideMark/>
          </w:tcPr>
          <w:p w14:paraId="61808B8A"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pacing w:val="-4"/>
                <w:sz w:val="16"/>
                <w:szCs w:val="16"/>
              </w:rPr>
            </w:pPr>
            <w:r w:rsidRPr="005E6B7C">
              <w:rPr>
                <w:rFonts w:asciiTheme="majorHAnsi" w:eastAsia="Times New Roman" w:hAnsiTheme="majorHAnsi" w:cstheme="majorHAnsi"/>
                <w:color w:val="000000" w:themeColor="text1"/>
                <w:spacing w:val="-4"/>
                <w:sz w:val="16"/>
                <w:szCs w:val="16"/>
              </w:rPr>
              <w:t>Alloaromadendrene</w:t>
            </w:r>
          </w:p>
        </w:tc>
        <w:tc>
          <w:tcPr>
            <w:tcW w:w="336" w:type="dxa"/>
            <w:noWrap/>
            <w:vAlign w:val="center"/>
            <w:hideMark/>
          </w:tcPr>
          <w:p w14:paraId="1B76296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0.43</w:t>
            </w:r>
          </w:p>
        </w:tc>
        <w:tc>
          <w:tcPr>
            <w:tcW w:w="0" w:type="auto"/>
            <w:noWrap/>
            <w:vAlign w:val="center"/>
            <w:hideMark/>
          </w:tcPr>
          <w:p w14:paraId="1F1EF6B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0.56</w:t>
            </w:r>
          </w:p>
        </w:tc>
        <w:tc>
          <w:tcPr>
            <w:tcW w:w="0" w:type="auto"/>
            <w:noWrap/>
            <w:vAlign w:val="center"/>
            <w:hideMark/>
          </w:tcPr>
          <w:p w14:paraId="01EC6B7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0.75</w:t>
            </w:r>
          </w:p>
        </w:tc>
        <w:tc>
          <w:tcPr>
            <w:tcW w:w="0" w:type="auto"/>
            <w:noWrap/>
            <w:vAlign w:val="center"/>
            <w:hideMark/>
          </w:tcPr>
          <w:p w14:paraId="65E417B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0.37</w:t>
            </w:r>
          </w:p>
        </w:tc>
        <w:tc>
          <w:tcPr>
            <w:tcW w:w="0" w:type="auto"/>
            <w:noWrap/>
            <w:vAlign w:val="center"/>
            <w:hideMark/>
          </w:tcPr>
          <w:p w14:paraId="7A6E8CA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0.12</w:t>
            </w:r>
          </w:p>
        </w:tc>
        <w:tc>
          <w:tcPr>
            <w:tcW w:w="0" w:type="auto"/>
            <w:noWrap/>
            <w:vAlign w:val="center"/>
            <w:hideMark/>
          </w:tcPr>
          <w:p w14:paraId="7E16532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810E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721D69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3346C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23064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0.83</w:t>
            </w:r>
          </w:p>
        </w:tc>
        <w:tc>
          <w:tcPr>
            <w:tcW w:w="0" w:type="auto"/>
            <w:noWrap/>
            <w:vAlign w:val="center"/>
            <w:hideMark/>
          </w:tcPr>
          <w:p w14:paraId="557DA27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FCED20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C5D0B3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885578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E7B1E7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44BDD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793E845B" w14:textId="77777777" w:rsidTr="00266B26">
        <w:trPr>
          <w:trHeight w:val="163"/>
          <w:jc w:val="center"/>
        </w:trPr>
        <w:tc>
          <w:tcPr>
            <w:tcW w:w="0" w:type="auto"/>
            <w:noWrap/>
            <w:vAlign w:val="bottom"/>
            <w:hideMark/>
          </w:tcPr>
          <w:p w14:paraId="1DAA21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lastRenderedPageBreak/>
              <w:t>35</w:t>
            </w:r>
          </w:p>
        </w:tc>
        <w:tc>
          <w:tcPr>
            <w:tcW w:w="1143" w:type="dxa"/>
            <w:noWrap/>
            <w:vAlign w:val="center"/>
            <w:hideMark/>
          </w:tcPr>
          <w:p w14:paraId="22D1E4F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35.443</w:t>
            </w:r>
          </w:p>
        </w:tc>
        <w:tc>
          <w:tcPr>
            <w:tcW w:w="0" w:type="auto"/>
            <w:vAlign w:val="center"/>
            <w:hideMark/>
          </w:tcPr>
          <w:p w14:paraId="694A77D4"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β</w:t>
            </w:r>
            <w:r w:rsidRPr="005E6B7C">
              <w:rPr>
                <w:rFonts w:asciiTheme="majorHAnsi" w:eastAsia="Times New Roman" w:hAnsiTheme="majorHAnsi" w:cstheme="majorHAnsi"/>
                <w:color w:val="000000" w:themeColor="text1"/>
                <w:sz w:val="16"/>
                <w:szCs w:val="16"/>
              </w:rPr>
              <w:t>-Selinene</w:t>
            </w:r>
          </w:p>
        </w:tc>
        <w:tc>
          <w:tcPr>
            <w:tcW w:w="336" w:type="dxa"/>
            <w:noWrap/>
            <w:vAlign w:val="center"/>
            <w:hideMark/>
          </w:tcPr>
          <w:p w14:paraId="68E3E98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0A823D3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172BB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9A20F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301B9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A0183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9CD1EE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D27CE4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2.06</w:t>
            </w:r>
          </w:p>
        </w:tc>
        <w:tc>
          <w:tcPr>
            <w:tcW w:w="0" w:type="auto"/>
            <w:noWrap/>
            <w:vAlign w:val="center"/>
            <w:hideMark/>
          </w:tcPr>
          <w:p w14:paraId="4B222AE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8D4AB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1D630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120847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78686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EEF0BF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3AAEF3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FA85E8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EC719B9" w14:textId="77777777" w:rsidTr="00266B26">
        <w:trPr>
          <w:trHeight w:val="163"/>
          <w:jc w:val="center"/>
        </w:trPr>
        <w:tc>
          <w:tcPr>
            <w:tcW w:w="0" w:type="auto"/>
            <w:noWrap/>
            <w:vAlign w:val="bottom"/>
            <w:hideMark/>
          </w:tcPr>
          <w:p w14:paraId="6E687C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36</w:t>
            </w:r>
          </w:p>
        </w:tc>
        <w:tc>
          <w:tcPr>
            <w:tcW w:w="1143" w:type="dxa"/>
            <w:noWrap/>
            <w:vAlign w:val="center"/>
            <w:hideMark/>
          </w:tcPr>
          <w:p w14:paraId="398BE49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36.545</w:t>
            </w:r>
          </w:p>
        </w:tc>
        <w:tc>
          <w:tcPr>
            <w:tcW w:w="0" w:type="auto"/>
            <w:vAlign w:val="center"/>
            <w:hideMark/>
          </w:tcPr>
          <w:p w14:paraId="46CE0DE9"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α</w:t>
            </w:r>
            <w:r w:rsidRPr="005E6B7C">
              <w:rPr>
                <w:rFonts w:asciiTheme="majorHAnsi" w:eastAsia="Times New Roman" w:hAnsiTheme="majorHAnsi" w:cstheme="majorHAnsi"/>
                <w:color w:val="000000" w:themeColor="text1"/>
                <w:sz w:val="16"/>
                <w:szCs w:val="16"/>
              </w:rPr>
              <w:t>-Muurolene</w:t>
            </w:r>
          </w:p>
        </w:tc>
        <w:tc>
          <w:tcPr>
            <w:tcW w:w="336" w:type="dxa"/>
            <w:noWrap/>
            <w:vAlign w:val="center"/>
            <w:hideMark/>
          </w:tcPr>
          <w:p w14:paraId="69F88A4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0.25</w:t>
            </w:r>
          </w:p>
        </w:tc>
        <w:tc>
          <w:tcPr>
            <w:tcW w:w="0" w:type="auto"/>
            <w:noWrap/>
            <w:vAlign w:val="center"/>
            <w:hideMark/>
          </w:tcPr>
          <w:p w14:paraId="7EDE599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3205A8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0.51</w:t>
            </w:r>
          </w:p>
        </w:tc>
        <w:tc>
          <w:tcPr>
            <w:tcW w:w="0" w:type="auto"/>
            <w:noWrap/>
            <w:vAlign w:val="center"/>
            <w:hideMark/>
          </w:tcPr>
          <w:p w14:paraId="7B3E21B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0.25</w:t>
            </w:r>
          </w:p>
        </w:tc>
        <w:tc>
          <w:tcPr>
            <w:tcW w:w="0" w:type="auto"/>
            <w:noWrap/>
            <w:vAlign w:val="center"/>
            <w:hideMark/>
          </w:tcPr>
          <w:p w14:paraId="199F810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0.17</w:t>
            </w:r>
          </w:p>
        </w:tc>
        <w:tc>
          <w:tcPr>
            <w:tcW w:w="0" w:type="auto"/>
            <w:noWrap/>
            <w:vAlign w:val="center"/>
            <w:hideMark/>
          </w:tcPr>
          <w:p w14:paraId="1725E1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35A238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11123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DF46F3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55C7E4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864709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03EFBD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B500B1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1.06</w:t>
            </w:r>
          </w:p>
        </w:tc>
        <w:tc>
          <w:tcPr>
            <w:tcW w:w="0" w:type="auto"/>
            <w:noWrap/>
            <w:vAlign w:val="center"/>
            <w:hideMark/>
          </w:tcPr>
          <w:p w14:paraId="78C592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1.83</w:t>
            </w:r>
          </w:p>
        </w:tc>
        <w:tc>
          <w:tcPr>
            <w:tcW w:w="0" w:type="auto"/>
            <w:noWrap/>
            <w:vAlign w:val="center"/>
            <w:hideMark/>
          </w:tcPr>
          <w:p w14:paraId="4E94CD9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D9F2E7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7A7B00CA" w14:textId="77777777" w:rsidTr="00266B26">
        <w:trPr>
          <w:trHeight w:val="163"/>
          <w:jc w:val="center"/>
        </w:trPr>
        <w:tc>
          <w:tcPr>
            <w:tcW w:w="0" w:type="auto"/>
            <w:noWrap/>
            <w:vAlign w:val="bottom"/>
            <w:hideMark/>
          </w:tcPr>
          <w:p w14:paraId="57329D6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37</w:t>
            </w:r>
          </w:p>
        </w:tc>
        <w:tc>
          <w:tcPr>
            <w:tcW w:w="1143" w:type="dxa"/>
            <w:noWrap/>
            <w:vAlign w:val="center"/>
            <w:hideMark/>
          </w:tcPr>
          <w:p w14:paraId="4BCD786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37.563</w:t>
            </w:r>
          </w:p>
        </w:tc>
        <w:tc>
          <w:tcPr>
            <w:tcW w:w="0" w:type="auto"/>
            <w:vAlign w:val="center"/>
            <w:hideMark/>
          </w:tcPr>
          <w:p w14:paraId="24909DD3"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γ</w:t>
            </w:r>
            <w:r w:rsidRPr="005E6B7C">
              <w:rPr>
                <w:rFonts w:asciiTheme="majorHAnsi" w:eastAsia="Times New Roman" w:hAnsiTheme="majorHAnsi" w:cstheme="majorHAnsi"/>
                <w:color w:val="000000" w:themeColor="text1"/>
                <w:sz w:val="16"/>
                <w:szCs w:val="16"/>
              </w:rPr>
              <w:t>-Cadinene</w:t>
            </w:r>
          </w:p>
        </w:tc>
        <w:tc>
          <w:tcPr>
            <w:tcW w:w="336" w:type="dxa"/>
            <w:noWrap/>
            <w:vAlign w:val="center"/>
            <w:hideMark/>
          </w:tcPr>
          <w:p w14:paraId="5B03670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0.32</w:t>
            </w:r>
          </w:p>
        </w:tc>
        <w:tc>
          <w:tcPr>
            <w:tcW w:w="0" w:type="auto"/>
            <w:noWrap/>
            <w:vAlign w:val="center"/>
            <w:hideMark/>
          </w:tcPr>
          <w:p w14:paraId="2C94DE1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6193B6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0.65</w:t>
            </w:r>
          </w:p>
        </w:tc>
        <w:tc>
          <w:tcPr>
            <w:tcW w:w="0" w:type="auto"/>
            <w:noWrap/>
            <w:vAlign w:val="center"/>
            <w:hideMark/>
          </w:tcPr>
          <w:p w14:paraId="71089B7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0.28</w:t>
            </w:r>
          </w:p>
        </w:tc>
        <w:tc>
          <w:tcPr>
            <w:tcW w:w="0" w:type="auto"/>
            <w:noWrap/>
            <w:vAlign w:val="center"/>
            <w:hideMark/>
          </w:tcPr>
          <w:p w14:paraId="7241BF4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0.18</w:t>
            </w:r>
          </w:p>
        </w:tc>
        <w:tc>
          <w:tcPr>
            <w:tcW w:w="0" w:type="auto"/>
            <w:noWrap/>
            <w:vAlign w:val="center"/>
            <w:hideMark/>
          </w:tcPr>
          <w:p w14:paraId="5F551CD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1.20</w:t>
            </w:r>
          </w:p>
        </w:tc>
        <w:tc>
          <w:tcPr>
            <w:tcW w:w="0" w:type="auto"/>
            <w:noWrap/>
            <w:vAlign w:val="center"/>
            <w:hideMark/>
          </w:tcPr>
          <w:p w14:paraId="5F3FD6D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F21F08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415B05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F1A6A5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0.90</w:t>
            </w:r>
          </w:p>
        </w:tc>
        <w:tc>
          <w:tcPr>
            <w:tcW w:w="0" w:type="auto"/>
            <w:noWrap/>
            <w:vAlign w:val="center"/>
            <w:hideMark/>
          </w:tcPr>
          <w:p w14:paraId="036DA38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02766C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29EE05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4117A1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D84BF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1.64</w:t>
            </w:r>
          </w:p>
        </w:tc>
        <w:tc>
          <w:tcPr>
            <w:tcW w:w="0" w:type="auto"/>
            <w:noWrap/>
            <w:vAlign w:val="center"/>
            <w:hideMark/>
          </w:tcPr>
          <w:p w14:paraId="18BF35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51B73382" w14:textId="77777777" w:rsidTr="00266B26">
        <w:trPr>
          <w:trHeight w:val="154"/>
          <w:jc w:val="center"/>
        </w:trPr>
        <w:tc>
          <w:tcPr>
            <w:tcW w:w="0" w:type="auto"/>
            <w:noWrap/>
            <w:vAlign w:val="bottom"/>
            <w:hideMark/>
          </w:tcPr>
          <w:p w14:paraId="5BDA48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38</w:t>
            </w:r>
          </w:p>
        </w:tc>
        <w:tc>
          <w:tcPr>
            <w:tcW w:w="1143" w:type="dxa"/>
            <w:noWrap/>
            <w:vAlign w:val="center"/>
            <w:hideMark/>
          </w:tcPr>
          <w:p w14:paraId="601C784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38.096</w:t>
            </w:r>
          </w:p>
        </w:tc>
        <w:tc>
          <w:tcPr>
            <w:tcW w:w="0" w:type="auto"/>
            <w:vAlign w:val="center"/>
            <w:hideMark/>
          </w:tcPr>
          <w:p w14:paraId="3F3ECF20"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δ</w:t>
            </w:r>
            <w:r w:rsidRPr="005E6B7C">
              <w:rPr>
                <w:rFonts w:asciiTheme="majorHAnsi" w:eastAsia="Times New Roman" w:hAnsiTheme="majorHAnsi" w:cstheme="majorHAnsi"/>
                <w:color w:val="000000" w:themeColor="text1"/>
                <w:sz w:val="16"/>
                <w:szCs w:val="16"/>
              </w:rPr>
              <w:t>-Cadinene</w:t>
            </w:r>
          </w:p>
        </w:tc>
        <w:tc>
          <w:tcPr>
            <w:tcW w:w="336" w:type="dxa"/>
            <w:noWrap/>
            <w:vAlign w:val="center"/>
            <w:hideMark/>
          </w:tcPr>
          <w:p w14:paraId="679CD33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4"/>
                <w:szCs w:val="14"/>
              </w:rPr>
            </w:pPr>
            <w:r w:rsidRPr="005E6B7C">
              <w:rPr>
                <w:rFonts w:asciiTheme="majorHAnsi" w:eastAsia="Times New Roman" w:hAnsiTheme="majorHAnsi" w:cstheme="majorHAnsi"/>
                <w:bCs/>
                <w:color w:val="000000" w:themeColor="text1"/>
                <w:sz w:val="14"/>
                <w:szCs w:val="14"/>
              </w:rPr>
              <w:t>1.54</w:t>
            </w:r>
          </w:p>
        </w:tc>
        <w:tc>
          <w:tcPr>
            <w:tcW w:w="0" w:type="auto"/>
            <w:noWrap/>
            <w:vAlign w:val="center"/>
            <w:hideMark/>
          </w:tcPr>
          <w:p w14:paraId="065FE7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1.17</w:t>
            </w:r>
          </w:p>
        </w:tc>
        <w:tc>
          <w:tcPr>
            <w:tcW w:w="0" w:type="auto"/>
            <w:noWrap/>
            <w:vAlign w:val="center"/>
            <w:hideMark/>
          </w:tcPr>
          <w:p w14:paraId="285268F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3.32</w:t>
            </w:r>
          </w:p>
        </w:tc>
        <w:tc>
          <w:tcPr>
            <w:tcW w:w="0" w:type="auto"/>
            <w:noWrap/>
            <w:vAlign w:val="center"/>
            <w:hideMark/>
          </w:tcPr>
          <w:p w14:paraId="7C917F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1.45</w:t>
            </w:r>
          </w:p>
        </w:tc>
        <w:tc>
          <w:tcPr>
            <w:tcW w:w="0" w:type="auto"/>
            <w:noWrap/>
            <w:vAlign w:val="center"/>
            <w:hideMark/>
          </w:tcPr>
          <w:p w14:paraId="74DE050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2.77</w:t>
            </w:r>
          </w:p>
        </w:tc>
        <w:tc>
          <w:tcPr>
            <w:tcW w:w="0" w:type="auto"/>
            <w:noWrap/>
            <w:vAlign w:val="center"/>
            <w:hideMark/>
          </w:tcPr>
          <w:p w14:paraId="047373C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4.52</w:t>
            </w:r>
          </w:p>
        </w:tc>
        <w:tc>
          <w:tcPr>
            <w:tcW w:w="0" w:type="auto"/>
            <w:noWrap/>
            <w:vAlign w:val="center"/>
            <w:hideMark/>
          </w:tcPr>
          <w:p w14:paraId="5C2E31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0.93</w:t>
            </w:r>
          </w:p>
        </w:tc>
        <w:tc>
          <w:tcPr>
            <w:tcW w:w="0" w:type="auto"/>
            <w:noWrap/>
            <w:vAlign w:val="center"/>
            <w:hideMark/>
          </w:tcPr>
          <w:p w14:paraId="731AA94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1.48</w:t>
            </w:r>
          </w:p>
        </w:tc>
        <w:tc>
          <w:tcPr>
            <w:tcW w:w="0" w:type="auto"/>
            <w:noWrap/>
            <w:vAlign w:val="center"/>
            <w:hideMark/>
          </w:tcPr>
          <w:p w14:paraId="60DE33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0.87</w:t>
            </w:r>
          </w:p>
        </w:tc>
        <w:tc>
          <w:tcPr>
            <w:tcW w:w="0" w:type="auto"/>
            <w:noWrap/>
            <w:vAlign w:val="center"/>
            <w:hideMark/>
          </w:tcPr>
          <w:p w14:paraId="476AED2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2.93</w:t>
            </w:r>
          </w:p>
        </w:tc>
        <w:tc>
          <w:tcPr>
            <w:tcW w:w="0" w:type="auto"/>
            <w:noWrap/>
            <w:vAlign w:val="center"/>
            <w:hideMark/>
          </w:tcPr>
          <w:p w14:paraId="6C18AC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999324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52B3E3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4.94</w:t>
            </w:r>
          </w:p>
        </w:tc>
        <w:tc>
          <w:tcPr>
            <w:tcW w:w="0" w:type="auto"/>
            <w:noWrap/>
            <w:vAlign w:val="center"/>
            <w:hideMark/>
          </w:tcPr>
          <w:p w14:paraId="76FF7F9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5.33</w:t>
            </w:r>
          </w:p>
        </w:tc>
        <w:tc>
          <w:tcPr>
            <w:tcW w:w="0" w:type="auto"/>
            <w:noWrap/>
            <w:vAlign w:val="center"/>
            <w:hideMark/>
          </w:tcPr>
          <w:p w14:paraId="42CE2D4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5.35</w:t>
            </w:r>
          </w:p>
        </w:tc>
        <w:tc>
          <w:tcPr>
            <w:tcW w:w="0" w:type="auto"/>
            <w:noWrap/>
            <w:vAlign w:val="center"/>
            <w:hideMark/>
          </w:tcPr>
          <w:p w14:paraId="7AACC96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1.67</w:t>
            </w:r>
          </w:p>
        </w:tc>
      </w:tr>
      <w:tr w:rsidR="00055D14" w:rsidRPr="005E6B7C" w14:paraId="7B8BD1F1" w14:textId="77777777" w:rsidTr="00266B26">
        <w:trPr>
          <w:trHeight w:val="163"/>
          <w:jc w:val="center"/>
        </w:trPr>
        <w:tc>
          <w:tcPr>
            <w:tcW w:w="0" w:type="auto"/>
            <w:noWrap/>
            <w:vAlign w:val="bottom"/>
            <w:hideMark/>
          </w:tcPr>
          <w:p w14:paraId="7C3FD9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39</w:t>
            </w:r>
          </w:p>
        </w:tc>
        <w:tc>
          <w:tcPr>
            <w:tcW w:w="1143" w:type="dxa"/>
            <w:noWrap/>
            <w:vAlign w:val="center"/>
            <w:hideMark/>
          </w:tcPr>
          <w:p w14:paraId="3899CD7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38.631</w:t>
            </w:r>
          </w:p>
        </w:tc>
        <w:tc>
          <w:tcPr>
            <w:tcW w:w="0" w:type="auto"/>
            <w:vAlign w:val="center"/>
            <w:hideMark/>
          </w:tcPr>
          <w:p w14:paraId="7F6C4E6E"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Unknown</w:t>
            </w:r>
          </w:p>
        </w:tc>
        <w:tc>
          <w:tcPr>
            <w:tcW w:w="336" w:type="dxa"/>
            <w:noWrap/>
            <w:vAlign w:val="center"/>
            <w:hideMark/>
          </w:tcPr>
          <w:p w14:paraId="7909C9F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0797152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A143B9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53EB3F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18B201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159E006"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FF43AB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77C83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ECBA2E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5344B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0.60</w:t>
            </w:r>
          </w:p>
        </w:tc>
        <w:tc>
          <w:tcPr>
            <w:tcW w:w="0" w:type="auto"/>
            <w:noWrap/>
            <w:vAlign w:val="center"/>
            <w:hideMark/>
          </w:tcPr>
          <w:p w14:paraId="524FF52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07C505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C226FB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1.12</w:t>
            </w:r>
          </w:p>
        </w:tc>
        <w:tc>
          <w:tcPr>
            <w:tcW w:w="0" w:type="auto"/>
            <w:noWrap/>
            <w:vAlign w:val="center"/>
            <w:hideMark/>
          </w:tcPr>
          <w:p w14:paraId="7024D17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1.02</w:t>
            </w:r>
          </w:p>
        </w:tc>
        <w:tc>
          <w:tcPr>
            <w:tcW w:w="0" w:type="auto"/>
            <w:noWrap/>
            <w:vAlign w:val="center"/>
            <w:hideMark/>
          </w:tcPr>
          <w:p w14:paraId="4F83AF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1.16</w:t>
            </w:r>
          </w:p>
        </w:tc>
        <w:tc>
          <w:tcPr>
            <w:tcW w:w="0" w:type="auto"/>
            <w:noWrap/>
            <w:vAlign w:val="center"/>
            <w:hideMark/>
          </w:tcPr>
          <w:p w14:paraId="09F4487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1.01</w:t>
            </w:r>
          </w:p>
        </w:tc>
      </w:tr>
      <w:tr w:rsidR="00055D14" w:rsidRPr="005E6B7C" w14:paraId="259AA649" w14:textId="77777777" w:rsidTr="00266B26">
        <w:trPr>
          <w:trHeight w:val="163"/>
          <w:jc w:val="center"/>
        </w:trPr>
        <w:tc>
          <w:tcPr>
            <w:tcW w:w="0" w:type="auto"/>
            <w:noWrap/>
            <w:vAlign w:val="bottom"/>
            <w:hideMark/>
          </w:tcPr>
          <w:p w14:paraId="3E0201E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40</w:t>
            </w:r>
          </w:p>
        </w:tc>
        <w:tc>
          <w:tcPr>
            <w:tcW w:w="1143" w:type="dxa"/>
            <w:noWrap/>
            <w:vAlign w:val="center"/>
            <w:hideMark/>
          </w:tcPr>
          <w:p w14:paraId="6E102F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39.334</w:t>
            </w:r>
          </w:p>
        </w:tc>
        <w:tc>
          <w:tcPr>
            <w:tcW w:w="0" w:type="auto"/>
            <w:vAlign w:val="center"/>
            <w:hideMark/>
          </w:tcPr>
          <w:p w14:paraId="7DEC8C2E"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i/>
                <w:color w:val="000000" w:themeColor="text1"/>
                <w:sz w:val="16"/>
                <w:szCs w:val="16"/>
              </w:rPr>
              <w:t>α</w:t>
            </w:r>
            <w:r w:rsidRPr="005E6B7C">
              <w:rPr>
                <w:rFonts w:asciiTheme="majorHAnsi" w:eastAsia="Times New Roman" w:hAnsiTheme="majorHAnsi" w:cstheme="majorHAnsi"/>
                <w:color w:val="000000" w:themeColor="text1"/>
                <w:sz w:val="16"/>
                <w:szCs w:val="16"/>
              </w:rPr>
              <w:t>-Calacorene</w:t>
            </w:r>
          </w:p>
        </w:tc>
        <w:tc>
          <w:tcPr>
            <w:tcW w:w="336" w:type="dxa"/>
            <w:noWrap/>
            <w:vAlign w:val="center"/>
            <w:hideMark/>
          </w:tcPr>
          <w:p w14:paraId="76CAAB5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581BC80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CD4860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4026DF8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E5A639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CAA482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B9EECE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6AF2AFC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B4F6EE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15E00D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0.68</w:t>
            </w:r>
          </w:p>
        </w:tc>
        <w:tc>
          <w:tcPr>
            <w:tcW w:w="0" w:type="auto"/>
            <w:noWrap/>
            <w:vAlign w:val="center"/>
            <w:hideMark/>
          </w:tcPr>
          <w:p w14:paraId="7E51F94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9D4670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481D37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39A0DC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80EDF0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D8E428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187DDCB3" w14:textId="77777777" w:rsidTr="00266B26">
        <w:trPr>
          <w:trHeight w:val="163"/>
          <w:jc w:val="center"/>
        </w:trPr>
        <w:tc>
          <w:tcPr>
            <w:tcW w:w="0" w:type="auto"/>
            <w:noWrap/>
            <w:vAlign w:val="bottom"/>
            <w:hideMark/>
          </w:tcPr>
          <w:p w14:paraId="38E9FA5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41</w:t>
            </w:r>
          </w:p>
        </w:tc>
        <w:tc>
          <w:tcPr>
            <w:tcW w:w="1143" w:type="dxa"/>
            <w:noWrap/>
            <w:vAlign w:val="center"/>
            <w:hideMark/>
          </w:tcPr>
          <w:p w14:paraId="0334A6F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40.223</w:t>
            </w:r>
          </w:p>
        </w:tc>
        <w:tc>
          <w:tcPr>
            <w:tcW w:w="0" w:type="auto"/>
            <w:vAlign w:val="center"/>
            <w:hideMark/>
          </w:tcPr>
          <w:p w14:paraId="15F5BAF5"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Unknown</w:t>
            </w:r>
          </w:p>
        </w:tc>
        <w:tc>
          <w:tcPr>
            <w:tcW w:w="336" w:type="dxa"/>
            <w:noWrap/>
            <w:vAlign w:val="center"/>
            <w:hideMark/>
          </w:tcPr>
          <w:p w14:paraId="0F11F41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w:t>
            </w:r>
          </w:p>
        </w:tc>
        <w:tc>
          <w:tcPr>
            <w:tcW w:w="0" w:type="auto"/>
            <w:noWrap/>
            <w:vAlign w:val="center"/>
            <w:hideMark/>
          </w:tcPr>
          <w:p w14:paraId="3ECDF1D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DC3BCF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0.34</w:t>
            </w:r>
          </w:p>
        </w:tc>
        <w:tc>
          <w:tcPr>
            <w:tcW w:w="0" w:type="auto"/>
            <w:noWrap/>
            <w:vAlign w:val="center"/>
            <w:hideMark/>
          </w:tcPr>
          <w:p w14:paraId="593627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D9EE1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32EE78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1.05</w:t>
            </w:r>
          </w:p>
        </w:tc>
        <w:tc>
          <w:tcPr>
            <w:tcW w:w="0" w:type="auto"/>
            <w:noWrap/>
            <w:vAlign w:val="center"/>
            <w:hideMark/>
          </w:tcPr>
          <w:p w14:paraId="5974352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0.71</w:t>
            </w:r>
          </w:p>
        </w:tc>
        <w:tc>
          <w:tcPr>
            <w:tcW w:w="0" w:type="auto"/>
            <w:noWrap/>
            <w:vAlign w:val="center"/>
            <w:hideMark/>
          </w:tcPr>
          <w:p w14:paraId="5A26F0B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2EE033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0.69</w:t>
            </w:r>
          </w:p>
        </w:tc>
        <w:tc>
          <w:tcPr>
            <w:tcW w:w="0" w:type="auto"/>
            <w:noWrap/>
            <w:vAlign w:val="center"/>
            <w:hideMark/>
          </w:tcPr>
          <w:p w14:paraId="1FFD065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1.63</w:t>
            </w:r>
          </w:p>
        </w:tc>
        <w:tc>
          <w:tcPr>
            <w:tcW w:w="0" w:type="auto"/>
            <w:noWrap/>
            <w:vAlign w:val="center"/>
            <w:hideMark/>
          </w:tcPr>
          <w:p w14:paraId="48E89FB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0.29</w:t>
            </w:r>
          </w:p>
        </w:tc>
        <w:tc>
          <w:tcPr>
            <w:tcW w:w="0" w:type="auto"/>
            <w:noWrap/>
            <w:vAlign w:val="center"/>
            <w:hideMark/>
          </w:tcPr>
          <w:p w14:paraId="1F43986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F3A835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3.14</w:t>
            </w:r>
          </w:p>
        </w:tc>
        <w:tc>
          <w:tcPr>
            <w:tcW w:w="0" w:type="auto"/>
            <w:noWrap/>
            <w:vAlign w:val="center"/>
            <w:hideMark/>
          </w:tcPr>
          <w:p w14:paraId="02CE0F0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2.54</w:t>
            </w:r>
          </w:p>
        </w:tc>
        <w:tc>
          <w:tcPr>
            <w:tcW w:w="0" w:type="auto"/>
            <w:noWrap/>
            <w:vAlign w:val="center"/>
            <w:hideMark/>
          </w:tcPr>
          <w:p w14:paraId="362358C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2.11</w:t>
            </w:r>
          </w:p>
        </w:tc>
        <w:tc>
          <w:tcPr>
            <w:tcW w:w="0" w:type="auto"/>
            <w:noWrap/>
            <w:vAlign w:val="center"/>
            <w:hideMark/>
          </w:tcPr>
          <w:p w14:paraId="0511D75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1.68</w:t>
            </w:r>
          </w:p>
        </w:tc>
      </w:tr>
      <w:tr w:rsidR="00055D14" w:rsidRPr="005E6B7C" w14:paraId="009A616A" w14:textId="77777777" w:rsidTr="00266B26">
        <w:trPr>
          <w:trHeight w:val="318"/>
          <w:jc w:val="center"/>
        </w:trPr>
        <w:tc>
          <w:tcPr>
            <w:tcW w:w="0" w:type="auto"/>
            <w:noWrap/>
            <w:vAlign w:val="bottom"/>
            <w:hideMark/>
          </w:tcPr>
          <w:p w14:paraId="2F88813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42</w:t>
            </w:r>
          </w:p>
        </w:tc>
        <w:tc>
          <w:tcPr>
            <w:tcW w:w="1143" w:type="dxa"/>
            <w:noWrap/>
            <w:vAlign w:val="center"/>
            <w:hideMark/>
          </w:tcPr>
          <w:p w14:paraId="22D0F73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40.882</w:t>
            </w:r>
          </w:p>
        </w:tc>
        <w:tc>
          <w:tcPr>
            <w:tcW w:w="0" w:type="auto"/>
            <w:vAlign w:val="center"/>
            <w:hideMark/>
          </w:tcPr>
          <w:p w14:paraId="45A7C3BB"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Nerolidyl acetate</w:t>
            </w:r>
          </w:p>
        </w:tc>
        <w:tc>
          <w:tcPr>
            <w:tcW w:w="336" w:type="dxa"/>
            <w:noWrap/>
            <w:vAlign w:val="center"/>
            <w:hideMark/>
          </w:tcPr>
          <w:p w14:paraId="500CA7D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4"/>
                <w:szCs w:val="14"/>
              </w:rPr>
            </w:pPr>
            <w:r w:rsidRPr="005E6B7C">
              <w:rPr>
                <w:rFonts w:asciiTheme="majorHAnsi" w:eastAsia="Times New Roman" w:hAnsiTheme="majorHAnsi" w:cstheme="majorHAnsi"/>
                <w:color w:val="000000" w:themeColor="text1"/>
                <w:sz w:val="14"/>
                <w:szCs w:val="14"/>
              </w:rPr>
              <w:t>0.24</w:t>
            </w:r>
          </w:p>
        </w:tc>
        <w:tc>
          <w:tcPr>
            <w:tcW w:w="0" w:type="auto"/>
            <w:noWrap/>
            <w:vAlign w:val="center"/>
            <w:hideMark/>
          </w:tcPr>
          <w:p w14:paraId="1090955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0.40</w:t>
            </w:r>
          </w:p>
        </w:tc>
        <w:tc>
          <w:tcPr>
            <w:tcW w:w="0" w:type="auto"/>
            <w:noWrap/>
            <w:vAlign w:val="center"/>
            <w:hideMark/>
          </w:tcPr>
          <w:p w14:paraId="15BDEC1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21725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3CF7C5E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8708FE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0.39</w:t>
            </w:r>
          </w:p>
        </w:tc>
        <w:tc>
          <w:tcPr>
            <w:tcW w:w="0" w:type="auto"/>
            <w:noWrap/>
            <w:vAlign w:val="center"/>
            <w:hideMark/>
          </w:tcPr>
          <w:p w14:paraId="614E62D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732D9F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14E0252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75FF30B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1.30</w:t>
            </w:r>
          </w:p>
        </w:tc>
        <w:tc>
          <w:tcPr>
            <w:tcW w:w="0" w:type="auto"/>
            <w:noWrap/>
            <w:vAlign w:val="center"/>
            <w:hideMark/>
          </w:tcPr>
          <w:p w14:paraId="59FE03D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0E599F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0351145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86257F"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2D5960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c>
          <w:tcPr>
            <w:tcW w:w="0" w:type="auto"/>
            <w:noWrap/>
            <w:vAlign w:val="center"/>
            <w:hideMark/>
          </w:tcPr>
          <w:p w14:paraId="58E9136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w:t>
            </w:r>
          </w:p>
        </w:tc>
      </w:tr>
      <w:tr w:rsidR="00055D14" w:rsidRPr="005E6B7C" w14:paraId="225B005A" w14:textId="77777777" w:rsidTr="00266B26">
        <w:trPr>
          <w:trHeight w:val="163"/>
          <w:jc w:val="center"/>
        </w:trPr>
        <w:tc>
          <w:tcPr>
            <w:tcW w:w="0" w:type="auto"/>
            <w:noWrap/>
            <w:vAlign w:val="bottom"/>
            <w:hideMark/>
          </w:tcPr>
          <w:p w14:paraId="3D97D0D0"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43</w:t>
            </w:r>
          </w:p>
        </w:tc>
        <w:tc>
          <w:tcPr>
            <w:tcW w:w="1143" w:type="dxa"/>
            <w:noWrap/>
            <w:vAlign w:val="center"/>
            <w:hideMark/>
          </w:tcPr>
          <w:p w14:paraId="043282F9"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41.206</w:t>
            </w:r>
          </w:p>
        </w:tc>
        <w:tc>
          <w:tcPr>
            <w:tcW w:w="0" w:type="auto"/>
            <w:vAlign w:val="center"/>
            <w:hideMark/>
          </w:tcPr>
          <w:p w14:paraId="20D74D5F"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Spathulenol</w:t>
            </w:r>
          </w:p>
        </w:tc>
        <w:tc>
          <w:tcPr>
            <w:tcW w:w="336" w:type="dxa"/>
            <w:noWrap/>
            <w:vAlign w:val="center"/>
            <w:hideMark/>
          </w:tcPr>
          <w:p w14:paraId="7EBFF0D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4"/>
                <w:szCs w:val="14"/>
              </w:rPr>
            </w:pPr>
            <w:r w:rsidRPr="005E6B7C">
              <w:rPr>
                <w:rFonts w:asciiTheme="majorHAnsi" w:eastAsia="Times New Roman" w:hAnsiTheme="majorHAnsi" w:cstheme="majorHAnsi"/>
                <w:bCs/>
                <w:color w:val="000000" w:themeColor="text1"/>
                <w:sz w:val="14"/>
                <w:szCs w:val="14"/>
              </w:rPr>
              <w:t>4.96</w:t>
            </w:r>
          </w:p>
        </w:tc>
        <w:tc>
          <w:tcPr>
            <w:tcW w:w="0" w:type="auto"/>
            <w:noWrap/>
            <w:vAlign w:val="center"/>
            <w:hideMark/>
          </w:tcPr>
          <w:p w14:paraId="2487D60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7.11</w:t>
            </w:r>
          </w:p>
        </w:tc>
        <w:tc>
          <w:tcPr>
            <w:tcW w:w="0" w:type="auto"/>
            <w:noWrap/>
            <w:vAlign w:val="center"/>
            <w:hideMark/>
          </w:tcPr>
          <w:p w14:paraId="0A29B31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8.22</w:t>
            </w:r>
          </w:p>
        </w:tc>
        <w:tc>
          <w:tcPr>
            <w:tcW w:w="0" w:type="auto"/>
            <w:noWrap/>
            <w:vAlign w:val="center"/>
            <w:hideMark/>
          </w:tcPr>
          <w:p w14:paraId="7CC935B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4.61</w:t>
            </w:r>
          </w:p>
        </w:tc>
        <w:tc>
          <w:tcPr>
            <w:tcW w:w="0" w:type="auto"/>
            <w:noWrap/>
            <w:vAlign w:val="center"/>
            <w:hideMark/>
          </w:tcPr>
          <w:p w14:paraId="4E1E0FE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5.10</w:t>
            </w:r>
          </w:p>
        </w:tc>
        <w:tc>
          <w:tcPr>
            <w:tcW w:w="0" w:type="auto"/>
            <w:noWrap/>
            <w:vAlign w:val="center"/>
            <w:hideMark/>
          </w:tcPr>
          <w:p w14:paraId="725434A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11.90</w:t>
            </w:r>
          </w:p>
        </w:tc>
        <w:tc>
          <w:tcPr>
            <w:tcW w:w="0" w:type="auto"/>
            <w:noWrap/>
            <w:vAlign w:val="center"/>
            <w:hideMark/>
          </w:tcPr>
          <w:p w14:paraId="2375E06A"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10.48</w:t>
            </w:r>
          </w:p>
        </w:tc>
        <w:tc>
          <w:tcPr>
            <w:tcW w:w="0" w:type="auto"/>
            <w:noWrap/>
            <w:vAlign w:val="center"/>
            <w:hideMark/>
          </w:tcPr>
          <w:p w14:paraId="7C2EF6E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11.68</w:t>
            </w:r>
          </w:p>
        </w:tc>
        <w:tc>
          <w:tcPr>
            <w:tcW w:w="0" w:type="auto"/>
            <w:noWrap/>
            <w:vAlign w:val="center"/>
            <w:hideMark/>
          </w:tcPr>
          <w:p w14:paraId="30C214A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12.95</w:t>
            </w:r>
          </w:p>
        </w:tc>
        <w:tc>
          <w:tcPr>
            <w:tcW w:w="0" w:type="auto"/>
            <w:noWrap/>
            <w:vAlign w:val="center"/>
            <w:hideMark/>
          </w:tcPr>
          <w:p w14:paraId="209FB29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19.92</w:t>
            </w:r>
          </w:p>
        </w:tc>
        <w:tc>
          <w:tcPr>
            <w:tcW w:w="0" w:type="auto"/>
            <w:noWrap/>
            <w:vAlign w:val="center"/>
            <w:hideMark/>
          </w:tcPr>
          <w:p w14:paraId="29926BB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6.94</w:t>
            </w:r>
          </w:p>
        </w:tc>
        <w:tc>
          <w:tcPr>
            <w:tcW w:w="0" w:type="auto"/>
            <w:noWrap/>
            <w:vAlign w:val="center"/>
            <w:hideMark/>
          </w:tcPr>
          <w:p w14:paraId="713A71A4"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2.00</w:t>
            </w:r>
          </w:p>
        </w:tc>
        <w:tc>
          <w:tcPr>
            <w:tcW w:w="0" w:type="auto"/>
            <w:noWrap/>
            <w:vAlign w:val="center"/>
            <w:hideMark/>
          </w:tcPr>
          <w:p w14:paraId="6A268295"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6.62</w:t>
            </w:r>
          </w:p>
        </w:tc>
        <w:tc>
          <w:tcPr>
            <w:tcW w:w="0" w:type="auto"/>
            <w:noWrap/>
            <w:vAlign w:val="center"/>
            <w:hideMark/>
          </w:tcPr>
          <w:p w14:paraId="626C7E7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6.63</w:t>
            </w:r>
          </w:p>
        </w:tc>
        <w:tc>
          <w:tcPr>
            <w:tcW w:w="0" w:type="auto"/>
            <w:noWrap/>
            <w:vAlign w:val="center"/>
            <w:hideMark/>
          </w:tcPr>
          <w:p w14:paraId="773BBFF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2.59</w:t>
            </w:r>
          </w:p>
        </w:tc>
        <w:tc>
          <w:tcPr>
            <w:tcW w:w="0" w:type="auto"/>
            <w:noWrap/>
            <w:vAlign w:val="center"/>
            <w:hideMark/>
          </w:tcPr>
          <w:p w14:paraId="4A405DCB"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8.09</w:t>
            </w:r>
          </w:p>
        </w:tc>
      </w:tr>
      <w:tr w:rsidR="00055D14" w:rsidRPr="005E6B7C" w14:paraId="3BF185A2" w14:textId="77777777" w:rsidTr="00266B26">
        <w:trPr>
          <w:trHeight w:val="318"/>
          <w:jc w:val="center"/>
        </w:trPr>
        <w:tc>
          <w:tcPr>
            <w:tcW w:w="0" w:type="auto"/>
            <w:noWrap/>
            <w:vAlign w:val="bottom"/>
            <w:hideMark/>
          </w:tcPr>
          <w:p w14:paraId="18293AB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44</w:t>
            </w:r>
          </w:p>
        </w:tc>
        <w:tc>
          <w:tcPr>
            <w:tcW w:w="1143" w:type="dxa"/>
            <w:noWrap/>
            <w:vAlign w:val="center"/>
            <w:hideMark/>
          </w:tcPr>
          <w:p w14:paraId="00BF276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41.363</w:t>
            </w:r>
          </w:p>
        </w:tc>
        <w:tc>
          <w:tcPr>
            <w:tcW w:w="0" w:type="auto"/>
            <w:vAlign w:val="center"/>
            <w:hideMark/>
          </w:tcPr>
          <w:p w14:paraId="40582E01"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r w:rsidRPr="005E6B7C">
              <w:rPr>
                <w:rFonts w:asciiTheme="majorHAnsi" w:eastAsia="Times New Roman" w:hAnsiTheme="majorHAnsi" w:cstheme="majorHAnsi"/>
                <w:color w:val="000000" w:themeColor="text1"/>
                <w:sz w:val="16"/>
                <w:szCs w:val="16"/>
              </w:rPr>
              <w:t>Caryophyllene oxide</w:t>
            </w:r>
          </w:p>
        </w:tc>
        <w:tc>
          <w:tcPr>
            <w:tcW w:w="336" w:type="dxa"/>
            <w:noWrap/>
            <w:vAlign w:val="center"/>
            <w:hideMark/>
          </w:tcPr>
          <w:p w14:paraId="11E9B90E"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4"/>
                <w:szCs w:val="14"/>
              </w:rPr>
            </w:pPr>
            <w:r w:rsidRPr="005E6B7C">
              <w:rPr>
                <w:rFonts w:asciiTheme="majorHAnsi" w:eastAsia="Times New Roman" w:hAnsiTheme="majorHAnsi" w:cstheme="majorHAnsi"/>
                <w:bCs/>
                <w:color w:val="000000" w:themeColor="text1"/>
                <w:sz w:val="14"/>
                <w:szCs w:val="14"/>
              </w:rPr>
              <w:t>0.86</w:t>
            </w:r>
          </w:p>
        </w:tc>
        <w:tc>
          <w:tcPr>
            <w:tcW w:w="0" w:type="auto"/>
            <w:noWrap/>
            <w:vAlign w:val="center"/>
            <w:hideMark/>
          </w:tcPr>
          <w:p w14:paraId="4E6D011D"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1.27</w:t>
            </w:r>
          </w:p>
        </w:tc>
        <w:tc>
          <w:tcPr>
            <w:tcW w:w="0" w:type="auto"/>
            <w:noWrap/>
            <w:vAlign w:val="center"/>
            <w:hideMark/>
          </w:tcPr>
          <w:p w14:paraId="46D083C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1.38</w:t>
            </w:r>
          </w:p>
        </w:tc>
        <w:tc>
          <w:tcPr>
            <w:tcW w:w="0" w:type="auto"/>
            <w:noWrap/>
            <w:vAlign w:val="center"/>
            <w:hideMark/>
          </w:tcPr>
          <w:p w14:paraId="485B9B9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1.03</w:t>
            </w:r>
          </w:p>
        </w:tc>
        <w:tc>
          <w:tcPr>
            <w:tcW w:w="0" w:type="auto"/>
            <w:noWrap/>
            <w:vAlign w:val="center"/>
            <w:hideMark/>
          </w:tcPr>
          <w:p w14:paraId="7D6CE23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1.96</w:t>
            </w:r>
          </w:p>
        </w:tc>
        <w:tc>
          <w:tcPr>
            <w:tcW w:w="0" w:type="auto"/>
            <w:noWrap/>
            <w:vAlign w:val="center"/>
            <w:hideMark/>
          </w:tcPr>
          <w:p w14:paraId="552E790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1.48</w:t>
            </w:r>
          </w:p>
        </w:tc>
        <w:tc>
          <w:tcPr>
            <w:tcW w:w="0" w:type="auto"/>
            <w:noWrap/>
            <w:vAlign w:val="center"/>
            <w:hideMark/>
          </w:tcPr>
          <w:p w14:paraId="72E695F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1.70</w:t>
            </w:r>
          </w:p>
        </w:tc>
        <w:tc>
          <w:tcPr>
            <w:tcW w:w="0" w:type="auto"/>
            <w:noWrap/>
            <w:vAlign w:val="center"/>
            <w:hideMark/>
          </w:tcPr>
          <w:p w14:paraId="13138E4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2.16</w:t>
            </w:r>
          </w:p>
        </w:tc>
        <w:tc>
          <w:tcPr>
            <w:tcW w:w="0" w:type="auto"/>
            <w:noWrap/>
            <w:vAlign w:val="center"/>
            <w:hideMark/>
          </w:tcPr>
          <w:p w14:paraId="70451A9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9.29</w:t>
            </w:r>
          </w:p>
        </w:tc>
        <w:tc>
          <w:tcPr>
            <w:tcW w:w="0" w:type="auto"/>
            <w:noWrap/>
            <w:vAlign w:val="center"/>
            <w:hideMark/>
          </w:tcPr>
          <w:p w14:paraId="26192D6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4.91</w:t>
            </w:r>
          </w:p>
        </w:tc>
        <w:tc>
          <w:tcPr>
            <w:tcW w:w="0" w:type="auto"/>
            <w:noWrap/>
            <w:vAlign w:val="center"/>
            <w:hideMark/>
          </w:tcPr>
          <w:p w14:paraId="2EEFA4A8"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10.62</w:t>
            </w:r>
          </w:p>
        </w:tc>
        <w:tc>
          <w:tcPr>
            <w:tcW w:w="0" w:type="auto"/>
            <w:noWrap/>
            <w:vAlign w:val="center"/>
            <w:hideMark/>
          </w:tcPr>
          <w:p w14:paraId="3A8C8B8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4.21</w:t>
            </w:r>
          </w:p>
        </w:tc>
        <w:tc>
          <w:tcPr>
            <w:tcW w:w="0" w:type="auto"/>
            <w:noWrap/>
            <w:vAlign w:val="center"/>
            <w:hideMark/>
          </w:tcPr>
          <w:p w14:paraId="3CD0E932"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0.59</w:t>
            </w:r>
          </w:p>
        </w:tc>
        <w:tc>
          <w:tcPr>
            <w:tcW w:w="0" w:type="auto"/>
            <w:noWrap/>
            <w:vAlign w:val="center"/>
            <w:hideMark/>
          </w:tcPr>
          <w:p w14:paraId="358EFD61"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1.60</w:t>
            </w:r>
          </w:p>
        </w:tc>
        <w:tc>
          <w:tcPr>
            <w:tcW w:w="0" w:type="auto"/>
            <w:noWrap/>
            <w:vAlign w:val="center"/>
            <w:hideMark/>
          </w:tcPr>
          <w:p w14:paraId="499B4063"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0.77</w:t>
            </w:r>
          </w:p>
        </w:tc>
        <w:tc>
          <w:tcPr>
            <w:tcW w:w="0" w:type="auto"/>
            <w:noWrap/>
            <w:vAlign w:val="center"/>
            <w:hideMark/>
          </w:tcPr>
          <w:p w14:paraId="6402011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bCs/>
                <w:color w:val="000000" w:themeColor="text1"/>
                <w:sz w:val="16"/>
                <w:szCs w:val="16"/>
              </w:rPr>
            </w:pPr>
            <w:r w:rsidRPr="005E6B7C">
              <w:rPr>
                <w:rFonts w:asciiTheme="majorHAnsi" w:eastAsia="Times New Roman" w:hAnsiTheme="majorHAnsi" w:cstheme="majorHAnsi"/>
                <w:bCs/>
                <w:color w:val="000000" w:themeColor="text1"/>
                <w:sz w:val="16"/>
                <w:szCs w:val="16"/>
              </w:rPr>
              <w:t>2.99</w:t>
            </w:r>
          </w:p>
        </w:tc>
      </w:tr>
      <w:tr w:rsidR="00055D14" w:rsidRPr="005E6B7C" w14:paraId="010BC2B6" w14:textId="77777777" w:rsidTr="00266B26">
        <w:trPr>
          <w:trHeight w:val="326"/>
          <w:jc w:val="center"/>
        </w:trPr>
        <w:tc>
          <w:tcPr>
            <w:tcW w:w="0" w:type="auto"/>
            <w:noWrap/>
            <w:vAlign w:val="bottom"/>
            <w:hideMark/>
          </w:tcPr>
          <w:p w14:paraId="3BA0785C"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p>
        </w:tc>
        <w:tc>
          <w:tcPr>
            <w:tcW w:w="1143" w:type="dxa"/>
            <w:noWrap/>
            <w:vAlign w:val="center"/>
            <w:hideMark/>
          </w:tcPr>
          <w:p w14:paraId="16363977" w14:textId="77777777" w:rsidR="00E049CB" w:rsidRPr="005E6B7C" w:rsidRDefault="00E049CB" w:rsidP="008C0D47">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6"/>
                <w:szCs w:val="16"/>
              </w:rPr>
            </w:pPr>
          </w:p>
        </w:tc>
        <w:tc>
          <w:tcPr>
            <w:tcW w:w="0" w:type="auto"/>
            <w:vAlign w:val="center"/>
            <w:hideMark/>
          </w:tcPr>
          <w:p w14:paraId="39474E1E" w14:textId="77777777" w:rsidR="00E049CB" w:rsidRPr="005E6B7C" w:rsidRDefault="00E049CB" w:rsidP="007A051F">
            <w:pPr>
              <w:tabs>
                <w:tab w:val="left" w:pos="270"/>
                <w:tab w:val="left" w:pos="540"/>
                <w:tab w:val="left" w:pos="9270"/>
              </w:tabs>
              <w:spacing w:line="160" w:lineRule="exact"/>
              <w:ind w:right="-20"/>
              <w:rPr>
                <w:rFonts w:asciiTheme="majorHAnsi" w:eastAsia="Times New Roman" w:hAnsiTheme="majorHAnsi" w:cstheme="majorHAnsi"/>
                <w:color w:val="000000" w:themeColor="text1"/>
                <w:sz w:val="16"/>
                <w:szCs w:val="16"/>
              </w:rPr>
            </w:pPr>
            <w:commentRangeStart w:id="25"/>
            <w:r w:rsidRPr="005E6B7C">
              <w:rPr>
                <w:rFonts w:asciiTheme="majorHAnsi" w:eastAsia="Times New Roman" w:hAnsiTheme="majorHAnsi" w:cstheme="majorHAnsi"/>
                <w:color w:val="000000" w:themeColor="text1"/>
                <w:sz w:val="16"/>
                <w:szCs w:val="16"/>
              </w:rPr>
              <w:t>Total (%)</w:t>
            </w:r>
          </w:p>
        </w:tc>
        <w:tc>
          <w:tcPr>
            <w:tcW w:w="336" w:type="dxa"/>
            <w:noWrap/>
            <w:vAlign w:val="center"/>
            <w:hideMark/>
          </w:tcPr>
          <w:p w14:paraId="7F8C9E1A"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99.91</w:t>
            </w:r>
          </w:p>
        </w:tc>
        <w:tc>
          <w:tcPr>
            <w:tcW w:w="0" w:type="auto"/>
            <w:noWrap/>
            <w:vAlign w:val="center"/>
            <w:hideMark/>
          </w:tcPr>
          <w:p w14:paraId="509A370B"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99.35</w:t>
            </w:r>
          </w:p>
        </w:tc>
        <w:tc>
          <w:tcPr>
            <w:tcW w:w="0" w:type="auto"/>
            <w:noWrap/>
            <w:vAlign w:val="center"/>
            <w:hideMark/>
          </w:tcPr>
          <w:p w14:paraId="473E748B"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99.67</w:t>
            </w:r>
          </w:p>
        </w:tc>
        <w:tc>
          <w:tcPr>
            <w:tcW w:w="0" w:type="auto"/>
            <w:noWrap/>
            <w:vAlign w:val="center"/>
            <w:hideMark/>
          </w:tcPr>
          <w:p w14:paraId="4209C047"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99.99</w:t>
            </w:r>
          </w:p>
        </w:tc>
        <w:tc>
          <w:tcPr>
            <w:tcW w:w="0" w:type="auto"/>
            <w:noWrap/>
            <w:vAlign w:val="center"/>
            <w:hideMark/>
          </w:tcPr>
          <w:p w14:paraId="0B223E16"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99.75</w:t>
            </w:r>
          </w:p>
        </w:tc>
        <w:tc>
          <w:tcPr>
            <w:tcW w:w="0" w:type="auto"/>
            <w:noWrap/>
            <w:vAlign w:val="center"/>
            <w:hideMark/>
          </w:tcPr>
          <w:p w14:paraId="3BB480BF"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99.95</w:t>
            </w:r>
          </w:p>
        </w:tc>
        <w:tc>
          <w:tcPr>
            <w:tcW w:w="0" w:type="auto"/>
            <w:noWrap/>
            <w:vAlign w:val="center"/>
            <w:hideMark/>
          </w:tcPr>
          <w:p w14:paraId="16BC066A"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100.01</w:t>
            </w:r>
          </w:p>
        </w:tc>
        <w:tc>
          <w:tcPr>
            <w:tcW w:w="0" w:type="auto"/>
            <w:noWrap/>
            <w:vAlign w:val="center"/>
            <w:hideMark/>
          </w:tcPr>
          <w:p w14:paraId="464EE0FB"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100.01</w:t>
            </w:r>
          </w:p>
        </w:tc>
        <w:tc>
          <w:tcPr>
            <w:tcW w:w="0" w:type="auto"/>
            <w:noWrap/>
            <w:vAlign w:val="center"/>
            <w:hideMark/>
          </w:tcPr>
          <w:p w14:paraId="5B19DA2B"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100.00</w:t>
            </w:r>
          </w:p>
        </w:tc>
        <w:tc>
          <w:tcPr>
            <w:tcW w:w="0" w:type="auto"/>
            <w:noWrap/>
            <w:vAlign w:val="center"/>
            <w:hideMark/>
          </w:tcPr>
          <w:p w14:paraId="09D38D6C"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98.92</w:t>
            </w:r>
          </w:p>
        </w:tc>
        <w:tc>
          <w:tcPr>
            <w:tcW w:w="0" w:type="auto"/>
            <w:noWrap/>
            <w:vAlign w:val="center"/>
            <w:hideMark/>
          </w:tcPr>
          <w:p w14:paraId="13E52DFF"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99.58</w:t>
            </w:r>
          </w:p>
        </w:tc>
        <w:tc>
          <w:tcPr>
            <w:tcW w:w="0" w:type="auto"/>
            <w:noWrap/>
            <w:vAlign w:val="center"/>
            <w:hideMark/>
          </w:tcPr>
          <w:p w14:paraId="5A22473B"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99.66</w:t>
            </w:r>
          </w:p>
        </w:tc>
        <w:tc>
          <w:tcPr>
            <w:tcW w:w="0" w:type="auto"/>
            <w:noWrap/>
            <w:vAlign w:val="center"/>
            <w:hideMark/>
          </w:tcPr>
          <w:p w14:paraId="70139A17"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99.25</w:t>
            </w:r>
          </w:p>
        </w:tc>
        <w:tc>
          <w:tcPr>
            <w:tcW w:w="0" w:type="auto"/>
            <w:noWrap/>
            <w:vAlign w:val="center"/>
            <w:hideMark/>
          </w:tcPr>
          <w:p w14:paraId="3B0B67A1"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99.78</w:t>
            </w:r>
          </w:p>
        </w:tc>
        <w:tc>
          <w:tcPr>
            <w:tcW w:w="0" w:type="auto"/>
            <w:noWrap/>
            <w:vAlign w:val="center"/>
            <w:hideMark/>
          </w:tcPr>
          <w:p w14:paraId="3F936E52"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99.31</w:t>
            </w:r>
          </w:p>
        </w:tc>
        <w:tc>
          <w:tcPr>
            <w:tcW w:w="0" w:type="auto"/>
            <w:noWrap/>
            <w:vAlign w:val="center"/>
            <w:hideMark/>
          </w:tcPr>
          <w:p w14:paraId="15FC09AC" w14:textId="77777777" w:rsidR="00E049CB" w:rsidRPr="005E6B7C" w:rsidRDefault="00E049CB" w:rsidP="00460990">
            <w:pPr>
              <w:tabs>
                <w:tab w:val="left" w:pos="270"/>
                <w:tab w:val="left" w:pos="540"/>
                <w:tab w:val="left" w:pos="9270"/>
              </w:tabs>
              <w:spacing w:line="160" w:lineRule="exact"/>
              <w:ind w:right="-20"/>
              <w:jc w:val="center"/>
              <w:rPr>
                <w:rFonts w:asciiTheme="majorHAnsi" w:eastAsia="Times New Roman" w:hAnsiTheme="majorHAnsi" w:cstheme="majorHAnsi"/>
                <w:color w:val="000000" w:themeColor="text1"/>
                <w:sz w:val="12"/>
                <w:szCs w:val="12"/>
              </w:rPr>
            </w:pPr>
            <w:r w:rsidRPr="005E6B7C">
              <w:rPr>
                <w:rFonts w:asciiTheme="majorHAnsi" w:eastAsia="Times New Roman" w:hAnsiTheme="majorHAnsi" w:cstheme="majorHAnsi"/>
                <w:color w:val="000000" w:themeColor="text1"/>
                <w:sz w:val="12"/>
                <w:szCs w:val="12"/>
              </w:rPr>
              <w:t>99.82</w:t>
            </w:r>
            <w:commentRangeEnd w:id="25"/>
            <w:r w:rsidR="00055D14" w:rsidRPr="005E6B7C">
              <w:rPr>
                <w:rStyle w:val="CommentReference"/>
                <w:rFonts w:ascii="VNI-Times" w:hAnsi="VNI-Times"/>
                <w:bCs/>
                <w:sz w:val="12"/>
                <w:szCs w:val="12"/>
                <w:lang w:val="x-none" w:eastAsia="x-none"/>
              </w:rPr>
              <w:commentReference w:id="25"/>
            </w:r>
          </w:p>
        </w:tc>
      </w:tr>
    </w:tbl>
    <w:p w14:paraId="3B396E93" w14:textId="77777777" w:rsidR="00E049CB" w:rsidRPr="005E6B7C" w:rsidRDefault="00E049CB" w:rsidP="008C0D47">
      <w:pPr>
        <w:tabs>
          <w:tab w:val="left" w:pos="270"/>
          <w:tab w:val="left" w:pos="540"/>
          <w:tab w:val="left" w:pos="720"/>
          <w:tab w:val="left" w:pos="3228"/>
          <w:tab w:val="left" w:pos="9270"/>
        </w:tabs>
        <w:spacing w:before="120"/>
        <w:ind w:right="-20"/>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val="vi-VN" w:eastAsia="ja-JP"/>
        </w:rPr>
        <w:tab/>
        <w:t xml:space="preserve">-: </w:t>
      </w:r>
      <w:r w:rsidRPr="005E6B7C">
        <w:rPr>
          <w:rFonts w:asciiTheme="majorHAnsi" w:eastAsia="Yu Mincho" w:hAnsiTheme="majorHAnsi" w:cstheme="majorHAnsi"/>
          <w:i/>
          <w:color w:val="000000" w:themeColor="text1"/>
          <w:sz w:val="18"/>
          <w:szCs w:val="18"/>
          <w:lang w:eastAsia="ja-JP"/>
        </w:rPr>
        <w:t>Not detected.</w:t>
      </w:r>
    </w:p>
    <w:p w14:paraId="2553C88F" w14:textId="77777777" w:rsidR="00C644FB" w:rsidRPr="005E6B7C" w:rsidRDefault="00C644FB" w:rsidP="008C0D47">
      <w:pPr>
        <w:tabs>
          <w:tab w:val="left" w:pos="270"/>
          <w:tab w:val="left" w:pos="540"/>
          <w:tab w:val="left" w:pos="720"/>
          <w:tab w:val="left" w:pos="3228"/>
          <w:tab w:val="left" w:pos="9270"/>
        </w:tabs>
        <w:ind w:right="-20"/>
        <w:rPr>
          <w:rFonts w:asciiTheme="majorHAnsi" w:eastAsia="Yu Mincho" w:hAnsiTheme="majorHAnsi" w:cstheme="majorHAnsi"/>
          <w:i/>
          <w:color w:val="000000" w:themeColor="text1"/>
          <w:sz w:val="18"/>
          <w:szCs w:val="18"/>
          <w:lang w:eastAsia="ja-JP"/>
        </w:rPr>
      </w:pPr>
    </w:p>
    <w:p w14:paraId="1A41DC03" w14:textId="77777777" w:rsidR="00E538FA" w:rsidRPr="005E6B7C" w:rsidRDefault="00E538FA" w:rsidP="008C0D47">
      <w:pPr>
        <w:tabs>
          <w:tab w:val="left" w:pos="270"/>
          <w:tab w:val="left" w:pos="540"/>
          <w:tab w:val="left" w:pos="720"/>
          <w:tab w:val="left" w:pos="3228"/>
          <w:tab w:val="left" w:pos="9270"/>
        </w:tabs>
        <w:spacing w:line="240" w:lineRule="exact"/>
        <w:ind w:firstLine="284"/>
        <w:jc w:val="both"/>
        <w:rPr>
          <w:rFonts w:asciiTheme="majorHAnsi" w:eastAsia="Times New Roman" w:hAnsiTheme="majorHAnsi" w:cstheme="majorHAnsi"/>
          <w:color w:val="000000" w:themeColor="text1"/>
          <w:sz w:val="22"/>
          <w:szCs w:val="22"/>
          <w:lang w:val="en"/>
        </w:rPr>
        <w:sectPr w:rsidR="00E538FA" w:rsidRPr="005E6B7C" w:rsidSect="002206BB">
          <w:type w:val="continuous"/>
          <w:pgSz w:w="10773" w:h="15309" w:code="9"/>
          <w:pgMar w:top="907" w:right="851" w:bottom="1418" w:left="851" w:header="397" w:footer="851" w:gutter="0"/>
          <w:cols w:space="284"/>
          <w:docGrid w:linePitch="360"/>
        </w:sectPr>
      </w:pPr>
    </w:p>
    <w:p w14:paraId="6BA20C32" w14:textId="0E90B72C"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lang w:val="en"/>
        </w:rPr>
        <w:t xml:space="preserve">GC/MS analysis results showed that 44 different chemical components were identified in </w:t>
      </w:r>
      <w:r w:rsidRPr="005E6B7C">
        <w:rPr>
          <w:rFonts w:asciiTheme="majorHAnsi" w:eastAsia="Yu Mincho" w:hAnsiTheme="majorHAnsi" w:cstheme="majorHAnsi"/>
          <w:color w:val="000000" w:themeColor="text1"/>
          <w:sz w:val="22"/>
          <w:szCs w:val="22"/>
          <w:shd w:val="clear" w:color="auto" w:fill="FFFFFF"/>
          <w:lang w:eastAsia="ja-JP"/>
        </w:rPr>
        <w:t xml:space="preserve">essential oils from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samples </w:t>
      </w:r>
      <w:r w:rsidRPr="005E6B7C">
        <w:rPr>
          <w:rFonts w:asciiTheme="majorHAnsi" w:eastAsia="Times New Roman" w:hAnsiTheme="majorHAnsi" w:cstheme="majorHAnsi"/>
          <w:color w:val="000000" w:themeColor="text1"/>
          <w:sz w:val="22"/>
          <w:szCs w:val="22"/>
          <w:lang w:val="en"/>
        </w:rPr>
        <w:t xml:space="preserve">collected in different regions in Vietnam. Some components that appeared in most samples were linalool, 6-methyl-2-(2-oxiranyl)-5-hepten-2-ol, </w:t>
      </w:r>
      <w:r w:rsidRPr="005E6B7C">
        <w:rPr>
          <w:rFonts w:asciiTheme="majorHAnsi" w:eastAsia="Times New Roman" w:hAnsiTheme="majorHAnsi" w:cstheme="majorHAnsi"/>
          <w:i/>
          <w:color w:val="000000" w:themeColor="text1"/>
          <w:sz w:val="22"/>
          <w:szCs w:val="22"/>
          <w:lang w:val="en"/>
        </w:rPr>
        <w:t>trans</w:t>
      </w:r>
      <w:r w:rsidRPr="005E6B7C">
        <w:rPr>
          <w:rFonts w:asciiTheme="majorHAnsi" w:eastAsia="Times New Roman" w:hAnsiTheme="majorHAnsi" w:cstheme="majorHAnsi"/>
          <w:color w:val="000000" w:themeColor="text1"/>
          <w:sz w:val="22"/>
          <w:szCs w:val="22"/>
          <w:lang w:val="en"/>
        </w:rPr>
        <w:t xml:space="preserve">-linalool oxide, hotrienol, </w:t>
      </w:r>
      <w:r w:rsidRPr="005E6B7C">
        <w:rPr>
          <w:rFonts w:asciiTheme="majorHAnsi" w:eastAsia="Times New Roman" w:hAnsiTheme="majorHAnsi" w:cstheme="majorHAnsi"/>
          <w:i/>
          <w:color w:val="000000" w:themeColor="text1"/>
          <w:sz w:val="22"/>
          <w:szCs w:val="22"/>
          <w:lang w:val="en"/>
        </w:rPr>
        <w:t>L</w:t>
      </w:r>
      <w:r w:rsidRPr="005E6B7C">
        <w:rPr>
          <w:rFonts w:asciiTheme="majorHAnsi" w:eastAsia="Times New Roman" w:hAnsiTheme="majorHAnsi" w:cstheme="majorHAnsi"/>
          <w:color w:val="000000" w:themeColor="text1"/>
          <w:sz w:val="22"/>
          <w:szCs w:val="22"/>
          <w:lang w:val="en"/>
        </w:rPr>
        <w:t xml:space="preserve">-terpinen-4-ol, </w:t>
      </w:r>
      <w:r w:rsidRPr="005E6B7C">
        <w:rPr>
          <w:rFonts w:asciiTheme="majorHAnsi" w:eastAsia="Times New Roman" w:hAnsiTheme="majorHAnsi" w:cstheme="majorHAnsi"/>
          <w:i/>
          <w:color w:val="000000" w:themeColor="text1"/>
          <w:sz w:val="22"/>
          <w:szCs w:val="22"/>
          <w:lang w:val="en"/>
        </w:rPr>
        <w:t>α</w:t>
      </w:r>
      <w:r w:rsidRPr="005E6B7C">
        <w:rPr>
          <w:rFonts w:asciiTheme="majorHAnsi" w:eastAsia="Times New Roman" w:hAnsiTheme="majorHAnsi" w:cstheme="majorHAnsi"/>
          <w:color w:val="000000" w:themeColor="text1"/>
          <w:sz w:val="22"/>
          <w:szCs w:val="22"/>
          <w:lang w:val="en"/>
        </w:rPr>
        <w:t xml:space="preserve">-terpineol, </w:t>
      </w:r>
      <w:r w:rsidRPr="005E6B7C">
        <w:rPr>
          <w:rFonts w:asciiTheme="majorHAnsi" w:eastAsia="Times New Roman" w:hAnsiTheme="majorHAnsi" w:cstheme="majorHAnsi"/>
          <w:i/>
          <w:color w:val="000000" w:themeColor="text1"/>
          <w:sz w:val="22"/>
          <w:szCs w:val="22"/>
          <w:lang w:val="en"/>
        </w:rPr>
        <w:t>δ</w:t>
      </w:r>
      <w:r w:rsidRPr="005E6B7C">
        <w:rPr>
          <w:rFonts w:asciiTheme="majorHAnsi" w:eastAsia="Times New Roman" w:hAnsiTheme="majorHAnsi" w:cstheme="majorHAnsi"/>
          <w:color w:val="000000" w:themeColor="text1"/>
          <w:sz w:val="22"/>
          <w:szCs w:val="22"/>
          <w:lang w:val="en"/>
        </w:rPr>
        <w:t xml:space="preserve">-cadinene, and spathulenol. </w:t>
      </w:r>
      <w:r w:rsidR="00DC0259" w:rsidRPr="005E6B7C">
        <w:rPr>
          <w:rFonts w:asciiTheme="majorHAnsi" w:eastAsia="Times New Roman" w:hAnsiTheme="majorHAnsi" w:cstheme="majorHAnsi"/>
          <w:color w:val="000000" w:themeColor="text1"/>
          <w:sz w:val="22"/>
          <w:szCs w:val="22"/>
        </w:rPr>
        <w:t>Linalool accounted for the highest relative percentage</w:t>
      </w:r>
      <w:r w:rsidRPr="005E6B7C">
        <w:rPr>
          <w:rFonts w:asciiTheme="majorHAnsi" w:eastAsia="Times New Roman" w:hAnsiTheme="majorHAnsi" w:cstheme="majorHAnsi"/>
          <w:color w:val="000000" w:themeColor="text1"/>
          <w:sz w:val="22"/>
          <w:szCs w:val="22"/>
          <w:lang w:val="en"/>
        </w:rPr>
        <w:t xml:space="preserve"> of peak area (48.70% to 74.35%), </w:t>
      </w:r>
      <w:r w:rsidR="00DC0259" w:rsidRPr="005E6B7C">
        <w:rPr>
          <w:rFonts w:asciiTheme="majorHAnsi" w:eastAsia="Times New Roman" w:hAnsiTheme="majorHAnsi" w:cstheme="majorHAnsi"/>
          <w:color w:val="000000" w:themeColor="text1"/>
          <w:sz w:val="22"/>
          <w:szCs w:val="22"/>
        </w:rPr>
        <w:t>indicating that it is the major constituent</w:t>
      </w:r>
      <w:r w:rsidRPr="005E6B7C">
        <w:rPr>
          <w:rFonts w:asciiTheme="majorHAnsi" w:eastAsia="Times New Roman" w:hAnsiTheme="majorHAnsi" w:cstheme="majorHAnsi"/>
          <w:color w:val="000000" w:themeColor="text1"/>
          <w:sz w:val="22"/>
          <w:szCs w:val="22"/>
          <w:lang w:val="en"/>
        </w:rPr>
        <w:t xml:space="preserve"> in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w:t>
      </w:r>
      <w:r w:rsidRPr="005E6B7C">
        <w:rPr>
          <w:rFonts w:asciiTheme="majorHAnsi" w:eastAsia="Times New Roman" w:hAnsiTheme="majorHAnsi" w:cstheme="majorHAnsi"/>
          <w:color w:val="000000" w:themeColor="text1"/>
          <w:sz w:val="22"/>
          <w:szCs w:val="22"/>
          <w:lang w:val="en"/>
        </w:rPr>
        <w:t xml:space="preserve">essential oil, followed by the compound </w:t>
      </w:r>
      <w:r w:rsidRPr="005E6B7C">
        <w:rPr>
          <w:rFonts w:asciiTheme="majorHAnsi" w:eastAsia="Times New Roman" w:hAnsiTheme="majorHAnsi" w:cstheme="majorHAnsi"/>
          <w:i/>
          <w:color w:val="000000" w:themeColor="text1"/>
          <w:sz w:val="22"/>
          <w:szCs w:val="22"/>
          <w:lang w:val="en"/>
        </w:rPr>
        <w:t>L</w:t>
      </w:r>
      <w:r w:rsidRPr="005E6B7C">
        <w:rPr>
          <w:rFonts w:asciiTheme="majorHAnsi" w:eastAsia="Times New Roman" w:hAnsiTheme="majorHAnsi" w:cstheme="majorHAnsi"/>
          <w:color w:val="000000" w:themeColor="text1"/>
          <w:sz w:val="22"/>
          <w:szCs w:val="22"/>
          <w:lang w:val="en"/>
        </w:rPr>
        <w:t xml:space="preserve">-terpinen-4-ol (1.78% to 12.88%), </w:t>
      </w:r>
      <w:r w:rsidRPr="005E6B7C">
        <w:rPr>
          <w:rFonts w:asciiTheme="majorHAnsi" w:eastAsia="Yu Mincho" w:hAnsiTheme="majorHAnsi" w:cstheme="majorHAnsi"/>
          <w:color w:val="000000" w:themeColor="text1"/>
          <w:sz w:val="22"/>
          <w:szCs w:val="22"/>
          <w:lang w:eastAsia="ja-JP"/>
        </w:rPr>
        <w:t>spathulenol (2.00% to 19.92%),</w:t>
      </w:r>
      <w:r w:rsidRPr="005E6B7C">
        <w:rPr>
          <w:rFonts w:asciiTheme="majorHAnsi" w:eastAsia="Times New Roman" w:hAnsiTheme="majorHAnsi" w:cstheme="majorHAnsi"/>
          <w:color w:val="000000" w:themeColor="text1"/>
          <w:sz w:val="22"/>
          <w:szCs w:val="22"/>
          <w:lang w:val="en"/>
        </w:rPr>
        <w:t xml:space="preserve"> and caryophyllene oxide (0.59% to 10.62%).</w:t>
      </w:r>
    </w:p>
    <w:p w14:paraId="42BAC157" w14:textId="1F565F06"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lang w:val="en"/>
        </w:rPr>
        <w:t xml:space="preserve">The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w:t>
      </w:r>
      <w:r w:rsidRPr="005E6B7C">
        <w:rPr>
          <w:rFonts w:asciiTheme="majorHAnsi" w:eastAsia="Times New Roman" w:hAnsiTheme="majorHAnsi" w:cstheme="majorHAnsi"/>
          <w:color w:val="000000" w:themeColor="text1"/>
          <w:sz w:val="22"/>
          <w:szCs w:val="22"/>
          <w:lang w:val="en"/>
        </w:rPr>
        <w:t>samples collected in Lang Son (</w:t>
      </w:r>
      <w:r w:rsidRPr="005E6B7C">
        <w:rPr>
          <w:rFonts w:asciiTheme="majorHAnsi" w:eastAsia="Times New Roman" w:hAnsiTheme="majorHAnsi" w:cstheme="majorHAnsi"/>
          <w:b/>
          <w:color w:val="000000" w:themeColor="text1"/>
          <w:sz w:val="22"/>
          <w:szCs w:val="22"/>
          <w:lang w:val="en"/>
        </w:rPr>
        <w:t>M1</w:t>
      </w:r>
      <w:r w:rsidRPr="005E6B7C">
        <w:rPr>
          <w:rFonts w:asciiTheme="majorHAnsi" w:eastAsia="Times New Roman" w:hAnsiTheme="majorHAnsi" w:cstheme="majorHAnsi"/>
          <w:color w:val="000000" w:themeColor="text1"/>
          <w:sz w:val="22"/>
          <w:szCs w:val="22"/>
          <w:lang w:val="en"/>
        </w:rPr>
        <w:t>-</w:t>
      </w:r>
      <w:r w:rsidRPr="005E6B7C">
        <w:rPr>
          <w:rFonts w:asciiTheme="majorHAnsi" w:eastAsia="Times New Roman" w:hAnsiTheme="majorHAnsi" w:cstheme="majorHAnsi"/>
          <w:b/>
          <w:color w:val="000000" w:themeColor="text1"/>
          <w:sz w:val="22"/>
          <w:szCs w:val="22"/>
          <w:lang w:val="en"/>
        </w:rPr>
        <w:t>M10</w:t>
      </w:r>
      <w:r w:rsidRPr="005E6B7C">
        <w:rPr>
          <w:rFonts w:asciiTheme="majorHAnsi" w:eastAsia="Times New Roman" w:hAnsiTheme="majorHAnsi" w:cstheme="majorHAnsi"/>
          <w:color w:val="000000" w:themeColor="text1"/>
          <w:sz w:val="22"/>
          <w:szCs w:val="22"/>
          <w:lang w:val="en"/>
        </w:rPr>
        <w:t xml:space="preserve">) </w:t>
      </w:r>
      <w:r w:rsidR="00DC0259" w:rsidRPr="005E6B7C">
        <w:rPr>
          <w:rFonts w:asciiTheme="majorHAnsi" w:eastAsia="Times New Roman" w:hAnsiTheme="majorHAnsi" w:cstheme="majorHAnsi"/>
          <w:color w:val="000000" w:themeColor="text1"/>
          <w:sz w:val="22"/>
          <w:szCs w:val="22"/>
        </w:rPr>
        <w:t>show similar chemical compositions</w:t>
      </w:r>
      <w:r w:rsidRPr="005E6B7C">
        <w:rPr>
          <w:rFonts w:asciiTheme="majorHAnsi" w:eastAsia="Times New Roman" w:hAnsiTheme="majorHAnsi" w:cstheme="majorHAnsi"/>
          <w:color w:val="000000" w:themeColor="text1"/>
          <w:sz w:val="22"/>
          <w:szCs w:val="22"/>
          <w:lang w:val="en"/>
        </w:rPr>
        <w:t xml:space="preserve"> in essential oils. Meanwhile, samples collected in other regions (</w:t>
      </w:r>
      <w:r w:rsidRPr="005E6B7C">
        <w:rPr>
          <w:rFonts w:asciiTheme="majorHAnsi" w:eastAsia="Times New Roman" w:hAnsiTheme="majorHAnsi" w:cstheme="majorHAnsi"/>
          <w:b/>
          <w:color w:val="000000" w:themeColor="text1"/>
          <w:sz w:val="22"/>
          <w:szCs w:val="22"/>
          <w:lang w:val="en"/>
        </w:rPr>
        <w:t>M11</w:t>
      </w:r>
      <w:r w:rsidRPr="005E6B7C">
        <w:rPr>
          <w:rFonts w:asciiTheme="majorHAnsi" w:eastAsia="Times New Roman" w:hAnsiTheme="majorHAnsi" w:cstheme="majorHAnsi"/>
          <w:color w:val="000000" w:themeColor="text1"/>
          <w:sz w:val="22"/>
          <w:szCs w:val="22"/>
          <w:lang w:val="en"/>
        </w:rPr>
        <w:t>-</w:t>
      </w:r>
      <w:r w:rsidRPr="005E6B7C">
        <w:rPr>
          <w:rFonts w:asciiTheme="majorHAnsi" w:eastAsia="Times New Roman" w:hAnsiTheme="majorHAnsi" w:cstheme="majorHAnsi"/>
          <w:b/>
          <w:color w:val="000000" w:themeColor="text1"/>
          <w:sz w:val="22"/>
          <w:szCs w:val="22"/>
          <w:lang w:val="en"/>
        </w:rPr>
        <w:t>M16</w:t>
      </w:r>
      <w:r w:rsidRPr="005E6B7C">
        <w:rPr>
          <w:rFonts w:asciiTheme="majorHAnsi" w:eastAsia="Times New Roman" w:hAnsiTheme="majorHAnsi" w:cstheme="majorHAnsi"/>
          <w:color w:val="000000" w:themeColor="text1"/>
          <w:sz w:val="22"/>
          <w:szCs w:val="22"/>
          <w:lang w:val="en"/>
        </w:rPr>
        <w:t xml:space="preserve">) </w:t>
      </w:r>
      <w:r w:rsidR="00DC0259" w:rsidRPr="005E6B7C">
        <w:rPr>
          <w:rFonts w:asciiTheme="majorHAnsi" w:eastAsia="Times New Roman" w:hAnsiTheme="majorHAnsi" w:cstheme="majorHAnsi"/>
          <w:color w:val="000000" w:themeColor="text1"/>
          <w:sz w:val="22"/>
          <w:szCs w:val="22"/>
          <w:lang w:val="en"/>
        </w:rPr>
        <w:t>contain</w:t>
      </w:r>
      <w:r w:rsidR="00DC0259" w:rsidRPr="005E6B7C">
        <w:rPr>
          <w:rFonts w:asciiTheme="majorHAnsi" w:eastAsia="Times New Roman" w:hAnsiTheme="majorHAnsi" w:cstheme="majorHAnsi"/>
          <w:color w:val="000000" w:themeColor="text1"/>
          <w:sz w:val="22"/>
          <w:szCs w:val="22"/>
          <w:lang w:val="vi-VN"/>
        </w:rPr>
        <w:t xml:space="preserve"> </w:t>
      </w:r>
      <w:r w:rsidRPr="005E6B7C">
        <w:rPr>
          <w:rFonts w:asciiTheme="majorHAnsi" w:eastAsia="Times New Roman" w:hAnsiTheme="majorHAnsi" w:cstheme="majorHAnsi"/>
          <w:color w:val="000000" w:themeColor="text1"/>
          <w:sz w:val="22"/>
          <w:szCs w:val="22"/>
          <w:lang w:val="en"/>
        </w:rPr>
        <w:t xml:space="preserve">fewer components than samples collected in Lang Son. </w:t>
      </w:r>
    </w:p>
    <w:p w14:paraId="11980518" w14:textId="77777777"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3.4. Discussion</w:t>
      </w:r>
    </w:p>
    <w:p w14:paraId="10081F12" w14:textId="77777777"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shd w:val="clear" w:color="auto" w:fill="FFFFFF"/>
          <w:lang w:eastAsia="ja-JP"/>
        </w:rPr>
        <w:t>Thien nien kien (</w:t>
      </w:r>
      <w:r w:rsidRPr="005E6B7C">
        <w:rPr>
          <w:rFonts w:asciiTheme="majorHAnsi" w:eastAsia="Yu Mincho" w:hAnsiTheme="majorHAnsi" w:cstheme="majorHAnsi"/>
          <w:bCs/>
          <w:i/>
          <w:iCs/>
          <w:color w:val="000000" w:themeColor="text1"/>
          <w:sz w:val="22"/>
          <w:szCs w:val="22"/>
          <w:lang w:eastAsia="ja-JP"/>
        </w:rPr>
        <w:t>Rhizoma Homalomenae occultae</w:t>
      </w:r>
      <w:r w:rsidRPr="005E6B7C">
        <w:rPr>
          <w:rFonts w:asciiTheme="majorHAnsi" w:eastAsia="Yu Mincho" w:hAnsiTheme="majorHAnsi" w:cstheme="majorHAnsi"/>
          <w:color w:val="000000" w:themeColor="text1"/>
          <w:sz w:val="22"/>
          <w:szCs w:val="22"/>
          <w:shd w:val="clear" w:color="auto" w:fill="FFFFFF"/>
          <w:lang w:eastAsia="ja-JP"/>
        </w:rPr>
        <w:t xml:space="preserve">), primarily used for treating rheumatism and bone and joint pain, particularly effective for the elderly and frail, is a promising medicinal herb with an estimated annual wild collection yield of 200 to 500 tons [14]. </w:t>
      </w:r>
      <w:r w:rsidRPr="005E6B7C">
        <w:rPr>
          <w:rFonts w:asciiTheme="majorHAnsi" w:eastAsia="Yu Mincho" w:hAnsiTheme="majorHAnsi" w:cstheme="majorHAnsi"/>
          <w:color w:val="000000" w:themeColor="text1"/>
          <w:sz w:val="22"/>
          <w:szCs w:val="22"/>
          <w:shd w:val="clear" w:color="auto" w:fill="FFFFFF"/>
          <w:lang w:val="en" w:eastAsia="ja-JP"/>
        </w:rPr>
        <w:t xml:space="preserve">However, the number of studies on chemical composition analysis and quality assessment of </w:t>
      </w:r>
      <w:r w:rsidRPr="005E6B7C">
        <w:rPr>
          <w:rFonts w:asciiTheme="majorHAnsi" w:eastAsia="Yu Mincho" w:hAnsiTheme="majorHAnsi" w:cstheme="majorHAnsi"/>
          <w:i/>
          <w:color w:val="000000" w:themeColor="text1"/>
          <w:sz w:val="22"/>
          <w:szCs w:val="22"/>
          <w:shd w:val="clear" w:color="auto" w:fill="FFFFFF"/>
          <w:lang w:eastAsia="ja-JP"/>
        </w:rPr>
        <w:t xml:space="preserve">Rhizoma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is currently limited. In Vietnam,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is widely distributed, so the quality of this medicinal herb in different regions is an issue that needs to be researched.</w:t>
      </w:r>
    </w:p>
    <w:p w14:paraId="229CB59B" w14:textId="3316C97D"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Yu Mincho" w:hAnsiTheme="majorHAnsi" w:cstheme="majorHAnsi"/>
          <w:color w:val="000000" w:themeColor="text1"/>
          <w:sz w:val="22"/>
          <w:szCs w:val="22"/>
          <w:shd w:val="clear" w:color="auto" w:fill="FFFFFF"/>
          <w:lang w:val="en" w:eastAsia="ja-JP"/>
        </w:rPr>
      </w:pPr>
      <w:r w:rsidRPr="005E6B7C">
        <w:rPr>
          <w:rFonts w:asciiTheme="majorHAnsi" w:eastAsia="Yu Mincho" w:hAnsiTheme="majorHAnsi" w:cstheme="majorHAnsi"/>
          <w:color w:val="000000" w:themeColor="text1"/>
          <w:sz w:val="22"/>
          <w:szCs w:val="22"/>
          <w:shd w:val="clear" w:color="auto" w:fill="FFFFFF"/>
          <w:lang w:val="en" w:eastAsia="ja-JP"/>
        </w:rPr>
        <w:t xml:space="preserve">This study evaluated the essential oil content and composition, total polyphenol content of sixteen samples of </w:t>
      </w:r>
      <w:r w:rsidRPr="005E6B7C">
        <w:rPr>
          <w:rFonts w:asciiTheme="majorHAnsi" w:eastAsia="Yu Mincho" w:hAnsiTheme="majorHAnsi" w:cstheme="majorHAnsi"/>
          <w:color w:val="000000" w:themeColor="text1"/>
          <w:sz w:val="22"/>
          <w:szCs w:val="22"/>
          <w:shd w:val="clear" w:color="auto" w:fill="FFFFFF"/>
          <w:lang w:eastAsia="ja-JP"/>
        </w:rPr>
        <w:t xml:space="preserve">the </w:t>
      </w:r>
      <w:r w:rsidRPr="005E6B7C">
        <w:rPr>
          <w:rFonts w:asciiTheme="majorHAnsi" w:eastAsia="Yu Mincho" w:hAnsiTheme="majorHAnsi" w:cstheme="majorHAnsi"/>
          <w:color w:val="000000" w:themeColor="text1"/>
          <w:sz w:val="22"/>
          <w:szCs w:val="22"/>
          <w:lang w:eastAsia="ja-JP"/>
        </w:rPr>
        <w:t xml:space="preserve">rhizome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collected in four different provinces, of which ten samples were collected in Lang Son, two samples in Bac Ninh, two samples in Lai Chau, and two samples in Yen Bai. The selected quality assessment criteria are the content of total </w:t>
      </w:r>
      <w:r w:rsidRPr="005E6B7C">
        <w:rPr>
          <w:rFonts w:asciiTheme="majorHAnsi" w:eastAsia="Yu Mincho" w:hAnsiTheme="majorHAnsi" w:cstheme="majorHAnsi"/>
          <w:color w:val="000000" w:themeColor="text1"/>
          <w:sz w:val="22"/>
          <w:szCs w:val="22"/>
          <w:shd w:val="clear" w:color="auto" w:fill="FFFFFF"/>
          <w:lang w:val="en" w:eastAsia="ja-JP"/>
        </w:rPr>
        <w:t>polyphenol and the content of total essential oil. The results obtained show that these two criteria have opposite trends in these samples.</w:t>
      </w:r>
      <w:r w:rsidRPr="005E6B7C">
        <w:rPr>
          <w:rFonts w:asciiTheme="majorHAnsi" w:eastAsia="Yu Mincho" w:hAnsiTheme="majorHAnsi" w:cstheme="majorHAnsi"/>
          <w:color w:val="000000" w:themeColor="text1"/>
          <w:sz w:val="22"/>
          <w:szCs w:val="22"/>
          <w:shd w:val="clear" w:color="auto" w:fill="FFFFFF"/>
          <w:lang w:eastAsia="ja-JP"/>
        </w:rPr>
        <w:t xml:space="preserve"> The </w:t>
      </w:r>
      <w:r w:rsidRPr="005E6B7C">
        <w:rPr>
          <w:rFonts w:asciiTheme="majorHAnsi" w:eastAsia="Yu Mincho" w:hAnsiTheme="majorHAnsi" w:cstheme="majorHAnsi"/>
          <w:color w:val="000000" w:themeColor="text1"/>
          <w:sz w:val="22"/>
          <w:szCs w:val="22"/>
          <w:shd w:val="clear" w:color="auto" w:fill="FFFFFF"/>
          <w:lang w:val="en" w:eastAsia="ja-JP"/>
        </w:rPr>
        <w:t xml:space="preserve">samples collected in Lang Son had higher essential oil content than the remaining samples, while polyphenol content was lower. This may be due to differences in geographical location and climate characteristics in the regions, leading to </w:t>
      </w:r>
      <w:r w:rsidR="00DC0259" w:rsidRPr="005E6B7C">
        <w:rPr>
          <w:rFonts w:asciiTheme="majorHAnsi" w:eastAsia="Yu Mincho" w:hAnsiTheme="majorHAnsi" w:cstheme="majorHAnsi"/>
          <w:color w:val="000000" w:themeColor="text1"/>
          <w:sz w:val="22"/>
          <w:szCs w:val="22"/>
          <w:shd w:val="clear" w:color="auto" w:fill="FFFFFF"/>
          <w:lang w:eastAsia="ja-JP"/>
        </w:rPr>
        <w:t>differences in metabolic profiles</w:t>
      </w:r>
      <w:r w:rsidRPr="005E6B7C">
        <w:rPr>
          <w:rFonts w:asciiTheme="majorHAnsi" w:eastAsia="Yu Mincho" w:hAnsiTheme="majorHAnsi" w:cstheme="majorHAnsi"/>
          <w:color w:val="000000" w:themeColor="text1"/>
          <w:sz w:val="22"/>
          <w:szCs w:val="22"/>
          <w:shd w:val="clear" w:color="auto" w:fill="FFFFFF"/>
          <w:lang w:val="en" w:eastAsia="ja-JP"/>
        </w:rPr>
        <w:t xml:space="preserve"> in the sample. </w:t>
      </w:r>
      <w:r w:rsidR="00DC0259" w:rsidRPr="005E6B7C">
        <w:rPr>
          <w:rFonts w:asciiTheme="majorHAnsi" w:eastAsia="Yu Mincho" w:hAnsiTheme="majorHAnsi" w:cstheme="majorHAnsi"/>
          <w:color w:val="000000" w:themeColor="text1"/>
          <w:sz w:val="22"/>
          <w:szCs w:val="22"/>
          <w:shd w:val="clear" w:color="auto" w:fill="FFFFFF"/>
          <w:lang w:eastAsia="ja-JP"/>
        </w:rPr>
        <w:t>These findings suggest the need for further studies</w:t>
      </w:r>
      <w:r w:rsidRPr="005E6B7C">
        <w:rPr>
          <w:rFonts w:asciiTheme="majorHAnsi" w:eastAsia="Yu Mincho" w:hAnsiTheme="majorHAnsi" w:cstheme="majorHAnsi"/>
          <w:color w:val="000000" w:themeColor="text1"/>
          <w:sz w:val="22"/>
          <w:szCs w:val="22"/>
          <w:shd w:val="clear" w:color="auto" w:fill="FFFFFF"/>
          <w:lang w:val="en" w:eastAsia="ja-JP"/>
        </w:rPr>
        <w:t xml:space="preserve"> on developing suitable growing areas for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w:t>
      </w:r>
      <w:r w:rsidRPr="005E6B7C">
        <w:rPr>
          <w:rFonts w:asciiTheme="majorHAnsi" w:eastAsia="Yu Mincho" w:hAnsiTheme="majorHAnsi" w:cstheme="majorHAnsi"/>
          <w:color w:val="000000" w:themeColor="text1"/>
          <w:sz w:val="22"/>
          <w:szCs w:val="22"/>
          <w:shd w:val="clear" w:color="auto" w:fill="FFFFFF"/>
          <w:lang w:eastAsia="ja-JP"/>
        </w:rPr>
        <w:t xml:space="preserve"> </w:t>
      </w:r>
      <w:r w:rsidRPr="005E6B7C">
        <w:rPr>
          <w:rFonts w:asciiTheme="majorHAnsi" w:eastAsia="Yu Mincho" w:hAnsiTheme="majorHAnsi" w:cstheme="majorHAnsi"/>
          <w:color w:val="000000" w:themeColor="text1"/>
          <w:sz w:val="22"/>
          <w:szCs w:val="22"/>
          <w:shd w:val="clear" w:color="auto" w:fill="FFFFFF"/>
          <w:lang w:val="en" w:eastAsia="ja-JP"/>
        </w:rPr>
        <w:t xml:space="preserve">The total polyphenol content in 16 samples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ranged from 0.25% to 2.64%. </w:t>
      </w:r>
      <w:r w:rsidR="00460990" w:rsidRPr="005E6B7C">
        <w:rPr>
          <w:rFonts w:asciiTheme="majorHAnsi" w:eastAsia="Yu Mincho" w:hAnsiTheme="majorHAnsi" w:cstheme="majorHAnsi"/>
          <w:color w:val="000000" w:themeColor="text1"/>
          <w:sz w:val="22"/>
          <w:szCs w:val="22"/>
          <w:shd w:val="clear" w:color="auto" w:fill="FFFFFF"/>
          <w:lang w:val="en" w:eastAsia="ja-JP"/>
        </w:rPr>
        <w:t xml:space="preserve">The polyphenol content in the Thien nien kien reached 7.75% </w:t>
      </w:r>
      <w:r w:rsidRPr="005E6B7C">
        <w:rPr>
          <w:rFonts w:asciiTheme="majorHAnsi" w:eastAsia="Yu Mincho" w:hAnsiTheme="majorHAnsi" w:cstheme="majorHAnsi"/>
          <w:color w:val="000000" w:themeColor="text1"/>
          <w:sz w:val="22"/>
          <w:szCs w:val="22"/>
          <w:shd w:val="clear" w:color="auto" w:fill="FFFFFF"/>
          <w:lang w:val="en" w:eastAsia="ja-JP"/>
        </w:rPr>
        <w:t xml:space="preserve">[12]. Currently, there is no published research on the polyphenol content in the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samples collected in Vietnam, so the results obtained in this study provide more information about the phytochemi</w:t>
      </w:r>
      <w:r w:rsidR="008C0D47" w:rsidRPr="005E6B7C">
        <w:rPr>
          <w:rFonts w:asciiTheme="majorHAnsi" w:eastAsia="Yu Mincho" w:hAnsiTheme="majorHAnsi" w:cstheme="majorHAnsi"/>
          <w:color w:val="000000" w:themeColor="text1"/>
          <w:sz w:val="22"/>
          <w:szCs w:val="22"/>
          <w:shd w:val="clear" w:color="auto" w:fill="FFFFFF"/>
          <w:lang w:val="en" w:eastAsia="ja-JP"/>
        </w:rPr>
        <w:t>stry</w:t>
      </w:r>
      <w:r w:rsidRPr="005E6B7C">
        <w:rPr>
          <w:rFonts w:asciiTheme="majorHAnsi" w:eastAsia="Yu Mincho" w:hAnsiTheme="majorHAnsi" w:cstheme="majorHAnsi"/>
          <w:color w:val="000000" w:themeColor="text1"/>
          <w:sz w:val="22"/>
          <w:szCs w:val="22"/>
          <w:shd w:val="clear" w:color="auto" w:fill="FFFFFF"/>
          <w:lang w:val="en" w:eastAsia="ja-JP"/>
        </w:rPr>
        <w:t xml:space="preserve"> of this herb in Vietnam. </w:t>
      </w:r>
      <w:r w:rsidRPr="005E6B7C">
        <w:rPr>
          <w:rFonts w:asciiTheme="majorHAnsi" w:eastAsia="Yu Mincho" w:hAnsiTheme="majorHAnsi" w:cstheme="majorHAnsi"/>
          <w:color w:val="000000" w:themeColor="text1"/>
          <w:sz w:val="22"/>
          <w:szCs w:val="22"/>
          <w:shd w:val="clear" w:color="auto" w:fill="FFFFFF"/>
          <w:lang w:eastAsia="ja-JP"/>
        </w:rPr>
        <w:t xml:space="preserve">Analysis of the obtained essential oil composition revealed that linalool is the main component, accounting </w:t>
      </w:r>
      <w:r w:rsidRPr="005E6B7C">
        <w:rPr>
          <w:rFonts w:asciiTheme="majorHAnsi" w:eastAsia="Times New Roman" w:hAnsiTheme="majorHAnsi" w:cstheme="majorHAnsi"/>
          <w:color w:val="000000" w:themeColor="text1"/>
          <w:sz w:val="22"/>
          <w:szCs w:val="22"/>
          <w:lang w:val="en"/>
        </w:rPr>
        <w:t>for 48.70% to 74.35%</w:t>
      </w:r>
      <w:r w:rsidRPr="005E6B7C">
        <w:rPr>
          <w:rFonts w:asciiTheme="majorHAnsi" w:eastAsia="Yu Mincho" w:hAnsiTheme="majorHAnsi" w:cstheme="majorHAnsi"/>
          <w:color w:val="000000" w:themeColor="text1"/>
          <w:sz w:val="22"/>
          <w:szCs w:val="22"/>
          <w:shd w:val="clear" w:color="auto" w:fill="FFFFFF"/>
          <w:lang w:eastAsia="ja-JP"/>
        </w:rPr>
        <w:t xml:space="preserve">. Linalool is a monoterpene with numerous biological activities, such as antibacterial, anti-inflammatory, anti-cancer, and antioxidant effects [11]. In addition to linalool, the component L-terpinen-4-ol is a natural monoterpene found in the essential oil from </w:t>
      </w:r>
      <w:r w:rsidRPr="005E6B7C">
        <w:rPr>
          <w:rFonts w:asciiTheme="majorHAnsi" w:eastAsia="Yu Mincho" w:hAnsiTheme="majorHAnsi" w:cstheme="majorHAnsi"/>
          <w:color w:val="000000" w:themeColor="text1"/>
          <w:sz w:val="22"/>
          <w:szCs w:val="22"/>
          <w:shd w:val="clear" w:color="auto" w:fill="FFFFFF"/>
          <w:lang w:val="en" w:eastAsia="ja-JP"/>
        </w:rPr>
        <w:t>the rhizome of</w:t>
      </w:r>
      <w:r w:rsidRPr="005E6B7C">
        <w:rPr>
          <w:rFonts w:asciiTheme="majorHAnsi" w:eastAsia="Yu Mincho" w:hAnsiTheme="majorHAnsi" w:cstheme="majorHAnsi"/>
          <w:color w:val="000000" w:themeColor="text1"/>
          <w:sz w:val="22"/>
          <w:szCs w:val="22"/>
          <w:shd w:val="clear" w:color="auto" w:fill="FFFFFF"/>
          <w:lang w:eastAsia="ja-JP"/>
        </w:rPr>
        <w:t xml:space="preserve">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which has antiviral, antibacterial, antifungal, and insecticidal properties as well as antioxidant and anti-inflammatory effects [12],[13]. Identifying the main chemical components in the essential oil from </w:t>
      </w:r>
      <w:r w:rsidRPr="005E6B7C">
        <w:rPr>
          <w:rFonts w:asciiTheme="majorHAnsi" w:eastAsia="Yu Mincho" w:hAnsiTheme="majorHAnsi" w:cstheme="majorHAnsi"/>
          <w:color w:val="000000" w:themeColor="text1"/>
          <w:sz w:val="22"/>
          <w:szCs w:val="22"/>
          <w:shd w:val="clear" w:color="auto" w:fill="FFFFFF"/>
          <w:lang w:val="en" w:eastAsia="ja-JP"/>
        </w:rPr>
        <w:t xml:space="preserve">the rhizome of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is important and provides a scientific basis to demonstrate the use of this medicinal herb in remedies for rheumatism, strengthening tendons and bones, and alleviating bone pain.</w:t>
      </w:r>
      <w:r w:rsidRPr="005E6B7C">
        <w:rPr>
          <w:rFonts w:asciiTheme="majorHAnsi" w:eastAsia="Yu Mincho" w:hAnsiTheme="majorHAnsi" w:cstheme="majorHAnsi"/>
          <w:color w:val="000000" w:themeColor="text1"/>
          <w:sz w:val="22"/>
          <w:szCs w:val="22"/>
          <w:shd w:val="clear" w:color="auto" w:fill="FFFFFF"/>
          <w:lang w:val="en" w:eastAsia="ja-JP"/>
        </w:rPr>
        <w:t xml:space="preserve"> Luu Dam Ngoc Anh reported that the total essential oil content in the rhizome of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samples collected in Vietnam reached 0.718%, and linalool accounted for 8.6% to </w:t>
      </w:r>
      <w:r w:rsidRPr="005E6B7C">
        <w:rPr>
          <w:rFonts w:asciiTheme="majorHAnsi" w:eastAsia="Yu Mincho" w:hAnsiTheme="majorHAnsi" w:cstheme="majorHAnsi"/>
          <w:color w:val="000000" w:themeColor="text1"/>
          <w:sz w:val="22"/>
          <w:szCs w:val="22"/>
          <w:shd w:val="clear" w:color="auto" w:fill="FFFFFF"/>
          <w:lang w:val="en" w:eastAsia="ja-JP"/>
        </w:rPr>
        <w:lastRenderedPageBreak/>
        <w:t xml:space="preserve">63.394%. Meanwhile,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samples collected in China have an essential oil content of 0.79-0.84%, with linalool ranging from 11.1% to 47.7% [14]. Our study showed that the essential oil content in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samples ranges from 0.27% to 0.92%, and the main chemical component is linalool, accounting for over 40% of the chemical composition in the essential oil. This result shows that the rhizome of </w:t>
      </w:r>
      <w:r w:rsidRPr="005E6B7C">
        <w:rPr>
          <w:rFonts w:asciiTheme="majorHAnsi" w:eastAsia="Yu Mincho" w:hAnsiTheme="majorHAnsi" w:cstheme="majorHAnsi"/>
          <w:i/>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val="en" w:eastAsia="ja-JP"/>
        </w:rPr>
        <w:t xml:space="preserve"> samples collected in Vietnam are of good quality and have great potential to exploit and develop products from this medicinal source.</w:t>
      </w:r>
    </w:p>
    <w:p w14:paraId="70EFBA65" w14:textId="77777777" w:rsidR="00E049CB" w:rsidRPr="005E6B7C" w:rsidRDefault="00E049CB" w:rsidP="008C0D47">
      <w:pPr>
        <w:tabs>
          <w:tab w:val="left" w:pos="270"/>
          <w:tab w:val="left" w:pos="540"/>
          <w:tab w:val="left" w:pos="9270"/>
        </w:tabs>
        <w:spacing w:line="242" w:lineRule="exact"/>
        <w:ind w:firstLine="284"/>
        <w:jc w:val="both"/>
        <w:outlineLvl w:val="0"/>
        <w:rPr>
          <w:rFonts w:asciiTheme="majorHAnsi" w:eastAsia="Times New Roman" w:hAnsiTheme="majorHAnsi" w:cstheme="majorHAnsi"/>
          <w:b/>
          <w:color w:val="000000" w:themeColor="text1"/>
          <w:sz w:val="22"/>
          <w:szCs w:val="22"/>
          <w:lang w:eastAsia="ja-JP"/>
        </w:rPr>
      </w:pPr>
      <w:r w:rsidRPr="005E6B7C">
        <w:rPr>
          <w:rFonts w:asciiTheme="majorHAnsi" w:eastAsia="Times New Roman" w:hAnsiTheme="majorHAnsi" w:cstheme="majorHAnsi"/>
          <w:b/>
          <w:color w:val="000000" w:themeColor="text1"/>
          <w:sz w:val="22"/>
          <w:szCs w:val="22"/>
          <w:lang w:eastAsia="ja-JP"/>
        </w:rPr>
        <w:t xml:space="preserve">4. </w:t>
      </w:r>
      <w:r w:rsidRPr="005E6B7C">
        <w:rPr>
          <w:rFonts w:asciiTheme="majorHAnsi" w:eastAsia="Times New Roman" w:hAnsiTheme="majorHAnsi" w:cstheme="majorHAnsi"/>
          <w:b/>
          <w:bCs/>
          <w:color w:val="000000" w:themeColor="text1"/>
          <w:sz w:val="22"/>
          <w:szCs w:val="22"/>
          <w:lang w:eastAsia="ja-JP"/>
        </w:rPr>
        <w:t>Conclusion</w:t>
      </w:r>
    </w:p>
    <w:p w14:paraId="37CEB2A6" w14:textId="5D98B505" w:rsidR="00E049CB" w:rsidRPr="005E6B7C" w:rsidRDefault="00E049CB" w:rsidP="008C0D47">
      <w:pPr>
        <w:tabs>
          <w:tab w:val="left" w:pos="270"/>
          <w:tab w:val="left" w:pos="540"/>
          <w:tab w:val="left" w:pos="720"/>
          <w:tab w:val="left" w:pos="3228"/>
          <w:tab w:val="left" w:pos="9270"/>
        </w:tabs>
        <w:spacing w:line="242" w:lineRule="exact"/>
        <w:ind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shd w:val="clear" w:color="auto" w:fill="FFFFFF"/>
          <w:lang w:eastAsia="ja-JP"/>
        </w:rPr>
        <w:t xml:space="preserve">The study determined the total polyphenol content and essential oil content in the </w:t>
      </w:r>
      <w:r w:rsidRPr="005E6B7C">
        <w:rPr>
          <w:rFonts w:asciiTheme="majorHAnsi" w:eastAsia="Yu Mincho" w:hAnsiTheme="majorHAnsi" w:cstheme="majorHAnsi"/>
          <w:color w:val="000000" w:themeColor="text1"/>
          <w:sz w:val="22"/>
          <w:szCs w:val="22"/>
          <w:lang w:eastAsia="ja-JP"/>
        </w:rPr>
        <w:t xml:space="preserve">rhizome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samples collected in Lang Son. Total polyphenol content ranged from 0.25% to 2.64%, while essential oil content ranged from 0.27% to </w:t>
      </w:r>
      <w:r w:rsidRPr="005E6B7C">
        <w:rPr>
          <w:rFonts w:asciiTheme="majorHAnsi" w:eastAsia="Yu Mincho" w:hAnsiTheme="majorHAnsi" w:cstheme="majorHAnsi"/>
          <w:color w:val="000000" w:themeColor="text1"/>
          <w:sz w:val="22"/>
          <w:szCs w:val="22"/>
          <w:shd w:val="clear" w:color="auto" w:fill="FFFFFF"/>
          <w:lang w:eastAsia="ja-JP"/>
        </w:rPr>
        <w:t xml:space="preserve">0.92%, meeting the quality evaluation criteria (essential oil content) specified in the Vietnamese Pharmacopoeia V [9]. GC/MS analysis of the essential oil revealed the presence of compounds such as 6-methyl-2-(2-oxiranyl)-5-hepten-2-ol, </w:t>
      </w:r>
      <w:r w:rsidRPr="005E6B7C">
        <w:rPr>
          <w:rFonts w:asciiTheme="majorHAnsi" w:eastAsia="Yu Mincho" w:hAnsiTheme="majorHAnsi" w:cstheme="majorHAnsi"/>
          <w:i/>
          <w:color w:val="000000" w:themeColor="text1"/>
          <w:sz w:val="22"/>
          <w:szCs w:val="22"/>
          <w:shd w:val="clear" w:color="auto" w:fill="FFFFFF"/>
          <w:lang w:eastAsia="ja-JP"/>
        </w:rPr>
        <w:t>trans</w:t>
      </w:r>
      <w:r w:rsidRPr="005E6B7C">
        <w:rPr>
          <w:rFonts w:asciiTheme="majorHAnsi" w:eastAsia="Yu Mincho" w:hAnsiTheme="majorHAnsi" w:cstheme="majorHAnsi"/>
          <w:color w:val="000000" w:themeColor="text1"/>
          <w:sz w:val="22"/>
          <w:szCs w:val="22"/>
          <w:shd w:val="clear" w:color="auto" w:fill="FFFFFF"/>
          <w:lang w:eastAsia="ja-JP"/>
        </w:rPr>
        <w:t xml:space="preserve">-linalool oxide, hotrienol, L-terpinen-4-ol, </w:t>
      </w:r>
      <w:r w:rsidRPr="005E6B7C">
        <w:rPr>
          <w:rFonts w:asciiTheme="majorHAnsi" w:eastAsia="Yu Mincho" w:hAnsiTheme="majorHAnsi" w:cstheme="majorHAnsi"/>
          <w:i/>
          <w:color w:val="000000" w:themeColor="text1"/>
          <w:sz w:val="22"/>
          <w:szCs w:val="22"/>
          <w:shd w:val="clear" w:color="auto" w:fill="FFFFFF"/>
          <w:lang w:eastAsia="ja-JP"/>
        </w:rPr>
        <w:t>α</w:t>
      </w:r>
      <w:r w:rsidRPr="005E6B7C">
        <w:rPr>
          <w:rFonts w:asciiTheme="majorHAnsi" w:eastAsia="Yu Mincho" w:hAnsiTheme="majorHAnsi" w:cstheme="majorHAnsi"/>
          <w:color w:val="000000" w:themeColor="text1"/>
          <w:sz w:val="22"/>
          <w:szCs w:val="22"/>
          <w:shd w:val="clear" w:color="auto" w:fill="FFFFFF"/>
          <w:lang w:eastAsia="ja-JP"/>
        </w:rPr>
        <w:t xml:space="preserve">-terpineol, </w:t>
      </w:r>
      <w:r w:rsidRPr="005E6B7C">
        <w:rPr>
          <w:rFonts w:asciiTheme="majorHAnsi" w:eastAsia="Yu Mincho" w:hAnsiTheme="majorHAnsi" w:cstheme="majorHAnsi"/>
          <w:i/>
          <w:color w:val="000000" w:themeColor="text1"/>
          <w:sz w:val="22"/>
          <w:szCs w:val="22"/>
          <w:shd w:val="clear" w:color="auto" w:fill="FFFFFF"/>
          <w:lang w:eastAsia="ja-JP"/>
        </w:rPr>
        <w:t>δ</w:t>
      </w:r>
      <w:r w:rsidRPr="005E6B7C">
        <w:rPr>
          <w:rFonts w:asciiTheme="majorHAnsi" w:eastAsia="Yu Mincho" w:hAnsiTheme="majorHAnsi" w:cstheme="majorHAnsi"/>
          <w:color w:val="000000" w:themeColor="text1"/>
          <w:sz w:val="22"/>
          <w:szCs w:val="22"/>
          <w:shd w:val="clear" w:color="auto" w:fill="FFFFFF"/>
          <w:lang w:eastAsia="ja-JP"/>
        </w:rPr>
        <w:t xml:space="preserve">-cadinene, spathulenol, and notably linalool, which accounted for over 40% (based on peak area ratio). </w:t>
      </w:r>
      <w:r w:rsidR="00DC0259" w:rsidRPr="005E6B7C">
        <w:rPr>
          <w:rFonts w:asciiTheme="majorHAnsi" w:eastAsia="Yu Mincho" w:hAnsiTheme="majorHAnsi" w:cstheme="majorHAnsi"/>
          <w:color w:val="000000" w:themeColor="text1"/>
          <w:sz w:val="22"/>
          <w:szCs w:val="22"/>
          <w:shd w:val="clear" w:color="auto" w:fill="FFFFFF"/>
          <w:lang w:eastAsia="ja-JP"/>
        </w:rPr>
        <w:t>These results provide valuable data</w:t>
      </w:r>
      <w:r w:rsidRPr="005E6B7C">
        <w:rPr>
          <w:rFonts w:asciiTheme="majorHAnsi" w:eastAsia="Yu Mincho" w:hAnsiTheme="majorHAnsi" w:cstheme="majorHAnsi"/>
          <w:color w:val="000000" w:themeColor="text1"/>
          <w:sz w:val="22"/>
          <w:szCs w:val="22"/>
          <w:shd w:val="clear" w:color="auto" w:fill="FFFFFF"/>
          <w:lang w:eastAsia="ja-JP"/>
        </w:rPr>
        <w:t xml:space="preserve"> on the chemical composition and quality of the </w:t>
      </w:r>
      <w:r w:rsidRPr="005E6B7C">
        <w:rPr>
          <w:rFonts w:asciiTheme="majorHAnsi" w:eastAsia="Yu Mincho" w:hAnsiTheme="majorHAnsi" w:cstheme="majorHAnsi"/>
          <w:color w:val="000000" w:themeColor="text1"/>
          <w:sz w:val="22"/>
          <w:szCs w:val="22"/>
          <w:lang w:eastAsia="ja-JP"/>
        </w:rPr>
        <w:t xml:space="preserve">rhizome of </w:t>
      </w:r>
      <w:r w:rsidRPr="005E6B7C">
        <w:rPr>
          <w:rFonts w:asciiTheme="majorHAnsi" w:eastAsia="Yu Mincho" w:hAnsiTheme="majorHAnsi" w:cstheme="majorHAnsi"/>
          <w:i/>
          <w:iCs/>
          <w:color w:val="000000" w:themeColor="text1"/>
          <w:sz w:val="22"/>
          <w:szCs w:val="22"/>
          <w:shd w:val="clear" w:color="auto" w:fill="FFFFFF"/>
          <w:lang w:eastAsia="ja-JP"/>
        </w:rPr>
        <w:t>H. occulta</w:t>
      </w:r>
      <w:r w:rsidRPr="005E6B7C">
        <w:rPr>
          <w:rFonts w:asciiTheme="majorHAnsi" w:eastAsia="Yu Mincho" w:hAnsiTheme="majorHAnsi" w:cstheme="majorHAnsi"/>
          <w:color w:val="000000" w:themeColor="text1"/>
          <w:sz w:val="22"/>
          <w:szCs w:val="22"/>
          <w:shd w:val="clear" w:color="auto" w:fill="FFFFFF"/>
          <w:lang w:eastAsia="ja-JP"/>
        </w:rPr>
        <w:t xml:space="preserve">. </w:t>
      </w:r>
    </w:p>
    <w:p w14:paraId="0FA84AD2" w14:textId="77777777" w:rsidR="00E538FA" w:rsidRPr="005E6B7C" w:rsidRDefault="00E049CB" w:rsidP="008C0D47">
      <w:pPr>
        <w:tabs>
          <w:tab w:val="left" w:pos="270"/>
          <w:tab w:val="left" w:pos="540"/>
          <w:tab w:val="left" w:pos="9270"/>
        </w:tabs>
        <w:spacing w:line="242" w:lineRule="exact"/>
        <w:ind w:firstLine="284"/>
        <w:jc w:val="both"/>
        <w:rPr>
          <w:rFonts w:asciiTheme="majorHAnsi" w:eastAsia="Times New Roman" w:hAnsiTheme="majorHAnsi" w:cstheme="majorHAnsi"/>
          <w:i/>
          <w:iCs/>
          <w:color w:val="000000" w:themeColor="text1"/>
          <w:sz w:val="20"/>
          <w:szCs w:val="20"/>
        </w:rPr>
      </w:pPr>
      <w:r w:rsidRPr="005E6B7C">
        <w:rPr>
          <w:rFonts w:asciiTheme="majorHAnsi" w:eastAsia="Times New Roman" w:hAnsiTheme="majorHAnsi" w:cstheme="majorHAnsi"/>
          <w:b/>
          <w:bCs/>
          <w:color w:val="000000" w:themeColor="text1"/>
          <w:sz w:val="20"/>
          <w:szCs w:val="20"/>
        </w:rPr>
        <w:t xml:space="preserve">Acknowledgments: </w:t>
      </w:r>
      <w:r w:rsidRPr="005E6B7C">
        <w:rPr>
          <w:rFonts w:asciiTheme="majorHAnsi" w:eastAsia="Times New Roman" w:hAnsiTheme="majorHAnsi" w:cstheme="majorHAnsi"/>
          <w:i/>
          <w:iCs/>
          <w:color w:val="000000" w:themeColor="text1"/>
          <w:sz w:val="20"/>
          <w:szCs w:val="20"/>
        </w:rPr>
        <w:t>This research is funded by the Ministry of Science and Technology of Vietnam under grant number NVQG-2023/ĐT.08 and the Department of Science and Technology of Lang Son province under grant “</w:t>
      </w:r>
      <w:r w:rsidRPr="005E6B7C">
        <w:rPr>
          <w:rFonts w:asciiTheme="majorHAnsi" w:eastAsia="Times New Roman" w:hAnsiTheme="majorHAnsi" w:cstheme="majorHAnsi"/>
          <w:i/>
          <w:iCs/>
          <w:color w:val="000000" w:themeColor="text1"/>
          <w:sz w:val="20"/>
          <w:szCs w:val="20"/>
          <w:shd w:val="clear" w:color="auto" w:fill="FFFFFF"/>
        </w:rPr>
        <w:t>Experimental cultivation of H. occulta (</w:t>
      </w:r>
      <w:r w:rsidRPr="005E6B7C">
        <w:rPr>
          <w:rFonts w:asciiTheme="majorHAnsi" w:eastAsia="Times New Roman" w:hAnsiTheme="majorHAnsi" w:cstheme="majorHAnsi"/>
          <w:iCs/>
          <w:color w:val="000000" w:themeColor="text1"/>
          <w:sz w:val="20"/>
          <w:szCs w:val="20"/>
          <w:shd w:val="clear" w:color="auto" w:fill="FFFFFF"/>
        </w:rPr>
        <w:t>Lour.</w:t>
      </w:r>
      <w:r w:rsidRPr="005E6B7C">
        <w:rPr>
          <w:rFonts w:asciiTheme="majorHAnsi" w:eastAsia="Times New Roman" w:hAnsiTheme="majorHAnsi" w:cstheme="majorHAnsi"/>
          <w:i/>
          <w:iCs/>
          <w:color w:val="000000" w:themeColor="text1"/>
          <w:sz w:val="20"/>
          <w:szCs w:val="20"/>
          <w:shd w:val="clear" w:color="auto" w:fill="FFFFFF"/>
        </w:rPr>
        <w:t xml:space="preserve">) </w:t>
      </w:r>
      <w:r w:rsidRPr="005E6B7C">
        <w:rPr>
          <w:rFonts w:asciiTheme="majorHAnsi" w:eastAsia="Times New Roman" w:hAnsiTheme="majorHAnsi" w:cstheme="majorHAnsi"/>
          <w:iCs/>
          <w:color w:val="000000" w:themeColor="text1"/>
          <w:sz w:val="20"/>
          <w:szCs w:val="20"/>
          <w:shd w:val="clear" w:color="auto" w:fill="FFFFFF"/>
        </w:rPr>
        <w:t>Schott – Araceae</w:t>
      </w:r>
      <w:r w:rsidRPr="005E6B7C">
        <w:rPr>
          <w:rFonts w:asciiTheme="majorHAnsi" w:eastAsia="Times New Roman" w:hAnsiTheme="majorHAnsi" w:cstheme="majorHAnsi"/>
          <w:i/>
          <w:iCs/>
          <w:color w:val="000000" w:themeColor="text1"/>
          <w:sz w:val="20"/>
          <w:szCs w:val="20"/>
          <w:shd w:val="clear" w:color="auto" w:fill="FFFFFF"/>
        </w:rPr>
        <w:t>) according to GACP guidelines in Lang Son province</w:t>
      </w:r>
      <w:r w:rsidRPr="005E6B7C">
        <w:rPr>
          <w:rFonts w:asciiTheme="majorHAnsi" w:eastAsia="Times New Roman" w:hAnsiTheme="majorHAnsi" w:cstheme="majorHAnsi"/>
          <w:i/>
          <w:iCs/>
          <w:color w:val="000000" w:themeColor="text1"/>
          <w:sz w:val="20"/>
          <w:szCs w:val="20"/>
        </w:rPr>
        <w:t>”.</w:t>
      </w:r>
    </w:p>
    <w:p w14:paraId="464B1CD3" w14:textId="77777777" w:rsidR="00E538FA" w:rsidRPr="005E6B7C" w:rsidRDefault="00E538FA" w:rsidP="008C0D47">
      <w:pPr>
        <w:tabs>
          <w:tab w:val="left" w:pos="270"/>
          <w:tab w:val="left" w:pos="540"/>
          <w:tab w:val="left" w:pos="9270"/>
        </w:tabs>
        <w:spacing w:line="240" w:lineRule="exact"/>
        <w:ind w:firstLine="284"/>
        <w:jc w:val="both"/>
        <w:rPr>
          <w:rFonts w:asciiTheme="majorHAnsi" w:eastAsia="Times New Roman" w:hAnsiTheme="majorHAnsi" w:cstheme="majorHAnsi"/>
          <w:i/>
          <w:iCs/>
          <w:color w:val="000000" w:themeColor="text1"/>
          <w:sz w:val="20"/>
          <w:szCs w:val="20"/>
        </w:rPr>
        <w:sectPr w:rsidR="00E538FA" w:rsidRPr="005E6B7C" w:rsidSect="00E538FA">
          <w:type w:val="continuous"/>
          <w:pgSz w:w="10773" w:h="15309" w:code="9"/>
          <w:pgMar w:top="907" w:right="851" w:bottom="1418" w:left="851" w:header="397" w:footer="851" w:gutter="0"/>
          <w:cols w:num="2" w:space="284"/>
          <w:docGrid w:linePitch="360"/>
        </w:sectPr>
      </w:pPr>
    </w:p>
    <w:p w14:paraId="4A9DAFE1" w14:textId="77777777" w:rsidR="00FB1BE2" w:rsidRPr="005E6B7C" w:rsidRDefault="00FB1BE2" w:rsidP="008C0D47">
      <w:pPr>
        <w:tabs>
          <w:tab w:val="left" w:pos="270"/>
          <w:tab w:val="left" w:pos="360"/>
          <w:tab w:val="left" w:pos="540"/>
          <w:tab w:val="left" w:pos="9270"/>
        </w:tabs>
        <w:ind w:right="-20"/>
        <w:jc w:val="center"/>
        <w:rPr>
          <w:rFonts w:asciiTheme="majorHAnsi" w:eastAsia="Yu Mincho" w:hAnsiTheme="majorHAnsi" w:cstheme="majorHAnsi"/>
          <w:b/>
          <w:bCs/>
          <w:color w:val="000000" w:themeColor="text1"/>
          <w:sz w:val="18"/>
          <w:szCs w:val="18"/>
          <w:lang w:eastAsia="ja-JP"/>
        </w:rPr>
      </w:pPr>
    </w:p>
    <w:p w14:paraId="1E7133CA" w14:textId="77777777" w:rsidR="00E049CB" w:rsidRPr="005E6B7C" w:rsidRDefault="00E049CB" w:rsidP="008C0D47">
      <w:pPr>
        <w:tabs>
          <w:tab w:val="left" w:pos="270"/>
          <w:tab w:val="left" w:pos="360"/>
          <w:tab w:val="left" w:pos="540"/>
          <w:tab w:val="left" w:pos="9270"/>
        </w:tabs>
        <w:spacing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References</w:t>
      </w:r>
    </w:p>
    <w:p w14:paraId="77DC992E"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Yang J. L., Dao T. T., Hien T. T., Zhao Y. M., Shi Y. P. (2019), Further sesquiterpenoids from the rhizomes of </w:t>
      </w:r>
      <w:r w:rsidRPr="005E6B7C">
        <w:rPr>
          <w:rFonts w:asciiTheme="majorHAnsi" w:eastAsia="Yu Mincho" w:hAnsiTheme="majorHAnsi" w:cstheme="majorHAnsi"/>
          <w:i/>
          <w:noProof/>
          <w:color w:val="000000" w:themeColor="text1"/>
          <w:sz w:val="18"/>
          <w:szCs w:val="18"/>
          <w:lang w:eastAsia="ja-JP"/>
        </w:rPr>
        <w:t xml:space="preserve">Homalomena occulta </w:t>
      </w:r>
      <w:r w:rsidRPr="005E6B7C">
        <w:rPr>
          <w:rFonts w:asciiTheme="majorHAnsi" w:eastAsia="Yu Mincho" w:hAnsiTheme="majorHAnsi" w:cstheme="majorHAnsi"/>
          <w:noProof/>
          <w:color w:val="000000" w:themeColor="text1"/>
          <w:sz w:val="18"/>
          <w:szCs w:val="18"/>
          <w:lang w:eastAsia="ja-JP"/>
        </w:rPr>
        <w:t xml:space="preserve">and their anti-inflammatory activity, </w:t>
      </w:r>
      <w:r w:rsidRPr="005E6B7C">
        <w:rPr>
          <w:rFonts w:asciiTheme="majorHAnsi" w:eastAsia="Yu Mincho" w:hAnsiTheme="majorHAnsi" w:cstheme="majorHAnsi"/>
          <w:i/>
          <w:noProof/>
          <w:color w:val="000000" w:themeColor="text1"/>
          <w:sz w:val="18"/>
          <w:szCs w:val="18"/>
          <w:lang w:eastAsia="ja-JP"/>
        </w:rPr>
        <w:t>Bioorganic and Medicinal Chemistry Letters</w:t>
      </w:r>
      <w:r w:rsidRPr="005E6B7C">
        <w:rPr>
          <w:rFonts w:asciiTheme="majorHAnsi" w:eastAsia="Yu Mincho" w:hAnsiTheme="majorHAnsi" w:cstheme="majorHAnsi"/>
          <w:noProof/>
          <w:color w:val="000000" w:themeColor="text1"/>
          <w:sz w:val="18"/>
          <w:szCs w:val="18"/>
          <w:lang w:eastAsia="ja-JP"/>
        </w:rPr>
        <w:t>, 29(10), 1162-1167.</w:t>
      </w:r>
    </w:p>
    <w:p w14:paraId="64ED80E1"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Zhao F., Sun C., Ma L., Wang Y. N., Wang Y. F., Sun J. F., Hou G. G., Cong W., Li H. J., Zhang X. H. (2016), New sesquiterpenes from the rhizomes of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Fitoterapia</w:t>
      </w:r>
      <w:r w:rsidRPr="005E6B7C">
        <w:rPr>
          <w:rFonts w:asciiTheme="majorHAnsi" w:eastAsia="Yu Mincho" w:hAnsiTheme="majorHAnsi" w:cstheme="majorHAnsi"/>
          <w:noProof/>
          <w:color w:val="000000" w:themeColor="text1"/>
          <w:sz w:val="18"/>
          <w:szCs w:val="18"/>
          <w:lang w:eastAsia="ja-JP"/>
        </w:rPr>
        <w:t>, 109, 113-118.</w:t>
      </w:r>
    </w:p>
    <w:p w14:paraId="06762BA8"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National Institute of Medicinal Materials (2006), </w:t>
      </w:r>
      <w:r w:rsidRPr="005E6B7C">
        <w:rPr>
          <w:rFonts w:asciiTheme="majorHAnsi" w:eastAsia="Yu Mincho" w:hAnsiTheme="majorHAnsi" w:cstheme="majorHAnsi"/>
          <w:i/>
          <w:noProof/>
          <w:color w:val="000000" w:themeColor="text1"/>
          <w:sz w:val="18"/>
          <w:szCs w:val="18"/>
          <w:lang w:eastAsia="ja-JP"/>
        </w:rPr>
        <w:t>The medicinal plants and animals in Vietnam (in Vietnamese), Volume II</w:t>
      </w:r>
      <w:r w:rsidRPr="005E6B7C">
        <w:rPr>
          <w:rFonts w:asciiTheme="majorHAnsi" w:eastAsia="Yu Mincho" w:hAnsiTheme="majorHAnsi" w:cstheme="majorHAnsi"/>
          <w:noProof/>
          <w:color w:val="000000" w:themeColor="text1"/>
          <w:sz w:val="18"/>
          <w:szCs w:val="18"/>
          <w:lang w:eastAsia="ja-JP"/>
        </w:rPr>
        <w:t>, Science and Technology Publishing House, Ho Chi Minh City, 868-871.</w:t>
      </w:r>
    </w:p>
    <w:p w14:paraId="7E757F6E"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Ye J., Yin P., Xiao M. T. (2017), New aromatic compounds from the rhizomes of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Phytochemistry Letters</w:t>
      </w:r>
      <w:r w:rsidRPr="005E6B7C">
        <w:rPr>
          <w:rFonts w:asciiTheme="majorHAnsi" w:eastAsia="Yu Mincho" w:hAnsiTheme="majorHAnsi" w:cstheme="majorHAnsi"/>
          <w:noProof/>
          <w:color w:val="000000" w:themeColor="text1"/>
          <w:sz w:val="18"/>
          <w:szCs w:val="18"/>
          <w:lang w:eastAsia="ja-JP"/>
        </w:rPr>
        <w:t>, 21, 57-60.</w:t>
      </w:r>
    </w:p>
    <w:p w14:paraId="7CA69006"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hint="eastAsia"/>
          <w:noProof/>
          <w:color w:val="000000" w:themeColor="text1"/>
          <w:sz w:val="18"/>
          <w:szCs w:val="18"/>
          <w:lang w:eastAsia="ja-JP"/>
        </w:rPr>
        <w:t>Tian X. Y., Zhao Y., Yu S. S., Fang W. S. (2010), BACE1 (beta</w:t>
      </w:r>
      <w:r w:rsidRPr="005E6B7C">
        <w:rPr>
          <w:rFonts w:asciiTheme="majorHAnsi" w:eastAsia="Yu Mincho" w:hAnsiTheme="majorHAnsi" w:cstheme="majorHAnsi" w:hint="eastAsia"/>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 xml:space="preserve">secretase) inhibitory phenolic acids and a novel sesquiterpenoid from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Chemistry &amp; Biodiversity</w:t>
      </w:r>
      <w:r w:rsidRPr="005E6B7C">
        <w:rPr>
          <w:rFonts w:asciiTheme="majorHAnsi" w:eastAsia="Yu Mincho" w:hAnsiTheme="majorHAnsi" w:cstheme="majorHAnsi"/>
          <w:noProof/>
          <w:color w:val="000000" w:themeColor="text1"/>
          <w:sz w:val="18"/>
          <w:szCs w:val="18"/>
          <w:lang w:eastAsia="ja-JP"/>
        </w:rPr>
        <w:t>, 7(4), 984-992.</w:t>
      </w:r>
    </w:p>
    <w:p w14:paraId="1CF03A22"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Wang Y. F., Wang X. Y., Lai G. F., Lu C. H., Luo S. D. (2007), Three new sesquiterpenoids from the aerial parts of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Chemistry &amp; Biodiversity</w:t>
      </w:r>
      <w:r w:rsidRPr="005E6B7C">
        <w:rPr>
          <w:rFonts w:asciiTheme="majorHAnsi" w:eastAsia="Yu Mincho" w:hAnsiTheme="majorHAnsi" w:cstheme="majorHAnsi"/>
          <w:noProof/>
          <w:color w:val="000000" w:themeColor="text1"/>
          <w:sz w:val="18"/>
          <w:szCs w:val="18"/>
          <w:lang w:eastAsia="ja-JP"/>
        </w:rPr>
        <w:t>, 4(5), 925-931.</w:t>
      </w:r>
    </w:p>
    <w:p w14:paraId="46F2D8E2"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Aprotosoaie A. C., Hăncianu M., Costache I. I., Miron A. (2014), Linalool: a review on a key odorant molecule with valuable biological properties, </w:t>
      </w:r>
      <w:r w:rsidRPr="005E6B7C">
        <w:rPr>
          <w:rFonts w:asciiTheme="majorHAnsi" w:eastAsia="Yu Mincho" w:hAnsiTheme="majorHAnsi" w:cstheme="majorHAnsi"/>
          <w:i/>
          <w:noProof/>
          <w:color w:val="000000" w:themeColor="text1"/>
          <w:sz w:val="18"/>
          <w:szCs w:val="18"/>
          <w:lang w:eastAsia="ja-JP"/>
        </w:rPr>
        <w:t>Flavour and Fragrance Journal</w:t>
      </w:r>
      <w:r w:rsidRPr="005E6B7C">
        <w:rPr>
          <w:rFonts w:asciiTheme="majorHAnsi" w:eastAsia="Yu Mincho" w:hAnsiTheme="majorHAnsi" w:cstheme="majorHAnsi"/>
          <w:noProof/>
          <w:color w:val="000000" w:themeColor="text1"/>
          <w:sz w:val="18"/>
          <w:szCs w:val="18"/>
          <w:lang w:eastAsia="ja-JP"/>
        </w:rPr>
        <w:t>, 29(4), 193-219.</w:t>
      </w:r>
    </w:p>
    <w:p w14:paraId="6D772838"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National Institute of Medicinal Materials (2006), </w:t>
      </w:r>
      <w:r w:rsidRPr="005E6B7C">
        <w:rPr>
          <w:rFonts w:asciiTheme="majorHAnsi" w:eastAsia="Yu Mincho" w:hAnsiTheme="majorHAnsi" w:cstheme="majorHAnsi"/>
          <w:i/>
          <w:noProof/>
          <w:color w:val="000000" w:themeColor="text1"/>
          <w:sz w:val="18"/>
          <w:szCs w:val="18"/>
          <w:lang w:eastAsia="ja-JP"/>
        </w:rPr>
        <w:t>Checklist of Medicinal Plants in Vietnam (in Vietnamese)</w:t>
      </w:r>
      <w:r w:rsidRPr="005E6B7C">
        <w:rPr>
          <w:rFonts w:asciiTheme="majorHAnsi" w:eastAsia="Yu Mincho" w:hAnsiTheme="majorHAnsi" w:cstheme="majorHAnsi"/>
          <w:noProof/>
          <w:color w:val="000000" w:themeColor="text1"/>
          <w:sz w:val="18"/>
          <w:szCs w:val="18"/>
          <w:lang w:eastAsia="ja-JP"/>
        </w:rPr>
        <w:t>, Science and Technology Publishing House, Hanoi, 899.</w:t>
      </w:r>
    </w:p>
    <w:p w14:paraId="0F4EEF8C"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Ministry of Health (2017), </w:t>
      </w:r>
      <w:r w:rsidRPr="005E6B7C">
        <w:rPr>
          <w:rFonts w:asciiTheme="majorHAnsi" w:eastAsia="Yu Mincho" w:hAnsiTheme="majorHAnsi" w:cstheme="majorHAnsi"/>
          <w:i/>
          <w:noProof/>
          <w:color w:val="000000" w:themeColor="text1"/>
          <w:sz w:val="18"/>
          <w:szCs w:val="18"/>
          <w:lang w:eastAsia="ja-JP"/>
        </w:rPr>
        <w:t>Vietnamese Pharmacopoeia V, Pharbitidis Semen (in Vietnamese)</w:t>
      </w:r>
      <w:r w:rsidRPr="005E6B7C">
        <w:rPr>
          <w:rFonts w:asciiTheme="majorHAnsi" w:eastAsia="Yu Mincho" w:hAnsiTheme="majorHAnsi" w:cstheme="majorHAnsi"/>
          <w:noProof/>
          <w:color w:val="000000" w:themeColor="text1"/>
          <w:sz w:val="18"/>
          <w:szCs w:val="18"/>
          <w:lang w:eastAsia="ja-JP"/>
        </w:rPr>
        <w:t>, Medical Publishing House, Hanoi, 1340-1341.</w:t>
      </w:r>
    </w:p>
    <w:p w14:paraId="6248836E" w14:textId="7CF794C9"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Lam B. T., Nguyen N. M., Nguyen V. T., Le V. M., Le D. T., Ly H. T. (2020), Chemical composition, antioxidant and antibacterial activities of the leaves of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(Lour.) Schott (Araceae) collected from Con Dao (in </w:t>
      </w:r>
      <w:r w:rsidR="007A051F" w:rsidRPr="005E6B7C">
        <w:rPr>
          <w:rFonts w:asciiTheme="majorHAnsi" w:eastAsia="Yu Mincho" w:hAnsiTheme="majorHAnsi" w:cstheme="majorHAnsi"/>
          <w:noProof/>
          <w:color w:val="000000" w:themeColor="text1"/>
          <w:sz w:val="18"/>
          <w:szCs w:val="18"/>
          <w:lang w:eastAsia="ja-JP"/>
        </w:rPr>
        <w:t>V</w:t>
      </w:r>
      <w:r w:rsidRPr="005E6B7C">
        <w:rPr>
          <w:rFonts w:asciiTheme="majorHAnsi" w:eastAsia="Yu Mincho" w:hAnsiTheme="majorHAnsi" w:cstheme="majorHAnsi"/>
          <w:noProof/>
          <w:color w:val="000000" w:themeColor="text1"/>
          <w:sz w:val="18"/>
          <w:szCs w:val="18"/>
          <w:lang w:eastAsia="ja-JP"/>
        </w:rPr>
        <w:t xml:space="preserve">ietnamese), </w:t>
      </w:r>
      <w:r w:rsidRPr="005E6B7C">
        <w:rPr>
          <w:rFonts w:asciiTheme="majorHAnsi" w:eastAsia="Yu Mincho" w:hAnsiTheme="majorHAnsi" w:cstheme="majorHAnsi"/>
          <w:i/>
          <w:noProof/>
          <w:color w:val="000000" w:themeColor="text1"/>
          <w:sz w:val="18"/>
          <w:szCs w:val="18"/>
          <w:lang w:eastAsia="ja-JP"/>
        </w:rPr>
        <w:t>Ho Chi Minh City Journal of Medicine</w:t>
      </w:r>
      <w:r w:rsidRPr="005E6B7C">
        <w:rPr>
          <w:rFonts w:asciiTheme="majorHAnsi" w:eastAsia="Yu Mincho" w:hAnsiTheme="majorHAnsi" w:cstheme="majorHAnsi"/>
          <w:noProof/>
          <w:color w:val="000000" w:themeColor="text1"/>
          <w:sz w:val="18"/>
          <w:szCs w:val="18"/>
          <w:lang w:eastAsia="ja-JP"/>
        </w:rPr>
        <w:t>, 24(6), 18-25.</w:t>
      </w:r>
    </w:p>
    <w:p w14:paraId="12E70E4C"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Rusyda H., Sukardi S., Dewanti B. S. D. (2024), Isolation of linalool compounds of nampu rhizome essential oil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by vacuum fractionation distillation method, </w:t>
      </w:r>
      <w:r w:rsidRPr="005E6B7C">
        <w:rPr>
          <w:rFonts w:asciiTheme="majorHAnsi" w:eastAsia="Yu Mincho" w:hAnsiTheme="majorHAnsi" w:cstheme="majorHAnsi"/>
          <w:i/>
          <w:noProof/>
          <w:color w:val="000000" w:themeColor="text1"/>
          <w:sz w:val="18"/>
          <w:szCs w:val="18"/>
          <w:lang w:eastAsia="ja-JP"/>
        </w:rPr>
        <w:t>Advances in Food Science, Sustainable Agriculture and Agroindustrial Engineering (AFSSAAE)</w:t>
      </w:r>
      <w:r w:rsidRPr="005E6B7C">
        <w:rPr>
          <w:rFonts w:asciiTheme="majorHAnsi" w:eastAsia="Yu Mincho" w:hAnsiTheme="majorHAnsi" w:cstheme="majorHAnsi"/>
          <w:noProof/>
          <w:color w:val="000000" w:themeColor="text1"/>
          <w:sz w:val="18"/>
          <w:szCs w:val="18"/>
          <w:lang w:eastAsia="ja-JP"/>
        </w:rPr>
        <w:t>, 7(3), 235-242.</w:t>
      </w:r>
    </w:p>
    <w:p w14:paraId="451C2C56"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Zúñiga B., Guevara-Fefer P., Herrera J., Contreras J. L., Velasco L., Pérez F. J., Esquivel B. (2005), Chemical composition and anti-inflammatory activity of the volatile fractions from the bark of eight Mexican </w:t>
      </w:r>
      <w:r w:rsidRPr="005E6B7C">
        <w:rPr>
          <w:rFonts w:asciiTheme="majorHAnsi" w:eastAsia="Yu Mincho" w:hAnsiTheme="majorHAnsi" w:cstheme="majorHAnsi"/>
          <w:i/>
          <w:noProof/>
          <w:color w:val="000000" w:themeColor="text1"/>
          <w:sz w:val="18"/>
          <w:szCs w:val="18"/>
          <w:lang w:eastAsia="ja-JP"/>
        </w:rPr>
        <w:t>Bursera</w:t>
      </w:r>
      <w:r w:rsidRPr="005E6B7C">
        <w:rPr>
          <w:rFonts w:asciiTheme="majorHAnsi" w:eastAsia="Yu Mincho" w:hAnsiTheme="majorHAnsi" w:cstheme="majorHAnsi"/>
          <w:noProof/>
          <w:color w:val="000000" w:themeColor="text1"/>
          <w:sz w:val="18"/>
          <w:szCs w:val="18"/>
          <w:lang w:eastAsia="ja-JP"/>
        </w:rPr>
        <w:t xml:space="preserve"> species, </w:t>
      </w:r>
      <w:r w:rsidRPr="005E6B7C">
        <w:rPr>
          <w:rFonts w:asciiTheme="majorHAnsi" w:eastAsia="Yu Mincho" w:hAnsiTheme="majorHAnsi" w:cstheme="majorHAnsi"/>
          <w:i/>
          <w:noProof/>
          <w:color w:val="000000" w:themeColor="text1"/>
          <w:sz w:val="18"/>
          <w:szCs w:val="18"/>
          <w:lang w:eastAsia="ja-JP"/>
        </w:rPr>
        <w:t>Planta Medica</w:t>
      </w:r>
      <w:r w:rsidRPr="005E6B7C">
        <w:rPr>
          <w:rFonts w:asciiTheme="majorHAnsi" w:eastAsia="Yu Mincho" w:hAnsiTheme="majorHAnsi" w:cstheme="majorHAnsi"/>
          <w:noProof/>
          <w:color w:val="000000" w:themeColor="text1"/>
          <w:sz w:val="18"/>
          <w:szCs w:val="18"/>
          <w:lang w:eastAsia="ja-JP"/>
        </w:rPr>
        <w:t>, 71(09), 825-828.</w:t>
      </w:r>
    </w:p>
    <w:p w14:paraId="64DDB7F5"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Astani A., Reichling J., Schnitzler P. (2010), Comparative study on the antiviral activity of selected monoterpenes derived from essential oils, </w:t>
      </w:r>
      <w:r w:rsidRPr="005E6B7C">
        <w:rPr>
          <w:rFonts w:asciiTheme="majorHAnsi" w:eastAsia="Yu Mincho" w:hAnsiTheme="majorHAnsi" w:cstheme="majorHAnsi"/>
          <w:i/>
          <w:noProof/>
          <w:color w:val="000000" w:themeColor="text1"/>
          <w:sz w:val="18"/>
          <w:szCs w:val="18"/>
          <w:lang w:eastAsia="ja-JP"/>
        </w:rPr>
        <w:t>Phytotherapy Research: An International Journal Devoted to Pharmacological and Toxicological Evaluation of Natural Product Derivatives</w:t>
      </w:r>
      <w:r w:rsidRPr="005E6B7C">
        <w:rPr>
          <w:rFonts w:asciiTheme="majorHAnsi" w:eastAsia="Yu Mincho" w:hAnsiTheme="majorHAnsi" w:cstheme="majorHAnsi"/>
          <w:noProof/>
          <w:color w:val="000000" w:themeColor="text1"/>
          <w:sz w:val="18"/>
          <w:szCs w:val="18"/>
          <w:lang w:eastAsia="ja-JP"/>
        </w:rPr>
        <w:t>, 24(5), 673-679.</w:t>
      </w:r>
    </w:p>
    <w:p w14:paraId="28E70E3E"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end"/>
      </w: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ab/>
        <w:t xml:space="preserve">Lưu Đàm Ngọc Anh, Nguyễn Trung Minh, Trần Hương Liên, Hoàng Thùy Linh, Bùi Văn Hướng (2025),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(Lour.) Schott – Tri thức thực vật dân tộc học và hoạt tính sinh học chủ yếu từ tinh dầu, Tạp chí Khoa học và Công nghệ, Trường Đại học Hùng Vương, Vol. 11, No. 2 (2025), 104 – 112. </w:t>
      </w:r>
    </w:p>
    <w:p w14:paraId="431A2B01"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15. </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Dinh Thi Hai Huong, Tran Thi Thanh Tu, Duong Thi Mong Ngoc, Phan Phuoc Hien, Tran Cong Luan (2012), Comparison of anatomical characteristics and chemical constituents of the rhizome samples of </w:t>
      </w:r>
      <w:r w:rsidRPr="005E6B7C">
        <w:rPr>
          <w:rFonts w:asciiTheme="majorHAnsi" w:eastAsia="Yu Mincho" w:hAnsiTheme="majorHAnsi" w:cstheme="majorHAnsi"/>
          <w:i/>
          <w:noProof/>
          <w:color w:val="000000" w:themeColor="text1"/>
          <w:sz w:val="18"/>
          <w:szCs w:val="18"/>
          <w:lang w:eastAsia="ja-JP"/>
        </w:rPr>
        <w:t>Homalomena sp.</w:t>
      </w:r>
      <w:r w:rsidRPr="005E6B7C">
        <w:rPr>
          <w:rFonts w:asciiTheme="majorHAnsi" w:eastAsia="Yu Mincho" w:hAnsiTheme="majorHAnsi" w:cstheme="majorHAnsi"/>
          <w:noProof/>
          <w:color w:val="000000" w:themeColor="text1"/>
          <w:sz w:val="18"/>
          <w:szCs w:val="18"/>
          <w:lang w:eastAsia="ja-JP"/>
        </w:rPr>
        <w:t xml:space="preserve"> collected at Con Dao and the rhizome of </w:t>
      </w:r>
      <w:r w:rsidRPr="005E6B7C">
        <w:rPr>
          <w:rFonts w:asciiTheme="majorHAnsi" w:eastAsia="Yu Mincho" w:hAnsiTheme="majorHAnsi" w:cstheme="majorHAnsi"/>
          <w:i/>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xml:space="preserve"> (Lour.) Schott, </w:t>
      </w:r>
      <w:r w:rsidRPr="005E6B7C">
        <w:rPr>
          <w:rFonts w:asciiTheme="majorHAnsi" w:eastAsia="Yu Mincho" w:hAnsiTheme="majorHAnsi" w:cstheme="majorHAnsi"/>
          <w:i/>
          <w:noProof/>
          <w:color w:val="000000" w:themeColor="text1"/>
          <w:sz w:val="18"/>
          <w:szCs w:val="18"/>
          <w:lang w:eastAsia="ja-JP"/>
        </w:rPr>
        <w:t>Ho Chi Minh City Jounal of Medicine</w:t>
      </w:r>
      <w:r w:rsidRPr="005E6B7C">
        <w:rPr>
          <w:rFonts w:asciiTheme="majorHAnsi" w:eastAsia="Yu Mincho" w:hAnsiTheme="majorHAnsi" w:cstheme="majorHAnsi"/>
          <w:noProof/>
          <w:color w:val="000000" w:themeColor="text1"/>
          <w:sz w:val="18"/>
          <w:szCs w:val="18"/>
          <w:lang w:eastAsia="ja-JP"/>
        </w:rPr>
        <w:t>, 16(1), 217.</w:t>
      </w:r>
    </w:p>
    <w:p w14:paraId="5DF08DF8"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Le Thuy Trang, Le Lam Son, Nguyen Van Dung, Ho Xuan Anh Vu, Nguyen Quang Man, Tran Thanh Minh, Tran Thi Van Thi, Nguyen Viet Thang, Vo Thi Khanh Ly, Nguyen Minh Nhung, Le Trung Hieu (2024),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antioxidant activity and </w:t>
      </w:r>
      <w:r w:rsidRPr="005E6B7C">
        <w:rPr>
          <w:rFonts w:asciiTheme="majorHAnsi" w:eastAsia="Yu Mincho" w:hAnsiTheme="majorHAnsi" w:cstheme="majorHAnsi"/>
          <w:noProof/>
          <w:color w:val="000000" w:themeColor="text1"/>
          <w:sz w:val="18"/>
          <w:szCs w:val="18"/>
          <w:lang w:eastAsia="ja-JP"/>
        </w:rPr>
        <w:lastRenderedPageBreak/>
        <w:t xml:space="preserve">content of bioactive compounds from </w:t>
      </w:r>
      <w:r w:rsidRPr="005E6B7C">
        <w:rPr>
          <w:rFonts w:asciiTheme="majorHAnsi" w:eastAsia="Yu Mincho" w:hAnsiTheme="majorHAnsi" w:cstheme="majorHAnsi"/>
          <w:i/>
          <w:iCs/>
          <w:noProof/>
          <w:color w:val="000000" w:themeColor="text1"/>
          <w:sz w:val="18"/>
          <w:szCs w:val="18"/>
          <w:lang w:eastAsia="ja-JP"/>
        </w:rPr>
        <w:t>Homalomena occulta</w:t>
      </w:r>
      <w:r w:rsidRPr="005E6B7C">
        <w:rPr>
          <w:rFonts w:asciiTheme="majorHAnsi" w:eastAsia="Yu Mincho" w:hAnsiTheme="majorHAnsi" w:cstheme="majorHAnsi"/>
          <w:noProof/>
          <w:color w:val="000000" w:themeColor="text1"/>
          <w:sz w:val="18"/>
          <w:szCs w:val="18"/>
          <w:lang w:eastAsia="ja-JP"/>
        </w:rPr>
        <w:t>. hueuni-jns [Internet]. 2024Jun.27 [cited 2026Mar.19];133(1B):79-87.</w:t>
      </w:r>
    </w:p>
    <w:p w14:paraId="70833D4E" w14:textId="5B48A9A6" w:rsidR="00C644FB" w:rsidRPr="005E6B7C" w:rsidRDefault="00C644FB" w:rsidP="008C0D47">
      <w:pPr>
        <w:spacing w:after="200" w:line="276" w:lineRule="auto"/>
        <w:rPr>
          <w:rFonts w:asciiTheme="majorHAnsi" w:eastAsia="Yu Mincho" w:hAnsiTheme="majorHAnsi" w:cstheme="majorHAnsi"/>
          <w:b/>
          <w:bCs/>
          <w:i/>
          <w:color w:val="000000" w:themeColor="text1"/>
          <w:sz w:val="26"/>
          <w:szCs w:val="26"/>
          <w:lang w:eastAsia="ja-JP"/>
        </w:rPr>
      </w:pPr>
    </w:p>
    <w:p w14:paraId="75D3CDD9"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t>Journal of Medicinal Materials, 2026, Vol. 31, No. 1+2 (pp</w:t>
      </w:r>
      <w:r w:rsidR="005C2A66" w:rsidRPr="005E6B7C">
        <w:rPr>
          <w:rFonts w:asciiTheme="majorHAnsi" w:eastAsia="Yu Mincho" w:hAnsiTheme="majorHAnsi" w:cstheme="majorHAnsi"/>
          <w:b/>
          <w:bCs/>
          <w:i/>
          <w:color w:val="000000" w:themeColor="text1"/>
          <w:sz w:val="26"/>
          <w:szCs w:val="26"/>
          <w:lang w:eastAsia="ja-JP"/>
        </w:rPr>
        <w:t>. 80</w:t>
      </w:r>
      <w:r w:rsidRPr="005E6B7C">
        <w:rPr>
          <w:rFonts w:asciiTheme="majorHAnsi" w:eastAsia="Yu Mincho" w:hAnsiTheme="majorHAnsi" w:cstheme="majorHAnsi"/>
          <w:b/>
          <w:bCs/>
          <w:i/>
          <w:color w:val="000000" w:themeColor="text1"/>
          <w:sz w:val="26"/>
          <w:szCs w:val="26"/>
          <w:lang w:eastAsia="ja-JP"/>
        </w:rPr>
        <w:t xml:space="preserve"> </w:t>
      </w:r>
      <w:r w:rsidR="005C2A66" w:rsidRPr="005E6B7C">
        <w:rPr>
          <w:rFonts w:asciiTheme="majorHAnsi" w:eastAsia="Yu Mincho" w:hAnsiTheme="majorHAnsi" w:cstheme="majorHAnsi"/>
          <w:b/>
          <w:bCs/>
          <w:i/>
          <w:color w:val="000000" w:themeColor="text1"/>
          <w:sz w:val="26"/>
          <w:szCs w:val="26"/>
          <w:lang w:eastAsia="ja-JP"/>
        </w:rPr>
        <w:t>- 87</w:t>
      </w:r>
      <w:r w:rsidRPr="005E6B7C">
        <w:rPr>
          <w:rFonts w:asciiTheme="majorHAnsi" w:eastAsia="Yu Mincho" w:hAnsiTheme="majorHAnsi" w:cstheme="majorHAnsi"/>
          <w:b/>
          <w:bCs/>
          <w:i/>
          <w:color w:val="000000" w:themeColor="text1"/>
          <w:sz w:val="26"/>
          <w:szCs w:val="26"/>
          <w:lang w:eastAsia="ja-JP"/>
        </w:rPr>
        <w:t>)</w:t>
      </w:r>
    </w:p>
    <w:p w14:paraId="598CE90E" w14:textId="77777777" w:rsidR="00367819" w:rsidRPr="005E6B7C" w:rsidRDefault="00367819" w:rsidP="008C0D47">
      <w:pPr>
        <w:tabs>
          <w:tab w:val="left" w:pos="270"/>
          <w:tab w:val="left" w:pos="540"/>
          <w:tab w:val="left" w:pos="9270"/>
        </w:tabs>
        <w:ind w:right="-20"/>
        <w:jc w:val="both"/>
        <w:rPr>
          <w:rFonts w:asciiTheme="majorHAnsi" w:eastAsia="MS Mincho" w:hAnsiTheme="majorHAnsi" w:cstheme="majorHAnsi"/>
          <w:b/>
          <w:color w:val="000000" w:themeColor="text1"/>
          <w:sz w:val="22"/>
          <w:szCs w:val="22"/>
          <w:lang w:eastAsia="ja-JP"/>
        </w:rPr>
      </w:pPr>
    </w:p>
    <w:p w14:paraId="0DD5953B" w14:textId="77777777" w:rsidR="005D308C" w:rsidRPr="005E6B7C" w:rsidRDefault="00E049CB" w:rsidP="008C0D47">
      <w:pPr>
        <w:ind w:right="-20"/>
        <w:jc w:val="center"/>
        <w:rPr>
          <w:rFonts w:asciiTheme="majorHAnsi" w:eastAsia="MS Mincho" w:hAnsiTheme="majorHAnsi" w:cstheme="majorHAnsi"/>
          <w:b/>
          <w:color w:val="000000" w:themeColor="text1"/>
          <w:sz w:val="26"/>
          <w:szCs w:val="26"/>
          <w:lang w:eastAsia="ja-JP"/>
        </w:rPr>
      </w:pPr>
      <w:r w:rsidRPr="005E6B7C">
        <w:rPr>
          <w:rFonts w:asciiTheme="majorHAnsi" w:eastAsia="MS Mincho" w:hAnsiTheme="majorHAnsi" w:cstheme="majorHAnsi"/>
          <w:b/>
          <w:color w:val="000000" w:themeColor="text1"/>
          <w:sz w:val="26"/>
          <w:szCs w:val="26"/>
          <w:lang w:eastAsia="ja-JP"/>
        </w:rPr>
        <w:t xml:space="preserve">ESTABLISHMENT OF AN IN-HOUSE STANDARD </w:t>
      </w:r>
    </w:p>
    <w:p w14:paraId="55CAB56D" w14:textId="77777777" w:rsidR="00E049CB" w:rsidRPr="005E6B7C" w:rsidRDefault="00E049CB" w:rsidP="008C0D47">
      <w:pPr>
        <w:ind w:right="-20"/>
        <w:jc w:val="center"/>
        <w:rPr>
          <w:rFonts w:asciiTheme="majorHAnsi" w:eastAsia="MS Mincho" w:hAnsiTheme="majorHAnsi" w:cstheme="majorHAnsi"/>
          <w:b/>
          <w:i/>
          <w:color w:val="000000" w:themeColor="text1"/>
          <w:sz w:val="26"/>
          <w:szCs w:val="26"/>
          <w:lang w:eastAsia="ja-JP"/>
        </w:rPr>
      </w:pPr>
      <w:r w:rsidRPr="005E6B7C">
        <w:rPr>
          <w:rFonts w:asciiTheme="majorHAnsi" w:eastAsia="MS Mincho" w:hAnsiTheme="majorHAnsi" w:cstheme="majorHAnsi"/>
          <w:b/>
          <w:color w:val="000000" w:themeColor="text1"/>
          <w:sz w:val="26"/>
          <w:szCs w:val="26"/>
          <w:lang w:eastAsia="ja-JP"/>
        </w:rPr>
        <w:t xml:space="preserve">FOR </w:t>
      </w:r>
      <w:r w:rsidRPr="005E6B7C">
        <w:rPr>
          <w:rFonts w:asciiTheme="majorHAnsi" w:eastAsia="MS Mincho" w:hAnsiTheme="majorHAnsi" w:cstheme="majorHAnsi"/>
          <w:b/>
          <w:i/>
          <w:color w:val="000000" w:themeColor="text1"/>
          <w:sz w:val="26"/>
          <w:szCs w:val="26"/>
          <w:lang w:eastAsia="ja-JP"/>
        </w:rPr>
        <w:t>PRUNELLAE SPICA</w:t>
      </w:r>
    </w:p>
    <w:p w14:paraId="5C9EEAE4" w14:textId="77777777" w:rsidR="00E049CB" w:rsidRPr="005E6B7C" w:rsidRDefault="00E049CB" w:rsidP="008C0D47">
      <w:pPr>
        <w:ind w:right="-20"/>
        <w:jc w:val="center"/>
        <w:outlineLvl w:val="0"/>
        <w:rPr>
          <w:rFonts w:asciiTheme="majorHAnsi" w:eastAsia="Times New Roman" w:hAnsiTheme="majorHAnsi" w:cstheme="majorHAnsi"/>
          <w:b/>
          <w:bCs/>
          <w:i/>
          <w:color w:val="000000" w:themeColor="text1"/>
          <w:sz w:val="22"/>
          <w:szCs w:val="22"/>
          <w:vertAlign w:val="superscript"/>
          <w:lang w:eastAsia="ja-JP"/>
        </w:rPr>
      </w:pPr>
      <w:r w:rsidRPr="005E6B7C">
        <w:rPr>
          <w:rFonts w:asciiTheme="majorHAnsi" w:eastAsia="Times New Roman" w:hAnsiTheme="majorHAnsi" w:cstheme="majorHAnsi"/>
          <w:b/>
          <w:bCs/>
          <w:i/>
          <w:color w:val="000000" w:themeColor="text1"/>
          <w:sz w:val="22"/>
          <w:szCs w:val="22"/>
          <w:lang w:eastAsia="ja-JP"/>
        </w:rPr>
        <w:t>Tran Huyen Trang</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Pham Thi Hien</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Nguyen Thi Ha Ly</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Phan Van Truong</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Vu Thi Diep</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Nguyen Tra My</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Nguyen Thi Hang</w:t>
      </w:r>
      <w:r w:rsidRPr="005E6B7C">
        <w:rPr>
          <w:rFonts w:asciiTheme="majorHAnsi" w:eastAsia="Times New Roman" w:hAnsiTheme="majorHAnsi" w:cstheme="majorHAnsi"/>
          <w:b/>
          <w:bCs/>
          <w:i/>
          <w:color w:val="000000" w:themeColor="text1"/>
          <w:sz w:val="22"/>
          <w:szCs w:val="22"/>
          <w:vertAlign w:val="superscript"/>
          <w:lang w:eastAsia="ja-JP"/>
        </w:rPr>
        <w:t>1</w:t>
      </w:r>
      <w:r w:rsidRPr="005E6B7C">
        <w:rPr>
          <w:rFonts w:asciiTheme="majorHAnsi" w:eastAsia="Times New Roman" w:hAnsiTheme="majorHAnsi" w:cstheme="majorHAnsi"/>
          <w:b/>
          <w:bCs/>
          <w:i/>
          <w:color w:val="000000" w:themeColor="text1"/>
          <w:sz w:val="22"/>
          <w:szCs w:val="22"/>
          <w:lang w:eastAsia="ja-JP"/>
        </w:rPr>
        <w:t>, Nguyen Duong Hong Anh</w:t>
      </w:r>
      <w:r w:rsidRPr="005E6B7C">
        <w:rPr>
          <w:rFonts w:asciiTheme="majorHAnsi" w:eastAsia="Times New Roman" w:hAnsiTheme="majorHAnsi" w:cstheme="majorHAnsi"/>
          <w:b/>
          <w:bCs/>
          <w:i/>
          <w:color w:val="000000" w:themeColor="text1"/>
          <w:sz w:val="22"/>
          <w:szCs w:val="22"/>
          <w:vertAlign w:val="superscript"/>
          <w:lang w:eastAsia="ja-JP"/>
        </w:rPr>
        <w:t>2</w:t>
      </w:r>
      <w:r w:rsidRPr="005E6B7C">
        <w:rPr>
          <w:rFonts w:asciiTheme="majorHAnsi" w:eastAsia="Times New Roman" w:hAnsiTheme="majorHAnsi" w:cstheme="majorHAnsi"/>
          <w:b/>
          <w:bCs/>
          <w:i/>
          <w:color w:val="000000" w:themeColor="text1"/>
          <w:sz w:val="22"/>
          <w:szCs w:val="22"/>
          <w:lang w:eastAsia="ja-JP"/>
        </w:rPr>
        <w:t>, Do Thi Ha</w:t>
      </w:r>
      <w:r w:rsidRPr="005E6B7C">
        <w:rPr>
          <w:rFonts w:asciiTheme="majorHAnsi" w:eastAsia="Times New Roman" w:hAnsiTheme="majorHAnsi" w:cstheme="majorHAnsi"/>
          <w:b/>
          <w:bCs/>
          <w:i/>
          <w:color w:val="000000" w:themeColor="text1"/>
          <w:sz w:val="22"/>
          <w:szCs w:val="22"/>
          <w:vertAlign w:val="superscript"/>
          <w:lang w:eastAsia="ja-JP"/>
        </w:rPr>
        <w:t>1</w:t>
      </w:r>
    </w:p>
    <w:p w14:paraId="57A613EE" w14:textId="46655C74" w:rsidR="00E049CB" w:rsidRPr="005E6B7C" w:rsidRDefault="00E049CB" w:rsidP="008C0D47">
      <w:pPr>
        <w:ind w:right="-20"/>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1</w:t>
      </w:r>
      <w:r w:rsidR="00517F81" w:rsidRPr="005E6B7C">
        <w:rPr>
          <w:rFonts w:asciiTheme="majorHAnsi" w:eastAsia="Yu Mincho" w:hAnsiTheme="majorHAnsi" w:cstheme="majorHAnsi"/>
          <w:i/>
          <w:iCs/>
          <w:color w:val="000000" w:themeColor="text1"/>
          <w:sz w:val="22"/>
          <w:szCs w:val="22"/>
          <w:lang w:eastAsia="ja-JP"/>
        </w:rPr>
        <w:t>National Institute of Medic</w:t>
      </w:r>
      <w:r w:rsidR="00FA461B" w:rsidRPr="005E6B7C">
        <w:rPr>
          <w:rFonts w:asciiTheme="majorHAnsi" w:eastAsia="Yu Mincho" w:hAnsiTheme="majorHAnsi" w:cstheme="majorHAnsi"/>
          <w:i/>
          <w:iCs/>
          <w:color w:val="000000" w:themeColor="text1"/>
          <w:sz w:val="22"/>
          <w:szCs w:val="22"/>
          <w:lang w:eastAsia="ja-JP"/>
        </w:rPr>
        <w:t>inal</w:t>
      </w:r>
      <w:r w:rsidR="00517F81" w:rsidRPr="005E6B7C">
        <w:rPr>
          <w:rFonts w:asciiTheme="majorHAnsi" w:eastAsia="Yu Mincho" w:hAnsiTheme="majorHAnsi" w:cstheme="majorHAnsi"/>
          <w:i/>
          <w:iCs/>
          <w:color w:val="000000" w:themeColor="text1"/>
          <w:sz w:val="22"/>
          <w:szCs w:val="22"/>
          <w:lang w:eastAsia="ja-JP"/>
        </w:rPr>
        <w:t xml:space="preserve"> Materials (NIMM), Hanoi 11018, Vietnam;</w:t>
      </w:r>
    </w:p>
    <w:p w14:paraId="195768E8" w14:textId="77777777" w:rsidR="00E049CB" w:rsidRPr="005E6B7C" w:rsidRDefault="00E049CB" w:rsidP="008C0D47">
      <w:pPr>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Faculty of Pharmacy, Dai Nam University, Hanoi, Vietnam</w:t>
      </w:r>
    </w:p>
    <w:p w14:paraId="49603EC8" w14:textId="77777777" w:rsidR="00E049CB" w:rsidRPr="005E6B7C" w:rsidRDefault="00E049CB" w:rsidP="008C0D47">
      <w:pPr>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tranhuyentrangnew@gmail.com</w:t>
      </w:r>
    </w:p>
    <w:p w14:paraId="0C5568D5" w14:textId="77777777" w:rsidR="00AD16CC" w:rsidRPr="005E6B7C" w:rsidRDefault="00AD16CC" w:rsidP="008C0D47">
      <w:pPr>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November 1</w:t>
      </w:r>
      <w:r w:rsidRPr="005E6B7C">
        <w:rPr>
          <w:rFonts w:asciiTheme="majorHAnsi" w:eastAsia="Yu Mincho" w:hAnsiTheme="majorHAnsi" w:cstheme="majorHAnsi"/>
          <w:color w:val="000000" w:themeColor="text1"/>
          <w:sz w:val="20"/>
          <w:szCs w:val="20"/>
          <w:vertAlign w:val="superscript"/>
          <w:lang w:eastAsia="ja-JP"/>
        </w:rPr>
        <w:t>st</w:t>
      </w:r>
      <w:r w:rsidRPr="005E6B7C">
        <w:rPr>
          <w:rFonts w:asciiTheme="majorHAnsi" w:eastAsia="Yu Mincho" w:hAnsiTheme="majorHAnsi" w:cstheme="majorHAnsi"/>
          <w:color w:val="000000" w:themeColor="text1"/>
          <w:sz w:val="20"/>
          <w:szCs w:val="20"/>
          <w:lang w:eastAsia="ja-JP"/>
        </w:rPr>
        <w:t>, 2025               Accepted March 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43A3759E"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Summary</w:t>
      </w:r>
    </w:p>
    <w:p w14:paraId="70E3F7C0" w14:textId="77777777" w:rsidR="00E049CB" w:rsidRPr="005E6B7C" w:rsidRDefault="00E049CB" w:rsidP="008C0D47">
      <w:pPr>
        <w:tabs>
          <w:tab w:val="left" w:pos="9270"/>
        </w:tabs>
        <w:ind w:right="-20" w:firstLine="284"/>
        <w:jc w:val="both"/>
        <w:rPr>
          <w:rFonts w:asciiTheme="majorHAnsi" w:eastAsia="MS Mincho" w:hAnsiTheme="majorHAnsi" w:cstheme="majorHAnsi"/>
          <w:color w:val="000000" w:themeColor="text1"/>
          <w:sz w:val="18"/>
          <w:szCs w:val="18"/>
          <w:lang w:val="vi-VN" w:eastAsia="ja-JP"/>
        </w:rPr>
      </w:pPr>
      <w:r w:rsidRPr="005E6B7C">
        <w:rPr>
          <w:rFonts w:asciiTheme="majorHAnsi" w:eastAsia="MS Mincho" w:hAnsiTheme="majorHAnsi" w:cstheme="majorHAnsi"/>
          <w:color w:val="000000" w:themeColor="text1"/>
          <w:sz w:val="18"/>
          <w:szCs w:val="18"/>
          <w:lang w:val="vi-VN" w:eastAsia="ja-JP"/>
        </w:rPr>
        <w:t xml:space="preserve">This study aimed to </w:t>
      </w:r>
      <w:r w:rsidRPr="005E6B7C">
        <w:rPr>
          <w:rFonts w:asciiTheme="majorHAnsi" w:eastAsia="MS Mincho" w:hAnsiTheme="majorHAnsi" w:cstheme="majorHAnsi"/>
          <w:color w:val="000000" w:themeColor="text1"/>
          <w:sz w:val="18"/>
          <w:szCs w:val="18"/>
          <w:lang w:eastAsia="ja-JP"/>
        </w:rPr>
        <w:t>establish</w:t>
      </w:r>
      <w:r w:rsidRPr="005E6B7C">
        <w:rPr>
          <w:rFonts w:asciiTheme="majorHAnsi" w:eastAsia="MS Mincho" w:hAnsiTheme="majorHAnsi" w:cstheme="majorHAnsi"/>
          <w:color w:val="000000" w:themeColor="text1"/>
          <w:sz w:val="18"/>
          <w:szCs w:val="18"/>
          <w:lang w:val="vi-VN" w:eastAsia="ja-JP"/>
        </w:rPr>
        <w:t xml:space="preserve"> an in-house quality standard for </w:t>
      </w:r>
      <w:r w:rsidRPr="005E6B7C">
        <w:rPr>
          <w:rFonts w:asciiTheme="majorHAnsi" w:eastAsia="MS Mincho" w:hAnsiTheme="majorHAnsi" w:cstheme="majorHAnsi"/>
          <w:i/>
          <w:color w:val="000000" w:themeColor="text1"/>
          <w:sz w:val="18"/>
          <w:szCs w:val="18"/>
          <w:lang w:val="vi-VN" w:eastAsia="ja-JP"/>
        </w:rPr>
        <w:t>Prunellae spica</w:t>
      </w:r>
      <w:r w:rsidRPr="005E6B7C">
        <w:rPr>
          <w:rFonts w:asciiTheme="majorHAnsi" w:eastAsia="MS Mincho" w:hAnsiTheme="majorHAnsi" w:cstheme="majorHAnsi"/>
          <w:color w:val="000000" w:themeColor="text1"/>
          <w:sz w:val="18"/>
          <w:szCs w:val="18"/>
          <w:lang w:val="vi-VN" w:eastAsia="ja-JP"/>
        </w:rPr>
        <w:t xml:space="preserve"> </w:t>
      </w:r>
      <w:r w:rsidRPr="005E6B7C">
        <w:rPr>
          <w:rFonts w:asciiTheme="majorHAnsi" w:eastAsia="MS Mincho" w:hAnsiTheme="majorHAnsi" w:cstheme="majorHAnsi"/>
          <w:color w:val="000000" w:themeColor="text1"/>
          <w:sz w:val="18"/>
          <w:szCs w:val="18"/>
          <w:lang w:eastAsia="ja-JP"/>
        </w:rPr>
        <w:t xml:space="preserve">(PS) </w:t>
      </w:r>
      <w:r w:rsidRPr="005E6B7C">
        <w:rPr>
          <w:rFonts w:asciiTheme="majorHAnsi" w:eastAsia="MS Mincho" w:hAnsiTheme="majorHAnsi" w:cstheme="majorHAnsi"/>
          <w:color w:val="000000" w:themeColor="text1"/>
          <w:sz w:val="18"/>
          <w:szCs w:val="18"/>
          <w:lang w:val="vi-VN" w:eastAsia="ja-JP"/>
        </w:rPr>
        <w:t xml:space="preserve">based on the Vietnamese Pharmacopoeia V, incorporating enhanced qualitative and quantitative specifications. The evaluated criteria included description, powder, water content, total ash, acid-insoluble ash, identification by chemical reaction and thin-layer chromatography, quantification of rosmarinic acid using high-performance liquid chromatography with diode array detection according to the Chinese Pharmacopoeia (2020), extractives, and foreign matter. Quantitative analysis of eight </w:t>
      </w:r>
      <w:r w:rsidRPr="005E6B7C">
        <w:rPr>
          <w:rFonts w:asciiTheme="majorHAnsi" w:eastAsia="MS Mincho" w:hAnsiTheme="majorHAnsi" w:cstheme="majorHAnsi"/>
          <w:color w:val="000000" w:themeColor="text1"/>
          <w:sz w:val="18"/>
          <w:szCs w:val="18"/>
          <w:lang w:eastAsia="ja-JP"/>
        </w:rPr>
        <w:t>PS</w:t>
      </w:r>
      <w:r w:rsidRPr="005E6B7C">
        <w:rPr>
          <w:rFonts w:asciiTheme="majorHAnsi" w:eastAsia="MS Mincho" w:hAnsiTheme="majorHAnsi" w:cstheme="majorHAnsi"/>
          <w:color w:val="000000" w:themeColor="text1"/>
          <w:sz w:val="18"/>
          <w:szCs w:val="18"/>
          <w:lang w:val="vi-VN" w:eastAsia="ja-JP"/>
        </w:rPr>
        <w:t xml:space="preserve"> samples revealed that the rosmarinic acid content ranged from 0.172% to 0.860%, calculated with reference to the dried drug. The developed in-house standard was subsequently applied for the quality assessment of </w:t>
      </w:r>
      <w:r w:rsidRPr="005E6B7C">
        <w:rPr>
          <w:rFonts w:asciiTheme="majorHAnsi" w:eastAsia="MS Mincho" w:hAnsiTheme="majorHAnsi" w:cstheme="majorHAnsi"/>
          <w:color w:val="000000" w:themeColor="text1"/>
          <w:sz w:val="18"/>
          <w:szCs w:val="18"/>
          <w:lang w:eastAsia="ja-JP"/>
        </w:rPr>
        <w:t>PS</w:t>
      </w:r>
      <w:r w:rsidRPr="005E6B7C">
        <w:rPr>
          <w:rFonts w:asciiTheme="majorHAnsi" w:eastAsia="MS Mincho" w:hAnsiTheme="majorHAnsi" w:cstheme="majorHAnsi"/>
          <w:color w:val="000000" w:themeColor="text1"/>
          <w:sz w:val="18"/>
          <w:szCs w:val="18"/>
          <w:lang w:val="vi-VN" w:eastAsia="ja-JP"/>
        </w:rPr>
        <w:t xml:space="preserve"> samples collected from the market.</w:t>
      </w:r>
    </w:p>
    <w:p w14:paraId="74A47A48" w14:textId="3998AD9A" w:rsidR="00E049CB" w:rsidRPr="005E6B7C" w:rsidRDefault="00E049CB" w:rsidP="008C0D47">
      <w:pPr>
        <w:tabs>
          <w:tab w:val="left" w:pos="9270"/>
        </w:tabs>
        <w:ind w:right="-20" w:firstLine="284"/>
        <w:jc w:val="both"/>
        <w:rPr>
          <w:rFonts w:asciiTheme="majorHAnsi" w:eastAsia="MS Mincho" w:hAnsiTheme="majorHAnsi" w:cstheme="majorHAnsi"/>
          <w:i/>
          <w:color w:val="000000" w:themeColor="text1"/>
          <w:sz w:val="18"/>
          <w:szCs w:val="18"/>
          <w:lang w:val="vi-VN" w:eastAsia="ja-JP"/>
        </w:rPr>
      </w:pPr>
      <w:r w:rsidRPr="005E6B7C">
        <w:rPr>
          <w:rFonts w:asciiTheme="majorHAnsi" w:eastAsia="MS Mincho" w:hAnsiTheme="majorHAnsi" w:cstheme="majorHAnsi"/>
          <w:b/>
          <w:color w:val="000000" w:themeColor="text1"/>
          <w:sz w:val="18"/>
          <w:szCs w:val="18"/>
          <w:lang w:val="vi-VN" w:eastAsia="ja-JP"/>
        </w:rPr>
        <w:t>Keywords</w:t>
      </w:r>
      <w:r w:rsidRPr="005E6B7C">
        <w:rPr>
          <w:rFonts w:asciiTheme="majorHAnsi" w:eastAsia="MS Mincho" w:hAnsiTheme="majorHAnsi" w:cstheme="majorHAnsi"/>
          <w:color w:val="000000" w:themeColor="text1"/>
          <w:sz w:val="18"/>
          <w:szCs w:val="18"/>
          <w:lang w:val="vi-VN" w:eastAsia="ja-JP"/>
        </w:rPr>
        <w:t xml:space="preserve">: </w:t>
      </w:r>
      <w:r w:rsidRPr="005E6B7C">
        <w:rPr>
          <w:rFonts w:asciiTheme="majorHAnsi" w:eastAsia="MS Mincho" w:hAnsiTheme="majorHAnsi" w:cstheme="majorHAnsi"/>
          <w:i/>
          <w:color w:val="000000" w:themeColor="text1"/>
          <w:sz w:val="18"/>
          <w:szCs w:val="18"/>
          <w:lang w:val="vi-VN" w:eastAsia="ja-JP"/>
        </w:rPr>
        <w:t>In-house standard</w:t>
      </w:r>
      <w:r w:rsidRPr="005E6B7C">
        <w:rPr>
          <w:rFonts w:asciiTheme="majorHAnsi" w:eastAsia="MS Mincho" w:hAnsiTheme="majorHAnsi" w:cstheme="majorHAnsi"/>
          <w:i/>
          <w:iCs/>
          <w:color w:val="000000" w:themeColor="text1"/>
          <w:sz w:val="18"/>
          <w:szCs w:val="18"/>
          <w:lang w:val="vi-VN" w:eastAsia="ja-JP"/>
        </w:rPr>
        <w:t>;</w:t>
      </w:r>
      <w:r w:rsidRPr="005E6B7C">
        <w:rPr>
          <w:rFonts w:asciiTheme="majorHAnsi" w:eastAsia="MS Mincho" w:hAnsiTheme="majorHAnsi" w:cstheme="majorHAnsi"/>
          <w:color w:val="000000" w:themeColor="text1"/>
          <w:sz w:val="18"/>
          <w:szCs w:val="18"/>
          <w:lang w:val="vi-VN" w:eastAsia="ja-JP"/>
        </w:rPr>
        <w:t xml:space="preserve"> </w:t>
      </w:r>
      <w:r w:rsidRPr="005E6B7C">
        <w:rPr>
          <w:rFonts w:asciiTheme="majorHAnsi" w:eastAsia="MS Mincho" w:hAnsiTheme="majorHAnsi" w:cstheme="majorHAnsi"/>
          <w:i/>
          <w:color w:val="000000" w:themeColor="text1"/>
          <w:sz w:val="18"/>
          <w:szCs w:val="18"/>
          <w:lang w:val="vi-VN" w:eastAsia="ja-JP"/>
        </w:rPr>
        <w:t>Prunellae spica; Qualitative and quantitative</w:t>
      </w:r>
      <w:r w:rsidR="00FA461B" w:rsidRPr="005E6B7C">
        <w:rPr>
          <w:rFonts w:asciiTheme="majorHAnsi" w:eastAsia="MS Mincho" w:hAnsiTheme="majorHAnsi" w:cstheme="majorHAnsi"/>
          <w:i/>
          <w:color w:val="000000" w:themeColor="text1"/>
          <w:sz w:val="18"/>
          <w:szCs w:val="18"/>
          <w:lang w:val="vi-VN" w:eastAsia="ja-JP"/>
        </w:rPr>
        <w:t xml:space="preserve"> analysis; HPLC-ĐA; Rosmarinic acid.</w:t>
      </w:r>
    </w:p>
    <w:p w14:paraId="64F40DF8" w14:textId="77777777" w:rsidR="0018773C" w:rsidRPr="005E6B7C" w:rsidRDefault="0018773C" w:rsidP="008C0D47">
      <w:pPr>
        <w:tabs>
          <w:tab w:val="left" w:pos="270"/>
          <w:tab w:val="left" w:pos="540"/>
          <w:tab w:val="left" w:pos="9270"/>
        </w:tabs>
        <w:ind w:right="-20"/>
        <w:jc w:val="both"/>
        <w:outlineLvl w:val="1"/>
        <w:rPr>
          <w:rFonts w:asciiTheme="majorHAnsi" w:eastAsia="Times New Roman" w:hAnsiTheme="majorHAnsi" w:cstheme="majorHAnsi"/>
          <w:b/>
          <w:bCs/>
          <w:color w:val="000000" w:themeColor="text1"/>
          <w:sz w:val="22"/>
          <w:szCs w:val="22"/>
          <w:lang w:val="vi-VN" w:eastAsia="ja-JP"/>
        </w:rPr>
      </w:pPr>
    </w:p>
    <w:p w14:paraId="01C8E001" w14:textId="77777777" w:rsidR="005C2A66" w:rsidRPr="005E6B7C" w:rsidRDefault="005C2A66"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b/>
          <w:bCs/>
          <w:color w:val="000000" w:themeColor="text1"/>
          <w:sz w:val="22"/>
          <w:szCs w:val="22"/>
          <w:lang w:val="vi-VN" w:eastAsia="ja-JP"/>
        </w:rPr>
        <w:sectPr w:rsidR="005C2A66" w:rsidRPr="005E6B7C" w:rsidSect="002206BB">
          <w:type w:val="continuous"/>
          <w:pgSz w:w="10773" w:h="15309" w:code="9"/>
          <w:pgMar w:top="907" w:right="851" w:bottom="1418" w:left="851" w:header="397" w:footer="851" w:gutter="0"/>
          <w:cols w:space="284"/>
          <w:docGrid w:linePitch="360"/>
        </w:sectPr>
      </w:pPr>
    </w:p>
    <w:p w14:paraId="124631FA" w14:textId="77777777" w:rsidR="00E049CB" w:rsidRPr="005E6B7C" w:rsidRDefault="00E049CB" w:rsidP="008C0D47">
      <w:pPr>
        <w:tabs>
          <w:tab w:val="left" w:pos="270"/>
          <w:tab w:val="left" w:pos="540"/>
          <w:tab w:val="left" w:pos="9270"/>
        </w:tabs>
        <w:spacing w:line="254" w:lineRule="exact"/>
        <w:ind w:firstLine="284"/>
        <w:jc w:val="both"/>
        <w:outlineLvl w:val="1"/>
        <w:rPr>
          <w:rFonts w:asciiTheme="majorHAnsi" w:eastAsia="Times New Roman" w:hAnsiTheme="majorHAnsi" w:cstheme="majorHAnsi"/>
          <w:b/>
          <w:bCs/>
          <w:color w:val="000000" w:themeColor="text1"/>
          <w:sz w:val="22"/>
          <w:szCs w:val="22"/>
          <w:lang w:val="vi-VN" w:eastAsia="ja-JP"/>
        </w:rPr>
      </w:pPr>
      <w:r w:rsidRPr="005E6B7C">
        <w:rPr>
          <w:rFonts w:asciiTheme="majorHAnsi" w:eastAsia="Times New Roman" w:hAnsiTheme="majorHAnsi" w:cstheme="majorHAnsi"/>
          <w:b/>
          <w:bCs/>
          <w:color w:val="000000" w:themeColor="text1"/>
          <w:sz w:val="22"/>
          <w:szCs w:val="22"/>
          <w:lang w:val="vi-VN" w:eastAsia="ja-JP"/>
        </w:rPr>
        <w:t>1. Introduction</w:t>
      </w:r>
    </w:p>
    <w:p w14:paraId="29F7EC5C" w14:textId="3148B028" w:rsidR="00E049CB" w:rsidRPr="005E6B7C" w:rsidRDefault="00E049CB" w:rsidP="008C0D47">
      <w:pPr>
        <w:tabs>
          <w:tab w:val="left" w:pos="270"/>
          <w:tab w:val="left" w:pos="540"/>
          <w:tab w:val="left" w:pos="9270"/>
        </w:tabs>
        <w:spacing w:line="254"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i/>
          <w:iCs/>
          <w:color w:val="000000" w:themeColor="text1"/>
          <w:sz w:val="22"/>
          <w:szCs w:val="22"/>
          <w:lang w:val="vi-VN" w:eastAsia="ja-JP"/>
        </w:rPr>
        <w:t>Prunellae spica</w:t>
      </w:r>
      <w:r w:rsidRPr="005E6B7C">
        <w:rPr>
          <w:rFonts w:asciiTheme="majorHAnsi" w:eastAsia="MS Mincho" w:hAnsiTheme="majorHAnsi" w:cstheme="majorHAnsi"/>
          <w:color w:val="000000" w:themeColor="text1"/>
          <w:sz w:val="22"/>
          <w:szCs w:val="22"/>
          <w:lang w:val="vi-VN" w:eastAsia="ja-JP"/>
        </w:rPr>
        <w:t xml:space="preserve"> (PS) is the dried fruiting spike (infructescence) of </w:t>
      </w:r>
      <w:r w:rsidRPr="005E6B7C">
        <w:rPr>
          <w:rFonts w:asciiTheme="majorHAnsi" w:eastAsia="MS Mincho" w:hAnsiTheme="majorHAnsi" w:cstheme="majorHAnsi"/>
          <w:i/>
          <w:iCs/>
          <w:color w:val="000000" w:themeColor="text1"/>
          <w:sz w:val="22"/>
          <w:szCs w:val="22"/>
          <w:lang w:val="vi-VN" w:eastAsia="ja-JP"/>
        </w:rPr>
        <w:t>Prunella vulgaris</w:t>
      </w:r>
      <w:r w:rsidRPr="005E6B7C">
        <w:rPr>
          <w:rFonts w:asciiTheme="majorHAnsi" w:eastAsia="MS Mincho" w:hAnsiTheme="majorHAnsi" w:cstheme="majorHAnsi"/>
          <w:color w:val="000000" w:themeColor="text1"/>
          <w:sz w:val="22"/>
          <w:szCs w:val="22"/>
          <w:lang w:val="vi-VN" w:eastAsia="ja-JP"/>
        </w:rPr>
        <w:t xml:space="preserve"> L. (Lamiaceae)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val="vi-VN" w:eastAsia="ja-JP"/>
        </w:rPr>
        <w:instrText xml:space="preserve"> ADDIN EN.CITE &lt;EndNote&gt;&lt;Cite&gt;&lt;Author&gt;Ministry of Health&lt;/Author&gt;&lt;Year&gt;2017&lt;/Year&gt;&lt;RecNum&gt;23&lt;/RecNum&gt;&lt;DisplayText&gt;[1]&lt;/DisplayText&gt;&lt;record&gt;&lt;rec-number&gt;23&lt;/rec-number&gt;&lt;foreign-keys&gt;&lt;key app="EN" db-id="dfdss00foa0rwcezdpapfex79erpx2ar500s" timestamp="1759913311"&gt;23&lt;/key&gt;&lt;/foreign-keys&gt;&lt;ref-type name="Book"&gt;6&lt;/ref-type&gt;&lt;contributors&gt;&lt;authors&gt;&lt;author&gt;Ministry of Health, &lt;/author&gt;&lt;/authors&gt;&lt;/contributors&gt;&lt;titles&gt;&lt;title&gt;&lt;style face="normal" font="default" size="100%"&gt;Vietnamese Pharmacopoeia V&lt;/style&gt;&lt;style face="normal" font="default" charset="163" size="100%"&gt;,&lt;/style&gt;&lt;style face="italic" font="default" charset="163" size="100%"&gt; Prunellae spica&lt;/style&gt;&lt;/title&gt;&lt;/titles&gt;&lt;volume&gt;&lt;style face="normal" font="default" charset="163" size="100%"&gt;2&lt;/style&gt;&lt;/volume&gt;&lt;section&gt;1182-1183&lt;/section&gt;&lt;dates&gt;&lt;year&gt;2017&lt;/year&gt;&lt;/dates&gt;&lt;pub-location&gt;&lt;style face="normal" font="default" charset="163" size="100%"&gt;Hanoi&lt;/style&gt;&lt;/pub-location&gt;&lt;publisher&gt;&lt;style face="normal" font="default" size="100%"&gt;Medical &lt;/style&gt;&lt;style face="normal" font="default" charset="163" size="100%"&gt;P&lt;/style&gt;&lt;style face="normal" font="default" size="100%"&gt;ublishing &lt;/style&gt;&lt;style face="normal" font="default" charset="163" size="100%"&gt;H&lt;/style&gt;&lt;style face="normal" font="default" size="100%"&gt;ouse&lt;/style&gt;&lt;/publisher&gt;&lt;urls&gt;&lt;/urls&gt;&lt;language&gt;&lt;style face="normal" font="default" charset="163" size="100%"&gt;e&lt;/style&gt;&lt;/language&gt;&lt;/record&gt;&lt;/Cite&gt;&lt;/EndNote&gt;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val="vi-VN" w:eastAsia="ja-JP"/>
        </w:rPr>
        <w:t>[</w:t>
      </w:r>
      <w:hyperlink w:anchor="_ENREF_1" w:tooltip="Ministry of Health, 2017 #23" w:history="1">
        <w:r w:rsidRPr="005E6B7C">
          <w:rPr>
            <w:rFonts w:asciiTheme="majorHAnsi" w:eastAsia="MS Mincho" w:hAnsiTheme="majorHAnsi" w:cstheme="majorHAnsi"/>
            <w:noProof/>
            <w:color w:val="000000" w:themeColor="text1"/>
            <w:sz w:val="22"/>
            <w:szCs w:val="22"/>
            <w:lang w:val="vi-VN" w:eastAsia="ja-JP"/>
          </w:rPr>
          <w:t>1</w:t>
        </w:r>
      </w:hyperlink>
      <w:r w:rsidRPr="005E6B7C">
        <w:rPr>
          <w:rFonts w:asciiTheme="majorHAnsi" w:eastAsia="MS Mincho" w:hAnsiTheme="majorHAnsi" w:cstheme="majorHAnsi"/>
          <w:noProof/>
          <w:color w:val="000000" w:themeColor="text1"/>
          <w:sz w:val="22"/>
          <w:szCs w:val="22"/>
          <w:lang w:val="vi-VN"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val="vi-VN" w:eastAsia="ja-JP"/>
        </w:rPr>
        <w:t xml:space="preserve">. </w:t>
      </w:r>
      <w:r w:rsidRPr="005E6B7C">
        <w:rPr>
          <w:rFonts w:asciiTheme="majorHAnsi" w:eastAsia="MS Mincho" w:hAnsiTheme="majorHAnsi" w:cstheme="majorHAnsi"/>
          <w:color w:val="000000" w:themeColor="text1"/>
          <w:sz w:val="22"/>
          <w:szCs w:val="22"/>
          <w:lang w:eastAsia="ja-JP"/>
        </w:rPr>
        <w:t xml:space="preserve">The species thrives in bright and humid environments, typically forming small, localized clusters with limited overall biomass. It can be propagated by seed, with flowering occurring approximately 75–90 days after cultivation. The blooming season extends from April to June, followed by fruiting from July to October. </w:t>
      </w:r>
      <w:r w:rsidRPr="005E6B7C">
        <w:rPr>
          <w:rFonts w:asciiTheme="majorHAnsi" w:eastAsia="MS Mincho" w:hAnsiTheme="majorHAnsi" w:cstheme="majorHAnsi"/>
          <w:i/>
          <w:iCs/>
          <w:color w:val="000000" w:themeColor="text1"/>
          <w:sz w:val="22"/>
          <w:szCs w:val="22"/>
          <w:lang w:eastAsia="ja-JP"/>
        </w:rPr>
        <w:t>P. vulgaris</w:t>
      </w:r>
      <w:r w:rsidRPr="005E6B7C">
        <w:rPr>
          <w:rFonts w:asciiTheme="majorHAnsi" w:eastAsia="MS Mincho" w:hAnsiTheme="majorHAnsi" w:cstheme="majorHAnsi"/>
          <w:color w:val="000000" w:themeColor="text1"/>
          <w:sz w:val="22"/>
          <w:szCs w:val="22"/>
          <w:lang w:eastAsia="ja-JP"/>
        </w:rPr>
        <w:t xml:space="preserve"> L. is native to temperate regions across Europe and Asia, with a distribution covering China, Japan, India, and several European countries. In Vietnam, this species is found in cool, moist mountainous regions such as Sa Pa (Lao Cai Province), Tam Dao (Phu Tho Province), Mau Son (Lang Son Province), as well as in other provinces, </w:t>
      </w:r>
      <w:r w:rsidR="00FA461B" w:rsidRPr="005E6B7C">
        <w:rPr>
          <w:rFonts w:asciiTheme="majorHAnsi" w:eastAsia="MS Mincho" w:hAnsiTheme="majorHAnsi" w:cstheme="majorHAnsi"/>
          <w:color w:val="000000" w:themeColor="text1"/>
          <w:sz w:val="22"/>
          <w:szCs w:val="22"/>
          <w:lang w:eastAsia="ja-JP"/>
        </w:rPr>
        <w:t>such as Tuyen Quang</w:t>
      </w:r>
      <w:r w:rsidRPr="005E6B7C">
        <w:rPr>
          <w:rFonts w:asciiTheme="majorHAnsi" w:eastAsia="MS Mincho" w:hAnsiTheme="majorHAnsi" w:cstheme="majorHAnsi"/>
          <w:color w:val="000000" w:themeColor="text1"/>
          <w:sz w:val="22"/>
          <w:szCs w:val="22"/>
          <w:lang w:eastAsia="ja-JP"/>
        </w:rPr>
        <w:t xml:space="preserve">, Lai Chau, and Quang Ngai. Traditionally, </w:t>
      </w:r>
      <w:r w:rsidRPr="005E6B7C">
        <w:rPr>
          <w:rFonts w:asciiTheme="majorHAnsi" w:eastAsia="MS Mincho" w:hAnsiTheme="majorHAnsi" w:cstheme="majorHAnsi"/>
          <w:i/>
          <w:iCs/>
          <w:color w:val="000000" w:themeColor="text1"/>
          <w:sz w:val="22"/>
          <w:szCs w:val="22"/>
          <w:lang w:eastAsia="ja-JP"/>
        </w:rPr>
        <w:t>P. vulgaris</w:t>
      </w:r>
      <w:r w:rsidRPr="005E6B7C">
        <w:rPr>
          <w:rFonts w:asciiTheme="majorHAnsi" w:eastAsia="MS Mincho" w:hAnsiTheme="majorHAnsi" w:cstheme="majorHAnsi"/>
          <w:color w:val="000000" w:themeColor="text1"/>
          <w:sz w:val="22"/>
          <w:szCs w:val="22"/>
          <w:lang w:eastAsia="ja-JP"/>
        </w:rPr>
        <w:t xml:space="preserve"> L. has been used in folk medicine to treat various diseases such as epiphora, scrofula, goiter, mastitis, neurodermatitis, furuncles, tinea corporis, and psoriasis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&lt;EndNote&gt;&lt;Cite&gt;&lt;Author&gt;Vo V. C.&lt;/Author&gt;&lt;Year&gt;2012&lt;/Year&gt;&lt;RecNum&gt;24&lt;/RecNum&gt;&lt;DisplayText&gt;[2]&lt;/DisplayText&gt;&lt;record&gt;&lt;rec-number&gt;24&lt;/rec-number&gt;&lt;foreign-keys&gt;&lt;key app="EN" db-id="dfdss00foa0rwcezdpapfex79erpx2ar500s" timestamp="1759913841"&gt;24&lt;/key&gt;&lt;/foreign-keys&gt;&lt;ref-type name="Book"&gt;6&lt;/ref-type&gt;&lt;contributors&gt;&lt;authors&gt;&lt;author&gt;&lt;style face="normal" font="default" charset="163" size="100%"&gt;Vo V. C.&lt;/style&gt;&lt;style face="normal" font="default" size="100%"&gt;,&lt;/style&gt;&lt;/author&gt;&lt;/authors&gt;&lt;/contributors&gt;&lt;titles&gt;&lt;title&gt;&lt;style face="normal" font="default" size="100%"&gt;Dictionary &lt;/style&gt;&lt;style face="normal" font="default" charset="163" size="100%"&gt;on herbal medicines in Vietnam (in Vietnamese)&lt;/style&gt;&lt;/title&gt;&lt;/titles&gt;&lt;volume&gt;1&lt;/volume&gt;&lt;section&gt;1060-1061&lt;/section&gt;&lt;dates&gt;&lt;year&gt;2012&lt;/year&gt;&lt;/dates&gt;&lt;pub-location&gt;&lt;style face="normal" font="default" charset="163" size="100%"&gt;Hanoi&lt;/style&gt;&lt;/pub-location&gt;&lt;publisher&gt;Medical Publishing House&lt;/publisher&gt;&lt;urls&gt;&lt;/urls&gt;&lt;language&gt;&lt;style face="normal" font="default" charset="163" size="100%"&gt;e&lt;/style&gt;&lt;/language&gt;&lt;/record&gt;&lt;/Cite&gt;&lt;/EndNote&gt;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2" w:tooltip="Vo V. C., 2012 #24" w:history="1">
        <w:r w:rsidRPr="005E6B7C">
          <w:rPr>
            <w:rFonts w:asciiTheme="majorHAnsi" w:eastAsia="MS Mincho" w:hAnsiTheme="majorHAnsi" w:cstheme="majorHAnsi"/>
            <w:noProof/>
            <w:color w:val="000000" w:themeColor="text1"/>
            <w:sz w:val="22"/>
            <w:szCs w:val="22"/>
            <w:lang w:eastAsia="ja-JP"/>
          </w:rPr>
          <w:t>2</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w:t>
      </w:r>
    </w:p>
    <w:p w14:paraId="27335A2B"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i/>
          <w:color w:val="000000" w:themeColor="text1"/>
          <w:sz w:val="22"/>
          <w:szCs w:val="22"/>
          <w:lang w:eastAsia="ja-JP"/>
        </w:rPr>
        <w:t>P. vulgaris</w:t>
      </w:r>
      <w:r w:rsidRPr="005E6B7C">
        <w:rPr>
          <w:rFonts w:asciiTheme="majorHAnsi" w:eastAsia="MS Mincho" w:hAnsiTheme="majorHAnsi" w:cstheme="majorHAnsi"/>
          <w:color w:val="000000" w:themeColor="text1"/>
          <w:sz w:val="22"/>
          <w:szCs w:val="22"/>
          <w:lang w:eastAsia="ja-JP"/>
        </w:rPr>
        <w:t xml:space="preserve"> L. contains abundant active components, including triterpenoids, sterols, phenolics, flavonoids, coumarins, phenylpropanoids, polysaccharides, and volatile oils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&lt;EndNote&gt;&lt;Cite&gt;&lt;Author&gt;Chen&lt;/Author&gt;&lt;Year&gt;2012&lt;/Year&gt;&lt;RecNum&gt;26&lt;/RecNum&gt;&lt;DisplayText&gt;[3]&lt;/DisplayText&gt;&lt;record&gt;&lt;rec-number&gt;26&lt;/rec-number&gt;&lt;foreign-keys&gt;&lt;key app="EN" db-id="dfdss00foa0rwcezdpapfex79erpx2ar500s" timestamp="1759914820"&gt;26&lt;/key&gt;&lt;/foreign-keys&gt;&lt;ref-type name="Journal Article"&gt;17&lt;/ref-type&gt;&lt;contributors&gt;&lt;authors&gt;&lt;author&gt;Chen, Y., Guo, Q., Zhu, Z. and Zhang, L.,&lt;/author&gt;&lt;/authors&gt;&lt;/contributors&gt;&lt;titles&gt;&lt;title&gt;&lt;style face="normal" font="default" size="100%"&gt;Changes in bioactive components related to the harvest time from the spicas of &lt;/style&gt;&lt;style face="italic" font="default" size="100%"&gt;Prunella vulgaris&lt;/style&gt;&lt;/title&gt;&lt;secondary-title&gt;Pharmaceutical Biology&lt;/secondary-title&gt;&lt;/titles&gt;&lt;periodical&gt;&lt;full-title&gt;Pharmaceutical Biology&lt;/full-title&gt;&lt;/periodical&gt;&lt;pages&gt;1118-1122&lt;/pages&gt;&lt;volume&gt;50&lt;/volume&gt;&lt;number&gt;9&lt;/number&gt;&lt;dates&gt;&lt;year&gt;2012&lt;/year&gt;&lt;/dates&gt;&lt;isbn&gt;1388-0209&lt;/isbn&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3" w:tooltip="Chen, 2012 #26" w:history="1">
        <w:r w:rsidRPr="005E6B7C">
          <w:rPr>
            <w:rFonts w:asciiTheme="majorHAnsi" w:eastAsia="MS Mincho" w:hAnsiTheme="majorHAnsi" w:cstheme="majorHAnsi"/>
            <w:noProof/>
            <w:color w:val="000000" w:themeColor="text1"/>
            <w:sz w:val="22"/>
            <w:szCs w:val="22"/>
            <w:lang w:eastAsia="ja-JP"/>
          </w:rPr>
          <w:t>3</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w:t>
      </w:r>
      <w:r w:rsidRPr="005E6B7C">
        <w:rPr>
          <w:rFonts w:asciiTheme="majorHAnsi" w:eastAsia="MS Mincho" w:hAnsiTheme="majorHAnsi" w:cstheme="majorHAnsi"/>
          <w:color w:val="000000" w:themeColor="text1"/>
          <w:sz w:val="22"/>
          <w:szCs w:val="22"/>
          <w:lang w:val="vi-VN" w:eastAsia="ja-JP"/>
        </w:rPr>
        <w:t xml:space="preserve"> In the Vietnamese Pharmacopoeia V (VP </w:t>
      </w:r>
      <w:r w:rsidRPr="005E6B7C">
        <w:rPr>
          <w:rFonts w:asciiTheme="majorHAnsi" w:eastAsia="MS Mincho" w:hAnsiTheme="majorHAnsi" w:cstheme="majorHAnsi"/>
          <w:color w:val="000000" w:themeColor="text1"/>
          <w:sz w:val="22"/>
          <w:szCs w:val="22"/>
          <w:lang w:val="vi-VN" w:eastAsia="ja-JP"/>
        </w:rPr>
        <w:t xml:space="preserve">V), the monograph for </w:t>
      </w:r>
      <w:r w:rsidRPr="005E6B7C">
        <w:rPr>
          <w:rFonts w:asciiTheme="majorHAnsi" w:eastAsia="MS Mincho" w:hAnsiTheme="majorHAnsi" w:cstheme="majorHAnsi"/>
          <w:color w:val="000000" w:themeColor="text1"/>
          <w:sz w:val="22"/>
          <w:szCs w:val="22"/>
          <w:lang w:eastAsia="ja-JP"/>
        </w:rPr>
        <w:t>PS</w:t>
      </w:r>
      <w:r w:rsidRPr="005E6B7C">
        <w:rPr>
          <w:rFonts w:asciiTheme="majorHAnsi" w:eastAsia="MS Mincho" w:hAnsiTheme="majorHAnsi" w:cstheme="majorHAnsi"/>
          <w:color w:val="000000" w:themeColor="text1"/>
          <w:sz w:val="22"/>
          <w:szCs w:val="22"/>
          <w:lang w:val="vi-VN" w:eastAsia="ja-JP"/>
        </w:rPr>
        <w:t xml:space="preserve"> includes </w:t>
      </w:r>
      <w:r w:rsidRPr="005E6B7C">
        <w:rPr>
          <w:rFonts w:asciiTheme="majorHAnsi" w:eastAsia="MS Mincho" w:hAnsiTheme="majorHAnsi" w:cstheme="majorHAnsi"/>
          <w:color w:val="000000" w:themeColor="text1"/>
          <w:sz w:val="22"/>
          <w:szCs w:val="22"/>
          <w:lang w:eastAsia="ja-JP"/>
        </w:rPr>
        <w:t>criteria</w:t>
      </w:r>
      <w:r w:rsidRPr="005E6B7C">
        <w:rPr>
          <w:rFonts w:asciiTheme="majorHAnsi" w:eastAsia="MS Mincho" w:hAnsiTheme="majorHAnsi" w:cstheme="majorHAnsi"/>
          <w:color w:val="000000" w:themeColor="text1"/>
          <w:sz w:val="22"/>
          <w:szCs w:val="22"/>
          <w:lang w:val="vi-VN" w:eastAsia="ja-JP"/>
        </w:rPr>
        <w:t xml:space="preserve"> description, powder, water content, total ash, acid-insoluble ash, extractives, foreign matter, and identification by chemical reaction and thin-layer chromatography (TLC) using reference herbal material. However, quantitative assays have not yet been established.</w:t>
      </w:r>
      <w:r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color w:val="000000" w:themeColor="text1"/>
          <w:sz w:val="22"/>
          <w:szCs w:val="22"/>
          <w:lang w:val="vi-VN" w:eastAsia="ja-JP"/>
        </w:rPr>
        <w:t>Among its phytochemical constituents,</w:t>
      </w:r>
      <w:r w:rsidRPr="005E6B7C">
        <w:rPr>
          <w:rFonts w:asciiTheme="majorHAnsi" w:eastAsia="MS Mincho" w:hAnsiTheme="majorHAnsi" w:cstheme="majorHAnsi"/>
          <w:color w:val="000000" w:themeColor="text1"/>
          <w:sz w:val="22"/>
          <w:szCs w:val="22"/>
          <w:lang w:eastAsia="ja-JP"/>
        </w:rPr>
        <w:t xml:space="preserve"> rosmarinic acid (RA) and ursolic acid (UA) are considered major bioactive compounds with diverse pharmacological effects. Numerous studies have demonstrated that RA exhibits anti-inflammatory, antioxidant, antidiabetic, antiviral, antitumor, neuroprotective, and hepatoprotective properties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&lt;EndNote&gt;&lt;Cite&gt;&lt;Author&gt;Guan&lt;/Author&gt;&lt;Year&gt;2022&lt;/Year&gt;&lt;RecNum&gt;30&lt;/RecNum&gt;&lt;DisplayText&gt;[4]&lt;/DisplayText&gt;&lt;record&gt;&lt;rec-number&gt;30&lt;/rec-number&gt;&lt;foreign-keys&gt;&lt;key app="EN" db-id="dfdss00foa0rwcezdpapfex79erpx2ar500s" timestamp="1761904798"&gt;30&lt;/key&gt;&lt;/foreign-keys&gt;&lt;ref-type name="Journal Article"&gt;17&lt;/ref-type&gt;&lt;contributors&gt;&lt;authors&gt;&lt;author&gt;Guan, H., Luo, W., Bao, B., Cao, Y., Cheng, F., Yu, S., Fan, Q., Zhang, L., Wu, Q. and Shan, M., &lt;/author&gt;&lt;/authors&gt;&lt;/contributors&gt;&lt;titles&gt;&lt;title&gt;A comprehensive review of rosmarinic acid: from phytochemistry to pharmacology and its new insight&lt;/title&gt;&lt;secondary-title&gt;Molecules&lt;/secondary-title&gt;&lt;/titles&gt;&lt;periodical&gt;&lt;full-title&gt;Molecules&lt;/full-title&gt;&lt;/periodical&gt;&lt;pages&gt;3292&lt;/pages&gt;&lt;volume&gt;27&lt;/volume&gt;&lt;number&gt;10&lt;/number&gt;&lt;dates&gt;&lt;year&gt;2022&lt;/year&gt;&lt;/dates&gt;&lt;isbn&gt;1420-3049&lt;/isbn&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4" w:tooltip="Guan, 2022 #30" w:history="1">
        <w:r w:rsidRPr="005E6B7C">
          <w:rPr>
            <w:rFonts w:asciiTheme="majorHAnsi" w:eastAsia="MS Mincho" w:hAnsiTheme="majorHAnsi" w:cstheme="majorHAnsi"/>
            <w:noProof/>
            <w:color w:val="000000" w:themeColor="text1"/>
            <w:sz w:val="22"/>
            <w:szCs w:val="22"/>
            <w:lang w:eastAsia="ja-JP"/>
          </w:rPr>
          <w:t>4</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xml:space="preserve">. Likewise, UA possesses anti-inflammatory, antioxidant, anti-apoptotic, and anticancer activities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&lt;EndNote&gt;&lt;Cite&gt;&lt;Author&gt;Seo&lt;/Author&gt;&lt;Year&gt;2018&lt;/Year&gt;&lt;RecNum&gt;31&lt;/RecNum&gt;&lt;DisplayText&gt;[5]&lt;/DisplayText&gt;&lt;record&gt;&lt;rec-number&gt;31&lt;/rec-number&gt;&lt;foreign-keys&gt;&lt;key app="EN" db-id="dfdss00foa0rwcezdpapfex79erpx2ar500s" timestamp="1761904930"&gt;31&lt;/key&gt;&lt;/foreign-keys&gt;&lt;ref-type name="Journal Article"&gt;17&lt;/ref-type&gt;&lt;contributors&gt;&lt;authors&gt;&lt;author&gt;Seo, D.Y., Lee, S.R., Heo, J.W., No, M.H., Rhee, B.D., Ko, K.S., Kwak, H.B. and Han, J., &lt;/author&gt;&lt;/authors&gt;&lt;/contributors&gt;&lt;titles&gt;&lt;title&gt;Ursolic acid in health and disease&lt;/title&gt;&lt;secondary-title&gt;The Korean journal of physiology &amp;amp; pharmacology: official journal of the Korean Physiological Society and the Korean Society of Pharmacology&lt;/secondary-title&gt;&lt;/titles&gt;&lt;periodical&gt;&lt;full-title&gt;The Korean journal of physiology &amp;amp; pharmacology: official journal of the Korean Physiological Society and the Korean Society of Pharmacology&lt;/full-title&gt;&lt;/periodical&gt;&lt;pages&gt;235&lt;/pages&gt;&lt;volume&gt;22&lt;/volume&gt;&lt;number&gt;3&lt;/number&gt;&lt;dates&gt;&lt;year&gt;2018&lt;/year&gt;&lt;/dates&gt;&lt;urls&gt;&lt;/urls&gt;&lt;/record&gt;&lt;/Cite&gt;&lt;/EndNote&gt;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5" w:tooltip="Seo, 2018 #31" w:history="1">
        <w:r w:rsidRPr="005E6B7C">
          <w:rPr>
            <w:rFonts w:asciiTheme="majorHAnsi" w:eastAsia="MS Mincho" w:hAnsiTheme="majorHAnsi" w:cstheme="majorHAnsi"/>
            <w:noProof/>
            <w:color w:val="000000" w:themeColor="text1"/>
            <w:sz w:val="22"/>
            <w:szCs w:val="22"/>
            <w:lang w:eastAsia="ja-JP"/>
          </w:rPr>
          <w:t>5</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xml:space="preserve">. In the </w:t>
      </w:r>
      <w:r w:rsidRPr="005E6B7C">
        <w:rPr>
          <w:rFonts w:asciiTheme="majorHAnsi" w:eastAsia="MS Mincho" w:hAnsiTheme="majorHAnsi" w:cstheme="majorHAnsi"/>
          <w:iCs/>
          <w:color w:val="000000" w:themeColor="text1"/>
          <w:sz w:val="22"/>
          <w:szCs w:val="22"/>
          <w:lang w:eastAsia="ja-JP"/>
        </w:rPr>
        <w:t>Chinese Pharmacopoeia (CP)</w:t>
      </w:r>
      <w:r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&lt;EndNote&gt;&lt;Cite&gt;&lt;Author&gt;Pharmacopoeia of the people’s republic of China&lt;/Author&gt;&lt;Year&gt;2020&lt;/Year&gt;&lt;RecNum&gt;5&lt;/RecNum&gt;&lt;DisplayText&gt;[6]&lt;/DisplayText&gt;&lt;record&gt;&lt;rec-number&gt;5&lt;/rec-number&gt;&lt;foreign-keys&gt;&lt;key app="EN" db-id="dfdss00foa0rwcezdpapfex79erpx2ar500s" timestamp="0"&gt;5&lt;/key&gt;&lt;/foreign-keys&gt;&lt;ref-type name="Book"&gt;6&lt;/ref-type&gt;&lt;contributors&gt;&lt;authors&gt;&lt;author&gt;Chinese Pharmacopoeia Commission, Pharmacopoeia of the people’s republic of China,&lt;/author&gt;&lt;/authors&gt;&lt;/contributors&gt;&lt;titles&gt;&lt;title&gt;&lt;style face="italic" font="default" size="100%"&gt;Prunellae Spica&lt;/style&gt;&lt;style face="normal" font="default" size="100%"&gt;, China Medical Science and Technology Press publishing company&lt;/style&gt;&lt;/title&gt;&lt;/titles&gt;&lt;volume&gt;I&lt;/volume&gt;&lt;section&gt;388&lt;/section&gt;&lt;dates&gt;&lt;year&gt;2020&lt;/year&gt;&lt;/dates&gt;&lt;pub-location&gt;Beijing&lt;/pub-location&gt;&lt;publisher&gt;China Medical Science Press&lt;/publisher&gt;&lt;urls&gt;&lt;/urls&gt;&lt;language&gt;e&lt;/language&gt;&lt;/record&gt;&lt;/Cite&gt;&lt;/EndNote&gt;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6" w:tooltip="Chinese Pharmacopoeia Commission, 2020 #5" w:history="1">
        <w:r w:rsidRPr="005E6B7C">
          <w:rPr>
            <w:rFonts w:asciiTheme="majorHAnsi" w:eastAsia="MS Mincho" w:hAnsiTheme="majorHAnsi" w:cstheme="majorHAnsi"/>
            <w:noProof/>
            <w:color w:val="000000" w:themeColor="text1"/>
            <w:sz w:val="22"/>
            <w:szCs w:val="22"/>
            <w:lang w:eastAsia="ja-JP"/>
          </w:rPr>
          <w:t>6</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xml:space="preserve"> and the </w:t>
      </w:r>
      <w:r w:rsidRPr="005E6B7C">
        <w:rPr>
          <w:rFonts w:asciiTheme="majorHAnsi" w:eastAsia="MS Mincho" w:hAnsiTheme="majorHAnsi" w:cstheme="majorHAnsi"/>
          <w:iCs/>
          <w:color w:val="000000" w:themeColor="text1"/>
          <w:sz w:val="22"/>
          <w:szCs w:val="22"/>
          <w:lang w:eastAsia="ja-JP"/>
        </w:rPr>
        <w:t>Hong Kong Chinese Materia Medica Standards (HKCMMS)</w:t>
      </w:r>
      <w:r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&lt;EndNote&gt;&lt;Cite&gt;&lt;Author&gt;Chinese Medicine Regulatory Office&lt;/Author&gt;&lt;RecNum&gt;7&lt;/RecNum&gt;&lt;DisplayText&gt;[7]&lt;/DisplayText&gt;&lt;record&gt;&lt;rec-number&gt;7&lt;/rec-number&gt;&lt;foreign-keys&gt;&lt;key app="EN" db-id="dfdss00foa0rwcezdpapfex79erpx2ar500s" timestamp="0"&gt;7&lt;/key&gt;&lt;/foreign-keys&gt;&lt;ref-type name="Book"&gt;6&lt;/ref-type&gt;&lt;contributors&gt;&lt;authors&gt;&lt;author&gt;Chinese Medicine Regulatory Office, Hong Kong Chinese Materia Medica Standards,&lt;/author&gt;&lt;/authors&gt;&lt;/contributors&gt;&lt;titles&gt;&lt;title&gt;Spica Prunallae&lt;/title&gt;&lt;/titles&gt;&lt;volume&gt;3&lt;/volume&gt;&lt;section&gt;317-324&lt;/section&gt;&lt;dates&gt;&lt;/dates&gt;&lt;urls&gt;&lt;/urls&gt;&lt;language&gt;e&lt;/language&gt;&lt;/record&gt;&lt;/Cite&gt;&lt;/EndNote&gt;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7" w:tooltip="Chinese Medicine Regulatory Office,  #7" w:history="1">
        <w:r w:rsidRPr="005E6B7C">
          <w:rPr>
            <w:rFonts w:asciiTheme="majorHAnsi" w:eastAsia="MS Mincho" w:hAnsiTheme="majorHAnsi" w:cstheme="majorHAnsi"/>
            <w:noProof/>
            <w:color w:val="000000" w:themeColor="text1"/>
            <w:sz w:val="22"/>
            <w:szCs w:val="22"/>
            <w:lang w:eastAsia="ja-JP"/>
          </w:rPr>
          <w:t>7</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xml:space="preserve">, RA is employed as a quality control marker for PS, whereas UA is used for the same purpose in the </w:t>
      </w:r>
      <w:r w:rsidRPr="005E6B7C">
        <w:rPr>
          <w:rFonts w:asciiTheme="majorHAnsi" w:eastAsia="MS Mincho" w:hAnsiTheme="majorHAnsi" w:cstheme="majorHAnsi"/>
          <w:iCs/>
          <w:color w:val="000000" w:themeColor="text1"/>
          <w:sz w:val="22"/>
          <w:szCs w:val="22"/>
          <w:lang w:eastAsia="ja-JP"/>
        </w:rPr>
        <w:t>European Pharmacopoeia (EP)</w:t>
      </w:r>
      <w:r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&lt;EndNote&gt;&lt;Cite&gt;&lt;Author&gt;European Directorate for the Quality of Medicines &amp;amp; HealthCare&lt;/Author&gt;&lt;Year&gt;2013&lt;/Year&gt;&lt;RecNum&gt;6&lt;/RecNum&gt;&lt;DisplayText&gt;[8]&lt;/DisplayText&gt;&lt;record&gt;&lt;rec-number&gt;6&lt;/rec-number&gt;&lt;foreign-keys&gt;&lt;key app="EN" db-id="dfdss00foa0rwcezdpapfex79erpx2ar500s" timestamp="0"&gt;6&lt;/key&gt;&lt;/foreign-keys&gt;&lt;ref-type name="Book"&gt;6&lt;/ref-type&gt;&lt;contributors&gt;&lt;authors&gt;&lt;author&gt;European Directorate for the Quality of Medicines &amp;amp; HealthCare, European pharmacopoeia,&lt;/author&gt;&lt;/authors&gt;&lt;/contributors&gt;&lt;titles&gt;&lt;title&gt;Prunellae spica&lt;/title&gt;&lt;/titles&gt;&lt;edition&gt;8th&lt;/edition&gt;&lt;section&gt;1219-1220&lt;/section&gt;&lt;dates&gt;&lt;year&gt;2013&lt;/year&gt;&lt;/dates&gt;&lt;pub-location&gt;Strasbourg&lt;/pub-location&gt;&lt;publisher&gt;Council of Europe&lt;/publisher&gt;&lt;urls&gt;&lt;/urls&gt;&lt;language&gt;e&lt;/language&gt;&lt;/record&gt;&lt;/Cite&gt;&lt;/EndNote&gt;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8" w:tooltip="European Directorate for the Quality of Medicines &amp; HealthCare, 2013 #6" w:history="1">
        <w:r w:rsidRPr="005E6B7C">
          <w:rPr>
            <w:rFonts w:asciiTheme="majorHAnsi" w:eastAsia="MS Mincho" w:hAnsiTheme="majorHAnsi" w:cstheme="majorHAnsi"/>
            <w:noProof/>
            <w:color w:val="000000" w:themeColor="text1"/>
            <w:sz w:val="22"/>
            <w:szCs w:val="22"/>
            <w:lang w:eastAsia="ja-JP"/>
          </w:rPr>
          <w:t>8</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Therefore, this study was conducted to upgrade an in-house standard for PS according to the VP V and CP in terms of qualitative and quantitative specifications.</w:t>
      </w:r>
    </w:p>
    <w:p w14:paraId="7816E7CE" w14:textId="77777777" w:rsidR="00E049CB" w:rsidRPr="005E6B7C" w:rsidRDefault="00E049CB" w:rsidP="008C0D47">
      <w:pPr>
        <w:tabs>
          <w:tab w:val="left" w:pos="270"/>
          <w:tab w:val="left" w:pos="540"/>
          <w:tab w:val="left" w:pos="9270"/>
        </w:tabs>
        <w:spacing w:line="254" w:lineRule="exact"/>
        <w:ind w:firstLine="284"/>
        <w:jc w:val="both"/>
        <w:outlineLvl w:val="1"/>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2. Materials and methods</w:t>
      </w:r>
    </w:p>
    <w:p w14:paraId="21C7AEEB" w14:textId="77777777" w:rsidR="00E049CB" w:rsidRPr="005E6B7C" w:rsidRDefault="00E049CB" w:rsidP="008C0D47">
      <w:pPr>
        <w:tabs>
          <w:tab w:val="left" w:pos="270"/>
          <w:tab w:val="left" w:pos="540"/>
          <w:tab w:val="left" w:pos="9270"/>
        </w:tabs>
        <w:spacing w:line="254"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2.1. Materials</w:t>
      </w:r>
    </w:p>
    <w:p w14:paraId="048E2233" w14:textId="4C9AC5BF" w:rsidR="005C2A66" w:rsidRPr="005E6B7C" w:rsidRDefault="00E049CB" w:rsidP="008C0D47">
      <w:pPr>
        <w:tabs>
          <w:tab w:val="left" w:pos="270"/>
          <w:tab w:val="left" w:pos="540"/>
          <w:tab w:val="left" w:pos="9270"/>
        </w:tabs>
        <w:spacing w:line="254"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Samples of </w:t>
      </w:r>
      <w:r w:rsidRPr="005E6B7C">
        <w:rPr>
          <w:rFonts w:asciiTheme="majorHAnsi" w:eastAsia="MS Mincho" w:hAnsiTheme="majorHAnsi" w:cstheme="majorHAnsi"/>
          <w:i/>
          <w:color w:val="000000" w:themeColor="text1"/>
          <w:sz w:val="22"/>
          <w:szCs w:val="22"/>
          <w:lang w:eastAsia="ja-JP"/>
        </w:rPr>
        <w:t xml:space="preserve">Prunellae spica </w:t>
      </w:r>
      <w:r w:rsidRPr="005E6B7C">
        <w:rPr>
          <w:rFonts w:asciiTheme="majorHAnsi" w:eastAsia="MS Mincho" w:hAnsiTheme="majorHAnsi" w:cstheme="majorHAnsi"/>
          <w:color w:val="000000" w:themeColor="text1"/>
          <w:sz w:val="22"/>
          <w:szCs w:val="22"/>
          <w:lang w:eastAsia="ja-JP"/>
        </w:rPr>
        <w:t xml:space="preserve">were collected </w:t>
      </w:r>
      <w:r w:rsidRPr="005E6B7C">
        <w:rPr>
          <w:rFonts w:asciiTheme="majorHAnsi" w:eastAsia="MS Mincho" w:hAnsiTheme="majorHAnsi" w:cstheme="majorHAnsi"/>
          <w:color w:val="000000" w:themeColor="text1"/>
          <w:sz w:val="22"/>
          <w:szCs w:val="22"/>
          <w:lang w:eastAsia="ja-JP"/>
        </w:rPr>
        <w:lastRenderedPageBreak/>
        <w:t xml:space="preserve">from several provinces in Vietnam (Table 1) and </w:t>
      </w:r>
      <w:r w:rsidR="00FA461B" w:rsidRPr="005E6B7C">
        <w:rPr>
          <w:rFonts w:asciiTheme="majorHAnsi" w:eastAsia="MS Mincho" w:hAnsiTheme="majorHAnsi" w:cstheme="majorHAnsi"/>
          <w:color w:val="000000" w:themeColor="text1"/>
          <w:sz w:val="22"/>
          <w:szCs w:val="22"/>
          <w:lang w:eastAsia="ja-JP"/>
        </w:rPr>
        <w:t>identified based on morphological characteristics</w:t>
      </w:r>
      <w:r w:rsidRPr="005E6B7C">
        <w:rPr>
          <w:rFonts w:asciiTheme="majorHAnsi" w:eastAsia="MS Mincho" w:hAnsiTheme="majorHAnsi" w:cstheme="majorHAnsi"/>
          <w:color w:val="000000" w:themeColor="text1"/>
          <w:sz w:val="22"/>
          <w:szCs w:val="22"/>
          <w:lang w:eastAsia="ja-JP"/>
        </w:rPr>
        <w:t xml:space="preserve"> by Assoc. Prof. Pham Thanh Huyen, National </w:t>
      </w:r>
      <w:r w:rsidRPr="005E6B7C">
        <w:rPr>
          <w:rFonts w:asciiTheme="majorHAnsi" w:eastAsia="MS Mincho" w:hAnsiTheme="majorHAnsi" w:cstheme="majorHAnsi"/>
          <w:color w:val="000000" w:themeColor="text1"/>
          <w:sz w:val="22"/>
          <w:szCs w:val="22"/>
          <w:lang w:eastAsia="ja-JP"/>
        </w:rPr>
        <w:t>Institute of Medicinal Materials. The plant materials were then oven-dried at 50°C and ground into powder before extraction.</w:t>
      </w:r>
    </w:p>
    <w:p w14:paraId="5BC2B42D"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5C2A66">
          <w:type w:val="continuous"/>
          <w:pgSz w:w="10773" w:h="15309" w:code="9"/>
          <w:pgMar w:top="907" w:right="851" w:bottom="1418" w:left="851" w:header="397" w:footer="851" w:gutter="0"/>
          <w:cols w:num="2" w:space="284"/>
          <w:docGrid w:linePitch="360"/>
        </w:sectPr>
      </w:pPr>
    </w:p>
    <w:p w14:paraId="5786FE49" w14:textId="77777777"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095F30" w:rsidRPr="005E6B7C">
        <w:rPr>
          <w:rFonts w:asciiTheme="majorHAnsi" w:eastAsia="Calibri" w:hAnsiTheme="majorHAnsi" w:cstheme="majorHAnsi"/>
          <w:b/>
          <w:color w:val="000000" w:themeColor="text1"/>
          <w:kern w:val="2"/>
          <w:sz w:val="18"/>
          <w:szCs w:val="18"/>
          <w14:ligatures w14:val="standardContextual"/>
        </w:rPr>
        <w:t xml:space="preserve"> 1</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List of the test samples</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
        <w:gridCol w:w="1680"/>
        <w:gridCol w:w="3494"/>
        <w:gridCol w:w="2913"/>
      </w:tblGrid>
      <w:tr w:rsidR="00573010" w:rsidRPr="005E6B7C" w14:paraId="789C68B6" w14:textId="77777777" w:rsidTr="006B6755">
        <w:trPr>
          <w:trHeight w:val="103"/>
          <w:jc w:val="center"/>
        </w:trPr>
        <w:tc>
          <w:tcPr>
            <w:tcW w:w="1016" w:type="dxa"/>
          </w:tcPr>
          <w:p w14:paraId="70D60B7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No.</w:t>
            </w:r>
          </w:p>
        </w:tc>
        <w:tc>
          <w:tcPr>
            <w:tcW w:w="1731" w:type="dxa"/>
          </w:tcPr>
          <w:p w14:paraId="5E83938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Samples</w:t>
            </w:r>
          </w:p>
        </w:tc>
        <w:tc>
          <w:tcPr>
            <w:tcW w:w="3654" w:type="dxa"/>
          </w:tcPr>
          <w:p w14:paraId="78BE6E4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Location</w:t>
            </w:r>
          </w:p>
        </w:tc>
        <w:tc>
          <w:tcPr>
            <w:tcW w:w="3031" w:type="dxa"/>
          </w:tcPr>
          <w:p w14:paraId="3C99F01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Collection time</w:t>
            </w:r>
          </w:p>
        </w:tc>
      </w:tr>
      <w:tr w:rsidR="00573010" w:rsidRPr="005E6B7C" w14:paraId="0C285407" w14:textId="77777777" w:rsidTr="006B6755">
        <w:trPr>
          <w:trHeight w:val="103"/>
          <w:jc w:val="center"/>
        </w:trPr>
        <w:tc>
          <w:tcPr>
            <w:tcW w:w="1016" w:type="dxa"/>
          </w:tcPr>
          <w:p w14:paraId="2369FD7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1731" w:type="dxa"/>
          </w:tcPr>
          <w:p w14:paraId="342D6EB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M1</w:t>
            </w:r>
          </w:p>
        </w:tc>
        <w:tc>
          <w:tcPr>
            <w:tcW w:w="3654" w:type="dxa"/>
          </w:tcPr>
          <w:p w14:paraId="4DFD039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SaPa, Lao Cai</w:t>
            </w:r>
            <w:r w:rsidRPr="005E6B7C">
              <w:rPr>
                <w:rFonts w:asciiTheme="majorHAnsi" w:eastAsia="Yu Mincho" w:hAnsiTheme="majorHAnsi" w:cstheme="majorHAnsi"/>
                <w:color w:val="000000" w:themeColor="text1"/>
                <w:sz w:val="18"/>
                <w:szCs w:val="18"/>
                <w:lang w:eastAsia="ja-JP"/>
              </w:rPr>
              <w:t>*</w:t>
            </w:r>
          </w:p>
        </w:tc>
        <w:tc>
          <w:tcPr>
            <w:tcW w:w="3031" w:type="dxa"/>
          </w:tcPr>
          <w:p w14:paraId="7E7FE95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06.2025</w:t>
            </w:r>
          </w:p>
        </w:tc>
      </w:tr>
      <w:tr w:rsidR="00573010" w:rsidRPr="005E6B7C" w14:paraId="3E6B8FA4" w14:textId="77777777" w:rsidTr="006B6755">
        <w:trPr>
          <w:trHeight w:val="103"/>
          <w:jc w:val="center"/>
        </w:trPr>
        <w:tc>
          <w:tcPr>
            <w:tcW w:w="1016" w:type="dxa"/>
          </w:tcPr>
          <w:p w14:paraId="022C4FB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2</w:t>
            </w:r>
          </w:p>
        </w:tc>
        <w:tc>
          <w:tcPr>
            <w:tcW w:w="1731" w:type="dxa"/>
          </w:tcPr>
          <w:p w14:paraId="78FAB14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M2</w:t>
            </w:r>
          </w:p>
        </w:tc>
        <w:tc>
          <w:tcPr>
            <w:tcW w:w="3654" w:type="dxa"/>
          </w:tcPr>
          <w:p w14:paraId="44712CB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Quan Ba, Ha Giang</w:t>
            </w:r>
          </w:p>
        </w:tc>
        <w:tc>
          <w:tcPr>
            <w:tcW w:w="3031" w:type="dxa"/>
          </w:tcPr>
          <w:p w14:paraId="44CE6E5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06.2025</w:t>
            </w:r>
          </w:p>
        </w:tc>
      </w:tr>
      <w:tr w:rsidR="00573010" w:rsidRPr="005E6B7C" w14:paraId="06E88CB4" w14:textId="77777777" w:rsidTr="006B6755">
        <w:trPr>
          <w:trHeight w:val="103"/>
          <w:jc w:val="center"/>
        </w:trPr>
        <w:tc>
          <w:tcPr>
            <w:tcW w:w="1016" w:type="dxa"/>
          </w:tcPr>
          <w:p w14:paraId="3F725B7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3</w:t>
            </w:r>
          </w:p>
        </w:tc>
        <w:tc>
          <w:tcPr>
            <w:tcW w:w="1731" w:type="dxa"/>
          </w:tcPr>
          <w:p w14:paraId="212C031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M3</w:t>
            </w:r>
          </w:p>
        </w:tc>
        <w:tc>
          <w:tcPr>
            <w:tcW w:w="3654" w:type="dxa"/>
          </w:tcPr>
          <w:p w14:paraId="307EF31A"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Dong Van, Ha Giang</w:t>
            </w:r>
          </w:p>
        </w:tc>
        <w:tc>
          <w:tcPr>
            <w:tcW w:w="3031" w:type="dxa"/>
          </w:tcPr>
          <w:p w14:paraId="114108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1B6AF94A" w14:textId="77777777" w:rsidTr="006B6755">
        <w:trPr>
          <w:trHeight w:val="103"/>
          <w:jc w:val="center"/>
        </w:trPr>
        <w:tc>
          <w:tcPr>
            <w:tcW w:w="1016" w:type="dxa"/>
          </w:tcPr>
          <w:p w14:paraId="226A8C3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731" w:type="dxa"/>
          </w:tcPr>
          <w:p w14:paraId="6C92D88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M4</w:t>
            </w:r>
          </w:p>
        </w:tc>
        <w:tc>
          <w:tcPr>
            <w:tcW w:w="3654" w:type="dxa"/>
          </w:tcPr>
          <w:p w14:paraId="5888864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Sin Ho, Lai Chau</w:t>
            </w:r>
          </w:p>
        </w:tc>
        <w:tc>
          <w:tcPr>
            <w:tcW w:w="3031" w:type="dxa"/>
          </w:tcPr>
          <w:p w14:paraId="0893713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773D6AC6" w14:textId="77777777" w:rsidTr="006B6755">
        <w:trPr>
          <w:trHeight w:val="103"/>
          <w:jc w:val="center"/>
        </w:trPr>
        <w:tc>
          <w:tcPr>
            <w:tcW w:w="1016" w:type="dxa"/>
          </w:tcPr>
          <w:p w14:paraId="71EA491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731" w:type="dxa"/>
          </w:tcPr>
          <w:p w14:paraId="44032D4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M5</w:t>
            </w:r>
          </w:p>
        </w:tc>
        <w:tc>
          <w:tcPr>
            <w:tcW w:w="3654" w:type="dxa"/>
          </w:tcPr>
          <w:p w14:paraId="48ECFDE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Dong Van, Ha Giang</w:t>
            </w:r>
          </w:p>
        </w:tc>
        <w:tc>
          <w:tcPr>
            <w:tcW w:w="3031" w:type="dxa"/>
          </w:tcPr>
          <w:p w14:paraId="46D512C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52AFBA66" w14:textId="77777777" w:rsidTr="006B6755">
        <w:trPr>
          <w:trHeight w:val="103"/>
          <w:jc w:val="center"/>
        </w:trPr>
        <w:tc>
          <w:tcPr>
            <w:tcW w:w="1016" w:type="dxa"/>
          </w:tcPr>
          <w:p w14:paraId="0A36270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731" w:type="dxa"/>
          </w:tcPr>
          <w:p w14:paraId="5A838C4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M6</w:t>
            </w:r>
          </w:p>
        </w:tc>
        <w:tc>
          <w:tcPr>
            <w:tcW w:w="3654" w:type="dxa"/>
          </w:tcPr>
          <w:p w14:paraId="03AA93F6"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SaPa, Lao Cai</w:t>
            </w:r>
          </w:p>
        </w:tc>
        <w:tc>
          <w:tcPr>
            <w:tcW w:w="3031" w:type="dxa"/>
          </w:tcPr>
          <w:p w14:paraId="41FAEF0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2E5C2A1D" w14:textId="77777777" w:rsidTr="006B6755">
        <w:trPr>
          <w:trHeight w:val="103"/>
          <w:jc w:val="center"/>
        </w:trPr>
        <w:tc>
          <w:tcPr>
            <w:tcW w:w="1016" w:type="dxa"/>
          </w:tcPr>
          <w:p w14:paraId="3A8ECE5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731" w:type="dxa"/>
          </w:tcPr>
          <w:p w14:paraId="138FDA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M7</w:t>
            </w:r>
          </w:p>
        </w:tc>
        <w:tc>
          <w:tcPr>
            <w:tcW w:w="3654" w:type="dxa"/>
          </w:tcPr>
          <w:p w14:paraId="10CD4881"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Quan Ba, Ha Giang</w:t>
            </w:r>
          </w:p>
        </w:tc>
        <w:tc>
          <w:tcPr>
            <w:tcW w:w="3031" w:type="dxa"/>
          </w:tcPr>
          <w:p w14:paraId="2E63310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0FB73223" w14:textId="77777777" w:rsidTr="006B6755">
        <w:trPr>
          <w:trHeight w:val="103"/>
          <w:jc w:val="center"/>
        </w:trPr>
        <w:tc>
          <w:tcPr>
            <w:tcW w:w="1016" w:type="dxa"/>
          </w:tcPr>
          <w:p w14:paraId="20C8753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731" w:type="dxa"/>
          </w:tcPr>
          <w:p w14:paraId="4544F72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M8</w:t>
            </w:r>
          </w:p>
        </w:tc>
        <w:tc>
          <w:tcPr>
            <w:tcW w:w="3654" w:type="dxa"/>
          </w:tcPr>
          <w:p w14:paraId="01C9590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Quan Ba, Ha Giang</w:t>
            </w:r>
          </w:p>
        </w:tc>
        <w:tc>
          <w:tcPr>
            <w:tcW w:w="3031" w:type="dxa"/>
          </w:tcPr>
          <w:p w14:paraId="2469F3B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07.2025</w:t>
            </w:r>
          </w:p>
        </w:tc>
      </w:tr>
      <w:tr w:rsidR="00573010" w:rsidRPr="005E6B7C" w14:paraId="5DFE75F6" w14:textId="77777777" w:rsidTr="006B6755">
        <w:trPr>
          <w:trHeight w:val="103"/>
          <w:jc w:val="center"/>
        </w:trPr>
        <w:tc>
          <w:tcPr>
            <w:tcW w:w="1016" w:type="dxa"/>
          </w:tcPr>
          <w:p w14:paraId="020B28D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1731" w:type="dxa"/>
          </w:tcPr>
          <w:p w14:paraId="012B1F9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TT1</w:t>
            </w:r>
          </w:p>
        </w:tc>
        <w:tc>
          <w:tcPr>
            <w:tcW w:w="3654" w:type="dxa"/>
          </w:tcPr>
          <w:p w14:paraId="6E68C3DE"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Lan Ong Street, Hanoi</w:t>
            </w:r>
          </w:p>
        </w:tc>
        <w:tc>
          <w:tcPr>
            <w:tcW w:w="3031" w:type="dxa"/>
          </w:tcPr>
          <w:p w14:paraId="442F19D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08.2025</w:t>
            </w:r>
          </w:p>
        </w:tc>
      </w:tr>
      <w:tr w:rsidR="00573010" w:rsidRPr="005E6B7C" w14:paraId="2E236A08" w14:textId="77777777" w:rsidTr="006B6755">
        <w:trPr>
          <w:trHeight w:val="103"/>
          <w:jc w:val="center"/>
        </w:trPr>
        <w:tc>
          <w:tcPr>
            <w:tcW w:w="1016" w:type="dxa"/>
          </w:tcPr>
          <w:p w14:paraId="0600550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1731" w:type="dxa"/>
          </w:tcPr>
          <w:p w14:paraId="55CBC92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TT2</w:t>
            </w:r>
          </w:p>
        </w:tc>
        <w:tc>
          <w:tcPr>
            <w:tcW w:w="3654" w:type="dxa"/>
          </w:tcPr>
          <w:p w14:paraId="05F00F6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Lan Ong Street, Hanoi</w:t>
            </w:r>
          </w:p>
        </w:tc>
        <w:tc>
          <w:tcPr>
            <w:tcW w:w="3031" w:type="dxa"/>
          </w:tcPr>
          <w:p w14:paraId="658B5AB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08.2025</w:t>
            </w:r>
          </w:p>
        </w:tc>
      </w:tr>
      <w:tr w:rsidR="00573010" w:rsidRPr="005E6B7C" w14:paraId="0A31A176" w14:textId="77777777" w:rsidTr="006B6755">
        <w:trPr>
          <w:trHeight w:val="103"/>
          <w:jc w:val="center"/>
        </w:trPr>
        <w:tc>
          <w:tcPr>
            <w:tcW w:w="1016" w:type="dxa"/>
          </w:tcPr>
          <w:p w14:paraId="1FA7890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1731" w:type="dxa"/>
          </w:tcPr>
          <w:p w14:paraId="794190E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TT3</w:t>
            </w:r>
          </w:p>
        </w:tc>
        <w:tc>
          <w:tcPr>
            <w:tcW w:w="3654" w:type="dxa"/>
          </w:tcPr>
          <w:p w14:paraId="6360342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Lan Ong Street, Hanoi</w:t>
            </w:r>
          </w:p>
        </w:tc>
        <w:tc>
          <w:tcPr>
            <w:tcW w:w="3031" w:type="dxa"/>
          </w:tcPr>
          <w:p w14:paraId="7CBD6DF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08.2025</w:t>
            </w:r>
          </w:p>
        </w:tc>
      </w:tr>
      <w:tr w:rsidR="00573010" w:rsidRPr="005E6B7C" w14:paraId="2DF97BF6" w14:textId="77777777" w:rsidTr="006B6755">
        <w:trPr>
          <w:trHeight w:val="103"/>
          <w:jc w:val="center"/>
        </w:trPr>
        <w:tc>
          <w:tcPr>
            <w:tcW w:w="1016" w:type="dxa"/>
          </w:tcPr>
          <w:p w14:paraId="2D0BECD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1731" w:type="dxa"/>
          </w:tcPr>
          <w:p w14:paraId="3D896D5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TT4</w:t>
            </w:r>
          </w:p>
        </w:tc>
        <w:tc>
          <w:tcPr>
            <w:tcW w:w="3654" w:type="dxa"/>
          </w:tcPr>
          <w:p w14:paraId="5C35554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Lan Ong Street, Hanoi</w:t>
            </w:r>
          </w:p>
        </w:tc>
        <w:tc>
          <w:tcPr>
            <w:tcW w:w="3031" w:type="dxa"/>
          </w:tcPr>
          <w:p w14:paraId="0515BCD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08.2025</w:t>
            </w:r>
          </w:p>
        </w:tc>
      </w:tr>
    </w:tbl>
    <w:p w14:paraId="571564A2" w14:textId="77777777" w:rsidR="00E049CB" w:rsidRPr="005E6B7C" w:rsidRDefault="00E049CB" w:rsidP="008C0D47">
      <w:pPr>
        <w:tabs>
          <w:tab w:val="left" w:pos="270"/>
          <w:tab w:val="left" w:pos="540"/>
          <w:tab w:val="left" w:pos="9270"/>
        </w:tabs>
        <w:spacing w:before="120"/>
        <w:ind w:right="-20" w:firstLine="284"/>
        <w:jc w:val="both"/>
        <w:rPr>
          <w:rFonts w:asciiTheme="majorHAnsi" w:eastAsia="MS Mincho" w:hAnsiTheme="majorHAnsi" w:cstheme="majorHAnsi"/>
          <w:i/>
          <w:color w:val="000000" w:themeColor="text1"/>
          <w:sz w:val="18"/>
          <w:szCs w:val="18"/>
          <w:lang w:eastAsia="ja-JP"/>
        </w:rPr>
      </w:pPr>
      <w:r w:rsidRPr="005E6B7C">
        <w:rPr>
          <w:rFonts w:asciiTheme="majorHAnsi" w:eastAsia="MS Mincho" w:hAnsiTheme="majorHAnsi" w:cstheme="majorHAnsi"/>
          <w:i/>
          <w:color w:val="000000" w:themeColor="text1"/>
          <w:sz w:val="18"/>
          <w:szCs w:val="18"/>
          <w:lang w:eastAsia="ja-JP"/>
        </w:rPr>
        <w:t xml:space="preserve">Samples M1-M8 were used to upgrade an in-house standard for PS; * Sample M1 was used for </w:t>
      </w:r>
      <w:r w:rsidRPr="005E6B7C">
        <w:rPr>
          <w:rFonts w:asciiTheme="majorHAnsi" w:eastAsia="MS Mincho" w:hAnsiTheme="majorHAnsi" w:cstheme="majorHAnsi"/>
          <w:bCs/>
          <w:i/>
          <w:color w:val="000000" w:themeColor="text1"/>
          <w:sz w:val="18"/>
          <w:szCs w:val="18"/>
          <w:lang w:eastAsia="ja-JP"/>
        </w:rPr>
        <w:t>HPLC method validation</w:t>
      </w:r>
      <w:r w:rsidRPr="005E6B7C">
        <w:rPr>
          <w:rFonts w:asciiTheme="majorHAnsi" w:eastAsia="MS Mincho" w:hAnsiTheme="majorHAnsi" w:cstheme="majorHAnsi"/>
          <w:i/>
          <w:color w:val="000000" w:themeColor="text1"/>
          <w:sz w:val="18"/>
          <w:szCs w:val="18"/>
          <w:lang w:eastAsia="ja-JP"/>
        </w:rPr>
        <w:t>; Samples TT1-TT4 were collected on the market.</w:t>
      </w:r>
    </w:p>
    <w:p w14:paraId="6AC273A4" w14:textId="77777777" w:rsidR="00EC45B5" w:rsidRPr="005E6B7C" w:rsidRDefault="00EC45B5" w:rsidP="008C0D47">
      <w:pPr>
        <w:tabs>
          <w:tab w:val="left" w:pos="270"/>
          <w:tab w:val="left" w:pos="540"/>
          <w:tab w:val="left" w:pos="9270"/>
        </w:tabs>
        <w:ind w:right="-20"/>
        <w:jc w:val="both"/>
        <w:outlineLvl w:val="2"/>
        <w:rPr>
          <w:rFonts w:asciiTheme="majorHAnsi" w:eastAsia="Times New Roman" w:hAnsiTheme="majorHAnsi" w:cstheme="majorHAnsi"/>
          <w:i/>
          <w:iCs/>
          <w:color w:val="000000" w:themeColor="text1"/>
          <w:sz w:val="22"/>
          <w:szCs w:val="22"/>
          <w:lang w:eastAsia="ja-JP"/>
        </w:rPr>
      </w:pPr>
    </w:p>
    <w:p w14:paraId="40DB3DC9" w14:textId="77777777" w:rsidR="005C2A66" w:rsidRPr="005E6B7C" w:rsidRDefault="005C2A66"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i/>
          <w:iCs/>
          <w:color w:val="000000" w:themeColor="text1"/>
          <w:sz w:val="22"/>
          <w:szCs w:val="22"/>
          <w:lang w:eastAsia="ja-JP"/>
        </w:rPr>
        <w:sectPr w:rsidR="005C2A66" w:rsidRPr="005E6B7C" w:rsidSect="002206BB">
          <w:type w:val="continuous"/>
          <w:pgSz w:w="10773" w:h="15309" w:code="9"/>
          <w:pgMar w:top="907" w:right="851" w:bottom="1418" w:left="851" w:header="397" w:footer="851" w:gutter="0"/>
          <w:cols w:space="284"/>
          <w:docGrid w:linePitch="360"/>
        </w:sectPr>
      </w:pPr>
    </w:p>
    <w:p w14:paraId="35DE0E61" w14:textId="77777777" w:rsidR="00E049CB" w:rsidRPr="005E6B7C" w:rsidRDefault="00E049CB" w:rsidP="008C0D47">
      <w:pPr>
        <w:tabs>
          <w:tab w:val="left" w:pos="270"/>
          <w:tab w:val="left" w:pos="540"/>
          <w:tab w:val="left" w:pos="9270"/>
        </w:tabs>
        <w:spacing w:line="243"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2.2. Chemicals</w:t>
      </w:r>
    </w:p>
    <w:p w14:paraId="22DA6838"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Reference substances: Rosmarinic acid (CAS No. 20283-92-5; Lot No. CNF99103; purity 98%) and ursolic acid (CAS No. 77-52-1; Lot No. CNF97259; purity 98%) were purchased from ChemFaces (China).</w:t>
      </w:r>
    </w:p>
    <w:p w14:paraId="2FDD0309" w14:textId="20139041"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Reference medicinal material</w:t>
      </w:r>
      <w:r w:rsidR="003A0517" w:rsidRPr="005E6B7C">
        <w:rPr>
          <w:rFonts w:asciiTheme="majorHAnsi" w:eastAsia="MS Mincho" w:hAnsiTheme="majorHAnsi" w:cstheme="majorHAnsi"/>
          <w:color w:val="000000" w:themeColor="text1"/>
          <w:sz w:val="22"/>
          <w:szCs w:val="22"/>
          <w:lang w:eastAsia="ja-JP"/>
        </w:rPr>
        <w:t>s</w:t>
      </w:r>
      <w:r w:rsidRPr="005E6B7C">
        <w:rPr>
          <w:rFonts w:asciiTheme="majorHAnsi" w:eastAsia="MS Mincho" w:hAnsiTheme="majorHAnsi" w:cstheme="majorHAnsi"/>
          <w:color w:val="000000" w:themeColor="text1"/>
          <w:sz w:val="22"/>
          <w:szCs w:val="22"/>
          <w:lang w:eastAsia="ja-JP"/>
        </w:rPr>
        <w:t>: PS (Lot No. HP0125120) was obtained from the National Institute of Drug Quality Control (Vietnam).</w:t>
      </w:r>
    </w:p>
    <w:p w14:paraId="4CCA502D"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Solvents and reagents: Solvents and chemicals used for TLC and HPLC were purchased from Merck (Germany). All solvents and reagents used for extraction and sample preparation in quantitative analysis were of analytical grade. TLC F</w:t>
      </w:r>
      <w:r w:rsidRPr="005E6B7C">
        <w:rPr>
          <w:rFonts w:asciiTheme="majorHAnsi" w:eastAsia="MS Mincho" w:hAnsiTheme="majorHAnsi" w:cstheme="majorHAnsi"/>
          <w:color w:val="000000" w:themeColor="text1"/>
          <w:sz w:val="22"/>
          <w:szCs w:val="22"/>
          <w:vertAlign w:val="subscript"/>
          <w:lang w:eastAsia="ja-JP"/>
        </w:rPr>
        <w:t>254</w:t>
      </w:r>
      <w:r w:rsidRPr="005E6B7C">
        <w:rPr>
          <w:rFonts w:asciiTheme="majorHAnsi" w:eastAsia="MS Mincho" w:hAnsiTheme="majorHAnsi" w:cstheme="majorHAnsi"/>
          <w:color w:val="000000" w:themeColor="text1"/>
          <w:sz w:val="22"/>
          <w:szCs w:val="22"/>
          <w:lang w:eastAsia="ja-JP"/>
        </w:rPr>
        <w:t>S</w:t>
      </w:r>
      <w:r w:rsidRPr="005E6B7C">
        <w:rPr>
          <w:rFonts w:asciiTheme="majorHAnsi" w:eastAsia="MS Mincho" w:hAnsiTheme="majorHAnsi" w:cstheme="majorHAnsi"/>
          <w:color w:val="000000" w:themeColor="text1"/>
          <w:sz w:val="22"/>
          <w:szCs w:val="22"/>
          <w:vertAlign w:val="subscript"/>
          <w:lang w:eastAsia="ja-JP"/>
        </w:rPr>
        <w:t xml:space="preserve"> </w:t>
      </w:r>
      <w:r w:rsidR="00894500" w:rsidRPr="005E6B7C">
        <w:rPr>
          <w:rFonts w:asciiTheme="majorHAnsi" w:eastAsia="MS Mincho" w:hAnsiTheme="majorHAnsi" w:cstheme="majorHAnsi"/>
          <w:i/>
          <w:iCs/>
          <w:color w:val="000000" w:themeColor="text1"/>
          <w:sz w:val="22"/>
          <w:szCs w:val="22"/>
          <w:lang w:eastAsia="ja-JP"/>
        </w:rPr>
        <w:t>silica gel</w:t>
      </w:r>
      <w:r w:rsidRPr="005E6B7C">
        <w:rPr>
          <w:rFonts w:asciiTheme="majorHAnsi" w:eastAsia="MS Mincho" w:hAnsiTheme="majorHAnsi" w:cstheme="majorHAnsi"/>
          <w:color w:val="000000" w:themeColor="text1"/>
          <w:sz w:val="22"/>
          <w:szCs w:val="22"/>
          <w:lang w:eastAsia="ja-JP"/>
        </w:rPr>
        <w:t xml:space="preserve"> plates (Merck) were used for chromatographic analysis.</w:t>
      </w:r>
    </w:p>
    <w:p w14:paraId="0872BB5F" w14:textId="77777777" w:rsidR="00E049CB" w:rsidRPr="005E6B7C" w:rsidRDefault="00E049CB" w:rsidP="008C0D47">
      <w:pPr>
        <w:tabs>
          <w:tab w:val="left" w:pos="270"/>
          <w:tab w:val="left" w:pos="540"/>
          <w:tab w:val="left" w:pos="9270"/>
        </w:tabs>
        <w:spacing w:line="243"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2.3. Instruments</w:t>
      </w:r>
    </w:p>
    <w:p w14:paraId="348AEA01"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 HPLC system (Shimadzu, Japan) used for analysis consisted of an LC-20AD pump, a SIL-20AHT autosampler, and a DAD detector. Data acquisition and processing were performed using LabSolutions software. The chromatographic separation was carried out on an Agilent C</w:t>
      </w:r>
      <w:r w:rsidRPr="005E6B7C">
        <w:rPr>
          <w:rFonts w:asciiTheme="majorHAnsi" w:eastAsia="MS Mincho" w:hAnsiTheme="majorHAnsi" w:cstheme="majorHAnsi"/>
          <w:color w:val="000000" w:themeColor="text1"/>
          <w:sz w:val="22"/>
          <w:szCs w:val="22"/>
          <w:vertAlign w:val="subscript"/>
          <w:lang w:eastAsia="ja-JP"/>
        </w:rPr>
        <w:t>18</w:t>
      </w:r>
      <w:r w:rsidRPr="005E6B7C">
        <w:rPr>
          <w:rFonts w:asciiTheme="majorHAnsi" w:eastAsia="MS Mincho" w:hAnsiTheme="majorHAnsi" w:cstheme="majorHAnsi"/>
          <w:color w:val="000000" w:themeColor="text1"/>
          <w:sz w:val="22"/>
          <w:szCs w:val="22"/>
          <w:lang w:eastAsia="ja-JP"/>
        </w:rPr>
        <w:t xml:space="preserve"> column (250 × 4.6 mm, 5 </w:t>
      </w:r>
      <w:r w:rsidRPr="005E6B7C">
        <w:rPr>
          <w:rFonts w:asciiTheme="majorHAnsi" w:eastAsia="MS Mincho" w:hAnsiTheme="majorHAnsi" w:cstheme="majorHAnsi"/>
          <w:color w:val="000000" w:themeColor="text1"/>
          <w:sz w:val="22"/>
          <w:szCs w:val="22"/>
          <w:lang w:val="it-IT" w:eastAsia="ja-JP"/>
        </w:rPr>
        <w:t>μ</w:t>
      </w:r>
      <w:r w:rsidRPr="005E6B7C">
        <w:rPr>
          <w:rFonts w:asciiTheme="majorHAnsi" w:eastAsia="MS Mincho" w:hAnsiTheme="majorHAnsi" w:cstheme="majorHAnsi"/>
          <w:color w:val="000000" w:themeColor="text1"/>
          <w:sz w:val="22"/>
          <w:szCs w:val="22"/>
          <w:lang w:eastAsia="ja-JP"/>
        </w:rPr>
        <w:t>m).</w:t>
      </w:r>
    </w:p>
    <w:p w14:paraId="503FEE92" w14:textId="77777777" w:rsidR="00E049CB" w:rsidRPr="005E6B7C" w:rsidRDefault="00E049CB" w:rsidP="008C0D47">
      <w:pPr>
        <w:tabs>
          <w:tab w:val="left" w:pos="270"/>
          <w:tab w:val="left" w:pos="540"/>
          <w:tab w:val="left" w:pos="9270"/>
        </w:tabs>
        <w:spacing w:line="243"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2.4. Methods</w:t>
      </w:r>
    </w:p>
    <w:p w14:paraId="3FB03872"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2.4.1. Description, powder, water content, total ash, acid-insoluble ash, extractives, foreign matter</w:t>
      </w:r>
      <w:r w:rsidR="005D308C" w:rsidRPr="005E6B7C">
        <w:rPr>
          <w:rFonts w:asciiTheme="majorHAnsi" w:eastAsia="MS Mincho" w:hAnsiTheme="majorHAnsi" w:cstheme="majorHAnsi"/>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t xml:space="preserve"> </w:t>
      </w:r>
    </w:p>
    <w:p w14:paraId="66724C59"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These criteria were determined in accordance with the procedures described in the VP V.</w:t>
      </w:r>
    </w:p>
    <w:p w14:paraId="49E7D17E"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2.4.2. Identification</w:t>
      </w:r>
      <w:r w:rsidR="005D308C" w:rsidRPr="005E6B7C">
        <w:rPr>
          <w:rFonts w:asciiTheme="majorHAnsi" w:eastAsia="MS Mincho" w:hAnsiTheme="majorHAnsi" w:cstheme="majorHAnsi"/>
          <w:color w:val="000000" w:themeColor="text1"/>
          <w:sz w:val="22"/>
          <w:szCs w:val="22"/>
          <w:lang w:eastAsia="ja-JP"/>
        </w:rPr>
        <w:t>:</w:t>
      </w:r>
    </w:p>
    <w:p w14:paraId="5D5C9C79"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pacing w:val="-8"/>
          <w:sz w:val="22"/>
          <w:szCs w:val="22"/>
          <w:lang w:eastAsia="ja-JP"/>
        </w:rPr>
      </w:pPr>
      <w:r w:rsidRPr="005E6B7C">
        <w:rPr>
          <w:rFonts w:asciiTheme="majorHAnsi" w:eastAsia="MS Mincho" w:hAnsiTheme="majorHAnsi" w:cstheme="majorHAnsi"/>
          <w:color w:val="000000" w:themeColor="text1"/>
          <w:spacing w:val="-8"/>
          <w:sz w:val="22"/>
          <w:szCs w:val="22"/>
          <w:lang w:eastAsia="ja-JP"/>
        </w:rPr>
        <w:t>a. Identification by chemical reaction: Performed according to the PS</w:t>
      </w:r>
      <w:r w:rsidRPr="005E6B7C">
        <w:rPr>
          <w:rFonts w:asciiTheme="majorHAnsi" w:eastAsia="MS Mincho" w:hAnsiTheme="majorHAnsi" w:cstheme="majorHAnsi"/>
          <w:i/>
          <w:color w:val="000000" w:themeColor="text1"/>
          <w:spacing w:val="-8"/>
          <w:sz w:val="22"/>
          <w:szCs w:val="22"/>
          <w:lang w:eastAsia="ja-JP"/>
        </w:rPr>
        <w:t xml:space="preserve"> </w:t>
      </w:r>
      <w:r w:rsidRPr="005E6B7C">
        <w:rPr>
          <w:rFonts w:asciiTheme="majorHAnsi" w:eastAsia="MS Mincho" w:hAnsiTheme="majorHAnsi" w:cstheme="majorHAnsi"/>
          <w:color w:val="000000" w:themeColor="text1"/>
          <w:spacing w:val="-8"/>
          <w:sz w:val="22"/>
          <w:szCs w:val="22"/>
          <w:lang w:eastAsia="ja-JP"/>
        </w:rPr>
        <w:t>monograph in the VP V.</w:t>
      </w:r>
    </w:p>
    <w:p w14:paraId="44EBB5A8"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b. Identification by TLC: </w:t>
      </w:r>
    </w:p>
    <w:p w14:paraId="21A4D6DC"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Test solution: Accurately weigh approximately 2.5 g of PS powder, add 30 mL of 70% ethanol, sonicate for 30 minutes, then filter. Concentrate the filtrate to dryness, and dissolve the residue in 5 mL of ethanol to obtain the solution.</w:t>
      </w:r>
    </w:p>
    <w:p w14:paraId="4BD36DD1"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Reference medicinal material solution: Accurately weigh approximately 2.5 g of PS reference material powder and prepare in the same manner as the test solution.</w:t>
      </w:r>
    </w:p>
    <w:p w14:paraId="0928D81A"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Reference substance solution (1): Dissolve rosmarinic acid reference standard in methanol to obtain a concentration of 0.1 mg/mL.</w:t>
      </w:r>
    </w:p>
    <w:p w14:paraId="7EF70381"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Reference substance solution (2): Dissolve ursolic acid reference standard in methanol to obtain a concentration of 0.5 mg/mL.</w:t>
      </w:r>
    </w:p>
    <w:p w14:paraId="654E768E"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eastAsia="ja-JP"/>
        </w:rPr>
        <w:t>- Chromatographic conditions:</w:t>
      </w:r>
    </w:p>
    <w:p w14:paraId="0E2707D2"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Stationary phase: Pre-coated </w:t>
      </w:r>
      <w:r w:rsidR="00894500" w:rsidRPr="005E6B7C">
        <w:rPr>
          <w:rFonts w:asciiTheme="majorHAnsi" w:eastAsia="MS Mincho" w:hAnsiTheme="majorHAnsi" w:cstheme="majorHAnsi"/>
          <w:i/>
          <w:iCs/>
          <w:color w:val="000000" w:themeColor="text1"/>
          <w:sz w:val="22"/>
          <w:szCs w:val="22"/>
          <w:lang w:eastAsia="ja-JP"/>
        </w:rPr>
        <w:t>silica gel</w:t>
      </w:r>
      <w:r w:rsidRPr="005E6B7C">
        <w:rPr>
          <w:rFonts w:asciiTheme="majorHAnsi" w:eastAsia="MS Mincho" w:hAnsiTheme="majorHAnsi" w:cstheme="majorHAnsi"/>
          <w:color w:val="000000" w:themeColor="text1"/>
          <w:sz w:val="22"/>
          <w:szCs w:val="22"/>
          <w:lang w:eastAsia="ja-JP"/>
        </w:rPr>
        <w:t xml:space="preserve"> 60 GF</w:t>
      </w:r>
      <w:r w:rsidRPr="005E6B7C">
        <w:rPr>
          <w:rFonts w:asciiTheme="majorHAnsi" w:eastAsia="MS Mincho" w:hAnsiTheme="majorHAnsi" w:cstheme="majorHAnsi"/>
          <w:color w:val="000000" w:themeColor="text1"/>
          <w:sz w:val="22"/>
          <w:szCs w:val="22"/>
          <w:vertAlign w:val="subscript"/>
          <w:lang w:eastAsia="ja-JP"/>
        </w:rPr>
        <w:t>254</w:t>
      </w:r>
      <w:r w:rsidRPr="005E6B7C">
        <w:rPr>
          <w:rFonts w:asciiTheme="majorHAnsi" w:eastAsia="MS Mincho" w:hAnsiTheme="majorHAnsi" w:cstheme="majorHAnsi"/>
          <w:color w:val="000000" w:themeColor="text1"/>
          <w:sz w:val="22"/>
          <w:szCs w:val="22"/>
          <w:lang w:eastAsia="ja-JP"/>
        </w:rPr>
        <w:t xml:space="preserve"> TLC plates (Merck), activated at 100°C for 30 minutes.</w:t>
      </w:r>
    </w:p>
    <w:p w14:paraId="0A63BBCA"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Mobile phase (MP):</w:t>
      </w:r>
    </w:p>
    <w:p w14:paraId="2F27E636"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pacing w:val="-6"/>
          <w:sz w:val="22"/>
          <w:szCs w:val="22"/>
          <w:lang w:eastAsia="ja-JP"/>
        </w:rPr>
      </w:pPr>
      <w:r w:rsidRPr="005E6B7C">
        <w:rPr>
          <w:rFonts w:asciiTheme="majorHAnsi" w:eastAsia="MS Mincho" w:hAnsiTheme="majorHAnsi" w:cstheme="majorHAnsi"/>
          <w:color w:val="000000" w:themeColor="text1"/>
          <w:spacing w:val="-6"/>
          <w:sz w:val="22"/>
          <w:szCs w:val="22"/>
          <w:lang w:eastAsia="ja-JP"/>
        </w:rPr>
        <w:t xml:space="preserve">+ Condition I: cyclohexane – chloroform – ethyl acetate – glacial acetic acid (20:5:8:0.5, </w:t>
      </w:r>
      <w:r w:rsidRPr="005E6B7C">
        <w:rPr>
          <w:rFonts w:asciiTheme="majorHAnsi" w:eastAsia="MS Mincho" w:hAnsiTheme="majorHAnsi" w:cstheme="majorHAnsi"/>
          <w:i/>
          <w:color w:val="000000" w:themeColor="text1"/>
          <w:spacing w:val="-6"/>
          <w:sz w:val="22"/>
          <w:szCs w:val="22"/>
          <w:lang w:eastAsia="ja-JP"/>
        </w:rPr>
        <w:t>v/v/v/v</w:t>
      </w:r>
      <w:r w:rsidRPr="005E6B7C">
        <w:rPr>
          <w:rFonts w:asciiTheme="majorHAnsi" w:eastAsia="MS Mincho" w:hAnsiTheme="majorHAnsi" w:cstheme="majorHAnsi"/>
          <w:color w:val="000000" w:themeColor="text1"/>
          <w:spacing w:val="-6"/>
          <w:sz w:val="22"/>
          <w:szCs w:val="22"/>
          <w:lang w:eastAsia="ja-JP"/>
        </w:rPr>
        <w:t xml:space="preserve">) </w:t>
      </w:r>
    </w:p>
    <w:p w14:paraId="28B77771"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 Condition II: cyclohexane – ethyl acetate – isopropanol – formic acid (15:3:3.5:0.5, </w:t>
      </w:r>
      <w:r w:rsidRPr="005E6B7C">
        <w:rPr>
          <w:rFonts w:asciiTheme="majorHAnsi" w:eastAsia="MS Mincho" w:hAnsiTheme="majorHAnsi" w:cstheme="majorHAnsi"/>
          <w:i/>
          <w:color w:val="000000" w:themeColor="text1"/>
          <w:sz w:val="22"/>
          <w:szCs w:val="22"/>
          <w:lang w:eastAsia="ja-JP"/>
        </w:rPr>
        <w:t>v/v/v/v</w:t>
      </w:r>
      <w:r w:rsidRPr="005E6B7C">
        <w:rPr>
          <w:rFonts w:asciiTheme="majorHAnsi" w:eastAsia="MS Mincho" w:hAnsiTheme="majorHAnsi" w:cstheme="majorHAnsi"/>
          <w:color w:val="000000" w:themeColor="text1"/>
          <w:sz w:val="22"/>
          <w:szCs w:val="22"/>
          <w:lang w:eastAsia="ja-JP"/>
        </w:rPr>
        <w:t xml:space="preserve">) </w:t>
      </w:r>
    </w:p>
    <w:p w14:paraId="216DEB04"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val="fr-FR" w:eastAsia="ja-JP"/>
        </w:rPr>
      </w:pPr>
      <w:r w:rsidRPr="005E6B7C">
        <w:rPr>
          <w:rFonts w:asciiTheme="majorHAnsi" w:eastAsia="MS Mincho" w:hAnsiTheme="majorHAnsi" w:cstheme="majorHAnsi"/>
          <w:color w:val="000000" w:themeColor="text1"/>
          <w:sz w:val="22"/>
          <w:szCs w:val="22"/>
          <w:lang w:val="fr-FR" w:eastAsia="ja-JP"/>
        </w:rPr>
        <w:t xml:space="preserve">+ Condition III: </w:t>
      </w:r>
      <w:r w:rsidRPr="005E6B7C">
        <w:rPr>
          <w:rFonts w:asciiTheme="majorHAnsi" w:eastAsia="MS Mincho" w:hAnsiTheme="majorHAnsi" w:cstheme="majorHAnsi"/>
          <w:i/>
          <w:color w:val="000000" w:themeColor="text1"/>
          <w:sz w:val="22"/>
          <w:szCs w:val="22"/>
          <w:lang w:val="fr-FR" w:eastAsia="ja-JP"/>
        </w:rPr>
        <w:t>n</w:t>
      </w:r>
      <w:r w:rsidRPr="005E6B7C">
        <w:rPr>
          <w:rFonts w:asciiTheme="majorHAnsi" w:eastAsia="MS Mincho" w:hAnsiTheme="majorHAnsi" w:cstheme="majorHAnsi"/>
          <w:color w:val="000000" w:themeColor="text1"/>
          <w:sz w:val="22"/>
          <w:szCs w:val="22"/>
          <w:lang w:val="fr-FR" w:eastAsia="ja-JP"/>
        </w:rPr>
        <w:t xml:space="preserve">-hexane – ethyl acetate – isopropanol – formic acid (8:3:1.25:0.1, </w:t>
      </w:r>
      <w:r w:rsidRPr="005E6B7C">
        <w:rPr>
          <w:rFonts w:asciiTheme="majorHAnsi" w:eastAsia="MS Mincho" w:hAnsiTheme="majorHAnsi" w:cstheme="majorHAnsi"/>
          <w:i/>
          <w:color w:val="000000" w:themeColor="text1"/>
          <w:sz w:val="22"/>
          <w:szCs w:val="22"/>
          <w:lang w:val="fr-FR" w:eastAsia="ja-JP"/>
        </w:rPr>
        <w:t>v/v/v/v</w:t>
      </w:r>
      <w:r w:rsidRPr="005E6B7C">
        <w:rPr>
          <w:rFonts w:asciiTheme="majorHAnsi" w:eastAsia="MS Mincho" w:hAnsiTheme="majorHAnsi" w:cstheme="majorHAnsi"/>
          <w:color w:val="000000" w:themeColor="text1"/>
          <w:sz w:val="22"/>
          <w:szCs w:val="22"/>
          <w:lang w:val="fr-FR" w:eastAsia="ja-JP"/>
        </w:rPr>
        <w:t>).</w:t>
      </w:r>
    </w:p>
    <w:p w14:paraId="10DDBE70"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 Condition IV: toluene – ethyl acetate – acetone – formic acid (5:2:1:0.75, </w:t>
      </w:r>
      <w:r w:rsidRPr="005E6B7C">
        <w:rPr>
          <w:rFonts w:asciiTheme="majorHAnsi" w:eastAsia="MS Mincho" w:hAnsiTheme="majorHAnsi" w:cstheme="majorHAnsi"/>
          <w:i/>
          <w:color w:val="000000" w:themeColor="text1"/>
          <w:sz w:val="22"/>
          <w:szCs w:val="22"/>
          <w:lang w:eastAsia="ja-JP"/>
        </w:rPr>
        <w:t>v/v/v/v</w:t>
      </w:r>
      <w:r w:rsidRPr="005E6B7C">
        <w:rPr>
          <w:rFonts w:asciiTheme="majorHAnsi" w:eastAsia="MS Mincho" w:hAnsiTheme="majorHAnsi" w:cstheme="majorHAnsi"/>
          <w:color w:val="000000" w:themeColor="text1"/>
          <w:sz w:val="22"/>
          <w:szCs w:val="22"/>
          <w:lang w:eastAsia="ja-JP"/>
        </w:rPr>
        <w:t>).</w:t>
      </w:r>
    </w:p>
    <w:p w14:paraId="25DF9B31"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Detecting reagent: 10% sulfuric acid in ethanol.</w:t>
      </w:r>
    </w:p>
    <w:p w14:paraId="0E516BBD" w14:textId="77777777" w:rsidR="00E049CB" w:rsidRPr="005E6B7C" w:rsidRDefault="00E049CB" w:rsidP="008C0D47">
      <w:pPr>
        <w:tabs>
          <w:tab w:val="left" w:pos="270"/>
          <w:tab w:val="left" w:pos="540"/>
          <w:tab w:val="left" w:pos="9270"/>
        </w:tabs>
        <w:spacing w:line="243"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Procedure: Spot 5 μL of the test solution and each reference solution separately on the TLC plate. Develop the chromatogram according to the VP V, Appendix 5.4. After the solvent front has </w:t>
      </w:r>
      <w:r w:rsidRPr="005E6B7C">
        <w:rPr>
          <w:rFonts w:asciiTheme="majorHAnsi" w:eastAsia="MS Mincho" w:hAnsiTheme="majorHAnsi" w:cstheme="majorHAnsi"/>
          <w:color w:val="000000" w:themeColor="text1"/>
          <w:sz w:val="22"/>
          <w:szCs w:val="22"/>
          <w:lang w:eastAsia="ja-JP"/>
        </w:rPr>
        <w:lastRenderedPageBreak/>
        <w:t>migrated approximately 8 cm, remove the plate and allow it to dry at room temperature. Then, spray with the detecting reagent, heat at 120°C until clear spots appear, and observe under visible light.</w:t>
      </w:r>
    </w:p>
    <w:p w14:paraId="649EE95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2.4.3. Quantification of rosmarinic acid</w:t>
      </w:r>
      <w:r w:rsidR="005D308C" w:rsidRPr="005E6B7C">
        <w:rPr>
          <w:rFonts w:asciiTheme="majorHAnsi" w:eastAsia="MS Mincho" w:hAnsiTheme="majorHAnsi" w:cstheme="majorHAnsi"/>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t xml:space="preserve"> </w:t>
      </w:r>
    </w:p>
    <w:p w14:paraId="3F6A3A2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 content of rosmarinic acid in PS samples was determined by HPLC according to the PS monograph in the CP (2020), with minor modifications to suit the laboratory conditions.</w:t>
      </w:r>
    </w:p>
    <w:p w14:paraId="6945763B" w14:textId="77777777" w:rsidR="00E049CB" w:rsidRPr="005E6B7C" w:rsidRDefault="00E049CB" w:rsidP="008C0D47">
      <w:pPr>
        <w:numPr>
          <w:ilvl w:val="0"/>
          <w:numId w:val="20"/>
        </w:numPr>
        <w:tabs>
          <w:tab w:val="left" w:pos="270"/>
          <w:tab w:val="left" w:pos="540"/>
          <w:tab w:val="left" w:pos="9270"/>
        </w:tabs>
        <w:spacing w:line="240" w:lineRule="exact"/>
        <w:ind w:left="0" w:firstLine="284"/>
        <w:jc w:val="both"/>
        <w:rPr>
          <w:rFonts w:asciiTheme="majorHAnsi" w:eastAsia="MS Mincho" w:hAnsiTheme="majorHAnsi" w:cstheme="majorHAnsi"/>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eastAsia="ja-JP"/>
        </w:rPr>
        <w:t xml:space="preserve">Chromatographic conditions: </w:t>
      </w:r>
    </w:p>
    <w:p w14:paraId="28D598A4" w14:textId="3DB3FCB0"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Column: C</w:t>
      </w:r>
      <w:r w:rsidRPr="005E6B7C">
        <w:rPr>
          <w:rFonts w:asciiTheme="majorHAnsi" w:eastAsia="Times New Roman" w:hAnsiTheme="majorHAnsi" w:cstheme="majorHAnsi"/>
          <w:color w:val="000000" w:themeColor="text1"/>
          <w:sz w:val="22"/>
          <w:szCs w:val="22"/>
          <w:vertAlign w:val="subscript"/>
          <w:lang w:eastAsia="ja-JP"/>
        </w:rPr>
        <w:t>18</w:t>
      </w:r>
      <w:r w:rsidRPr="005E6B7C">
        <w:rPr>
          <w:rFonts w:asciiTheme="majorHAnsi" w:eastAsia="Times New Roman" w:hAnsiTheme="majorHAnsi" w:cstheme="majorHAnsi"/>
          <w:color w:val="000000" w:themeColor="text1"/>
          <w:sz w:val="22"/>
          <w:szCs w:val="22"/>
          <w:lang w:eastAsia="ja-JP"/>
        </w:rPr>
        <w:t xml:space="preserve"> (250 × 4.6 mm, 5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m)</w:t>
      </w:r>
    </w:p>
    <w:p w14:paraId="254D91F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Flow rate: 1 mL/min</w:t>
      </w:r>
    </w:p>
    <w:p w14:paraId="2BE46D2B" w14:textId="21CA3A24"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xml:space="preserve">- Injection volume: 10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L</w:t>
      </w:r>
    </w:p>
    <w:p w14:paraId="753CE14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Detection wavelength: 330 nm</w:t>
      </w:r>
    </w:p>
    <w:p w14:paraId="3B9C99F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xml:space="preserve">- Mobile phase: methanol – 0.1% </w:t>
      </w:r>
      <w:r w:rsidRPr="005E6B7C">
        <w:rPr>
          <w:rFonts w:asciiTheme="majorHAnsi" w:eastAsia="Times New Roman" w:hAnsiTheme="majorHAnsi" w:cstheme="majorHAnsi"/>
          <w:color w:val="000000" w:themeColor="text1"/>
          <w:sz w:val="22"/>
          <w:szCs w:val="22"/>
          <w:lang w:eastAsia="ja-JP"/>
        </w:rPr>
        <w:t xml:space="preserve">trifluoroacetic acid (42:58, </w:t>
      </w:r>
      <w:r w:rsidRPr="005E6B7C">
        <w:rPr>
          <w:rFonts w:asciiTheme="majorHAnsi" w:eastAsia="Times New Roman" w:hAnsiTheme="majorHAnsi" w:cstheme="majorHAnsi"/>
          <w:i/>
          <w:color w:val="000000" w:themeColor="text1"/>
          <w:sz w:val="22"/>
          <w:szCs w:val="22"/>
          <w:lang w:eastAsia="ja-JP"/>
        </w:rPr>
        <w:t>v/v</w:t>
      </w:r>
      <w:r w:rsidRPr="005E6B7C">
        <w:rPr>
          <w:rFonts w:asciiTheme="majorHAnsi" w:eastAsia="Times New Roman" w:hAnsiTheme="majorHAnsi" w:cstheme="majorHAnsi"/>
          <w:color w:val="000000" w:themeColor="text1"/>
          <w:sz w:val="22"/>
          <w:szCs w:val="22"/>
          <w:lang w:eastAsia="ja-JP"/>
        </w:rPr>
        <w:t>)</w:t>
      </w:r>
    </w:p>
    <w:p w14:paraId="01CBAC1E" w14:textId="77777777" w:rsidR="00E049CB" w:rsidRPr="005E6B7C" w:rsidRDefault="00E049CB" w:rsidP="008C0D47">
      <w:pPr>
        <w:numPr>
          <w:ilvl w:val="0"/>
          <w:numId w:val="19"/>
        </w:numPr>
        <w:tabs>
          <w:tab w:val="left" w:pos="270"/>
          <w:tab w:val="left" w:pos="540"/>
          <w:tab w:val="left" w:pos="9270"/>
        </w:tabs>
        <w:spacing w:line="240" w:lineRule="exact"/>
        <w:ind w:left="0"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eastAsia="ja-JP"/>
        </w:rPr>
        <w:t>Preparation of solutions:</w:t>
      </w:r>
    </w:p>
    <w:p w14:paraId="7D96B963" w14:textId="3C820860"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bCs/>
          <w:color w:val="000000" w:themeColor="text1"/>
          <w:sz w:val="22"/>
          <w:szCs w:val="22"/>
          <w:lang w:eastAsia="ja-JP"/>
        </w:rPr>
        <w:t>Test solution</w:t>
      </w:r>
      <w:r w:rsidRPr="005E6B7C">
        <w:rPr>
          <w:rFonts w:asciiTheme="majorHAnsi" w:eastAsia="Times New Roman" w:hAnsiTheme="majorHAnsi" w:cstheme="majorHAnsi"/>
          <w:color w:val="000000" w:themeColor="text1"/>
          <w:sz w:val="22"/>
          <w:szCs w:val="22"/>
          <w:lang w:eastAsia="ja-JP"/>
        </w:rPr>
        <w:t xml:space="preserve">: Accurately weigh about 0.2500 g of </w:t>
      </w:r>
      <w:r w:rsidRPr="005E6B7C">
        <w:rPr>
          <w:rFonts w:asciiTheme="majorHAnsi" w:eastAsia="Yu Mincho" w:hAnsiTheme="majorHAnsi" w:cstheme="majorHAnsi"/>
          <w:color w:val="000000" w:themeColor="text1"/>
          <w:sz w:val="22"/>
          <w:szCs w:val="22"/>
          <w:lang w:eastAsia="ja-JP"/>
        </w:rPr>
        <w:t>PS powder</w:t>
      </w:r>
      <w:r w:rsidRPr="005E6B7C">
        <w:rPr>
          <w:rFonts w:asciiTheme="majorHAnsi" w:eastAsia="Times New Roman" w:hAnsiTheme="majorHAnsi" w:cstheme="majorHAnsi"/>
          <w:color w:val="000000" w:themeColor="text1"/>
          <w:sz w:val="22"/>
          <w:szCs w:val="22"/>
          <w:lang w:eastAsia="ja-JP"/>
        </w:rPr>
        <w:t xml:space="preserve"> into a stoppered conical flask. Add exactly 50 mL of 50% ethanol, weigh the flask, sonicate for 30 minutes, allow to cool, and reweigh. Compensate for any weight loss with 50% ethanol, mix well, and filter through a 0.45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m membrane filter to obtain the test solution.</w:t>
      </w:r>
    </w:p>
    <w:p w14:paraId="1A52F78A" w14:textId="7DDACAE1"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pacing w:val="-8"/>
          <w:sz w:val="22"/>
          <w:szCs w:val="22"/>
          <w:lang w:eastAsia="ja-JP"/>
        </w:rPr>
      </w:pPr>
      <w:r w:rsidRPr="005E6B7C">
        <w:rPr>
          <w:rFonts w:asciiTheme="majorHAnsi" w:eastAsia="Times New Roman" w:hAnsiTheme="majorHAnsi" w:cstheme="majorHAnsi"/>
          <w:bCs/>
          <w:color w:val="000000" w:themeColor="text1"/>
          <w:spacing w:val="-8"/>
          <w:sz w:val="22"/>
          <w:szCs w:val="22"/>
          <w:lang w:eastAsia="ja-JP"/>
        </w:rPr>
        <w:t>Standard solution</w:t>
      </w:r>
      <w:r w:rsidRPr="005E6B7C">
        <w:rPr>
          <w:rFonts w:asciiTheme="majorHAnsi" w:eastAsia="Times New Roman" w:hAnsiTheme="majorHAnsi" w:cstheme="majorHAnsi"/>
          <w:color w:val="000000" w:themeColor="text1"/>
          <w:spacing w:val="-8"/>
          <w:sz w:val="22"/>
          <w:szCs w:val="22"/>
          <w:lang w:eastAsia="ja-JP"/>
        </w:rPr>
        <w:t xml:space="preserve">: Accurately weigh an appropriate amount of rosmarinic acid reference standard and dissolve in methanol to </w:t>
      </w:r>
      <w:r w:rsidR="003A0517" w:rsidRPr="005E6B7C">
        <w:rPr>
          <w:rFonts w:asciiTheme="majorHAnsi" w:eastAsia="Times New Roman" w:hAnsiTheme="majorHAnsi" w:cstheme="majorHAnsi"/>
          <w:color w:val="000000" w:themeColor="text1"/>
          <w:spacing w:val="-8"/>
          <w:sz w:val="22"/>
          <w:szCs w:val="22"/>
          <w:lang w:eastAsia="ja-JP"/>
        </w:rPr>
        <w:t xml:space="preserve">prepare standard solutions with concentrations </w:t>
      </w:r>
      <w:r w:rsidRPr="005E6B7C">
        <w:rPr>
          <w:rFonts w:asciiTheme="majorHAnsi" w:eastAsia="Times New Roman" w:hAnsiTheme="majorHAnsi" w:cstheme="majorHAnsi"/>
          <w:color w:val="000000" w:themeColor="text1"/>
          <w:spacing w:val="-8"/>
          <w:sz w:val="22"/>
          <w:szCs w:val="22"/>
          <w:lang w:eastAsia="ja-JP"/>
        </w:rPr>
        <w:t xml:space="preserve"> ranging from approximately 4 </w:t>
      </w:r>
      <w:r w:rsidR="00266B26" w:rsidRPr="005E6B7C">
        <w:rPr>
          <w:rFonts w:asciiTheme="majorHAnsi" w:eastAsia="Times New Roman" w:hAnsiTheme="majorHAnsi" w:cstheme="majorHAnsi"/>
          <w:i/>
          <w:iCs/>
          <w:color w:val="000000" w:themeColor="text1"/>
          <w:spacing w:val="-8"/>
          <w:sz w:val="22"/>
          <w:szCs w:val="22"/>
          <w:lang w:eastAsia="ja-JP"/>
        </w:rPr>
        <w:t>µ</w:t>
      </w:r>
      <w:r w:rsidRPr="005E6B7C">
        <w:rPr>
          <w:rFonts w:asciiTheme="majorHAnsi" w:eastAsia="Times New Roman" w:hAnsiTheme="majorHAnsi" w:cstheme="majorHAnsi"/>
          <w:color w:val="000000" w:themeColor="text1"/>
          <w:spacing w:val="-8"/>
          <w:sz w:val="22"/>
          <w:szCs w:val="22"/>
          <w:lang w:eastAsia="ja-JP"/>
        </w:rPr>
        <w:t xml:space="preserve">g/mL to 500 </w:t>
      </w:r>
      <w:r w:rsidR="00266B26" w:rsidRPr="005E6B7C">
        <w:rPr>
          <w:rFonts w:asciiTheme="majorHAnsi" w:eastAsia="Times New Roman" w:hAnsiTheme="majorHAnsi" w:cstheme="majorHAnsi"/>
          <w:i/>
          <w:iCs/>
          <w:color w:val="000000" w:themeColor="text1"/>
          <w:spacing w:val="-8"/>
          <w:sz w:val="22"/>
          <w:szCs w:val="22"/>
          <w:lang w:eastAsia="ja-JP"/>
        </w:rPr>
        <w:t>µ</w:t>
      </w:r>
      <w:r w:rsidRPr="005E6B7C">
        <w:rPr>
          <w:rFonts w:asciiTheme="majorHAnsi" w:eastAsia="Times New Roman" w:hAnsiTheme="majorHAnsi" w:cstheme="majorHAnsi"/>
          <w:color w:val="000000" w:themeColor="text1"/>
          <w:spacing w:val="-8"/>
          <w:sz w:val="22"/>
          <w:szCs w:val="22"/>
          <w:lang w:eastAsia="ja-JP"/>
        </w:rPr>
        <w:t>g/mL.</w:t>
      </w:r>
    </w:p>
    <w:p w14:paraId="7BEF3B2D" w14:textId="77777777" w:rsidR="005C2A66"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5C2A66">
          <w:type w:val="continuous"/>
          <w:pgSz w:w="10773" w:h="15309" w:code="9"/>
          <w:pgMar w:top="907" w:right="851" w:bottom="1418" w:left="851" w:header="397" w:footer="851" w:gutter="0"/>
          <w:cols w:num="2" w:space="284"/>
          <w:docGrid w:linePitch="360"/>
        </w:sectPr>
      </w:pPr>
      <w:r w:rsidRPr="005E6B7C">
        <w:rPr>
          <w:rFonts w:asciiTheme="majorHAnsi" w:eastAsia="MS Mincho" w:hAnsiTheme="majorHAnsi" w:cstheme="majorHAnsi"/>
          <w:color w:val="000000" w:themeColor="text1"/>
          <w:sz w:val="22"/>
          <w:szCs w:val="22"/>
          <w:lang w:eastAsia="ja-JP"/>
        </w:rPr>
        <w:t>The rosmarinic acid content in the test sample was calculated according to the following formula:</w:t>
      </w:r>
    </w:p>
    <w:p w14:paraId="23BE299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p>
    <w:tbl>
      <w:tblPr>
        <w:tblW w:w="0" w:type="auto"/>
        <w:jc w:val="center"/>
        <w:tblLook w:val="04A0" w:firstRow="1" w:lastRow="0" w:firstColumn="1" w:lastColumn="0" w:noHBand="0" w:noVBand="1"/>
      </w:tblPr>
      <w:tblGrid>
        <w:gridCol w:w="1710"/>
        <w:gridCol w:w="720"/>
        <w:gridCol w:w="895"/>
        <w:gridCol w:w="630"/>
        <w:gridCol w:w="995"/>
        <w:gridCol w:w="540"/>
        <w:gridCol w:w="900"/>
      </w:tblGrid>
      <w:tr w:rsidR="00E049CB" w:rsidRPr="005E6B7C" w14:paraId="5302E867" w14:textId="77777777" w:rsidTr="008C0D47">
        <w:trPr>
          <w:jc w:val="center"/>
        </w:trPr>
        <w:tc>
          <w:tcPr>
            <w:tcW w:w="1710" w:type="dxa"/>
            <w:vMerge w:val="restart"/>
            <w:vAlign w:val="center"/>
          </w:tcPr>
          <w:p w14:paraId="514DF2E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X (%) =</w:t>
            </w:r>
          </w:p>
        </w:tc>
        <w:tc>
          <w:tcPr>
            <w:tcW w:w="720" w:type="dxa"/>
            <w:vMerge w:val="restart"/>
            <w:vAlign w:val="center"/>
          </w:tcPr>
          <w:p w14:paraId="366C3D1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C x</w:t>
            </w:r>
          </w:p>
        </w:tc>
        <w:tc>
          <w:tcPr>
            <w:tcW w:w="895" w:type="dxa"/>
            <w:tcBorders>
              <w:bottom w:val="single" w:sz="4" w:space="0" w:color="auto"/>
            </w:tcBorders>
            <w:vAlign w:val="center"/>
          </w:tcPr>
          <w:p w14:paraId="7171806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50</w:t>
            </w:r>
          </w:p>
        </w:tc>
        <w:tc>
          <w:tcPr>
            <w:tcW w:w="630" w:type="dxa"/>
            <w:vMerge w:val="restart"/>
            <w:vAlign w:val="center"/>
          </w:tcPr>
          <w:p w14:paraId="2A5743A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x</w:t>
            </w:r>
          </w:p>
        </w:tc>
        <w:tc>
          <w:tcPr>
            <w:tcW w:w="995" w:type="dxa"/>
            <w:tcBorders>
              <w:bottom w:val="single" w:sz="4" w:space="0" w:color="auto"/>
            </w:tcBorders>
            <w:vAlign w:val="center"/>
          </w:tcPr>
          <w:p w14:paraId="70CB813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100</w:t>
            </w:r>
          </w:p>
        </w:tc>
        <w:tc>
          <w:tcPr>
            <w:tcW w:w="540" w:type="dxa"/>
            <w:vMerge w:val="restart"/>
            <w:vAlign w:val="center"/>
          </w:tcPr>
          <w:p w14:paraId="4A29C8A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x</w:t>
            </w:r>
          </w:p>
        </w:tc>
        <w:tc>
          <w:tcPr>
            <w:tcW w:w="900" w:type="dxa"/>
            <w:tcBorders>
              <w:bottom w:val="single" w:sz="4" w:space="0" w:color="auto"/>
            </w:tcBorders>
            <w:vAlign w:val="center"/>
          </w:tcPr>
          <w:p w14:paraId="4003208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100</w:t>
            </w:r>
          </w:p>
        </w:tc>
      </w:tr>
      <w:tr w:rsidR="00E049CB" w:rsidRPr="005E6B7C" w14:paraId="3C8BD20B" w14:textId="77777777" w:rsidTr="008C0D47">
        <w:trPr>
          <w:jc w:val="center"/>
        </w:trPr>
        <w:tc>
          <w:tcPr>
            <w:tcW w:w="1710" w:type="dxa"/>
            <w:vMerge/>
            <w:vAlign w:val="center"/>
          </w:tcPr>
          <w:p w14:paraId="319A94B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p>
        </w:tc>
        <w:tc>
          <w:tcPr>
            <w:tcW w:w="720" w:type="dxa"/>
            <w:vMerge/>
            <w:vAlign w:val="center"/>
          </w:tcPr>
          <w:p w14:paraId="12479CB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p>
        </w:tc>
        <w:tc>
          <w:tcPr>
            <w:tcW w:w="895" w:type="dxa"/>
            <w:tcBorders>
              <w:top w:val="single" w:sz="4" w:space="0" w:color="auto"/>
            </w:tcBorders>
            <w:vAlign w:val="center"/>
          </w:tcPr>
          <w:p w14:paraId="60535AA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1000</w:t>
            </w:r>
          </w:p>
        </w:tc>
        <w:tc>
          <w:tcPr>
            <w:tcW w:w="630" w:type="dxa"/>
            <w:vMerge/>
            <w:vAlign w:val="center"/>
          </w:tcPr>
          <w:p w14:paraId="78CA0B3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p>
        </w:tc>
        <w:tc>
          <w:tcPr>
            <w:tcW w:w="995" w:type="dxa"/>
            <w:tcBorders>
              <w:top w:val="single" w:sz="4" w:space="0" w:color="auto"/>
            </w:tcBorders>
            <w:vAlign w:val="center"/>
          </w:tcPr>
          <w:p w14:paraId="7A1D268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100 - h</w:t>
            </w:r>
          </w:p>
        </w:tc>
        <w:tc>
          <w:tcPr>
            <w:tcW w:w="540" w:type="dxa"/>
            <w:vMerge/>
            <w:vAlign w:val="center"/>
          </w:tcPr>
          <w:p w14:paraId="4B5CECE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p>
        </w:tc>
        <w:tc>
          <w:tcPr>
            <w:tcW w:w="900" w:type="dxa"/>
            <w:tcBorders>
              <w:top w:val="single" w:sz="4" w:space="0" w:color="auto"/>
            </w:tcBorders>
            <w:vAlign w:val="center"/>
          </w:tcPr>
          <w:p w14:paraId="46F83EB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m</w:t>
            </w:r>
          </w:p>
        </w:tc>
      </w:tr>
    </w:tbl>
    <w:p w14:paraId="5B05D3B9"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p>
    <w:p w14:paraId="09985759"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2206BB">
          <w:type w:val="continuous"/>
          <w:pgSz w:w="10773" w:h="15309" w:code="9"/>
          <w:pgMar w:top="907" w:right="851" w:bottom="1418" w:left="851" w:header="397" w:footer="851" w:gutter="0"/>
          <w:cols w:space="284"/>
          <w:docGrid w:linePitch="360"/>
        </w:sectPr>
      </w:pPr>
    </w:p>
    <w:p w14:paraId="345B9D77" w14:textId="755585B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In which: X (%): the content of rosmarinic acid in test sample calculated with reference to the dried sub</w:t>
      </w:r>
      <w:r w:rsidR="00FA461B" w:rsidRPr="005E6B7C">
        <w:rPr>
          <w:rFonts w:asciiTheme="majorHAnsi" w:eastAsia="MS Mincho" w:hAnsiTheme="majorHAnsi" w:cstheme="majorHAnsi"/>
          <w:color w:val="000000" w:themeColor="text1"/>
          <w:sz w:val="22"/>
          <w:szCs w:val="22"/>
          <w:lang w:eastAsia="ja-JP"/>
        </w:rPr>
        <w:t>s</w:t>
      </w:r>
      <w:r w:rsidRPr="005E6B7C">
        <w:rPr>
          <w:rFonts w:asciiTheme="majorHAnsi" w:eastAsia="MS Mincho" w:hAnsiTheme="majorHAnsi" w:cstheme="majorHAnsi"/>
          <w:color w:val="000000" w:themeColor="text1"/>
          <w:sz w:val="22"/>
          <w:szCs w:val="22"/>
          <w:lang w:eastAsia="ja-JP"/>
        </w:rPr>
        <w:t>tance; C: the concentration of analyzed compound in the sample solution from the calibration curve equation (</w:t>
      </w:r>
      <w:r w:rsidR="00266B26" w:rsidRPr="005E6B7C">
        <w:rPr>
          <w:rFonts w:asciiTheme="majorHAnsi" w:eastAsia="Times New Roman" w:hAnsiTheme="majorHAnsi" w:cstheme="majorHAnsi"/>
          <w:i/>
          <w:iCs/>
          <w:color w:val="000000" w:themeColor="text1"/>
          <w:sz w:val="22"/>
          <w:szCs w:val="22"/>
          <w:lang w:eastAsia="ja-JP"/>
        </w:rPr>
        <w:t>µ</w:t>
      </w:r>
      <w:r w:rsidRPr="005E6B7C">
        <w:rPr>
          <w:rFonts w:asciiTheme="majorHAnsi" w:eastAsia="Times New Roman" w:hAnsiTheme="majorHAnsi" w:cstheme="majorHAnsi"/>
          <w:color w:val="000000" w:themeColor="text1"/>
          <w:sz w:val="22"/>
          <w:szCs w:val="22"/>
          <w:lang w:eastAsia="ja-JP"/>
        </w:rPr>
        <w:t xml:space="preserve">g/mL); m: weight of </w:t>
      </w:r>
      <w:r w:rsidR="003A0517" w:rsidRPr="005E6B7C">
        <w:rPr>
          <w:rFonts w:asciiTheme="majorHAnsi" w:eastAsia="Times New Roman" w:hAnsiTheme="majorHAnsi" w:cstheme="majorHAnsi"/>
          <w:color w:val="000000" w:themeColor="text1"/>
          <w:sz w:val="22"/>
          <w:szCs w:val="22"/>
          <w:lang w:val="vi-VN" w:eastAsia="ja-JP"/>
        </w:rPr>
        <w:t xml:space="preserve"> the </w:t>
      </w:r>
      <w:r w:rsidRPr="005E6B7C">
        <w:rPr>
          <w:rFonts w:asciiTheme="majorHAnsi" w:eastAsia="Times New Roman" w:hAnsiTheme="majorHAnsi" w:cstheme="majorHAnsi"/>
          <w:color w:val="000000" w:themeColor="text1"/>
          <w:sz w:val="22"/>
          <w:szCs w:val="22"/>
          <w:lang w:eastAsia="ja-JP"/>
        </w:rPr>
        <w:t>tested sample taken to prepare the sample solution (g); h: water content of test sample (%).</w:t>
      </w:r>
    </w:p>
    <w:p w14:paraId="39B4B78C"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3. Results and Discussion</w:t>
      </w:r>
    </w:p>
    <w:p w14:paraId="64F23D1D" w14:textId="77777777" w:rsidR="00E049CB" w:rsidRPr="005E6B7C" w:rsidRDefault="00E049CB"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3.1. Identification</w:t>
      </w:r>
    </w:p>
    <w:p w14:paraId="3C1F77C6"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3.1.1. Identification by chemical reaction</w:t>
      </w:r>
      <w:r w:rsidR="005D308C" w:rsidRPr="005E6B7C">
        <w:rPr>
          <w:rFonts w:asciiTheme="majorHAnsi" w:eastAsia="MS Mincho" w:hAnsiTheme="majorHAnsi" w:cstheme="majorHAnsi"/>
          <w:color w:val="000000" w:themeColor="text1"/>
          <w:sz w:val="22"/>
          <w:szCs w:val="22"/>
          <w:lang w:eastAsia="ja-JP"/>
        </w:rPr>
        <w:t>:</w:t>
      </w:r>
    </w:p>
    <w:p w14:paraId="1E42B28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All samples gave positive results in the reactions described in Section 2.4.2a. </w:t>
      </w:r>
    </w:p>
    <w:p w14:paraId="7FC7EFC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3.1.2. Identification by TLC</w:t>
      </w:r>
      <w:r w:rsidR="005D308C" w:rsidRPr="005E6B7C">
        <w:rPr>
          <w:rFonts w:asciiTheme="majorHAnsi" w:eastAsia="MS Mincho" w:hAnsiTheme="majorHAnsi" w:cstheme="majorHAnsi"/>
          <w:color w:val="000000" w:themeColor="text1"/>
          <w:sz w:val="22"/>
          <w:szCs w:val="22"/>
          <w:lang w:eastAsia="ja-JP"/>
        </w:rPr>
        <w:t>:</w:t>
      </w:r>
    </w:p>
    <w:p w14:paraId="3447C153" w14:textId="77777777" w:rsidR="005C2A66"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After performing the procedure described in Section 2.4.2b, the obtained chromatograms are shown in </w:t>
      </w:r>
      <w:r w:rsidR="00517F81" w:rsidRPr="005E6B7C">
        <w:rPr>
          <w:rFonts w:asciiTheme="majorHAnsi" w:eastAsia="MS Mincho" w:hAnsiTheme="majorHAnsi" w:cstheme="majorHAnsi"/>
          <w:color w:val="000000" w:themeColor="text1"/>
          <w:sz w:val="22"/>
          <w:szCs w:val="22"/>
          <w:lang w:eastAsia="ja-JP"/>
        </w:rPr>
        <w:t xml:space="preserve">Fig. </w:t>
      </w:r>
      <w:r w:rsidRPr="005E6B7C">
        <w:rPr>
          <w:rFonts w:asciiTheme="majorHAnsi" w:eastAsia="MS Mincho" w:hAnsiTheme="majorHAnsi" w:cstheme="majorHAnsi"/>
          <w:color w:val="000000" w:themeColor="text1"/>
          <w:sz w:val="22"/>
          <w:szCs w:val="22"/>
          <w:lang w:eastAsia="ja-JP"/>
        </w:rPr>
        <w:t>1.</w:t>
      </w:r>
    </w:p>
    <w:p w14:paraId="3FD060FF"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5C2A66">
          <w:type w:val="continuous"/>
          <w:pgSz w:w="10773" w:h="15309" w:code="9"/>
          <w:pgMar w:top="907" w:right="851" w:bottom="1418" w:left="851" w:header="397" w:footer="851" w:gutter="0"/>
          <w:cols w:num="2" w:space="284"/>
          <w:docGrid w:linePitch="360"/>
        </w:sectPr>
      </w:pPr>
    </w:p>
    <w:p w14:paraId="3825FA4B" w14:textId="77777777" w:rsidR="006B6755" w:rsidRPr="005E6B7C" w:rsidRDefault="006B6755"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p>
    <w:p w14:paraId="23FFD90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noProof/>
          <w:color w:val="000000" w:themeColor="text1"/>
          <w:sz w:val="22"/>
          <w:szCs w:val="22"/>
        </w:rPr>
        <w:drawing>
          <wp:inline distT="0" distB="0" distL="0" distR="0" wp14:anchorId="538B7BCF" wp14:editId="29199109">
            <wp:extent cx="1181100" cy="1724025"/>
            <wp:effectExtent l="0" t="0" r="0" b="9525"/>
            <wp:docPr id="16491726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81100" cy="1724025"/>
                    </a:xfrm>
                    <a:prstGeom prst="rect">
                      <a:avLst/>
                    </a:prstGeom>
                    <a:noFill/>
                    <a:ln>
                      <a:noFill/>
                    </a:ln>
                  </pic:spPr>
                </pic:pic>
              </a:graphicData>
            </a:graphic>
          </wp:inline>
        </w:drawing>
      </w:r>
      <w:r w:rsidR="006B6755"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noProof/>
          <w:color w:val="000000" w:themeColor="text1"/>
          <w:sz w:val="22"/>
          <w:szCs w:val="22"/>
        </w:rPr>
        <w:drawing>
          <wp:inline distT="0" distB="0" distL="0" distR="0" wp14:anchorId="54DDE221" wp14:editId="5F39005A">
            <wp:extent cx="1247775" cy="1733550"/>
            <wp:effectExtent l="0" t="0" r="9525" b="0"/>
            <wp:docPr id="14350089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47775" cy="1733550"/>
                    </a:xfrm>
                    <a:prstGeom prst="rect">
                      <a:avLst/>
                    </a:prstGeom>
                    <a:noFill/>
                    <a:ln>
                      <a:noFill/>
                    </a:ln>
                  </pic:spPr>
                </pic:pic>
              </a:graphicData>
            </a:graphic>
          </wp:inline>
        </w:drawing>
      </w:r>
      <w:r w:rsidR="006B6755"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noProof/>
          <w:color w:val="000000" w:themeColor="text1"/>
          <w:sz w:val="22"/>
          <w:szCs w:val="22"/>
        </w:rPr>
        <w:drawing>
          <wp:inline distT="0" distB="0" distL="0" distR="0" wp14:anchorId="28CF59E8" wp14:editId="35B8F19F">
            <wp:extent cx="1171575" cy="1724025"/>
            <wp:effectExtent l="0" t="0" r="9525" b="9525"/>
            <wp:docPr id="479648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BEBA8EAE-BF5A-486C-A8C5-ECC9F3942E4B}">
                          <a14:imgProps xmlns:a14="http://schemas.microsoft.com/office/drawing/2010/main">
                            <a14:imgLayer r:embed="rId6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71575" cy="1724025"/>
                    </a:xfrm>
                    <a:prstGeom prst="rect">
                      <a:avLst/>
                    </a:prstGeom>
                    <a:noFill/>
                    <a:ln>
                      <a:noFill/>
                    </a:ln>
                  </pic:spPr>
                </pic:pic>
              </a:graphicData>
            </a:graphic>
          </wp:inline>
        </w:drawing>
      </w:r>
      <w:r w:rsidR="006B6755" w:rsidRPr="005E6B7C">
        <w:rPr>
          <w:rFonts w:asciiTheme="majorHAnsi" w:eastAsia="MS Mincho" w:hAnsiTheme="majorHAnsi" w:cstheme="majorHAnsi"/>
          <w:color w:val="000000" w:themeColor="text1"/>
          <w:sz w:val="22"/>
          <w:szCs w:val="22"/>
          <w:lang w:eastAsia="ja-JP"/>
        </w:rPr>
        <w:t xml:space="preserve"> </w:t>
      </w:r>
      <w:r w:rsidRPr="005E6B7C">
        <w:rPr>
          <w:rFonts w:asciiTheme="majorHAnsi" w:eastAsia="MS Mincho" w:hAnsiTheme="majorHAnsi" w:cstheme="majorHAnsi"/>
          <w:noProof/>
          <w:color w:val="000000" w:themeColor="text1"/>
          <w:sz w:val="22"/>
          <w:szCs w:val="22"/>
        </w:rPr>
        <w:drawing>
          <wp:inline distT="0" distB="0" distL="0" distR="0" wp14:anchorId="131A4086" wp14:editId="712A0D66">
            <wp:extent cx="1133475" cy="1724025"/>
            <wp:effectExtent l="0" t="0" r="9525" b="9525"/>
            <wp:docPr id="645926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BEBA8EAE-BF5A-486C-A8C5-ECC9F3942E4B}">
                          <a14:imgProps xmlns:a14="http://schemas.microsoft.com/office/drawing/2010/main">
                            <a14:imgLayer r:embed="rId6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33475" cy="1724025"/>
                    </a:xfrm>
                    <a:prstGeom prst="rect">
                      <a:avLst/>
                    </a:prstGeom>
                    <a:noFill/>
                    <a:ln>
                      <a:noFill/>
                    </a:ln>
                  </pic:spPr>
                </pic:pic>
              </a:graphicData>
            </a:graphic>
          </wp:inline>
        </w:drawing>
      </w:r>
    </w:p>
    <w:p w14:paraId="29369E57"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Fig.</w:t>
      </w:r>
      <w:r w:rsidR="00095F30" w:rsidRPr="005E6B7C">
        <w:rPr>
          <w:rFonts w:asciiTheme="majorHAnsi" w:eastAsia="Calibri" w:hAnsiTheme="majorHAnsi" w:cstheme="majorHAnsi"/>
          <w:b/>
          <w:color w:val="000000" w:themeColor="text1"/>
          <w:kern w:val="2"/>
          <w:sz w:val="18"/>
          <w:szCs w:val="18"/>
          <w14:ligatures w14:val="standardContextual"/>
        </w:rPr>
        <w:t xml:space="preserve"> 1</w:t>
      </w:r>
      <w:r w:rsidR="00E049CB" w:rsidRPr="005E6B7C">
        <w:rPr>
          <w:rFonts w:asciiTheme="majorHAnsi" w:eastAsia="Calibri" w:hAnsiTheme="majorHAnsi" w:cstheme="majorHAnsi"/>
          <w:b/>
          <w:color w:val="000000" w:themeColor="text1"/>
          <w:kern w:val="2"/>
          <w:sz w:val="18"/>
          <w:szCs w:val="18"/>
          <w14:ligatures w14:val="standardContextual"/>
        </w:rPr>
        <w:t xml:space="preserve">. </w:t>
      </w:r>
      <w:r w:rsidR="00E049CB" w:rsidRPr="005E6B7C">
        <w:rPr>
          <w:rFonts w:asciiTheme="majorHAnsi" w:eastAsia="Calibri" w:hAnsiTheme="majorHAnsi" w:cstheme="majorHAnsi"/>
          <w:bCs/>
          <w:color w:val="000000" w:themeColor="text1"/>
          <w:kern w:val="2"/>
          <w:sz w:val="18"/>
          <w:szCs w:val="18"/>
          <w14:ligatures w14:val="standardContextual"/>
        </w:rPr>
        <w:t>Results of the investigation of TLC conditions</w:t>
      </w:r>
    </w:p>
    <w:p w14:paraId="2F65488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val="pt-BR" w:eastAsia="ja-JP"/>
        </w:rPr>
      </w:pPr>
      <w:r w:rsidRPr="005E6B7C">
        <w:rPr>
          <w:rFonts w:asciiTheme="majorHAnsi" w:eastAsia="MS Mincho" w:hAnsiTheme="majorHAnsi" w:cstheme="majorHAnsi"/>
          <w:i/>
          <w:color w:val="000000" w:themeColor="text1"/>
          <w:sz w:val="18"/>
          <w:szCs w:val="18"/>
          <w:lang w:val="pt-BR" w:eastAsia="ja-JP"/>
        </w:rPr>
        <w:t>(UA: ursolic acid; RA: rosmarinic acid; M1: sample M1; DL: reference medicinal material)</w:t>
      </w:r>
    </w:p>
    <w:p w14:paraId="5B9CEDA3" w14:textId="77777777" w:rsidR="005C2A66" w:rsidRPr="005E6B7C" w:rsidRDefault="005C2A66" w:rsidP="008C0D47">
      <w:pPr>
        <w:tabs>
          <w:tab w:val="left" w:pos="270"/>
          <w:tab w:val="left" w:pos="540"/>
          <w:tab w:val="left" w:pos="9270"/>
        </w:tabs>
        <w:spacing w:before="120" w:after="120"/>
        <w:ind w:right="-20"/>
        <w:jc w:val="center"/>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noProof/>
          <w:color w:val="000000" w:themeColor="text1"/>
          <w:sz w:val="22"/>
          <w:szCs w:val="22"/>
        </w:rPr>
        <w:drawing>
          <wp:inline distT="0" distB="0" distL="0" distR="0" wp14:anchorId="7550EF26" wp14:editId="3CF370A1">
            <wp:extent cx="2654300" cy="1435407"/>
            <wp:effectExtent l="0" t="0" r="0" b="0"/>
            <wp:docPr id="831802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65417" cy="1441419"/>
                    </a:xfrm>
                    <a:prstGeom prst="rect">
                      <a:avLst/>
                    </a:prstGeom>
                    <a:noFill/>
                    <a:ln>
                      <a:noFill/>
                    </a:ln>
                  </pic:spPr>
                </pic:pic>
              </a:graphicData>
            </a:graphic>
          </wp:inline>
        </w:drawing>
      </w:r>
    </w:p>
    <w:p w14:paraId="2E556AB2" w14:textId="77777777" w:rsidR="005C2A66" w:rsidRPr="005E6B7C" w:rsidRDefault="005C2A66" w:rsidP="008C0D47">
      <w:pPr>
        <w:tabs>
          <w:tab w:val="left" w:pos="270"/>
          <w:tab w:val="left" w:pos="540"/>
          <w:tab w:val="left" w:pos="9270"/>
        </w:tabs>
        <w:ind w:right="-20"/>
        <w:jc w:val="center"/>
        <w:rPr>
          <w:rFonts w:asciiTheme="majorHAnsi" w:eastAsia="Calibri" w:hAnsiTheme="majorHAnsi" w:cstheme="majorHAnsi"/>
          <w:bCs/>
          <w:noProof/>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lastRenderedPageBreak/>
        <w:t>Fig.</w:t>
      </w:r>
      <w:r w:rsidR="00A661A1" w:rsidRPr="005E6B7C">
        <w:rPr>
          <w:rFonts w:asciiTheme="majorHAnsi" w:eastAsia="Calibri" w:hAnsiTheme="majorHAnsi" w:cstheme="majorHAnsi"/>
          <w:b/>
          <w:color w:val="000000" w:themeColor="text1"/>
          <w:kern w:val="2"/>
          <w:sz w:val="18"/>
          <w:szCs w:val="18"/>
          <w14:ligatures w14:val="standardContextual"/>
        </w:rPr>
        <w:t xml:space="preserve"> 2</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TLC chromatograms for the identification of PS samples (M1–M8)</w:t>
      </w:r>
    </w:p>
    <w:p w14:paraId="1DEAF865" w14:textId="77777777" w:rsidR="005C2A66" w:rsidRPr="005E6B7C" w:rsidRDefault="005C2A66"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val="pt-BR" w:eastAsia="ja-JP"/>
        </w:rPr>
      </w:pPr>
      <w:r w:rsidRPr="005E6B7C">
        <w:rPr>
          <w:rFonts w:asciiTheme="majorHAnsi" w:eastAsia="MS Mincho" w:hAnsiTheme="majorHAnsi" w:cstheme="majorHAnsi"/>
          <w:i/>
          <w:color w:val="000000" w:themeColor="text1"/>
          <w:sz w:val="18"/>
          <w:szCs w:val="18"/>
          <w:lang w:val="pt-BR" w:eastAsia="ja-JP"/>
        </w:rPr>
        <w:t xml:space="preserve">UA: ursolic acid; RA: rosmarinic acid; M1-M8: sample M1-M8; DL: </w:t>
      </w:r>
      <w:r w:rsidRPr="005E6B7C">
        <w:rPr>
          <w:rFonts w:asciiTheme="majorHAnsi" w:eastAsia="MS Mincho" w:hAnsiTheme="majorHAnsi" w:cstheme="majorHAnsi"/>
          <w:color w:val="000000" w:themeColor="text1"/>
          <w:sz w:val="18"/>
          <w:szCs w:val="18"/>
          <w:lang w:val="pt-BR" w:eastAsia="ja-JP"/>
        </w:rPr>
        <w:t>PS</w:t>
      </w:r>
      <w:r w:rsidRPr="005E6B7C">
        <w:rPr>
          <w:rFonts w:asciiTheme="majorHAnsi" w:eastAsia="MS Mincho" w:hAnsiTheme="majorHAnsi" w:cstheme="majorHAnsi"/>
          <w:i/>
          <w:color w:val="000000" w:themeColor="text1"/>
          <w:sz w:val="18"/>
          <w:szCs w:val="18"/>
          <w:lang w:val="pt-BR" w:eastAsia="ja-JP"/>
        </w:rPr>
        <w:t xml:space="preserve"> reference medicinal material</w:t>
      </w:r>
    </w:p>
    <w:p w14:paraId="5A480A57"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val="pt-BR" w:eastAsia="ja-JP"/>
        </w:rPr>
        <w:sectPr w:rsidR="005C2A66" w:rsidRPr="005E6B7C" w:rsidSect="002206BB">
          <w:type w:val="continuous"/>
          <w:pgSz w:w="10773" w:h="15309" w:code="9"/>
          <w:pgMar w:top="907" w:right="851" w:bottom="1418" w:left="851" w:header="397" w:footer="851" w:gutter="0"/>
          <w:cols w:space="284"/>
          <w:docGrid w:linePitch="360"/>
        </w:sectPr>
      </w:pPr>
    </w:p>
    <w:p w14:paraId="18C188A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Condition III was selected as the optimal mobile phase for the identification of RA and UA in PS samples. This condition allows simultaneous detection of both compounds, providing R</w:t>
      </w:r>
      <w:r w:rsidRPr="005E6B7C">
        <w:rPr>
          <w:rFonts w:asciiTheme="majorHAnsi" w:eastAsia="MS Mincho" w:hAnsiTheme="majorHAnsi" w:cstheme="majorHAnsi"/>
          <w:color w:val="000000" w:themeColor="text1"/>
          <w:sz w:val="22"/>
          <w:szCs w:val="22"/>
          <w:vertAlign w:val="subscript"/>
          <w:lang w:eastAsia="ja-JP"/>
        </w:rPr>
        <w:t>f</w:t>
      </w:r>
      <w:r w:rsidRPr="005E6B7C">
        <w:rPr>
          <w:rFonts w:asciiTheme="majorHAnsi" w:eastAsia="MS Mincho" w:hAnsiTheme="majorHAnsi" w:cstheme="majorHAnsi"/>
          <w:color w:val="000000" w:themeColor="text1"/>
          <w:sz w:val="22"/>
          <w:szCs w:val="22"/>
          <w:lang w:eastAsia="ja-JP"/>
        </w:rPr>
        <w:t xml:space="preserve"> values within the suitable range (RA: R</w:t>
      </w:r>
      <w:r w:rsidRPr="005E6B7C">
        <w:rPr>
          <w:rFonts w:asciiTheme="majorHAnsi" w:eastAsia="MS Mincho" w:hAnsiTheme="majorHAnsi" w:cstheme="majorHAnsi"/>
          <w:color w:val="000000" w:themeColor="text1"/>
          <w:sz w:val="22"/>
          <w:szCs w:val="22"/>
          <w:vertAlign w:val="subscript"/>
          <w:lang w:eastAsia="ja-JP"/>
        </w:rPr>
        <w:t>f</w:t>
      </w:r>
      <w:r w:rsidRPr="005E6B7C">
        <w:rPr>
          <w:rFonts w:asciiTheme="majorHAnsi" w:eastAsia="MS Mincho" w:hAnsiTheme="majorHAnsi" w:cstheme="majorHAnsi"/>
          <w:color w:val="000000" w:themeColor="text1"/>
          <w:sz w:val="22"/>
          <w:szCs w:val="22"/>
          <w:lang w:eastAsia="ja-JP"/>
        </w:rPr>
        <w:t xml:space="preserve"> = 0.2; UA: R</w:t>
      </w:r>
      <w:r w:rsidRPr="005E6B7C">
        <w:rPr>
          <w:rFonts w:asciiTheme="majorHAnsi" w:eastAsia="MS Mincho" w:hAnsiTheme="majorHAnsi" w:cstheme="majorHAnsi"/>
          <w:color w:val="000000" w:themeColor="text1"/>
          <w:sz w:val="22"/>
          <w:szCs w:val="22"/>
          <w:vertAlign w:val="subscript"/>
          <w:lang w:eastAsia="ja-JP"/>
        </w:rPr>
        <w:t>f</w:t>
      </w:r>
      <w:r w:rsidRPr="005E6B7C">
        <w:rPr>
          <w:rFonts w:asciiTheme="majorHAnsi" w:eastAsia="MS Mincho" w:hAnsiTheme="majorHAnsi" w:cstheme="majorHAnsi"/>
          <w:color w:val="000000" w:themeColor="text1"/>
          <w:sz w:val="22"/>
          <w:szCs w:val="22"/>
          <w:lang w:eastAsia="ja-JP"/>
        </w:rPr>
        <w:t xml:space="preserve"> = 0.8). The chromatographic spots are compact, well-resolved, and produced using solvents of low toxicity. The chromatograms of the test solutions exhibit spots with the same R</w:t>
      </w:r>
      <w:r w:rsidRPr="005E6B7C">
        <w:rPr>
          <w:rFonts w:asciiTheme="majorHAnsi" w:eastAsia="MS Mincho" w:hAnsiTheme="majorHAnsi" w:cstheme="majorHAnsi"/>
          <w:color w:val="000000" w:themeColor="text1"/>
          <w:sz w:val="22"/>
          <w:szCs w:val="22"/>
          <w:vertAlign w:val="subscript"/>
          <w:lang w:eastAsia="ja-JP"/>
        </w:rPr>
        <w:t>f</w:t>
      </w:r>
      <w:r w:rsidRPr="005E6B7C">
        <w:rPr>
          <w:rFonts w:asciiTheme="majorHAnsi" w:eastAsia="MS Mincho" w:hAnsiTheme="majorHAnsi" w:cstheme="majorHAnsi"/>
          <w:color w:val="000000" w:themeColor="text1"/>
          <w:sz w:val="22"/>
          <w:szCs w:val="22"/>
          <w:lang w:eastAsia="ja-JP"/>
        </w:rPr>
        <w:t xml:space="preserve"> values and colors as those of the corresponding reference solutions (</w:t>
      </w:r>
      <w:r w:rsidR="00517F81" w:rsidRPr="005E6B7C">
        <w:rPr>
          <w:rFonts w:asciiTheme="majorHAnsi" w:eastAsia="MS Mincho" w:hAnsiTheme="majorHAnsi" w:cstheme="majorHAnsi"/>
          <w:color w:val="000000" w:themeColor="text1"/>
          <w:sz w:val="22"/>
          <w:szCs w:val="22"/>
          <w:lang w:eastAsia="ja-JP"/>
        </w:rPr>
        <w:t xml:space="preserve">Fig. </w:t>
      </w:r>
      <w:r w:rsidRPr="005E6B7C">
        <w:rPr>
          <w:rFonts w:asciiTheme="majorHAnsi" w:eastAsia="MS Mincho" w:hAnsiTheme="majorHAnsi" w:cstheme="majorHAnsi"/>
          <w:color w:val="000000" w:themeColor="text1"/>
          <w:sz w:val="22"/>
          <w:szCs w:val="22"/>
          <w:lang w:eastAsia="ja-JP"/>
        </w:rPr>
        <w:t>2).</w:t>
      </w:r>
    </w:p>
    <w:p w14:paraId="53A4D286" w14:textId="77777777" w:rsidR="00E049CB" w:rsidRPr="005E6B7C" w:rsidRDefault="00E049CB"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 xml:space="preserve">3.2. Quantification of rosmarinic acid by HPLC </w:t>
      </w:r>
    </w:p>
    <w:p w14:paraId="752D46A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HPLC method was validated following AOAC guidelines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&lt;EndNote&gt;&lt;Cite&gt;&lt;Author&gt;INTERNATIONAL&lt;/Author&gt;&lt;Year&gt;2019&lt;/Year&gt;&lt;RecNum&gt;29&lt;/RecNum&gt;&lt;DisplayText&gt;[9]&lt;/DisplayText&gt;&lt;record&gt;&lt;rec-number&gt;29&lt;/rec-number&gt;&lt;foreign-keys&gt;&lt;key app="EN" db-id="dfdss00foa0rwcezdpapfex79erpx2ar500s" timestamp="1761574773"&gt;29&lt;/key&gt;&lt;/foreign-keys&gt;&lt;ref-type name="Book"&gt;6&lt;/ref-type&gt;&lt;contributors&gt;&lt;authors&gt;&lt;author&gt;AOAC INTERNATIONAL &lt;/author&gt;&lt;/authors&gt;&lt;/contributors&gt;&lt;titles&gt;&lt;title&gt;Appendix K: Guidelines for Dietary Supplements and Botanicals&lt;/title&gt;&lt;/titles&gt;&lt;dates&gt;&lt;year&gt;2019&lt;/year&gt;&lt;/dates&gt;&lt;urls&gt;&lt;/urls&gt;&lt;/record&gt;&lt;/Cite&gt;&lt;/EndNote&gt;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9" w:tooltip="INTERNATIONAL, 2019 #29" w:history="1">
        <w:r w:rsidRPr="005E6B7C">
          <w:rPr>
            <w:rFonts w:asciiTheme="majorHAnsi" w:eastAsia="MS Mincho" w:hAnsiTheme="majorHAnsi" w:cstheme="majorHAnsi"/>
            <w:noProof/>
            <w:color w:val="000000" w:themeColor="text1"/>
            <w:sz w:val="22"/>
            <w:szCs w:val="22"/>
            <w:lang w:eastAsia="ja-JP"/>
          </w:rPr>
          <w:t>9</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w:t>
      </w:r>
    </w:p>
    <w:p w14:paraId="64FD5F8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3.2.1. Method validation</w:t>
      </w:r>
      <w:r w:rsidR="005D308C" w:rsidRPr="005E6B7C">
        <w:rPr>
          <w:rFonts w:asciiTheme="majorHAnsi" w:eastAsia="MS Mincho" w:hAnsiTheme="majorHAnsi" w:cstheme="majorHAnsi"/>
          <w:color w:val="000000" w:themeColor="text1"/>
          <w:sz w:val="22"/>
          <w:szCs w:val="22"/>
          <w:lang w:eastAsia="ja-JP"/>
        </w:rPr>
        <w:t>:</w:t>
      </w:r>
    </w:p>
    <w:p w14:paraId="67474BB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a) System suitability</w:t>
      </w:r>
      <w:r w:rsidR="005D308C" w:rsidRPr="005E6B7C">
        <w:rPr>
          <w:rFonts w:asciiTheme="majorHAnsi" w:eastAsia="MS Mincho" w:hAnsiTheme="majorHAnsi" w:cstheme="majorHAnsi"/>
          <w:color w:val="000000" w:themeColor="text1"/>
          <w:sz w:val="22"/>
          <w:szCs w:val="22"/>
          <w:lang w:eastAsia="ja-JP"/>
        </w:rPr>
        <w:t>:</w:t>
      </w:r>
    </w:p>
    <w:p w14:paraId="35305464" w14:textId="689B665B"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System suitability was verified by making six consecutive injections of the reference substance solutions. RSD (%) of retention time and peak areas were all under 2% (Table 2). </w:t>
      </w:r>
      <w:r w:rsidR="003A0517" w:rsidRPr="005E6B7C">
        <w:rPr>
          <w:rFonts w:asciiTheme="majorHAnsi" w:eastAsia="MS Mincho" w:hAnsiTheme="majorHAnsi" w:cstheme="majorHAnsi"/>
          <w:color w:val="000000" w:themeColor="text1"/>
          <w:sz w:val="22"/>
          <w:szCs w:val="22"/>
          <w:lang w:eastAsia="ja-JP"/>
        </w:rPr>
        <w:t xml:space="preserve">These results </w:t>
      </w:r>
      <w:r w:rsidR="003A0517" w:rsidRPr="005E6B7C">
        <w:rPr>
          <w:rFonts w:asciiTheme="majorHAnsi" w:eastAsia="MS Mincho" w:hAnsiTheme="majorHAnsi" w:cstheme="majorHAnsi"/>
          <w:color w:val="000000" w:themeColor="text1"/>
          <w:sz w:val="22"/>
          <w:szCs w:val="22"/>
          <w:lang w:eastAsia="ja-JP"/>
        </w:rPr>
        <w:t>indicate that</w:t>
      </w:r>
      <w:r w:rsidRPr="005E6B7C">
        <w:rPr>
          <w:rFonts w:asciiTheme="majorHAnsi" w:eastAsia="MS Mincho" w:hAnsiTheme="majorHAnsi" w:cstheme="majorHAnsi"/>
          <w:color w:val="000000" w:themeColor="text1"/>
          <w:sz w:val="22"/>
          <w:szCs w:val="22"/>
          <w:lang w:eastAsia="ja-JP"/>
        </w:rPr>
        <w:t xml:space="preserve"> to system suitability criteria. </w:t>
      </w:r>
    </w:p>
    <w:p w14:paraId="1A2260EA" w14:textId="77777777" w:rsidR="006B6755" w:rsidRPr="005E6B7C" w:rsidRDefault="006B6755"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p>
    <w:p w14:paraId="33ECA9A8" w14:textId="77777777"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2</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System suitability testing (n=6)</w:t>
      </w:r>
    </w:p>
    <w:tbl>
      <w:tblPr>
        <w:tblW w:w="43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7"/>
        <w:gridCol w:w="1160"/>
        <w:gridCol w:w="1177"/>
      </w:tblGrid>
      <w:tr w:rsidR="00E049CB" w:rsidRPr="005E6B7C" w14:paraId="0012F004" w14:textId="77777777" w:rsidTr="006B6755">
        <w:tc>
          <w:tcPr>
            <w:tcW w:w="2057" w:type="dxa"/>
            <w:vMerge w:val="restart"/>
            <w:vAlign w:val="center"/>
          </w:tcPr>
          <w:p w14:paraId="193551C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bCs/>
                <w:color w:val="000000" w:themeColor="text1"/>
                <w:sz w:val="18"/>
                <w:szCs w:val="18"/>
                <w:lang w:eastAsia="ja-JP"/>
              </w:rPr>
            </w:pPr>
            <w:r w:rsidRPr="005E6B7C">
              <w:rPr>
                <w:rFonts w:asciiTheme="majorHAnsi" w:eastAsia="MS Mincho" w:hAnsiTheme="majorHAnsi" w:cstheme="majorHAnsi"/>
                <w:b/>
                <w:bCs/>
                <w:color w:val="000000" w:themeColor="text1"/>
                <w:sz w:val="18"/>
                <w:szCs w:val="18"/>
                <w:lang w:eastAsia="ja-JP"/>
              </w:rPr>
              <w:t>Parameter</w:t>
            </w:r>
          </w:p>
        </w:tc>
        <w:tc>
          <w:tcPr>
            <w:tcW w:w="2337" w:type="dxa"/>
            <w:gridSpan w:val="2"/>
            <w:vAlign w:val="center"/>
          </w:tcPr>
          <w:p w14:paraId="2D8FC8B1"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bCs/>
                <w:color w:val="000000" w:themeColor="text1"/>
                <w:sz w:val="18"/>
                <w:szCs w:val="18"/>
                <w:lang w:eastAsia="ja-JP"/>
              </w:rPr>
            </w:pPr>
            <w:r w:rsidRPr="005E6B7C">
              <w:rPr>
                <w:rFonts w:asciiTheme="majorHAnsi" w:eastAsia="MS Mincho" w:hAnsiTheme="majorHAnsi" w:cstheme="majorHAnsi"/>
                <w:b/>
                <w:bCs/>
                <w:color w:val="000000" w:themeColor="text1"/>
                <w:sz w:val="18"/>
                <w:szCs w:val="18"/>
                <w:lang w:eastAsia="ja-JP"/>
              </w:rPr>
              <w:t>RA (65.5 μg/mL)</w:t>
            </w:r>
          </w:p>
        </w:tc>
      </w:tr>
      <w:tr w:rsidR="00E049CB" w:rsidRPr="005E6B7C" w14:paraId="7A63939A" w14:textId="77777777" w:rsidTr="006B6755">
        <w:tc>
          <w:tcPr>
            <w:tcW w:w="2057" w:type="dxa"/>
            <w:vMerge/>
            <w:vAlign w:val="center"/>
          </w:tcPr>
          <w:p w14:paraId="718E886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bCs/>
                <w:color w:val="000000" w:themeColor="text1"/>
                <w:sz w:val="18"/>
                <w:szCs w:val="18"/>
                <w:lang w:eastAsia="ja-JP"/>
              </w:rPr>
            </w:pPr>
          </w:p>
        </w:tc>
        <w:tc>
          <w:tcPr>
            <w:tcW w:w="1160" w:type="dxa"/>
            <w:vAlign w:val="center"/>
          </w:tcPr>
          <w:p w14:paraId="0413545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bCs/>
                <w:color w:val="000000" w:themeColor="text1"/>
                <w:sz w:val="18"/>
                <w:szCs w:val="18"/>
                <w:lang w:eastAsia="ja-JP"/>
              </w:rPr>
            </w:pPr>
            <w:r w:rsidRPr="005E6B7C">
              <w:rPr>
                <w:rFonts w:asciiTheme="majorHAnsi" w:eastAsia="MS Mincho" w:hAnsiTheme="majorHAnsi" w:cstheme="majorHAnsi"/>
                <w:b/>
                <w:bCs/>
                <w:color w:val="000000" w:themeColor="text1"/>
                <w:sz w:val="18"/>
                <w:szCs w:val="18"/>
                <w:lang w:eastAsia="ja-JP"/>
              </w:rPr>
              <w:t>Mean</w:t>
            </w:r>
          </w:p>
        </w:tc>
        <w:tc>
          <w:tcPr>
            <w:tcW w:w="1177" w:type="dxa"/>
            <w:vAlign w:val="center"/>
          </w:tcPr>
          <w:p w14:paraId="7497B0B9"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bCs/>
                <w:color w:val="000000" w:themeColor="text1"/>
                <w:sz w:val="18"/>
                <w:szCs w:val="18"/>
                <w:lang w:eastAsia="ja-JP"/>
              </w:rPr>
            </w:pPr>
            <w:r w:rsidRPr="005E6B7C">
              <w:rPr>
                <w:rFonts w:asciiTheme="majorHAnsi" w:eastAsia="MS Mincho" w:hAnsiTheme="majorHAnsi" w:cstheme="majorHAnsi"/>
                <w:b/>
                <w:bCs/>
                <w:color w:val="000000" w:themeColor="text1"/>
                <w:sz w:val="18"/>
                <w:szCs w:val="18"/>
                <w:lang w:eastAsia="ja-JP"/>
              </w:rPr>
              <w:t>RSD (%)</w:t>
            </w:r>
          </w:p>
        </w:tc>
      </w:tr>
      <w:tr w:rsidR="00E049CB" w:rsidRPr="005E6B7C" w14:paraId="43EC75EF" w14:textId="77777777" w:rsidTr="006B6755">
        <w:tc>
          <w:tcPr>
            <w:tcW w:w="2057" w:type="dxa"/>
            <w:vAlign w:val="center"/>
          </w:tcPr>
          <w:p w14:paraId="59227873" w14:textId="77777777" w:rsidR="00E049CB" w:rsidRPr="005E6B7C" w:rsidRDefault="00E049CB" w:rsidP="008C0D47">
            <w:pPr>
              <w:tabs>
                <w:tab w:val="left" w:pos="270"/>
                <w:tab w:val="left" w:pos="540"/>
                <w:tab w:val="left" w:pos="9270"/>
              </w:tabs>
              <w:ind w:right="-20"/>
              <w:jc w:val="both"/>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Retention time, t</w:t>
            </w:r>
            <w:r w:rsidRPr="005E6B7C">
              <w:rPr>
                <w:rFonts w:asciiTheme="majorHAnsi" w:eastAsia="MS Mincho" w:hAnsiTheme="majorHAnsi" w:cstheme="majorHAnsi"/>
                <w:color w:val="000000" w:themeColor="text1"/>
                <w:sz w:val="18"/>
                <w:szCs w:val="18"/>
                <w:vertAlign w:val="subscript"/>
                <w:lang w:eastAsia="ja-JP"/>
              </w:rPr>
              <w:t xml:space="preserve">R </w:t>
            </w:r>
            <w:r w:rsidRPr="005E6B7C">
              <w:rPr>
                <w:rFonts w:asciiTheme="majorHAnsi" w:eastAsia="MS Mincho" w:hAnsiTheme="majorHAnsi" w:cstheme="majorHAnsi"/>
                <w:color w:val="000000" w:themeColor="text1"/>
                <w:sz w:val="18"/>
                <w:szCs w:val="18"/>
                <w:lang w:eastAsia="ja-JP"/>
              </w:rPr>
              <w:t>(min)</w:t>
            </w:r>
          </w:p>
        </w:tc>
        <w:tc>
          <w:tcPr>
            <w:tcW w:w="1160" w:type="dxa"/>
            <w:vAlign w:val="center"/>
          </w:tcPr>
          <w:p w14:paraId="1A73B736"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13.814</w:t>
            </w:r>
          </w:p>
        </w:tc>
        <w:tc>
          <w:tcPr>
            <w:tcW w:w="1177" w:type="dxa"/>
            <w:vAlign w:val="center"/>
          </w:tcPr>
          <w:p w14:paraId="6448478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0.23</w:t>
            </w:r>
          </w:p>
        </w:tc>
      </w:tr>
      <w:tr w:rsidR="00E049CB" w:rsidRPr="005E6B7C" w14:paraId="63A57072" w14:textId="77777777" w:rsidTr="006B6755">
        <w:tc>
          <w:tcPr>
            <w:tcW w:w="2057" w:type="dxa"/>
            <w:vAlign w:val="center"/>
          </w:tcPr>
          <w:p w14:paraId="617529A3" w14:textId="77777777" w:rsidR="00E049CB" w:rsidRPr="005E6B7C" w:rsidRDefault="00E049CB" w:rsidP="008C0D47">
            <w:pPr>
              <w:tabs>
                <w:tab w:val="left" w:pos="270"/>
                <w:tab w:val="left" w:pos="540"/>
                <w:tab w:val="left" w:pos="9270"/>
              </w:tabs>
              <w:ind w:right="-20"/>
              <w:jc w:val="both"/>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Peak area (mAu.s)</w:t>
            </w:r>
          </w:p>
        </w:tc>
        <w:tc>
          <w:tcPr>
            <w:tcW w:w="1160" w:type="dxa"/>
            <w:vAlign w:val="center"/>
          </w:tcPr>
          <w:p w14:paraId="66CB4DE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1804058</w:t>
            </w:r>
          </w:p>
        </w:tc>
        <w:tc>
          <w:tcPr>
            <w:tcW w:w="1177" w:type="dxa"/>
            <w:vAlign w:val="center"/>
          </w:tcPr>
          <w:p w14:paraId="20792C4E"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0.75</w:t>
            </w:r>
          </w:p>
        </w:tc>
      </w:tr>
    </w:tbl>
    <w:p w14:paraId="5CD7A386" w14:textId="77777777" w:rsidR="006B6755" w:rsidRPr="005E6B7C" w:rsidRDefault="006B6755"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p>
    <w:p w14:paraId="57A92AE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b) Selectivity</w:t>
      </w:r>
      <w:r w:rsidR="005D308C" w:rsidRPr="005E6B7C">
        <w:rPr>
          <w:rFonts w:asciiTheme="majorHAnsi" w:eastAsia="MS Mincho" w:hAnsiTheme="majorHAnsi" w:cstheme="majorHAnsi"/>
          <w:color w:val="000000" w:themeColor="text1"/>
          <w:sz w:val="22"/>
          <w:szCs w:val="22"/>
          <w:lang w:eastAsia="ja-JP"/>
        </w:rPr>
        <w:t>:</w:t>
      </w:r>
    </w:p>
    <w:p w14:paraId="0FE027AE" w14:textId="77777777" w:rsidR="005C2A66"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5C2A66">
          <w:type w:val="continuous"/>
          <w:pgSz w:w="10773" w:h="15309" w:code="9"/>
          <w:pgMar w:top="907" w:right="851" w:bottom="1418" w:left="851" w:header="397" w:footer="851" w:gutter="0"/>
          <w:cols w:num="2" w:space="284"/>
          <w:docGrid w:linePitch="360"/>
        </w:sectPr>
      </w:pPr>
      <w:r w:rsidRPr="005E6B7C">
        <w:rPr>
          <w:rFonts w:asciiTheme="majorHAnsi" w:eastAsia="MS Mincho" w:hAnsiTheme="majorHAnsi" w:cstheme="majorHAnsi"/>
          <w:color w:val="000000" w:themeColor="text1"/>
          <w:sz w:val="22"/>
          <w:szCs w:val="22"/>
          <w:lang w:eastAsia="ja-JP"/>
        </w:rPr>
        <w:t xml:space="preserve">The experiment was performed with a blank sample, RA, and sample solutions according to the analytical procedure. The obtained chromatograms are shown in </w:t>
      </w:r>
      <w:r w:rsidR="00517F81" w:rsidRPr="005E6B7C">
        <w:rPr>
          <w:rFonts w:asciiTheme="majorHAnsi" w:eastAsia="MS Mincho" w:hAnsiTheme="majorHAnsi" w:cstheme="majorHAnsi"/>
          <w:color w:val="000000" w:themeColor="text1"/>
          <w:sz w:val="22"/>
          <w:szCs w:val="22"/>
          <w:lang w:eastAsia="ja-JP"/>
        </w:rPr>
        <w:t xml:space="preserve">Fig. </w:t>
      </w:r>
      <w:r w:rsidRPr="005E6B7C">
        <w:rPr>
          <w:rFonts w:asciiTheme="majorHAnsi" w:eastAsia="MS Mincho" w:hAnsiTheme="majorHAnsi" w:cstheme="majorHAnsi"/>
          <w:color w:val="000000" w:themeColor="text1"/>
          <w:sz w:val="22"/>
          <w:szCs w:val="22"/>
          <w:lang w:eastAsia="ja-JP"/>
        </w:rPr>
        <w:t>3. The peak signal of RA is sharp and well separated. Comparison of the UV spectrum of RA in the test sample and the standard sample showed that the matching ratio was above 0.99, indicating that the analytical method met the requirements for specificity.</w:t>
      </w:r>
    </w:p>
    <w:p w14:paraId="255EFB6E" w14:textId="77777777" w:rsidR="006B6755" w:rsidRPr="005E6B7C" w:rsidRDefault="006B6755" w:rsidP="008C0D47">
      <w:pPr>
        <w:tabs>
          <w:tab w:val="left" w:pos="270"/>
          <w:tab w:val="left" w:pos="540"/>
          <w:tab w:val="left" w:pos="9270"/>
        </w:tabs>
        <w:spacing w:line="240" w:lineRule="exact"/>
        <w:ind w:firstLine="284"/>
        <w:jc w:val="both"/>
        <w:rPr>
          <w:rFonts w:asciiTheme="majorHAnsi" w:eastAsia="MS Mincho" w:hAnsiTheme="majorHAnsi" w:cstheme="majorHAnsi"/>
          <w:b/>
          <w:color w:val="000000" w:themeColor="text1"/>
          <w:sz w:val="22"/>
          <w:szCs w:val="22"/>
          <w:lang w:eastAsia="ja-JP"/>
        </w:rPr>
      </w:pPr>
    </w:p>
    <w:tbl>
      <w:tblPr>
        <w:tblW w:w="0" w:type="auto"/>
        <w:tblLook w:val="04A0" w:firstRow="1" w:lastRow="0" w:firstColumn="1" w:lastColumn="0" w:noHBand="0" w:noVBand="1"/>
      </w:tblPr>
      <w:tblGrid>
        <w:gridCol w:w="5665"/>
        <w:gridCol w:w="3406"/>
      </w:tblGrid>
      <w:tr w:rsidR="00573010" w:rsidRPr="005E6B7C" w14:paraId="5EAA2E65" w14:textId="77777777" w:rsidTr="00C644FB">
        <w:tc>
          <w:tcPr>
            <w:tcW w:w="6036" w:type="dxa"/>
          </w:tcPr>
          <w:p w14:paraId="47E06DC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noProof/>
                <w:color w:val="000000" w:themeColor="text1"/>
                <w:sz w:val="22"/>
                <w:szCs w:val="22"/>
              </w:rPr>
              <w:drawing>
                <wp:inline distT="0" distB="0" distL="0" distR="0" wp14:anchorId="623492A6" wp14:editId="15EAD30F">
                  <wp:extent cx="3438525" cy="1857375"/>
                  <wp:effectExtent l="0" t="0" r="9525" b="9525"/>
                  <wp:docPr id="1646478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BEBA8EAE-BF5A-486C-A8C5-ECC9F3942E4B}">
                                <a14:imgProps xmlns:a14="http://schemas.microsoft.com/office/drawing/2010/main">
                                  <a14:imgLayer r:embed="rId6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438525" cy="1857375"/>
                          </a:xfrm>
                          <a:prstGeom prst="rect">
                            <a:avLst/>
                          </a:prstGeom>
                          <a:noFill/>
                          <a:ln>
                            <a:noFill/>
                          </a:ln>
                        </pic:spPr>
                      </pic:pic>
                    </a:graphicData>
                  </a:graphic>
                </wp:inline>
              </w:drawing>
            </w:r>
          </w:p>
        </w:tc>
        <w:tc>
          <w:tcPr>
            <w:tcW w:w="3593" w:type="dxa"/>
          </w:tcPr>
          <w:p w14:paraId="07E105DA" w14:textId="77777777" w:rsidR="00E049CB" w:rsidRPr="005E6B7C" w:rsidRDefault="00E049CB"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noProof/>
                <w:color w:val="000000" w:themeColor="text1"/>
                <w:sz w:val="22"/>
                <w:szCs w:val="22"/>
              </w:rPr>
              <w:drawing>
                <wp:inline distT="0" distB="0" distL="0" distR="0" wp14:anchorId="6CAF9760" wp14:editId="274F2F2B">
                  <wp:extent cx="2009775" cy="1819275"/>
                  <wp:effectExtent l="0" t="0" r="9525" b="9525"/>
                  <wp:docPr id="3663722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val="0"/>
                              </a:ext>
                            </a:extLst>
                          </a:blip>
                          <a:srcRect l="8740" b="7500"/>
                          <a:stretch>
                            <a:fillRect/>
                          </a:stretch>
                        </pic:blipFill>
                        <pic:spPr bwMode="auto">
                          <a:xfrm>
                            <a:off x="0" y="0"/>
                            <a:ext cx="2009775" cy="1819275"/>
                          </a:xfrm>
                          <a:prstGeom prst="rect">
                            <a:avLst/>
                          </a:prstGeom>
                          <a:noFill/>
                          <a:ln>
                            <a:noFill/>
                          </a:ln>
                        </pic:spPr>
                      </pic:pic>
                    </a:graphicData>
                  </a:graphic>
                </wp:inline>
              </w:drawing>
            </w:r>
          </w:p>
        </w:tc>
      </w:tr>
      <w:tr w:rsidR="00573010" w:rsidRPr="005E6B7C" w14:paraId="4009F5D4" w14:textId="77777777" w:rsidTr="00C644FB">
        <w:tc>
          <w:tcPr>
            <w:tcW w:w="6036" w:type="dxa"/>
          </w:tcPr>
          <w:p w14:paraId="41C2CD5B"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Cs/>
                <w:noProof/>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Fig.</w:t>
            </w:r>
            <w:r w:rsidR="00A661A1" w:rsidRPr="005E6B7C">
              <w:rPr>
                <w:rFonts w:asciiTheme="majorHAnsi" w:eastAsia="Calibri" w:hAnsiTheme="majorHAnsi" w:cstheme="majorHAnsi"/>
                <w:b/>
                <w:color w:val="000000" w:themeColor="text1"/>
                <w:kern w:val="2"/>
                <w:sz w:val="18"/>
                <w:szCs w:val="18"/>
                <w14:ligatures w14:val="standardContextual"/>
              </w:rPr>
              <w:t xml:space="preserve"> 3</w:t>
            </w:r>
            <w:r w:rsidR="00E049CB" w:rsidRPr="005E6B7C">
              <w:rPr>
                <w:rFonts w:asciiTheme="majorHAnsi" w:eastAsia="Calibri" w:hAnsiTheme="majorHAnsi" w:cstheme="majorHAnsi"/>
                <w:b/>
                <w:color w:val="000000" w:themeColor="text1"/>
                <w:kern w:val="2"/>
                <w:sz w:val="18"/>
                <w:szCs w:val="18"/>
                <w14:ligatures w14:val="standardContextual"/>
              </w:rPr>
              <w:t xml:space="preserve">. </w:t>
            </w:r>
            <w:r w:rsidR="00E049CB" w:rsidRPr="005E6B7C">
              <w:rPr>
                <w:rFonts w:asciiTheme="majorHAnsi" w:eastAsia="Calibri" w:hAnsiTheme="majorHAnsi" w:cstheme="majorHAnsi"/>
                <w:bCs/>
                <w:noProof/>
                <w:color w:val="000000" w:themeColor="text1"/>
                <w:kern w:val="2"/>
                <w:sz w:val="18"/>
                <w:szCs w:val="18"/>
                <w14:ligatures w14:val="standardContextual"/>
              </w:rPr>
              <w:t xml:space="preserve">Chromatograms for analysis of </w:t>
            </w:r>
            <w:r w:rsidR="00E049CB" w:rsidRPr="005E6B7C">
              <w:rPr>
                <w:rFonts w:asciiTheme="majorHAnsi" w:eastAsia="Calibri" w:hAnsiTheme="majorHAnsi" w:cstheme="majorHAnsi"/>
                <w:bCs/>
                <w:color w:val="000000" w:themeColor="text1"/>
                <w:kern w:val="2"/>
                <w:sz w:val="18"/>
                <w:szCs w:val="18"/>
                <w14:ligatures w14:val="standardContextual"/>
              </w:rPr>
              <w:t>RA</w:t>
            </w:r>
            <w:r w:rsidR="00E049CB" w:rsidRPr="005E6B7C">
              <w:rPr>
                <w:rFonts w:asciiTheme="majorHAnsi" w:eastAsia="Calibri" w:hAnsiTheme="majorHAnsi" w:cstheme="majorHAnsi"/>
                <w:bCs/>
                <w:noProof/>
                <w:color w:val="000000" w:themeColor="text1"/>
                <w:kern w:val="2"/>
                <w:sz w:val="18"/>
                <w:szCs w:val="18"/>
                <w14:ligatures w14:val="standardContextual"/>
              </w:rPr>
              <w:t xml:space="preserve"> in PS</w:t>
            </w:r>
            <w:r w:rsidR="00E049CB" w:rsidRPr="005E6B7C">
              <w:rPr>
                <w:rFonts w:asciiTheme="majorHAnsi" w:eastAsia="Calibri" w:hAnsiTheme="majorHAnsi" w:cstheme="majorHAnsi"/>
                <w:bCs/>
                <w:i/>
                <w:noProof/>
                <w:color w:val="000000" w:themeColor="text1"/>
                <w:kern w:val="2"/>
                <w:sz w:val="18"/>
                <w:szCs w:val="18"/>
                <w14:ligatures w14:val="standardContextual"/>
              </w:rPr>
              <w:t xml:space="preserve"> </w:t>
            </w:r>
            <w:r w:rsidR="00E049CB" w:rsidRPr="005E6B7C">
              <w:rPr>
                <w:rFonts w:asciiTheme="majorHAnsi" w:eastAsia="Calibri" w:hAnsiTheme="majorHAnsi" w:cstheme="majorHAnsi"/>
                <w:bCs/>
                <w:noProof/>
                <w:color w:val="000000" w:themeColor="text1"/>
                <w:kern w:val="2"/>
                <w:sz w:val="18"/>
                <w:szCs w:val="18"/>
                <w14:ligatures w14:val="standardContextual"/>
              </w:rPr>
              <w:t>under different conditions</w:t>
            </w:r>
          </w:p>
          <w:p w14:paraId="694CEEC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i/>
                <w:color w:val="000000" w:themeColor="text1"/>
                <w:sz w:val="18"/>
                <w:szCs w:val="18"/>
                <w:lang w:val="vi-VN" w:eastAsia="ja-JP"/>
              </w:rPr>
              <w:t xml:space="preserve">(1): </w:t>
            </w:r>
            <w:r w:rsidRPr="005E6B7C">
              <w:rPr>
                <w:rFonts w:asciiTheme="majorHAnsi" w:eastAsia="MS Mincho" w:hAnsiTheme="majorHAnsi" w:cstheme="majorHAnsi"/>
                <w:i/>
                <w:color w:val="000000" w:themeColor="text1"/>
                <w:sz w:val="18"/>
                <w:szCs w:val="18"/>
                <w:lang w:eastAsia="ja-JP"/>
              </w:rPr>
              <w:t>test sample</w:t>
            </w:r>
            <w:r w:rsidRPr="005E6B7C">
              <w:rPr>
                <w:rFonts w:asciiTheme="majorHAnsi" w:eastAsia="MS Mincho" w:hAnsiTheme="majorHAnsi" w:cstheme="majorHAnsi"/>
                <w:i/>
                <w:color w:val="000000" w:themeColor="text1"/>
                <w:sz w:val="18"/>
                <w:szCs w:val="18"/>
                <w:lang w:val="vi-VN" w:eastAsia="ja-JP"/>
              </w:rPr>
              <w:t>; (2): rosmarinic</w:t>
            </w:r>
            <w:r w:rsidRPr="005E6B7C">
              <w:rPr>
                <w:rFonts w:asciiTheme="majorHAnsi" w:eastAsia="MS Mincho" w:hAnsiTheme="majorHAnsi" w:cstheme="majorHAnsi"/>
                <w:i/>
                <w:color w:val="000000" w:themeColor="text1"/>
                <w:sz w:val="18"/>
                <w:szCs w:val="18"/>
                <w:lang w:eastAsia="ja-JP"/>
              </w:rPr>
              <w:t xml:space="preserve"> acid</w:t>
            </w:r>
            <w:r w:rsidRPr="005E6B7C">
              <w:rPr>
                <w:rFonts w:asciiTheme="majorHAnsi" w:eastAsia="MS Mincho" w:hAnsiTheme="majorHAnsi" w:cstheme="majorHAnsi"/>
                <w:i/>
                <w:color w:val="000000" w:themeColor="text1"/>
                <w:sz w:val="18"/>
                <w:szCs w:val="18"/>
                <w:lang w:val="vi-VN" w:eastAsia="ja-JP"/>
              </w:rPr>
              <w:t>; (3): blank sample</w:t>
            </w:r>
          </w:p>
        </w:tc>
        <w:tc>
          <w:tcPr>
            <w:tcW w:w="3593" w:type="dxa"/>
          </w:tcPr>
          <w:p w14:paraId="47713683"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Fig.</w:t>
            </w:r>
            <w:r w:rsidR="00A661A1" w:rsidRPr="005E6B7C">
              <w:rPr>
                <w:rFonts w:asciiTheme="majorHAnsi" w:eastAsia="Calibri" w:hAnsiTheme="majorHAnsi" w:cstheme="majorHAnsi"/>
                <w:b/>
                <w:color w:val="000000" w:themeColor="text1"/>
                <w:kern w:val="2"/>
                <w:sz w:val="18"/>
                <w:szCs w:val="18"/>
                <w14:ligatures w14:val="standardContextual"/>
              </w:rPr>
              <w:t xml:space="preserve"> 4</w:t>
            </w:r>
            <w:r w:rsidR="00E049CB" w:rsidRPr="005E6B7C">
              <w:rPr>
                <w:rFonts w:asciiTheme="majorHAnsi" w:eastAsia="Calibri" w:hAnsiTheme="majorHAnsi" w:cstheme="majorHAnsi"/>
                <w:b/>
                <w:color w:val="000000" w:themeColor="text1"/>
                <w:kern w:val="2"/>
                <w:sz w:val="18"/>
                <w:szCs w:val="18"/>
                <w14:ligatures w14:val="standardContextual"/>
              </w:rPr>
              <w:t xml:space="preserve">. </w:t>
            </w:r>
            <w:r w:rsidR="00E049CB" w:rsidRPr="005E6B7C">
              <w:rPr>
                <w:rFonts w:asciiTheme="majorHAnsi" w:eastAsia="Calibri" w:hAnsiTheme="majorHAnsi" w:cstheme="majorHAnsi"/>
                <w:bCs/>
                <w:color w:val="000000" w:themeColor="text1"/>
                <w:kern w:val="2"/>
                <w:sz w:val="18"/>
                <w:szCs w:val="18"/>
                <w14:ligatures w14:val="standardContextual"/>
              </w:rPr>
              <w:t>UV spectrum overlay</w:t>
            </w:r>
          </w:p>
          <w:p w14:paraId="5D4520D8" w14:textId="77777777" w:rsidR="00E049CB" w:rsidRPr="005E6B7C" w:rsidRDefault="00E049CB" w:rsidP="008C0D47">
            <w:pPr>
              <w:tabs>
                <w:tab w:val="left" w:pos="270"/>
                <w:tab w:val="left" w:pos="540"/>
                <w:tab w:val="left" w:pos="9270"/>
              </w:tabs>
              <w:ind w:right="-20"/>
              <w:jc w:val="both"/>
              <w:rPr>
                <w:rFonts w:asciiTheme="majorHAnsi" w:eastAsia="MS Mincho" w:hAnsiTheme="majorHAnsi" w:cstheme="majorHAnsi"/>
                <w:color w:val="000000" w:themeColor="text1"/>
                <w:sz w:val="18"/>
                <w:szCs w:val="18"/>
                <w:lang w:eastAsia="ja-JP"/>
              </w:rPr>
            </w:pPr>
          </w:p>
        </w:tc>
      </w:tr>
    </w:tbl>
    <w:p w14:paraId="5928AD6A" w14:textId="77777777" w:rsidR="006B6755" w:rsidRPr="005E6B7C" w:rsidRDefault="006B6755"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p>
    <w:p w14:paraId="0891AED3" w14:textId="77777777" w:rsidR="005C2A66" w:rsidRPr="005E6B7C" w:rsidRDefault="005C2A66"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5C2A66" w:rsidRPr="005E6B7C" w:rsidSect="002206BB">
          <w:type w:val="continuous"/>
          <w:pgSz w:w="10773" w:h="15309" w:code="9"/>
          <w:pgMar w:top="907" w:right="851" w:bottom="1418" w:left="851" w:header="397" w:footer="851" w:gutter="0"/>
          <w:cols w:space="284"/>
          <w:docGrid w:linePitch="360"/>
        </w:sectPr>
      </w:pPr>
    </w:p>
    <w:p w14:paraId="57EC9D0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c) Calibration curve</w:t>
      </w:r>
    </w:p>
    <w:p w14:paraId="2B51279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calibration curve was constructed by plotting the peak areas versus the concentrations of the analyte. The result showed satisfactory linearity in the concentration ranges of 4.09 </w:t>
      </w:r>
      <w:r w:rsidRPr="005E6B7C">
        <w:rPr>
          <w:rFonts w:asciiTheme="majorHAnsi" w:eastAsia="MS Mincho" w:hAnsiTheme="majorHAnsi" w:cstheme="majorHAnsi"/>
          <w:color w:val="000000" w:themeColor="text1"/>
          <w:sz w:val="22"/>
          <w:szCs w:val="22"/>
          <w:lang w:eastAsia="ja-JP"/>
        </w:rPr>
        <w:sym w:font="Symbol" w:char="F02D"/>
      </w:r>
      <w:r w:rsidRPr="005E6B7C">
        <w:rPr>
          <w:rFonts w:asciiTheme="majorHAnsi" w:eastAsia="MS Mincho" w:hAnsiTheme="majorHAnsi" w:cstheme="majorHAnsi"/>
          <w:color w:val="000000" w:themeColor="text1"/>
          <w:sz w:val="22"/>
          <w:szCs w:val="22"/>
          <w:lang w:eastAsia="ja-JP"/>
        </w:rPr>
        <w:t xml:space="preserve"> 524.00 μg/mL for RA (</w:t>
      </w:r>
      <w:r w:rsidR="00517F81" w:rsidRPr="005E6B7C">
        <w:rPr>
          <w:rFonts w:asciiTheme="majorHAnsi" w:eastAsia="MS Mincho" w:hAnsiTheme="majorHAnsi" w:cstheme="majorHAnsi"/>
          <w:color w:val="000000" w:themeColor="text1"/>
          <w:sz w:val="22"/>
          <w:szCs w:val="22"/>
          <w:lang w:eastAsia="ja-JP"/>
        </w:rPr>
        <w:t xml:space="preserve">Fig. </w:t>
      </w:r>
      <w:r w:rsidRPr="005E6B7C">
        <w:rPr>
          <w:rFonts w:asciiTheme="majorHAnsi" w:eastAsia="MS Mincho" w:hAnsiTheme="majorHAnsi" w:cstheme="majorHAnsi"/>
          <w:color w:val="000000" w:themeColor="text1"/>
          <w:sz w:val="22"/>
          <w:szCs w:val="22"/>
          <w:lang w:eastAsia="ja-JP"/>
        </w:rPr>
        <w:t xml:space="preserve">5 and Table 3). The </w:t>
      </w:r>
      <w:r w:rsidRPr="005E6B7C">
        <w:rPr>
          <w:rFonts w:asciiTheme="majorHAnsi" w:eastAsia="MS Mincho" w:hAnsiTheme="majorHAnsi" w:cstheme="majorHAnsi"/>
          <w:color w:val="000000" w:themeColor="text1"/>
          <w:sz w:val="22"/>
          <w:szCs w:val="22"/>
          <w:lang w:eastAsia="ja-JP"/>
        </w:rPr>
        <w:t>calibration curve has R</w:t>
      </w:r>
      <w:r w:rsidRPr="005E6B7C">
        <w:rPr>
          <w:rFonts w:asciiTheme="majorHAnsi" w:eastAsia="MS Mincho" w:hAnsiTheme="majorHAnsi" w:cstheme="majorHAnsi"/>
          <w:color w:val="000000" w:themeColor="text1"/>
          <w:sz w:val="22"/>
          <w:szCs w:val="22"/>
          <w:vertAlign w:val="superscript"/>
          <w:lang w:eastAsia="ja-JP"/>
        </w:rPr>
        <w:t>2</w:t>
      </w:r>
      <w:r w:rsidRPr="005E6B7C">
        <w:rPr>
          <w:rFonts w:asciiTheme="majorHAnsi" w:eastAsia="MS Mincho" w:hAnsiTheme="majorHAnsi" w:cstheme="majorHAnsi"/>
          <w:color w:val="000000" w:themeColor="text1"/>
          <w:sz w:val="22"/>
          <w:szCs w:val="22"/>
          <w:lang w:eastAsia="ja-JP"/>
        </w:rPr>
        <w:t xml:space="preserve"> &gt; 0.99 and bias &lt; 15%, indicating that there is a good linear correlation between the concentration of rosmarinic acid and the peak area. Therefore, the proposed method can be used for the quantitative analysis of RA.</w:t>
      </w:r>
    </w:p>
    <w:p w14:paraId="63683347" w14:textId="77777777" w:rsidR="006B6755" w:rsidRPr="005E6B7C" w:rsidRDefault="006B6755"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pPr>
    </w:p>
    <w:p w14:paraId="2F8414D1" w14:textId="77777777" w:rsidR="006A6994" w:rsidRPr="005E6B7C" w:rsidRDefault="006A6994"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sectPr w:rsidR="006A6994" w:rsidRPr="005E6B7C" w:rsidSect="005C2A66">
          <w:type w:val="continuous"/>
          <w:pgSz w:w="10773" w:h="15309" w:code="9"/>
          <w:pgMar w:top="907" w:right="851" w:bottom="1418" w:left="851" w:header="397" w:footer="851" w:gutter="0"/>
          <w:cols w:num="2" w:space="284"/>
          <w:docGrid w:linePitch="360"/>
        </w:sectPr>
      </w:pPr>
    </w:p>
    <w:p w14:paraId="791F7096" w14:textId="77777777" w:rsidR="006B6755" w:rsidRPr="005E6B7C" w:rsidRDefault="006B6755" w:rsidP="008C0D47">
      <w:pPr>
        <w:tabs>
          <w:tab w:val="left" w:pos="270"/>
          <w:tab w:val="left" w:pos="540"/>
          <w:tab w:val="left" w:pos="9270"/>
        </w:tabs>
        <w:spacing w:before="120" w:after="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3</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Linearity study data</w:t>
      </w:r>
    </w:p>
    <w:tbl>
      <w:tblPr>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99"/>
        <w:gridCol w:w="3003"/>
        <w:gridCol w:w="2870"/>
      </w:tblGrid>
      <w:tr w:rsidR="006B6755" w:rsidRPr="005E6B7C" w14:paraId="1AA614AA" w14:textId="77777777" w:rsidTr="006A6994">
        <w:tc>
          <w:tcPr>
            <w:tcW w:w="1548" w:type="dxa"/>
            <w:vAlign w:val="center"/>
          </w:tcPr>
          <w:p w14:paraId="462F2274" w14:textId="761DE0F0" w:rsidR="006B6755" w:rsidRPr="005E6B7C" w:rsidRDefault="006B6755" w:rsidP="008C0D47">
            <w:pPr>
              <w:tabs>
                <w:tab w:val="left" w:pos="270"/>
                <w:tab w:val="left" w:pos="540"/>
                <w:tab w:val="left" w:pos="9270"/>
              </w:tabs>
              <w:ind w:right="-20"/>
              <w:jc w:val="center"/>
              <w:rPr>
                <w:rFonts w:asciiTheme="majorHAnsi" w:eastAsia="Courier New" w:hAnsiTheme="majorHAnsi" w:cstheme="majorHAnsi"/>
                <w:b/>
                <w:color w:val="000000" w:themeColor="text1"/>
                <w:sz w:val="18"/>
                <w:szCs w:val="18"/>
                <w:lang w:eastAsia="ja-JP"/>
              </w:rPr>
            </w:pPr>
            <w:r w:rsidRPr="005E6B7C">
              <w:rPr>
                <w:rFonts w:asciiTheme="majorHAnsi" w:eastAsia="Courier New" w:hAnsiTheme="majorHAnsi" w:cstheme="majorHAnsi"/>
                <w:b/>
                <w:color w:val="000000" w:themeColor="text1"/>
                <w:sz w:val="18"/>
                <w:szCs w:val="18"/>
                <w:lang w:eastAsia="ja-JP"/>
              </w:rPr>
              <w:t>Concentration (</w:t>
            </w:r>
            <w:r w:rsidR="00266B26" w:rsidRPr="005E6B7C">
              <w:rPr>
                <w:rFonts w:asciiTheme="majorHAnsi" w:eastAsia="Courier New" w:hAnsiTheme="majorHAnsi" w:cstheme="majorHAnsi"/>
                <w:b/>
                <w:i/>
                <w:iCs/>
                <w:color w:val="000000" w:themeColor="text1"/>
                <w:sz w:val="18"/>
                <w:szCs w:val="18"/>
                <w:lang w:eastAsia="ja-JP"/>
              </w:rPr>
              <w:t>µ</w:t>
            </w:r>
            <w:r w:rsidRPr="005E6B7C">
              <w:rPr>
                <w:rFonts w:asciiTheme="majorHAnsi" w:eastAsia="Courier New" w:hAnsiTheme="majorHAnsi" w:cstheme="majorHAnsi"/>
                <w:b/>
                <w:color w:val="000000" w:themeColor="text1"/>
                <w:sz w:val="18"/>
                <w:szCs w:val="18"/>
                <w:lang w:eastAsia="ja-JP"/>
              </w:rPr>
              <w:t>g/mL)</w:t>
            </w:r>
          </w:p>
        </w:tc>
        <w:tc>
          <w:tcPr>
            <w:tcW w:w="1453" w:type="dxa"/>
            <w:vAlign w:val="center"/>
          </w:tcPr>
          <w:p w14:paraId="19498EA4" w14:textId="77777777" w:rsidR="006B6755" w:rsidRPr="005E6B7C" w:rsidRDefault="006B6755" w:rsidP="008C0D47">
            <w:pPr>
              <w:tabs>
                <w:tab w:val="left" w:pos="270"/>
                <w:tab w:val="left" w:pos="540"/>
                <w:tab w:val="left" w:pos="9270"/>
              </w:tabs>
              <w:ind w:right="-20"/>
              <w:jc w:val="center"/>
              <w:rPr>
                <w:rFonts w:asciiTheme="majorHAnsi" w:eastAsia="Courier New" w:hAnsiTheme="majorHAnsi" w:cstheme="majorHAnsi"/>
                <w:color w:val="000000" w:themeColor="text1"/>
                <w:sz w:val="18"/>
                <w:szCs w:val="18"/>
                <w:lang w:eastAsia="ja-JP"/>
              </w:rPr>
            </w:pPr>
            <w:r w:rsidRPr="005E6B7C">
              <w:rPr>
                <w:rFonts w:asciiTheme="majorHAnsi" w:eastAsia="Courier New" w:hAnsiTheme="majorHAnsi" w:cstheme="majorHAnsi"/>
                <w:b/>
                <w:color w:val="000000" w:themeColor="text1"/>
                <w:sz w:val="18"/>
                <w:szCs w:val="18"/>
                <w:lang w:eastAsia="ja-JP"/>
              </w:rPr>
              <w:t>Peak area (mAU.s)</w:t>
            </w:r>
          </w:p>
        </w:tc>
        <w:tc>
          <w:tcPr>
            <w:tcW w:w="1389" w:type="dxa"/>
            <w:vAlign w:val="center"/>
          </w:tcPr>
          <w:p w14:paraId="35F1DC88" w14:textId="77777777" w:rsidR="006B6755" w:rsidRPr="005E6B7C" w:rsidRDefault="006B6755" w:rsidP="008C0D47">
            <w:pPr>
              <w:tabs>
                <w:tab w:val="left" w:pos="270"/>
                <w:tab w:val="left" w:pos="540"/>
                <w:tab w:val="left" w:pos="9270"/>
              </w:tabs>
              <w:ind w:right="-20"/>
              <w:jc w:val="center"/>
              <w:rPr>
                <w:rFonts w:asciiTheme="majorHAnsi" w:eastAsia="Courier New" w:hAnsiTheme="majorHAnsi" w:cstheme="majorHAnsi"/>
                <w:b/>
                <w:color w:val="000000" w:themeColor="text1"/>
                <w:sz w:val="18"/>
                <w:szCs w:val="18"/>
                <w:lang w:eastAsia="ja-JP"/>
              </w:rPr>
            </w:pPr>
            <w:r w:rsidRPr="005E6B7C">
              <w:rPr>
                <w:rFonts w:asciiTheme="majorHAnsi" w:eastAsia="Courier New" w:hAnsiTheme="majorHAnsi" w:cstheme="majorHAnsi"/>
                <w:b/>
                <w:color w:val="000000" w:themeColor="text1"/>
                <w:sz w:val="18"/>
                <w:szCs w:val="18"/>
                <w:lang w:eastAsia="ja-JP"/>
              </w:rPr>
              <w:t>Deviation (%)</w:t>
            </w:r>
          </w:p>
        </w:tc>
      </w:tr>
      <w:tr w:rsidR="006B6755" w:rsidRPr="005E6B7C" w14:paraId="3F56EE7E" w14:textId="77777777" w:rsidTr="006A6994">
        <w:tc>
          <w:tcPr>
            <w:tcW w:w="1548" w:type="dxa"/>
            <w:vAlign w:val="center"/>
          </w:tcPr>
          <w:p w14:paraId="70738DA1"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524.00</w:t>
            </w:r>
          </w:p>
        </w:tc>
        <w:tc>
          <w:tcPr>
            <w:tcW w:w="1453" w:type="dxa"/>
            <w:vAlign w:val="center"/>
          </w:tcPr>
          <w:p w14:paraId="1C0D4B75"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14897264</w:t>
            </w:r>
          </w:p>
        </w:tc>
        <w:tc>
          <w:tcPr>
            <w:tcW w:w="1389" w:type="dxa"/>
            <w:vAlign w:val="center"/>
          </w:tcPr>
          <w:p w14:paraId="4514859F"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r>
      <w:tr w:rsidR="006B6755" w:rsidRPr="005E6B7C" w14:paraId="55F54017" w14:textId="77777777" w:rsidTr="006A6994">
        <w:tc>
          <w:tcPr>
            <w:tcW w:w="1548" w:type="dxa"/>
            <w:vAlign w:val="center"/>
          </w:tcPr>
          <w:p w14:paraId="0508276D"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262.00</w:t>
            </w:r>
          </w:p>
        </w:tc>
        <w:tc>
          <w:tcPr>
            <w:tcW w:w="1453" w:type="dxa"/>
            <w:vAlign w:val="center"/>
          </w:tcPr>
          <w:p w14:paraId="24DD374C"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7422351</w:t>
            </w:r>
          </w:p>
        </w:tc>
        <w:tc>
          <w:tcPr>
            <w:tcW w:w="1389" w:type="dxa"/>
            <w:vAlign w:val="center"/>
          </w:tcPr>
          <w:p w14:paraId="559F2903"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w:t>
            </w:r>
          </w:p>
        </w:tc>
      </w:tr>
      <w:tr w:rsidR="006B6755" w:rsidRPr="005E6B7C" w14:paraId="5E17D4BE" w14:textId="77777777" w:rsidTr="006A6994">
        <w:tc>
          <w:tcPr>
            <w:tcW w:w="1548" w:type="dxa"/>
            <w:vAlign w:val="center"/>
          </w:tcPr>
          <w:p w14:paraId="3CA890B1"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131.00</w:t>
            </w:r>
          </w:p>
        </w:tc>
        <w:tc>
          <w:tcPr>
            <w:tcW w:w="1453" w:type="dxa"/>
            <w:vAlign w:val="center"/>
          </w:tcPr>
          <w:p w14:paraId="29C3A414"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3648914</w:t>
            </w:r>
          </w:p>
        </w:tc>
        <w:tc>
          <w:tcPr>
            <w:tcW w:w="1389" w:type="dxa"/>
            <w:vAlign w:val="center"/>
          </w:tcPr>
          <w:p w14:paraId="517A5B92"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-1.20</w:t>
            </w:r>
          </w:p>
        </w:tc>
      </w:tr>
      <w:tr w:rsidR="006B6755" w:rsidRPr="005E6B7C" w14:paraId="09B3A2E6" w14:textId="77777777" w:rsidTr="006A6994">
        <w:tc>
          <w:tcPr>
            <w:tcW w:w="1548" w:type="dxa"/>
            <w:vAlign w:val="center"/>
          </w:tcPr>
          <w:p w14:paraId="53495BA8"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65.50</w:t>
            </w:r>
          </w:p>
        </w:tc>
        <w:tc>
          <w:tcPr>
            <w:tcW w:w="1453" w:type="dxa"/>
            <w:vAlign w:val="center"/>
          </w:tcPr>
          <w:p w14:paraId="404E25AE"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1807457</w:t>
            </w:r>
          </w:p>
        </w:tc>
        <w:tc>
          <w:tcPr>
            <w:tcW w:w="1389" w:type="dxa"/>
            <w:vAlign w:val="center"/>
          </w:tcPr>
          <w:p w14:paraId="11086266"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-1.14</w:t>
            </w:r>
          </w:p>
        </w:tc>
      </w:tr>
      <w:tr w:rsidR="006B6755" w:rsidRPr="005E6B7C" w14:paraId="682DBB9C" w14:textId="77777777" w:rsidTr="006A6994">
        <w:tc>
          <w:tcPr>
            <w:tcW w:w="1548" w:type="dxa"/>
            <w:vAlign w:val="center"/>
          </w:tcPr>
          <w:p w14:paraId="4B7CFBBD"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32.75</w:t>
            </w:r>
          </w:p>
        </w:tc>
        <w:tc>
          <w:tcPr>
            <w:tcW w:w="1453" w:type="dxa"/>
            <w:vAlign w:val="center"/>
          </w:tcPr>
          <w:p w14:paraId="14D2659E"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898369</w:t>
            </w:r>
          </w:p>
        </w:tc>
        <w:tc>
          <w:tcPr>
            <w:tcW w:w="1389" w:type="dxa"/>
            <w:vAlign w:val="center"/>
          </w:tcPr>
          <w:p w14:paraId="66911DB6"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0.23</w:t>
            </w:r>
          </w:p>
        </w:tc>
      </w:tr>
      <w:tr w:rsidR="006B6755" w:rsidRPr="005E6B7C" w14:paraId="10274CAD" w14:textId="77777777" w:rsidTr="006A6994">
        <w:tc>
          <w:tcPr>
            <w:tcW w:w="1548" w:type="dxa"/>
            <w:vAlign w:val="center"/>
          </w:tcPr>
          <w:p w14:paraId="3D835079"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16.38</w:t>
            </w:r>
          </w:p>
        </w:tc>
        <w:tc>
          <w:tcPr>
            <w:tcW w:w="1453" w:type="dxa"/>
            <w:vAlign w:val="center"/>
          </w:tcPr>
          <w:p w14:paraId="71B31502"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440968</w:t>
            </w:r>
          </w:p>
        </w:tc>
        <w:tc>
          <w:tcPr>
            <w:tcW w:w="1389" w:type="dxa"/>
            <w:vAlign w:val="center"/>
          </w:tcPr>
          <w:p w14:paraId="7E39F2DF"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2.36</w:t>
            </w:r>
          </w:p>
        </w:tc>
      </w:tr>
      <w:tr w:rsidR="006B6755" w:rsidRPr="005E6B7C" w14:paraId="1DC669BD" w14:textId="77777777" w:rsidTr="006A6994">
        <w:tc>
          <w:tcPr>
            <w:tcW w:w="1548" w:type="dxa"/>
            <w:vAlign w:val="center"/>
          </w:tcPr>
          <w:p w14:paraId="4EB53F78"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8.19</w:t>
            </w:r>
          </w:p>
        </w:tc>
        <w:tc>
          <w:tcPr>
            <w:tcW w:w="1453" w:type="dxa"/>
            <w:vAlign w:val="center"/>
          </w:tcPr>
          <w:p w14:paraId="1A50C865"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220149</w:t>
            </w:r>
          </w:p>
        </w:tc>
        <w:tc>
          <w:tcPr>
            <w:tcW w:w="1389" w:type="dxa"/>
            <w:vAlign w:val="center"/>
          </w:tcPr>
          <w:p w14:paraId="28249074"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9.99</w:t>
            </w:r>
          </w:p>
        </w:tc>
      </w:tr>
      <w:tr w:rsidR="006B6755" w:rsidRPr="005E6B7C" w14:paraId="017E1BFD" w14:textId="77777777" w:rsidTr="006A6994">
        <w:tc>
          <w:tcPr>
            <w:tcW w:w="1548" w:type="dxa"/>
            <w:vAlign w:val="center"/>
          </w:tcPr>
          <w:p w14:paraId="5FD348F5"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4.09</w:t>
            </w:r>
          </w:p>
        </w:tc>
        <w:tc>
          <w:tcPr>
            <w:tcW w:w="1453" w:type="dxa"/>
            <w:vAlign w:val="center"/>
          </w:tcPr>
          <w:p w14:paraId="47A2BBEA"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97741</w:t>
            </w:r>
          </w:p>
        </w:tc>
        <w:tc>
          <w:tcPr>
            <w:tcW w:w="1389" w:type="dxa"/>
            <w:vAlign w:val="center"/>
          </w:tcPr>
          <w:p w14:paraId="490FE2D7" w14:textId="77777777" w:rsidR="006B6755" w:rsidRPr="005E6B7C" w:rsidRDefault="006B6755"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14.97</w:t>
            </w:r>
          </w:p>
        </w:tc>
      </w:tr>
    </w:tbl>
    <w:p w14:paraId="5E047021" w14:textId="77777777" w:rsidR="006A6994" w:rsidRPr="005E6B7C" w:rsidRDefault="006A6994"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sectPr w:rsidR="006A6994" w:rsidRPr="005E6B7C" w:rsidSect="006A6994">
          <w:type w:val="continuous"/>
          <w:pgSz w:w="10773" w:h="15309" w:code="9"/>
          <w:pgMar w:top="907" w:right="851" w:bottom="1418" w:left="851" w:header="397" w:footer="851" w:gutter="0"/>
          <w:cols w:space="284"/>
          <w:docGrid w:linePitch="360"/>
        </w:sectPr>
      </w:pPr>
    </w:p>
    <w:p w14:paraId="6B4E9D2B" w14:textId="77777777" w:rsidR="006B6755" w:rsidRPr="005E6B7C" w:rsidRDefault="006B6755" w:rsidP="008C0D47">
      <w:pPr>
        <w:tabs>
          <w:tab w:val="left" w:pos="270"/>
          <w:tab w:val="left" w:pos="540"/>
          <w:tab w:val="left" w:pos="9270"/>
        </w:tabs>
        <w:ind w:right="-20"/>
        <w:jc w:val="both"/>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noProof/>
          <w:color w:val="000000" w:themeColor="text1"/>
          <w:kern w:val="2"/>
          <w:sz w:val="18"/>
          <w:szCs w:val="18"/>
        </w:rPr>
        <w:drawing>
          <wp:inline distT="0" distB="0" distL="0" distR="0" wp14:anchorId="23D150AD" wp14:editId="3010BE56">
            <wp:extent cx="2774950" cy="1810268"/>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77185" cy="1811726"/>
                    </a:xfrm>
                    <a:prstGeom prst="rect">
                      <a:avLst/>
                    </a:prstGeom>
                  </pic:spPr>
                </pic:pic>
              </a:graphicData>
            </a:graphic>
          </wp:inline>
        </w:drawing>
      </w:r>
    </w:p>
    <w:p w14:paraId="41F0779A" w14:textId="77777777" w:rsidR="006B6755" w:rsidRPr="005E6B7C" w:rsidRDefault="006B6755" w:rsidP="008C0D47">
      <w:pPr>
        <w:tabs>
          <w:tab w:val="left" w:pos="270"/>
          <w:tab w:val="left" w:pos="540"/>
          <w:tab w:val="left" w:pos="9270"/>
        </w:tabs>
        <w:spacing w:before="120"/>
        <w:jc w:val="center"/>
        <w:rPr>
          <w:rFonts w:asciiTheme="majorHAnsi" w:eastAsia="MS Mincho" w:hAnsiTheme="majorHAnsi" w:cstheme="majorHAnsi"/>
          <w:color w:val="000000" w:themeColor="text1"/>
          <w:sz w:val="22"/>
          <w:szCs w:val="22"/>
          <w:lang w:eastAsia="ja-JP"/>
        </w:rPr>
      </w:pPr>
      <w:r w:rsidRPr="005E6B7C">
        <w:rPr>
          <w:rFonts w:asciiTheme="majorHAnsi" w:eastAsia="Calibri" w:hAnsiTheme="majorHAnsi" w:cstheme="majorHAnsi"/>
          <w:b/>
          <w:color w:val="000000" w:themeColor="text1"/>
          <w:kern w:val="2"/>
          <w:sz w:val="18"/>
          <w:szCs w:val="18"/>
          <w14:ligatures w14:val="standardContextual"/>
        </w:rPr>
        <w:t>Fig.</w:t>
      </w:r>
      <w:r w:rsidR="00A661A1" w:rsidRPr="005E6B7C">
        <w:rPr>
          <w:rFonts w:asciiTheme="majorHAnsi" w:eastAsia="Calibri" w:hAnsiTheme="majorHAnsi" w:cstheme="majorHAnsi"/>
          <w:b/>
          <w:color w:val="000000" w:themeColor="text1"/>
          <w:kern w:val="2"/>
          <w:sz w:val="18"/>
          <w:szCs w:val="18"/>
          <w14:ligatures w14:val="standardContextual"/>
        </w:rPr>
        <w:t xml:space="preserve"> 5</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Calibration curve of RA</w:t>
      </w:r>
    </w:p>
    <w:p w14:paraId="412927E3" w14:textId="77777777" w:rsidR="00E049CB" w:rsidRPr="005E6B7C" w:rsidRDefault="00E049CB" w:rsidP="008C0D47">
      <w:pPr>
        <w:tabs>
          <w:tab w:val="left" w:pos="9270"/>
        </w:tabs>
        <w:spacing w:before="120"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d) Precision</w:t>
      </w:r>
      <w:r w:rsidR="005D308C" w:rsidRPr="005E6B7C">
        <w:rPr>
          <w:rFonts w:asciiTheme="majorHAnsi" w:eastAsia="MS Mincho" w:hAnsiTheme="majorHAnsi" w:cstheme="majorHAnsi"/>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t xml:space="preserve"> </w:t>
      </w:r>
    </w:p>
    <w:p w14:paraId="62EBFA3E" w14:textId="77777777" w:rsidR="006A6994" w:rsidRPr="005E6B7C" w:rsidRDefault="006A6994" w:rsidP="008C0D47">
      <w:pPr>
        <w:tabs>
          <w:tab w:val="left" w:pos="270"/>
          <w:tab w:val="left" w:pos="540"/>
          <w:tab w:val="left" w:pos="9270"/>
        </w:tabs>
        <w:spacing w:before="120" w:after="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4</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Precision study by the proposed procedure</w:t>
      </w:r>
    </w:p>
    <w:tbl>
      <w:tblPr>
        <w:tblW w:w="43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60"/>
        <w:gridCol w:w="1124"/>
        <w:gridCol w:w="1164"/>
        <w:gridCol w:w="1046"/>
      </w:tblGrid>
      <w:tr w:rsidR="006A6994" w:rsidRPr="005E6B7C" w14:paraId="686D615E" w14:textId="77777777" w:rsidTr="00095F30">
        <w:tc>
          <w:tcPr>
            <w:tcW w:w="1206" w:type="pct"/>
            <w:vMerge w:val="restart"/>
            <w:vAlign w:val="center"/>
          </w:tcPr>
          <w:p w14:paraId="11EC0101"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No.</w:t>
            </w:r>
          </w:p>
        </w:tc>
        <w:tc>
          <w:tcPr>
            <w:tcW w:w="3794" w:type="pct"/>
            <w:gridSpan w:val="3"/>
            <w:vAlign w:val="center"/>
          </w:tcPr>
          <w:p w14:paraId="25EF4D18"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Rosmarinic acid content (%)</w:t>
            </w:r>
          </w:p>
        </w:tc>
      </w:tr>
      <w:tr w:rsidR="006A6994" w:rsidRPr="005E6B7C" w14:paraId="59840130" w14:textId="77777777" w:rsidTr="00095F30">
        <w:tc>
          <w:tcPr>
            <w:tcW w:w="1206" w:type="pct"/>
            <w:vMerge/>
            <w:vAlign w:val="center"/>
          </w:tcPr>
          <w:p w14:paraId="473D303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p>
        </w:tc>
        <w:tc>
          <w:tcPr>
            <w:tcW w:w="1279" w:type="pct"/>
            <w:vAlign w:val="center"/>
          </w:tcPr>
          <w:p w14:paraId="116F520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Day 1</w:t>
            </w:r>
          </w:p>
        </w:tc>
        <w:tc>
          <w:tcPr>
            <w:tcW w:w="1325" w:type="pct"/>
            <w:vAlign w:val="center"/>
          </w:tcPr>
          <w:p w14:paraId="76AA71D0"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Day 2</w:t>
            </w:r>
          </w:p>
        </w:tc>
        <w:tc>
          <w:tcPr>
            <w:tcW w:w="1190" w:type="pct"/>
            <w:vAlign w:val="center"/>
          </w:tcPr>
          <w:p w14:paraId="03DD3D44"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b/>
                <w:color w:val="000000" w:themeColor="text1"/>
                <w:sz w:val="18"/>
                <w:szCs w:val="18"/>
                <w:lang w:eastAsia="ja-JP"/>
              </w:rPr>
            </w:pPr>
          </w:p>
        </w:tc>
      </w:tr>
      <w:tr w:rsidR="006A6994" w:rsidRPr="005E6B7C" w14:paraId="485B9906" w14:textId="77777777" w:rsidTr="00095F30">
        <w:tc>
          <w:tcPr>
            <w:tcW w:w="1206" w:type="pct"/>
            <w:vAlign w:val="center"/>
          </w:tcPr>
          <w:p w14:paraId="382E8413"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w:t>
            </w:r>
          </w:p>
        </w:tc>
        <w:tc>
          <w:tcPr>
            <w:tcW w:w="1279" w:type="pct"/>
            <w:vAlign w:val="center"/>
          </w:tcPr>
          <w:p w14:paraId="6B8DAD7C"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0.253</w:t>
            </w:r>
          </w:p>
        </w:tc>
        <w:tc>
          <w:tcPr>
            <w:tcW w:w="1325" w:type="pct"/>
            <w:vAlign w:val="center"/>
          </w:tcPr>
          <w:p w14:paraId="35454D0F"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0.254</w:t>
            </w:r>
          </w:p>
        </w:tc>
        <w:tc>
          <w:tcPr>
            <w:tcW w:w="1190" w:type="pct"/>
            <w:vMerge w:val="restart"/>
            <w:vAlign w:val="center"/>
          </w:tcPr>
          <w:p w14:paraId="3EA9F837"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Average:</w:t>
            </w:r>
            <w:r w:rsidRPr="005E6B7C">
              <w:rPr>
                <w:rFonts w:asciiTheme="majorHAnsi" w:eastAsia="MS Mincho" w:hAnsiTheme="majorHAnsi" w:cstheme="majorHAnsi"/>
                <w:color w:val="000000" w:themeColor="text1"/>
                <w:sz w:val="18"/>
                <w:szCs w:val="18"/>
                <w:lang w:eastAsia="ja-JP"/>
              </w:rPr>
              <w:t xml:space="preserve"> 0.258%</w:t>
            </w:r>
          </w:p>
          <w:p w14:paraId="19A41F90"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RSD:</w:t>
            </w:r>
            <w:r w:rsidRPr="005E6B7C">
              <w:rPr>
                <w:rFonts w:asciiTheme="majorHAnsi" w:eastAsia="MS Mincho" w:hAnsiTheme="majorHAnsi" w:cstheme="majorHAnsi"/>
                <w:color w:val="000000" w:themeColor="text1"/>
                <w:sz w:val="18"/>
                <w:szCs w:val="18"/>
                <w:lang w:eastAsia="ja-JP"/>
              </w:rPr>
              <w:t xml:space="preserve"> 2.106%</w:t>
            </w:r>
          </w:p>
        </w:tc>
      </w:tr>
      <w:tr w:rsidR="006A6994" w:rsidRPr="005E6B7C" w14:paraId="5D7FDC20" w14:textId="77777777" w:rsidTr="00095F30">
        <w:tc>
          <w:tcPr>
            <w:tcW w:w="1206" w:type="pct"/>
            <w:vAlign w:val="center"/>
          </w:tcPr>
          <w:p w14:paraId="7D0A607B"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2</w:t>
            </w:r>
          </w:p>
        </w:tc>
        <w:tc>
          <w:tcPr>
            <w:tcW w:w="1279" w:type="pct"/>
            <w:vAlign w:val="center"/>
          </w:tcPr>
          <w:p w14:paraId="12243EB4"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0.258</w:t>
            </w:r>
          </w:p>
        </w:tc>
        <w:tc>
          <w:tcPr>
            <w:tcW w:w="1325" w:type="pct"/>
            <w:vAlign w:val="center"/>
          </w:tcPr>
          <w:p w14:paraId="1386482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0.263</w:t>
            </w:r>
          </w:p>
        </w:tc>
        <w:tc>
          <w:tcPr>
            <w:tcW w:w="1190" w:type="pct"/>
            <w:vMerge/>
            <w:vAlign w:val="center"/>
          </w:tcPr>
          <w:p w14:paraId="218A9B98"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2008B1C8" w14:textId="77777777" w:rsidTr="00095F30">
        <w:tc>
          <w:tcPr>
            <w:tcW w:w="1206" w:type="pct"/>
            <w:vAlign w:val="center"/>
          </w:tcPr>
          <w:p w14:paraId="0D2CA38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3</w:t>
            </w:r>
          </w:p>
        </w:tc>
        <w:tc>
          <w:tcPr>
            <w:tcW w:w="1279" w:type="pct"/>
            <w:vAlign w:val="center"/>
          </w:tcPr>
          <w:p w14:paraId="048A14BD"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0.256</w:t>
            </w:r>
          </w:p>
        </w:tc>
        <w:tc>
          <w:tcPr>
            <w:tcW w:w="1325" w:type="pct"/>
            <w:vAlign w:val="center"/>
          </w:tcPr>
          <w:p w14:paraId="404A4DF5"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0.266</w:t>
            </w:r>
          </w:p>
        </w:tc>
        <w:tc>
          <w:tcPr>
            <w:tcW w:w="1190" w:type="pct"/>
            <w:vMerge/>
            <w:vAlign w:val="center"/>
          </w:tcPr>
          <w:p w14:paraId="7D9D8BCA"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2D8B623A" w14:textId="77777777" w:rsidTr="00095F30">
        <w:tc>
          <w:tcPr>
            <w:tcW w:w="1206" w:type="pct"/>
            <w:vAlign w:val="center"/>
          </w:tcPr>
          <w:p w14:paraId="089900A1"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4</w:t>
            </w:r>
          </w:p>
        </w:tc>
        <w:tc>
          <w:tcPr>
            <w:tcW w:w="1279" w:type="pct"/>
            <w:vAlign w:val="center"/>
          </w:tcPr>
          <w:p w14:paraId="70B9D217"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0.262</w:t>
            </w:r>
          </w:p>
        </w:tc>
        <w:tc>
          <w:tcPr>
            <w:tcW w:w="1325" w:type="pct"/>
            <w:vAlign w:val="center"/>
          </w:tcPr>
          <w:p w14:paraId="23BD9FA3"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0.255</w:t>
            </w:r>
          </w:p>
        </w:tc>
        <w:tc>
          <w:tcPr>
            <w:tcW w:w="1190" w:type="pct"/>
            <w:vMerge/>
            <w:vAlign w:val="center"/>
          </w:tcPr>
          <w:p w14:paraId="3CA1FD9E"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51A5A9D8" w14:textId="77777777" w:rsidTr="00095F30">
        <w:tc>
          <w:tcPr>
            <w:tcW w:w="1206" w:type="pct"/>
            <w:vAlign w:val="center"/>
          </w:tcPr>
          <w:p w14:paraId="57441E04"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5</w:t>
            </w:r>
          </w:p>
        </w:tc>
        <w:tc>
          <w:tcPr>
            <w:tcW w:w="1279" w:type="pct"/>
            <w:vAlign w:val="center"/>
          </w:tcPr>
          <w:p w14:paraId="6B405C3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0.254</w:t>
            </w:r>
          </w:p>
        </w:tc>
        <w:tc>
          <w:tcPr>
            <w:tcW w:w="1325" w:type="pct"/>
            <w:vAlign w:val="center"/>
          </w:tcPr>
          <w:p w14:paraId="1F1E7EE0"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0.259</w:t>
            </w:r>
          </w:p>
        </w:tc>
        <w:tc>
          <w:tcPr>
            <w:tcW w:w="1190" w:type="pct"/>
            <w:vMerge/>
            <w:vAlign w:val="center"/>
          </w:tcPr>
          <w:p w14:paraId="6FF62992"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7E28F6DC" w14:textId="77777777" w:rsidTr="00095F30">
        <w:tc>
          <w:tcPr>
            <w:tcW w:w="1206" w:type="pct"/>
            <w:vAlign w:val="center"/>
          </w:tcPr>
          <w:p w14:paraId="5B719B35"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6</w:t>
            </w:r>
          </w:p>
        </w:tc>
        <w:tc>
          <w:tcPr>
            <w:tcW w:w="1279" w:type="pct"/>
            <w:vAlign w:val="center"/>
          </w:tcPr>
          <w:p w14:paraId="305C34FE"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0.254</w:t>
            </w:r>
          </w:p>
        </w:tc>
        <w:tc>
          <w:tcPr>
            <w:tcW w:w="1325" w:type="pct"/>
            <w:vAlign w:val="center"/>
          </w:tcPr>
          <w:p w14:paraId="5C69CDF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0.257</w:t>
            </w:r>
          </w:p>
        </w:tc>
        <w:tc>
          <w:tcPr>
            <w:tcW w:w="1190" w:type="pct"/>
            <w:vMerge/>
            <w:vAlign w:val="center"/>
          </w:tcPr>
          <w:p w14:paraId="620F4077"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39324F59" w14:textId="77777777" w:rsidTr="00095F30">
        <w:tc>
          <w:tcPr>
            <w:tcW w:w="1206" w:type="pct"/>
            <w:vAlign w:val="center"/>
          </w:tcPr>
          <w:p w14:paraId="049349C4"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Average</w:t>
            </w:r>
          </w:p>
        </w:tc>
        <w:tc>
          <w:tcPr>
            <w:tcW w:w="1279" w:type="pct"/>
            <w:vAlign w:val="center"/>
          </w:tcPr>
          <w:p w14:paraId="218190CA"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0.256</w:t>
            </w:r>
          </w:p>
        </w:tc>
        <w:tc>
          <w:tcPr>
            <w:tcW w:w="1325" w:type="pct"/>
            <w:vAlign w:val="center"/>
          </w:tcPr>
          <w:p w14:paraId="029C4BC9"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0.259</w:t>
            </w:r>
          </w:p>
        </w:tc>
        <w:tc>
          <w:tcPr>
            <w:tcW w:w="1190" w:type="pct"/>
            <w:vMerge/>
            <w:vAlign w:val="center"/>
          </w:tcPr>
          <w:p w14:paraId="41140C8D"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r w:rsidR="006A6994" w:rsidRPr="005E6B7C" w14:paraId="5783A9BC" w14:textId="77777777" w:rsidTr="00095F30">
        <w:tc>
          <w:tcPr>
            <w:tcW w:w="1206" w:type="pct"/>
            <w:vAlign w:val="center"/>
          </w:tcPr>
          <w:p w14:paraId="5A1AD6CE"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RSD (%)</w:t>
            </w:r>
          </w:p>
        </w:tc>
        <w:tc>
          <w:tcPr>
            <w:tcW w:w="1279" w:type="pct"/>
            <w:vAlign w:val="center"/>
          </w:tcPr>
          <w:p w14:paraId="52AF95FF"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1.219</w:t>
            </w:r>
          </w:p>
        </w:tc>
        <w:tc>
          <w:tcPr>
            <w:tcW w:w="1325" w:type="pct"/>
            <w:vAlign w:val="center"/>
          </w:tcPr>
          <w:p w14:paraId="351A2676" w14:textId="77777777" w:rsidR="006A6994" w:rsidRPr="005E6B7C" w:rsidRDefault="006A6994" w:rsidP="008C0D47">
            <w:pPr>
              <w:tabs>
                <w:tab w:val="left" w:pos="270"/>
                <w:tab w:val="left" w:pos="540"/>
                <w:tab w:val="left" w:pos="9270"/>
              </w:tabs>
              <w:spacing w:line="160" w:lineRule="exact"/>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1.624</w:t>
            </w:r>
          </w:p>
        </w:tc>
        <w:tc>
          <w:tcPr>
            <w:tcW w:w="1190" w:type="pct"/>
            <w:vMerge/>
            <w:vAlign w:val="center"/>
          </w:tcPr>
          <w:p w14:paraId="47425A01" w14:textId="77777777" w:rsidR="006A6994" w:rsidRPr="005E6B7C" w:rsidRDefault="006A6994" w:rsidP="008C0D47">
            <w:pPr>
              <w:tabs>
                <w:tab w:val="left" w:pos="270"/>
                <w:tab w:val="left" w:pos="540"/>
                <w:tab w:val="left" w:pos="9270"/>
              </w:tabs>
              <w:spacing w:line="160" w:lineRule="exact"/>
              <w:ind w:right="-20"/>
              <w:jc w:val="both"/>
              <w:rPr>
                <w:rFonts w:asciiTheme="majorHAnsi" w:eastAsia="MS Mincho" w:hAnsiTheme="majorHAnsi" w:cstheme="majorHAnsi"/>
                <w:color w:val="000000" w:themeColor="text1"/>
                <w:sz w:val="18"/>
                <w:szCs w:val="18"/>
                <w:lang w:eastAsia="ja-JP"/>
              </w:rPr>
            </w:pPr>
          </w:p>
        </w:tc>
      </w:tr>
    </w:tbl>
    <w:p w14:paraId="7113752C" w14:textId="77777777" w:rsidR="006A6994" w:rsidRPr="005E6B7C" w:rsidRDefault="006A6994" w:rsidP="008C0D47">
      <w:pPr>
        <w:tabs>
          <w:tab w:val="left" w:pos="9270"/>
        </w:tabs>
        <w:spacing w:line="160" w:lineRule="exact"/>
        <w:ind w:firstLine="284"/>
        <w:jc w:val="both"/>
        <w:rPr>
          <w:rFonts w:asciiTheme="majorHAnsi" w:eastAsia="MS Mincho" w:hAnsiTheme="majorHAnsi" w:cstheme="majorHAnsi"/>
          <w:color w:val="000000" w:themeColor="text1"/>
          <w:sz w:val="22"/>
          <w:szCs w:val="22"/>
          <w:lang w:eastAsia="ja-JP"/>
        </w:rPr>
      </w:pPr>
    </w:p>
    <w:p w14:paraId="12831E0F" w14:textId="77777777" w:rsidR="00E049CB" w:rsidRPr="005E6B7C" w:rsidRDefault="006A6994" w:rsidP="008C0D47">
      <w:pPr>
        <w:tabs>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br w:type="column"/>
      </w:r>
      <w:r w:rsidR="00E049CB" w:rsidRPr="005E6B7C">
        <w:rPr>
          <w:rFonts w:asciiTheme="majorHAnsi" w:eastAsia="MS Mincho" w:hAnsiTheme="majorHAnsi" w:cstheme="majorHAnsi"/>
          <w:color w:val="000000" w:themeColor="text1"/>
          <w:sz w:val="22"/>
          <w:szCs w:val="22"/>
          <w:lang w:eastAsia="ja-JP"/>
        </w:rPr>
        <w:t>The intra- and inter-day precisions have been summarized in Table 4. The RSD (%) value of intra-day was less than 2% and the RSD (%) value of inter-day was under 4%. These results showed that the method had good precision (the analyte content is in the range of 0.1% – 1%).</w:t>
      </w:r>
    </w:p>
    <w:p w14:paraId="4B24EFB4"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e) Accuracy</w:t>
      </w:r>
    </w:p>
    <w:p w14:paraId="630CA674"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accuracy was evaluated by adding a known amount of rosmarinic acid at 3 different levels (50%, 100%, 150%) to the known sample and then extraction and analysis were done. </w:t>
      </w:r>
    </w:p>
    <w:p w14:paraId="775A96B7"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Recovery (%) = 100 × Amount found/(Amount spiked + Initial amount). </w:t>
      </w:r>
    </w:p>
    <w:p w14:paraId="6954DDDE"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In which: Initial amount: the quantity of RA originally present in the unspiked sample (mg); Amount spike: the known quantity of RA added to the sample (mg); Amount found: the experimentally determined quantity of RA (mg).</w:t>
      </w:r>
    </w:p>
    <w:p w14:paraId="77D0835C" w14:textId="77777777" w:rsidR="005C2A66" w:rsidRPr="005E6B7C" w:rsidRDefault="00E049CB" w:rsidP="008C0D47">
      <w:pPr>
        <w:tabs>
          <w:tab w:val="left" w:pos="270"/>
          <w:tab w:val="left" w:pos="540"/>
          <w:tab w:val="left" w:pos="9270"/>
        </w:tabs>
        <w:spacing w:line="26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 results showed that recovery rates of rosmarinic acid were in the range 92% - 105%. The results indicated that the accuracy of the method was acceptable.</w:t>
      </w:r>
    </w:p>
    <w:p w14:paraId="154C47FA"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5C2A66">
          <w:type w:val="continuous"/>
          <w:pgSz w:w="10773" w:h="15309" w:code="9"/>
          <w:pgMar w:top="907" w:right="851" w:bottom="1418" w:left="851" w:header="397" w:footer="851" w:gutter="0"/>
          <w:cols w:num="2" w:space="284"/>
          <w:docGrid w:linePitch="360"/>
        </w:sectPr>
      </w:pPr>
    </w:p>
    <w:p w14:paraId="2A71F67F" w14:textId="77777777" w:rsidR="00E049CB" w:rsidRPr="005E6B7C" w:rsidRDefault="00E049CB" w:rsidP="008C0D47">
      <w:pPr>
        <w:tabs>
          <w:tab w:val="left" w:pos="270"/>
          <w:tab w:val="left" w:pos="540"/>
          <w:tab w:val="left" w:pos="9270"/>
        </w:tabs>
        <w:spacing w:before="120" w:after="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5</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Recovery study of rosmarinic acid by the proposed procedure</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2"/>
        <w:gridCol w:w="1916"/>
        <w:gridCol w:w="1916"/>
        <w:gridCol w:w="1901"/>
        <w:gridCol w:w="1787"/>
      </w:tblGrid>
      <w:tr w:rsidR="00573010" w:rsidRPr="005E6B7C" w14:paraId="1D560F6B" w14:textId="77777777" w:rsidTr="006B6755">
        <w:trPr>
          <w:jc w:val="center"/>
        </w:trPr>
        <w:tc>
          <w:tcPr>
            <w:tcW w:w="855" w:type="pct"/>
            <w:vAlign w:val="center"/>
          </w:tcPr>
          <w:p w14:paraId="710A3436"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No.</w:t>
            </w:r>
          </w:p>
        </w:tc>
        <w:tc>
          <w:tcPr>
            <w:tcW w:w="1056" w:type="pct"/>
          </w:tcPr>
          <w:p w14:paraId="2F81DFC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Initial amount (mg)</w:t>
            </w:r>
          </w:p>
        </w:tc>
        <w:tc>
          <w:tcPr>
            <w:tcW w:w="1056" w:type="pct"/>
            <w:vAlign w:val="center"/>
          </w:tcPr>
          <w:p w14:paraId="24736968"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Amount spiked (mg)</w:t>
            </w:r>
          </w:p>
        </w:tc>
        <w:tc>
          <w:tcPr>
            <w:tcW w:w="1048" w:type="pct"/>
            <w:vAlign w:val="center"/>
          </w:tcPr>
          <w:p w14:paraId="7A9F7B8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Amount found (mg)</w:t>
            </w:r>
          </w:p>
        </w:tc>
        <w:tc>
          <w:tcPr>
            <w:tcW w:w="985" w:type="pct"/>
            <w:vAlign w:val="center"/>
          </w:tcPr>
          <w:p w14:paraId="535274C2"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Recovery (%)</w:t>
            </w:r>
          </w:p>
        </w:tc>
      </w:tr>
      <w:tr w:rsidR="00573010" w:rsidRPr="005E6B7C" w14:paraId="37986E4E" w14:textId="77777777" w:rsidTr="006B6755">
        <w:trPr>
          <w:jc w:val="center"/>
        </w:trPr>
        <w:tc>
          <w:tcPr>
            <w:tcW w:w="855" w:type="pct"/>
            <w:vAlign w:val="center"/>
          </w:tcPr>
          <w:p w14:paraId="099A46A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w:t>
            </w:r>
          </w:p>
        </w:tc>
        <w:tc>
          <w:tcPr>
            <w:tcW w:w="1056" w:type="pct"/>
          </w:tcPr>
          <w:p w14:paraId="7E9532C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0.552</w:t>
            </w:r>
          </w:p>
        </w:tc>
        <w:tc>
          <w:tcPr>
            <w:tcW w:w="1056" w:type="pct"/>
            <w:vAlign w:val="center"/>
          </w:tcPr>
          <w:p w14:paraId="3CCA12C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0.262</w:t>
            </w:r>
          </w:p>
        </w:tc>
        <w:tc>
          <w:tcPr>
            <w:tcW w:w="1048" w:type="pct"/>
            <w:vAlign w:val="center"/>
          </w:tcPr>
          <w:p w14:paraId="2F3E1F6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0.799</w:t>
            </w:r>
          </w:p>
        </w:tc>
        <w:tc>
          <w:tcPr>
            <w:tcW w:w="985" w:type="pct"/>
            <w:vAlign w:val="center"/>
          </w:tcPr>
          <w:p w14:paraId="7D47691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98.26</w:t>
            </w:r>
          </w:p>
        </w:tc>
      </w:tr>
      <w:tr w:rsidR="00573010" w:rsidRPr="005E6B7C" w14:paraId="2CC582CB" w14:textId="77777777" w:rsidTr="006B6755">
        <w:trPr>
          <w:jc w:val="center"/>
        </w:trPr>
        <w:tc>
          <w:tcPr>
            <w:tcW w:w="855" w:type="pct"/>
            <w:vAlign w:val="center"/>
          </w:tcPr>
          <w:p w14:paraId="6DCC680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2</w:t>
            </w:r>
          </w:p>
        </w:tc>
        <w:tc>
          <w:tcPr>
            <w:tcW w:w="1056" w:type="pct"/>
          </w:tcPr>
          <w:p w14:paraId="55C079A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0.552</w:t>
            </w:r>
          </w:p>
        </w:tc>
        <w:tc>
          <w:tcPr>
            <w:tcW w:w="1056" w:type="pct"/>
            <w:vAlign w:val="center"/>
          </w:tcPr>
          <w:p w14:paraId="5408386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0.262</w:t>
            </w:r>
          </w:p>
        </w:tc>
        <w:tc>
          <w:tcPr>
            <w:tcW w:w="1048" w:type="pct"/>
            <w:vAlign w:val="center"/>
          </w:tcPr>
          <w:p w14:paraId="5A69033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0.797</w:t>
            </w:r>
          </w:p>
        </w:tc>
        <w:tc>
          <w:tcPr>
            <w:tcW w:w="985" w:type="pct"/>
            <w:vAlign w:val="center"/>
          </w:tcPr>
          <w:p w14:paraId="09AC29A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97.95</w:t>
            </w:r>
          </w:p>
        </w:tc>
      </w:tr>
      <w:tr w:rsidR="00573010" w:rsidRPr="005E6B7C" w14:paraId="022318B3" w14:textId="77777777" w:rsidTr="006B6755">
        <w:trPr>
          <w:jc w:val="center"/>
        </w:trPr>
        <w:tc>
          <w:tcPr>
            <w:tcW w:w="855" w:type="pct"/>
            <w:vAlign w:val="center"/>
          </w:tcPr>
          <w:p w14:paraId="30376AE8"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3</w:t>
            </w:r>
          </w:p>
        </w:tc>
        <w:tc>
          <w:tcPr>
            <w:tcW w:w="1056" w:type="pct"/>
          </w:tcPr>
          <w:p w14:paraId="590D12D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0.552</w:t>
            </w:r>
          </w:p>
        </w:tc>
        <w:tc>
          <w:tcPr>
            <w:tcW w:w="1056" w:type="pct"/>
            <w:vAlign w:val="center"/>
          </w:tcPr>
          <w:p w14:paraId="65994DD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0.262</w:t>
            </w:r>
          </w:p>
        </w:tc>
        <w:tc>
          <w:tcPr>
            <w:tcW w:w="1048" w:type="pct"/>
            <w:vAlign w:val="center"/>
          </w:tcPr>
          <w:p w14:paraId="454B719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0.796</w:t>
            </w:r>
          </w:p>
        </w:tc>
        <w:tc>
          <w:tcPr>
            <w:tcW w:w="985" w:type="pct"/>
            <w:vAlign w:val="center"/>
          </w:tcPr>
          <w:p w14:paraId="7A50A0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97.84</w:t>
            </w:r>
          </w:p>
        </w:tc>
      </w:tr>
      <w:tr w:rsidR="00573010" w:rsidRPr="005E6B7C" w14:paraId="7EBB0E86" w14:textId="77777777" w:rsidTr="006B6755">
        <w:trPr>
          <w:jc w:val="center"/>
        </w:trPr>
        <w:tc>
          <w:tcPr>
            <w:tcW w:w="855" w:type="pct"/>
            <w:vAlign w:val="center"/>
          </w:tcPr>
          <w:p w14:paraId="1777336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4</w:t>
            </w:r>
          </w:p>
        </w:tc>
        <w:tc>
          <w:tcPr>
            <w:tcW w:w="1056" w:type="pct"/>
          </w:tcPr>
          <w:p w14:paraId="52FC3FA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0.557</w:t>
            </w:r>
          </w:p>
        </w:tc>
        <w:tc>
          <w:tcPr>
            <w:tcW w:w="1056" w:type="pct"/>
            <w:vAlign w:val="center"/>
          </w:tcPr>
          <w:p w14:paraId="3223BC5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0.524</w:t>
            </w:r>
          </w:p>
        </w:tc>
        <w:tc>
          <w:tcPr>
            <w:tcW w:w="1048" w:type="pct"/>
            <w:vAlign w:val="center"/>
          </w:tcPr>
          <w:p w14:paraId="1FFD566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1.059</w:t>
            </w:r>
          </w:p>
        </w:tc>
        <w:tc>
          <w:tcPr>
            <w:tcW w:w="985" w:type="pct"/>
            <w:vAlign w:val="center"/>
          </w:tcPr>
          <w:p w14:paraId="54E8B6D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97.98</w:t>
            </w:r>
          </w:p>
        </w:tc>
      </w:tr>
      <w:tr w:rsidR="00573010" w:rsidRPr="005E6B7C" w14:paraId="75A291FD" w14:textId="77777777" w:rsidTr="006B6755">
        <w:trPr>
          <w:jc w:val="center"/>
        </w:trPr>
        <w:tc>
          <w:tcPr>
            <w:tcW w:w="855" w:type="pct"/>
            <w:vAlign w:val="center"/>
          </w:tcPr>
          <w:p w14:paraId="69292243"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5</w:t>
            </w:r>
          </w:p>
        </w:tc>
        <w:tc>
          <w:tcPr>
            <w:tcW w:w="1056" w:type="pct"/>
          </w:tcPr>
          <w:p w14:paraId="6A1460A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0.557</w:t>
            </w:r>
          </w:p>
        </w:tc>
        <w:tc>
          <w:tcPr>
            <w:tcW w:w="1056" w:type="pct"/>
            <w:vAlign w:val="center"/>
          </w:tcPr>
          <w:p w14:paraId="2ACC80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0.524</w:t>
            </w:r>
          </w:p>
        </w:tc>
        <w:tc>
          <w:tcPr>
            <w:tcW w:w="1048" w:type="pct"/>
            <w:vAlign w:val="center"/>
          </w:tcPr>
          <w:p w14:paraId="02799AB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1.062</w:t>
            </w:r>
          </w:p>
        </w:tc>
        <w:tc>
          <w:tcPr>
            <w:tcW w:w="985" w:type="pct"/>
            <w:vAlign w:val="center"/>
          </w:tcPr>
          <w:p w14:paraId="0E307FC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98.26</w:t>
            </w:r>
          </w:p>
        </w:tc>
      </w:tr>
      <w:tr w:rsidR="00573010" w:rsidRPr="005E6B7C" w14:paraId="3019C861" w14:textId="77777777" w:rsidTr="006B6755">
        <w:trPr>
          <w:jc w:val="center"/>
        </w:trPr>
        <w:tc>
          <w:tcPr>
            <w:tcW w:w="855" w:type="pct"/>
            <w:vAlign w:val="center"/>
          </w:tcPr>
          <w:p w14:paraId="78C79D8E"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6</w:t>
            </w:r>
          </w:p>
        </w:tc>
        <w:tc>
          <w:tcPr>
            <w:tcW w:w="1056" w:type="pct"/>
          </w:tcPr>
          <w:p w14:paraId="1CF43A2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0.557</w:t>
            </w:r>
          </w:p>
        </w:tc>
        <w:tc>
          <w:tcPr>
            <w:tcW w:w="1056" w:type="pct"/>
            <w:vAlign w:val="center"/>
          </w:tcPr>
          <w:p w14:paraId="60680E2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0.524</w:t>
            </w:r>
          </w:p>
        </w:tc>
        <w:tc>
          <w:tcPr>
            <w:tcW w:w="1048" w:type="pct"/>
            <w:vAlign w:val="center"/>
          </w:tcPr>
          <w:p w14:paraId="12F5125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1.073</w:t>
            </w:r>
          </w:p>
        </w:tc>
        <w:tc>
          <w:tcPr>
            <w:tcW w:w="985" w:type="pct"/>
            <w:vAlign w:val="center"/>
          </w:tcPr>
          <w:p w14:paraId="5ECE6C3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99.32</w:t>
            </w:r>
          </w:p>
        </w:tc>
      </w:tr>
      <w:tr w:rsidR="00573010" w:rsidRPr="005E6B7C" w14:paraId="68C0F84E" w14:textId="77777777" w:rsidTr="006B6755">
        <w:trPr>
          <w:jc w:val="center"/>
        </w:trPr>
        <w:tc>
          <w:tcPr>
            <w:tcW w:w="855" w:type="pct"/>
            <w:vAlign w:val="center"/>
          </w:tcPr>
          <w:p w14:paraId="682901A2"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7</w:t>
            </w:r>
          </w:p>
        </w:tc>
        <w:tc>
          <w:tcPr>
            <w:tcW w:w="1056" w:type="pct"/>
          </w:tcPr>
          <w:p w14:paraId="0830A03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0.546</w:t>
            </w:r>
          </w:p>
        </w:tc>
        <w:tc>
          <w:tcPr>
            <w:tcW w:w="1056" w:type="pct"/>
            <w:vAlign w:val="center"/>
          </w:tcPr>
          <w:p w14:paraId="4C7FE55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0.786</w:t>
            </w:r>
          </w:p>
        </w:tc>
        <w:tc>
          <w:tcPr>
            <w:tcW w:w="1048" w:type="pct"/>
            <w:vAlign w:val="center"/>
          </w:tcPr>
          <w:p w14:paraId="618E997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1.279</w:t>
            </w:r>
          </w:p>
        </w:tc>
        <w:tc>
          <w:tcPr>
            <w:tcW w:w="985" w:type="pct"/>
            <w:vAlign w:val="center"/>
          </w:tcPr>
          <w:p w14:paraId="36A1658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96.01</w:t>
            </w:r>
          </w:p>
        </w:tc>
      </w:tr>
      <w:tr w:rsidR="00573010" w:rsidRPr="005E6B7C" w14:paraId="7F652356" w14:textId="77777777" w:rsidTr="006B6755">
        <w:trPr>
          <w:jc w:val="center"/>
        </w:trPr>
        <w:tc>
          <w:tcPr>
            <w:tcW w:w="855" w:type="pct"/>
            <w:vAlign w:val="center"/>
          </w:tcPr>
          <w:p w14:paraId="4E02C9B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8</w:t>
            </w:r>
          </w:p>
        </w:tc>
        <w:tc>
          <w:tcPr>
            <w:tcW w:w="1056" w:type="pct"/>
          </w:tcPr>
          <w:p w14:paraId="5C0225B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0.546</w:t>
            </w:r>
          </w:p>
        </w:tc>
        <w:tc>
          <w:tcPr>
            <w:tcW w:w="1056" w:type="pct"/>
            <w:vAlign w:val="center"/>
          </w:tcPr>
          <w:p w14:paraId="596E81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0.786</w:t>
            </w:r>
          </w:p>
        </w:tc>
        <w:tc>
          <w:tcPr>
            <w:tcW w:w="1048" w:type="pct"/>
            <w:vAlign w:val="center"/>
          </w:tcPr>
          <w:p w14:paraId="7F69F98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1.267</w:t>
            </w:r>
          </w:p>
        </w:tc>
        <w:tc>
          <w:tcPr>
            <w:tcW w:w="985" w:type="pct"/>
            <w:vAlign w:val="center"/>
          </w:tcPr>
          <w:p w14:paraId="1F97034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95.13</w:t>
            </w:r>
          </w:p>
        </w:tc>
      </w:tr>
      <w:tr w:rsidR="00573010" w:rsidRPr="005E6B7C" w14:paraId="105EF145" w14:textId="77777777" w:rsidTr="006B6755">
        <w:trPr>
          <w:jc w:val="center"/>
        </w:trPr>
        <w:tc>
          <w:tcPr>
            <w:tcW w:w="855" w:type="pct"/>
            <w:vAlign w:val="center"/>
          </w:tcPr>
          <w:p w14:paraId="6609A01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9</w:t>
            </w:r>
          </w:p>
        </w:tc>
        <w:tc>
          <w:tcPr>
            <w:tcW w:w="1056" w:type="pct"/>
          </w:tcPr>
          <w:p w14:paraId="1A4E6F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0.546</w:t>
            </w:r>
          </w:p>
        </w:tc>
        <w:tc>
          <w:tcPr>
            <w:tcW w:w="1056" w:type="pct"/>
            <w:vAlign w:val="center"/>
          </w:tcPr>
          <w:p w14:paraId="4E19BFE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0.786</w:t>
            </w:r>
          </w:p>
        </w:tc>
        <w:tc>
          <w:tcPr>
            <w:tcW w:w="1048" w:type="pct"/>
            <w:vAlign w:val="center"/>
          </w:tcPr>
          <w:p w14:paraId="4CE4A2D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1.279</w:t>
            </w:r>
          </w:p>
        </w:tc>
        <w:tc>
          <w:tcPr>
            <w:tcW w:w="985" w:type="pct"/>
            <w:vAlign w:val="center"/>
          </w:tcPr>
          <w:p w14:paraId="7A46FCD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96.03</w:t>
            </w:r>
          </w:p>
        </w:tc>
      </w:tr>
      <w:tr w:rsidR="00573010" w:rsidRPr="005E6B7C" w14:paraId="76A8038A" w14:textId="77777777" w:rsidTr="006B6755">
        <w:trPr>
          <w:jc w:val="center"/>
        </w:trPr>
        <w:tc>
          <w:tcPr>
            <w:tcW w:w="855" w:type="pct"/>
            <w:vAlign w:val="center"/>
          </w:tcPr>
          <w:p w14:paraId="255A8ED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Mean</w:t>
            </w:r>
          </w:p>
        </w:tc>
        <w:tc>
          <w:tcPr>
            <w:tcW w:w="1056" w:type="pct"/>
          </w:tcPr>
          <w:p w14:paraId="1E27102C"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056" w:type="pct"/>
            <w:vAlign w:val="center"/>
          </w:tcPr>
          <w:p w14:paraId="5BA42CB1"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048" w:type="pct"/>
            <w:vAlign w:val="center"/>
          </w:tcPr>
          <w:p w14:paraId="445371C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985" w:type="pct"/>
            <w:vAlign w:val="center"/>
          </w:tcPr>
          <w:p w14:paraId="50415D6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97.42</w:t>
            </w:r>
          </w:p>
        </w:tc>
      </w:tr>
      <w:tr w:rsidR="00573010" w:rsidRPr="005E6B7C" w14:paraId="283A5A03" w14:textId="77777777" w:rsidTr="006B6755">
        <w:trPr>
          <w:jc w:val="center"/>
        </w:trPr>
        <w:tc>
          <w:tcPr>
            <w:tcW w:w="855" w:type="pct"/>
            <w:vAlign w:val="center"/>
          </w:tcPr>
          <w:p w14:paraId="269CB2E8"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RSD (%)</w:t>
            </w:r>
          </w:p>
        </w:tc>
        <w:tc>
          <w:tcPr>
            <w:tcW w:w="1056" w:type="pct"/>
          </w:tcPr>
          <w:p w14:paraId="648825C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056" w:type="pct"/>
            <w:vAlign w:val="center"/>
          </w:tcPr>
          <w:p w14:paraId="561F1A2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048" w:type="pct"/>
            <w:vAlign w:val="center"/>
          </w:tcPr>
          <w:p w14:paraId="023B9E4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985" w:type="pct"/>
            <w:vAlign w:val="center"/>
          </w:tcPr>
          <w:p w14:paraId="44345F5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1.32</w:t>
            </w:r>
          </w:p>
        </w:tc>
      </w:tr>
    </w:tbl>
    <w:p w14:paraId="619BE18E" w14:textId="77777777" w:rsidR="006B6755" w:rsidRPr="005E6B7C" w:rsidRDefault="006B6755"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p>
    <w:p w14:paraId="3428F4D4"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2206BB">
          <w:type w:val="continuous"/>
          <w:pgSz w:w="10773" w:h="15309" w:code="9"/>
          <w:pgMar w:top="907" w:right="851" w:bottom="1418" w:left="851" w:header="397" w:footer="851" w:gutter="0"/>
          <w:cols w:space="284"/>
          <w:docGrid w:linePitch="360"/>
        </w:sectPr>
      </w:pPr>
    </w:p>
    <w:p w14:paraId="2245469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f) Limit of Detection (LOD) and Limit of Quantification (LOQ)</w:t>
      </w:r>
    </w:p>
    <w:p w14:paraId="56B256C3" w14:textId="1A0D02CC"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LOD and LOQ values were determined by </w:t>
      </w:r>
      <w:r w:rsidR="003A0517" w:rsidRPr="005E6B7C">
        <w:rPr>
          <w:rFonts w:asciiTheme="majorHAnsi" w:eastAsia="MS Mincho" w:hAnsiTheme="majorHAnsi" w:cstheme="majorHAnsi"/>
          <w:color w:val="000000" w:themeColor="text1"/>
          <w:sz w:val="22"/>
          <w:szCs w:val="22"/>
          <w:lang w:eastAsia="ja-JP"/>
        </w:rPr>
        <w:t>LOD was defined as a signal-to-noise ratio of 3:1</w:t>
      </w:r>
      <w:r w:rsidRPr="005E6B7C">
        <w:rPr>
          <w:rFonts w:asciiTheme="majorHAnsi" w:eastAsia="MS Mincho" w:hAnsiTheme="majorHAnsi" w:cstheme="majorHAnsi"/>
          <w:color w:val="000000" w:themeColor="text1"/>
          <w:sz w:val="22"/>
          <w:szCs w:val="22"/>
          <w:lang w:eastAsia="ja-JP"/>
        </w:rPr>
        <w:t xml:space="preserve"> and a LOQ 9-10 times the level of noise in the </w:t>
      </w:r>
      <w:r w:rsidRPr="005E6B7C">
        <w:rPr>
          <w:rFonts w:asciiTheme="majorHAnsi" w:eastAsia="MS Mincho" w:hAnsiTheme="majorHAnsi" w:cstheme="majorHAnsi"/>
          <w:color w:val="000000" w:themeColor="text1"/>
          <w:sz w:val="22"/>
          <w:szCs w:val="22"/>
          <w:lang w:eastAsia="ja-JP"/>
        </w:rPr>
        <w:t xml:space="preserve">samples. LOD and LOQ were estimated to be 0.22 </w:t>
      </w:r>
      <w:r w:rsidR="00266B26" w:rsidRPr="005E6B7C">
        <w:rPr>
          <w:rFonts w:asciiTheme="majorHAnsi" w:eastAsia="MS Mincho" w:hAnsiTheme="majorHAnsi" w:cstheme="majorHAnsi"/>
          <w:i/>
          <w:iCs/>
          <w:color w:val="000000" w:themeColor="text1"/>
          <w:sz w:val="22"/>
          <w:szCs w:val="22"/>
          <w:lang w:eastAsia="ja-JP"/>
        </w:rPr>
        <w:t>µ</w:t>
      </w:r>
      <w:r w:rsidRPr="005E6B7C">
        <w:rPr>
          <w:rFonts w:asciiTheme="majorHAnsi" w:eastAsia="MS Mincho" w:hAnsiTheme="majorHAnsi" w:cstheme="majorHAnsi"/>
          <w:color w:val="000000" w:themeColor="text1"/>
          <w:sz w:val="22"/>
          <w:szCs w:val="22"/>
          <w:lang w:eastAsia="ja-JP"/>
        </w:rPr>
        <w:t xml:space="preserve">g/mL and 0.73 </w:t>
      </w:r>
      <w:r w:rsidR="00266B26" w:rsidRPr="005E6B7C">
        <w:rPr>
          <w:rFonts w:asciiTheme="majorHAnsi" w:eastAsia="MS Mincho" w:hAnsiTheme="majorHAnsi" w:cstheme="majorHAnsi"/>
          <w:i/>
          <w:iCs/>
          <w:color w:val="000000" w:themeColor="text1"/>
          <w:sz w:val="22"/>
          <w:szCs w:val="22"/>
          <w:lang w:eastAsia="ja-JP"/>
        </w:rPr>
        <w:t>µ</w:t>
      </w:r>
      <w:r w:rsidRPr="005E6B7C">
        <w:rPr>
          <w:rFonts w:asciiTheme="majorHAnsi" w:eastAsia="MS Mincho" w:hAnsiTheme="majorHAnsi" w:cstheme="majorHAnsi"/>
          <w:color w:val="000000" w:themeColor="text1"/>
          <w:sz w:val="22"/>
          <w:szCs w:val="22"/>
          <w:lang w:eastAsia="ja-JP"/>
        </w:rPr>
        <w:t>g/mL for RA.</w:t>
      </w:r>
    </w:p>
    <w:p w14:paraId="12B7685C"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i/>
          <w:color w:val="000000" w:themeColor="text1"/>
          <w:sz w:val="22"/>
          <w:szCs w:val="22"/>
          <w:lang w:eastAsia="ja-JP"/>
        </w:rPr>
      </w:pPr>
      <w:r w:rsidRPr="005E6B7C">
        <w:rPr>
          <w:rFonts w:asciiTheme="majorHAnsi" w:eastAsia="MS Mincho" w:hAnsiTheme="majorHAnsi" w:cstheme="majorHAnsi"/>
          <w:i/>
          <w:color w:val="000000" w:themeColor="text1"/>
          <w:sz w:val="22"/>
          <w:szCs w:val="22"/>
          <w:lang w:eastAsia="ja-JP"/>
        </w:rPr>
        <w:t>3.2.2. Sample analysis</w:t>
      </w:r>
    </w:p>
    <w:p w14:paraId="212B4C05" w14:textId="77777777" w:rsidR="006A6994"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 quantification results are presented in Table 6.</w:t>
      </w:r>
    </w:p>
    <w:p w14:paraId="151010F2"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6A6994">
          <w:type w:val="continuous"/>
          <w:pgSz w:w="10773" w:h="15309" w:code="9"/>
          <w:pgMar w:top="907" w:right="851" w:bottom="1418" w:left="851" w:header="397" w:footer="851" w:gutter="0"/>
          <w:cols w:num="2" w:space="284"/>
          <w:docGrid w:linePitch="360"/>
        </w:sectPr>
      </w:pPr>
    </w:p>
    <w:p w14:paraId="2466BF13" w14:textId="77777777" w:rsidR="00E049CB" w:rsidRPr="005E6B7C" w:rsidRDefault="00E049CB" w:rsidP="008C0D47">
      <w:pPr>
        <w:tabs>
          <w:tab w:val="left" w:pos="270"/>
          <w:tab w:val="left" w:pos="540"/>
          <w:tab w:val="left" w:pos="9270"/>
        </w:tabs>
        <w:spacing w:before="120" w:after="120" w:line="240" w:lineRule="exact"/>
        <w:ind w:firstLine="284"/>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6</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The content of RA in the PS</w:t>
      </w:r>
      <w:r w:rsidRPr="005E6B7C">
        <w:rPr>
          <w:rFonts w:asciiTheme="majorHAnsi" w:eastAsia="Calibri" w:hAnsiTheme="majorHAnsi" w:cstheme="majorHAnsi"/>
          <w:bCs/>
          <w:i/>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samples (n =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713"/>
        <w:gridCol w:w="3252"/>
      </w:tblGrid>
      <w:tr w:rsidR="00E049CB" w:rsidRPr="005E6B7C" w14:paraId="5138F161" w14:textId="77777777" w:rsidTr="006A6994">
        <w:trPr>
          <w:tblHeader/>
          <w:jc w:val="center"/>
        </w:trPr>
        <w:tc>
          <w:tcPr>
            <w:tcW w:w="1656" w:type="dxa"/>
            <w:tcBorders>
              <w:top w:val="dotted" w:sz="4" w:space="0" w:color="auto"/>
              <w:left w:val="dotted" w:sz="4" w:space="0" w:color="auto"/>
              <w:bottom w:val="dotted" w:sz="4" w:space="0" w:color="auto"/>
              <w:right w:val="dotted" w:sz="4" w:space="0" w:color="auto"/>
            </w:tcBorders>
            <w:vAlign w:val="center"/>
          </w:tcPr>
          <w:p w14:paraId="14BD075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No.</w:t>
            </w:r>
          </w:p>
        </w:tc>
        <w:tc>
          <w:tcPr>
            <w:tcW w:w="1713" w:type="dxa"/>
            <w:tcBorders>
              <w:top w:val="dotted" w:sz="4" w:space="0" w:color="auto"/>
              <w:left w:val="dotted" w:sz="4" w:space="0" w:color="auto"/>
              <w:bottom w:val="dotted" w:sz="4" w:space="0" w:color="auto"/>
              <w:right w:val="dotted" w:sz="4" w:space="0" w:color="auto"/>
            </w:tcBorders>
            <w:vAlign w:val="center"/>
          </w:tcPr>
          <w:p w14:paraId="32D0048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Samples</w:t>
            </w:r>
          </w:p>
        </w:tc>
        <w:tc>
          <w:tcPr>
            <w:tcW w:w="3252" w:type="dxa"/>
            <w:tcBorders>
              <w:top w:val="dotted" w:sz="4" w:space="0" w:color="auto"/>
              <w:left w:val="dotted" w:sz="4" w:space="0" w:color="auto"/>
              <w:bottom w:val="dotted" w:sz="4" w:space="0" w:color="auto"/>
              <w:right w:val="dotted" w:sz="4" w:space="0" w:color="auto"/>
            </w:tcBorders>
            <w:vAlign w:val="center"/>
          </w:tcPr>
          <w:p w14:paraId="714A7A0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RA content (Avg. ± SD) (%)</w:t>
            </w:r>
          </w:p>
        </w:tc>
      </w:tr>
      <w:tr w:rsidR="00E049CB" w:rsidRPr="005E6B7C" w14:paraId="6866E6C1"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1090F9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1713" w:type="dxa"/>
            <w:tcBorders>
              <w:top w:val="dotted" w:sz="4" w:space="0" w:color="auto"/>
              <w:left w:val="dotted" w:sz="4" w:space="0" w:color="auto"/>
              <w:bottom w:val="dotted" w:sz="4" w:space="0" w:color="auto"/>
              <w:right w:val="dotted" w:sz="4" w:space="0" w:color="auto"/>
            </w:tcBorders>
          </w:tcPr>
          <w:p w14:paraId="24D26FD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M1</w:t>
            </w:r>
          </w:p>
        </w:tc>
        <w:tc>
          <w:tcPr>
            <w:tcW w:w="3252" w:type="dxa"/>
            <w:tcBorders>
              <w:top w:val="dotted" w:sz="4" w:space="0" w:color="auto"/>
              <w:left w:val="dotted" w:sz="4" w:space="0" w:color="auto"/>
              <w:bottom w:val="dotted" w:sz="4" w:space="0" w:color="auto"/>
              <w:right w:val="dotted" w:sz="4" w:space="0" w:color="auto"/>
            </w:tcBorders>
            <w:vAlign w:val="center"/>
          </w:tcPr>
          <w:p w14:paraId="381A6A2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0.860 ± 0.022</w:t>
            </w:r>
          </w:p>
        </w:tc>
      </w:tr>
      <w:tr w:rsidR="00E049CB" w:rsidRPr="005E6B7C" w14:paraId="61FF34E5"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4EAF67B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2</w:t>
            </w:r>
          </w:p>
        </w:tc>
        <w:tc>
          <w:tcPr>
            <w:tcW w:w="1713" w:type="dxa"/>
            <w:tcBorders>
              <w:top w:val="dotted" w:sz="4" w:space="0" w:color="auto"/>
              <w:left w:val="dotted" w:sz="4" w:space="0" w:color="auto"/>
              <w:bottom w:val="dotted" w:sz="4" w:space="0" w:color="auto"/>
              <w:right w:val="dotted" w:sz="4" w:space="0" w:color="auto"/>
            </w:tcBorders>
          </w:tcPr>
          <w:p w14:paraId="3A2B672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M2</w:t>
            </w:r>
          </w:p>
        </w:tc>
        <w:tc>
          <w:tcPr>
            <w:tcW w:w="3252" w:type="dxa"/>
            <w:tcBorders>
              <w:top w:val="dotted" w:sz="4" w:space="0" w:color="auto"/>
              <w:left w:val="dotted" w:sz="4" w:space="0" w:color="auto"/>
              <w:bottom w:val="dotted" w:sz="4" w:space="0" w:color="auto"/>
              <w:right w:val="dotted" w:sz="4" w:space="0" w:color="auto"/>
            </w:tcBorders>
            <w:vAlign w:val="center"/>
          </w:tcPr>
          <w:p w14:paraId="2E21CE9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0.391 ± 0.008</w:t>
            </w:r>
          </w:p>
        </w:tc>
      </w:tr>
      <w:tr w:rsidR="00E049CB" w:rsidRPr="005E6B7C" w14:paraId="5F64B01F"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169D1E5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3</w:t>
            </w:r>
          </w:p>
        </w:tc>
        <w:tc>
          <w:tcPr>
            <w:tcW w:w="1713" w:type="dxa"/>
            <w:tcBorders>
              <w:top w:val="dotted" w:sz="4" w:space="0" w:color="auto"/>
              <w:left w:val="dotted" w:sz="4" w:space="0" w:color="auto"/>
              <w:bottom w:val="dotted" w:sz="4" w:space="0" w:color="auto"/>
              <w:right w:val="dotted" w:sz="4" w:space="0" w:color="auto"/>
            </w:tcBorders>
          </w:tcPr>
          <w:p w14:paraId="24A0DD3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M3</w:t>
            </w:r>
          </w:p>
        </w:tc>
        <w:tc>
          <w:tcPr>
            <w:tcW w:w="3252" w:type="dxa"/>
            <w:tcBorders>
              <w:top w:val="dotted" w:sz="4" w:space="0" w:color="auto"/>
              <w:left w:val="dotted" w:sz="4" w:space="0" w:color="auto"/>
              <w:bottom w:val="dotted" w:sz="4" w:space="0" w:color="auto"/>
              <w:right w:val="dotted" w:sz="4" w:space="0" w:color="auto"/>
            </w:tcBorders>
            <w:vAlign w:val="center"/>
          </w:tcPr>
          <w:p w14:paraId="4A52A3D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0.172 ± 0.006</w:t>
            </w:r>
          </w:p>
        </w:tc>
      </w:tr>
      <w:tr w:rsidR="00E049CB" w:rsidRPr="005E6B7C" w14:paraId="48F3AD60"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34C56B8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713" w:type="dxa"/>
            <w:tcBorders>
              <w:top w:val="dotted" w:sz="4" w:space="0" w:color="auto"/>
              <w:left w:val="dotted" w:sz="4" w:space="0" w:color="auto"/>
              <w:bottom w:val="dotted" w:sz="4" w:space="0" w:color="auto"/>
              <w:right w:val="dotted" w:sz="4" w:space="0" w:color="auto"/>
            </w:tcBorders>
          </w:tcPr>
          <w:p w14:paraId="14BA105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M4</w:t>
            </w:r>
          </w:p>
        </w:tc>
        <w:tc>
          <w:tcPr>
            <w:tcW w:w="3252" w:type="dxa"/>
            <w:tcBorders>
              <w:top w:val="dotted" w:sz="4" w:space="0" w:color="auto"/>
              <w:left w:val="dotted" w:sz="4" w:space="0" w:color="auto"/>
              <w:bottom w:val="dotted" w:sz="4" w:space="0" w:color="auto"/>
              <w:right w:val="dotted" w:sz="4" w:space="0" w:color="auto"/>
            </w:tcBorders>
            <w:vAlign w:val="center"/>
          </w:tcPr>
          <w:p w14:paraId="41111F89"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0.216 ± 0.006</w:t>
            </w:r>
          </w:p>
        </w:tc>
      </w:tr>
      <w:tr w:rsidR="00E049CB" w:rsidRPr="005E6B7C" w14:paraId="3F7AE43B"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474F173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5</w:t>
            </w:r>
          </w:p>
        </w:tc>
        <w:tc>
          <w:tcPr>
            <w:tcW w:w="1713" w:type="dxa"/>
            <w:tcBorders>
              <w:top w:val="dotted" w:sz="4" w:space="0" w:color="auto"/>
              <w:left w:val="dotted" w:sz="4" w:space="0" w:color="auto"/>
              <w:bottom w:val="dotted" w:sz="4" w:space="0" w:color="auto"/>
              <w:right w:val="dotted" w:sz="4" w:space="0" w:color="auto"/>
            </w:tcBorders>
          </w:tcPr>
          <w:p w14:paraId="403A5C9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M5</w:t>
            </w:r>
          </w:p>
        </w:tc>
        <w:tc>
          <w:tcPr>
            <w:tcW w:w="3252" w:type="dxa"/>
            <w:tcBorders>
              <w:top w:val="dotted" w:sz="4" w:space="0" w:color="auto"/>
              <w:left w:val="dotted" w:sz="4" w:space="0" w:color="auto"/>
              <w:bottom w:val="dotted" w:sz="4" w:space="0" w:color="auto"/>
              <w:right w:val="dotted" w:sz="4" w:space="0" w:color="auto"/>
            </w:tcBorders>
            <w:vAlign w:val="center"/>
          </w:tcPr>
          <w:p w14:paraId="19FDFA6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0.266 ± 0.002</w:t>
            </w:r>
          </w:p>
        </w:tc>
      </w:tr>
      <w:tr w:rsidR="00E049CB" w:rsidRPr="005E6B7C" w14:paraId="22D9F0E2"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68927D7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713" w:type="dxa"/>
            <w:tcBorders>
              <w:top w:val="dotted" w:sz="4" w:space="0" w:color="auto"/>
              <w:left w:val="dotted" w:sz="4" w:space="0" w:color="auto"/>
              <w:bottom w:val="dotted" w:sz="4" w:space="0" w:color="auto"/>
              <w:right w:val="dotted" w:sz="4" w:space="0" w:color="auto"/>
            </w:tcBorders>
          </w:tcPr>
          <w:p w14:paraId="56E4AD8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M6</w:t>
            </w:r>
          </w:p>
        </w:tc>
        <w:tc>
          <w:tcPr>
            <w:tcW w:w="3252" w:type="dxa"/>
            <w:tcBorders>
              <w:top w:val="dotted" w:sz="4" w:space="0" w:color="auto"/>
              <w:left w:val="dotted" w:sz="4" w:space="0" w:color="auto"/>
              <w:bottom w:val="dotted" w:sz="4" w:space="0" w:color="auto"/>
              <w:right w:val="dotted" w:sz="4" w:space="0" w:color="auto"/>
            </w:tcBorders>
            <w:vAlign w:val="center"/>
          </w:tcPr>
          <w:p w14:paraId="1DE2DA3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0.269 ± 0.008</w:t>
            </w:r>
          </w:p>
        </w:tc>
      </w:tr>
      <w:tr w:rsidR="00E049CB" w:rsidRPr="005E6B7C" w14:paraId="7FB77624"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1DFAC87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713" w:type="dxa"/>
            <w:tcBorders>
              <w:top w:val="dotted" w:sz="4" w:space="0" w:color="auto"/>
              <w:left w:val="dotted" w:sz="4" w:space="0" w:color="auto"/>
              <w:bottom w:val="dotted" w:sz="4" w:space="0" w:color="auto"/>
              <w:right w:val="dotted" w:sz="4" w:space="0" w:color="auto"/>
            </w:tcBorders>
          </w:tcPr>
          <w:p w14:paraId="38E9908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M7</w:t>
            </w:r>
          </w:p>
        </w:tc>
        <w:tc>
          <w:tcPr>
            <w:tcW w:w="3252" w:type="dxa"/>
            <w:tcBorders>
              <w:top w:val="dotted" w:sz="4" w:space="0" w:color="auto"/>
              <w:left w:val="dotted" w:sz="4" w:space="0" w:color="auto"/>
              <w:bottom w:val="dotted" w:sz="4" w:space="0" w:color="auto"/>
              <w:right w:val="dotted" w:sz="4" w:space="0" w:color="auto"/>
            </w:tcBorders>
            <w:vAlign w:val="center"/>
          </w:tcPr>
          <w:p w14:paraId="735ADC0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0.188 ± 0.007</w:t>
            </w:r>
          </w:p>
        </w:tc>
      </w:tr>
      <w:tr w:rsidR="00E049CB" w:rsidRPr="005E6B7C" w14:paraId="17274984" w14:textId="77777777" w:rsidTr="00C644FB">
        <w:trPr>
          <w:jc w:val="center"/>
        </w:trPr>
        <w:tc>
          <w:tcPr>
            <w:tcW w:w="1656" w:type="dxa"/>
            <w:tcBorders>
              <w:top w:val="dotted" w:sz="4" w:space="0" w:color="auto"/>
              <w:left w:val="dotted" w:sz="4" w:space="0" w:color="auto"/>
              <w:bottom w:val="dotted" w:sz="4" w:space="0" w:color="auto"/>
              <w:right w:val="dotted" w:sz="4" w:space="0" w:color="auto"/>
            </w:tcBorders>
          </w:tcPr>
          <w:p w14:paraId="3C3C4A7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713" w:type="dxa"/>
            <w:tcBorders>
              <w:top w:val="dotted" w:sz="4" w:space="0" w:color="auto"/>
              <w:left w:val="dotted" w:sz="4" w:space="0" w:color="auto"/>
              <w:bottom w:val="dotted" w:sz="4" w:space="0" w:color="auto"/>
              <w:right w:val="dotted" w:sz="4" w:space="0" w:color="auto"/>
            </w:tcBorders>
          </w:tcPr>
          <w:p w14:paraId="7001E67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M8</w:t>
            </w:r>
          </w:p>
        </w:tc>
        <w:tc>
          <w:tcPr>
            <w:tcW w:w="3252" w:type="dxa"/>
            <w:tcBorders>
              <w:top w:val="dotted" w:sz="4" w:space="0" w:color="auto"/>
              <w:left w:val="dotted" w:sz="4" w:space="0" w:color="auto"/>
              <w:bottom w:val="dotted" w:sz="4" w:space="0" w:color="auto"/>
              <w:right w:val="dotted" w:sz="4" w:space="0" w:color="auto"/>
            </w:tcBorders>
            <w:vAlign w:val="center"/>
          </w:tcPr>
          <w:p w14:paraId="13F41DC8"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0.254 ± 0.002</w:t>
            </w:r>
          </w:p>
        </w:tc>
      </w:tr>
      <w:tr w:rsidR="00E049CB" w:rsidRPr="005E6B7C" w14:paraId="4F8F0C6B" w14:textId="77777777" w:rsidTr="00C644FB">
        <w:trPr>
          <w:jc w:val="center"/>
        </w:trPr>
        <w:tc>
          <w:tcPr>
            <w:tcW w:w="3369" w:type="dxa"/>
            <w:gridSpan w:val="2"/>
            <w:tcBorders>
              <w:top w:val="dotted" w:sz="4" w:space="0" w:color="auto"/>
              <w:left w:val="dotted" w:sz="4" w:space="0" w:color="auto"/>
              <w:bottom w:val="dotted" w:sz="4" w:space="0" w:color="auto"/>
              <w:right w:val="dotted" w:sz="4" w:space="0" w:color="auto"/>
            </w:tcBorders>
            <w:vAlign w:val="center"/>
          </w:tcPr>
          <w:p w14:paraId="593C07D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VP V</w:t>
            </w:r>
          </w:p>
        </w:tc>
        <w:tc>
          <w:tcPr>
            <w:tcW w:w="3252" w:type="dxa"/>
            <w:tcBorders>
              <w:top w:val="dotted" w:sz="4" w:space="0" w:color="auto"/>
              <w:left w:val="dotted" w:sz="4" w:space="0" w:color="auto"/>
              <w:bottom w:val="dotted" w:sz="4" w:space="0" w:color="auto"/>
              <w:right w:val="dotted" w:sz="4" w:space="0" w:color="auto"/>
            </w:tcBorders>
            <w:vAlign w:val="center"/>
          </w:tcPr>
          <w:p w14:paraId="6F05E0D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w:t>
            </w:r>
          </w:p>
        </w:tc>
      </w:tr>
      <w:tr w:rsidR="00E049CB" w:rsidRPr="005E6B7C" w14:paraId="42890294" w14:textId="77777777" w:rsidTr="00C644FB">
        <w:trPr>
          <w:jc w:val="center"/>
        </w:trPr>
        <w:tc>
          <w:tcPr>
            <w:tcW w:w="3369" w:type="dxa"/>
            <w:gridSpan w:val="2"/>
            <w:tcBorders>
              <w:top w:val="dotted" w:sz="4" w:space="0" w:color="auto"/>
              <w:left w:val="dotted" w:sz="4" w:space="0" w:color="auto"/>
              <w:bottom w:val="dotted" w:sz="4" w:space="0" w:color="auto"/>
              <w:right w:val="dotted" w:sz="4" w:space="0" w:color="auto"/>
            </w:tcBorders>
            <w:vAlign w:val="center"/>
          </w:tcPr>
          <w:p w14:paraId="3DDC31D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CP (2020)</w:t>
            </w:r>
          </w:p>
        </w:tc>
        <w:tc>
          <w:tcPr>
            <w:tcW w:w="3252" w:type="dxa"/>
            <w:tcBorders>
              <w:top w:val="dotted" w:sz="4" w:space="0" w:color="auto"/>
              <w:left w:val="dotted" w:sz="4" w:space="0" w:color="auto"/>
              <w:bottom w:val="dotted" w:sz="4" w:space="0" w:color="auto"/>
              <w:right w:val="dotted" w:sz="4" w:space="0" w:color="auto"/>
            </w:tcBorders>
            <w:vAlign w:val="center"/>
          </w:tcPr>
          <w:p w14:paraId="43703408"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0.20</w:t>
            </w:r>
          </w:p>
        </w:tc>
      </w:tr>
      <w:tr w:rsidR="00E049CB" w:rsidRPr="005E6B7C" w14:paraId="114EB798" w14:textId="77777777" w:rsidTr="00C644FB">
        <w:trPr>
          <w:jc w:val="center"/>
        </w:trPr>
        <w:tc>
          <w:tcPr>
            <w:tcW w:w="3369" w:type="dxa"/>
            <w:gridSpan w:val="2"/>
            <w:tcBorders>
              <w:top w:val="dotted" w:sz="4" w:space="0" w:color="auto"/>
              <w:left w:val="dotted" w:sz="4" w:space="0" w:color="auto"/>
              <w:bottom w:val="dotted" w:sz="4" w:space="0" w:color="auto"/>
              <w:right w:val="dotted" w:sz="4" w:space="0" w:color="auto"/>
            </w:tcBorders>
            <w:vAlign w:val="center"/>
          </w:tcPr>
          <w:p w14:paraId="1D34C24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HKCMMS</w:t>
            </w:r>
          </w:p>
        </w:tc>
        <w:tc>
          <w:tcPr>
            <w:tcW w:w="3252" w:type="dxa"/>
            <w:tcBorders>
              <w:top w:val="dotted" w:sz="4" w:space="0" w:color="auto"/>
              <w:left w:val="dotted" w:sz="4" w:space="0" w:color="auto"/>
              <w:bottom w:val="dotted" w:sz="4" w:space="0" w:color="auto"/>
              <w:right w:val="dotted" w:sz="4" w:space="0" w:color="auto"/>
            </w:tcBorders>
            <w:vAlign w:val="center"/>
          </w:tcPr>
          <w:p w14:paraId="0C0E07D2"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0.041</w:t>
            </w:r>
          </w:p>
        </w:tc>
      </w:tr>
      <w:tr w:rsidR="00E049CB" w:rsidRPr="005E6B7C" w14:paraId="23535FA9" w14:textId="77777777" w:rsidTr="00C644FB">
        <w:trPr>
          <w:jc w:val="center"/>
        </w:trPr>
        <w:tc>
          <w:tcPr>
            <w:tcW w:w="3369" w:type="dxa"/>
            <w:gridSpan w:val="2"/>
            <w:tcBorders>
              <w:top w:val="dotted" w:sz="4" w:space="0" w:color="auto"/>
              <w:left w:val="dotted" w:sz="4" w:space="0" w:color="auto"/>
              <w:bottom w:val="dotted" w:sz="4" w:space="0" w:color="auto"/>
              <w:right w:val="dotted" w:sz="4" w:space="0" w:color="auto"/>
            </w:tcBorders>
            <w:vAlign w:val="center"/>
          </w:tcPr>
          <w:p w14:paraId="13E5ED7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eastAsia="ja-JP"/>
              </w:rPr>
              <w:t>Proposal</w:t>
            </w:r>
          </w:p>
        </w:tc>
        <w:tc>
          <w:tcPr>
            <w:tcW w:w="3252" w:type="dxa"/>
            <w:tcBorders>
              <w:top w:val="dotted" w:sz="4" w:space="0" w:color="auto"/>
              <w:left w:val="dotted" w:sz="4" w:space="0" w:color="auto"/>
              <w:bottom w:val="dotted" w:sz="4" w:space="0" w:color="auto"/>
              <w:right w:val="dotted" w:sz="4" w:space="0" w:color="auto"/>
            </w:tcBorders>
            <w:vAlign w:val="center"/>
          </w:tcPr>
          <w:p w14:paraId="76D34D8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w:t>
            </w:r>
            <w:r w:rsidRPr="005E6B7C">
              <w:rPr>
                <w:rFonts w:asciiTheme="majorHAnsi" w:eastAsia="MS Mincho" w:hAnsiTheme="majorHAnsi" w:cstheme="majorHAnsi"/>
                <w:color w:val="000000" w:themeColor="text1"/>
                <w:sz w:val="18"/>
                <w:szCs w:val="18"/>
                <w:lang w:eastAsia="ja-JP"/>
              </w:rPr>
              <w:t xml:space="preserve"> </w:t>
            </w:r>
            <w:r w:rsidRPr="005E6B7C">
              <w:rPr>
                <w:rFonts w:asciiTheme="majorHAnsi" w:eastAsia="MS Mincho" w:hAnsiTheme="majorHAnsi" w:cstheme="majorHAnsi"/>
                <w:b/>
                <w:color w:val="000000" w:themeColor="text1"/>
                <w:sz w:val="18"/>
                <w:szCs w:val="18"/>
                <w:lang w:eastAsia="ja-JP"/>
              </w:rPr>
              <w:t>0.20</w:t>
            </w:r>
          </w:p>
        </w:tc>
      </w:tr>
    </w:tbl>
    <w:p w14:paraId="5089A1D9" w14:textId="77777777" w:rsidR="006B6755" w:rsidRPr="005E6B7C" w:rsidRDefault="006B6755"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p>
    <w:p w14:paraId="4B12D84D"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2206BB">
          <w:type w:val="continuous"/>
          <w:pgSz w:w="10773" w:h="15309" w:code="9"/>
          <w:pgMar w:top="907" w:right="851" w:bottom="1418" w:left="851" w:header="397" w:footer="851" w:gutter="0"/>
          <w:cols w:space="284"/>
          <w:docGrid w:linePitch="360"/>
        </w:sectPr>
      </w:pPr>
    </w:p>
    <w:p w14:paraId="2D00CCF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Quantitative analysis showed that the RA content in PS samples collected from different regions of Vietnam varied notably, ranging from 0.172 ± 0.006% (Dong Van, Ha Giang) to 0.860 ± 0.022% (Sa Pa, Lao Cai). According to the CP (2020), the RA content in PS should not be less than 0.20%, whereas the HKCMMS set a much lower limit (≥ 0.041%). Both pharmacopoeias employ the HPLC-DAD method using a mobile phase composed of methanol and 0.1% trifluoroacetic acid. The variation in RA content among samples may be attributed to differences in ecological conditions and geographic origins. As </w:t>
      </w:r>
      <w:r w:rsidRPr="005E6B7C">
        <w:rPr>
          <w:rFonts w:asciiTheme="majorHAnsi" w:eastAsia="MS Mincho" w:hAnsiTheme="majorHAnsi" w:cstheme="majorHAnsi"/>
          <w:color w:val="000000" w:themeColor="text1"/>
          <w:sz w:val="22"/>
          <w:szCs w:val="22"/>
          <w:lang w:eastAsia="ja-JP"/>
        </w:rPr>
        <w:t>the PS monograph in the VP V does not specify a quantitative requirement for RA, we propose that the RA content in PS should not be less than 0.20% according to the CP (2020), calculated with reference to the dried drug.</w:t>
      </w:r>
    </w:p>
    <w:p w14:paraId="12C465D8" w14:textId="77777777" w:rsidR="00E049CB" w:rsidRPr="005E6B7C" w:rsidRDefault="00E049CB"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b/>
          <w:i/>
          <w:color w:val="000000" w:themeColor="text1"/>
          <w:sz w:val="22"/>
          <w:szCs w:val="22"/>
          <w:lang w:val="vi-VN" w:eastAsia="ja-JP"/>
        </w:rPr>
      </w:pPr>
      <w:r w:rsidRPr="005E6B7C">
        <w:rPr>
          <w:rFonts w:asciiTheme="majorHAnsi" w:eastAsia="Times New Roman" w:hAnsiTheme="majorHAnsi" w:cstheme="majorHAnsi"/>
          <w:i/>
          <w:color w:val="000000" w:themeColor="text1"/>
          <w:sz w:val="22"/>
          <w:szCs w:val="22"/>
          <w:lang w:eastAsia="ja-JP"/>
        </w:rPr>
        <w:t xml:space="preserve">3.3. Proposal for an in-house Standard for </w:t>
      </w:r>
      <w:r w:rsidRPr="005E6B7C">
        <w:rPr>
          <w:rFonts w:asciiTheme="majorHAnsi" w:eastAsia="Times New Roman" w:hAnsiTheme="majorHAnsi" w:cstheme="majorHAnsi"/>
          <w:i/>
          <w:color w:val="000000" w:themeColor="text1"/>
          <w:sz w:val="22"/>
          <w:szCs w:val="22"/>
          <w:lang w:val="vi-VN" w:eastAsia="ja-JP"/>
        </w:rPr>
        <w:t>Prunellae spica</w:t>
      </w:r>
    </w:p>
    <w:p w14:paraId="1383CCD7" w14:textId="77777777" w:rsidR="006A6994"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val="vi-VN" w:eastAsia="ja-JP"/>
        </w:rPr>
        <w:t xml:space="preserve">The upgrading of the in-house standard for </w:t>
      </w:r>
      <w:r w:rsidRPr="005E6B7C">
        <w:rPr>
          <w:rFonts w:asciiTheme="majorHAnsi" w:eastAsia="MS Mincho" w:hAnsiTheme="majorHAnsi" w:cstheme="majorHAnsi"/>
          <w:i/>
          <w:color w:val="000000" w:themeColor="text1"/>
          <w:sz w:val="22"/>
          <w:szCs w:val="22"/>
          <w:lang w:val="vi-VN" w:eastAsia="ja-JP"/>
        </w:rPr>
        <w:t>Prunellae spica</w:t>
      </w:r>
      <w:r w:rsidRPr="005E6B7C">
        <w:rPr>
          <w:rFonts w:asciiTheme="majorHAnsi" w:eastAsia="MS Mincho" w:hAnsiTheme="majorHAnsi" w:cstheme="majorHAnsi"/>
          <w:color w:val="000000" w:themeColor="text1"/>
          <w:sz w:val="22"/>
          <w:szCs w:val="22"/>
          <w:lang w:val="vi-VN" w:eastAsia="ja-JP"/>
        </w:rPr>
        <w:t xml:space="preserve"> based on the Vietnamese Pharmacopoeia V, with improvements in both qualitative and quantitative specifications, is shown in Table 7</w:t>
      </w:r>
      <w:r w:rsidR="005D308C" w:rsidRPr="005E6B7C">
        <w:rPr>
          <w:rFonts w:asciiTheme="majorHAnsi" w:eastAsia="MS Mincho" w:hAnsiTheme="majorHAnsi" w:cstheme="majorHAnsi"/>
          <w:color w:val="000000" w:themeColor="text1"/>
          <w:sz w:val="22"/>
          <w:szCs w:val="22"/>
          <w:lang w:eastAsia="ja-JP"/>
        </w:rPr>
        <w:t>.</w:t>
      </w:r>
    </w:p>
    <w:p w14:paraId="4255FE84"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6A6994">
          <w:type w:val="continuous"/>
          <w:pgSz w:w="10773" w:h="15309" w:code="9"/>
          <w:pgMar w:top="907" w:right="851" w:bottom="1418" w:left="851" w:header="397" w:footer="851" w:gutter="0"/>
          <w:cols w:num="2" w:space="284"/>
          <w:docGrid w:linePitch="360"/>
        </w:sectPr>
      </w:pPr>
    </w:p>
    <w:p w14:paraId="7811E072" w14:textId="77777777" w:rsidR="00E049CB" w:rsidRPr="005E6B7C" w:rsidRDefault="00E049CB" w:rsidP="008C0D47">
      <w:pPr>
        <w:tabs>
          <w:tab w:val="left" w:pos="270"/>
          <w:tab w:val="left" w:pos="540"/>
          <w:tab w:val="left" w:pos="9270"/>
        </w:tabs>
        <w:spacing w:before="120" w:after="120"/>
        <w:ind w:right="-20"/>
        <w:jc w:val="center"/>
        <w:rPr>
          <w:rFonts w:asciiTheme="majorHAnsi" w:eastAsia="Calibri" w:hAnsiTheme="majorHAnsi" w:cstheme="majorHAnsi"/>
          <w:bCs/>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7</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bCs/>
          <w:color w:val="000000" w:themeColor="text1"/>
          <w:kern w:val="2"/>
          <w:sz w:val="18"/>
          <w:szCs w:val="18"/>
          <w14:ligatures w14:val="standardContextual"/>
        </w:rPr>
        <w:t xml:space="preserve">Proposal for an in-house Standard for </w:t>
      </w:r>
      <w:r w:rsidRPr="005E6B7C">
        <w:rPr>
          <w:rFonts w:asciiTheme="majorHAnsi" w:eastAsia="Calibri" w:hAnsiTheme="majorHAnsi" w:cstheme="majorHAnsi"/>
          <w:i/>
          <w:color w:val="000000" w:themeColor="text1"/>
          <w:kern w:val="2"/>
          <w:sz w:val="18"/>
          <w:szCs w:val="18"/>
          <w:lang w:val="vi-VN"/>
          <w14:ligatures w14:val="standardContextual"/>
        </w:rPr>
        <w:t>Prunellae spica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24"/>
        <w:gridCol w:w="567"/>
        <w:gridCol w:w="868"/>
        <w:gridCol w:w="854"/>
        <w:gridCol w:w="905"/>
        <w:gridCol w:w="3216"/>
        <w:gridCol w:w="1738"/>
      </w:tblGrid>
      <w:tr w:rsidR="00E049CB" w:rsidRPr="005E6B7C" w14:paraId="54B60D7C" w14:textId="77777777" w:rsidTr="006B6755">
        <w:trPr>
          <w:tblHeade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60DC7517" w14:textId="77777777" w:rsidR="00E049CB" w:rsidRPr="005E6B7C" w:rsidRDefault="00E049CB" w:rsidP="008C0D47">
            <w:pPr>
              <w:tabs>
                <w:tab w:val="left" w:pos="270"/>
                <w:tab w:val="left" w:pos="540"/>
                <w:tab w:val="left" w:pos="9270"/>
              </w:tabs>
              <w:ind w:left="-36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Criteria</w:t>
            </w:r>
          </w:p>
        </w:tc>
        <w:tc>
          <w:tcPr>
            <w:tcW w:w="1293" w:type="dxa"/>
            <w:tcBorders>
              <w:top w:val="dotted" w:sz="4" w:space="0" w:color="auto"/>
              <w:left w:val="dotted" w:sz="4" w:space="0" w:color="auto"/>
              <w:bottom w:val="dotted" w:sz="4" w:space="0" w:color="auto"/>
              <w:right w:val="dotted" w:sz="4" w:space="0" w:color="auto"/>
            </w:tcBorders>
            <w:vAlign w:val="center"/>
          </w:tcPr>
          <w:p w14:paraId="0484E0FB" w14:textId="77777777" w:rsidR="00E049CB" w:rsidRPr="005E6B7C" w:rsidRDefault="00E049CB" w:rsidP="008C0D47">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VP V</w:t>
            </w:r>
          </w:p>
        </w:tc>
        <w:tc>
          <w:tcPr>
            <w:tcW w:w="1271" w:type="dxa"/>
            <w:tcBorders>
              <w:top w:val="dotted" w:sz="4" w:space="0" w:color="auto"/>
              <w:left w:val="dotted" w:sz="4" w:space="0" w:color="auto"/>
              <w:bottom w:val="dotted" w:sz="4" w:space="0" w:color="auto"/>
              <w:right w:val="dotted" w:sz="4" w:space="0" w:color="auto"/>
            </w:tcBorders>
            <w:vAlign w:val="center"/>
          </w:tcPr>
          <w:p w14:paraId="78B7A6B1" w14:textId="77777777" w:rsidR="00E049CB" w:rsidRPr="005E6B7C" w:rsidRDefault="00E049CB" w:rsidP="008C0D47">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CP (2020)</w:t>
            </w:r>
          </w:p>
        </w:tc>
        <w:tc>
          <w:tcPr>
            <w:tcW w:w="1350" w:type="dxa"/>
            <w:tcBorders>
              <w:top w:val="dotted" w:sz="4" w:space="0" w:color="auto"/>
              <w:left w:val="dotted" w:sz="4" w:space="0" w:color="auto"/>
              <w:bottom w:val="dotted" w:sz="4" w:space="0" w:color="auto"/>
              <w:right w:val="dotted" w:sz="4" w:space="0" w:color="auto"/>
            </w:tcBorders>
            <w:vAlign w:val="center"/>
          </w:tcPr>
          <w:p w14:paraId="3882C644" w14:textId="77777777" w:rsidR="00E049CB" w:rsidRPr="005E6B7C" w:rsidRDefault="00E049CB" w:rsidP="008C0D47">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HKCMMS</w:t>
            </w:r>
          </w:p>
        </w:tc>
        <w:tc>
          <w:tcPr>
            <w:tcW w:w="4900" w:type="dxa"/>
            <w:tcBorders>
              <w:top w:val="dotted" w:sz="4" w:space="0" w:color="auto"/>
              <w:left w:val="dotted" w:sz="4" w:space="0" w:color="auto"/>
              <w:bottom w:val="dotted" w:sz="4" w:space="0" w:color="auto"/>
              <w:right w:val="dotted" w:sz="4" w:space="0" w:color="auto"/>
            </w:tcBorders>
            <w:vAlign w:val="center"/>
          </w:tcPr>
          <w:p w14:paraId="0BFD032F" w14:textId="77777777" w:rsidR="00E049CB" w:rsidRPr="005E6B7C" w:rsidRDefault="00E049CB" w:rsidP="008C0D47">
            <w:pPr>
              <w:tabs>
                <w:tab w:val="left" w:pos="270"/>
                <w:tab w:val="left" w:pos="540"/>
                <w:tab w:val="left" w:pos="9270"/>
              </w:tabs>
              <w:ind w:left="-36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Results</w:t>
            </w:r>
          </w:p>
        </w:tc>
        <w:tc>
          <w:tcPr>
            <w:tcW w:w="2630" w:type="dxa"/>
            <w:tcBorders>
              <w:top w:val="dotted" w:sz="4" w:space="0" w:color="auto"/>
              <w:left w:val="dotted" w:sz="4" w:space="0" w:color="auto"/>
              <w:bottom w:val="dotted" w:sz="4" w:space="0" w:color="auto"/>
              <w:right w:val="dotted" w:sz="4" w:space="0" w:color="auto"/>
            </w:tcBorders>
            <w:vAlign w:val="center"/>
          </w:tcPr>
          <w:p w14:paraId="046FEBCF" w14:textId="77777777" w:rsidR="00E049CB" w:rsidRPr="005E6B7C" w:rsidRDefault="00E049CB" w:rsidP="008C0D47">
            <w:pPr>
              <w:tabs>
                <w:tab w:val="left" w:pos="270"/>
                <w:tab w:val="left" w:pos="540"/>
                <w:tab w:val="left" w:pos="9270"/>
              </w:tabs>
              <w:ind w:left="-360" w:right="-20"/>
              <w:jc w:val="center"/>
              <w:outlineLvl w:val="2"/>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Proposal</w:t>
            </w:r>
          </w:p>
        </w:tc>
      </w:tr>
      <w:tr w:rsidR="00E049CB" w:rsidRPr="005E6B7C" w14:paraId="295AA40F"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67302B1B"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Description</w:t>
            </w:r>
          </w:p>
        </w:tc>
        <w:tc>
          <w:tcPr>
            <w:tcW w:w="1293" w:type="dxa"/>
            <w:tcBorders>
              <w:top w:val="dotted" w:sz="4" w:space="0" w:color="auto"/>
              <w:left w:val="dotted" w:sz="4" w:space="0" w:color="auto"/>
              <w:bottom w:val="dotted" w:sz="4" w:space="0" w:color="auto"/>
              <w:right w:val="dotted" w:sz="4" w:space="0" w:color="auto"/>
            </w:tcBorders>
            <w:vAlign w:val="center"/>
          </w:tcPr>
          <w:p w14:paraId="3DF29B93" w14:textId="77777777" w:rsidR="00E049CB" w:rsidRPr="005E6B7C" w:rsidRDefault="00E049CB" w:rsidP="008C0D47">
            <w:pPr>
              <w:tabs>
                <w:tab w:val="left" w:pos="270"/>
                <w:tab w:val="left" w:pos="540"/>
                <w:tab w:val="left" w:pos="9270"/>
              </w:tabs>
              <w:spacing w:line="194" w:lineRule="exact"/>
              <w:ind w:left="-36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sym w:font="Wingdings" w:char="F0FC"/>
            </w:r>
          </w:p>
        </w:tc>
        <w:tc>
          <w:tcPr>
            <w:tcW w:w="1271" w:type="dxa"/>
            <w:tcBorders>
              <w:top w:val="dotted" w:sz="4" w:space="0" w:color="auto"/>
              <w:left w:val="dotted" w:sz="4" w:space="0" w:color="auto"/>
              <w:bottom w:val="dotted" w:sz="4" w:space="0" w:color="auto"/>
              <w:right w:val="dotted" w:sz="4" w:space="0" w:color="auto"/>
            </w:tcBorders>
            <w:vAlign w:val="center"/>
          </w:tcPr>
          <w:p w14:paraId="1F473E68"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sym w:font="Wingdings" w:char="F0FC"/>
            </w:r>
          </w:p>
        </w:tc>
        <w:tc>
          <w:tcPr>
            <w:tcW w:w="1350" w:type="dxa"/>
            <w:tcBorders>
              <w:top w:val="dotted" w:sz="4" w:space="0" w:color="auto"/>
              <w:left w:val="dotted" w:sz="4" w:space="0" w:color="auto"/>
              <w:bottom w:val="dotted" w:sz="4" w:space="0" w:color="auto"/>
              <w:right w:val="dotted" w:sz="4" w:space="0" w:color="auto"/>
            </w:tcBorders>
            <w:vAlign w:val="center"/>
          </w:tcPr>
          <w:p w14:paraId="0B31D3C2"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sym w:font="Wingdings" w:char="F0FC"/>
            </w:r>
          </w:p>
        </w:tc>
        <w:tc>
          <w:tcPr>
            <w:tcW w:w="4900" w:type="dxa"/>
            <w:tcBorders>
              <w:top w:val="dotted" w:sz="4" w:space="0" w:color="auto"/>
              <w:left w:val="dotted" w:sz="4" w:space="0" w:color="auto"/>
              <w:bottom w:val="dotted" w:sz="4" w:space="0" w:color="auto"/>
              <w:right w:val="dotted" w:sz="4" w:space="0" w:color="auto"/>
            </w:tcBorders>
            <w:vAlign w:val="center"/>
          </w:tcPr>
          <w:p w14:paraId="119560E4"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Cylindrical spikes, 1.5–8 cm long and 0.8–1.5 cm in diameter, are light brown to reddish brown in color. Each spike consists of more than ten calyces and bracts. Each whorl bears two opposite, fan-shaped bracts with an acuminate apex and distinct vein striations, densely covered with white hairs on the outer surface. Each bract contains three small flowers, whose corollas often fall off. The calyx is bilabiate and encloses four small, brown, ovoid nutlets with a white, convex area at the acute end. Texture light and brittle; odor slight; taste weak</w:t>
            </w:r>
          </w:p>
        </w:tc>
        <w:tc>
          <w:tcPr>
            <w:tcW w:w="2630" w:type="dxa"/>
            <w:tcBorders>
              <w:top w:val="dotted" w:sz="4" w:space="0" w:color="auto"/>
              <w:left w:val="dotted" w:sz="4" w:space="0" w:color="auto"/>
              <w:bottom w:val="dotted" w:sz="4" w:space="0" w:color="auto"/>
              <w:right w:val="dotted" w:sz="4" w:space="0" w:color="auto"/>
            </w:tcBorders>
            <w:vAlign w:val="center"/>
          </w:tcPr>
          <w:p w14:paraId="2AB2D323"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The medicinal material must exhibit the characteristics as described</w:t>
            </w:r>
          </w:p>
        </w:tc>
      </w:tr>
      <w:tr w:rsidR="00E049CB" w:rsidRPr="005E6B7C" w14:paraId="2908AF26"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15548BB9"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Powder</w:t>
            </w:r>
          </w:p>
        </w:tc>
        <w:tc>
          <w:tcPr>
            <w:tcW w:w="1293" w:type="dxa"/>
            <w:tcBorders>
              <w:top w:val="dotted" w:sz="4" w:space="0" w:color="auto"/>
              <w:left w:val="dotted" w:sz="4" w:space="0" w:color="auto"/>
              <w:bottom w:val="dotted" w:sz="4" w:space="0" w:color="auto"/>
              <w:right w:val="dotted" w:sz="4" w:space="0" w:color="auto"/>
            </w:tcBorders>
            <w:vAlign w:val="center"/>
          </w:tcPr>
          <w:p w14:paraId="6780FB7E" w14:textId="77777777" w:rsidR="00E049CB" w:rsidRPr="005E6B7C" w:rsidRDefault="00E049CB" w:rsidP="008C0D47">
            <w:pPr>
              <w:tabs>
                <w:tab w:val="left" w:pos="270"/>
                <w:tab w:val="left" w:pos="540"/>
                <w:tab w:val="left" w:pos="9270"/>
              </w:tabs>
              <w:spacing w:line="194" w:lineRule="exact"/>
              <w:ind w:left="-36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sym w:font="Wingdings" w:char="F0FC"/>
            </w:r>
          </w:p>
        </w:tc>
        <w:tc>
          <w:tcPr>
            <w:tcW w:w="1271" w:type="dxa"/>
            <w:tcBorders>
              <w:top w:val="dotted" w:sz="4" w:space="0" w:color="auto"/>
              <w:left w:val="dotted" w:sz="4" w:space="0" w:color="auto"/>
              <w:bottom w:val="dotted" w:sz="4" w:space="0" w:color="auto"/>
              <w:right w:val="dotted" w:sz="4" w:space="0" w:color="auto"/>
            </w:tcBorders>
            <w:vAlign w:val="center"/>
          </w:tcPr>
          <w:p w14:paraId="5A3CEEF5"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sym w:font="Wingdings" w:char="F0FC"/>
            </w:r>
          </w:p>
        </w:tc>
        <w:tc>
          <w:tcPr>
            <w:tcW w:w="1350" w:type="dxa"/>
            <w:tcBorders>
              <w:top w:val="dotted" w:sz="4" w:space="0" w:color="auto"/>
              <w:left w:val="dotted" w:sz="4" w:space="0" w:color="auto"/>
              <w:bottom w:val="dotted" w:sz="4" w:space="0" w:color="auto"/>
              <w:right w:val="dotted" w:sz="4" w:space="0" w:color="auto"/>
            </w:tcBorders>
            <w:vAlign w:val="center"/>
          </w:tcPr>
          <w:p w14:paraId="6EA81334"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sym w:font="Wingdings" w:char="F0FC"/>
            </w:r>
          </w:p>
        </w:tc>
        <w:tc>
          <w:tcPr>
            <w:tcW w:w="4900" w:type="dxa"/>
            <w:tcBorders>
              <w:top w:val="dotted" w:sz="4" w:space="0" w:color="auto"/>
              <w:left w:val="dotted" w:sz="4" w:space="0" w:color="auto"/>
              <w:bottom w:val="dotted" w:sz="4" w:space="0" w:color="auto"/>
              <w:right w:val="dotted" w:sz="4" w:space="0" w:color="auto"/>
            </w:tcBorders>
            <w:vAlign w:val="center"/>
          </w:tcPr>
          <w:p w14:paraId="40F5A8CD"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Dark brown powder; odor slight; taste weak. Multicellular trichomes (5–7 cells), sometimes very long, with a dotted surface. Fragments of the lower epidermis of the leaf show stomata. Epidermal cells of the calyx have sinuous walls. Fragments of branch parenchyma consist of rectangular cells arranged alternately. Calcium oxalate crystals are spherical with blunt spines. Scalariform, spiral, and reticulate vessels are present. The stigma consists of elongated cells radiating like fan spokes</w:t>
            </w:r>
          </w:p>
        </w:tc>
        <w:tc>
          <w:tcPr>
            <w:tcW w:w="2630" w:type="dxa"/>
            <w:tcBorders>
              <w:top w:val="dotted" w:sz="4" w:space="0" w:color="auto"/>
              <w:left w:val="dotted" w:sz="4" w:space="0" w:color="auto"/>
              <w:bottom w:val="dotted" w:sz="4" w:space="0" w:color="auto"/>
              <w:right w:val="dotted" w:sz="4" w:space="0" w:color="auto"/>
            </w:tcBorders>
            <w:vAlign w:val="center"/>
          </w:tcPr>
          <w:p w14:paraId="2B59A481"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The medicinal material powder must exhibit the characteristics as described</w:t>
            </w:r>
          </w:p>
        </w:tc>
      </w:tr>
      <w:tr w:rsidR="00E049CB" w:rsidRPr="005E6B7C" w14:paraId="12C5451E"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4D3406D1"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Water content</w:t>
            </w:r>
            <w:r w:rsidRPr="005E6B7C">
              <w:rPr>
                <w:rFonts w:asciiTheme="majorHAnsi" w:eastAsia="Yu Mincho" w:hAnsiTheme="majorHAnsi" w:cstheme="majorHAnsi"/>
                <w:color w:val="000000" w:themeColor="text1"/>
                <w:sz w:val="18"/>
                <w:szCs w:val="18"/>
                <w:lang w:eastAsia="ja-JP"/>
              </w:rPr>
              <w:t xml:space="preserve"> (%)</w:t>
            </w:r>
          </w:p>
        </w:tc>
        <w:tc>
          <w:tcPr>
            <w:tcW w:w="1293" w:type="dxa"/>
            <w:tcBorders>
              <w:top w:val="dotted" w:sz="4" w:space="0" w:color="auto"/>
              <w:left w:val="dotted" w:sz="4" w:space="0" w:color="auto"/>
              <w:bottom w:val="dotted" w:sz="4" w:space="0" w:color="auto"/>
              <w:right w:val="dotted" w:sz="4" w:space="0" w:color="auto"/>
            </w:tcBorders>
            <w:vAlign w:val="center"/>
          </w:tcPr>
          <w:p w14:paraId="5FF65ABD" w14:textId="77777777" w:rsidR="00E049CB" w:rsidRPr="005E6B7C" w:rsidRDefault="00E049CB" w:rsidP="008C0D47">
            <w:pPr>
              <w:tabs>
                <w:tab w:val="left" w:pos="270"/>
                <w:tab w:val="left" w:pos="540"/>
                <w:tab w:val="left" w:pos="9270"/>
              </w:tabs>
              <w:spacing w:line="194" w:lineRule="exact"/>
              <w:ind w:right="-23"/>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12.0</w:t>
            </w:r>
          </w:p>
        </w:tc>
        <w:tc>
          <w:tcPr>
            <w:tcW w:w="1271" w:type="dxa"/>
            <w:tcBorders>
              <w:top w:val="dotted" w:sz="4" w:space="0" w:color="auto"/>
              <w:left w:val="dotted" w:sz="4" w:space="0" w:color="auto"/>
              <w:bottom w:val="dotted" w:sz="4" w:space="0" w:color="auto"/>
              <w:right w:val="dotted" w:sz="4" w:space="0" w:color="auto"/>
            </w:tcBorders>
            <w:vAlign w:val="center"/>
          </w:tcPr>
          <w:p w14:paraId="0903E433"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14.0</w:t>
            </w:r>
          </w:p>
        </w:tc>
        <w:tc>
          <w:tcPr>
            <w:tcW w:w="1350" w:type="dxa"/>
            <w:tcBorders>
              <w:top w:val="dotted" w:sz="4" w:space="0" w:color="auto"/>
              <w:left w:val="dotted" w:sz="4" w:space="0" w:color="auto"/>
              <w:bottom w:val="dotted" w:sz="4" w:space="0" w:color="auto"/>
              <w:right w:val="dotted" w:sz="4" w:space="0" w:color="auto"/>
            </w:tcBorders>
            <w:vAlign w:val="center"/>
          </w:tcPr>
          <w:p w14:paraId="75561C57"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15.0</w:t>
            </w:r>
          </w:p>
        </w:tc>
        <w:tc>
          <w:tcPr>
            <w:tcW w:w="4900" w:type="dxa"/>
            <w:tcBorders>
              <w:top w:val="dotted" w:sz="4" w:space="0" w:color="auto"/>
              <w:left w:val="dotted" w:sz="4" w:space="0" w:color="auto"/>
              <w:bottom w:val="dotted" w:sz="4" w:space="0" w:color="auto"/>
              <w:right w:val="dotted" w:sz="4" w:space="0" w:color="auto"/>
            </w:tcBorders>
            <w:vAlign w:val="center"/>
          </w:tcPr>
          <w:p w14:paraId="038A2F11"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7.8 ± 0.2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10.9 ± 0.2</w:t>
            </w:r>
          </w:p>
        </w:tc>
        <w:tc>
          <w:tcPr>
            <w:tcW w:w="2630" w:type="dxa"/>
            <w:tcBorders>
              <w:top w:val="dotted" w:sz="4" w:space="0" w:color="auto"/>
              <w:left w:val="dotted" w:sz="4" w:space="0" w:color="auto"/>
              <w:bottom w:val="dotted" w:sz="4" w:space="0" w:color="auto"/>
              <w:right w:val="dotted" w:sz="4" w:space="0" w:color="auto"/>
            </w:tcBorders>
            <w:vAlign w:val="center"/>
          </w:tcPr>
          <w:p w14:paraId="673C6395" w14:textId="77777777" w:rsidR="00E049CB" w:rsidRPr="005E6B7C" w:rsidRDefault="00E049CB" w:rsidP="00460990">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12.0</w:t>
            </w:r>
          </w:p>
        </w:tc>
      </w:tr>
      <w:tr w:rsidR="00E049CB" w:rsidRPr="005E6B7C" w14:paraId="37C985E9"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34F93849"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Total ash</w:t>
            </w:r>
            <w:r w:rsidRPr="005E6B7C">
              <w:rPr>
                <w:rFonts w:asciiTheme="majorHAnsi" w:eastAsia="Yu Mincho" w:hAnsiTheme="majorHAnsi" w:cstheme="majorHAnsi"/>
                <w:color w:val="000000" w:themeColor="text1"/>
                <w:sz w:val="18"/>
                <w:szCs w:val="18"/>
                <w:lang w:eastAsia="ja-JP"/>
              </w:rPr>
              <w:t xml:space="preserve"> (%)</w:t>
            </w:r>
          </w:p>
        </w:tc>
        <w:tc>
          <w:tcPr>
            <w:tcW w:w="1293" w:type="dxa"/>
            <w:tcBorders>
              <w:top w:val="dotted" w:sz="4" w:space="0" w:color="auto"/>
              <w:left w:val="dotted" w:sz="4" w:space="0" w:color="auto"/>
              <w:bottom w:val="dotted" w:sz="4" w:space="0" w:color="auto"/>
              <w:right w:val="dotted" w:sz="4" w:space="0" w:color="auto"/>
            </w:tcBorders>
            <w:vAlign w:val="center"/>
          </w:tcPr>
          <w:p w14:paraId="57F11EB0"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13.0</w:t>
            </w:r>
          </w:p>
        </w:tc>
        <w:tc>
          <w:tcPr>
            <w:tcW w:w="1271" w:type="dxa"/>
            <w:tcBorders>
              <w:top w:val="dotted" w:sz="4" w:space="0" w:color="auto"/>
              <w:left w:val="dotted" w:sz="4" w:space="0" w:color="auto"/>
              <w:bottom w:val="dotted" w:sz="4" w:space="0" w:color="auto"/>
              <w:right w:val="dotted" w:sz="4" w:space="0" w:color="auto"/>
            </w:tcBorders>
            <w:vAlign w:val="center"/>
          </w:tcPr>
          <w:p w14:paraId="58331B6E"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12.0</w:t>
            </w:r>
          </w:p>
        </w:tc>
        <w:tc>
          <w:tcPr>
            <w:tcW w:w="1350" w:type="dxa"/>
            <w:tcBorders>
              <w:top w:val="dotted" w:sz="4" w:space="0" w:color="auto"/>
              <w:left w:val="dotted" w:sz="4" w:space="0" w:color="auto"/>
              <w:bottom w:val="dotted" w:sz="4" w:space="0" w:color="auto"/>
              <w:right w:val="dotted" w:sz="4" w:space="0" w:color="auto"/>
            </w:tcBorders>
            <w:vAlign w:val="center"/>
          </w:tcPr>
          <w:p w14:paraId="3BB02E77"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10.0</w:t>
            </w:r>
          </w:p>
        </w:tc>
        <w:tc>
          <w:tcPr>
            <w:tcW w:w="4900" w:type="dxa"/>
            <w:tcBorders>
              <w:top w:val="dotted" w:sz="4" w:space="0" w:color="auto"/>
              <w:left w:val="dotted" w:sz="4" w:space="0" w:color="auto"/>
              <w:bottom w:val="dotted" w:sz="4" w:space="0" w:color="auto"/>
              <w:right w:val="dotted" w:sz="4" w:space="0" w:color="auto"/>
            </w:tcBorders>
            <w:vAlign w:val="center"/>
          </w:tcPr>
          <w:p w14:paraId="70F36D75"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5.6 ± 0.1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8.5 ± 0.1</w:t>
            </w:r>
          </w:p>
        </w:tc>
        <w:tc>
          <w:tcPr>
            <w:tcW w:w="2630" w:type="dxa"/>
            <w:tcBorders>
              <w:top w:val="dotted" w:sz="4" w:space="0" w:color="auto"/>
              <w:left w:val="dotted" w:sz="4" w:space="0" w:color="auto"/>
              <w:bottom w:val="dotted" w:sz="4" w:space="0" w:color="auto"/>
              <w:right w:val="dotted" w:sz="4" w:space="0" w:color="auto"/>
            </w:tcBorders>
          </w:tcPr>
          <w:p w14:paraId="45BB26BA" w14:textId="77777777" w:rsidR="00E049CB" w:rsidRPr="005E6B7C" w:rsidRDefault="00E049CB" w:rsidP="00460990">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13.0</w:t>
            </w:r>
          </w:p>
        </w:tc>
      </w:tr>
      <w:tr w:rsidR="00E049CB" w:rsidRPr="005E6B7C" w14:paraId="46882D8F"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49231B67"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Acid-insoluble ash</w:t>
            </w:r>
            <w:r w:rsidRPr="005E6B7C">
              <w:rPr>
                <w:rFonts w:asciiTheme="majorHAnsi" w:eastAsia="Yu Mincho" w:hAnsiTheme="majorHAnsi" w:cstheme="majorHAnsi"/>
                <w:color w:val="000000" w:themeColor="text1"/>
                <w:sz w:val="18"/>
                <w:szCs w:val="18"/>
                <w:lang w:eastAsia="ja-JP"/>
              </w:rPr>
              <w:t xml:space="preserve"> (%)</w:t>
            </w:r>
          </w:p>
        </w:tc>
        <w:tc>
          <w:tcPr>
            <w:tcW w:w="1293" w:type="dxa"/>
            <w:tcBorders>
              <w:top w:val="dotted" w:sz="4" w:space="0" w:color="auto"/>
              <w:left w:val="dotted" w:sz="4" w:space="0" w:color="auto"/>
              <w:bottom w:val="dotted" w:sz="4" w:space="0" w:color="auto"/>
              <w:right w:val="dotted" w:sz="4" w:space="0" w:color="auto"/>
            </w:tcBorders>
            <w:vAlign w:val="center"/>
          </w:tcPr>
          <w:p w14:paraId="62DF1D80"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3.0</w:t>
            </w:r>
          </w:p>
        </w:tc>
        <w:tc>
          <w:tcPr>
            <w:tcW w:w="1271" w:type="dxa"/>
            <w:tcBorders>
              <w:top w:val="dotted" w:sz="4" w:space="0" w:color="auto"/>
              <w:left w:val="dotted" w:sz="4" w:space="0" w:color="auto"/>
              <w:bottom w:val="dotted" w:sz="4" w:space="0" w:color="auto"/>
              <w:right w:val="dotted" w:sz="4" w:space="0" w:color="auto"/>
            </w:tcBorders>
            <w:vAlign w:val="center"/>
          </w:tcPr>
          <w:p w14:paraId="247BA499"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4.0</w:t>
            </w:r>
          </w:p>
        </w:tc>
        <w:tc>
          <w:tcPr>
            <w:tcW w:w="1350" w:type="dxa"/>
            <w:tcBorders>
              <w:top w:val="dotted" w:sz="4" w:space="0" w:color="auto"/>
              <w:left w:val="dotted" w:sz="4" w:space="0" w:color="auto"/>
              <w:bottom w:val="dotted" w:sz="4" w:space="0" w:color="auto"/>
              <w:right w:val="dotted" w:sz="4" w:space="0" w:color="auto"/>
            </w:tcBorders>
            <w:vAlign w:val="center"/>
          </w:tcPr>
          <w:p w14:paraId="3666470B" w14:textId="77777777" w:rsidR="00E049CB" w:rsidRPr="005E6B7C" w:rsidRDefault="00E049CB" w:rsidP="008C0D47">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1.5</w:t>
            </w:r>
          </w:p>
        </w:tc>
        <w:tc>
          <w:tcPr>
            <w:tcW w:w="4900" w:type="dxa"/>
            <w:tcBorders>
              <w:top w:val="dotted" w:sz="4" w:space="0" w:color="auto"/>
              <w:left w:val="dotted" w:sz="4" w:space="0" w:color="auto"/>
              <w:bottom w:val="dotted" w:sz="4" w:space="0" w:color="auto"/>
              <w:right w:val="dotted" w:sz="4" w:space="0" w:color="auto"/>
            </w:tcBorders>
            <w:vAlign w:val="center"/>
          </w:tcPr>
          <w:p w14:paraId="0CC03316"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0.8 ± 0.1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2.2 ± 0.1</w:t>
            </w:r>
          </w:p>
        </w:tc>
        <w:tc>
          <w:tcPr>
            <w:tcW w:w="2630" w:type="dxa"/>
            <w:tcBorders>
              <w:top w:val="dotted" w:sz="4" w:space="0" w:color="auto"/>
              <w:left w:val="dotted" w:sz="4" w:space="0" w:color="auto"/>
              <w:bottom w:val="dotted" w:sz="4" w:space="0" w:color="auto"/>
              <w:right w:val="dotted" w:sz="4" w:space="0" w:color="auto"/>
            </w:tcBorders>
            <w:vAlign w:val="center"/>
          </w:tcPr>
          <w:p w14:paraId="44748E69" w14:textId="77777777" w:rsidR="00E049CB" w:rsidRPr="005E6B7C" w:rsidRDefault="00E049CB" w:rsidP="00460990">
            <w:pPr>
              <w:numPr>
                <w:ilvl w:val="0"/>
                <w:numId w:val="17"/>
              </w:numPr>
              <w:tabs>
                <w:tab w:val="left" w:pos="270"/>
                <w:tab w:val="left" w:pos="540"/>
                <w:tab w:val="left" w:pos="9270"/>
              </w:tabs>
              <w:spacing w:line="194" w:lineRule="exact"/>
              <w:ind w:left="0" w:right="-23"/>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3.0</w:t>
            </w:r>
          </w:p>
        </w:tc>
      </w:tr>
      <w:tr w:rsidR="00E049CB" w:rsidRPr="005E6B7C" w14:paraId="14C63EFC"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71489180"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Identification</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it-IT" w:eastAsia="ja-JP"/>
              </w:rPr>
              <w:t xml:space="preserve">by </w:t>
            </w:r>
            <w:r w:rsidRPr="005E6B7C">
              <w:rPr>
                <w:rFonts w:asciiTheme="majorHAnsi" w:eastAsia="Yu Mincho" w:hAnsiTheme="majorHAnsi" w:cstheme="majorHAnsi"/>
                <w:color w:val="000000" w:themeColor="text1"/>
                <w:sz w:val="18"/>
                <w:szCs w:val="18"/>
                <w:lang w:eastAsia="ja-JP"/>
              </w:rPr>
              <w:t>chemical reaction</w:t>
            </w:r>
          </w:p>
        </w:tc>
        <w:tc>
          <w:tcPr>
            <w:tcW w:w="1293" w:type="dxa"/>
            <w:tcBorders>
              <w:top w:val="dotted" w:sz="4" w:space="0" w:color="auto"/>
              <w:left w:val="dotted" w:sz="4" w:space="0" w:color="auto"/>
              <w:bottom w:val="dotted" w:sz="4" w:space="0" w:color="auto"/>
              <w:right w:val="dotted" w:sz="4" w:space="0" w:color="auto"/>
            </w:tcBorders>
            <w:vAlign w:val="center"/>
          </w:tcPr>
          <w:p w14:paraId="0802D171" w14:textId="77777777" w:rsidR="00E049CB" w:rsidRPr="005E6B7C" w:rsidRDefault="00E049CB" w:rsidP="008C0D47">
            <w:pPr>
              <w:tabs>
                <w:tab w:val="left" w:pos="270"/>
                <w:tab w:val="left" w:pos="540"/>
                <w:tab w:val="left" w:pos="9270"/>
              </w:tabs>
              <w:spacing w:line="194" w:lineRule="exact"/>
              <w:ind w:left="-360" w:right="-23"/>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sym w:font="Wingdings" w:char="F0FC"/>
            </w:r>
          </w:p>
        </w:tc>
        <w:tc>
          <w:tcPr>
            <w:tcW w:w="1271" w:type="dxa"/>
            <w:tcBorders>
              <w:top w:val="dotted" w:sz="4" w:space="0" w:color="auto"/>
              <w:left w:val="dotted" w:sz="4" w:space="0" w:color="auto"/>
              <w:bottom w:val="dotted" w:sz="4" w:space="0" w:color="auto"/>
              <w:right w:val="dotted" w:sz="4" w:space="0" w:color="auto"/>
            </w:tcBorders>
            <w:vAlign w:val="center"/>
          </w:tcPr>
          <w:p w14:paraId="6F298BED" w14:textId="77777777" w:rsidR="00E049CB" w:rsidRPr="005E6B7C" w:rsidRDefault="00E049CB" w:rsidP="008C0D47">
            <w:pPr>
              <w:tabs>
                <w:tab w:val="left" w:pos="270"/>
                <w:tab w:val="left" w:pos="540"/>
                <w:tab w:val="left" w:pos="9270"/>
              </w:tabs>
              <w:spacing w:line="194" w:lineRule="exact"/>
              <w:ind w:left="-360" w:right="-23"/>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1350" w:type="dxa"/>
            <w:tcBorders>
              <w:top w:val="dotted" w:sz="4" w:space="0" w:color="auto"/>
              <w:left w:val="dotted" w:sz="4" w:space="0" w:color="auto"/>
              <w:bottom w:val="dotted" w:sz="4" w:space="0" w:color="auto"/>
              <w:right w:val="dotted" w:sz="4" w:space="0" w:color="auto"/>
            </w:tcBorders>
            <w:vAlign w:val="center"/>
          </w:tcPr>
          <w:p w14:paraId="27EA05ED" w14:textId="77777777" w:rsidR="00E049CB" w:rsidRPr="005E6B7C" w:rsidRDefault="00E049CB" w:rsidP="008C0D47">
            <w:pPr>
              <w:tabs>
                <w:tab w:val="left" w:pos="270"/>
                <w:tab w:val="left" w:pos="540"/>
                <w:tab w:val="left" w:pos="9270"/>
              </w:tabs>
              <w:spacing w:line="194" w:lineRule="exact"/>
              <w:ind w:left="-360" w:right="-23"/>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4900" w:type="dxa"/>
            <w:tcBorders>
              <w:top w:val="dotted" w:sz="4" w:space="0" w:color="auto"/>
              <w:left w:val="dotted" w:sz="4" w:space="0" w:color="auto"/>
              <w:bottom w:val="dotted" w:sz="4" w:space="0" w:color="auto"/>
              <w:right w:val="dotted" w:sz="4" w:space="0" w:color="auto"/>
            </w:tcBorders>
            <w:vAlign w:val="center"/>
          </w:tcPr>
          <w:p w14:paraId="57F20E44"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Positive in the qualitative test</w:t>
            </w:r>
          </w:p>
        </w:tc>
        <w:tc>
          <w:tcPr>
            <w:tcW w:w="2630" w:type="dxa"/>
            <w:tcBorders>
              <w:top w:val="dotted" w:sz="4" w:space="0" w:color="auto"/>
              <w:left w:val="dotted" w:sz="4" w:space="0" w:color="auto"/>
              <w:bottom w:val="dotted" w:sz="4" w:space="0" w:color="auto"/>
              <w:right w:val="dotted" w:sz="4" w:space="0" w:color="auto"/>
            </w:tcBorders>
            <w:vAlign w:val="center"/>
          </w:tcPr>
          <w:p w14:paraId="7C1A373E"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The medicinal material must show positive reactions in the qualitative tests</w:t>
            </w:r>
          </w:p>
        </w:tc>
      </w:tr>
      <w:tr w:rsidR="00E049CB" w:rsidRPr="005E6B7C" w14:paraId="7C4A40BC"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146B0DF6" w14:textId="77777777" w:rsidR="00E049CB" w:rsidRPr="005E6B7C" w:rsidRDefault="00E049CB" w:rsidP="008C0D47">
            <w:pPr>
              <w:tabs>
                <w:tab w:val="left" w:pos="270"/>
                <w:tab w:val="left" w:pos="540"/>
                <w:tab w:val="left" w:pos="9270"/>
              </w:tabs>
              <w:spacing w:line="194"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Identification</w:t>
            </w:r>
            <w:r w:rsidRPr="005E6B7C">
              <w:rPr>
                <w:rFonts w:asciiTheme="majorHAnsi" w:eastAsia="Yu Mincho" w:hAnsiTheme="majorHAnsi" w:cstheme="majorHAnsi"/>
                <w:color w:val="000000" w:themeColor="text1"/>
                <w:sz w:val="18"/>
                <w:szCs w:val="18"/>
                <w:lang w:eastAsia="ja-JP"/>
              </w:rPr>
              <w:t xml:space="preserve"> by TLC</w:t>
            </w:r>
          </w:p>
        </w:tc>
        <w:tc>
          <w:tcPr>
            <w:tcW w:w="1293" w:type="dxa"/>
            <w:tcBorders>
              <w:top w:val="dotted" w:sz="4" w:space="0" w:color="auto"/>
              <w:left w:val="dotted" w:sz="4" w:space="0" w:color="auto"/>
              <w:bottom w:val="dotted" w:sz="4" w:space="0" w:color="auto"/>
              <w:right w:val="dotted" w:sz="4" w:space="0" w:color="auto"/>
            </w:tcBorders>
            <w:vAlign w:val="center"/>
          </w:tcPr>
          <w:p w14:paraId="6A03439F"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PS reference </w:t>
            </w:r>
            <w:r w:rsidRPr="005E6B7C">
              <w:rPr>
                <w:rFonts w:asciiTheme="majorHAnsi" w:eastAsia="Yu Mincho" w:hAnsiTheme="majorHAnsi" w:cstheme="majorHAnsi"/>
                <w:color w:val="000000" w:themeColor="text1"/>
                <w:sz w:val="18"/>
                <w:szCs w:val="18"/>
                <w:lang w:eastAsia="ja-JP"/>
              </w:rPr>
              <w:lastRenderedPageBreak/>
              <w:t>medicinal material</w:t>
            </w:r>
          </w:p>
        </w:tc>
        <w:tc>
          <w:tcPr>
            <w:tcW w:w="1271" w:type="dxa"/>
            <w:tcBorders>
              <w:top w:val="dotted" w:sz="4" w:space="0" w:color="auto"/>
              <w:left w:val="dotted" w:sz="4" w:space="0" w:color="auto"/>
              <w:bottom w:val="dotted" w:sz="4" w:space="0" w:color="auto"/>
              <w:right w:val="dotted" w:sz="4" w:space="0" w:color="auto"/>
            </w:tcBorders>
            <w:vAlign w:val="center"/>
          </w:tcPr>
          <w:p w14:paraId="1A461FE1"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lastRenderedPageBreak/>
              <w:t>RA</w:t>
            </w:r>
          </w:p>
        </w:tc>
        <w:tc>
          <w:tcPr>
            <w:tcW w:w="1350" w:type="dxa"/>
            <w:tcBorders>
              <w:top w:val="dotted" w:sz="4" w:space="0" w:color="auto"/>
              <w:left w:val="dotted" w:sz="4" w:space="0" w:color="auto"/>
              <w:bottom w:val="dotted" w:sz="4" w:space="0" w:color="auto"/>
              <w:right w:val="dotted" w:sz="4" w:space="0" w:color="auto"/>
            </w:tcBorders>
            <w:vAlign w:val="center"/>
          </w:tcPr>
          <w:p w14:paraId="0F41AA8C" w14:textId="77777777" w:rsidR="00E049CB" w:rsidRPr="005E6B7C" w:rsidRDefault="00E049CB" w:rsidP="008C0D47">
            <w:pPr>
              <w:tabs>
                <w:tab w:val="left" w:pos="270"/>
                <w:tab w:val="left" w:pos="540"/>
                <w:tab w:val="left" w:pos="9270"/>
              </w:tabs>
              <w:spacing w:line="194"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UA</w:t>
            </w:r>
          </w:p>
        </w:tc>
        <w:tc>
          <w:tcPr>
            <w:tcW w:w="4900" w:type="dxa"/>
            <w:tcBorders>
              <w:top w:val="dotted" w:sz="4" w:space="0" w:color="auto"/>
              <w:left w:val="dotted" w:sz="4" w:space="0" w:color="auto"/>
              <w:bottom w:val="dotted" w:sz="4" w:space="0" w:color="auto"/>
              <w:right w:val="dotted" w:sz="4" w:space="0" w:color="auto"/>
            </w:tcBorders>
            <w:vAlign w:val="center"/>
          </w:tcPr>
          <w:p w14:paraId="65386BFD"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The chromatogram of the test solution exhibits spots with the same R</w:t>
            </w:r>
            <w:r w:rsidRPr="005E6B7C">
              <w:rPr>
                <w:rFonts w:asciiTheme="majorHAnsi" w:eastAsia="Times New Roman" w:hAnsiTheme="majorHAnsi" w:cstheme="majorHAnsi"/>
                <w:color w:val="000000" w:themeColor="text1"/>
                <w:sz w:val="18"/>
                <w:szCs w:val="18"/>
                <w:vertAlign w:val="subscript"/>
                <w:lang w:eastAsia="ja-JP"/>
              </w:rPr>
              <w:t>f</w:t>
            </w:r>
            <w:r w:rsidRPr="005E6B7C">
              <w:rPr>
                <w:rFonts w:asciiTheme="majorHAnsi" w:eastAsia="Times New Roman" w:hAnsiTheme="majorHAnsi" w:cstheme="majorHAnsi"/>
                <w:color w:val="000000" w:themeColor="text1"/>
                <w:sz w:val="18"/>
                <w:szCs w:val="18"/>
                <w:lang w:eastAsia="ja-JP"/>
              </w:rPr>
              <w:t xml:space="preserve"> values and </w:t>
            </w:r>
            <w:r w:rsidRPr="005E6B7C">
              <w:rPr>
                <w:rFonts w:asciiTheme="majorHAnsi" w:eastAsia="Times New Roman" w:hAnsiTheme="majorHAnsi" w:cstheme="majorHAnsi"/>
                <w:color w:val="000000" w:themeColor="text1"/>
                <w:sz w:val="18"/>
                <w:szCs w:val="18"/>
                <w:lang w:eastAsia="ja-JP"/>
              </w:rPr>
              <w:lastRenderedPageBreak/>
              <w:t>colors as those of the reference solutions (PS reference medicinal material, RA, UA)</w:t>
            </w:r>
          </w:p>
        </w:tc>
        <w:tc>
          <w:tcPr>
            <w:tcW w:w="2630" w:type="dxa"/>
            <w:tcBorders>
              <w:top w:val="dotted" w:sz="4" w:space="0" w:color="auto"/>
              <w:left w:val="dotted" w:sz="4" w:space="0" w:color="auto"/>
              <w:bottom w:val="dotted" w:sz="4" w:space="0" w:color="auto"/>
              <w:right w:val="dotted" w:sz="4" w:space="0" w:color="auto"/>
            </w:tcBorders>
            <w:vAlign w:val="center"/>
          </w:tcPr>
          <w:p w14:paraId="4093AC6A" w14:textId="77777777" w:rsidR="00E049CB" w:rsidRPr="005E6B7C" w:rsidRDefault="00E049CB" w:rsidP="008C0D47">
            <w:pPr>
              <w:numPr>
                <w:ilvl w:val="0"/>
                <w:numId w:val="17"/>
              </w:numPr>
              <w:tabs>
                <w:tab w:val="left" w:pos="270"/>
                <w:tab w:val="left" w:pos="540"/>
                <w:tab w:val="left" w:pos="9270"/>
              </w:tabs>
              <w:spacing w:line="194" w:lineRule="exact"/>
              <w:ind w:left="0" w:right="-23"/>
              <w:jc w:val="both"/>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lastRenderedPageBreak/>
              <w:t xml:space="preserve">The chromatogram of the test solution must </w:t>
            </w:r>
            <w:r w:rsidRPr="005E6B7C">
              <w:rPr>
                <w:rFonts w:asciiTheme="majorHAnsi" w:eastAsia="Times New Roman" w:hAnsiTheme="majorHAnsi" w:cstheme="majorHAnsi"/>
                <w:color w:val="000000" w:themeColor="text1"/>
                <w:sz w:val="18"/>
                <w:szCs w:val="18"/>
                <w:lang w:eastAsia="ja-JP"/>
              </w:rPr>
              <w:lastRenderedPageBreak/>
              <w:t>exhibit spots with the same R</w:t>
            </w:r>
            <w:r w:rsidRPr="005E6B7C">
              <w:rPr>
                <w:rFonts w:asciiTheme="majorHAnsi" w:eastAsia="Times New Roman" w:hAnsiTheme="majorHAnsi" w:cstheme="majorHAnsi"/>
                <w:color w:val="000000" w:themeColor="text1"/>
                <w:sz w:val="18"/>
                <w:szCs w:val="18"/>
                <w:vertAlign w:val="subscript"/>
                <w:lang w:eastAsia="ja-JP"/>
              </w:rPr>
              <w:t>f</w:t>
            </w:r>
            <w:r w:rsidRPr="005E6B7C">
              <w:rPr>
                <w:rFonts w:asciiTheme="majorHAnsi" w:eastAsia="Times New Roman" w:hAnsiTheme="majorHAnsi" w:cstheme="majorHAnsi"/>
                <w:color w:val="000000" w:themeColor="text1"/>
                <w:sz w:val="18"/>
                <w:szCs w:val="18"/>
                <w:lang w:eastAsia="ja-JP"/>
              </w:rPr>
              <w:t xml:space="preserve"> values and colors as those of the reference solutions</w:t>
            </w:r>
          </w:p>
        </w:tc>
      </w:tr>
      <w:tr w:rsidR="00E049CB" w:rsidRPr="005E6B7C" w14:paraId="489270E8"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47A2718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lastRenderedPageBreak/>
              <w:t>Quantification</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sym w:font="Symbol" w:char="F02D"/>
            </w:r>
            <w:r w:rsidRPr="005E6B7C">
              <w:rPr>
                <w:rFonts w:asciiTheme="majorHAnsi" w:eastAsia="Yu Mincho" w:hAnsiTheme="majorHAnsi" w:cstheme="majorHAnsi"/>
                <w:color w:val="000000" w:themeColor="text1"/>
                <w:sz w:val="18"/>
                <w:szCs w:val="18"/>
                <w:lang w:eastAsia="ja-JP"/>
              </w:rPr>
              <w:t xml:space="preserve"> RA content (%)</w:t>
            </w:r>
          </w:p>
        </w:tc>
        <w:tc>
          <w:tcPr>
            <w:tcW w:w="1293" w:type="dxa"/>
            <w:tcBorders>
              <w:top w:val="dotted" w:sz="4" w:space="0" w:color="auto"/>
              <w:left w:val="dotted" w:sz="4" w:space="0" w:color="auto"/>
              <w:bottom w:val="dotted" w:sz="4" w:space="0" w:color="auto"/>
              <w:right w:val="dotted" w:sz="4" w:space="0" w:color="auto"/>
            </w:tcBorders>
            <w:vAlign w:val="center"/>
          </w:tcPr>
          <w:p w14:paraId="3DE9D3A8" w14:textId="77777777" w:rsidR="00E049CB" w:rsidRPr="005E6B7C" w:rsidRDefault="00E049CB" w:rsidP="00460990">
            <w:pPr>
              <w:tabs>
                <w:tab w:val="left" w:pos="270"/>
                <w:tab w:val="left" w:pos="540"/>
                <w:tab w:val="left" w:pos="9270"/>
              </w:tabs>
              <w:ind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1271" w:type="dxa"/>
            <w:tcBorders>
              <w:top w:val="dotted" w:sz="4" w:space="0" w:color="auto"/>
              <w:left w:val="dotted" w:sz="4" w:space="0" w:color="auto"/>
              <w:bottom w:val="dotted" w:sz="4" w:space="0" w:color="auto"/>
              <w:right w:val="dotted" w:sz="4" w:space="0" w:color="auto"/>
            </w:tcBorders>
            <w:vAlign w:val="center"/>
          </w:tcPr>
          <w:p w14:paraId="4E69B3CA"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0.20</w:t>
            </w:r>
          </w:p>
        </w:tc>
        <w:tc>
          <w:tcPr>
            <w:tcW w:w="1350" w:type="dxa"/>
            <w:tcBorders>
              <w:top w:val="dotted" w:sz="4" w:space="0" w:color="auto"/>
              <w:left w:val="dotted" w:sz="4" w:space="0" w:color="auto"/>
              <w:bottom w:val="dotted" w:sz="4" w:space="0" w:color="auto"/>
              <w:right w:val="dotted" w:sz="4" w:space="0" w:color="auto"/>
            </w:tcBorders>
            <w:vAlign w:val="center"/>
          </w:tcPr>
          <w:p w14:paraId="48232B77"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0.041</w:t>
            </w:r>
          </w:p>
        </w:tc>
        <w:tc>
          <w:tcPr>
            <w:tcW w:w="4900" w:type="dxa"/>
            <w:tcBorders>
              <w:top w:val="dotted" w:sz="4" w:space="0" w:color="auto"/>
              <w:left w:val="dotted" w:sz="4" w:space="0" w:color="auto"/>
              <w:bottom w:val="dotted" w:sz="4" w:space="0" w:color="auto"/>
              <w:right w:val="dotted" w:sz="4" w:space="0" w:color="auto"/>
            </w:tcBorders>
            <w:vAlign w:val="center"/>
          </w:tcPr>
          <w:p w14:paraId="08476154"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0.172 ± 0.006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0.860 ± 0.022</w:t>
            </w:r>
          </w:p>
        </w:tc>
        <w:tc>
          <w:tcPr>
            <w:tcW w:w="2630" w:type="dxa"/>
            <w:tcBorders>
              <w:top w:val="dotted" w:sz="4" w:space="0" w:color="auto"/>
              <w:left w:val="dotted" w:sz="4" w:space="0" w:color="auto"/>
              <w:bottom w:val="dotted" w:sz="4" w:space="0" w:color="auto"/>
              <w:right w:val="dotted" w:sz="4" w:space="0" w:color="auto"/>
            </w:tcBorders>
            <w:vAlign w:val="center"/>
          </w:tcPr>
          <w:p w14:paraId="356D98FA"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0.20</w:t>
            </w:r>
          </w:p>
        </w:tc>
      </w:tr>
      <w:tr w:rsidR="00E049CB" w:rsidRPr="005E6B7C" w14:paraId="559F46DE" w14:textId="77777777" w:rsidTr="006B6755">
        <w:trPr>
          <w:jc w:val="center"/>
        </w:trPr>
        <w:tc>
          <w:tcPr>
            <w:tcW w:w="2209" w:type="dxa"/>
            <w:gridSpan w:val="2"/>
            <w:tcBorders>
              <w:top w:val="dotted" w:sz="4" w:space="0" w:color="auto"/>
              <w:left w:val="dotted" w:sz="4" w:space="0" w:color="auto"/>
              <w:bottom w:val="dotted" w:sz="4" w:space="0" w:color="auto"/>
              <w:right w:val="dotted" w:sz="4" w:space="0" w:color="auto"/>
            </w:tcBorders>
            <w:vAlign w:val="center"/>
          </w:tcPr>
          <w:p w14:paraId="35025610"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Extractives</w:t>
            </w:r>
            <w:r w:rsidRPr="005E6B7C">
              <w:rPr>
                <w:rFonts w:asciiTheme="majorHAnsi" w:eastAsia="Yu Mincho" w:hAnsiTheme="majorHAnsi" w:cstheme="majorHAnsi"/>
                <w:color w:val="000000" w:themeColor="text1"/>
                <w:sz w:val="18"/>
                <w:szCs w:val="18"/>
                <w:lang w:eastAsia="ja-JP"/>
              </w:rPr>
              <w:t xml:space="preserve"> (%)</w:t>
            </w:r>
          </w:p>
        </w:tc>
        <w:tc>
          <w:tcPr>
            <w:tcW w:w="1293" w:type="dxa"/>
            <w:tcBorders>
              <w:top w:val="dotted" w:sz="4" w:space="0" w:color="auto"/>
              <w:left w:val="dotted" w:sz="4" w:space="0" w:color="auto"/>
              <w:bottom w:val="dotted" w:sz="4" w:space="0" w:color="auto"/>
              <w:right w:val="dotted" w:sz="4" w:space="0" w:color="auto"/>
            </w:tcBorders>
            <w:vAlign w:val="center"/>
          </w:tcPr>
          <w:p w14:paraId="35AC7F3A" w14:textId="77777777" w:rsidR="00E049CB" w:rsidRPr="005E6B7C" w:rsidRDefault="00E049CB" w:rsidP="00460990">
            <w:pPr>
              <w:tabs>
                <w:tab w:val="left" w:pos="270"/>
                <w:tab w:val="left" w:pos="540"/>
                <w:tab w:val="left" w:pos="9270"/>
              </w:tabs>
              <w:ind w:right="-20"/>
              <w:jc w:val="center"/>
              <w:rPr>
                <w:rFonts w:asciiTheme="majorHAnsi" w:eastAsia="MS Mincho" w:hAnsiTheme="majorHAnsi" w:cstheme="majorHAnsi"/>
                <w:color w:val="000000" w:themeColor="text1"/>
                <w:sz w:val="18"/>
                <w:szCs w:val="18"/>
                <w:lang w:val="vi-VN" w:eastAsia="ja-JP"/>
              </w:rPr>
            </w:pPr>
            <w:r w:rsidRPr="005E6B7C">
              <w:rPr>
                <w:rFonts w:asciiTheme="majorHAnsi" w:eastAsia="MS Mincho" w:hAnsiTheme="majorHAnsi" w:cstheme="majorHAnsi"/>
                <w:color w:val="000000" w:themeColor="text1"/>
                <w:sz w:val="18"/>
                <w:szCs w:val="18"/>
                <w:lang w:eastAsia="ja-JP"/>
              </w:rPr>
              <w:t>≥ 7.0</w:t>
            </w:r>
          </w:p>
          <w:p w14:paraId="35999EA0"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(96% ethanol)</w:t>
            </w:r>
          </w:p>
        </w:tc>
        <w:tc>
          <w:tcPr>
            <w:tcW w:w="1271" w:type="dxa"/>
            <w:tcBorders>
              <w:top w:val="dotted" w:sz="4" w:space="0" w:color="auto"/>
              <w:left w:val="dotted" w:sz="4" w:space="0" w:color="auto"/>
              <w:bottom w:val="dotted" w:sz="4" w:space="0" w:color="auto"/>
              <w:right w:val="dotted" w:sz="4" w:space="0" w:color="auto"/>
            </w:tcBorders>
            <w:vAlign w:val="center"/>
          </w:tcPr>
          <w:p w14:paraId="61672FB2" w14:textId="77777777" w:rsidR="00E049CB" w:rsidRPr="005E6B7C" w:rsidRDefault="00E049CB" w:rsidP="00460990">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10.0</w:t>
            </w:r>
            <w:r w:rsidRPr="005E6B7C">
              <w:rPr>
                <w:rFonts w:asciiTheme="majorHAnsi" w:eastAsia="MS Mincho" w:hAnsiTheme="majorHAnsi" w:cstheme="majorHAnsi"/>
                <w:color w:val="000000" w:themeColor="text1"/>
                <w:sz w:val="18"/>
                <w:szCs w:val="18"/>
                <w:lang w:val="vi-VN" w:eastAsia="ja-JP"/>
              </w:rPr>
              <w:t xml:space="preserve"> </w:t>
            </w:r>
            <w:r w:rsidRPr="005E6B7C">
              <w:rPr>
                <w:rFonts w:asciiTheme="majorHAnsi" w:eastAsia="MS Mincho" w:hAnsiTheme="majorHAnsi" w:cstheme="majorHAnsi"/>
                <w:color w:val="000000" w:themeColor="text1"/>
                <w:sz w:val="18"/>
                <w:szCs w:val="18"/>
                <w:lang w:eastAsia="ja-JP"/>
              </w:rPr>
              <w:t>(water)</w:t>
            </w:r>
          </w:p>
        </w:tc>
        <w:tc>
          <w:tcPr>
            <w:tcW w:w="1350" w:type="dxa"/>
            <w:tcBorders>
              <w:top w:val="dotted" w:sz="4" w:space="0" w:color="auto"/>
              <w:left w:val="dotted" w:sz="4" w:space="0" w:color="auto"/>
              <w:bottom w:val="dotted" w:sz="4" w:space="0" w:color="auto"/>
              <w:right w:val="dotted" w:sz="4" w:space="0" w:color="auto"/>
            </w:tcBorders>
            <w:vAlign w:val="center"/>
          </w:tcPr>
          <w:p w14:paraId="4E9DBC1F" w14:textId="77777777" w:rsidR="00E049CB" w:rsidRPr="005E6B7C" w:rsidRDefault="00E049CB" w:rsidP="00460990">
            <w:pPr>
              <w:tabs>
                <w:tab w:val="left" w:pos="144"/>
                <w:tab w:val="left" w:pos="270"/>
                <w:tab w:val="left" w:pos="540"/>
                <w:tab w:val="center" w:pos="1584"/>
                <w:tab w:val="left" w:pos="5616"/>
                <w:tab w:val="left" w:pos="9270"/>
              </w:tabs>
              <w:ind w:right="-20"/>
              <w:jc w:val="center"/>
              <w:rPr>
                <w:rFonts w:asciiTheme="majorHAnsi" w:eastAsia="Times New Roman" w:hAnsiTheme="majorHAnsi" w:cstheme="majorHAnsi"/>
                <w:color w:val="000000" w:themeColor="text1"/>
                <w:sz w:val="18"/>
                <w:szCs w:val="18"/>
              </w:rPr>
            </w:pPr>
            <w:r w:rsidRPr="005E6B7C">
              <w:rPr>
                <w:rFonts w:asciiTheme="majorHAnsi" w:eastAsia="Times New Roman" w:hAnsiTheme="majorHAnsi" w:cstheme="majorHAnsi"/>
                <w:color w:val="000000" w:themeColor="text1"/>
                <w:sz w:val="18"/>
                <w:szCs w:val="18"/>
              </w:rPr>
              <w:t>≥ 10.0</w:t>
            </w:r>
            <w:r w:rsidRPr="005E6B7C">
              <w:rPr>
                <w:rFonts w:asciiTheme="majorHAnsi" w:eastAsia="Times New Roman" w:hAnsiTheme="majorHAnsi" w:cstheme="majorHAnsi"/>
                <w:color w:val="000000" w:themeColor="text1"/>
                <w:sz w:val="18"/>
                <w:szCs w:val="18"/>
                <w:lang w:val="vi-VN"/>
              </w:rPr>
              <w:t xml:space="preserve"> </w:t>
            </w:r>
            <w:r w:rsidRPr="005E6B7C">
              <w:rPr>
                <w:rFonts w:asciiTheme="majorHAnsi" w:eastAsia="Times New Roman" w:hAnsiTheme="majorHAnsi" w:cstheme="majorHAnsi"/>
                <w:color w:val="000000" w:themeColor="text1"/>
                <w:sz w:val="18"/>
                <w:szCs w:val="18"/>
              </w:rPr>
              <w:t>(water);</w:t>
            </w:r>
          </w:p>
          <w:p w14:paraId="1446BFCA" w14:textId="77777777" w:rsidR="00E049CB" w:rsidRPr="005E6B7C" w:rsidRDefault="00E049CB" w:rsidP="00460990">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6.0</w:t>
            </w:r>
          </w:p>
          <w:p w14:paraId="793869A4"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(96% ethanol)</w:t>
            </w:r>
          </w:p>
        </w:tc>
        <w:tc>
          <w:tcPr>
            <w:tcW w:w="4900" w:type="dxa"/>
            <w:tcBorders>
              <w:top w:val="dotted" w:sz="4" w:space="0" w:color="auto"/>
              <w:left w:val="dotted" w:sz="4" w:space="0" w:color="auto"/>
              <w:bottom w:val="dotted" w:sz="4" w:space="0" w:color="auto"/>
              <w:right w:val="dotted" w:sz="4" w:space="0" w:color="auto"/>
            </w:tcBorders>
            <w:vAlign w:val="center"/>
          </w:tcPr>
          <w:p w14:paraId="0439C0CD" w14:textId="0C3C84C0"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7.2 ± 0.2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11.8 ± 0.1</w:t>
            </w:r>
          </w:p>
          <w:p w14:paraId="36A634A4"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(96% ethanol)</w:t>
            </w:r>
          </w:p>
        </w:tc>
        <w:tc>
          <w:tcPr>
            <w:tcW w:w="2630" w:type="dxa"/>
            <w:tcBorders>
              <w:top w:val="dotted" w:sz="4" w:space="0" w:color="auto"/>
              <w:left w:val="dotted" w:sz="4" w:space="0" w:color="auto"/>
              <w:bottom w:val="dotted" w:sz="4" w:space="0" w:color="auto"/>
              <w:right w:val="dotted" w:sz="4" w:space="0" w:color="auto"/>
            </w:tcBorders>
            <w:vAlign w:val="center"/>
          </w:tcPr>
          <w:p w14:paraId="213E4BF3" w14:textId="08BD600B" w:rsidR="00E049CB" w:rsidRPr="005E6B7C" w:rsidRDefault="00E049CB" w:rsidP="00460990">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 7.0</w:t>
            </w:r>
          </w:p>
          <w:p w14:paraId="6DF470FB"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(96% ethanol)</w:t>
            </w:r>
          </w:p>
        </w:tc>
      </w:tr>
      <w:tr w:rsidR="00B310F1" w:rsidRPr="005E6B7C" w14:paraId="4D5EDF46" w14:textId="77777777" w:rsidTr="006B6755">
        <w:trPr>
          <w:jc w:val="center"/>
        </w:trPr>
        <w:tc>
          <w:tcPr>
            <w:tcW w:w="1378" w:type="dxa"/>
            <w:vMerge w:val="restart"/>
            <w:tcBorders>
              <w:top w:val="dotted" w:sz="4" w:space="0" w:color="auto"/>
              <w:left w:val="dotted" w:sz="4" w:space="0" w:color="auto"/>
              <w:bottom w:val="dotted" w:sz="4" w:space="0" w:color="auto"/>
              <w:right w:val="dotted" w:sz="4" w:space="0" w:color="auto"/>
            </w:tcBorders>
            <w:vAlign w:val="center"/>
          </w:tcPr>
          <w:p w14:paraId="5A6E8BE3"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Foreign matter</w:t>
            </w:r>
            <w:r w:rsidRPr="005E6B7C">
              <w:rPr>
                <w:rFonts w:asciiTheme="majorHAnsi" w:eastAsia="Yu Mincho" w:hAnsiTheme="majorHAnsi" w:cstheme="majorHAnsi"/>
                <w:color w:val="000000" w:themeColor="text1"/>
                <w:sz w:val="18"/>
                <w:szCs w:val="18"/>
                <w:lang w:eastAsia="ja-JP"/>
              </w:rPr>
              <w:t xml:space="preserve"> (%)</w:t>
            </w:r>
          </w:p>
        </w:tc>
        <w:tc>
          <w:tcPr>
            <w:tcW w:w="831" w:type="dxa"/>
            <w:tcBorders>
              <w:top w:val="dotted" w:sz="4" w:space="0" w:color="auto"/>
              <w:left w:val="dotted" w:sz="4" w:space="0" w:color="auto"/>
              <w:bottom w:val="dotted" w:sz="4" w:space="0" w:color="auto"/>
              <w:right w:val="dotted" w:sz="4" w:space="0" w:color="auto"/>
            </w:tcBorders>
            <w:vAlign w:val="center"/>
          </w:tcPr>
          <w:p w14:paraId="5DF96A1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Stems</w:t>
            </w:r>
          </w:p>
        </w:tc>
        <w:tc>
          <w:tcPr>
            <w:tcW w:w="1293" w:type="dxa"/>
            <w:tcBorders>
              <w:top w:val="dotted" w:sz="4" w:space="0" w:color="auto"/>
              <w:left w:val="dotted" w:sz="4" w:space="0" w:color="auto"/>
              <w:bottom w:val="dotted" w:sz="4" w:space="0" w:color="auto"/>
              <w:right w:val="dotted" w:sz="4" w:space="0" w:color="auto"/>
            </w:tcBorders>
            <w:vAlign w:val="center"/>
          </w:tcPr>
          <w:p w14:paraId="4468D4E5"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5.0</w:t>
            </w:r>
          </w:p>
        </w:tc>
        <w:tc>
          <w:tcPr>
            <w:tcW w:w="1271" w:type="dxa"/>
            <w:tcBorders>
              <w:top w:val="dotted" w:sz="4" w:space="0" w:color="auto"/>
              <w:left w:val="dotted" w:sz="4" w:space="0" w:color="auto"/>
              <w:bottom w:val="dotted" w:sz="4" w:space="0" w:color="auto"/>
              <w:right w:val="dotted" w:sz="4" w:space="0" w:color="auto"/>
            </w:tcBorders>
            <w:vAlign w:val="center"/>
          </w:tcPr>
          <w:p w14:paraId="04BC206C"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5.0</w:t>
            </w:r>
          </w:p>
        </w:tc>
        <w:tc>
          <w:tcPr>
            <w:tcW w:w="1350" w:type="dxa"/>
            <w:tcBorders>
              <w:top w:val="dotted" w:sz="4" w:space="0" w:color="auto"/>
              <w:left w:val="dotted" w:sz="4" w:space="0" w:color="auto"/>
              <w:bottom w:val="dotted" w:sz="4" w:space="0" w:color="auto"/>
              <w:right w:val="dotted" w:sz="4" w:space="0" w:color="auto"/>
            </w:tcBorders>
            <w:vAlign w:val="center"/>
          </w:tcPr>
          <w:p w14:paraId="403490CC"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1.0</w:t>
            </w:r>
          </w:p>
        </w:tc>
        <w:tc>
          <w:tcPr>
            <w:tcW w:w="4900" w:type="dxa"/>
            <w:tcBorders>
              <w:top w:val="dotted" w:sz="4" w:space="0" w:color="auto"/>
              <w:left w:val="dotted" w:sz="4" w:space="0" w:color="auto"/>
              <w:bottom w:val="dotted" w:sz="4" w:space="0" w:color="auto"/>
              <w:right w:val="dotted" w:sz="4" w:space="0" w:color="auto"/>
            </w:tcBorders>
            <w:vAlign w:val="center"/>
          </w:tcPr>
          <w:p w14:paraId="3BA3B97A"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 ± 0.1</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3.5 ± 0.1</w:t>
            </w:r>
          </w:p>
        </w:tc>
        <w:tc>
          <w:tcPr>
            <w:tcW w:w="2630" w:type="dxa"/>
            <w:tcBorders>
              <w:top w:val="dotted" w:sz="4" w:space="0" w:color="auto"/>
              <w:left w:val="dotted" w:sz="4" w:space="0" w:color="auto"/>
              <w:bottom w:val="dotted" w:sz="4" w:space="0" w:color="auto"/>
              <w:right w:val="dotted" w:sz="4" w:space="0" w:color="auto"/>
            </w:tcBorders>
            <w:vAlign w:val="center"/>
          </w:tcPr>
          <w:p w14:paraId="130F4F38"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5.0</w:t>
            </w:r>
          </w:p>
        </w:tc>
      </w:tr>
      <w:tr w:rsidR="00B310F1" w:rsidRPr="005E6B7C" w14:paraId="6C25DB10" w14:textId="77777777" w:rsidTr="006B6755">
        <w:trPr>
          <w:trHeight w:val="80"/>
          <w:jc w:val="center"/>
        </w:trPr>
        <w:tc>
          <w:tcPr>
            <w:tcW w:w="1378" w:type="dxa"/>
            <w:vMerge/>
            <w:tcBorders>
              <w:top w:val="dotted" w:sz="4" w:space="0" w:color="auto"/>
              <w:left w:val="dotted" w:sz="4" w:space="0" w:color="auto"/>
              <w:bottom w:val="dotted" w:sz="4" w:space="0" w:color="auto"/>
              <w:right w:val="dotted" w:sz="4" w:space="0" w:color="auto"/>
            </w:tcBorders>
            <w:vAlign w:val="center"/>
          </w:tcPr>
          <w:p w14:paraId="4BA868A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val="vi-VN" w:eastAsia="ja-JP"/>
              </w:rPr>
            </w:pPr>
          </w:p>
        </w:tc>
        <w:tc>
          <w:tcPr>
            <w:tcW w:w="831" w:type="dxa"/>
            <w:tcBorders>
              <w:top w:val="dotted" w:sz="4" w:space="0" w:color="auto"/>
              <w:left w:val="dotted" w:sz="4" w:space="0" w:color="auto"/>
              <w:bottom w:val="dotted" w:sz="4" w:space="0" w:color="auto"/>
              <w:right w:val="dotted" w:sz="4" w:space="0" w:color="auto"/>
            </w:tcBorders>
            <w:vAlign w:val="center"/>
          </w:tcPr>
          <w:p w14:paraId="16C3C1E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Other</w:t>
            </w:r>
          </w:p>
        </w:tc>
        <w:tc>
          <w:tcPr>
            <w:tcW w:w="1293" w:type="dxa"/>
            <w:tcBorders>
              <w:top w:val="dotted" w:sz="4" w:space="0" w:color="auto"/>
              <w:left w:val="dotted" w:sz="4" w:space="0" w:color="auto"/>
              <w:bottom w:val="dotted" w:sz="4" w:space="0" w:color="auto"/>
              <w:right w:val="dotted" w:sz="4" w:space="0" w:color="auto"/>
            </w:tcBorders>
            <w:vAlign w:val="center"/>
          </w:tcPr>
          <w:p w14:paraId="6EF2C90E"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1.0</w:t>
            </w:r>
          </w:p>
        </w:tc>
        <w:tc>
          <w:tcPr>
            <w:tcW w:w="1271" w:type="dxa"/>
            <w:tcBorders>
              <w:top w:val="dotted" w:sz="4" w:space="0" w:color="auto"/>
              <w:left w:val="dotted" w:sz="4" w:space="0" w:color="auto"/>
              <w:bottom w:val="dotted" w:sz="4" w:space="0" w:color="auto"/>
              <w:right w:val="dotted" w:sz="4" w:space="0" w:color="auto"/>
            </w:tcBorders>
            <w:vAlign w:val="center"/>
          </w:tcPr>
          <w:p w14:paraId="73180DE0"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1.0</w:t>
            </w:r>
          </w:p>
        </w:tc>
        <w:tc>
          <w:tcPr>
            <w:tcW w:w="1350" w:type="dxa"/>
            <w:tcBorders>
              <w:top w:val="dotted" w:sz="4" w:space="0" w:color="auto"/>
              <w:left w:val="dotted" w:sz="4" w:space="0" w:color="auto"/>
              <w:bottom w:val="dotted" w:sz="4" w:space="0" w:color="auto"/>
              <w:right w:val="dotted" w:sz="4" w:space="0" w:color="auto"/>
            </w:tcBorders>
            <w:vAlign w:val="center"/>
          </w:tcPr>
          <w:p w14:paraId="7CD94AE0" w14:textId="77777777" w:rsidR="00E049CB" w:rsidRPr="005E6B7C" w:rsidRDefault="00E049CB" w:rsidP="00460990">
            <w:pPr>
              <w:tabs>
                <w:tab w:val="left" w:pos="270"/>
                <w:tab w:val="left" w:pos="540"/>
                <w:tab w:val="left" w:pos="9270"/>
              </w:tabs>
              <w:ind w:left="21"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w:t>
            </w:r>
          </w:p>
        </w:tc>
        <w:tc>
          <w:tcPr>
            <w:tcW w:w="4900" w:type="dxa"/>
            <w:tcBorders>
              <w:top w:val="dotted" w:sz="4" w:space="0" w:color="auto"/>
              <w:left w:val="dotted" w:sz="4" w:space="0" w:color="auto"/>
              <w:bottom w:val="dotted" w:sz="4" w:space="0" w:color="auto"/>
              <w:right w:val="dotted" w:sz="4" w:space="0" w:color="auto"/>
            </w:tcBorders>
            <w:vAlign w:val="center"/>
          </w:tcPr>
          <w:p w14:paraId="371A60FF"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xml:space="preserve">0.3 ± 0.2 </w:t>
            </w:r>
            <w:r w:rsidRPr="005E6B7C">
              <w:rPr>
                <w:rFonts w:asciiTheme="majorHAnsi" w:eastAsia="Times New Roman" w:hAnsiTheme="majorHAnsi" w:cstheme="majorHAnsi"/>
                <w:color w:val="000000" w:themeColor="text1"/>
                <w:sz w:val="18"/>
                <w:szCs w:val="18"/>
                <w:lang w:eastAsia="ja-JP"/>
              </w:rPr>
              <w:sym w:font="Symbol" w:char="F02D"/>
            </w:r>
            <w:r w:rsidRPr="005E6B7C">
              <w:rPr>
                <w:rFonts w:asciiTheme="majorHAnsi" w:eastAsia="Times New Roman" w:hAnsiTheme="majorHAnsi" w:cstheme="majorHAnsi"/>
                <w:color w:val="000000" w:themeColor="text1"/>
                <w:sz w:val="18"/>
                <w:szCs w:val="18"/>
                <w:lang w:eastAsia="ja-JP"/>
              </w:rPr>
              <w:t xml:space="preserve"> 0.8 ± 0.2</w:t>
            </w:r>
          </w:p>
        </w:tc>
        <w:tc>
          <w:tcPr>
            <w:tcW w:w="2630" w:type="dxa"/>
            <w:tcBorders>
              <w:top w:val="dotted" w:sz="4" w:space="0" w:color="auto"/>
              <w:left w:val="dotted" w:sz="4" w:space="0" w:color="auto"/>
              <w:bottom w:val="dotted" w:sz="4" w:space="0" w:color="auto"/>
              <w:right w:val="dotted" w:sz="4" w:space="0" w:color="auto"/>
            </w:tcBorders>
            <w:vAlign w:val="center"/>
          </w:tcPr>
          <w:p w14:paraId="0A07E697" w14:textId="77777777" w:rsidR="00E049CB" w:rsidRPr="005E6B7C" w:rsidRDefault="00E049CB" w:rsidP="00460990">
            <w:pPr>
              <w:numPr>
                <w:ilvl w:val="0"/>
                <w:numId w:val="17"/>
              </w:numPr>
              <w:tabs>
                <w:tab w:val="left" w:pos="270"/>
                <w:tab w:val="left" w:pos="540"/>
                <w:tab w:val="left" w:pos="9270"/>
              </w:tabs>
              <w:ind w:left="0" w:right="-20"/>
              <w:jc w:val="center"/>
              <w:outlineLvl w:val="2"/>
              <w:rPr>
                <w:rFonts w:asciiTheme="majorHAnsi" w:eastAsia="Times New Roman" w:hAnsiTheme="majorHAnsi" w:cstheme="majorHAnsi"/>
                <w:b/>
                <w: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 1.0</w:t>
            </w:r>
          </w:p>
        </w:tc>
      </w:tr>
      <w:tr w:rsidR="00E049CB" w:rsidRPr="005E6B7C" w14:paraId="53E48B77" w14:textId="77777777" w:rsidTr="006B6755">
        <w:trPr>
          <w:trHeight w:val="80"/>
          <w:jc w:val="center"/>
        </w:trPr>
        <w:tc>
          <w:tcPr>
            <w:tcW w:w="13653" w:type="dxa"/>
            <w:gridSpan w:val="7"/>
            <w:tcBorders>
              <w:top w:val="dotted" w:sz="4" w:space="0" w:color="auto"/>
              <w:left w:val="nil"/>
              <w:bottom w:val="nil"/>
              <w:right w:val="nil"/>
            </w:tcBorders>
            <w:vAlign w:val="center"/>
          </w:tcPr>
          <w:p w14:paraId="0351D519" w14:textId="77777777" w:rsidR="00E049CB" w:rsidRPr="005E6B7C" w:rsidRDefault="00E049CB" w:rsidP="008C0D47">
            <w:pPr>
              <w:numPr>
                <w:ilvl w:val="0"/>
                <w:numId w:val="17"/>
              </w:numPr>
              <w:tabs>
                <w:tab w:val="left" w:pos="270"/>
                <w:tab w:val="left" w:pos="540"/>
                <w:tab w:val="left" w:pos="9270"/>
              </w:tabs>
              <w:spacing w:before="120"/>
              <w:ind w:left="0" w:right="-20"/>
              <w:jc w:val="both"/>
              <w:outlineLvl w:val="2"/>
              <w:rPr>
                <w:rFonts w:asciiTheme="majorHAnsi" w:eastAsia="Times New Roman" w:hAnsiTheme="majorHAnsi" w:cstheme="majorHAnsi"/>
                <w:b/>
                <w:i/>
                <w:iCs/>
                <w:color w:val="000000" w:themeColor="text1"/>
                <w:sz w:val="18"/>
                <w:szCs w:val="18"/>
                <w:lang w:eastAsia="ja-JP"/>
              </w:rPr>
            </w:pPr>
            <w:r w:rsidRPr="005E6B7C">
              <w:rPr>
                <w:rFonts w:asciiTheme="majorHAnsi" w:eastAsia="Times New Roman" w:hAnsiTheme="majorHAnsi" w:cstheme="majorHAnsi"/>
                <w:i/>
                <w:iCs/>
                <w:color w:val="000000" w:themeColor="text1"/>
                <w:sz w:val="18"/>
                <w:szCs w:val="18"/>
                <w:lang w:eastAsia="ja-JP"/>
              </w:rPr>
              <w:sym w:font="Wingdings" w:char="F0FC"/>
            </w:r>
            <w:r w:rsidRPr="005E6B7C">
              <w:rPr>
                <w:rFonts w:asciiTheme="majorHAnsi" w:eastAsia="Times New Roman" w:hAnsiTheme="majorHAnsi" w:cstheme="majorHAnsi"/>
                <w:i/>
                <w:iCs/>
                <w:color w:val="000000" w:themeColor="text1"/>
                <w:sz w:val="18"/>
                <w:szCs w:val="18"/>
                <w:lang w:eastAsia="ja-JP"/>
              </w:rPr>
              <w:t xml:space="preserve"> criterion available, × criterion not available</w:t>
            </w:r>
            <w:r w:rsidR="005D308C" w:rsidRPr="005E6B7C">
              <w:rPr>
                <w:rFonts w:asciiTheme="majorHAnsi" w:eastAsia="Times New Roman" w:hAnsiTheme="majorHAnsi" w:cstheme="majorHAnsi"/>
                <w:i/>
                <w:iCs/>
                <w:color w:val="000000" w:themeColor="text1"/>
                <w:sz w:val="18"/>
                <w:szCs w:val="18"/>
                <w:lang w:eastAsia="ja-JP"/>
              </w:rPr>
              <w:t>.</w:t>
            </w:r>
          </w:p>
          <w:p w14:paraId="7568E34A" w14:textId="77777777" w:rsidR="005D308C" w:rsidRPr="005E6B7C" w:rsidRDefault="005D308C" w:rsidP="008C0D47">
            <w:pPr>
              <w:numPr>
                <w:ilvl w:val="0"/>
                <w:numId w:val="17"/>
              </w:numPr>
              <w:tabs>
                <w:tab w:val="left" w:pos="270"/>
                <w:tab w:val="left" w:pos="540"/>
                <w:tab w:val="left" w:pos="9270"/>
              </w:tabs>
              <w:ind w:left="0" w:right="-20"/>
              <w:jc w:val="both"/>
              <w:outlineLvl w:val="2"/>
              <w:rPr>
                <w:rFonts w:asciiTheme="majorHAnsi" w:eastAsia="Times New Roman" w:hAnsiTheme="majorHAnsi" w:cstheme="majorHAnsi"/>
                <w:b/>
                <w:color w:val="000000" w:themeColor="text1"/>
                <w:sz w:val="18"/>
                <w:szCs w:val="18"/>
                <w:lang w:eastAsia="ja-JP"/>
              </w:rPr>
            </w:pPr>
          </w:p>
        </w:tc>
      </w:tr>
    </w:tbl>
    <w:p w14:paraId="01C72F46" w14:textId="77777777" w:rsidR="00C644FB" w:rsidRPr="005E6B7C" w:rsidRDefault="00C644FB" w:rsidP="008C0D47">
      <w:pPr>
        <w:tabs>
          <w:tab w:val="left" w:pos="270"/>
          <w:tab w:val="left" w:pos="540"/>
          <w:tab w:val="left" w:pos="9270"/>
        </w:tabs>
        <w:ind w:right="-20"/>
        <w:jc w:val="both"/>
        <w:outlineLvl w:val="2"/>
        <w:rPr>
          <w:rFonts w:asciiTheme="majorHAnsi" w:eastAsia="Times New Roman" w:hAnsiTheme="majorHAnsi" w:cstheme="majorHAnsi"/>
          <w:b/>
          <w:color w:val="000000" w:themeColor="text1"/>
          <w:sz w:val="22"/>
          <w:szCs w:val="22"/>
          <w:lang w:eastAsia="ja-JP"/>
        </w:rPr>
      </w:pPr>
    </w:p>
    <w:p w14:paraId="516D3824" w14:textId="77777777" w:rsidR="006A6994" w:rsidRPr="005E6B7C" w:rsidRDefault="006A6994"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i/>
          <w:iCs/>
          <w:color w:val="000000" w:themeColor="text1"/>
          <w:sz w:val="22"/>
          <w:szCs w:val="22"/>
          <w:lang w:eastAsia="ja-JP"/>
        </w:rPr>
        <w:sectPr w:rsidR="006A6994" w:rsidRPr="005E6B7C" w:rsidSect="002206BB">
          <w:type w:val="continuous"/>
          <w:pgSz w:w="10773" w:h="15309" w:code="9"/>
          <w:pgMar w:top="907" w:right="851" w:bottom="1418" w:left="851" w:header="397" w:footer="851" w:gutter="0"/>
          <w:cols w:space="284"/>
          <w:docGrid w:linePitch="360"/>
        </w:sectPr>
      </w:pPr>
    </w:p>
    <w:p w14:paraId="660FA142" w14:textId="77777777" w:rsidR="00E049CB" w:rsidRPr="005E6B7C" w:rsidRDefault="00E049CB"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3.4</w:t>
      </w:r>
      <w:r w:rsidR="005D308C" w:rsidRPr="005E6B7C">
        <w:rPr>
          <w:rFonts w:asciiTheme="majorHAnsi" w:eastAsia="Times New Roman" w:hAnsiTheme="majorHAnsi" w:cstheme="majorHAnsi"/>
          <w:i/>
          <w:iCs/>
          <w:color w:val="000000" w:themeColor="text1"/>
          <w:sz w:val="22"/>
          <w:szCs w:val="22"/>
          <w:lang w:eastAsia="ja-JP"/>
        </w:rPr>
        <w:t xml:space="preserve">. </w:t>
      </w:r>
      <w:r w:rsidRPr="005E6B7C">
        <w:rPr>
          <w:rFonts w:asciiTheme="majorHAnsi" w:eastAsia="Times New Roman" w:hAnsiTheme="majorHAnsi" w:cstheme="majorHAnsi"/>
          <w:i/>
          <w:iCs/>
          <w:color w:val="000000" w:themeColor="text1"/>
          <w:sz w:val="22"/>
          <w:szCs w:val="22"/>
          <w:lang w:eastAsia="ja-JP"/>
        </w:rPr>
        <w:t>Utilizing the developed in-house standard for quality assessment of PS samples collected on the market</w:t>
      </w:r>
    </w:p>
    <w:p w14:paraId="00AA4C34" w14:textId="77777777" w:rsidR="006A6994"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developed in-house standard was applied </w:t>
      </w:r>
      <w:r w:rsidRPr="005E6B7C">
        <w:rPr>
          <w:rFonts w:asciiTheme="majorHAnsi" w:eastAsia="MS Mincho" w:hAnsiTheme="majorHAnsi" w:cstheme="majorHAnsi"/>
          <w:color w:val="000000" w:themeColor="text1"/>
          <w:sz w:val="22"/>
          <w:szCs w:val="22"/>
          <w:lang w:eastAsia="ja-JP"/>
        </w:rPr>
        <w:t>to evaluate the quality of several PS samples (TT1-TT4) collected on the market, and the results are presented in Table 8.</w:t>
      </w:r>
    </w:p>
    <w:p w14:paraId="203A1799"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sectPr w:rsidR="006A6994" w:rsidRPr="005E6B7C" w:rsidSect="006A6994">
          <w:type w:val="continuous"/>
          <w:pgSz w:w="10773" w:h="15309" w:code="9"/>
          <w:pgMar w:top="907" w:right="851" w:bottom="1418" w:left="851" w:header="397" w:footer="851" w:gutter="0"/>
          <w:cols w:num="2" w:space="284"/>
          <w:docGrid w:linePitch="360"/>
        </w:sectPr>
      </w:pPr>
    </w:p>
    <w:p w14:paraId="6FA7FE9B" w14:textId="77777777" w:rsidR="00E049CB" w:rsidRPr="005E6B7C" w:rsidRDefault="00E049CB" w:rsidP="008C0D47">
      <w:pPr>
        <w:tabs>
          <w:tab w:val="left" w:pos="270"/>
          <w:tab w:val="left" w:pos="540"/>
          <w:tab w:val="left" w:pos="9270"/>
        </w:tabs>
        <w:spacing w:before="120" w:after="120" w:line="240" w:lineRule="exact"/>
        <w:ind w:firstLine="284"/>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Table</w:t>
      </w:r>
      <w:r w:rsidR="00A661A1" w:rsidRPr="005E6B7C">
        <w:rPr>
          <w:rFonts w:asciiTheme="majorHAnsi" w:eastAsia="Calibri" w:hAnsiTheme="majorHAnsi" w:cstheme="majorHAnsi"/>
          <w:b/>
          <w:color w:val="000000" w:themeColor="text1"/>
          <w:kern w:val="2"/>
          <w:sz w:val="18"/>
          <w:szCs w:val="18"/>
          <w14:ligatures w14:val="standardContextual"/>
        </w:rPr>
        <w:t xml:space="preserve"> 8</w:t>
      </w:r>
      <w:r w:rsidRPr="005E6B7C">
        <w:rPr>
          <w:rFonts w:asciiTheme="majorHAnsi" w:eastAsia="Calibri" w:hAnsiTheme="majorHAnsi" w:cstheme="majorHAnsi"/>
          <w:b/>
          <w:color w:val="000000" w:themeColor="text1"/>
          <w:kern w:val="2"/>
          <w:sz w:val="18"/>
          <w:szCs w:val="18"/>
          <w14:ligatures w14:val="standardContextual"/>
        </w:rPr>
        <w:t xml:space="preserve">. </w:t>
      </w:r>
      <w:r w:rsidRPr="005E6B7C">
        <w:rPr>
          <w:rFonts w:asciiTheme="majorHAnsi" w:eastAsia="Calibri" w:hAnsiTheme="majorHAnsi" w:cstheme="majorHAnsi"/>
          <w:color w:val="000000" w:themeColor="text1"/>
          <w:kern w:val="2"/>
          <w:sz w:val="18"/>
          <w:szCs w:val="18"/>
          <w14:ligatures w14:val="standardContextual"/>
        </w:rPr>
        <w:t>Quality assessment results of several PS samples on the market</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7"/>
        <w:gridCol w:w="1999"/>
        <w:gridCol w:w="1857"/>
        <w:gridCol w:w="1864"/>
        <w:gridCol w:w="1815"/>
      </w:tblGrid>
      <w:tr w:rsidR="00E049CB" w:rsidRPr="005E6B7C" w14:paraId="3D34E4C9" w14:textId="77777777" w:rsidTr="006B6755">
        <w:trPr>
          <w:jc w:val="center"/>
        </w:trPr>
        <w:tc>
          <w:tcPr>
            <w:tcW w:w="1526" w:type="dxa"/>
            <w:vAlign w:val="center"/>
          </w:tcPr>
          <w:p w14:paraId="1ADF643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Samples</w:t>
            </w:r>
          </w:p>
        </w:tc>
        <w:tc>
          <w:tcPr>
            <w:tcW w:w="1984" w:type="dxa"/>
            <w:vAlign w:val="center"/>
          </w:tcPr>
          <w:p w14:paraId="0714D42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Water content (%)</w:t>
            </w:r>
          </w:p>
        </w:tc>
        <w:tc>
          <w:tcPr>
            <w:tcW w:w="1843" w:type="dxa"/>
            <w:vAlign w:val="center"/>
          </w:tcPr>
          <w:p w14:paraId="451A74F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Total ash (%)</w:t>
            </w:r>
          </w:p>
        </w:tc>
        <w:tc>
          <w:tcPr>
            <w:tcW w:w="1850" w:type="dxa"/>
            <w:vAlign w:val="center"/>
          </w:tcPr>
          <w:p w14:paraId="23050690" w14:textId="77777777" w:rsidR="00E049CB" w:rsidRPr="005E6B7C" w:rsidRDefault="00E049CB" w:rsidP="008C0D47">
            <w:pPr>
              <w:tabs>
                <w:tab w:val="left" w:pos="270"/>
                <w:tab w:val="left" w:pos="540"/>
                <w:tab w:val="left" w:pos="1302"/>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Acid-insoluble ash (%)</w:t>
            </w:r>
          </w:p>
        </w:tc>
        <w:tc>
          <w:tcPr>
            <w:tcW w:w="1801" w:type="dxa"/>
            <w:vAlign w:val="center"/>
          </w:tcPr>
          <w:p w14:paraId="12D980F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Identification</w:t>
            </w:r>
          </w:p>
        </w:tc>
      </w:tr>
      <w:tr w:rsidR="00E049CB" w:rsidRPr="005E6B7C" w14:paraId="7042B276" w14:textId="77777777" w:rsidTr="006B6755">
        <w:trPr>
          <w:jc w:val="center"/>
        </w:trPr>
        <w:tc>
          <w:tcPr>
            <w:tcW w:w="1526" w:type="dxa"/>
            <w:vAlign w:val="center"/>
          </w:tcPr>
          <w:p w14:paraId="3139CC2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TT1</w:t>
            </w:r>
          </w:p>
        </w:tc>
        <w:tc>
          <w:tcPr>
            <w:tcW w:w="1984" w:type="dxa"/>
            <w:vAlign w:val="center"/>
          </w:tcPr>
          <w:p w14:paraId="115B06C3" w14:textId="08DA41F8"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7.2</w:t>
            </w:r>
            <w:r w:rsidR="006F0463" w:rsidRPr="005E6B7C">
              <w:rPr>
                <w:rFonts w:asciiTheme="majorHAnsi" w:eastAsia="MS Mincho" w:hAnsiTheme="majorHAnsi" w:cstheme="majorHAnsi"/>
                <w:color w:val="000000" w:themeColor="text1"/>
                <w:sz w:val="18"/>
                <w:szCs w:val="18"/>
                <w:lang w:val="vi-VN" w:eastAsia="ja-JP"/>
              </w:rPr>
              <w:t xml:space="preserve"> </w:t>
            </w:r>
            <w:r w:rsidRPr="005E6B7C">
              <w:rPr>
                <w:rFonts w:asciiTheme="majorHAnsi" w:eastAsia="MS Mincho" w:hAnsiTheme="majorHAnsi" w:cstheme="majorHAnsi"/>
                <w:color w:val="000000" w:themeColor="text1"/>
                <w:sz w:val="18"/>
                <w:szCs w:val="18"/>
                <w:lang w:eastAsia="ja-JP"/>
              </w:rPr>
              <w:t xml:space="preserve"> ± 0.1</w:t>
            </w:r>
          </w:p>
        </w:tc>
        <w:tc>
          <w:tcPr>
            <w:tcW w:w="1843" w:type="dxa"/>
            <w:vAlign w:val="center"/>
          </w:tcPr>
          <w:p w14:paraId="6C1F189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8.5 ± 0.1</w:t>
            </w:r>
          </w:p>
        </w:tc>
        <w:tc>
          <w:tcPr>
            <w:tcW w:w="1850" w:type="dxa"/>
            <w:vAlign w:val="center"/>
          </w:tcPr>
          <w:p w14:paraId="7FFF4A12"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2.1 ± 0.1</w:t>
            </w:r>
          </w:p>
        </w:tc>
        <w:tc>
          <w:tcPr>
            <w:tcW w:w="1801" w:type="dxa"/>
            <w:vMerge w:val="restart"/>
            <w:vAlign w:val="center"/>
          </w:tcPr>
          <w:p w14:paraId="7FC9800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Conforms to the description (</w:t>
            </w:r>
            <w:r w:rsidR="00517F81" w:rsidRPr="005E6B7C">
              <w:rPr>
                <w:rFonts w:asciiTheme="majorHAnsi" w:eastAsia="MS Mincho" w:hAnsiTheme="majorHAnsi" w:cstheme="majorHAnsi"/>
                <w:color w:val="000000" w:themeColor="text1"/>
                <w:sz w:val="18"/>
                <w:szCs w:val="18"/>
                <w:lang w:eastAsia="ja-JP"/>
              </w:rPr>
              <w:t xml:space="preserve">Fig. </w:t>
            </w:r>
            <w:r w:rsidRPr="005E6B7C">
              <w:rPr>
                <w:rFonts w:asciiTheme="majorHAnsi" w:eastAsia="MS Mincho" w:hAnsiTheme="majorHAnsi" w:cstheme="majorHAnsi"/>
                <w:color w:val="000000" w:themeColor="text1"/>
                <w:sz w:val="18"/>
                <w:szCs w:val="18"/>
                <w:lang w:eastAsia="ja-JP"/>
              </w:rPr>
              <w:t>6)</w:t>
            </w:r>
          </w:p>
        </w:tc>
      </w:tr>
      <w:tr w:rsidR="00E049CB" w:rsidRPr="005E6B7C" w14:paraId="34956EA5" w14:textId="77777777" w:rsidTr="006B6755">
        <w:trPr>
          <w:jc w:val="center"/>
        </w:trPr>
        <w:tc>
          <w:tcPr>
            <w:tcW w:w="1526" w:type="dxa"/>
            <w:vAlign w:val="center"/>
          </w:tcPr>
          <w:p w14:paraId="49C5522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TT2</w:t>
            </w:r>
          </w:p>
        </w:tc>
        <w:tc>
          <w:tcPr>
            <w:tcW w:w="1984" w:type="dxa"/>
            <w:vAlign w:val="center"/>
          </w:tcPr>
          <w:p w14:paraId="31EE652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11.3 ± 0.1</w:t>
            </w:r>
          </w:p>
        </w:tc>
        <w:tc>
          <w:tcPr>
            <w:tcW w:w="1843" w:type="dxa"/>
            <w:vAlign w:val="center"/>
          </w:tcPr>
          <w:p w14:paraId="21AC97F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8.1 ± 0.1</w:t>
            </w:r>
          </w:p>
        </w:tc>
        <w:tc>
          <w:tcPr>
            <w:tcW w:w="1850" w:type="dxa"/>
            <w:vAlign w:val="center"/>
          </w:tcPr>
          <w:p w14:paraId="754DA02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1.9 ± 0.1</w:t>
            </w:r>
          </w:p>
        </w:tc>
        <w:tc>
          <w:tcPr>
            <w:tcW w:w="1801" w:type="dxa"/>
            <w:vMerge/>
          </w:tcPr>
          <w:p w14:paraId="3E072EA6"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p>
        </w:tc>
      </w:tr>
      <w:tr w:rsidR="00E049CB" w:rsidRPr="005E6B7C" w14:paraId="5B2308C5" w14:textId="77777777" w:rsidTr="006B6755">
        <w:trPr>
          <w:jc w:val="center"/>
        </w:trPr>
        <w:tc>
          <w:tcPr>
            <w:tcW w:w="1526" w:type="dxa"/>
            <w:vAlign w:val="center"/>
          </w:tcPr>
          <w:p w14:paraId="63C28FB3"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TT3</w:t>
            </w:r>
          </w:p>
        </w:tc>
        <w:tc>
          <w:tcPr>
            <w:tcW w:w="1984" w:type="dxa"/>
            <w:vAlign w:val="center"/>
          </w:tcPr>
          <w:p w14:paraId="3A0FA51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9.4 ± 0.1</w:t>
            </w:r>
          </w:p>
        </w:tc>
        <w:tc>
          <w:tcPr>
            <w:tcW w:w="1843" w:type="dxa"/>
            <w:vAlign w:val="center"/>
          </w:tcPr>
          <w:p w14:paraId="053E104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7.4 ± 0.1</w:t>
            </w:r>
          </w:p>
        </w:tc>
        <w:tc>
          <w:tcPr>
            <w:tcW w:w="1850" w:type="dxa"/>
            <w:vAlign w:val="center"/>
          </w:tcPr>
          <w:p w14:paraId="3902EC8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1.6 ± 0.0</w:t>
            </w:r>
          </w:p>
        </w:tc>
        <w:tc>
          <w:tcPr>
            <w:tcW w:w="1801" w:type="dxa"/>
            <w:vMerge/>
          </w:tcPr>
          <w:p w14:paraId="4038B921"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p>
        </w:tc>
      </w:tr>
      <w:tr w:rsidR="00E049CB" w:rsidRPr="005E6B7C" w14:paraId="57A8CD31" w14:textId="77777777" w:rsidTr="006B6755">
        <w:trPr>
          <w:jc w:val="center"/>
        </w:trPr>
        <w:tc>
          <w:tcPr>
            <w:tcW w:w="1526" w:type="dxa"/>
            <w:vAlign w:val="center"/>
          </w:tcPr>
          <w:p w14:paraId="6A1448F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TT4</w:t>
            </w:r>
          </w:p>
        </w:tc>
        <w:tc>
          <w:tcPr>
            <w:tcW w:w="1984" w:type="dxa"/>
            <w:vAlign w:val="center"/>
          </w:tcPr>
          <w:p w14:paraId="27408FB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11.1 ± 0.1</w:t>
            </w:r>
          </w:p>
        </w:tc>
        <w:tc>
          <w:tcPr>
            <w:tcW w:w="1843" w:type="dxa"/>
            <w:vAlign w:val="center"/>
          </w:tcPr>
          <w:p w14:paraId="72D7153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5.4 ± 0.1</w:t>
            </w:r>
          </w:p>
        </w:tc>
        <w:tc>
          <w:tcPr>
            <w:tcW w:w="1850" w:type="dxa"/>
            <w:vAlign w:val="center"/>
          </w:tcPr>
          <w:p w14:paraId="405674E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1.2 ± 0.1</w:t>
            </w:r>
          </w:p>
        </w:tc>
        <w:tc>
          <w:tcPr>
            <w:tcW w:w="1801" w:type="dxa"/>
            <w:vMerge/>
          </w:tcPr>
          <w:p w14:paraId="4FCF1D6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p>
        </w:tc>
      </w:tr>
      <w:tr w:rsidR="00E049CB" w:rsidRPr="005E6B7C" w14:paraId="4F3CF267" w14:textId="77777777" w:rsidTr="006B6755">
        <w:trPr>
          <w:jc w:val="center"/>
        </w:trPr>
        <w:tc>
          <w:tcPr>
            <w:tcW w:w="1526" w:type="dxa"/>
            <w:vMerge w:val="restart"/>
            <w:vAlign w:val="center"/>
          </w:tcPr>
          <w:p w14:paraId="01D4AE8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984" w:type="dxa"/>
            <w:vMerge w:val="restart"/>
            <w:vAlign w:val="center"/>
          </w:tcPr>
          <w:p w14:paraId="5738A086"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Quantification</w:t>
            </w:r>
          </w:p>
          <w:p w14:paraId="32731DF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RA content (%)</w:t>
            </w:r>
          </w:p>
        </w:tc>
        <w:tc>
          <w:tcPr>
            <w:tcW w:w="1843" w:type="dxa"/>
            <w:vMerge w:val="restart"/>
            <w:vAlign w:val="center"/>
          </w:tcPr>
          <w:p w14:paraId="0551125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Extractives (%)</w:t>
            </w:r>
          </w:p>
        </w:tc>
        <w:tc>
          <w:tcPr>
            <w:tcW w:w="3651" w:type="dxa"/>
            <w:gridSpan w:val="2"/>
            <w:vAlign w:val="center"/>
          </w:tcPr>
          <w:p w14:paraId="1239D21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Foreign matter</w:t>
            </w:r>
          </w:p>
        </w:tc>
      </w:tr>
      <w:tr w:rsidR="00E049CB" w:rsidRPr="005E6B7C" w14:paraId="56FA916E" w14:textId="77777777" w:rsidTr="006B6755">
        <w:trPr>
          <w:jc w:val="center"/>
        </w:trPr>
        <w:tc>
          <w:tcPr>
            <w:tcW w:w="1526" w:type="dxa"/>
            <w:vMerge/>
            <w:vAlign w:val="center"/>
          </w:tcPr>
          <w:p w14:paraId="702C288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984" w:type="dxa"/>
            <w:vMerge/>
            <w:vAlign w:val="center"/>
          </w:tcPr>
          <w:p w14:paraId="691C2F2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843" w:type="dxa"/>
            <w:vMerge/>
            <w:vAlign w:val="center"/>
          </w:tcPr>
          <w:p w14:paraId="79495F6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p>
        </w:tc>
        <w:tc>
          <w:tcPr>
            <w:tcW w:w="1850" w:type="dxa"/>
            <w:vAlign w:val="center"/>
          </w:tcPr>
          <w:p w14:paraId="0EDDDEC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Stems (%)</w:t>
            </w:r>
          </w:p>
        </w:tc>
        <w:tc>
          <w:tcPr>
            <w:tcW w:w="1801" w:type="dxa"/>
            <w:vAlign w:val="center"/>
          </w:tcPr>
          <w:p w14:paraId="70B7D1D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Other (%)</w:t>
            </w:r>
          </w:p>
        </w:tc>
      </w:tr>
      <w:tr w:rsidR="00E049CB" w:rsidRPr="005E6B7C" w14:paraId="155F81A8" w14:textId="77777777" w:rsidTr="006B6755">
        <w:trPr>
          <w:jc w:val="center"/>
        </w:trPr>
        <w:tc>
          <w:tcPr>
            <w:tcW w:w="1526" w:type="dxa"/>
            <w:vAlign w:val="center"/>
          </w:tcPr>
          <w:p w14:paraId="65A9FEE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TT1</w:t>
            </w:r>
          </w:p>
        </w:tc>
        <w:tc>
          <w:tcPr>
            <w:tcW w:w="1984" w:type="dxa"/>
            <w:vAlign w:val="center"/>
          </w:tcPr>
          <w:p w14:paraId="45A4CAD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0.42 ± 0.01</w:t>
            </w:r>
          </w:p>
        </w:tc>
        <w:tc>
          <w:tcPr>
            <w:tcW w:w="1843" w:type="dxa"/>
            <w:vAlign w:val="center"/>
          </w:tcPr>
          <w:p w14:paraId="5E07968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5.8 ± 0.1</w:t>
            </w:r>
          </w:p>
        </w:tc>
        <w:tc>
          <w:tcPr>
            <w:tcW w:w="1850" w:type="dxa"/>
            <w:vAlign w:val="center"/>
          </w:tcPr>
          <w:p w14:paraId="6426270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3.3 ± 0.2</w:t>
            </w:r>
          </w:p>
        </w:tc>
        <w:tc>
          <w:tcPr>
            <w:tcW w:w="1801" w:type="dxa"/>
            <w:vAlign w:val="center"/>
          </w:tcPr>
          <w:p w14:paraId="26B553E0"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0.6 ± 0.1</w:t>
            </w:r>
          </w:p>
        </w:tc>
      </w:tr>
      <w:tr w:rsidR="00E049CB" w:rsidRPr="005E6B7C" w14:paraId="729E1D7B" w14:textId="77777777" w:rsidTr="006B6755">
        <w:trPr>
          <w:jc w:val="center"/>
        </w:trPr>
        <w:tc>
          <w:tcPr>
            <w:tcW w:w="1526" w:type="dxa"/>
            <w:vAlign w:val="center"/>
          </w:tcPr>
          <w:p w14:paraId="0BFDD63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TT2</w:t>
            </w:r>
          </w:p>
        </w:tc>
        <w:tc>
          <w:tcPr>
            <w:tcW w:w="1984" w:type="dxa"/>
            <w:vAlign w:val="center"/>
          </w:tcPr>
          <w:p w14:paraId="24108B39"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0.83 ± 0.03</w:t>
            </w:r>
          </w:p>
        </w:tc>
        <w:tc>
          <w:tcPr>
            <w:tcW w:w="1843" w:type="dxa"/>
            <w:vAlign w:val="center"/>
          </w:tcPr>
          <w:p w14:paraId="29B9D1D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7.7 ± 0.2</w:t>
            </w:r>
          </w:p>
        </w:tc>
        <w:tc>
          <w:tcPr>
            <w:tcW w:w="1850" w:type="dxa"/>
            <w:vAlign w:val="center"/>
          </w:tcPr>
          <w:p w14:paraId="58B4E20D"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2.6 ± 0.1</w:t>
            </w:r>
          </w:p>
        </w:tc>
        <w:tc>
          <w:tcPr>
            <w:tcW w:w="1801" w:type="dxa"/>
            <w:vAlign w:val="center"/>
          </w:tcPr>
          <w:p w14:paraId="2E50F39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0.3 ± 0.1</w:t>
            </w:r>
          </w:p>
        </w:tc>
      </w:tr>
      <w:tr w:rsidR="00E049CB" w:rsidRPr="005E6B7C" w14:paraId="5D8EBAFD" w14:textId="77777777" w:rsidTr="006B6755">
        <w:trPr>
          <w:jc w:val="center"/>
        </w:trPr>
        <w:tc>
          <w:tcPr>
            <w:tcW w:w="1526" w:type="dxa"/>
            <w:vAlign w:val="center"/>
          </w:tcPr>
          <w:p w14:paraId="36DDDCEA"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TT3</w:t>
            </w:r>
          </w:p>
        </w:tc>
        <w:tc>
          <w:tcPr>
            <w:tcW w:w="1984" w:type="dxa"/>
            <w:vAlign w:val="center"/>
          </w:tcPr>
          <w:p w14:paraId="7870BFC4"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0.53 ± 0.00</w:t>
            </w:r>
          </w:p>
        </w:tc>
        <w:tc>
          <w:tcPr>
            <w:tcW w:w="1843" w:type="dxa"/>
            <w:vAlign w:val="center"/>
          </w:tcPr>
          <w:p w14:paraId="1879BC57"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10.2 ± 0.1</w:t>
            </w:r>
          </w:p>
        </w:tc>
        <w:tc>
          <w:tcPr>
            <w:tcW w:w="1850" w:type="dxa"/>
            <w:vAlign w:val="center"/>
          </w:tcPr>
          <w:p w14:paraId="113B0C15"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2.9 ± 0.1</w:t>
            </w:r>
          </w:p>
        </w:tc>
        <w:tc>
          <w:tcPr>
            <w:tcW w:w="1801" w:type="dxa"/>
            <w:vAlign w:val="center"/>
          </w:tcPr>
          <w:p w14:paraId="214B3721"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0.6 ± 0.3</w:t>
            </w:r>
          </w:p>
        </w:tc>
      </w:tr>
      <w:tr w:rsidR="00E049CB" w:rsidRPr="005E6B7C" w14:paraId="15A8FA6B" w14:textId="77777777" w:rsidTr="006B6755">
        <w:trPr>
          <w:jc w:val="center"/>
        </w:trPr>
        <w:tc>
          <w:tcPr>
            <w:tcW w:w="1526" w:type="dxa"/>
            <w:vAlign w:val="center"/>
          </w:tcPr>
          <w:p w14:paraId="47A8591F"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b/>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TT4</w:t>
            </w:r>
          </w:p>
        </w:tc>
        <w:tc>
          <w:tcPr>
            <w:tcW w:w="1984" w:type="dxa"/>
            <w:vAlign w:val="center"/>
          </w:tcPr>
          <w:p w14:paraId="206FD29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0.81 ± 0.02</w:t>
            </w:r>
          </w:p>
        </w:tc>
        <w:tc>
          <w:tcPr>
            <w:tcW w:w="1843" w:type="dxa"/>
            <w:vAlign w:val="center"/>
          </w:tcPr>
          <w:p w14:paraId="7CEF3DB3"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11.6 ± 0.1</w:t>
            </w:r>
          </w:p>
        </w:tc>
        <w:tc>
          <w:tcPr>
            <w:tcW w:w="1850" w:type="dxa"/>
            <w:vAlign w:val="center"/>
          </w:tcPr>
          <w:p w14:paraId="011F017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1.5 ± 0.1</w:t>
            </w:r>
          </w:p>
        </w:tc>
        <w:tc>
          <w:tcPr>
            <w:tcW w:w="1801" w:type="dxa"/>
            <w:vAlign w:val="center"/>
          </w:tcPr>
          <w:p w14:paraId="1D886C21"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color w:val="000000" w:themeColor="text1"/>
                <w:sz w:val="18"/>
                <w:szCs w:val="18"/>
                <w:lang w:eastAsia="ja-JP"/>
              </w:rPr>
              <w:t>0.4 ± 0.1</w:t>
            </w:r>
          </w:p>
        </w:tc>
      </w:tr>
    </w:tbl>
    <w:p w14:paraId="0E9BA457" w14:textId="77777777" w:rsidR="00E049CB" w:rsidRPr="005E6B7C" w:rsidRDefault="00E049CB" w:rsidP="008C0D47">
      <w:pPr>
        <w:tabs>
          <w:tab w:val="left" w:pos="270"/>
          <w:tab w:val="left" w:pos="540"/>
          <w:tab w:val="left" w:pos="9270"/>
        </w:tabs>
        <w:ind w:right="-20"/>
        <w:jc w:val="both"/>
        <w:rPr>
          <w:rFonts w:asciiTheme="majorHAnsi" w:eastAsia="MS Mincho" w:hAnsiTheme="majorHAnsi" w:cstheme="majorHAnsi"/>
          <w:noProof/>
          <w:color w:val="000000" w:themeColor="text1"/>
          <w:sz w:val="22"/>
          <w:szCs w:val="22"/>
          <w:lang w:eastAsia="ja-JP"/>
        </w:rPr>
      </w:pPr>
    </w:p>
    <w:p w14:paraId="03FC680D" w14:textId="77777777" w:rsidR="006A6994" w:rsidRPr="005E6B7C" w:rsidRDefault="006A6994"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sectPr w:rsidR="006A6994" w:rsidRPr="005E6B7C" w:rsidSect="002206BB">
          <w:type w:val="continuous"/>
          <w:pgSz w:w="10773" w:h="15309" w:code="9"/>
          <w:pgMar w:top="907" w:right="851" w:bottom="1418" w:left="851" w:header="397" w:footer="851" w:gutter="0"/>
          <w:cols w:space="284"/>
          <w:docGrid w:linePitch="360"/>
        </w:sectPr>
      </w:pPr>
    </w:p>
    <w:p w14:paraId="05306CAB"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noProof/>
          <w:color w:val="000000" w:themeColor="text1"/>
          <w:sz w:val="22"/>
          <w:szCs w:val="22"/>
        </w:rPr>
        <w:drawing>
          <wp:inline distT="0" distB="0" distL="0" distR="0" wp14:anchorId="0D62B9A5" wp14:editId="1F789E99">
            <wp:extent cx="2414016" cy="2177979"/>
            <wp:effectExtent l="0" t="0" r="5715" b="0"/>
            <wp:docPr id="323080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lum bright="10000"/>
                      <a:extLst>
                        <a:ext uri="{BEBA8EAE-BF5A-486C-A8C5-ECC9F3942E4B}">
                          <a14:imgProps xmlns:a14="http://schemas.microsoft.com/office/drawing/2010/main">
                            <a14:imgLayer r:embed="rId7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16300" cy="2180040"/>
                    </a:xfrm>
                    <a:prstGeom prst="rect">
                      <a:avLst/>
                    </a:prstGeom>
                    <a:noFill/>
                    <a:ln>
                      <a:noFill/>
                    </a:ln>
                  </pic:spPr>
                </pic:pic>
              </a:graphicData>
            </a:graphic>
          </wp:inline>
        </w:drawing>
      </w:r>
    </w:p>
    <w:p w14:paraId="2DC57EDA"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
          <w:color w:val="000000" w:themeColor="text1"/>
          <w:kern w:val="2"/>
          <w:sz w:val="18"/>
          <w:szCs w:val="18"/>
          <w14:ligatures w14:val="standardContextual"/>
        </w:rPr>
      </w:pPr>
      <w:r w:rsidRPr="005E6B7C">
        <w:rPr>
          <w:rFonts w:asciiTheme="majorHAnsi" w:eastAsia="Calibri" w:hAnsiTheme="majorHAnsi" w:cstheme="majorHAnsi"/>
          <w:b/>
          <w:color w:val="000000" w:themeColor="text1"/>
          <w:kern w:val="2"/>
          <w:sz w:val="18"/>
          <w:szCs w:val="18"/>
          <w14:ligatures w14:val="standardContextual"/>
        </w:rPr>
        <w:t>Fig.</w:t>
      </w:r>
      <w:r w:rsidR="00A661A1" w:rsidRPr="005E6B7C">
        <w:rPr>
          <w:rFonts w:asciiTheme="majorHAnsi" w:eastAsia="Calibri" w:hAnsiTheme="majorHAnsi" w:cstheme="majorHAnsi"/>
          <w:b/>
          <w:color w:val="000000" w:themeColor="text1"/>
          <w:kern w:val="2"/>
          <w:sz w:val="18"/>
          <w:szCs w:val="18"/>
          <w14:ligatures w14:val="standardContextual"/>
        </w:rPr>
        <w:t xml:space="preserve"> 6</w:t>
      </w:r>
      <w:r w:rsidR="00E049CB" w:rsidRPr="005E6B7C">
        <w:rPr>
          <w:rFonts w:asciiTheme="majorHAnsi" w:eastAsia="Calibri" w:hAnsiTheme="majorHAnsi" w:cstheme="majorHAnsi"/>
          <w:b/>
          <w:color w:val="000000" w:themeColor="text1"/>
          <w:kern w:val="2"/>
          <w:sz w:val="18"/>
          <w:szCs w:val="18"/>
          <w14:ligatures w14:val="standardContextual"/>
        </w:rPr>
        <w:t xml:space="preserve">. </w:t>
      </w:r>
      <w:r w:rsidR="00E049CB" w:rsidRPr="005E6B7C">
        <w:rPr>
          <w:rFonts w:asciiTheme="majorHAnsi" w:eastAsia="Calibri" w:hAnsiTheme="majorHAnsi" w:cstheme="majorHAnsi"/>
          <w:bCs/>
          <w:color w:val="000000" w:themeColor="text1"/>
          <w:kern w:val="2"/>
          <w:sz w:val="18"/>
          <w:szCs w:val="18"/>
          <w14:ligatures w14:val="standardContextual"/>
        </w:rPr>
        <w:t xml:space="preserve">TLC chromatograms for the identification </w:t>
      </w:r>
      <w:r w:rsidR="006A6994" w:rsidRPr="005E6B7C">
        <w:rPr>
          <w:rFonts w:asciiTheme="majorHAnsi" w:eastAsia="Calibri" w:hAnsiTheme="majorHAnsi" w:cstheme="majorHAnsi"/>
          <w:bCs/>
          <w:color w:val="000000" w:themeColor="text1"/>
          <w:kern w:val="2"/>
          <w:sz w:val="18"/>
          <w:szCs w:val="18"/>
          <w14:ligatures w14:val="standardContextual"/>
        </w:rPr>
        <w:br/>
      </w:r>
      <w:r w:rsidR="00E049CB" w:rsidRPr="005E6B7C">
        <w:rPr>
          <w:rFonts w:asciiTheme="majorHAnsi" w:eastAsia="Calibri" w:hAnsiTheme="majorHAnsi" w:cstheme="majorHAnsi"/>
          <w:bCs/>
          <w:color w:val="000000" w:themeColor="text1"/>
          <w:kern w:val="2"/>
          <w:sz w:val="18"/>
          <w:szCs w:val="18"/>
          <w14:ligatures w14:val="standardContextual"/>
        </w:rPr>
        <w:t>of PS samples (TT1–TT4)</w:t>
      </w:r>
    </w:p>
    <w:p w14:paraId="0CA03F29" w14:textId="77777777" w:rsidR="00E049CB" w:rsidRPr="005E6B7C" w:rsidRDefault="00E049CB" w:rsidP="008C0D47">
      <w:pPr>
        <w:tabs>
          <w:tab w:val="left" w:pos="270"/>
          <w:tab w:val="left" w:pos="540"/>
          <w:tab w:val="left" w:pos="9270"/>
        </w:tabs>
        <w:ind w:right="-20"/>
        <w:jc w:val="center"/>
        <w:rPr>
          <w:rFonts w:asciiTheme="majorHAnsi" w:eastAsia="MS Mincho" w:hAnsiTheme="majorHAnsi" w:cstheme="majorHAnsi"/>
          <w:i/>
          <w:color w:val="000000" w:themeColor="text1"/>
          <w:sz w:val="18"/>
          <w:szCs w:val="18"/>
          <w:lang w:eastAsia="ja-JP"/>
        </w:rPr>
      </w:pPr>
      <w:r w:rsidRPr="005E6B7C">
        <w:rPr>
          <w:rFonts w:asciiTheme="majorHAnsi" w:eastAsia="MS Mincho" w:hAnsiTheme="majorHAnsi" w:cstheme="majorHAnsi"/>
          <w:i/>
          <w:color w:val="000000" w:themeColor="text1"/>
          <w:sz w:val="18"/>
          <w:szCs w:val="18"/>
          <w:lang w:eastAsia="ja-JP"/>
        </w:rPr>
        <w:t>UA: ursolic acid; RA: rosmarinic acid; TT1-TT4: sample TT1-TT4; DL: Prunellae spica reference medicinal material</w:t>
      </w:r>
    </w:p>
    <w:p w14:paraId="7AA3CE70" w14:textId="77777777" w:rsidR="00EC45B5" w:rsidRPr="005E6B7C" w:rsidRDefault="00EC45B5" w:rsidP="008C0D47">
      <w:pPr>
        <w:tabs>
          <w:tab w:val="left" w:pos="270"/>
          <w:tab w:val="left" w:pos="540"/>
          <w:tab w:val="left" w:pos="9270"/>
        </w:tabs>
        <w:ind w:right="-20"/>
        <w:jc w:val="both"/>
        <w:rPr>
          <w:rFonts w:asciiTheme="majorHAnsi" w:eastAsia="MS Mincho" w:hAnsiTheme="majorHAnsi" w:cstheme="majorHAnsi"/>
          <w:color w:val="000000" w:themeColor="text1"/>
          <w:sz w:val="22"/>
          <w:szCs w:val="22"/>
          <w:lang w:eastAsia="ja-JP"/>
        </w:rPr>
      </w:pPr>
    </w:p>
    <w:p w14:paraId="79338C4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Descriptions of the medicinal herbs and </w:t>
      </w:r>
      <w:r w:rsidRPr="005E6B7C">
        <w:rPr>
          <w:rFonts w:asciiTheme="majorHAnsi" w:eastAsia="MS Mincho" w:hAnsiTheme="majorHAnsi" w:cstheme="majorHAnsi"/>
          <w:color w:val="000000" w:themeColor="text1"/>
          <w:sz w:val="22"/>
          <w:szCs w:val="22"/>
          <w:lang w:eastAsia="ja-JP"/>
        </w:rPr>
        <w:t>powders from the four samples exhibited the morphological and microscopic characteristics described in Section 3.4. Sample TT1 showed the lowest ethanol-soluble extractive value (5.8% in 96% ethanol), which did not comply with the specified limit. In contrast, samples TT2, TT3, and TT4 met the extractive criterion, ranging from 7.7% to 11.6%. The RA content of all samples met both the in-house standard and the CP (2020) requirements, ranging from 0.42% to 0.83%. Overall, all four samples (TT1–TT4) satisfied the specifications of the developed in-house standard with respect to description, powder, water content, total ash, acid-insoluble ash, qualitative and quantitative identification, and foreign matter.</w:t>
      </w:r>
    </w:p>
    <w:p w14:paraId="499912C0" w14:textId="77777777" w:rsidR="00E049CB" w:rsidRPr="005E6B7C" w:rsidRDefault="00E049CB" w:rsidP="008C0D47">
      <w:pPr>
        <w:tabs>
          <w:tab w:val="left" w:pos="270"/>
          <w:tab w:val="left" w:pos="540"/>
          <w:tab w:val="left" w:pos="9270"/>
        </w:tabs>
        <w:spacing w:line="240" w:lineRule="exact"/>
        <w:ind w:firstLine="284"/>
        <w:jc w:val="both"/>
        <w:outlineLvl w:val="2"/>
        <w:rPr>
          <w:rFonts w:asciiTheme="majorHAnsi" w:eastAsia="Times New Roman" w:hAnsiTheme="majorHAnsi" w:cstheme="majorHAnsi"/>
          <w:b/>
          <w:i/>
          <w:iCs/>
          <w:color w:val="000000" w:themeColor="text1"/>
          <w:sz w:val="22"/>
          <w:szCs w:val="22"/>
          <w:lang w:eastAsia="ja-JP"/>
        </w:rPr>
      </w:pPr>
      <w:r w:rsidRPr="005E6B7C">
        <w:rPr>
          <w:rFonts w:asciiTheme="majorHAnsi" w:eastAsia="Times New Roman" w:hAnsiTheme="majorHAnsi" w:cstheme="majorHAnsi"/>
          <w:i/>
          <w:iCs/>
          <w:color w:val="000000" w:themeColor="text1"/>
          <w:sz w:val="22"/>
          <w:szCs w:val="22"/>
          <w:lang w:eastAsia="ja-JP"/>
        </w:rPr>
        <w:t>3.7. Discussion</w:t>
      </w:r>
    </w:p>
    <w:p w14:paraId="107127F2"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results for description, powder, water content, total ash, foreign matter, acid-insoluble ash, extractives, and identification by chemical reactions complied with the requirements </w:t>
      </w:r>
      <w:r w:rsidRPr="005E6B7C">
        <w:rPr>
          <w:rFonts w:asciiTheme="majorHAnsi" w:eastAsia="MS Mincho" w:hAnsiTheme="majorHAnsi" w:cstheme="majorHAnsi"/>
          <w:color w:val="000000" w:themeColor="text1"/>
          <w:sz w:val="22"/>
          <w:szCs w:val="22"/>
          <w:lang w:eastAsia="ja-JP"/>
        </w:rPr>
        <w:lastRenderedPageBreak/>
        <w:t xml:space="preserve">specified in the </w:t>
      </w:r>
      <w:r w:rsidRPr="005E6B7C">
        <w:rPr>
          <w:rFonts w:asciiTheme="majorHAnsi" w:eastAsia="MS Mincho" w:hAnsiTheme="majorHAnsi" w:cstheme="majorHAnsi"/>
          <w:i/>
          <w:iCs/>
          <w:color w:val="000000" w:themeColor="text1"/>
          <w:sz w:val="22"/>
          <w:szCs w:val="22"/>
          <w:lang w:eastAsia="ja-JP"/>
        </w:rPr>
        <w:t>PS</w:t>
      </w:r>
      <w:r w:rsidRPr="005E6B7C">
        <w:rPr>
          <w:rFonts w:asciiTheme="majorHAnsi" w:eastAsia="MS Mincho" w:hAnsiTheme="majorHAnsi" w:cstheme="majorHAnsi"/>
          <w:color w:val="000000" w:themeColor="text1"/>
          <w:sz w:val="22"/>
          <w:szCs w:val="22"/>
          <w:lang w:eastAsia="ja-JP"/>
        </w:rPr>
        <w:t xml:space="preserve"> monograph of the VP V. The VP V monograph does not include any marker compounds for either qualitative or quantitative analysis. In comparison, RA is used as a quality control marker for </w:t>
      </w:r>
      <w:r w:rsidRPr="005E6B7C">
        <w:rPr>
          <w:rFonts w:asciiTheme="majorHAnsi" w:eastAsia="MS Mincho" w:hAnsiTheme="majorHAnsi" w:cstheme="majorHAnsi"/>
          <w:i/>
          <w:iCs/>
          <w:color w:val="000000" w:themeColor="text1"/>
          <w:sz w:val="22"/>
          <w:szCs w:val="22"/>
          <w:lang w:eastAsia="ja-JP"/>
        </w:rPr>
        <w:t>PS</w:t>
      </w:r>
      <w:r w:rsidRPr="005E6B7C">
        <w:rPr>
          <w:rFonts w:asciiTheme="majorHAnsi" w:eastAsia="MS Mincho" w:hAnsiTheme="majorHAnsi" w:cstheme="majorHAnsi"/>
          <w:color w:val="000000" w:themeColor="text1"/>
          <w:sz w:val="22"/>
          <w:szCs w:val="22"/>
          <w:lang w:eastAsia="ja-JP"/>
        </w:rPr>
        <w:t xml:space="preserve"> in the CP (2020), while UA serves as a marker in the EP. In this study, both compounds were simultaneously examined to enhance the analytical scope of the in-house standard. However, due to the poor UV absorption of UA, only RA was quantified in accordance with the CP (2020) method, and UA was employed as a qualitative marker in the standard.</w:t>
      </w:r>
    </w:p>
    <w:p w14:paraId="60161A5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Quantitative analysis of both research and market samples revealed a wide variation in RA content (0.172% – 0.860%), which is consistent with previously reported studies. Several investigations worldwide have determined the RA content in PS mainly using HPLC. Liu et al. (2014) reported that RA content in 14 samples collected from different regions in China ranged from 0.0423 mg/g to 0.5687 mg/g </w:t>
      </w:r>
      <w:r w:rsidRPr="005E6B7C">
        <w:rPr>
          <w:rFonts w:asciiTheme="majorHAnsi" w:eastAsia="MS Mincho" w:hAnsiTheme="majorHAnsi" w:cstheme="majorHAnsi"/>
          <w:color w:val="000000" w:themeColor="text1"/>
          <w:sz w:val="22"/>
          <w:szCs w:val="22"/>
          <w:lang w:val="vi-VN" w:eastAsia="ja-JP"/>
        </w:rPr>
        <w:fldChar w:fldCharType="begin"/>
      </w:r>
      <w:r w:rsidRPr="005E6B7C">
        <w:rPr>
          <w:rFonts w:asciiTheme="majorHAnsi" w:eastAsia="MS Mincho" w:hAnsiTheme="majorHAnsi" w:cstheme="majorHAnsi"/>
          <w:color w:val="000000" w:themeColor="text1"/>
          <w:sz w:val="22"/>
          <w:szCs w:val="22"/>
          <w:lang w:val="vi-VN" w:eastAsia="ja-JP"/>
        </w:rPr>
        <w:instrText xml:space="preserve"> ADDIN EN.CITE &lt;EndNote&gt;&lt;Cite&gt;&lt;Author&gt;Liu&lt;/Author&gt;&lt;Year&gt;2014&lt;/Year&gt;&lt;RecNum&gt;27&lt;/RecNum&gt;&lt;DisplayText&gt;[10]&lt;/DisplayText&gt;&lt;record&gt;&lt;rec-number&gt;27&lt;/rec-number&gt;&lt;foreign-keys&gt;&lt;key app="EN" db-id="dfdss00foa0rwcezdpapfex79erpx2ar500s" timestamp="1760067048"&gt;27&lt;/key&gt;&lt;/foreign-keys&gt;&lt;ref-type name="Journal Article"&gt;17&lt;/ref-type&gt;&lt;contributors&gt;&lt;authors&gt;&lt;author&gt;Liu, J., Feng, L., Gu, J., Wang, R., Zhang, M., Jiang, J., Qin, D., Jia, X., Chen, Y., Chen, S. and Sataer, R., &lt;/author&gt;&lt;/authors&gt;&lt;/contributors&gt;&lt;titles&gt;&lt;title&gt;Simultaneous determination of ten characteristic antioxidant compounds for inhibiting cancer cell proliferation in Prunella vulgaris L. from different regions using HPLC-UV coupled with MS identification&lt;/title&gt;&lt;secondary-title&gt;Analytical Methods&lt;/secondary-title&gt;&lt;/titles&gt;&lt;periodical&gt;&lt;full-title&gt;Analytical Methods&lt;/full-title&gt;&lt;/periodical&gt;&lt;pages&gt;3139-3146&lt;/pages&gt;&lt;volume&gt;6&lt;/volume&gt;&lt;number&gt;9&lt;/number&gt;&lt;dates&gt;&lt;year&gt;2014&lt;/year&gt;&lt;/dates&gt;&lt;urls&gt;&lt;/urls&gt;&lt;/record&gt;&lt;/Cite&gt;&lt;/EndNote&gt;</w:instrText>
      </w:r>
      <w:r w:rsidRPr="005E6B7C">
        <w:rPr>
          <w:rFonts w:asciiTheme="majorHAnsi" w:eastAsia="MS Mincho" w:hAnsiTheme="majorHAnsi" w:cstheme="majorHAnsi"/>
          <w:color w:val="000000" w:themeColor="text1"/>
          <w:sz w:val="22"/>
          <w:szCs w:val="22"/>
          <w:lang w:val="vi-VN" w:eastAsia="ja-JP"/>
        </w:rPr>
        <w:fldChar w:fldCharType="separate"/>
      </w:r>
      <w:r w:rsidRPr="005E6B7C">
        <w:rPr>
          <w:rFonts w:asciiTheme="majorHAnsi" w:eastAsia="MS Mincho" w:hAnsiTheme="majorHAnsi" w:cstheme="majorHAnsi"/>
          <w:noProof/>
          <w:color w:val="000000" w:themeColor="text1"/>
          <w:sz w:val="22"/>
          <w:szCs w:val="22"/>
          <w:lang w:val="vi-VN" w:eastAsia="ja-JP"/>
        </w:rPr>
        <w:t>[</w:t>
      </w:r>
      <w:hyperlink w:anchor="_ENREF_10" w:tooltip="Liu, 2014 #27" w:history="1">
        <w:r w:rsidRPr="005E6B7C">
          <w:rPr>
            <w:rFonts w:asciiTheme="majorHAnsi" w:eastAsia="MS Mincho" w:hAnsiTheme="majorHAnsi" w:cstheme="majorHAnsi"/>
            <w:noProof/>
            <w:color w:val="000000" w:themeColor="text1"/>
            <w:sz w:val="22"/>
            <w:szCs w:val="22"/>
            <w:lang w:val="vi-VN" w:eastAsia="ja-JP"/>
          </w:rPr>
          <w:t>10</w:t>
        </w:r>
      </w:hyperlink>
      <w:r w:rsidRPr="005E6B7C">
        <w:rPr>
          <w:rFonts w:asciiTheme="majorHAnsi" w:eastAsia="MS Mincho" w:hAnsiTheme="majorHAnsi" w:cstheme="majorHAnsi"/>
          <w:noProof/>
          <w:color w:val="000000" w:themeColor="text1"/>
          <w:sz w:val="22"/>
          <w:szCs w:val="22"/>
          <w:lang w:val="vi-VN" w:eastAsia="ja-JP"/>
        </w:rPr>
        <w:t>]</w:t>
      </w:r>
      <w:r w:rsidRPr="005E6B7C">
        <w:rPr>
          <w:rFonts w:asciiTheme="majorHAnsi" w:eastAsia="MS Mincho" w:hAnsiTheme="majorHAnsi" w:cstheme="majorHAnsi"/>
          <w:color w:val="000000" w:themeColor="text1"/>
          <w:sz w:val="22"/>
          <w:szCs w:val="22"/>
          <w:lang w:val="vi-VN" w:eastAsia="ja-JP"/>
        </w:rPr>
        <w:fldChar w:fldCharType="end"/>
      </w:r>
      <w:r w:rsidRPr="005E6B7C">
        <w:rPr>
          <w:rFonts w:asciiTheme="majorHAnsi" w:eastAsia="MS Mincho" w:hAnsiTheme="majorHAnsi" w:cstheme="majorHAnsi"/>
          <w:color w:val="000000" w:themeColor="text1"/>
          <w:sz w:val="22"/>
          <w:szCs w:val="22"/>
          <w:lang w:eastAsia="ja-JP"/>
        </w:rPr>
        <w:t xml:space="preserve">. RA has been identified as the major phenolic compound in PS, accounting for approximately 0.28% of the dried material, and its content increases slightly (to about 0.3%) when the influence of UV radiation is excluded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&lt;EndNote&gt;&lt;Cite&gt;&lt;Author&gt;Chen&lt;/Author&gt;&lt;Year&gt;2019&lt;/Year&gt;&lt;RecNum&gt;4&lt;/RecNum&gt;&lt;DisplayText&gt;[11]&lt;/DisplayText&gt;&lt;record&gt;&lt;rec-number&gt;4&lt;/rec-number&gt;&lt;foreign-keys&gt;&lt;key app="EN" db-id="dfdss00foa0rwcezdpapfex79erpx2ar500s" timestamp="0"&gt;4&lt;/key&gt;&lt;/foreign-keys&gt;&lt;ref-type name="Journal Article"&gt;17&lt;/ref-type&gt;&lt;contributors&gt;&lt;authors&gt;&lt;author&gt;Chen, Y., Zhang, X., Guo, Q., Cao, L., Qin, Q., Li, C., Zhao, M. and Wang, W., &lt;/author&gt;&lt;/authors&gt;&lt;/contributors&gt;&lt;titles&gt;&lt;title&gt;Plant morphology, physiological characteristics, accumulation of secondary metabolites and antioxidant activities of Prunella vulgaris L. under UV solar exclusion&lt;/title&gt;&lt;secondary-title&gt;Biological Research&lt;/secondary-title&gt;&lt;/titles&gt;&lt;periodical&gt;&lt;full-title&gt;Biological Research&lt;/full-title&gt;&lt;/periodical&gt;&lt;volume&gt;52&lt;/volume&gt;&lt;dates&gt;&lt;year&gt;2019&lt;/year&gt;&lt;/dates&gt;&lt;isbn&gt;0716-9760&lt;/isbn&gt;&lt;urls&gt;&lt;/urls&gt;&lt;/record&gt;&lt;/Cite&gt;&lt;/EndNote&gt;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11" w:tooltip="Chen, 2019 #4" w:history="1">
        <w:r w:rsidRPr="005E6B7C">
          <w:rPr>
            <w:rFonts w:asciiTheme="majorHAnsi" w:eastAsia="MS Mincho" w:hAnsiTheme="majorHAnsi" w:cstheme="majorHAnsi"/>
            <w:noProof/>
            <w:color w:val="000000" w:themeColor="text1"/>
            <w:sz w:val="22"/>
            <w:szCs w:val="22"/>
            <w:lang w:eastAsia="ja-JP"/>
          </w:rPr>
          <w:t>11</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xml:space="preserve">. Guo et al. (2012) further demonstrated that RA content varies with harvest time, reaching a maximum of 0.57% (on </w:t>
      </w:r>
      <w:r w:rsidRPr="005E6B7C">
        <w:rPr>
          <w:rFonts w:asciiTheme="majorHAnsi" w:eastAsia="MS Mincho" w:hAnsiTheme="majorHAnsi" w:cstheme="majorHAnsi"/>
          <w:color w:val="000000" w:themeColor="text1"/>
          <w:sz w:val="22"/>
          <w:szCs w:val="22"/>
          <w:lang w:eastAsia="ja-JP"/>
        </w:rPr>
        <w:t xml:space="preserve">May 5) and a minimum of 0.17% (on June 25), suggesting that early May may represent the optimal harvest period for achieving superior quality </w:t>
      </w:r>
      <w:r w:rsidRPr="005E6B7C">
        <w:rPr>
          <w:rFonts w:asciiTheme="majorHAnsi" w:eastAsia="MS Mincho" w:hAnsiTheme="majorHAnsi" w:cstheme="majorHAnsi"/>
          <w:color w:val="000000" w:themeColor="text1"/>
          <w:sz w:val="22"/>
          <w:szCs w:val="22"/>
          <w:lang w:eastAsia="ja-JP"/>
        </w:rPr>
        <w:fldChar w:fldCharType="begin"/>
      </w:r>
      <w:r w:rsidRPr="005E6B7C">
        <w:rPr>
          <w:rFonts w:asciiTheme="majorHAnsi" w:eastAsia="MS Mincho" w:hAnsiTheme="majorHAnsi" w:cstheme="majorHAnsi"/>
          <w:color w:val="000000" w:themeColor="text1"/>
          <w:sz w:val="22"/>
          <w:szCs w:val="22"/>
          <w:lang w:eastAsia="ja-JP"/>
        </w:rPr>
        <w:instrText xml:space="preserve"> ADDIN EN.CITE &lt;EndNote&gt;&lt;Cite&gt;&lt;Author&gt;Chen&lt;/Author&gt;&lt;Year&gt;2012&lt;/Year&gt;&lt;RecNum&gt;26&lt;/RecNum&gt;&lt;DisplayText&gt;[3]&lt;/DisplayText&gt;&lt;record&gt;&lt;rec-number&gt;26&lt;/rec-number&gt;&lt;foreign-keys&gt;&lt;key app="EN" db-id="dfdss00foa0rwcezdpapfex79erpx2ar500s" timestamp="1759914820"&gt;26&lt;/key&gt;&lt;/foreign-keys&gt;&lt;ref-type name="Journal Article"&gt;17&lt;/ref-type&gt;&lt;contributors&gt;&lt;authors&gt;&lt;author&gt;Chen, Y., Guo, Q., Zhu, Z. and Zhang, L.,&lt;/author&gt;&lt;/authors&gt;&lt;/contributors&gt;&lt;titles&gt;&lt;title&gt;&lt;style face="normal" font="default" size="100%"&gt;Changes in bioactive components related to the harvest time from the spicas of &lt;/style&gt;&lt;style face="italic" font="default" size="100%"&gt;Prunella vulgaris&lt;/style&gt;&lt;/title&gt;&lt;secondary-title&gt;Pharmaceutical Biology&lt;/secondary-title&gt;&lt;/titles&gt;&lt;periodical&gt;&lt;full-title&gt;Pharmaceutical Biology&lt;/full-title&gt;&lt;/periodical&gt;&lt;pages&gt;1118-1122&lt;/pages&gt;&lt;volume&gt;50&lt;/volume&gt;&lt;number&gt;9&lt;/number&gt;&lt;dates&gt;&lt;year&gt;2012&lt;/year&gt;&lt;/dates&gt;&lt;isbn&gt;1388-0209&lt;/isbn&gt;&lt;urls&gt;&lt;/urls&gt;&lt;/record&gt;&lt;/Cite&gt;&lt;/EndNote&gt;</w:instrText>
      </w:r>
      <w:r w:rsidRPr="005E6B7C">
        <w:rPr>
          <w:rFonts w:asciiTheme="majorHAnsi" w:eastAsia="MS Mincho" w:hAnsiTheme="majorHAnsi" w:cstheme="majorHAnsi"/>
          <w:color w:val="000000" w:themeColor="text1"/>
          <w:sz w:val="22"/>
          <w:szCs w:val="22"/>
          <w:lang w:eastAsia="ja-JP"/>
        </w:rPr>
        <w:fldChar w:fldCharType="separate"/>
      </w:r>
      <w:r w:rsidRPr="005E6B7C">
        <w:rPr>
          <w:rFonts w:asciiTheme="majorHAnsi" w:eastAsia="MS Mincho" w:hAnsiTheme="majorHAnsi" w:cstheme="majorHAnsi"/>
          <w:noProof/>
          <w:color w:val="000000" w:themeColor="text1"/>
          <w:sz w:val="22"/>
          <w:szCs w:val="22"/>
          <w:lang w:eastAsia="ja-JP"/>
        </w:rPr>
        <w:t>[</w:t>
      </w:r>
      <w:hyperlink w:anchor="_ENREF_3" w:tooltip="Chen, 2012 #26" w:history="1">
        <w:r w:rsidRPr="005E6B7C">
          <w:rPr>
            <w:rFonts w:asciiTheme="majorHAnsi" w:eastAsia="MS Mincho" w:hAnsiTheme="majorHAnsi" w:cstheme="majorHAnsi"/>
            <w:noProof/>
            <w:color w:val="000000" w:themeColor="text1"/>
            <w:sz w:val="22"/>
            <w:szCs w:val="22"/>
            <w:lang w:eastAsia="ja-JP"/>
          </w:rPr>
          <w:t>3</w:t>
        </w:r>
      </w:hyperlink>
      <w:r w:rsidRPr="005E6B7C">
        <w:rPr>
          <w:rFonts w:asciiTheme="majorHAnsi" w:eastAsia="MS Mincho" w:hAnsiTheme="majorHAnsi" w:cstheme="majorHAnsi"/>
          <w:noProof/>
          <w:color w:val="000000" w:themeColor="text1"/>
          <w:sz w:val="22"/>
          <w:szCs w:val="22"/>
          <w:lang w:eastAsia="ja-JP"/>
        </w:rPr>
        <w:t>]</w:t>
      </w:r>
      <w:r w:rsidRPr="005E6B7C">
        <w:rPr>
          <w:rFonts w:asciiTheme="majorHAnsi" w:eastAsia="MS Mincho" w:hAnsiTheme="majorHAnsi" w:cstheme="majorHAnsi"/>
          <w:color w:val="000000" w:themeColor="text1"/>
          <w:sz w:val="22"/>
          <w:szCs w:val="22"/>
          <w:lang w:eastAsia="ja-JP"/>
        </w:rPr>
        <w:fldChar w:fldCharType="end"/>
      </w:r>
      <w:r w:rsidRPr="005E6B7C">
        <w:rPr>
          <w:rFonts w:asciiTheme="majorHAnsi" w:eastAsia="MS Mincho" w:hAnsiTheme="majorHAnsi" w:cstheme="majorHAnsi"/>
          <w:color w:val="000000" w:themeColor="text1"/>
          <w:sz w:val="22"/>
          <w:szCs w:val="22"/>
          <w:lang w:eastAsia="ja-JP"/>
        </w:rPr>
        <w:t>. Overall, the observed variability in the chemical quality of PS samples can be attributed mainly to differences in ecological conditions, geographical origins, and harvest periods.</w:t>
      </w:r>
    </w:p>
    <w:p w14:paraId="4AFE95D6" w14:textId="77777777" w:rsidR="00E049CB" w:rsidRPr="005E6B7C" w:rsidRDefault="00E049CB" w:rsidP="008C0D47">
      <w:pPr>
        <w:tabs>
          <w:tab w:val="left" w:pos="270"/>
          <w:tab w:val="left" w:pos="540"/>
          <w:tab w:val="left" w:pos="9270"/>
        </w:tabs>
        <w:spacing w:line="240" w:lineRule="exact"/>
        <w:ind w:firstLine="284"/>
        <w:jc w:val="both"/>
        <w:outlineLvl w:val="1"/>
        <w:rPr>
          <w:rFonts w:asciiTheme="majorHAnsi" w:eastAsia="Times New Roman" w:hAnsiTheme="majorHAnsi" w:cstheme="majorHAnsi"/>
          <w:b/>
          <w:bCs/>
          <w:color w:val="000000" w:themeColor="text1"/>
          <w:sz w:val="22"/>
          <w:szCs w:val="22"/>
          <w:lang w:eastAsia="ja-JP"/>
        </w:rPr>
      </w:pPr>
      <w:r w:rsidRPr="005E6B7C">
        <w:rPr>
          <w:rFonts w:asciiTheme="majorHAnsi" w:eastAsia="Times New Roman" w:hAnsiTheme="majorHAnsi" w:cstheme="majorHAnsi"/>
          <w:b/>
          <w:bCs/>
          <w:color w:val="000000" w:themeColor="text1"/>
          <w:sz w:val="22"/>
          <w:szCs w:val="22"/>
          <w:lang w:eastAsia="ja-JP"/>
        </w:rPr>
        <w:t>4. Conclusion</w:t>
      </w:r>
    </w:p>
    <w:p w14:paraId="23C71F1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An upgraded in-house quality standard for PS was established with the following specifications: description; powder; water content ≤ 12.0%; total ash ≤ 13.0%; acid-insoluble ash ≤ 3.0%; identification by chemical reactions and TLC (compared with the reference medicinal material and two reference substances RA and UA); quantification of rosmarinic acid by HPLC with a minimum required content of ≥ 0.20%, calculated with reference to the dried drug; extractives ≥ 7.0%; and foreign matter limited to stems ≤ 5.0% and other impurities ≤ 1.0%. The quality of several PS</w:t>
      </w:r>
      <w:r w:rsidRPr="005E6B7C">
        <w:rPr>
          <w:rFonts w:asciiTheme="majorHAnsi" w:eastAsia="MS Mincho" w:hAnsiTheme="majorHAnsi" w:cstheme="majorHAnsi"/>
          <w:i/>
          <w:color w:val="000000" w:themeColor="text1"/>
          <w:sz w:val="22"/>
          <w:szCs w:val="22"/>
          <w:lang w:eastAsia="ja-JP"/>
        </w:rPr>
        <w:t xml:space="preserve"> </w:t>
      </w:r>
      <w:r w:rsidRPr="005E6B7C">
        <w:rPr>
          <w:rFonts w:asciiTheme="majorHAnsi" w:eastAsia="MS Mincho" w:hAnsiTheme="majorHAnsi" w:cstheme="majorHAnsi"/>
          <w:color w:val="000000" w:themeColor="text1"/>
          <w:sz w:val="22"/>
          <w:szCs w:val="22"/>
          <w:lang w:eastAsia="ja-JP"/>
        </w:rPr>
        <w:t>samples collected from the market was subsequently evaluated based on this in-house standard, demonstrating its applicability and reliability for routine quality assessment.</w:t>
      </w:r>
    </w:p>
    <w:p w14:paraId="290081DC" w14:textId="77777777" w:rsidR="006A6994"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i/>
          <w:color w:val="000000" w:themeColor="text1"/>
          <w:sz w:val="20"/>
          <w:szCs w:val="20"/>
          <w:lang w:eastAsia="ja-JP"/>
        </w:rPr>
      </w:pPr>
      <w:r w:rsidRPr="005E6B7C">
        <w:rPr>
          <w:rFonts w:asciiTheme="majorHAnsi" w:eastAsia="MS Mincho" w:hAnsiTheme="majorHAnsi" w:cstheme="majorHAnsi"/>
          <w:b/>
          <w:color w:val="000000" w:themeColor="text1"/>
          <w:sz w:val="20"/>
          <w:szCs w:val="20"/>
          <w:lang w:eastAsia="ja-JP"/>
        </w:rPr>
        <w:t xml:space="preserve">Acknowledgments: </w:t>
      </w:r>
      <w:r w:rsidRPr="005E6B7C">
        <w:rPr>
          <w:rFonts w:asciiTheme="majorHAnsi" w:eastAsia="MS Mincho" w:hAnsiTheme="majorHAnsi" w:cstheme="majorHAnsi"/>
          <w:i/>
          <w:color w:val="000000" w:themeColor="text1"/>
          <w:sz w:val="20"/>
          <w:szCs w:val="20"/>
          <w:lang w:eastAsia="ja-JP"/>
        </w:rPr>
        <w:t>The study was supported by the National Institute of Medicinal Materials - Ministry of Health (Vietnam) on the project (Contract No. 09/2024/HĐ-NVCV-HPTTC) "Research to upgrade an in-house standard for Prunellae spica".</w:t>
      </w:r>
    </w:p>
    <w:p w14:paraId="138299DC" w14:textId="77777777" w:rsidR="006A6994" w:rsidRPr="005E6B7C" w:rsidRDefault="006A6994" w:rsidP="008C0D47">
      <w:pPr>
        <w:tabs>
          <w:tab w:val="left" w:pos="270"/>
          <w:tab w:val="left" w:pos="540"/>
          <w:tab w:val="left" w:pos="9270"/>
        </w:tabs>
        <w:spacing w:line="240" w:lineRule="exact"/>
        <w:ind w:firstLine="284"/>
        <w:jc w:val="both"/>
        <w:rPr>
          <w:rFonts w:asciiTheme="majorHAnsi" w:eastAsia="MS Mincho" w:hAnsiTheme="majorHAnsi" w:cstheme="majorHAnsi"/>
          <w:i/>
          <w:color w:val="000000" w:themeColor="text1"/>
          <w:sz w:val="20"/>
          <w:szCs w:val="20"/>
          <w:lang w:eastAsia="ja-JP"/>
        </w:rPr>
        <w:sectPr w:rsidR="006A6994" w:rsidRPr="005E6B7C" w:rsidSect="006A6994">
          <w:type w:val="continuous"/>
          <w:pgSz w:w="10773" w:h="15309" w:code="9"/>
          <w:pgMar w:top="907" w:right="851" w:bottom="1418" w:left="851" w:header="397" w:footer="851" w:gutter="0"/>
          <w:cols w:num="2" w:space="284"/>
          <w:docGrid w:linePitch="360"/>
        </w:sectPr>
      </w:pPr>
    </w:p>
    <w:p w14:paraId="14554499" w14:textId="77777777" w:rsidR="006B6755" w:rsidRPr="005E6B7C" w:rsidRDefault="006B6755" w:rsidP="008C0D47">
      <w:pPr>
        <w:tabs>
          <w:tab w:val="left" w:pos="180"/>
          <w:tab w:val="left" w:pos="270"/>
          <w:tab w:val="left" w:pos="540"/>
          <w:tab w:val="left" w:pos="9270"/>
        </w:tabs>
        <w:ind w:right="-20"/>
        <w:jc w:val="center"/>
        <w:rPr>
          <w:rFonts w:asciiTheme="majorHAnsi" w:eastAsia="Yu Mincho" w:hAnsiTheme="majorHAnsi" w:cstheme="majorHAnsi"/>
          <w:b/>
          <w:noProof/>
          <w:color w:val="000000" w:themeColor="text1"/>
          <w:sz w:val="18"/>
          <w:szCs w:val="18"/>
          <w:lang w:eastAsia="ja-JP"/>
        </w:rPr>
      </w:pPr>
    </w:p>
    <w:p w14:paraId="2635537C" w14:textId="77777777" w:rsidR="00E049CB" w:rsidRPr="005E6B7C" w:rsidRDefault="00E049CB" w:rsidP="008C0D47">
      <w:pPr>
        <w:tabs>
          <w:tab w:val="left" w:pos="180"/>
          <w:tab w:val="left" w:pos="270"/>
          <w:tab w:val="left" w:pos="540"/>
          <w:tab w:val="left" w:pos="9270"/>
        </w:tabs>
        <w:spacing w:after="120"/>
        <w:ind w:right="-20"/>
        <w:jc w:val="center"/>
        <w:rPr>
          <w:rFonts w:asciiTheme="majorHAnsi" w:eastAsia="Yu Mincho" w:hAnsiTheme="majorHAnsi" w:cstheme="majorHAnsi"/>
          <w:b/>
          <w:noProof/>
          <w:color w:val="000000" w:themeColor="text1"/>
          <w:sz w:val="18"/>
          <w:szCs w:val="18"/>
          <w:lang w:eastAsia="ja-JP"/>
        </w:rPr>
      </w:pPr>
      <w:r w:rsidRPr="005E6B7C">
        <w:rPr>
          <w:rFonts w:asciiTheme="majorHAnsi" w:eastAsia="Yu Mincho" w:hAnsiTheme="majorHAnsi" w:cstheme="majorHAnsi"/>
          <w:b/>
          <w:noProof/>
          <w:color w:val="000000" w:themeColor="text1"/>
          <w:sz w:val="18"/>
          <w:szCs w:val="18"/>
          <w:lang w:eastAsia="ja-JP"/>
        </w:rPr>
        <w:t>References</w:t>
      </w:r>
    </w:p>
    <w:p w14:paraId="66D094D6"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val="vi-VN" w:eastAsia="ja-JP"/>
        </w:rPr>
        <w:fldChar w:fldCharType="begin"/>
      </w:r>
      <w:r w:rsidRPr="005E6B7C">
        <w:rPr>
          <w:rFonts w:asciiTheme="majorHAnsi" w:eastAsia="Yu Mincho" w:hAnsiTheme="majorHAnsi" w:cstheme="majorHAnsi"/>
          <w:noProof/>
          <w:color w:val="000000" w:themeColor="text1"/>
          <w:sz w:val="18"/>
          <w:szCs w:val="18"/>
          <w:lang w:val="vi-VN" w:eastAsia="ja-JP"/>
        </w:rPr>
        <w:instrText xml:space="preserve"> ADDIN EN.REFLIST </w:instrText>
      </w:r>
      <w:r w:rsidRPr="005E6B7C">
        <w:rPr>
          <w:rFonts w:asciiTheme="majorHAnsi" w:eastAsia="Yu Mincho" w:hAnsiTheme="majorHAnsi" w:cstheme="majorHAnsi"/>
          <w:noProof/>
          <w:color w:val="000000" w:themeColor="text1"/>
          <w:sz w:val="18"/>
          <w:szCs w:val="18"/>
          <w:lang w:val="vi-VN"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ab/>
        <w:t xml:space="preserve">Ministry of Health (2017), </w:t>
      </w:r>
      <w:r w:rsidRPr="005E6B7C">
        <w:rPr>
          <w:rFonts w:asciiTheme="majorHAnsi" w:eastAsia="Yu Mincho" w:hAnsiTheme="majorHAnsi" w:cstheme="majorHAnsi"/>
          <w:i/>
          <w:noProof/>
          <w:color w:val="000000" w:themeColor="text1"/>
          <w:sz w:val="18"/>
          <w:szCs w:val="18"/>
          <w:lang w:eastAsia="ja-JP"/>
        </w:rPr>
        <w:t>Vietnamese Pharmacopoeia V, Prunellae spica</w:t>
      </w:r>
      <w:r w:rsidRPr="005E6B7C">
        <w:rPr>
          <w:rFonts w:asciiTheme="majorHAnsi" w:eastAsia="Yu Mincho" w:hAnsiTheme="majorHAnsi" w:cstheme="majorHAnsi"/>
          <w:noProof/>
          <w:color w:val="000000" w:themeColor="text1"/>
          <w:sz w:val="18"/>
          <w:szCs w:val="18"/>
          <w:lang w:eastAsia="ja-JP"/>
        </w:rPr>
        <w:t>, Vol. 2, Medical Publishing House, Hanoi, 1182-1183.</w:t>
      </w:r>
    </w:p>
    <w:p w14:paraId="6AEAB8F2"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Vo V. C. (2012), </w:t>
      </w:r>
      <w:r w:rsidRPr="005E6B7C">
        <w:rPr>
          <w:rFonts w:asciiTheme="majorHAnsi" w:eastAsia="Yu Mincho" w:hAnsiTheme="majorHAnsi" w:cstheme="majorHAnsi"/>
          <w:i/>
          <w:noProof/>
          <w:color w:val="000000" w:themeColor="text1"/>
          <w:sz w:val="18"/>
          <w:szCs w:val="18"/>
          <w:lang w:eastAsia="ja-JP"/>
        </w:rPr>
        <w:t xml:space="preserve">Dictionary on herbal medicines in Vietnam </w:t>
      </w:r>
      <w:r w:rsidRPr="005E6B7C">
        <w:rPr>
          <w:rFonts w:asciiTheme="majorHAnsi" w:eastAsia="Yu Mincho" w:hAnsiTheme="majorHAnsi" w:cstheme="majorHAnsi"/>
          <w:noProof/>
          <w:color w:val="000000" w:themeColor="text1"/>
          <w:sz w:val="18"/>
          <w:szCs w:val="18"/>
          <w:lang w:eastAsia="ja-JP"/>
        </w:rPr>
        <w:t>(in Vietnamese), Vol. 1, Medical Publishing House, Hanoi, 1060-1061.</w:t>
      </w:r>
    </w:p>
    <w:p w14:paraId="49C608A2"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Chen Y., Guo Q., Zhu Z., Zhang L. (2012), Changes in bioactive components related to the harvest time from the spicas of </w:t>
      </w:r>
      <w:r w:rsidRPr="005E6B7C">
        <w:rPr>
          <w:rFonts w:asciiTheme="majorHAnsi" w:eastAsia="Yu Mincho" w:hAnsiTheme="majorHAnsi" w:cstheme="majorHAnsi"/>
          <w:i/>
          <w:noProof/>
          <w:color w:val="000000" w:themeColor="text1"/>
          <w:sz w:val="18"/>
          <w:szCs w:val="18"/>
          <w:lang w:eastAsia="ja-JP"/>
        </w:rPr>
        <w:t>Prunella vulgaris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Pharmaceutical Biology</w:t>
      </w:r>
      <w:r w:rsidRPr="005E6B7C">
        <w:rPr>
          <w:rFonts w:asciiTheme="majorHAnsi" w:eastAsia="Yu Mincho" w:hAnsiTheme="majorHAnsi" w:cstheme="majorHAnsi"/>
          <w:noProof/>
          <w:color w:val="000000" w:themeColor="text1"/>
          <w:sz w:val="18"/>
          <w:szCs w:val="18"/>
          <w:lang w:eastAsia="ja-JP"/>
        </w:rPr>
        <w:t>, 50(9), 1118-1122.</w:t>
      </w:r>
    </w:p>
    <w:p w14:paraId="4D461E45"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Guan H., Luo W., Bao B., Cao Y., Cheng F., Yu S., Fan Q., Zhang L., Wu Q., Shan M. (2022), A comprehensive review of rosmarinic acid: from phytochemistry to pharmacology and its new insight,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27(10), 3292.</w:t>
      </w:r>
    </w:p>
    <w:p w14:paraId="16041ABB"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ab/>
        <w:t xml:space="preserve">Seo D. Y., Lee S. R., Heo J. W., No M. H., Rhee B. D., Ko K. S., Kwak H. B., Han J. (2018), Ursolic acid in health and disease, </w:t>
      </w:r>
      <w:r w:rsidRPr="005E6B7C">
        <w:rPr>
          <w:rFonts w:asciiTheme="majorHAnsi" w:eastAsia="Yu Mincho" w:hAnsiTheme="majorHAnsi" w:cstheme="majorHAnsi"/>
          <w:i/>
          <w:noProof/>
          <w:color w:val="000000" w:themeColor="text1"/>
          <w:sz w:val="18"/>
          <w:szCs w:val="18"/>
          <w:lang w:eastAsia="ja-JP"/>
        </w:rPr>
        <w:t>The Korean Journal of Physiology &amp; Pharmacology: Official Journal of the Korean Physiological Society and the Korean Society of Pharmacology</w:t>
      </w:r>
      <w:r w:rsidRPr="005E6B7C">
        <w:rPr>
          <w:rFonts w:asciiTheme="majorHAnsi" w:eastAsia="Yu Mincho" w:hAnsiTheme="majorHAnsi" w:cstheme="majorHAnsi"/>
          <w:noProof/>
          <w:color w:val="000000" w:themeColor="text1"/>
          <w:sz w:val="18"/>
          <w:szCs w:val="18"/>
          <w:lang w:eastAsia="ja-JP"/>
        </w:rPr>
        <w:t>, 22(3), 235.</w:t>
      </w:r>
    </w:p>
    <w:p w14:paraId="36822D5C" w14:textId="037BC2BA"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Chinese Pharmacopoeia Commission</w:t>
      </w:r>
      <w:r w:rsidR="003A0517"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Pharmacopoeia of the People’s Republic of China (2020), </w:t>
      </w:r>
      <w:r w:rsidRPr="005E6B7C">
        <w:rPr>
          <w:rFonts w:asciiTheme="majorHAnsi" w:eastAsia="Yu Mincho" w:hAnsiTheme="majorHAnsi" w:cstheme="majorHAnsi"/>
          <w:i/>
          <w:noProof/>
          <w:color w:val="000000" w:themeColor="text1"/>
          <w:sz w:val="18"/>
          <w:szCs w:val="18"/>
          <w:lang w:eastAsia="ja-JP"/>
        </w:rPr>
        <w:t>Prunellae Spica, China Medical Science and Technology Press publishing company</w:t>
      </w:r>
      <w:r w:rsidRPr="005E6B7C">
        <w:rPr>
          <w:rFonts w:asciiTheme="majorHAnsi" w:eastAsia="Yu Mincho" w:hAnsiTheme="majorHAnsi" w:cstheme="majorHAnsi"/>
          <w:noProof/>
          <w:color w:val="000000" w:themeColor="text1"/>
          <w:sz w:val="18"/>
          <w:szCs w:val="18"/>
          <w:lang w:eastAsia="ja-JP"/>
        </w:rPr>
        <w:t>, Vol. I, China Medical Science Press, Beijing, 388.</w:t>
      </w:r>
    </w:p>
    <w:p w14:paraId="3B12E974" w14:textId="5D64133A"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Chinese Medicine Regulatory Office Hong Kong Chinese Materia Medica Standards </w:t>
      </w:r>
      <w:r w:rsidRPr="005E6B7C">
        <w:rPr>
          <w:rFonts w:asciiTheme="majorHAnsi" w:eastAsia="Yu Mincho" w:hAnsiTheme="majorHAnsi" w:cstheme="majorHAnsi"/>
          <w:i/>
          <w:noProof/>
          <w:color w:val="000000" w:themeColor="text1"/>
          <w:sz w:val="18"/>
          <w:szCs w:val="18"/>
          <w:lang w:eastAsia="ja-JP"/>
        </w:rPr>
        <w:t>Spica Prun</w:t>
      </w:r>
      <w:r w:rsidR="008F2DAF" w:rsidRPr="005E6B7C">
        <w:rPr>
          <w:rFonts w:asciiTheme="majorHAnsi" w:eastAsia="Yu Mincho" w:hAnsiTheme="majorHAnsi" w:cstheme="majorHAnsi"/>
          <w:i/>
          <w:noProof/>
          <w:color w:val="000000" w:themeColor="text1"/>
          <w:sz w:val="18"/>
          <w:szCs w:val="18"/>
          <w:lang w:eastAsia="ja-JP"/>
        </w:rPr>
        <w:t>e</w:t>
      </w:r>
      <w:r w:rsidRPr="005E6B7C">
        <w:rPr>
          <w:rFonts w:asciiTheme="majorHAnsi" w:eastAsia="Yu Mincho" w:hAnsiTheme="majorHAnsi" w:cstheme="majorHAnsi"/>
          <w:i/>
          <w:noProof/>
          <w:color w:val="000000" w:themeColor="text1"/>
          <w:sz w:val="18"/>
          <w:szCs w:val="18"/>
          <w:lang w:eastAsia="ja-JP"/>
        </w:rPr>
        <w:t>llae</w:t>
      </w:r>
      <w:r w:rsidRPr="005E6B7C">
        <w:rPr>
          <w:rFonts w:asciiTheme="majorHAnsi" w:eastAsia="Yu Mincho" w:hAnsiTheme="majorHAnsi" w:cstheme="majorHAnsi"/>
          <w:noProof/>
          <w:color w:val="000000" w:themeColor="text1"/>
          <w:sz w:val="18"/>
          <w:szCs w:val="18"/>
          <w:lang w:eastAsia="ja-JP"/>
        </w:rPr>
        <w:t>, Volume 3, 317-324.</w:t>
      </w:r>
    </w:p>
    <w:p w14:paraId="5F92E879"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European Directorate for the Quality of Medicines &amp; HealthCare European Pharmacopoeia (2013), </w:t>
      </w:r>
      <w:r w:rsidRPr="005E6B7C">
        <w:rPr>
          <w:rFonts w:asciiTheme="majorHAnsi" w:eastAsia="Yu Mincho" w:hAnsiTheme="majorHAnsi" w:cstheme="majorHAnsi"/>
          <w:i/>
          <w:noProof/>
          <w:color w:val="000000" w:themeColor="text1"/>
          <w:sz w:val="18"/>
          <w:szCs w:val="18"/>
          <w:lang w:eastAsia="ja-JP"/>
        </w:rPr>
        <w:t>Prunellae spica</w:t>
      </w:r>
      <w:r w:rsidRPr="005E6B7C">
        <w:rPr>
          <w:rFonts w:asciiTheme="majorHAnsi" w:eastAsia="Yu Mincho" w:hAnsiTheme="majorHAnsi" w:cstheme="majorHAnsi"/>
          <w:noProof/>
          <w:color w:val="000000" w:themeColor="text1"/>
          <w:sz w:val="18"/>
          <w:szCs w:val="18"/>
          <w:lang w:eastAsia="ja-JP"/>
        </w:rPr>
        <w:t>, 8th, Council of Europe, Strasbourg, pp.1219-1220.</w:t>
      </w:r>
    </w:p>
    <w:p w14:paraId="21ED41ED" w14:textId="77777777" w:rsidR="00E049CB" w:rsidRPr="005E6B7C" w:rsidRDefault="00E049CB" w:rsidP="008C0D47">
      <w:pPr>
        <w:tabs>
          <w:tab w:val="left" w:pos="180"/>
          <w:tab w:val="left" w:pos="27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ab/>
        <w:t xml:space="preserve">International AOAC (2019), </w:t>
      </w:r>
      <w:r w:rsidRPr="005E6B7C">
        <w:rPr>
          <w:rFonts w:asciiTheme="majorHAnsi" w:eastAsia="Yu Mincho" w:hAnsiTheme="majorHAnsi" w:cstheme="majorHAnsi"/>
          <w:i/>
          <w:noProof/>
          <w:color w:val="000000" w:themeColor="text1"/>
          <w:sz w:val="18"/>
          <w:szCs w:val="18"/>
          <w:lang w:eastAsia="ja-JP"/>
        </w:rPr>
        <w:t>Appendix K: Guidelines for Dietary Supplements and Botanicals</w:t>
      </w:r>
      <w:r w:rsidRPr="005E6B7C">
        <w:rPr>
          <w:rFonts w:asciiTheme="majorHAnsi" w:eastAsia="Yu Mincho" w:hAnsiTheme="majorHAnsi" w:cstheme="majorHAnsi"/>
          <w:noProof/>
          <w:color w:val="000000" w:themeColor="text1"/>
          <w:sz w:val="18"/>
          <w:szCs w:val="18"/>
          <w:lang w:eastAsia="ja-JP"/>
        </w:rPr>
        <w:t>.</w:t>
      </w:r>
    </w:p>
    <w:p w14:paraId="2606DE04" w14:textId="6342841D" w:rsidR="00E049CB" w:rsidRPr="005E6B7C" w:rsidRDefault="00E049CB" w:rsidP="008C0D47">
      <w:pPr>
        <w:tabs>
          <w:tab w:val="left" w:pos="180"/>
          <w:tab w:val="left" w:pos="270"/>
          <w:tab w:val="left" w:pos="36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ab/>
        <w:t xml:space="preserve">Liu J., Feng L., Gu J., Wang R., Zhang M., Jiang J., Qin D., Jia X., Chen Y., Chen S., Sataer R. (2014), Simultaneous determination of ten characteristic antioxidant compounds for inhibiting cancer cell proliferation in </w:t>
      </w:r>
      <w:r w:rsidRPr="005E6B7C">
        <w:rPr>
          <w:rFonts w:asciiTheme="majorHAnsi" w:eastAsia="Yu Mincho" w:hAnsiTheme="majorHAnsi" w:cstheme="majorHAnsi"/>
          <w:i/>
          <w:noProof/>
          <w:color w:val="000000" w:themeColor="text1"/>
          <w:sz w:val="18"/>
          <w:szCs w:val="18"/>
          <w:lang w:eastAsia="ja-JP"/>
        </w:rPr>
        <w:t>Prunella vulgaris</w:t>
      </w:r>
      <w:r w:rsidRPr="005E6B7C">
        <w:rPr>
          <w:rFonts w:asciiTheme="majorHAnsi" w:eastAsia="Yu Mincho" w:hAnsiTheme="majorHAnsi" w:cstheme="majorHAnsi"/>
          <w:noProof/>
          <w:color w:val="000000" w:themeColor="text1"/>
          <w:sz w:val="18"/>
          <w:szCs w:val="18"/>
          <w:lang w:eastAsia="ja-JP"/>
        </w:rPr>
        <w:t xml:space="preserve"> L. from different regions using HPLC-UV coupled with MS identification, </w:t>
      </w:r>
      <w:r w:rsidRPr="005E6B7C">
        <w:rPr>
          <w:rFonts w:asciiTheme="majorHAnsi" w:eastAsia="Yu Mincho" w:hAnsiTheme="majorHAnsi" w:cstheme="majorHAnsi"/>
          <w:i/>
          <w:noProof/>
          <w:color w:val="000000" w:themeColor="text1"/>
          <w:sz w:val="18"/>
          <w:szCs w:val="18"/>
          <w:lang w:eastAsia="ja-JP"/>
        </w:rPr>
        <w:t>Analytical Methods</w:t>
      </w:r>
      <w:r w:rsidRPr="005E6B7C">
        <w:rPr>
          <w:rFonts w:asciiTheme="majorHAnsi" w:eastAsia="Yu Mincho" w:hAnsiTheme="majorHAnsi" w:cstheme="majorHAnsi"/>
          <w:noProof/>
          <w:color w:val="000000" w:themeColor="text1"/>
          <w:sz w:val="18"/>
          <w:szCs w:val="18"/>
          <w:lang w:eastAsia="ja-JP"/>
        </w:rPr>
        <w:t>, 6(9), 3139-3146.</w:t>
      </w:r>
    </w:p>
    <w:p w14:paraId="70800CC7" w14:textId="77777777" w:rsidR="00E049CB" w:rsidRPr="005E6B7C" w:rsidRDefault="00E049CB" w:rsidP="008C0D47">
      <w:pPr>
        <w:tabs>
          <w:tab w:val="left" w:pos="180"/>
          <w:tab w:val="left" w:pos="270"/>
          <w:tab w:val="left" w:pos="360"/>
          <w:tab w:val="left" w:pos="540"/>
          <w:tab w:val="left" w:pos="9270"/>
        </w:tabs>
        <w:spacing w:line="240" w:lineRule="exact"/>
        <w:ind w:right="-23"/>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Chen Y., Zhang X., Guo Q., Cao L., Qin Q., Li C., Zhao M., Wang W. (2019), Plant morphology, physiological characteristics, accumulation of secondary metabolites and antioxidant activities of </w:t>
      </w:r>
      <w:r w:rsidRPr="005E6B7C">
        <w:rPr>
          <w:rFonts w:asciiTheme="majorHAnsi" w:eastAsia="Yu Mincho" w:hAnsiTheme="majorHAnsi" w:cstheme="majorHAnsi"/>
          <w:i/>
          <w:noProof/>
          <w:color w:val="000000" w:themeColor="text1"/>
          <w:sz w:val="18"/>
          <w:szCs w:val="18"/>
          <w:lang w:eastAsia="ja-JP"/>
        </w:rPr>
        <w:t>Prunella vulgaris</w:t>
      </w:r>
      <w:r w:rsidRPr="005E6B7C">
        <w:rPr>
          <w:rFonts w:asciiTheme="majorHAnsi" w:eastAsia="Yu Mincho" w:hAnsiTheme="majorHAnsi" w:cstheme="majorHAnsi"/>
          <w:noProof/>
          <w:color w:val="000000" w:themeColor="text1"/>
          <w:sz w:val="18"/>
          <w:szCs w:val="18"/>
          <w:lang w:eastAsia="ja-JP"/>
        </w:rPr>
        <w:t xml:space="preserve"> L. under UV solar </w:t>
      </w:r>
      <w:r w:rsidRPr="005E6B7C">
        <w:rPr>
          <w:rFonts w:asciiTheme="majorHAnsi" w:eastAsia="Yu Mincho" w:hAnsiTheme="majorHAnsi" w:cstheme="majorHAnsi"/>
          <w:noProof/>
          <w:color w:val="000000" w:themeColor="text1"/>
          <w:sz w:val="18"/>
          <w:szCs w:val="18"/>
          <w:lang w:eastAsia="ja-JP"/>
        </w:rPr>
        <w:lastRenderedPageBreak/>
        <w:t xml:space="preserve">exclusion, </w:t>
      </w:r>
      <w:r w:rsidRPr="005E6B7C">
        <w:rPr>
          <w:rFonts w:asciiTheme="majorHAnsi" w:eastAsia="Yu Mincho" w:hAnsiTheme="majorHAnsi" w:cstheme="majorHAnsi"/>
          <w:i/>
          <w:noProof/>
          <w:color w:val="000000" w:themeColor="text1"/>
          <w:sz w:val="18"/>
          <w:szCs w:val="18"/>
          <w:lang w:eastAsia="ja-JP"/>
        </w:rPr>
        <w:t>Biological Research</w:t>
      </w:r>
      <w:r w:rsidRPr="005E6B7C">
        <w:rPr>
          <w:rFonts w:asciiTheme="majorHAnsi" w:eastAsia="Yu Mincho" w:hAnsiTheme="majorHAnsi" w:cstheme="majorHAnsi"/>
          <w:noProof/>
          <w:color w:val="000000" w:themeColor="text1"/>
          <w:sz w:val="18"/>
          <w:szCs w:val="18"/>
          <w:lang w:eastAsia="ja-JP"/>
        </w:rPr>
        <w:t>, 52(1), 17.</w:t>
      </w:r>
    </w:p>
    <w:p w14:paraId="7B771983" w14:textId="77777777" w:rsidR="006A6994"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fldChar w:fldCharType="end"/>
      </w:r>
    </w:p>
    <w:p w14:paraId="231AB419" w14:textId="77777777" w:rsidR="006A6994" w:rsidRPr="005E6B7C" w:rsidRDefault="006A6994" w:rsidP="008C0D47">
      <w:pPr>
        <w:widowControl/>
        <w:spacing w:after="200" w:line="276" w:lineRule="auto"/>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br w:type="page"/>
      </w:r>
    </w:p>
    <w:p w14:paraId="527BE026" w14:textId="77777777" w:rsidR="000F698F" w:rsidRPr="005E6B7C" w:rsidRDefault="000F698F" w:rsidP="008C0D47">
      <w:pPr>
        <w:tabs>
          <w:tab w:val="left" w:pos="270"/>
          <w:tab w:val="left" w:pos="540"/>
          <w:tab w:val="left" w:pos="9270"/>
        </w:tabs>
        <w:ind w:right="-20"/>
        <w:rPr>
          <w:rFonts w:asciiTheme="majorHAnsi" w:eastAsia="Times New Roman" w:hAnsiTheme="majorHAnsi" w:cstheme="majorHAnsi"/>
          <w:b/>
          <w:i/>
          <w:color w:val="000000" w:themeColor="text1"/>
          <w:sz w:val="26"/>
          <w:szCs w:val="26"/>
          <w:lang w:eastAsia="ja-JP"/>
        </w:rPr>
      </w:pPr>
      <w:r w:rsidRPr="005E6B7C">
        <w:rPr>
          <w:rFonts w:asciiTheme="majorHAnsi" w:eastAsia="Times New Roman" w:hAnsiTheme="majorHAnsi" w:cstheme="majorHAnsi"/>
          <w:b/>
          <w:i/>
          <w:color w:val="000000" w:themeColor="text1"/>
          <w:sz w:val="26"/>
          <w:szCs w:val="26"/>
          <w:lang w:eastAsia="ja-JP"/>
        </w:rPr>
        <w:lastRenderedPageBreak/>
        <w:t>Journal of Medicinal Materials, 2026, Vol. 31, No. 1+2 (pp</w:t>
      </w:r>
      <w:r w:rsidR="000F51CE" w:rsidRPr="005E6B7C">
        <w:rPr>
          <w:rFonts w:asciiTheme="majorHAnsi" w:eastAsia="Times New Roman" w:hAnsiTheme="majorHAnsi" w:cstheme="majorHAnsi"/>
          <w:b/>
          <w:i/>
          <w:color w:val="000000" w:themeColor="text1"/>
          <w:sz w:val="26"/>
          <w:szCs w:val="26"/>
          <w:lang w:eastAsia="ja-JP"/>
        </w:rPr>
        <w:t>. 88</w:t>
      </w:r>
      <w:r w:rsidRPr="005E6B7C">
        <w:rPr>
          <w:rFonts w:asciiTheme="majorHAnsi" w:eastAsia="Times New Roman" w:hAnsiTheme="majorHAnsi" w:cstheme="majorHAnsi"/>
          <w:b/>
          <w:i/>
          <w:color w:val="000000" w:themeColor="text1"/>
          <w:sz w:val="26"/>
          <w:szCs w:val="26"/>
          <w:lang w:eastAsia="ja-JP"/>
        </w:rPr>
        <w:t xml:space="preserve"> -</w:t>
      </w:r>
      <w:r w:rsidR="000F51CE" w:rsidRPr="005E6B7C">
        <w:rPr>
          <w:rFonts w:asciiTheme="majorHAnsi" w:eastAsia="Times New Roman" w:hAnsiTheme="majorHAnsi" w:cstheme="majorHAnsi"/>
          <w:b/>
          <w:i/>
          <w:color w:val="000000" w:themeColor="text1"/>
          <w:sz w:val="26"/>
          <w:szCs w:val="26"/>
          <w:lang w:eastAsia="ja-JP"/>
        </w:rPr>
        <w:t xml:space="preserve"> 95</w:t>
      </w:r>
      <w:r w:rsidRPr="005E6B7C">
        <w:rPr>
          <w:rFonts w:asciiTheme="majorHAnsi" w:eastAsia="Times New Roman" w:hAnsiTheme="majorHAnsi" w:cstheme="majorHAnsi"/>
          <w:b/>
          <w:i/>
          <w:color w:val="000000" w:themeColor="text1"/>
          <w:sz w:val="26"/>
          <w:szCs w:val="26"/>
          <w:lang w:eastAsia="ja-JP"/>
        </w:rPr>
        <w:t>)</w:t>
      </w:r>
    </w:p>
    <w:p w14:paraId="7552ED10" w14:textId="77777777" w:rsidR="000F698F" w:rsidRPr="005E6B7C" w:rsidRDefault="000F698F" w:rsidP="008C0D47">
      <w:pPr>
        <w:tabs>
          <w:tab w:val="left" w:pos="270"/>
          <w:tab w:val="left" w:pos="540"/>
          <w:tab w:val="left" w:pos="9270"/>
        </w:tabs>
        <w:ind w:right="-20"/>
        <w:jc w:val="center"/>
        <w:rPr>
          <w:sz w:val="22"/>
          <w:szCs w:val="22"/>
        </w:rPr>
      </w:pPr>
    </w:p>
    <w:p w14:paraId="095D8829" w14:textId="77777777" w:rsidR="00E049CB" w:rsidRPr="005E6B7C" w:rsidRDefault="00E049CB" w:rsidP="008C0D47">
      <w:pPr>
        <w:tabs>
          <w:tab w:val="left" w:pos="9270"/>
        </w:tabs>
        <w:ind w:right="-20"/>
        <w:jc w:val="center"/>
        <w:rPr>
          <w:rFonts w:asciiTheme="majorHAnsi" w:eastAsia="Times New Roman" w:hAnsiTheme="majorHAnsi" w:cstheme="majorHAnsi"/>
          <w:bCs/>
          <w:iCs/>
          <w:color w:val="000000" w:themeColor="text1"/>
          <w:sz w:val="22"/>
          <w:szCs w:val="22"/>
          <w:lang w:eastAsia="ja-JP"/>
        </w:rPr>
      </w:pPr>
      <w:r w:rsidRPr="005E6B7C">
        <w:rPr>
          <w:rFonts w:asciiTheme="majorHAnsi" w:eastAsia="Times New Roman" w:hAnsiTheme="majorHAnsi" w:cstheme="majorHAnsi"/>
          <w:b/>
          <w:color w:val="000000" w:themeColor="text1"/>
          <w:sz w:val="26"/>
          <w:szCs w:val="26"/>
          <w:lang w:eastAsia="ja-JP"/>
        </w:rPr>
        <w:t xml:space="preserve">HPTLC SCANNER METHOD FOR THE SIMULTANEOUS DETERMINATION OF </w:t>
      </w:r>
      <w:r w:rsidRPr="005E6B7C">
        <w:rPr>
          <w:rFonts w:asciiTheme="majorHAnsi" w:eastAsia="Times New Roman" w:hAnsiTheme="majorHAnsi" w:cstheme="majorHAnsi"/>
          <w:b/>
          <w:bCs/>
          <w:color w:val="000000" w:themeColor="text1"/>
          <w:sz w:val="26"/>
          <w:szCs w:val="26"/>
          <w:lang w:eastAsia="ja-JP"/>
        </w:rPr>
        <w:t xml:space="preserve">LYCOPENE AND </w:t>
      </w:r>
      <w:r w:rsidRPr="005E6B7C">
        <w:rPr>
          <w:rFonts w:asciiTheme="majorHAnsi" w:eastAsia="Times New Roman" w:hAnsiTheme="majorHAnsi" w:cstheme="majorHAnsi"/>
          <w:b/>
          <w:bCs/>
          <w:i/>
          <w:color w:val="000000" w:themeColor="text1"/>
          <w:sz w:val="26"/>
          <w:szCs w:val="26"/>
          <w:lang w:eastAsia="ja-JP"/>
        </w:rPr>
        <w:t>β</w:t>
      </w:r>
      <w:r w:rsidRPr="005E6B7C">
        <w:rPr>
          <w:rFonts w:asciiTheme="majorHAnsi" w:eastAsia="Times New Roman" w:hAnsiTheme="majorHAnsi" w:cstheme="majorHAnsi"/>
          <w:b/>
          <w:bCs/>
          <w:color w:val="000000" w:themeColor="text1"/>
          <w:sz w:val="26"/>
          <w:szCs w:val="26"/>
          <w:lang w:eastAsia="ja-JP"/>
        </w:rPr>
        <w:t xml:space="preserve">-CAROTENE IN GAC SEED </w:t>
      </w:r>
      <w:bookmarkStart w:id="26" w:name="_Hlk219733463"/>
      <w:r w:rsidRPr="005E6B7C">
        <w:rPr>
          <w:rFonts w:asciiTheme="majorHAnsi" w:eastAsia="Times New Roman" w:hAnsiTheme="majorHAnsi" w:cstheme="majorHAnsi"/>
          <w:b/>
          <w:bCs/>
          <w:color w:val="000000" w:themeColor="text1"/>
          <w:sz w:val="26"/>
          <w:szCs w:val="26"/>
          <w:lang w:eastAsia="ja-JP"/>
        </w:rPr>
        <w:t>ARIL</w:t>
      </w:r>
      <w:bookmarkEnd w:id="26"/>
    </w:p>
    <w:p w14:paraId="643D3E6C" w14:textId="77777777" w:rsidR="00E049CB" w:rsidRPr="005E6B7C" w:rsidRDefault="00E049CB" w:rsidP="008C0D47">
      <w:pPr>
        <w:tabs>
          <w:tab w:val="left" w:pos="9270"/>
        </w:tabs>
        <w:ind w:right="-20"/>
        <w:jc w:val="center"/>
        <w:rPr>
          <w:rFonts w:asciiTheme="majorHAnsi" w:eastAsia="Times New Roman" w:hAnsiTheme="majorHAnsi" w:cstheme="majorHAnsi"/>
          <w:b/>
          <w:bCs/>
          <w:i/>
          <w:iCs/>
          <w:color w:val="000000" w:themeColor="text1"/>
          <w:sz w:val="22"/>
          <w:szCs w:val="22"/>
          <w:lang w:eastAsia="ja-JP"/>
        </w:rPr>
      </w:pPr>
      <w:r w:rsidRPr="005E6B7C">
        <w:rPr>
          <w:rFonts w:asciiTheme="majorHAnsi" w:eastAsia="Times New Roman" w:hAnsiTheme="majorHAnsi" w:cstheme="majorHAnsi"/>
          <w:b/>
          <w:bCs/>
          <w:i/>
          <w:iCs/>
          <w:color w:val="000000" w:themeColor="text1"/>
          <w:sz w:val="22"/>
          <w:szCs w:val="22"/>
          <w:lang w:eastAsia="ja-JP"/>
        </w:rPr>
        <w:t>Pham Thi Hien</w:t>
      </w:r>
      <w:r w:rsidRPr="005E6B7C">
        <w:rPr>
          <w:rFonts w:asciiTheme="majorHAnsi" w:eastAsia="Times New Roman" w:hAnsiTheme="majorHAnsi" w:cstheme="majorHAnsi"/>
          <w:b/>
          <w:bCs/>
          <w:i/>
          <w:iCs/>
          <w:color w:val="000000" w:themeColor="text1"/>
          <w:sz w:val="22"/>
          <w:szCs w:val="22"/>
          <w:vertAlign w:val="superscript"/>
          <w:lang w:eastAsia="ja-JP"/>
        </w:rPr>
        <w:t>1</w:t>
      </w:r>
      <w:r w:rsidRPr="005E6B7C">
        <w:rPr>
          <w:rFonts w:asciiTheme="majorHAnsi" w:eastAsia="Times New Roman" w:hAnsiTheme="majorHAnsi" w:cstheme="majorHAnsi"/>
          <w:b/>
          <w:bCs/>
          <w:i/>
          <w:iCs/>
          <w:color w:val="000000" w:themeColor="text1"/>
          <w:sz w:val="22"/>
          <w:szCs w:val="22"/>
          <w:lang w:eastAsia="ja-JP"/>
        </w:rPr>
        <w:t>, Pham Thi Khuyen</w:t>
      </w:r>
      <w:r w:rsidRPr="005E6B7C">
        <w:rPr>
          <w:rFonts w:asciiTheme="majorHAnsi" w:eastAsia="Times New Roman" w:hAnsiTheme="majorHAnsi" w:cstheme="majorHAnsi"/>
          <w:b/>
          <w:bCs/>
          <w:i/>
          <w:iCs/>
          <w:color w:val="000000" w:themeColor="text1"/>
          <w:sz w:val="22"/>
          <w:szCs w:val="22"/>
          <w:vertAlign w:val="superscript"/>
          <w:lang w:eastAsia="ja-JP"/>
        </w:rPr>
        <w:t>2</w:t>
      </w:r>
      <w:r w:rsidRPr="005E6B7C">
        <w:rPr>
          <w:rFonts w:asciiTheme="majorHAnsi" w:eastAsia="Times New Roman" w:hAnsiTheme="majorHAnsi" w:cstheme="majorHAnsi"/>
          <w:b/>
          <w:bCs/>
          <w:i/>
          <w:iCs/>
          <w:color w:val="000000" w:themeColor="text1"/>
          <w:sz w:val="22"/>
          <w:szCs w:val="22"/>
          <w:lang w:eastAsia="ja-JP"/>
        </w:rPr>
        <w:t>, Nguyen Thi Hang</w:t>
      </w:r>
      <w:r w:rsidRPr="005E6B7C">
        <w:rPr>
          <w:rFonts w:asciiTheme="majorHAnsi" w:eastAsia="Times New Roman" w:hAnsiTheme="majorHAnsi" w:cstheme="majorHAnsi"/>
          <w:b/>
          <w:bCs/>
          <w:i/>
          <w:iCs/>
          <w:color w:val="000000" w:themeColor="text1"/>
          <w:sz w:val="22"/>
          <w:szCs w:val="22"/>
          <w:vertAlign w:val="superscript"/>
          <w:lang w:eastAsia="ja-JP"/>
        </w:rPr>
        <w:t>1</w:t>
      </w:r>
      <w:r w:rsidRPr="005E6B7C">
        <w:rPr>
          <w:rFonts w:asciiTheme="majorHAnsi" w:eastAsia="Times New Roman" w:hAnsiTheme="majorHAnsi" w:cstheme="majorHAnsi"/>
          <w:b/>
          <w:bCs/>
          <w:i/>
          <w:iCs/>
          <w:color w:val="000000" w:themeColor="text1"/>
          <w:sz w:val="22"/>
          <w:szCs w:val="22"/>
          <w:lang w:eastAsia="ja-JP"/>
        </w:rPr>
        <w:t>, Nguyen Thi Lan Hoa</w:t>
      </w:r>
      <w:r w:rsidRPr="005E6B7C">
        <w:rPr>
          <w:rFonts w:asciiTheme="majorHAnsi" w:eastAsia="Times New Roman" w:hAnsiTheme="majorHAnsi" w:cstheme="majorHAnsi"/>
          <w:b/>
          <w:bCs/>
          <w:i/>
          <w:iCs/>
          <w:color w:val="000000" w:themeColor="text1"/>
          <w:sz w:val="22"/>
          <w:szCs w:val="22"/>
          <w:vertAlign w:val="superscript"/>
          <w:lang w:eastAsia="ja-JP"/>
        </w:rPr>
        <w:t>1</w:t>
      </w:r>
      <w:r w:rsidRPr="005E6B7C">
        <w:rPr>
          <w:rFonts w:asciiTheme="majorHAnsi" w:eastAsia="Times New Roman" w:hAnsiTheme="majorHAnsi" w:cstheme="majorHAnsi"/>
          <w:b/>
          <w:bCs/>
          <w:i/>
          <w:iCs/>
          <w:color w:val="000000" w:themeColor="text1"/>
          <w:sz w:val="22"/>
          <w:szCs w:val="22"/>
          <w:lang w:eastAsia="ja-JP"/>
        </w:rPr>
        <w:t xml:space="preserve">, </w:t>
      </w:r>
      <w:r w:rsidR="00AD6EEB" w:rsidRPr="005E6B7C">
        <w:rPr>
          <w:rFonts w:asciiTheme="majorHAnsi" w:eastAsia="Times New Roman" w:hAnsiTheme="majorHAnsi" w:cstheme="majorHAnsi"/>
          <w:b/>
          <w:bCs/>
          <w:i/>
          <w:iCs/>
          <w:color w:val="000000" w:themeColor="text1"/>
          <w:sz w:val="22"/>
          <w:szCs w:val="22"/>
          <w:lang w:eastAsia="ja-JP"/>
        </w:rPr>
        <w:br/>
      </w:r>
      <w:r w:rsidRPr="005E6B7C">
        <w:rPr>
          <w:rFonts w:asciiTheme="majorHAnsi" w:eastAsia="Times New Roman" w:hAnsiTheme="majorHAnsi" w:cstheme="majorHAnsi"/>
          <w:b/>
          <w:bCs/>
          <w:i/>
          <w:iCs/>
          <w:color w:val="000000" w:themeColor="text1"/>
          <w:sz w:val="22"/>
          <w:szCs w:val="22"/>
          <w:lang w:eastAsia="ja-JP"/>
        </w:rPr>
        <w:t>Ta Thi Thao</w:t>
      </w:r>
      <w:r w:rsidRPr="005E6B7C">
        <w:rPr>
          <w:rFonts w:asciiTheme="majorHAnsi" w:eastAsia="Times New Roman" w:hAnsiTheme="majorHAnsi" w:cstheme="majorHAnsi"/>
          <w:b/>
          <w:bCs/>
          <w:i/>
          <w:iCs/>
          <w:color w:val="000000" w:themeColor="text1"/>
          <w:sz w:val="22"/>
          <w:szCs w:val="22"/>
          <w:vertAlign w:val="superscript"/>
          <w:lang w:eastAsia="ja-JP"/>
        </w:rPr>
        <w:t>2</w:t>
      </w:r>
      <w:r w:rsidRPr="005E6B7C">
        <w:rPr>
          <w:rFonts w:asciiTheme="majorHAnsi" w:eastAsia="Times New Roman" w:hAnsiTheme="majorHAnsi" w:cstheme="majorHAnsi"/>
          <w:b/>
          <w:bCs/>
          <w:i/>
          <w:iCs/>
          <w:color w:val="000000" w:themeColor="text1"/>
          <w:sz w:val="22"/>
          <w:szCs w:val="22"/>
          <w:lang w:eastAsia="ja-JP"/>
        </w:rPr>
        <w:t>, Do Thi Ha</w:t>
      </w:r>
      <w:r w:rsidRPr="005E6B7C">
        <w:rPr>
          <w:rFonts w:asciiTheme="majorHAnsi" w:eastAsia="Times New Roman" w:hAnsiTheme="majorHAnsi" w:cstheme="majorHAnsi"/>
          <w:b/>
          <w:bCs/>
          <w:i/>
          <w:iCs/>
          <w:color w:val="000000" w:themeColor="text1"/>
          <w:sz w:val="22"/>
          <w:szCs w:val="22"/>
          <w:vertAlign w:val="superscript"/>
          <w:lang w:eastAsia="ja-JP"/>
        </w:rPr>
        <w:t>1</w:t>
      </w:r>
      <w:r w:rsidRPr="005E6B7C">
        <w:rPr>
          <w:rFonts w:asciiTheme="majorHAnsi" w:eastAsia="Times New Roman" w:hAnsiTheme="majorHAnsi" w:cstheme="majorHAnsi"/>
          <w:b/>
          <w:bCs/>
          <w:i/>
          <w:iCs/>
          <w:color w:val="000000" w:themeColor="text1"/>
          <w:sz w:val="22"/>
          <w:szCs w:val="22"/>
          <w:lang w:eastAsia="ja-JP"/>
        </w:rPr>
        <w:t>, Nguyen Thi Ha Ly</w:t>
      </w:r>
      <w:r w:rsidRPr="005E6B7C">
        <w:rPr>
          <w:rFonts w:asciiTheme="majorHAnsi" w:eastAsia="Times New Roman" w:hAnsiTheme="majorHAnsi" w:cstheme="majorHAnsi"/>
          <w:b/>
          <w:bCs/>
          <w:i/>
          <w:iCs/>
          <w:color w:val="000000" w:themeColor="text1"/>
          <w:sz w:val="22"/>
          <w:szCs w:val="22"/>
          <w:vertAlign w:val="superscript"/>
          <w:lang w:eastAsia="ja-JP"/>
        </w:rPr>
        <w:t>1,</w:t>
      </w:r>
      <w:r w:rsidRPr="005E6B7C">
        <w:rPr>
          <w:rFonts w:asciiTheme="majorHAnsi" w:eastAsia="Times New Roman" w:hAnsiTheme="majorHAnsi" w:cstheme="majorHAnsi"/>
          <w:b/>
          <w:bCs/>
          <w:i/>
          <w:iCs/>
          <w:color w:val="000000" w:themeColor="text1"/>
          <w:sz w:val="22"/>
          <w:szCs w:val="22"/>
          <w:lang w:eastAsia="ja-JP"/>
        </w:rPr>
        <w:t>*</w:t>
      </w:r>
    </w:p>
    <w:p w14:paraId="1C90918C" w14:textId="041EEAE9" w:rsidR="00E049CB" w:rsidRPr="005E6B7C" w:rsidRDefault="00E049CB" w:rsidP="008C0D47">
      <w:pPr>
        <w:tabs>
          <w:tab w:val="left" w:pos="9270"/>
        </w:tabs>
        <w:ind w:right="-20"/>
        <w:jc w:val="center"/>
        <w:rPr>
          <w:rFonts w:asciiTheme="majorHAnsi" w:eastAsia="Times New Roman" w:hAnsiTheme="majorHAnsi" w:cstheme="majorHAnsi"/>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vertAlign w:val="superscript"/>
          <w:lang w:eastAsia="ja-JP"/>
        </w:rPr>
        <w:t>1</w:t>
      </w:r>
      <w:r w:rsidR="00517F81" w:rsidRPr="005E6B7C">
        <w:rPr>
          <w:rFonts w:asciiTheme="majorHAnsi" w:eastAsia="Times New Roman" w:hAnsiTheme="majorHAnsi" w:cstheme="majorHAnsi"/>
          <w:bCs/>
          <w:i/>
          <w:iCs/>
          <w:color w:val="000000" w:themeColor="text1"/>
          <w:sz w:val="22"/>
          <w:szCs w:val="22"/>
          <w:lang w:eastAsia="ja-JP"/>
        </w:rPr>
        <w:t>National Institute of Medic</w:t>
      </w:r>
      <w:r w:rsidR="006F0463" w:rsidRPr="005E6B7C">
        <w:rPr>
          <w:rFonts w:asciiTheme="majorHAnsi" w:eastAsia="Times New Roman" w:hAnsiTheme="majorHAnsi" w:cstheme="majorHAnsi"/>
          <w:bCs/>
          <w:i/>
          <w:iCs/>
          <w:color w:val="000000" w:themeColor="text1"/>
          <w:sz w:val="22"/>
          <w:szCs w:val="22"/>
          <w:lang w:eastAsia="ja-JP"/>
        </w:rPr>
        <w:t>in</w:t>
      </w:r>
      <w:r w:rsidR="00517F81" w:rsidRPr="005E6B7C">
        <w:rPr>
          <w:rFonts w:asciiTheme="majorHAnsi" w:eastAsia="Times New Roman" w:hAnsiTheme="majorHAnsi" w:cstheme="majorHAnsi"/>
          <w:bCs/>
          <w:i/>
          <w:iCs/>
          <w:color w:val="000000" w:themeColor="text1"/>
          <w:sz w:val="22"/>
          <w:szCs w:val="22"/>
          <w:lang w:eastAsia="ja-JP"/>
        </w:rPr>
        <w:t xml:space="preserve">al Materials (NIMM), Hanoi 11018, Vietnam; </w:t>
      </w:r>
    </w:p>
    <w:p w14:paraId="712C794E" w14:textId="77777777" w:rsidR="00E049CB" w:rsidRPr="005E6B7C" w:rsidRDefault="00E049CB" w:rsidP="008C0D47">
      <w:pPr>
        <w:tabs>
          <w:tab w:val="left" w:pos="9270"/>
        </w:tabs>
        <w:ind w:right="-20"/>
        <w:jc w:val="center"/>
        <w:rPr>
          <w:rFonts w:asciiTheme="majorHAnsi" w:eastAsia="Times New Roman" w:hAnsiTheme="majorHAnsi" w:cstheme="majorHAnsi"/>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vertAlign w:val="superscript"/>
          <w:lang w:eastAsia="ja-JP"/>
        </w:rPr>
        <w:t>2</w:t>
      </w:r>
      <w:r w:rsidRPr="005E6B7C">
        <w:rPr>
          <w:rFonts w:asciiTheme="majorHAnsi" w:eastAsia="Times New Roman" w:hAnsiTheme="majorHAnsi" w:cstheme="majorHAnsi"/>
          <w:bCs/>
          <w:i/>
          <w:color w:val="000000" w:themeColor="text1"/>
          <w:sz w:val="22"/>
          <w:szCs w:val="22"/>
          <w:lang w:eastAsia="ja-JP"/>
        </w:rPr>
        <w:t>University of Science, Vietnam National University, Hanoi, Vietnam</w:t>
      </w:r>
    </w:p>
    <w:p w14:paraId="5236902F" w14:textId="77777777" w:rsidR="00E049CB" w:rsidRPr="005E6B7C" w:rsidRDefault="00782F38" w:rsidP="008C0D47">
      <w:pPr>
        <w:tabs>
          <w:tab w:val="left" w:pos="9270"/>
        </w:tabs>
        <w:ind w:right="-20"/>
        <w:jc w:val="center"/>
        <w:rPr>
          <w:rFonts w:asciiTheme="majorHAnsi" w:eastAsia="Times New Roman" w:hAnsiTheme="majorHAnsi" w:cstheme="majorHAnsi"/>
          <w:b/>
          <w:bCs/>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*Corresponding author: </w:t>
      </w:r>
      <w:r w:rsidR="00E049CB" w:rsidRPr="005E6B7C">
        <w:rPr>
          <w:rFonts w:asciiTheme="majorHAnsi" w:eastAsia="Times New Roman" w:hAnsiTheme="majorHAnsi" w:cstheme="majorHAnsi"/>
          <w:bCs/>
          <w:iCs/>
          <w:color w:val="000000" w:themeColor="text1"/>
          <w:sz w:val="22"/>
          <w:szCs w:val="22"/>
          <w:lang w:eastAsia="ja-JP"/>
        </w:rPr>
        <w:t>nguyenthihaly.chem@gmail.com</w:t>
      </w:r>
    </w:p>
    <w:p w14:paraId="124635D1" w14:textId="09D349E5" w:rsidR="00AD16CC" w:rsidRPr="005E6B7C" w:rsidRDefault="00AD16CC" w:rsidP="008C0D47">
      <w:pPr>
        <w:tabs>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November 20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2025               Accepted January 17</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2A8B4521" w14:textId="77777777" w:rsidR="00E049CB" w:rsidRPr="005E6B7C" w:rsidRDefault="005D308C"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3BE7D14A" w14:textId="4C10FDDD" w:rsidR="00E049CB" w:rsidRPr="005E6B7C" w:rsidRDefault="00E049CB" w:rsidP="008C0D47">
      <w:pPr>
        <w:tabs>
          <w:tab w:val="left" w:pos="540"/>
          <w:tab w:val="left" w:pos="9270"/>
        </w:tabs>
        <w:ind w:right="-20" w:firstLine="284"/>
        <w:jc w:val="both"/>
        <w:rPr>
          <w:rFonts w:asciiTheme="majorHAnsi" w:eastAsia="Times New Roman" w:hAnsiTheme="majorHAnsi" w:cstheme="majorHAnsi"/>
          <w:bCs/>
          <w:iCs/>
          <w:color w:val="000000" w:themeColor="text1"/>
          <w:sz w:val="18"/>
          <w:szCs w:val="18"/>
          <w:lang w:eastAsia="ja-JP"/>
        </w:rPr>
      </w:pPr>
      <w:r w:rsidRPr="005E6B7C">
        <w:rPr>
          <w:rFonts w:asciiTheme="majorHAnsi" w:eastAsia="Times New Roman" w:hAnsiTheme="majorHAnsi" w:cstheme="majorHAnsi"/>
          <w:bCs/>
          <w:iCs/>
          <w:color w:val="000000" w:themeColor="text1"/>
          <w:sz w:val="18"/>
          <w:szCs w:val="18"/>
          <w:lang w:eastAsia="ja-JP"/>
        </w:rPr>
        <w:t xml:space="preserve">This study successfully established and validated a High-Performance Thin-Layer Chromatography (HPTLC) method, </w:t>
      </w:r>
      <w:r w:rsidR="006F0463" w:rsidRPr="005E6B7C">
        <w:rPr>
          <w:rFonts w:asciiTheme="majorHAnsi" w:eastAsia="Times New Roman" w:hAnsiTheme="majorHAnsi" w:cstheme="majorHAnsi"/>
          <w:bCs/>
          <w:iCs/>
          <w:color w:val="000000" w:themeColor="text1"/>
          <w:sz w:val="18"/>
          <w:szCs w:val="18"/>
          <w:lang w:eastAsia="ja-JP"/>
        </w:rPr>
        <w:t xml:space="preserve">HPTLC Scanner Method </w:t>
      </w:r>
      <w:r w:rsidRPr="005E6B7C">
        <w:rPr>
          <w:rFonts w:asciiTheme="majorHAnsi" w:eastAsia="Times New Roman" w:hAnsiTheme="majorHAnsi" w:cstheme="majorHAnsi"/>
          <w:bCs/>
          <w:iCs/>
          <w:color w:val="000000" w:themeColor="text1"/>
          <w:sz w:val="18"/>
          <w:szCs w:val="18"/>
          <w:lang w:eastAsia="ja-JP"/>
        </w:rPr>
        <w:t xml:space="preserve">for the simultaneous quantification of two marker carotenoid compounds, lycopene and </w:t>
      </w:r>
      <w:r w:rsidRPr="005E6B7C">
        <w:rPr>
          <w:rFonts w:asciiTheme="majorHAnsi" w:eastAsia="Yu Mincho" w:hAnsiTheme="majorHAnsi" w:cstheme="majorHAnsi"/>
          <w:i/>
          <w:iCs/>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w:t>
      </w:r>
      <w:r w:rsidRPr="005E6B7C">
        <w:rPr>
          <w:rFonts w:asciiTheme="majorHAnsi" w:eastAsia="Times New Roman" w:hAnsiTheme="majorHAnsi" w:cstheme="majorHAnsi"/>
          <w:bCs/>
          <w:iCs/>
          <w:color w:val="000000" w:themeColor="text1"/>
          <w:sz w:val="18"/>
          <w:szCs w:val="18"/>
          <w:lang w:eastAsia="ja-JP"/>
        </w:rPr>
        <w:t>carotene, in the aril of Gac (</w:t>
      </w:r>
      <w:r w:rsidRPr="005E6B7C">
        <w:rPr>
          <w:rFonts w:asciiTheme="majorHAnsi" w:eastAsia="Times New Roman" w:hAnsiTheme="majorHAnsi" w:cstheme="majorHAnsi"/>
          <w:bCs/>
          <w:i/>
          <w:color w:val="000000" w:themeColor="text1"/>
          <w:sz w:val="18"/>
          <w:szCs w:val="18"/>
          <w:lang w:eastAsia="ja-JP"/>
        </w:rPr>
        <w:t>Momordica cochinchinensis</w:t>
      </w:r>
      <w:r w:rsidRPr="005E6B7C">
        <w:rPr>
          <w:rFonts w:asciiTheme="majorHAnsi" w:eastAsia="Times New Roman" w:hAnsiTheme="majorHAnsi" w:cstheme="majorHAnsi"/>
          <w:bCs/>
          <w:iCs/>
          <w:color w:val="000000" w:themeColor="text1"/>
          <w:sz w:val="18"/>
          <w:szCs w:val="18"/>
          <w:lang w:eastAsia="ja-JP"/>
        </w:rPr>
        <w:t xml:space="preserve"> Spreng.). </w:t>
      </w:r>
      <w:r w:rsidR="006F0463" w:rsidRPr="005E6B7C">
        <w:rPr>
          <w:rFonts w:asciiTheme="majorHAnsi" w:eastAsia="Times New Roman" w:hAnsiTheme="majorHAnsi" w:cstheme="majorHAnsi"/>
          <w:bCs/>
          <w:iCs/>
          <w:color w:val="000000" w:themeColor="text1"/>
          <w:sz w:val="18"/>
          <w:szCs w:val="18"/>
          <w:lang w:eastAsia="ja-JP"/>
        </w:rPr>
        <w:t>This method provides a rapid, cost-effective, and reliable analysis</w:t>
      </w:r>
      <w:r w:rsidRPr="005E6B7C">
        <w:rPr>
          <w:rFonts w:asciiTheme="majorHAnsi" w:eastAsia="Times New Roman" w:hAnsiTheme="majorHAnsi" w:cstheme="majorHAnsi"/>
          <w:bCs/>
          <w:iCs/>
          <w:color w:val="000000" w:themeColor="text1"/>
          <w:sz w:val="18"/>
          <w:szCs w:val="18"/>
          <w:lang w:eastAsia="ja-JP"/>
        </w:rPr>
        <w:t xml:space="preserve">. The validation results, conducted according to international standards (ICH and AOAC), indicated that the new method possesses high reliability, with intra-day and inter-day precision both being below 5%, and the accuracy falling within the acceptable range of 96.50% to 102.12%. The content of </w:t>
      </w:r>
      <w:r w:rsidR="006F0463" w:rsidRPr="005E6B7C">
        <w:rPr>
          <w:rFonts w:asciiTheme="majorHAnsi" w:eastAsia="Times New Roman" w:hAnsiTheme="majorHAnsi" w:cstheme="majorHAnsi"/>
          <w:bCs/>
          <w:iCs/>
          <w:color w:val="000000" w:themeColor="text1"/>
          <w:sz w:val="18"/>
          <w:szCs w:val="18"/>
          <w:lang w:eastAsia="ja-JP"/>
        </w:rPr>
        <w:t>the</w:t>
      </w:r>
      <w:r w:rsidR="006F0463" w:rsidRPr="005E6B7C">
        <w:rPr>
          <w:rFonts w:asciiTheme="majorHAnsi" w:eastAsia="Times New Roman" w:hAnsiTheme="majorHAnsi" w:cstheme="majorHAnsi"/>
          <w:bCs/>
          <w:iCs/>
          <w:color w:val="000000" w:themeColor="text1"/>
          <w:sz w:val="18"/>
          <w:szCs w:val="18"/>
          <w:lang w:val="vi-VN" w:eastAsia="ja-JP"/>
        </w:rPr>
        <w:t xml:space="preserve"> </w:t>
      </w:r>
      <w:r w:rsidRPr="005E6B7C">
        <w:rPr>
          <w:rFonts w:asciiTheme="majorHAnsi" w:eastAsia="Times New Roman" w:hAnsiTheme="majorHAnsi" w:cstheme="majorHAnsi"/>
          <w:bCs/>
          <w:iCs/>
          <w:color w:val="000000" w:themeColor="text1"/>
          <w:sz w:val="18"/>
          <w:szCs w:val="18"/>
          <w:lang w:eastAsia="ja-JP"/>
        </w:rPr>
        <w:t xml:space="preserve">two marker carotenoid compounds in ten samples of Gac seed aril collected in Vietnam revealed significant variability: lycopene ranged from 0.03% to 1.01%, and </w:t>
      </w:r>
      <w:r w:rsidRPr="005E6B7C">
        <w:rPr>
          <w:rFonts w:asciiTheme="majorHAnsi" w:eastAsia="Times New Roman" w:hAnsiTheme="majorHAnsi" w:cstheme="majorHAnsi"/>
          <w:bCs/>
          <w:i/>
          <w:color w:val="000000" w:themeColor="text1"/>
          <w:sz w:val="18"/>
          <w:szCs w:val="18"/>
          <w:lang w:eastAsia="ja-JP"/>
        </w:rPr>
        <w:t>β</w:t>
      </w:r>
      <w:r w:rsidRPr="005E6B7C">
        <w:rPr>
          <w:rFonts w:asciiTheme="majorHAnsi" w:eastAsia="Times New Roman" w:hAnsiTheme="majorHAnsi" w:cstheme="majorHAnsi"/>
          <w:bCs/>
          <w:iCs/>
          <w:color w:val="000000" w:themeColor="text1"/>
          <w:sz w:val="18"/>
          <w:szCs w:val="18"/>
          <w:lang w:eastAsia="ja-JP"/>
        </w:rPr>
        <w:t>-carotene ranged from 0.09 to 1.43 mg/g. The quantification results obtained by the HPTLC-scanner method showed a very high correlation with the previously developed High-Performance Liquid Chromatography (HPLC-DAD) method (R</w:t>
      </w:r>
      <w:r w:rsidR="007A051F" w:rsidRPr="005E6B7C">
        <w:rPr>
          <w:rFonts w:asciiTheme="majorHAnsi" w:eastAsia="Times New Roman" w:hAnsiTheme="majorHAnsi" w:cstheme="majorHAnsi"/>
          <w:bCs/>
          <w:iCs/>
          <w:color w:val="000000" w:themeColor="text1"/>
          <w:sz w:val="18"/>
          <w:szCs w:val="18"/>
          <w:vertAlign w:val="superscript"/>
          <w:lang w:eastAsia="ja-JP"/>
        </w:rPr>
        <w:t>2</w:t>
      </w:r>
      <w:r w:rsidRPr="005E6B7C">
        <w:rPr>
          <w:rFonts w:asciiTheme="majorHAnsi" w:eastAsia="Times New Roman" w:hAnsiTheme="majorHAnsi" w:cstheme="majorHAnsi"/>
          <w:bCs/>
          <w:iCs/>
          <w:color w:val="000000" w:themeColor="text1"/>
          <w:sz w:val="18"/>
          <w:szCs w:val="18"/>
          <w:lang w:eastAsia="ja-JP"/>
        </w:rPr>
        <w:t xml:space="preserve"> &gt; </w:t>
      </w:r>
      <w:r w:rsidR="00B115A7" w:rsidRPr="005E6B7C">
        <w:rPr>
          <w:rFonts w:asciiTheme="majorHAnsi" w:eastAsia="Times New Roman" w:hAnsiTheme="majorHAnsi" w:cstheme="majorHAnsi"/>
          <w:bCs/>
          <w:iCs/>
          <w:color w:val="000000" w:themeColor="text1"/>
          <w:sz w:val="18"/>
          <w:szCs w:val="18"/>
          <w:lang w:eastAsia="ja-JP"/>
        </w:rPr>
        <w:t>0.</w:t>
      </w:r>
      <w:r w:rsidRPr="005E6B7C">
        <w:rPr>
          <w:rFonts w:asciiTheme="majorHAnsi" w:eastAsia="Times New Roman" w:hAnsiTheme="majorHAnsi" w:cstheme="majorHAnsi"/>
          <w:bCs/>
          <w:iCs/>
          <w:color w:val="000000" w:themeColor="text1"/>
          <w:sz w:val="18"/>
          <w:szCs w:val="18"/>
          <w:lang w:eastAsia="ja-JP"/>
        </w:rPr>
        <w:t>95).</w:t>
      </w:r>
    </w:p>
    <w:p w14:paraId="4754D69B" w14:textId="11E795DF" w:rsidR="00E049CB" w:rsidRPr="005E6B7C" w:rsidRDefault="00E049CB" w:rsidP="008C0D47">
      <w:pPr>
        <w:tabs>
          <w:tab w:val="left" w:pos="540"/>
          <w:tab w:val="left" w:pos="9270"/>
        </w:tabs>
        <w:ind w:right="-20" w:firstLine="284"/>
        <w:jc w:val="both"/>
        <w:rPr>
          <w:rFonts w:asciiTheme="majorHAnsi" w:eastAsia="Times New Roman" w:hAnsiTheme="majorHAnsi" w:cstheme="majorHAnsi"/>
          <w:bCs/>
          <w:i/>
          <w:color w:val="000000" w:themeColor="text1"/>
          <w:sz w:val="18"/>
          <w:szCs w:val="18"/>
          <w:lang w:eastAsia="ja-JP"/>
        </w:rPr>
      </w:pPr>
      <w:r w:rsidRPr="005E6B7C">
        <w:rPr>
          <w:rFonts w:asciiTheme="majorHAnsi" w:eastAsia="Times New Roman" w:hAnsiTheme="majorHAnsi" w:cstheme="majorHAnsi"/>
          <w:b/>
          <w:bCs/>
          <w:iCs/>
          <w:color w:val="000000" w:themeColor="text1"/>
          <w:sz w:val="18"/>
          <w:szCs w:val="18"/>
          <w:lang w:eastAsia="ja-JP"/>
        </w:rPr>
        <w:t>Keywords:</w:t>
      </w:r>
      <w:r w:rsidRPr="005E6B7C">
        <w:rPr>
          <w:rFonts w:asciiTheme="majorHAnsi" w:eastAsia="Times New Roman" w:hAnsiTheme="majorHAnsi" w:cstheme="majorHAnsi"/>
          <w:bCs/>
          <w:iCs/>
          <w:color w:val="000000" w:themeColor="text1"/>
          <w:sz w:val="18"/>
          <w:szCs w:val="18"/>
          <w:lang w:eastAsia="ja-JP"/>
        </w:rPr>
        <w:t xml:space="preserve"> </w:t>
      </w:r>
      <w:r w:rsidRPr="005E6B7C">
        <w:rPr>
          <w:rFonts w:asciiTheme="majorHAnsi" w:eastAsia="Times New Roman" w:hAnsiTheme="majorHAnsi" w:cstheme="majorHAnsi"/>
          <w:bCs/>
          <w:i/>
          <w:color w:val="000000" w:themeColor="text1"/>
          <w:sz w:val="18"/>
          <w:szCs w:val="18"/>
          <w:lang w:eastAsia="ja-JP"/>
        </w:rPr>
        <w:t>Momordica cochinchinensis</w:t>
      </w:r>
      <w:r w:rsidRPr="005E6B7C">
        <w:rPr>
          <w:rFonts w:asciiTheme="majorHAnsi" w:eastAsia="Times New Roman" w:hAnsiTheme="majorHAnsi" w:cstheme="majorHAnsi"/>
          <w:bCs/>
          <w:iCs/>
          <w:color w:val="000000" w:themeColor="text1"/>
          <w:sz w:val="18"/>
          <w:szCs w:val="18"/>
          <w:lang w:eastAsia="ja-JP"/>
        </w:rPr>
        <w:t xml:space="preserve"> </w:t>
      </w:r>
      <w:r w:rsidR="006F0463" w:rsidRPr="005E6B7C">
        <w:rPr>
          <w:rFonts w:asciiTheme="majorHAnsi" w:eastAsia="Times New Roman" w:hAnsiTheme="majorHAnsi" w:cstheme="majorHAnsi"/>
          <w:bCs/>
          <w:iCs/>
          <w:color w:val="000000" w:themeColor="text1"/>
          <w:sz w:val="18"/>
          <w:szCs w:val="18"/>
          <w:lang w:val="vi-VN" w:eastAsia="ja-JP"/>
        </w:rPr>
        <w:t xml:space="preserve">(Lour.) </w:t>
      </w:r>
      <w:r w:rsidRPr="005E6B7C">
        <w:rPr>
          <w:rFonts w:asciiTheme="majorHAnsi" w:eastAsia="Times New Roman" w:hAnsiTheme="majorHAnsi" w:cstheme="majorHAnsi"/>
          <w:bCs/>
          <w:iCs/>
          <w:color w:val="000000" w:themeColor="text1"/>
          <w:sz w:val="18"/>
          <w:szCs w:val="18"/>
          <w:lang w:eastAsia="ja-JP"/>
        </w:rPr>
        <w:t xml:space="preserve">Spreng.; </w:t>
      </w:r>
      <w:r w:rsidRPr="005E6B7C">
        <w:rPr>
          <w:rFonts w:asciiTheme="majorHAnsi" w:eastAsia="Times New Roman" w:hAnsiTheme="majorHAnsi" w:cstheme="majorHAnsi"/>
          <w:bCs/>
          <w:i/>
          <w:color w:val="000000" w:themeColor="text1"/>
          <w:sz w:val="18"/>
          <w:szCs w:val="18"/>
          <w:lang w:eastAsia="ja-JP"/>
        </w:rPr>
        <w:t xml:space="preserve">HPTLC scanner; Validation method; Lycopene, </w:t>
      </w:r>
      <w:r w:rsidRPr="005E6B7C">
        <w:rPr>
          <w:rFonts w:asciiTheme="majorHAnsi" w:eastAsia="Yu Mincho" w:hAnsiTheme="majorHAnsi" w:cstheme="majorHAnsi"/>
          <w:i/>
          <w:color w:val="000000" w:themeColor="text1"/>
          <w:sz w:val="18"/>
          <w:szCs w:val="18"/>
          <w:lang w:eastAsia="ja-JP"/>
        </w:rPr>
        <w:t>β-</w:t>
      </w:r>
      <w:r w:rsidRPr="005E6B7C">
        <w:rPr>
          <w:rFonts w:asciiTheme="majorHAnsi" w:eastAsia="Times New Roman" w:hAnsiTheme="majorHAnsi" w:cstheme="majorHAnsi"/>
          <w:bCs/>
          <w:i/>
          <w:color w:val="000000" w:themeColor="text1"/>
          <w:sz w:val="18"/>
          <w:szCs w:val="18"/>
          <w:lang w:eastAsia="ja-JP"/>
        </w:rPr>
        <w:t xml:space="preserve">carotene. </w:t>
      </w:r>
    </w:p>
    <w:p w14:paraId="1CB9C02B"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b/>
          <w:bCs/>
          <w:color w:val="000000" w:themeColor="text1"/>
          <w:sz w:val="22"/>
          <w:szCs w:val="22"/>
          <w:lang w:eastAsia="ja-JP"/>
        </w:rPr>
      </w:pPr>
    </w:p>
    <w:p w14:paraId="1D0DEC84"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0F51CE" w:rsidRPr="005E6B7C" w:rsidSect="002206BB">
          <w:type w:val="continuous"/>
          <w:pgSz w:w="10773" w:h="15309" w:code="9"/>
          <w:pgMar w:top="907" w:right="851" w:bottom="1418" w:left="851" w:header="397" w:footer="851" w:gutter="0"/>
          <w:cols w:space="284"/>
          <w:docGrid w:linePitch="360"/>
        </w:sectPr>
      </w:pPr>
    </w:p>
    <w:p w14:paraId="3A3754F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1. Introduction</w:t>
      </w:r>
    </w:p>
    <w:p w14:paraId="77C2D5AD" w14:textId="5BF607FA"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Gac (</w:t>
      </w:r>
      <w:r w:rsidRPr="005E6B7C">
        <w:rPr>
          <w:rFonts w:asciiTheme="majorHAnsi" w:eastAsia="Yu Mincho" w:hAnsiTheme="majorHAnsi" w:cstheme="majorHAnsi"/>
          <w:i/>
          <w:iCs/>
          <w:color w:val="000000" w:themeColor="text1"/>
          <w:sz w:val="22"/>
          <w:szCs w:val="22"/>
          <w:lang w:eastAsia="ja-JP"/>
        </w:rPr>
        <w:t>Momordica cochinchinensis</w:t>
      </w:r>
      <w:r w:rsidRPr="005E6B7C">
        <w:rPr>
          <w:rFonts w:asciiTheme="majorHAnsi" w:eastAsia="Yu Mincho" w:hAnsiTheme="majorHAnsi" w:cstheme="majorHAnsi"/>
          <w:color w:val="000000" w:themeColor="text1"/>
          <w:sz w:val="22"/>
          <w:szCs w:val="22"/>
          <w:lang w:eastAsia="ja-JP"/>
        </w:rPr>
        <w:t xml:space="preserve"> </w:t>
      </w:r>
      <w:r w:rsidR="006F0463" w:rsidRPr="005E6B7C">
        <w:rPr>
          <w:rFonts w:asciiTheme="majorHAnsi" w:eastAsia="Yu Mincho" w:hAnsiTheme="majorHAnsi" w:cstheme="majorHAnsi"/>
          <w:color w:val="000000" w:themeColor="text1"/>
          <w:sz w:val="22"/>
          <w:szCs w:val="22"/>
          <w:lang w:val="vi-VN" w:eastAsia="ja-JP"/>
        </w:rPr>
        <w:t xml:space="preserve">(Lour.) </w:t>
      </w:r>
      <w:r w:rsidRPr="005E6B7C">
        <w:rPr>
          <w:rFonts w:asciiTheme="majorHAnsi" w:eastAsia="Yu Mincho" w:hAnsiTheme="majorHAnsi" w:cstheme="majorHAnsi"/>
          <w:color w:val="000000" w:themeColor="text1"/>
          <w:sz w:val="22"/>
          <w:szCs w:val="22"/>
          <w:lang w:eastAsia="ja-JP"/>
        </w:rPr>
        <w:t xml:space="preserve">Spreng., which belongs to the Cucurbitaceae family, originates from the South and Southeast Asian regions, including Vietnam and China [1],[2]. In traditional Vietnamese medicine, Gac is widely used, particularly for the deep red natural coloring in Gac sticky rice, and traditional Gac oil is applied in the supportive treatment of visual disorders (dry eyes, night blindness) [3],[4]. The Gac </w:t>
      </w:r>
      <w:r w:rsidRPr="005E6B7C">
        <w:rPr>
          <w:rFonts w:asciiTheme="majorHAnsi" w:eastAsia="Calibri" w:hAnsiTheme="majorHAnsi" w:cstheme="majorHAnsi"/>
          <w:iCs/>
          <w:color w:val="000000" w:themeColor="text1"/>
          <w:sz w:val="22"/>
          <w:szCs w:val="22"/>
          <w:lang w:eastAsia="ja-JP"/>
        </w:rPr>
        <w:t xml:space="preserve">seed </w:t>
      </w:r>
      <w:r w:rsidRPr="005E6B7C">
        <w:rPr>
          <w:rFonts w:asciiTheme="majorHAnsi" w:eastAsia="Yu Mincho" w:hAnsiTheme="majorHAnsi" w:cstheme="majorHAnsi"/>
          <w:color w:val="000000" w:themeColor="text1"/>
          <w:sz w:val="22"/>
          <w:szCs w:val="22"/>
          <w:lang w:eastAsia="ja-JP"/>
        </w:rPr>
        <w:t>aril, which is the dark red membrane enveloping the seed, has been identified as the component with the highest nutritional and pharmacological value in the fruit. This</w:t>
      </w:r>
      <w:r w:rsidRPr="005E6B7C">
        <w:rPr>
          <w:rFonts w:asciiTheme="majorHAnsi" w:eastAsia="Calibri" w:hAnsiTheme="majorHAnsi" w:cstheme="majorHAnsi"/>
          <w:iCs/>
          <w:color w:val="000000" w:themeColor="text1"/>
          <w:sz w:val="22"/>
          <w:szCs w:val="22"/>
          <w:lang w:eastAsia="ja-JP"/>
        </w:rPr>
        <w:t xml:space="preserve"> seed</w:t>
      </w:r>
      <w:r w:rsidRPr="005E6B7C">
        <w:rPr>
          <w:rFonts w:asciiTheme="majorHAnsi" w:eastAsia="Yu Mincho" w:hAnsiTheme="majorHAnsi" w:cstheme="majorHAnsi"/>
          <w:color w:val="000000" w:themeColor="text1"/>
          <w:sz w:val="22"/>
          <w:szCs w:val="22"/>
          <w:lang w:eastAsia="ja-JP"/>
        </w:rPr>
        <w:t xml:space="preserve"> aril has an exceptionally high carotenoid content, notably lycopene and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with concentrations exceeding those found in common plant sources, such as tomatoes and carrots [3],[5]. Regarding lipid composition, oil accounts for approximately 22% of the aril’s dry weight, with the major fatty acids including oleic acid (32%), palmitic acid (29%), and linoleic acid (28%)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eastAsia="ja-JP"/>
        </w:rPr>
        <w:instrText>ADDIN EN.CITE &lt;EndNote&gt;&lt;Cite&gt;&lt;Author&gt;Chuyen&lt;/Author&gt;&lt;Year&gt;2015&lt;/Year&gt;&lt;RecNum&gt;2&lt;/RecNum&gt;&lt;DisplayText&gt;[3]&lt;/DisplayText&gt;&lt;record&gt;&lt;rec-number&gt;2&lt;/rec-number&gt;&lt;foreign-keys&gt;&lt;key app="EN" db-id="zvss09fwqdrr95e22x2psf9cesset2wwterz" timestamp="1768226299"&gt;2&lt;/key&gt;&lt;/foreign-keys&gt;&lt;ref-type name="Journal Article"&gt;17&lt;/ref-type&gt;&lt;contributors&gt;&lt;authors&gt;&lt;author&gt;Chuyen H. V.,&lt;/author&gt;&lt;author&gt;Nguyen M. H.,&lt;/author&gt;&lt;author&gt;Roach P. D.,&lt;/author&gt;&lt;author&gt;Golding J. B.,&lt;/author&gt;&lt;author&gt;Parks S. E.,&lt;/author&gt;&lt;/authors&gt;&lt;/contributors&gt;&lt;titles&gt;&lt;title&gt;&lt;style face="normal" font="default" size="100%"&gt;Gac fruit &lt;/style&gt;&lt;style face="italic" font="default" size="100%"&gt;(Momordica cochinchinensis&lt;/style&gt;&lt;style face="normal" font="default" size="100%"&gt; Spreng.): a rich source of bioactive compounds and its potential health benefits&lt;/style&gt;&lt;/title&gt;&lt;secondary-title&gt;International Journal of Food Science and Technology&lt;/secondary-title&gt;&lt;/titles&gt;&lt;periodical&gt;&lt;full-title&gt;International Journal of Food Science and Technology&lt;/full-title&gt;&lt;/periodical&gt;&lt;pages&gt;567-577&lt;/pages&gt;&lt;volume&gt;50&lt;/volume&gt;&lt;number&gt;3&lt;/number&gt;&lt;dates&gt;&lt;year&gt;2015&lt;/year&gt;&lt;/dates&gt;&lt;isbn&gt;0950-5423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Furthermore, the presence of phenolic and flavonoid compounds contributes to the strong antioxidant capacity [6]. Studies have demonstrated that extracts from Gac seed aril possess potent anticancer activities, including the ability to </w:t>
      </w:r>
      <w:r w:rsidR="006F0463" w:rsidRPr="005E6B7C">
        <w:rPr>
          <w:rFonts w:asciiTheme="majorHAnsi" w:eastAsia="Yu Mincho" w:hAnsiTheme="majorHAnsi" w:cstheme="majorHAnsi"/>
          <w:color w:val="000000" w:themeColor="text1"/>
          <w:sz w:val="22"/>
          <w:szCs w:val="22"/>
          <w:lang w:eastAsia="ja-JP"/>
        </w:rPr>
        <w:t>exhibit potential anticancer activity against</w:t>
      </w:r>
      <w:r w:rsidR="006F0463"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breast cancer and melanoma cells through the activation of programmed cell death [2],[6]. Moreover, Gac is also recognized for other biological effects such as improving fatty liver </w:t>
      </w:r>
      <w:r w:rsidRPr="005E6B7C">
        <w:rPr>
          <w:rFonts w:asciiTheme="majorHAnsi" w:eastAsia="Yu Mincho" w:hAnsiTheme="majorHAnsi" w:cstheme="majorHAnsi"/>
          <w:color w:val="000000" w:themeColor="text1"/>
          <w:sz w:val="22"/>
          <w:szCs w:val="22"/>
          <w:lang w:eastAsia="ja-JP"/>
        </w:rPr>
        <w:t xml:space="preserve">conditions, controlling obesity, and regulating the gut microbiota [7]. </w:t>
      </w:r>
    </w:p>
    <w:p w14:paraId="088C412A" w14:textId="089CDD89"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Currently, Gac products (Gac oil, Gac powder, and functional foods) are widely available in the market; therefore, </w:t>
      </w:r>
      <w:r w:rsidR="006F0463" w:rsidRPr="005E6B7C">
        <w:rPr>
          <w:rFonts w:asciiTheme="majorHAnsi" w:eastAsia="Yu Mincho" w:hAnsiTheme="majorHAnsi" w:cstheme="majorHAnsi"/>
          <w:color w:val="000000" w:themeColor="text1"/>
          <w:sz w:val="22"/>
          <w:szCs w:val="22"/>
          <w:lang w:eastAsia="ja-JP"/>
        </w:rPr>
        <w:t>quality control</w:t>
      </w:r>
      <w:r w:rsidRPr="005E6B7C">
        <w:rPr>
          <w:rFonts w:asciiTheme="majorHAnsi" w:eastAsia="Yu Mincho" w:hAnsiTheme="majorHAnsi" w:cstheme="majorHAnsi"/>
          <w:color w:val="000000" w:themeColor="text1"/>
          <w:sz w:val="22"/>
          <w:szCs w:val="22"/>
          <w:lang w:eastAsia="ja-JP"/>
        </w:rPr>
        <w:t xml:space="preserve"> and quantifying active ingredients has become crucial [8]. The research group prioritized the establishment and development of an HPLC-DAD method for the simultaneous quantification of lycopene and </w:t>
      </w:r>
      <w:r w:rsidRPr="005E6B7C">
        <w:rPr>
          <w:rFonts w:asciiTheme="majorHAnsi" w:eastAsia="Yu Mincho" w:hAnsiTheme="majorHAnsi" w:cstheme="majorHAnsi"/>
          <w:i/>
          <w:iCs/>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in Gac </w:t>
      </w:r>
      <w:r w:rsidRPr="005E6B7C">
        <w:rPr>
          <w:rFonts w:asciiTheme="majorHAnsi" w:eastAsia="Calibri" w:hAnsiTheme="majorHAnsi" w:cstheme="majorHAnsi"/>
          <w:iCs/>
          <w:color w:val="000000" w:themeColor="text1"/>
          <w:sz w:val="22"/>
          <w:szCs w:val="22"/>
          <w:lang w:eastAsia="ja-JP"/>
        </w:rPr>
        <w:t xml:space="preserve">seed </w:t>
      </w:r>
      <w:r w:rsidRPr="005E6B7C">
        <w:rPr>
          <w:rFonts w:asciiTheme="majorHAnsi" w:eastAsia="Yu Mincho" w:hAnsiTheme="majorHAnsi" w:cstheme="majorHAnsi"/>
          <w:color w:val="000000" w:themeColor="text1"/>
          <w:sz w:val="22"/>
          <w:szCs w:val="22"/>
          <w:lang w:eastAsia="ja-JP"/>
        </w:rPr>
        <w:t>aril [9]. However, because carotenoids are a group of easily degradable compounds, analysis must be carried out quickly. To optimize the procedure and minimize the risk of sample degradation, the research group incorporated an HPTLC scanner. The HPTLC method is applied for preliminary and rapid screening of the main components in Gac</w:t>
      </w:r>
      <w:r w:rsidRPr="005E6B7C">
        <w:rPr>
          <w:rFonts w:asciiTheme="majorHAnsi" w:eastAsia="Calibri" w:hAnsiTheme="majorHAnsi" w:cstheme="majorHAnsi"/>
          <w:iCs/>
          <w:color w:val="000000" w:themeColor="text1"/>
          <w:sz w:val="22"/>
          <w:szCs w:val="22"/>
          <w:lang w:eastAsia="ja-JP"/>
        </w:rPr>
        <w:t xml:space="preserve"> seed</w:t>
      </w:r>
      <w:r w:rsidRPr="005E6B7C">
        <w:rPr>
          <w:rFonts w:asciiTheme="majorHAnsi" w:eastAsia="Yu Mincho" w:hAnsiTheme="majorHAnsi" w:cstheme="majorHAnsi"/>
          <w:color w:val="000000" w:themeColor="text1"/>
          <w:sz w:val="22"/>
          <w:szCs w:val="22"/>
          <w:lang w:eastAsia="ja-JP"/>
        </w:rPr>
        <w:t xml:space="preserve"> aril, serving as a quick check before proceeding with precise quantification via HPLC. The combination of HPTLC and HPLC provides a flexible and cost-effective solution, particularly suitable for research and quality control </w:t>
      </w:r>
      <w:r w:rsidRPr="005E6B7C">
        <w:rPr>
          <w:rFonts w:asciiTheme="majorHAnsi" w:eastAsia="Times New Roman" w:hAnsiTheme="majorHAnsi" w:cstheme="majorHAnsi"/>
          <w:bCs/>
          <w:iCs/>
          <w:color w:val="000000" w:themeColor="text1"/>
          <w:sz w:val="22"/>
          <w:szCs w:val="22"/>
          <w:lang w:eastAsia="ja-JP"/>
        </w:rPr>
        <w:t>of Gac seed aril</w:t>
      </w:r>
      <w:r w:rsidRPr="005E6B7C">
        <w:rPr>
          <w:rFonts w:asciiTheme="majorHAnsi" w:eastAsia="Yu Mincho" w:hAnsiTheme="majorHAnsi" w:cstheme="majorHAnsi"/>
          <w:color w:val="000000" w:themeColor="text1"/>
          <w:sz w:val="22"/>
          <w:szCs w:val="22"/>
          <w:lang w:eastAsia="ja-JP"/>
        </w:rPr>
        <w:t>.</w:t>
      </w:r>
    </w:p>
    <w:p w14:paraId="07ACB0B8" w14:textId="77777777" w:rsidR="00E049CB" w:rsidRPr="005E6B7C" w:rsidRDefault="00E049CB" w:rsidP="008C0D47">
      <w:pPr>
        <w:tabs>
          <w:tab w:val="left" w:pos="270"/>
          <w:tab w:val="left" w:pos="540"/>
          <w:tab w:val="left" w:pos="9270"/>
        </w:tabs>
        <w:spacing w:line="240" w:lineRule="exact"/>
        <w:ind w:firstLine="284"/>
        <w:jc w:val="both"/>
        <w:outlineLvl w:val="0"/>
        <w:rPr>
          <w:rFonts w:asciiTheme="majorHAnsi" w:eastAsia="Times New Roman" w:hAnsiTheme="majorHAnsi" w:cstheme="majorHAnsi"/>
          <w:b/>
          <w:color w:val="000000" w:themeColor="text1"/>
          <w:sz w:val="22"/>
          <w:szCs w:val="22"/>
          <w:lang w:val="vi-VN" w:eastAsia="ja-JP"/>
        </w:rPr>
      </w:pPr>
      <w:r w:rsidRPr="005E6B7C">
        <w:rPr>
          <w:rFonts w:asciiTheme="majorHAnsi" w:eastAsia="Times New Roman" w:hAnsiTheme="majorHAnsi" w:cstheme="majorHAnsi"/>
          <w:b/>
          <w:color w:val="000000" w:themeColor="text1"/>
          <w:sz w:val="22"/>
          <w:szCs w:val="22"/>
          <w:lang w:eastAsia="ja-JP"/>
        </w:rPr>
        <w:t>2. Experimental</w:t>
      </w:r>
    </w:p>
    <w:p w14:paraId="070428C3" w14:textId="77777777" w:rsidR="00E049CB" w:rsidRPr="005E6B7C" w:rsidRDefault="00E049CB" w:rsidP="008C0D47">
      <w:pPr>
        <w:numPr>
          <w:ilvl w:val="1"/>
          <w:numId w:val="24"/>
        </w:numPr>
        <w:tabs>
          <w:tab w:val="left" w:pos="270"/>
          <w:tab w:val="left" w:pos="540"/>
          <w:tab w:val="left" w:pos="9270"/>
        </w:tabs>
        <w:spacing w:line="240" w:lineRule="exact"/>
        <w:ind w:firstLine="284"/>
        <w:jc w:val="both"/>
        <w:outlineLvl w:val="1"/>
        <w:rPr>
          <w:rFonts w:asciiTheme="majorHAnsi" w:eastAsia="Times New Roman" w:hAnsiTheme="majorHAnsi" w:cstheme="majorHAnsi"/>
          <w:i/>
          <w:color w:val="000000" w:themeColor="text1"/>
          <w:sz w:val="22"/>
          <w:szCs w:val="22"/>
          <w:lang w:val="vi-VN" w:eastAsia="ja-JP"/>
        </w:rPr>
      </w:pPr>
      <w:bookmarkStart w:id="27" w:name="_Toc495482753"/>
      <w:r w:rsidRPr="005E6B7C">
        <w:rPr>
          <w:rFonts w:asciiTheme="majorHAnsi" w:eastAsia="Times New Roman" w:hAnsiTheme="majorHAnsi" w:cstheme="majorHAnsi"/>
          <w:i/>
          <w:color w:val="000000" w:themeColor="text1"/>
          <w:sz w:val="22"/>
          <w:szCs w:val="22"/>
          <w:lang w:val="vi-VN" w:eastAsia="ja-JP"/>
        </w:rPr>
        <w:t xml:space="preserve">2.1. </w:t>
      </w:r>
      <w:bookmarkEnd w:id="27"/>
      <w:r w:rsidRPr="005E6B7C">
        <w:rPr>
          <w:rFonts w:asciiTheme="majorHAnsi" w:eastAsia="Times New Roman" w:hAnsiTheme="majorHAnsi" w:cstheme="majorHAnsi"/>
          <w:i/>
          <w:color w:val="000000" w:themeColor="text1"/>
          <w:sz w:val="22"/>
          <w:szCs w:val="22"/>
          <w:lang w:eastAsia="ja-JP"/>
        </w:rPr>
        <w:t>Samples</w:t>
      </w:r>
    </w:p>
    <w:p w14:paraId="459C70DE" w14:textId="04EB90D6"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 selection of ten samples of </w:t>
      </w:r>
      <w:r w:rsidRPr="005E6B7C">
        <w:rPr>
          <w:rFonts w:asciiTheme="majorHAnsi" w:eastAsia="Times New Roman" w:hAnsiTheme="majorHAnsi" w:cstheme="majorHAnsi"/>
          <w:bCs/>
          <w:iCs/>
          <w:color w:val="000000" w:themeColor="text1"/>
          <w:sz w:val="22"/>
          <w:szCs w:val="22"/>
          <w:lang w:eastAsia="ja-JP"/>
        </w:rPr>
        <w:t>Gac seed aril</w:t>
      </w:r>
      <w:r w:rsidRPr="005E6B7C">
        <w:rPr>
          <w:rFonts w:asciiTheme="majorHAnsi" w:eastAsia="Yu Mincho" w:hAnsiTheme="majorHAnsi" w:cstheme="majorHAnsi"/>
          <w:color w:val="000000" w:themeColor="text1"/>
          <w:sz w:val="22"/>
          <w:szCs w:val="22"/>
          <w:lang w:eastAsia="ja-JP"/>
        </w:rPr>
        <w:t xml:space="preserve"> was </w:t>
      </w:r>
      <w:r w:rsidR="006F0463" w:rsidRPr="005E6B7C">
        <w:rPr>
          <w:rFonts w:asciiTheme="majorHAnsi" w:eastAsia="Yu Mincho" w:hAnsiTheme="majorHAnsi" w:cstheme="majorHAnsi"/>
          <w:color w:val="000000" w:themeColor="text1"/>
          <w:sz w:val="22"/>
          <w:szCs w:val="22"/>
          <w:lang w:eastAsia="ja-JP"/>
        </w:rPr>
        <w:t xml:space="preserve">collected randomly from different regions </w:t>
      </w:r>
      <w:r w:rsidRPr="005E6B7C">
        <w:rPr>
          <w:rFonts w:asciiTheme="majorHAnsi" w:eastAsia="Yu Mincho" w:hAnsiTheme="majorHAnsi" w:cstheme="majorHAnsi"/>
          <w:color w:val="000000" w:themeColor="text1"/>
          <w:sz w:val="22"/>
          <w:szCs w:val="22"/>
          <w:lang w:eastAsia="ja-JP"/>
        </w:rPr>
        <w:t xml:space="preserve"> in Vietnam. The identity of these samples was formally authenticated by the Center for Medicinal Plant Resources at the National Institute of Medicinal Materials using morphological comparison methods [10]. All plant materials were dried at 50 ºC and stored in </w:t>
      </w:r>
      <w:r w:rsidRPr="005E6B7C">
        <w:rPr>
          <w:rFonts w:asciiTheme="majorHAnsi" w:eastAsia="Yu Mincho" w:hAnsiTheme="majorHAnsi" w:cstheme="majorHAnsi"/>
          <w:color w:val="000000" w:themeColor="text1"/>
          <w:spacing w:val="6"/>
          <w:sz w:val="22"/>
          <w:szCs w:val="22"/>
          <w:lang w:eastAsia="ja-JP"/>
        </w:rPr>
        <w:lastRenderedPageBreak/>
        <w:t>vacuum-sealed bags shielded from light using an external black bag until needed for analysis</w:t>
      </w:r>
      <w:r w:rsidRPr="005E6B7C">
        <w:rPr>
          <w:rFonts w:asciiTheme="majorHAnsi" w:eastAsia="Yu Mincho" w:hAnsiTheme="majorHAnsi" w:cstheme="majorHAnsi"/>
          <w:bCs/>
          <w:iCs/>
          <w:color w:val="000000" w:themeColor="text1"/>
          <w:spacing w:val="6"/>
          <w:sz w:val="22"/>
          <w:szCs w:val="22"/>
          <w:lang w:eastAsia="ja-JP"/>
        </w:rPr>
        <w:t>. Moisture content was quantified via the solvent distillation method as prescribed in Appendix 12.13 of the Vietnamese Pharmacopoeia V (VP V).</w:t>
      </w:r>
    </w:p>
    <w:p w14:paraId="1DA2DF0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2.2. Chemicals</w:t>
      </w:r>
    </w:p>
    <w:p w14:paraId="0C53A68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bCs/>
          <w:i/>
          <w:iCs/>
          <w:color w:val="000000" w:themeColor="text1"/>
          <w:sz w:val="22"/>
          <w:szCs w:val="22"/>
          <w:lang w:val="vi-VN" w:eastAsia="ja-JP"/>
        </w:rPr>
        <w:t>β</w:t>
      </w:r>
      <w:r w:rsidRPr="005E6B7C">
        <w:rPr>
          <w:rFonts w:asciiTheme="majorHAnsi" w:eastAsia="MS Mincho" w:hAnsiTheme="majorHAnsi" w:cstheme="majorHAnsi"/>
          <w:bCs/>
          <w:iCs/>
          <w:color w:val="000000" w:themeColor="text1"/>
          <w:sz w:val="22"/>
          <w:szCs w:val="22"/>
          <w:lang w:val="vi-VN" w:eastAsia="ja-JP"/>
        </w:rPr>
        <w:t>-</w:t>
      </w:r>
      <w:r w:rsidRPr="005E6B7C">
        <w:rPr>
          <w:rFonts w:asciiTheme="majorHAnsi" w:eastAsia="MS Mincho" w:hAnsiTheme="majorHAnsi" w:cstheme="majorHAnsi"/>
          <w:bCs/>
          <w:iCs/>
          <w:color w:val="000000" w:themeColor="text1"/>
          <w:sz w:val="22"/>
          <w:szCs w:val="22"/>
          <w:lang w:eastAsia="ja-JP"/>
        </w:rPr>
        <w:t>C</w:t>
      </w:r>
      <w:r w:rsidRPr="005E6B7C">
        <w:rPr>
          <w:rFonts w:asciiTheme="majorHAnsi" w:eastAsia="MS Mincho" w:hAnsiTheme="majorHAnsi" w:cstheme="majorHAnsi"/>
          <w:bCs/>
          <w:iCs/>
          <w:color w:val="000000" w:themeColor="text1"/>
          <w:sz w:val="22"/>
          <w:szCs w:val="22"/>
          <w:lang w:val="vi-VN" w:eastAsia="ja-JP"/>
        </w:rPr>
        <w:t>arotene standard was purchased from Chemfaces, China (CAS: 7235-40-7; Lot: CFS202202; purity 98%), and lycopene (CAS: 502-65-8, Lot: 000220023, purity 98%) from Sigma-Aldrich.</w:t>
      </w:r>
    </w:p>
    <w:p w14:paraId="00275FDC"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Solvents and chemicals used for analysis by HPLC (acetonitrile, methanol) from Merck. Solvents and chemicals used to extract and prepare</w:t>
      </w:r>
      <w:r w:rsidRPr="005E6B7C">
        <w:rPr>
          <w:rFonts w:asciiTheme="majorHAnsi" w:eastAsia="MS Mincho" w:hAnsiTheme="majorHAnsi" w:cstheme="majorHAnsi"/>
          <w:i/>
          <w:iCs/>
          <w:color w:val="000000" w:themeColor="text1"/>
          <w:sz w:val="22"/>
          <w:szCs w:val="22"/>
          <w:lang w:eastAsia="ja-JP"/>
        </w:rPr>
        <w:t> </w:t>
      </w:r>
      <w:r w:rsidRPr="005E6B7C">
        <w:rPr>
          <w:rFonts w:asciiTheme="majorHAnsi" w:eastAsia="MS Mincho" w:hAnsiTheme="majorHAnsi" w:cstheme="majorHAnsi"/>
          <w:color w:val="000000" w:themeColor="text1"/>
          <w:sz w:val="22"/>
          <w:szCs w:val="22"/>
          <w:lang w:eastAsia="ja-JP"/>
        </w:rPr>
        <w:t>samples for quantitative analysis were all of analytical grade (P.A.).</w:t>
      </w:r>
    </w:p>
    <w:p w14:paraId="019528D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i/>
          <w:iCs/>
          <w:color w:val="000000" w:themeColor="text1"/>
          <w:sz w:val="22"/>
          <w:szCs w:val="22"/>
          <w:lang w:eastAsia="ja-JP"/>
        </w:rPr>
      </w:pPr>
      <w:r w:rsidRPr="005E6B7C">
        <w:rPr>
          <w:rFonts w:asciiTheme="majorHAnsi" w:eastAsia="MS Mincho" w:hAnsiTheme="majorHAnsi" w:cstheme="majorHAnsi"/>
          <w:i/>
          <w:color w:val="000000" w:themeColor="text1"/>
          <w:sz w:val="22"/>
          <w:szCs w:val="22"/>
          <w:lang w:eastAsia="ja-JP"/>
        </w:rPr>
        <w:t xml:space="preserve">2.3. </w:t>
      </w:r>
      <w:r w:rsidRPr="005E6B7C">
        <w:rPr>
          <w:rFonts w:asciiTheme="majorHAnsi" w:eastAsia="MS Mincho" w:hAnsiTheme="majorHAnsi" w:cstheme="majorHAnsi"/>
          <w:i/>
          <w:iCs/>
          <w:color w:val="000000" w:themeColor="text1"/>
          <w:sz w:val="22"/>
          <w:szCs w:val="22"/>
          <w:lang w:eastAsia="ja-JP"/>
        </w:rPr>
        <w:t>Instruments </w:t>
      </w:r>
    </w:p>
    <w:p w14:paraId="524D1A4C" w14:textId="73D82301"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The HPLC system (Shimadzu, Japan) used for the analysis consisted of a binary pump LC-20AD, a SIL-20A HT autosampler, a CTO-10AS column oven, a diode-array detector (SPD-M20A), and an Agilent Eclipse Plus C</w:t>
      </w:r>
      <w:r w:rsidRPr="005E6B7C">
        <w:rPr>
          <w:rFonts w:asciiTheme="majorHAnsi" w:eastAsia="MS Mincho" w:hAnsiTheme="majorHAnsi" w:cstheme="majorHAnsi"/>
          <w:color w:val="000000" w:themeColor="text1"/>
          <w:sz w:val="22"/>
          <w:szCs w:val="22"/>
          <w:vertAlign w:val="subscript"/>
          <w:lang w:eastAsia="ja-JP"/>
        </w:rPr>
        <w:t>18</w:t>
      </w:r>
      <w:r w:rsidRPr="005E6B7C">
        <w:rPr>
          <w:rFonts w:asciiTheme="majorHAnsi" w:eastAsia="MS Mincho" w:hAnsiTheme="majorHAnsi" w:cstheme="majorHAnsi"/>
          <w:color w:val="000000" w:themeColor="text1"/>
          <w:sz w:val="22"/>
          <w:szCs w:val="22"/>
          <w:lang w:eastAsia="ja-JP"/>
        </w:rPr>
        <w:t xml:space="preserve"> column (250 x 4.6 mm, 5 </w:t>
      </w:r>
      <w:r w:rsidR="00266B26" w:rsidRPr="005E6B7C">
        <w:rPr>
          <w:rFonts w:asciiTheme="majorHAnsi" w:eastAsia="MS Mincho" w:hAnsiTheme="majorHAnsi" w:cstheme="majorHAnsi"/>
          <w:i/>
          <w:iCs/>
          <w:color w:val="000000" w:themeColor="text1"/>
          <w:sz w:val="22"/>
          <w:szCs w:val="22"/>
          <w:lang w:eastAsia="ja-JP"/>
        </w:rPr>
        <w:t>µ</w:t>
      </w:r>
      <w:r w:rsidRPr="005E6B7C">
        <w:rPr>
          <w:rFonts w:asciiTheme="majorHAnsi" w:eastAsia="MS Mincho" w:hAnsiTheme="majorHAnsi" w:cstheme="majorHAnsi"/>
          <w:color w:val="000000" w:themeColor="text1"/>
          <w:sz w:val="22"/>
          <w:szCs w:val="22"/>
          <w:lang w:eastAsia="ja-JP"/>
        </w:rPr>
        <w:t>m).</w:t>
      </w:r>
    </w:p>
    <w:p w14:paraId="72F6BB6C" w14:textId="579862F8" w:rsidR="00E049CB" w:rsidRPr="005E6B7C" w:rsidRDefault="00E049CB" w:rsidP="008C0D47">
      <w:pPr>
        <w:tabs>
          <w:tab w:val="left" w:pos="270"/>
          <w:tab w:val="left" w:pos="540"/>
          <w:tab w:val="left" w:pos="9270"/>
        </w:tabs>
        <w:spacing w:line="240" w:lineRule="exact"/>
        <w:ind w:firstLine="284"/>
        <w:jc w:val="both"/>
        <w:rPr>
          <w:rFonts w:asciiTheme="majorHAnsi" w:eastAsia="MS Mincho" w:hAnsiTheme="majorHAnsi" w:cstheme="majorHAnsi"/>
          <w:color w:val="000000" w:themeColor="text1"/>
          <w:sz w:val="22"/>
          <w:szCs w:val="22"/>
          <w:lang w:eastAsia="ja-JP"/>
        </w:rPr>
      </w:pPr>
      <w:r w:rsidRPr="005E6B7C">
        <w:rPr>
          <w:rFonts w:asciiTheme="majorHAnsi" w:eastAsia="MS Mincho" w:hAnsiTheme="majorHAnsi" w:cstheme="majorHAnsi"/>
          <w:color w:val="000000" w:themeColor="text1"/>
          <w:sz w:val="22"/>
          <w:szCs w:val="22"/>
          <w:lang w:eastAsia="ja-JP"/>
        </w:rPr>
        <w:t xml:space="preserve">The HPTLC system (Camag, Japan) used for the analysis consisted of </w:t>
      </w:r>
      <w:r w:rsidR="006F0463" w:rsidRPr="005E6B7C">
        <w:rPr>
          <w:rFonts w:asciiTheme="majorHAnsi" w:eastAsia="MS Mincho" w:hAnsiTheme="majorHAnsi" w:cstheme="majorHAnsi"/>
          <w:color w:val="000000" w:themeColor="text1"/>
          <w:sz w:val="22"/>
          <w:szCs w:val="22"/>
          <w:lang w:eastAsia="ja-JP"/>
        </w:rPr>
        <w:t>Linomat 5 sample applicator</w:t>
      </w:r>
      <w:r w:rsidRPr="005E6B7C">
        <w:rPr>
          <w:rFonts w:asciiTheme="majorHAnsi" w:eastAsia="MS Mincho" w:hAnsiTheme="majorHAnsi" w:cstheme="majorHAnsi"/>
          <w:color w:val="000000" w:themeColor="text1"/>
          <w:sz w:val="22"/>
          <w:szCs w:val="22"/>
          <w:lang w:eastAsia="ja-JP"/>
        </w:rPr>
        <w:t xml:space="preserve">, automatic developing chamber 2, TLC scanner 4, TLC visualizer 3, dosage syringe 100 μL for Linomat, </w:t>
      </w:r>
      <w:r w:rsidR="006F0463" w:rsidRPr="005E6B7C">
        <w:rPr>
          <w:rFonts w:asciiTheme="majorHAnsi" w:eastAsia="MS Mincho" w:hAnsiTheme="majorHAnsi" w:cstheme="majorHAnsi"/>
          <w:color w:val="000000" w:themeColor="text1"/>
          <w:sz w:val="22"/>
          <w:szCs w:val="22"/>
          <w:lang w:eastAsia="ja-JP"/>
        </w:rPr>
        <w:t>vision</w:t>
      </w:r>
      <w:r w:rsidR="006F0463" w:rsidRPr="005E6B7C">
        <w:rPr>
          <w:rFonts w:asciiTheme="majorHAnsi" w:eastAsia="MS Mincho" w:hAnsiTheme="majorHAnsi" w:cstheme="majorHAnsi"/>
          <w:color w:val="000000" w:themeColor="text1"/>
          <w:sz w:val="22"/>
          <w:szCs w:val="22"/>
          <w:lang w:val="vi-VN" w:eastAsia="ja-JP"/>
        </w:rPr>
        <w:t xml:space="preserve"> </w:t>
      </w:r>
      <w:r w:rsidR="006F0463" w:rsidRPr="005E6B7C">
        <w:rPr>
          <w:rFonts w:asciiTheme="majorHAnsi" w:eastAsia="MS Mincho" w:hAnsiTheme="majorHAnsi" w:cstheme="majorHAnsi"/>
          <w:color w:val="000000" w:themeColor="text1"/>
          <w:sz w:val="22"/>
          <w:szCs w:val="22"/>
          <w:lang w:eastAsia="ja-JP"/>
        </w:rPr>
        <w:t>CATS software</w:t>
      </w:r>
      <w:r w:rsidRPr="005E6B7C">
        <w:rPr>
          <w:rFonts w:asciiTheme="majorHAnsi" w:eastAsia="MS Mincho" w:hAnsiTheme="majorHAnsi" w:cstheme="majorHAnsi"/>
          <w:color w:val="000000" w:themeColor="text1"/>
          <w:sz w:val="22"/>
          <w:szCs w:val="22"/>
          <w:lang w:eastAsia="ja-JP"/>
        </w:rPr>
        <w:t xml:space="preserve">, and HPTLC </w:t>
      </w:r>
      <w:r w:rsidR="00894500" w:rsidRPr="005E6B7C">
        <w:rPr>
          <w:rFonts w:asciiTheme="majorHAnsi" w:eastAsia="MS Mincho" w:hAnsiTheme="majorHAnsi" w:cstheme="majorHAnsi"/>
          <w:i/>
          <w:iCs/>
          <w:color w:val="000000" w:themeColor="text1"/>
          <w:sz w:val="22"/>
          <w:szCs w:val="22"/>
          <w:lang w:eastAsia="ja-JP"/>
        </w:rPr>
        <w:t>Silica gel</w:t>
      </w:r>
      <w:r w:rsidRPr="005E6B7C">
        <w:rPr>
          <w:rFonts w:asciiTheme="majorHAnsi" w:eastAsia="MS Mincho" w:hAnsiTheme="majorHAnsi" w:cstheme="majorHAnsi"/>
          <w:color w:val="000000" w:themeColor="text1"/>
          <w:sz w:val="22"/>
          <w:szCs w:val="22"/>
          <w:lang w:eastAsia="ja-JP"/>
        </w:rPr>
        <w:t xml:space="preserve"> 60 F</w:t>
      </w:r>
      <w:r w:rsidR="008C0D47" w:rsidRPr="005E6B7C">
        <w:rPr>
          <w:rFonts w:asciiTheme="majorHAnsi" w:eastAsia="MS Mincho" w:hAnsiTheme="majorHAnsi" w:cstheme="majorHAnsi"/>
          <w:color w:val="000000" w:themeColor="text1"/>
          <w:sz w:val="22"/>
          <w:szCs w:val="22"/>
          <w:vertAlign w:val="subscript"/>
          <w:lang w:eastAsia="ja-JP"/>
        </w:rPr>
        <w:t>254</w:t>
      </w:r>
      <w:r w:rsidRPr="005E6B7C">
        <w:rPr>
          <w:rFonts w:asciiTheme="majorHAnsi" w:eastAsia="MS Mincho" w:hAnsiTheme="majorHAnsi" w:cstheme="majorHAnsi"/>
          <w:color w:val="000000" w:themeColor="text1"/>
          <w:sz w:val="22"/>
          <w:szCs w:val="22"/>
          <w:lang w:eastAsia="ja-JP"/>
        </w:rPr>
        <w:t>S 25 glass plates 20 x 20 cm Merck.</w:t>
      </w:r>
    </w:p>
    <w:p w14:paraId="7E810D46" w14:textId="77777777" w:rsidR="00E049CB" w:rsidRPr="005E6B7C" w:rsidRDefault="00E049CB" w:rsidP="008C0D47">
      <w:pPr>
        <w:numPr>
          <w:ilvl w:val="1"/>
          <w:numId w:val="24"/>
        </w:numPr>
        <w:tabs>
          <w:tab w:val="left" w:pos="270"/>
          <w:tab w:val="left" w:pos="540"/>
          <w:tab w:val="left" w:pos="9270"/>
        </w:tabs>
        <w:spacing w:line="240" w:lineRule="exact"/>
        <w:ind w:firstLine="284"/>
        <w:jc w:val="both"/>
        <w:outlineLvl w:val="1"/>
        <w:rPr>
          <w:rFonts w:asciiTheme="majorHAnsi" w:eastAsia="Times New Roman" w:hAnsiTheme="majorHAnsi" w:cstheme="majorHAnsi"/>
          <w:i/>
          <w:color w:val="000000" w:themeColor="text1"/>
          <w:sz w:val="22"/>
          <w:szCs w:val="22"/>
          <w:lang w:eastAsia="ja-JP"/>
        </w:rPr>
      </w:pPr>
      <w:r w:rsidRPr="005E6B7C">
        <w:rPr>
          <w:rFonts w:asciiTheme="majorHAnsi" w:eastAsia="Times New Roman" w:hAnsiTheme="majorHAnsi" w:cstheme="majorHAnsi"/>
          <w:i/>
          <w:color w:val="000000" w:themeColor="text1"/>
          <w:sz w:val="22"/>
          <w:szCs w:val="22"/>
          <w:lang w:eastAsia="ja-JP"/>
        </w:rPr>
        <w:t>2.4. Methods</w:t>
      </w:r>
    </w:p>
    <w:p w14:paraId="37E73E20"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2.4.1. Preparation of standard solutions:</w:t>
      </w:r>
    </w:p>
    <w:p w14:paraId="3D4729AB"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Stock standard solutions of the </w:t>
      </w:r>
      <w:r w:rsidRPr="005E6B7C">
        <w:rPr>
          <w:rFonts w:asciiTheme="majorHAnsi" w:eastAsia="Yu Mincho" w:hAnsiTheme="majorHAnsi" w:cstheme="majorHAnsi"/>
          <w:color w:val="000000" w:themeColor="text1"/>
          <w:sz w:val="22"/>
          <w:szCs w:val="22"/>
          <w:lang w:eastAsia="ja-JP"/>
        </w:rPr>
        <w:t xml:space="preserve">carotenoid </w:t>
      </w:r>
      <w:r w:rsidRPr="005E6B7C">
        <w:rPr>
          <w:rFonts w:asciiTheme="majorHAnsi" w:eastAsia="Yu Mincho" w:hAnsiTheme="majorHAnsi" w:cstheme="majorHAnsi"/>
          <w:iCs/>
          <w:color w:val="000000" w:themeColor="text1"/>
          <w:sz w:val="22"/>
          <w:szCs w:val="22"/>
          <w:lang w:eastAsia="ja-JP"/>
        </w:rPr>
        <w:t xml:space="preserve">were initially prepared as 1000 </w:t>
      </w:r>
      <w:r w:rsidRPr="005E6B7C">
        <w:rPr>
          <w:rFonts w:asciiTheme="majorHAnsi" w:eastAsia="Yu Mincho" w:hAnsiTheme="majorHAnsi" w:cstheme="majorHAnsi"/>
          <w:color w:val="000000" w:themeColor="text1"/>
          <w:sz w:val="22"/>
          <w:szCs w:val="22"/>
          <w:lang w:eastAsia="ja-JP"/>
        </w:rPr>
        <w:t>μg</w:t>
      </w:r>
      <w:r w:rsidRPr="005E6B7C">
        <w:rPr>
          <w:rFonts w:asciiTheme="majorHAnsi" w:eastAsia="Yu Mincho" w:hAnsiTheme="majorHAnsi" w:cstheme="majorHAnsi"/>
          <w:iCs/>
          <w:color w:val="000000" w:themeColor="text1"/>
          <w:sz w:val="22"/>
          <w:szCs w:val="22"/>
          <w:lang w:eastAsia="ja-JP"/>
        </w:rPr>
        <w:t xml:space="preserve">/mL in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 – acetone – ethanol (2:1:1, </w:t>
      </w:r>
      <w:r w:rsidRPr="005E6B7C">
        <w:rPr>
          <w:rFonts w:asciiTheme="majorHAnsi" w:eastAsia="Yu Mincho" w:hAnsiTheme="majorHAnsi" w:cstheme="majorHAnsi"/>
          <w:i/>
          <w:iCs/>
          <w:color w:val="000000" w:themeColor="text1"/>
          <w:sz w:val="22"/>
          <w:szCs w:val="22"/>
          <w:lang w:eastAsia="ja-JP"/>
        </w:rPr>
        <w:t>v/v/v</w:t>
      </w:r>
      <w:r w:rsidRPr="005E6B7C">
        <w:rPr>
          <w:rFonts w:asciiTheme="majorHAnsi" w:eastAsia="Yu Mincho" w:hAnsiTheme="majorHAnsi" w:cstheme="majorHAnsi"/>
          <w:color w:val="000000" w:themeColor="text1"/>
          <w:sz w:val="22"/>
          <w:szCs w:val="22"/>
          <w:lang w:eastAsia="ja-JP"/>
        </w:rPr>
        <w:t>) solvent</w:t>
      </w:r>
      <w:r w:rsidRPr="005E6B7C">
        <w:rPr>
          <w:rFonts w:asciiTheme="majorHAnsi" w:eastAsia="Yu Mincho" w:hAnsiTheme="majorHAnsi" w:cstheme="majorHAnsi"/>
          <w:iCs/>
          <w:color w:val="000000" w:themeColor="text1"/>
          <w:sz w:val="22"/>
          <w:szCs w:val="22"/>
          <w:lang w:eastAsia="ja-JP"/>
        </w:rPr>
        <w:t xml:space="preserve">, and then diluted with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 – acetone – ethanol (2:1:1, </w:t>
      </w:r>
      <w:r w:rsidRPr="005E6B7C">
        <w:rPr>
          <w:rFonts w:asciiTheme="majorHAnsi" w:eastAsia="Yu Mincho" w:hAnsiTheme="majorHAnsi" w:cstheme="majorHAnsi"/>
          <w:i/>
          <w:iCs/>
          <w:color w:val="000000" w:themeColor="text1"/>
          <w:sz w:val="22"/>
          <w:szCs w:val="22"/>
          <w:lang w:eastAsia="ja-JP"/>
        </w:rPr>
        <w:t>v/v/v</w:t>
      </w:r>
      <w:r w:rsidRPr="005E6B7C">
        <w:rPr>
          <w:rFonts w:asciiTheme="majorHAnsi" w:eastAsia="Yu Mincho" w:hAnsiTheme="majorHAnsi" w:cstheme="majorHAnsi"/>
          <w:color w:val="000000" w:themeColor="text1"/>
          <w:sz w:val="22"/>
          <w:szCs w:val="22"/>
          <w:lang w:eastAsia="ja-JP"/>
        </w:rPr>
        <w:t>) solvent</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Carotenoids </w:t>
      </w:r>
      <w:r w:rsidRPr="005E6B7C">
        <w:rPr>
          <w:rFonts w:asciiTheme="majorHAnsi" w:eastAsia="Yu Mincho" w:hAnsiTheme="majorHAnsi" w:cstheme="majorHAnsi"/>
          <w:iCs/>
          <w:color w:val="000000" w:themeColor="text1"/>
          <w:sz w:val="22"/>
          <w:szCs w:val="22"/>
          <w:lang w:eastAsia="ja-JP"/>
        </w:rPr>
        <w:t xml:space="preserve">utilized in the analysis were </w:t>
      </w:r>
      <w:r w:rsidRPr="005E6B7C">
        <w:rPr>
          <w:rFonts w:asciiTheme="majorHAnsi" w:eastAsia="Yu Mincho" w:hAnsiTheme="majorHAnsi" w:cstheme="majorHAnsi"/>
          <w:i/>
          <w:iCs/>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and lycopene. Working concentrations were 6.25, 12.50, 25.00, 50.00, and 100.00 μg/mL for lycopene, 3.91, 7.81, 15.63, 31.25, 62.50, and 125.00 μg/mL for</w:t>
      </w:r>
      <w:r w:rsidRPr="005E6B7C">
        <w:rPr>
          <w:rFonts w:asciiTheme="majorHAnsi" w:eastAsia="Yu Mincho" w:hAnsiTheme="majorHAnsi" w:cstheme="majorHAnsi"/>
          <w:i/>
          <w:iCs/>
          <w:color w:val="000000" w:themeColor="text1"/>
          <w:sz w:val="22"/>
          <w:szCs w:val="22"/>
          <w:lang w:eastAsia="ja-JP"/>
        </w:rPr>
        <w:t xml:space="preserve"> β</w:t>
      </w:r>
      <w:r w:rsidRPr="005E6B7C">
        <w:rPr>
          <w:rFonts w:asciiTheme="majorHAnsi" w:eastAsia="Yu Mincho" w:hAnsiTheme="majorHAnsi" w:cstheme="majorHAnsi"/>
          <w:color w:val="000000" w:themeColor="text1"/>
          <w:sz w:val="22"/>
          <w:szCs w:val="22"/>
          <w:lang w:eastAsia="ja-JP"/>
        </w:rPr>
        <w:t xml:space="preserve">-carotene. </w:t>
      </w:r>
    </w:p>
    <w:p w14:paraId="6E164901"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2.4.2. Preparation of sample solution:</w:t>
      </w:r>
    </w:p>
    <w:p w14:paraId="67FB9AEE" w14:textId="0576EB0E"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All crude drug samples were powdered to a homogeneous size using a mill. Each </w:t>
      </w:r>
      <w:r w:rsidRPr="005E6B7C">
        <w:rPr>
          <w:rFonts w:asciiTheme="majorHAnsi" w:eastAsia="Yu Mincho" w:hAnsiTheme="majorHAnsi" w:cstheme="majorHAnsi"/>
          <w:bCs/>
          <w:iCs/>
          <w:color w:val="000000" w:themeColor="text1"/>
          <w:sz w:val="22"/>
          <w:szCs w:val="22"/>
          <w:lang w:eastAsia="ja-JP"/>
        </w:rPr>
        <w:t>Gac</w:t>
      </w:r>
      <w:r w:rsidRPr="005E6B7C">
        <w:rPr>
          <w:rFonts w:asciiTheme="majorHAnsi" w:eastAsia="Yu Mincho" w:hAnsiTheme="majorHAnsi" w:cstheme="majorHAnsi"/>
          <w:bCs/>
          <w:i/>
          <w:iCs/>
          <w:color w:val="000000" w:themeColor="text1"/>
          <w:sz w:val="22"/>
          <w:szCs w:val="22"/>
          <w:lang w:eastAsia="ja-JP"/>
        </w:rPr>
        <w:t xml:space="preserve"> </w:t>
      </w:r>
      <w:r w:rsidRPr="005E6B7C">
        <w:rPr>
          <w:rFonts w:asciiTheme="majorHAnsi" w:eastAsia="Calibri" w:hAnsiTheme="majorHAnsi" w:cstheme="majorHAnsi"/>
          <w:iCs/>
          <w:color w:val="000000" w:themeColor="text1"/>
          <w:sz w:val="22"/>
          <w:szCs w:val="22"/>
          <w:lang w:eastAsia="ja-JP"/>
        </w:rPr>
        <w:t>seed aril</w:t>
      </w:r>
      <w:r w:rsidRPr="005E6B7C">
        <w:rPr>
          <w:rFonts w:asciiTheme="majorHAnsi" w:eastAsia="Yu Mincho" w:hAnsiTheme="majorHAnsi" w:cstheme="majorHAnsi"/>
          <w:bCs/>
          <w:color w:val="000000" w:themeColor="text1"/>
          <w:sz w:val="22"/>
          <w:szCs w:val="22"/>
          <w:lang w:eastAsia="ja-JP"/>
        </w:rPr>
        <w:t xml:space="preserve"> sample </w:t>
      </w:r>
      <w:r w:rsidRPr="005E6B7C">
        <w:rPr>
          <w:rFonts w:asciiTheme="majorHAnsi" w:eastAsia="Yu Mincho" w:hAnsiTheme="majorHAnsi" w:cstheme="majorHAnsi"/>
          <w:iCs/>
          <w:color w:val="000000" w:themeColor="text1"/>
          <w:sz w:val="22"/>
          <w:szCs w:val="22"/>
          <w:lang w:eastAsia="ja-JP"/>
        </w:rPr>
        <w:t xml:space="preserve">was accurately weighed (1 g) and extracted twice with 25 mL of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shd w:val="clear" w:color="auto" w:fill="FFFFFF"/>
          <w:lang w:eastAsia="ja-JP"/>
        </w:rPr>
        <w:t>-</w:t>
      </w:r>
      <w:r w:rsidRPr="005E6B7C">
        <w:rPr>
          <w:rFonts w:asciiTheme="majorHAnsi" w:eastAsia="Yu Mincho" w:hAnsiTheme="majorHAnsi" w:cstheme="majorHAnsi"/>
          <w:color w:val="000000" w:themeColor="text1"/>
          <w:sz w:val="22"/>
          <w:szCs w:val="22"/>
          <w:lang w:eastAsia="ja-JP"/>
        </w:rPr>
        <w:t>hexane – acetone – ethanol (2:1:1, </w:t>
      </w:r>
      <w:r w:rsidRPr="005E6B7C">
        <w:rPr>
          <w:rFonts w:asciiTheme="majorHAnsi" w:eastAsia="Yu Mincho" w:hAnsiTheme="majorHAnsi" w:cstheme="majorHAnsi"/>
          <w:i/>
          <w:iCs/>
          <w:color w:val="000000" w:themeColor="text1"/>
          <w:sz w:val="22"/>
          <w:szCs w:val="22"/>
          <w:lang w:eastAsia="ja-JP"/>
        </w:rPr>
        <w:t>v/v/v</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 xml:space="preserve">solvent </w:t>
      </w:r>
      <w:r w:rsidR="006F0463" w:rsidRPr="005E6B7C">
        <w:rPr>
          <w:rFonts w:asciiTheme="majorHAnsi" w:eastAsia="Yu Mincho" w:hAnsiTheme="majorHAnsi" w:cstheme="majorHAnsi"/>
          <w:iCs/>
          <w:color w:val="000000" w:themeColor="text1"/>
          <w:sz w:val="22"/>
          <w:szCs w:val="22"/>
          <w:lang w:eastAsia="ja-JP"/>
        </w:rPr>
        <w:t>in a shaker for 30 min each time</w:t>
      </w:r>
      <w:r w:rsidRPr="005E6B7C">
        <w:rPr>
          <w:rFonts w:asciiTheme="majorHAnsi" w:eastAsia="Yu Mincho" w:hAnsiTheme="majorHAnsi" w:cstheme="majorHAnsi"/>
          <w:iCs/>
          <w:color w:val="000000" w:themeColor="text1"/>
          <w:sz w:val="22"/>
          <w:szCs w:val="22"/>
          <w:lang w:eastAsia="ja-JP"/>
        </w:rPr>
        <w:t xml:space="preserve">. The pooled extracts were </w:t>
      </w:r>
      <w:r w:rsidR="001D5000" w:rsidRPr="005E6B7C">
        <w:rPr>
          <w:rFonts w:asciiTheme="majorHAnsi" w:eastAsia="Yu Mincho" w:hAnsiTheme="majorHAnsi" w:cstheme="majorHAnsi"/>
          <w:iCs/>
          <w:color w:val="000000" w:themeColor="text1"/>
          <w:sz w:val="22"/>
          <w:szCs w:val="22"/>
          <w:lang w:eastAsia="ja-JP"/>
        </w:rPr>
        <w:t>adjusted</w:t>
      </w:r>
      <w:r w:rsidR="001D5000" w:rsidRPr="005E6B7C">
        <w:rPr>
          <w:rFonts w:asciiTheme="majorHAnsi" w:eastAsia="Yu Mincho" w:hAnsiTheme="majorHAnsi" w:cstheme="majorHAnsi"/>
          <w:iCs/>
          <w:color w:val="000000" w:themeColor="text1"/>
          <w:sz w:val="22"/>
          <w:szCs w:val="22"/>
          <w:lang w:val="vi-VN" w:eastAsia="ja-JP"/>
        </w:rPr>
        <w:t xml:space="preserve"> to volume</w:t>
      </w:r>
      <w:r w:rsidRPr="005E6B7C">
        <w:rPr>
          <w:rFonts w:asciiTheme="majorHAnsi" w:eastAsia="Yu Mincho" w:hAnsiTheme="majorHAnsi" w:cstheme="majorHAnsi"/>
          <w:iCs/>
          <w:color w:val="000000" w:themeColor="text1"/>
          <w:sz w:val="22"/>
          <w:szCs w:val="22"/>
          <w:lang w:eastAsia="ja-JP"/>
        </w:rPr>
        <w:t xml:space="preserve"> with the solvent mixture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shd w:val="clear" w:color="auto" w:fill="FFFFFF"/>
          <w:lang w:eastAsia="ja-JP"/>
        </w:rPr>
        <w:t>-</w:t>
      </w:r>
      <w:r w:rsidRPr="005E6B7C">
        <w:rPr>
          <w:rFonts w:asciiTheme="majorHAnsi" w:eastAsia="Yu Mincho" w:hAnsiTheme="majorHAnsi" w:cstheme="majorHAnsi"/>
          <w:color w:val="000000" w:themeColor="text1"/>
          <w:sz w:val="22"/>
          <w:szCs w:val="22"/>
          <w:lang w:eastAsia="ja-JP"/>
        </w:rPr>
        <w:t xml:space="preserve">hexane – </w:t>
      </w:r>
      <w:r w:rsidRPr="005E6B7C">
        <w:rPr>
          <w:rFonts w:asciiTheme="majorHAnsi" w:eastAsia="Yu Mincho" w:hAnsiTheme="majorHAnsi" w:cstheme="majorHAnsi"/>
          <w:color w:val="000000" w:themeColor="text1"/>
          <w:sz w:val="22"/>
          <w:szCs w:val="22"/>
          <w:lang w:eastAsia="ja-JP"/>
        </w:rPr>
        <w:t>acetone – ethanol (2:1:1, </w:t>
      </w:r>
      <w:r w:rsidRPr="005E6B7C">
        <w:rPr>
          <w:rFonts w:asciiTheme="majorHAnsi" w:eastAsia="Yu Mincho" w:hAnsiTheme="majorHAnsi" w:cstheme="majorHAnsi"/>
          <w:i/>
          <w:iCs/>
          <w:color w:val="000000" w:themeColor="text1"/>
          <w:sz w:val="22"/>
          <w:szCs w:val="22"/>
          <w:lang w:eastAsia="ja-JP"/>
        </w:rPr>
        <w:t>v/v/v</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t xml:space="preserve">, shaken well to obtain the extract. </w:t>
      </w:r>
      <w:r w:rsidR="001D5000" w:rsidRPr="005E6B7C">
        <w:rPr>
          <w:rFonts w:asciiTheme="majorHAnsi" w:eastAsia="Yu Mincho" w:hAnsiTheme="majorHAnsi" w:cstheme="majorHAnsi"/>
          <w:iCs/>
          <w:color w:val="000000" w:themeColor="text1"/>
          <w:sz w:val="22"/>
          <w:szCs w:val="22"/>
          <w:lang w:eastAsia="ja-JP"/>
        </w:rPr>
        <w:t>The extract was filtered</w:t>
      </w:r>
      <w:r w:rsidRPr="005E6B7C">
        <w:rPr>
          <w:rFonts w:asciiTheme="majorHAnsi" w:eastAsia="Yu Mincho" w:hAnsiTheme="majorHAnsi" w:cstheme="majorHAnsi"/>
          <w:iCs/>
          <w:color w:val="000000" w:themeColor="text1"/>
          <w:sz w:val="22"/>
          <w:szCs w:val="22"/>
          <w:lang w:eastAsia="ja-JP"/>
        </w:rPr>
        <w:t xml:space="preserve">through a 0.45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iCs/>
          <w:color w:val="000000" w:themeColor="text1"/>
          <w:sz w:val="22"/>
          <w:szCs w:val="22"/>
          <w:lang w:eastAsia="ja-JP"/>
        </w:rPr>
        <w:t>m filter to obtain the sample solution for HPLC analysis. The working solutions were kept protected from light at −20</w:t>
      </w:r>
      <w:r w:rsidR="008C0D47"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t xml:space="preserve">C until use [9]. </w:t>
      </w:r>
    </w:p>
    <w:p w14:paraId="3A738822" w14:textId="67DAF2A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eastAsia="ja-JP"/>
        </w:rPr>
        <w:t xml:space="preserve">2.4.3. </w:t>
      </w:r>
      <w:r w:rsidRPr="005E6B7C">
        <w:rPr>
          <w:rFonts w:asciiTheme="majorHAnsi" w:eastAsia="Yu Mincho" w:hAnsiTheme="majorHAnsi" w:cstheme="majorHAnsi"/>
          <w:iCs/>
          <w:color w:val="000000" w:themeColor="text1"/>
          <w:sz w:val="22"/>
          <w:szCs w:val="22"/>
          <w:lang w:eastAsia="ja-JP"/>
        </w:rPr>
        <w:t xml:space="preserve">Chromatographic </w:t>
      </w:r>
      <w:r w:rsidR="001D5000" w:rsidRPr="005E6B7C">
        <w:rPr>
          <w:rFonts w:asciiTheme="majorHAnsi" w:eastAsia="Yu Mincho" w:hAnsiTheme="majorHAnsi" w:cstheme="majorHAnsi"/>
          <w:iCs/>
          <w:color w:val="000000" w:themeColor="text1"/>
          <w:sz w:val="22"/>
          <w:szCs w:val="22"/>
          <w:lang w:eastAsia="ja-JP"/>
        </w:rPr>
        <w:t>c</w:t>
      </w:r>
      <w:r w:rsidRPr="005E6B7C">
        <w:rPr>
          <w:rFonts w:asciiTheme="majorHAnsi" w:eastAsia="Yu Mincho" w:hAnsiTheme="majorHAnsi" w:cstheme="majorHAnsi"/>
          <w:iCs/>
          <w:color w:val="000000" w:themeColor="text1"/>
          <w:sz w:val="22"/>
          <w:szCs w:val="22"/>
          <w:lang w:eastAsia="ja-JP"/>
        </w:rPr>
        <w:t>onditions for HPLC analysis:</w:t>
      </w:r>
    </w:p>
    <w:p w14:paraId="7D3A5ADD" w14:textId="5CD84BB2"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The samples were analyzed using </w:t>
      </w:r>
      <w:r w:rsidRPr="005E6B7C">
        <w:rPr>
          <w:rFonts w:asciiTheme="majorHAnsi" w:eastAsia="Yu Mincho" w:hAnsiTheme="majorHAnsi" w:cstheme="majorHAnsi"/>
          <w:color w:val="000000" w:themeColor="text1"/>
          <w:sz w:val="22"/>
          <w:szCs w:val="22"/>
          <w:lang w:eastAsia="ja-JP"/>
        </w:rPr>
        <w:t xml:space="preserve">acetonitrile </w:t>
      </w:r>
      <w:r w:rsidRPr="005E6B7C">
        <w:rPr>
          <w:rFonts w:asciiTheme="majorHAnsi" w:eastAsia="Yu Mincho" w:hAnsiTheme="majorHAnsi" w:cstheme="majorHAnsi"/>
          <w:iCs/>
          <w:color w:val="000000" w:themeColor="text1"/>
          <w:sz w:val="22"/>
          <w:szCs w:val="22"/>
          <w:lang w:eastAsia="ja-JP"/>
        </w:rPr>
        <w:t xml:space="preserve">(solvent A) and methanol (solvent B) as a mobile phase. The isocratic program was set at 30% B for 40 minutes at a flow rate of 1.5 mL/min. The mobile phase was filtered through 0.45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iCs/>
          <w:color w:val="000000" w:themeColor="text1"/>
          <w:sz w:val="22"/>
          <w:szCs w:val="22"/>
          <w:lang w:eastAsia="ja-JP"/>
        </w:rPr>
        <w:t xml:space="preserve">m PTFE membrane filters and degassed using an ultrasonic bath before analysis. The injection volume of standards and sample solutions was 10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iCs/>
          <w:color w:val="000000" w:themeColor="text1"/>
          <w:sz w:val="22"/>
          <w:szCs w:val="22"/>
          <w:lang w:eastAsia="ja-JP"/>
        </w:rPr>
        <w:t xml:space="preserve">L. The wavelength was set at 475 nm for monitoring the chromatographic profile. All measurements were done in triplicate [9]. </w:t>
      </w:r>
    </w:p>
    <w:p w14:paraId="42BCBA4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 xml:space="preserve">2.4.4. Developing a quantitative method for lycopene and </w:t>
      </w:r>
      <w:r w:rsidRPr="005E6B7C">
        <w:rPr>
          <w:rFonts w:asciiTheme="majorHAnsi" w:eastAsia="Yu Mincho" w:hAnsiTheme="majorHAnsi" w:cstheme="majorHAnsi"/>
          <w:bCs/>
          <w:i/>
          <w:color w:val="000000" w:themeColor="text1"/>
          <w:sz w:val="22"/>
          <w:szCs w:val="22"/>
          <w:lang w:eastAsia="ja-JP"/>
        </w:rPr>
        <w:t>β</w:t>
      </w:r>
      <w:r w:rsidRPr="005E6B7C">
        <w:rPr>
          <w:rFonts w:asciiTheme="majorHAnsi" w:eastAsia="Yu Mincho" w:hAnsiTheme="majorHAnsi" w:cstheme="majorHAnsi"/>
          <w:bCs/>
          <w:color w:val="000000" w:themeColor="text1"/>
          <w:sz w:val="22"/>
          <w:szCs w:val="22"/>
          <w:lang w:eastAsia="ja-JP"/>
        </w:rPr>
        <w:t xml:space="preserve">-carotene in Gac </w:t>
      </w:r>
      <w:r w:rsidRPr="005E6B7C">
        <w:rPr>
          <w:rFonts w:asciiTheme="majorHAnsi" w:eastAsia="Calibri" w:hAnsiTheme="majorHAnsi" w:cstheme="majorHAnsi"/>
          <w:color w:val="000000" w:themeColor="text1"/>
          <w:sz w:val="22"/>
          <w:szCs w:val="22"/>
          <w:lang w:eastAsia="ja-JP"/>
        </w:rPr>
        <w:t>seed aril</w:t>
      </w:r>
      <w:r w:rsidRPr="005E6B7C">
        <w:rPr>
          <w:rFonts w:asciiTheme="majorHAnsi" w:eastAsia="Yu Mincho" w:hAnsiTheme="majorHAnsi" w:cstheme="majorHAnsi"/>
          <w:bCs/>
          <w:color w:val="000000" w:themeColor="text1"/>
          <w:sz w:val="22"/>
          <w:szCs w:val="22"/>
          <w:lang w:eastAsia="ja-JP"/>
        </w:rPr>
        <w:t xml:space="preserve"> using TLC-Scanner:</w:t>
      </w:r>
    </w:p>
    <w:p w14:paraId="5D44437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bCs/>
          <w:color w:val="000000" w:themeColor="text1"/>
          <w:sz w:val="22"/>
          <w:szCs w:val="22"/>
          <w:lang w:eastAsia="ja-JP"/>
        </w:rPr>
        <w:t>2.4.4.1. Chromatographic Optimization Study:</w:t>
      </w:r>
    </w:p>
    <w:p w14:paraId="1EDBF84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The wavelength was set at 475 nm.</w:t>
      </w:r>
    </w:p>
    <w:p w14:paraId="77CFA3E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Mobile phase investigation: various mobile phase solvent systems with different constituent components were investigated. </w:t>
      </w:r>
    </w:p>
    <w:p w14:paraId="73D01ABA" w14:textId="37DEBEB6" w:rsidR="00E049CB" w:rsidRPr="005E6B7C" w:rsidRDefault="001D5000"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Chromatographic procedure</w:t>
      </w:r>
      <w:r w:rsidR="00E049CB" w:rsidRPr="005E6B7C">
        <w:rPr>
          <w:rFonts w:asciiTheme="majorHAnsi" w:eastAsia="Yu Mincho" w:hAnsiTheme="majorHAnsi" w:cstheme="majorHAnsi"/>
          <w:color w:val="000000" w:themeColor="text1"/>
          <w:sz w:val="22"/>
          <w:szCs w:val="22"/>
          <w:lang w:eastAsia="ja-JP"/>
        </w:rPr>
        <w:t xml:space="preserve">: Separately spot 10 </w:t>
      </w:r>
      <w:r w:rsidR="00E049CB" w:rsidRPr="005E6B7C">
        <w:rPr>
          <w:rFonts w:asciiTheme="majorHAnsi" w:eastAsia="Yu Mincho" w:hAnsiTheme="majorHAnsi" w:cstheme="majorHAnsi"/>
          <w:color w:val="000000" w:themeColor="text1"/>
          <w:sz w:val="22"/>
          <w:szCs w:val="22"/>
          <w:lang w:val="pt-BR" w:eastAsia="ja-JP"/>
        </w:rPr>
        <w:t>μ</w:t>
      </w:r>
      <w:r w:rsidR="00E049CB" w:rsidRPr="005E6B7C">
        <w:rPr>
          <w:rFonts w:asciiTheme="majorHAnsi" w:eastAsia="Yu Mincho" w:hAnsiTheme="majorHAnsi" w:cstheme="majorHAnsi"/>
          <w:color w:val="000000" w:themeColor="text1"/>
          <w:sz w:val="22"/>
          <w:szCs w:val="22"/>
          <w:lang w:eastAsia="ja-JP"/>
        </w:rPr>
        <w:t xml:space="preserve">L each of the sample solution and the standard solution. After developing the chromatogram and observing under visible light, the chromatogram of the sample solution </w:t>
      </w:r>
      <w:r w:rsidRPr="005E6B7C">
        <w:rPr>
          <w:rFonts w:asciiTheme="majorHAnsi" w:eastAsia="Yu Mincho" w:hAnsiTheme="majorHAnsi" w:cstheme="majorHAnsi"/>
          <w:color w:val="000000" w:themeColor="text1"/>
          <w:sz w:val="22"/>
          <w:szCs w:val="22"/>
          <w:lang w:eastAsia="ja-JP"/>
        </w:rPr>
        <w:t>mobile phase 4 provided compact peaks</w:t>
      </w:r>
      <w:r w:rsidR="00E049CB" w:rsidRPr="005E6B7C">
        <w:rPr>
          <w:rFonts w:asciiTheme="majorHAnsi" w:eastAsia="Yu Mincho" w:hAnsiTheme="majorHAnsi" w:cstheme="majorHAnsi"/>
          <w:color w:val="000000" w:themeColor="text1"/>
          <w:sz w:val="22"/>
          <w:szCs w:val="22"/>
          <w:lang w:eastAsia="ja-JP"/>
        </w:rPr>
        <w:t xml:space="preserve"> the chromatogram of the reference substance solution. The selected solvent system is one that yields spots with retention factor (R</w:t>
      </w:r>
      <w:r w:rsidR="00E049CB" w:rsidRPr="005E6B7C">
        <w:rPr>
          <w:rFonts w:asciiTheme="majorHAnsi" w:eastAsia="Yu Mincho" w:hAnsiTheme="majorHAnsi" w:cstheme="majorHAnsi"/>
          <w:color w:val="000000" w:themeColor="text1"/>
          <w:sz w:val="22"/>
          <w:szCs w:val="22"/>
          <w:vertAlign w:val="subscript"/>
          <w:lang w:eastAsia="ja-JP"/>
        </w:rPr>
        <w:t>f</w:t>
      </w:r>
      <w:r w:rsidR="00E049CB" w:rsidRPr="005E6B7C">
        <w:rPr>
          <w:rFonts w:asciiTheme="majorHAnsi" w:eastAsia="Yu Mincho" w:hAnsiTheme="majorHAnsi" w:cstheme="majorHAnsi"/>
          <w:color w:val="000000" w:themeColor="text1"/>
          <w:sz w:val="22"/>
          <w:szCs w:val="22"/>
          <w:lang w:eastAsia="ja-JP"/>
        </w:rPr>
        <w:t>) values between 0.2 and 0.8, and where the spots on the TLC chromatogram are clearly separated.</w:t>
      </w:r>
    </w:p>
    <w:p w14:paraId="119E3FCB" w14:textId="2C089ABC"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The sample loading volume: spotting volumes were investigated at different volumes: 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10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20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and 30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w:t>
      </w:r>
    </w:p>
    <w:p w14:paraId="7F0209B6"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2.4.4.2. Method Validation:</w:t>
      </w:r>
    </w:p>
    <w:p w14:paraId="0C3B8973" w14:textId="77777777" w:rsidR="00E049CB" w:rsidRPr="005E6B7C" w:rsidRDefault="00E049CB" w:rsidP="008C0D47">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Method validation was conducted following the guidelines established by AOAC and ICH, assessing parameters including specificity, suitability, linearity (calibration curve), repeatability, recovery, and limit of detection (LOD) [11],[12].</w:t>
      </w:r>
    </w:p>
    <w:p w14:paraId="6314BDD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2.5. Calculation</w:t>
      </w:r>
    </w:p>
    <w:p w14:paraId="2DC3E2BC" w14:textId="77777777" w:rsidR="000F51CE"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eastAsia="ja-JP"/>
        </w:rPr>
      </w:pPr>
      <w:r w:rsidRPr="005E6B7C">
        <w:rPr>
          <w:rFonts w:asciiTheme="majorHAnsi" w:eastAsia="Yu Mincho" w:hAnsiTheme="majorHAnsi" w:cstheme="majorHAnsi"/>
          <w:color w:val="000000" w:themeColor="text1"/>
          <w:sz w:val="22"/>
          <w:szCs w:val="22"/>
          <w:shd w:val="clear" w:color="auto" w:fill="FFFFFF"/>
          <w:lang w:eastAsia="ja-JP"/>
        </w:rPr>
        <w:t xml:space="preserve">The content of analyzed compounds in </w:t>
      </w:r>
      <w:r w:rsidRPr="005E6B7C">
        <w:rPr>
          <w:rFonts w:asciiTheme="majorHAnsi" w:eastAsia="Yu Mincho" w:hAnsiTheme="majorHAnsi" w:cstheme="majorHAnsi"/>
          <w:iCs/>
          <w:color w:val="000000" w:themeColor="text1"/>
          <w:sz w:val="22"/>
          <w:szCs w:val="22"/>
          <w:lang w:eastAsia="ja-JP"/>
        </w:rPr>
        <w:t xml:space="preserve">Gac seed aril </w:t>
      </w:r>
      <w:r w:rsidRPr="005E6B7C">
        <w:rPr>
          <w:rFonts w:asciiTheme="majorHAnsi" w:eastAsia="Yu Mincho" w:hAnsiTheme="majorHAnsi" w:cstheme="majorHAnsi"/>
          <w:color w:val="000000" w:themeColor="text1"/>
          <w:sz w:val="22"/>
          <w:szCs w:val="22"/>
          <w:shd w:val="clear" w:color="auto" w:fill="FFFFFF"/>
          <w:lang w:eastAsia="ja-JP"/>
        </w:rPr>
        <w:t>samples was calculated as follows:</w:t>
      </w:r>
    </w:p>
    <w:p w14:paraId="4EDE02EA"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eastAsia="ja-JP"/>
        </w:rPr>
        <w:sectPr w:rsidR="000F51CE" w:rsidRPr="005E6B7C" w:rsidSect="000F51CE">
          <w:type w:val="continuous"/>
          <w:pgSz w:w="10773" w:h="15309" w:code="9"/>
          <w:pgMar w:top="907" w:right="851" w:bottom="1418" w:left="851" w:header="397" w:footer="851" w:gutter="0"/>
          <w:cols w:num="2" w:space="284"/>
          <w:docGrid w:linePitch="360"/>
        </w:sectPr>
      </w:pPr>
    </w:p>
    <w:p w14:paraId="3622A2D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69CD4DFE" w14:textId="77777777" w:rsidR="00E049CB" w:rsidRPr="005E6B7C" w:rsidRDefault="00E049CB" w:rsidP="008C0D47">
      <w:pPr>
        <w:tabs>
          <w:tab w:val="left" w:pos="270"/>
          <w:tab w:val="left" w:pos="540"/>
          <w:tab w:val="left" w:pos="720"/>
          <w:tab w:val="left" w:pos="1440"/>
          <w:tab w:val="left" w:pos="2160"/>
          <w:tab w:val="left" w:pos="2880"/>
          <w:tab w:val="left" w:pos="3600"/>
          <w:tab w:val="left" w:pos="4320"/>
          <w:tab w:val="center" w:pos="4513"/>
          <w:tab w:val="left" w:pos="5040"/>
          <w:tab w:val="left" w:pos="5760"/>
          <w:tab w:val="left" w:pos="6480"/>
          <w:tab w:val="left" w:pos="7200"/>
          <w:tab w:val="right" w:pos="9026"/>
          <w:tab w:val="left" w:pos="9270"/>
        </w:tabs>
        <w:ind w:right="-20"/>
        <w:jc w:val="center"/>
        <w:rPr>
          <w:rFonts w:asciiTheme="majorHAnsi" w:eastAsia="Yu Mincho" w:hAnsiTheme="majorHAnsi" w:cstheme="majorHAnsi"/>
          <w:b/>
          <w:color w:val="000000" w:themeColor="text1"/>
          <w:sz w:val="22"/>
          <w:szCs w:val="22"/>
          <w:shd w:val="clear" w:color="auto" w:fill="FFFFFF"/>
          <w:lang w:eastAsia="ja-JP"/>
        </w:rPr>
      </w:pPr>
      <m:oMath>
        <m:r>
          <w:rPr>
            <w:rFonts w:ascii="Cambria Math" w:eastAsia="Yu Mincho" w:hAnsi="Cambria Math" w:cstheme="majorHAnsi"/>
            <w:color w:val="000000" w:themeColor="text1"/>
            <w:sz w:val="22"/>
            <w:szCs w:val="22"/>
            <w:lang w:eastAsia="ja-JP"/>
          </w:rPr>
          <m:t>X</m:t>
        </m:r>
        <m:d>
          <m:dPr>
            <m:ctrlPr>
              <w:rPr>
                <w:rFonts w:ascii="Cambria Math" w:eastAsia="Yu Mincho" w:hAnsi="Cambria Math" w:cstheme="majorHAnsi"/>
                <w:color w:val="000000" w:themeColor="text1"/>
                <w:sz w:val="22"/>
                <w:szCs w:val="22"/>
                <w:lang w:eastAsia="ja-JP"/>
              </w:rPr>
            </m:ctrlPr>
          </m:dPr>
          <m:e>
            <m:r>
              <m:rPr>
                <m:lit/>
                <m:nor/>
              </m:rPr>
              <w:rPr>
                <w:rFonts w:asciiTheme="majorHAnsi" w:eastAsia="Yu Mincho" w:hAnsiTheme="majorHAnsi" w:cstheme="majorHAnsi"/>
                <w:color w:val="000000" w:themeColor="text1"/>
                <w:sz w:val="22"/>
                <w:szCs w:val="22"/>
                <w:lang w:eastAsia="ja-JP"/>
              </w:rPr>
              <m:t>%</m:t>
            </m:r>
          </m:e>
        </m:d>
        <m:r>
          <w:rPr>
            <w:rFonts w:ascii="Cambria Math" w:eastAsia="Yu Mincho" w:hAnsi="Cambria Math" w:cstheme="majorHAnsi"/>
            <w:color w:val="000000" w:themeColor="text1"/>
            <w:sz w:val="22"/>
            <w:szCs w:val="22"/>
            <w:lang w:eastAsia="ja-JP"/>
          </w:rPr>
          <m:t>=</m:t>
        </m:r>
        <m:f>
          <m:fPr>
            <m:ctrlPr>
              <w:rPr>
                <w:rFonts w:ascii="Cambria Math" w:eastAsia="Yu Mincho" w:hAnsi="Cambria Math" w:cstheme="majorHAnsi"/>
                <w:color w:val="000000" w:themeColor="text1"/>
                <w:sz w:val="22"/>
                <w:szCs w:val="22"/>
                <w:lang w:eastAsia="ja-JP"/>
              </w:rPr>
            </m:ctrlPr>
          </m:fPr>
          <m:num>
            <m:sSub>
              <m:sSubPr>
                <m:ctrlPr>
                  <w:rPr>
                    <w:rFonts w:ascii="Cambria Math" w:eastAsia="Yu Mincho" w:hAnsi="Cambria Math" w:cstheme="majorHAnsi"/>
                    <w:color w:val="000000" w:themeColor="text1"/>
                    <w:sz w:val="22"/>
                    <w:szCs w:val="22"/>
                    <w:lang w:eastAsia="ja-JP"/>
                  </w:rPr>
                </m:ctrlPr>
              </m:sSubPr>
              <m:e>
                <m:r>
                  <w:rPr>
                    <w:rFonts w:ascii="Cambria Math" w:eastAsia="Yu Mincho" w:hAnsi="Cambria Math" w:cstheme="majorHAnsi"/>
                    <w:color w:val="000000" w:themeColor="text1"/>
                    <w:sz w:val="22"/>
                    <w:szCs w:val="22"/>
                    <w:lang w:eastAsia="ja-JP"/>
                  </w:rPr>
                  <m:t>C</m:t>
                </m:r>
              </m:e>
              <m:sub>
                <m:r>
                  <w:rPr>
                    <w:rFonts w:ascii="Cambria Math" w:eastAsia="Yu Mincho" w:hAnsi="Cambria Math" w:cstheme="majorHAnsi"/>
                    <w:color w:val="000000" w:themeColor="text1"/>
                    <w:sz w:val="22"/>
                    <w:szCs w:val="22"/>
                    <w:lang w:eastAsia="ja-JP"/>
                  </w:rPr>
                  <m:t>t</m:t>
                </m:r>
              </m:sub>
            </m:sSub>
            <m:r>
              <w:rPr>
                <w:rFonts w:ascii="Cambria Math" w:eastAsia="Yu Mincho" w:hAnsi="Cambria Math" w:cstheme="majorHAnsi"/>
                <w:color w:val="000000" w:themeColor="text1"/>
                <w:sz w:val="22"/>
                <w:szCs w:val="22"/>
                <w:lang w:eastAsia="ja-JP"/>
              </w:rPr>
              <m:t>×V×100</m:t>
            </m:r>
          </m:num>
          <m:den>
            <m:r>
              <w:rPr>
                <w:rFonts w:ascii="Cambria Math" w:eastAsia="Yu Mincho" w:hAnsi="Cambria Math" w:cstheme="majorHAnsi"/>
                <w:color w:val="000000" w:themeColor="text1"/>
                <w:sz w:val="22"/>
                <w:szCs w:val="22"/>
                <w:lang w:eastAsia="ja-JP"/>
              </w:rPr>
              <m:t>M×</m:t>
            </m:r>
            <m:sSup>
              <m:sSupPr>
                <m:ctrlPr>
                  <w:rPr>
                    <w:rFonts w:ascii="Cambria Math" w:eastAsia="Yu Mincho" w:hAnsi="Cambria Math" w:cstheme="majorHAnsi"/>
                    <w:i/>
                    <w:color w:val="000000" w:themeColor="text1"/>
                    <w:sz w:val="22"/>
                    <w:szCs w:val="22"/>
                    <w:lang w:eastAsia="ja-JP"/>
                  </w:rPr>
                </m:ctrlPr>
              </m:sSupPr>
              <m:e>
                <m:r>
                  <w:rPr>
                    <w:rFonts w:ascii="Cambria Math" w:eastAsia="Yu Mincho" w:hAnsi="Cambria Math" w:cstheme="majorHAnsi"/>
                    <w:color w:val="000000" w:themeColor="text1"/>
                    <w:sz w:val="22"/>
                    <w:szCs w:val="22"/>
                    <w:lang w:eastAsia="ja-JP"/>
                  </w:rPr>
                  <m:t>10</m:t>
                </m:r>
              </m:e>
              <m:sup>
                <m:r>
                  <w:rPr>
                    <w:rFonts w:ascii="Cambria Math" w:eastAsia="Yu Mincho" w:hAnsi="Cambria Math" w:cstheme="majorHAnsi"/>
                    <w:color w:val="000000" w:themeColor="text1"/>
                    <w:sz w:val="22"/>
                    <w:szCs w:val="22"/>
                    <w:lang w:eastAsia="ja-JP"/>
                  </w:rPr>
                  <m:t>6</m:t>
                </m:r>
              </m:sup>
            </m:sSup>
            <m:r>
              <w:rPr>
                <w:rFonts w:ascii="Cambria Math" w:eastAsia="Yu Mincho" w:hAnsi="Cambria Math" w:cstheme="majorHAnsi"/>
                <w:color w:val="000000" w:themeColor="text1"/>
                <w:sz w:val="22"/>
                <w:szCs w:val="22"/>
                <w:lang w:eastAsia="ja-JP"/>
              </w:rPr>
              <m:t>×</m:t>
            </m:r>
            <m:d>
              <m:dPr>
                <m:ctrlPr>
                  <w:rPr>
                    <w:rFonts w:ascii="Cambria Math" w:eastAsia="Yu Mincho" w:hAnsi="Cambria Math" w:cstheme="majorHAnsi"/>
                    <w:color w:val="000000" w:themeColor="text1"/>
                    <w:sz w:val="22"/>
                    <w:szCs w:val="22"/>
                    <w:lang w:eastAsia="ja-JP"/>
                  </w:rPr>
                </m:ctrlPr>
              </m:dPr>
              <m:e>
                <m:r>
                  <w:rPr>
                    <w:rFonts w:ascii="Cambria Math" w:eastAsia="Yu Mincho" w:hAnsi="Cambria Math" w:cstheme="majorHAnsi"/>
                    <w:color w:val="000000" w:themeColor="text1"/>
                    <w:sz w:val="22"/>
                    <w:szCs w:val="22"/>
                    <w:lang w:eastAsia="ja-JP"/>
                  </w:rPr>
                  <m:t>100-a</m:t>
                </m:r>
              </m:e>
            </m:d>
          </m:den>
        </m:f>
        <m:r>
          <w:rPr>
            <w:rFonts w:ascii="Cambria Math" w:eastAsia="Yu Mincho" w:hAnsi="Cambria Math" w:cstheme="majorHAnsi"/>
            <w:color w:val="000000" w:themeColor="text1"/>
            <w:sz w:val="22"/>
            <w:szCs w:val="22"/>
            <w:lang w:eastAsia="ja-JP"/>
          </w:rPr>
          <m:t>×100</m:t>
        </m:r>
      </m:oMath>
      <w:r w:rsidRPr="005E6B7C">
        <w:rPr>
          <w:rFonts w:asciiTheme="majorHAnsi" w:eastAsia="Yu Mincho" w:hAnsiTheme="majorHAnsi" w:cstheme="majorHAnsi"/>
          <w:b/>
          <w:color w:val="000000" w:themeColor="text1"/>
          <w:sz w:val="22"/>
          <w:szCs w:val="22"/>
          <w:shd w:val="clear" w:color="auto" w:fill="FFFFFF"/>
          <w:lang w:eastAsia="ja-JP"/>
        </w:rPr>
        <w:tab/>
      </w:r>
      <w:r w:rsidRPr="005E6B7C">
        <w:rPr>
          <w:rFonts w:asciiTheme="majorHAnsi" w:eastAsia="Yu Mincho" w:hAnsiTheme="majorHAnsi" w:cstheme="majorHAnsi"/>
          <w:b/>
          <w:color w:val="000000" w:themeColor="text1"/>
          <w:sz w:val="22"/>
          <w:szCs w:val="22"/>
          <w:shd w:val="clear" w:color="auto" w:fill="FFFFFF"/>
          <w:lang w:eastAsia="ja-JP"/>
        </w:rPr>
        <w:tab/>
        <w:t xml:space="preserve">(1)            </w:t>
      </w:r>
      <m:oMath>
        <m:r>
          <w:rPr>
            <w:rFonts w:ascii="Cambria Math" w:eastAsia="Yu Mincho" w:hAnsi="Cambria Math" w:cstheme="majorHAnsi"/>
            <w:color w:val="000000" w:themeColor="text1"/>
            <w:sz w:val="22"/>
            <w:szCs w:val="22"/>
            <w:lang w:eastAsia="ja-JP"/>
          </w:rPr>
          <m:t>X</m:t>
        </m:r>
        <m:d>
          <m:dPr>
            <m:ctrlPr>
              <w:rPr>
                <w:rFonts w:ascii="Cambria Math" w:eastAsia="Yu Mincho" w:hAnsi="Cambria Math" w:cstheme="majorHAnsi"/>
                <w:color w:val="000000" w:themeColor="text1"/>
                <w:sz w:val="22"/>
                <w:szCs w:val="22"/>
                <w:lang w:eastAsia="ja-JP"/>
              </w:rPr>
            </m:ctrlPr>
          </m:dPr>
          <m:e>
            <m:f>
              <m:fPr>
                <m:type m:val="lin"/>
                <m:ctrlPr>
                  <w:rPr>
                    <w:rFonts w:ascii="Cambria Math" w:eastAsia="Yu Mincho" w:hAnsi="Cambria Math" w:cstheme="majorHAnsi"/>
                    <w:i/>
                    <w:color w:val="000000" w:themeColor="text1"/>
                    <w:sz w:val="22"/>
                    <w:szCs w:val="22"/>
                    <w:lang w:eastAsia="ja-JP"/>
                  </w:rPr>
                </m:ctrlPr>
              </m:fPr>
              <m:num>
                <m:r>
                  <w:rPr>
                    <w:rFonts w:ascii="Cambria Math" w:eastAsia="Yu Mincho" w:hAnsi="Cambria Math" w:cstheme="majorHAnsi"/>
                    <w:color w:val="000000" w:themeColor="text1"/>
                    <w:sz w:val="22"/>
                    <w:szCs w:val="22"/>
                    <w:lang w:eastAsia="ja-JP"/>
                  </w:rPr>
                  <m:t>mg</m:t>
                </m:r>
              </m:num>
              <m:den>
                <m:r>
                  <w:rPr>
                    <w:rFonts w:ascii="Cambria Math" w:eastAsia="Yu Mincho" w:hAnsi="Cambria Math" w:cstheme="majorHAnsi"/>
                    <w:color w:val="000000" w:themeColor="text1"/>
                    <w:sz w:val="22"/>
                    <w:szCs w:val="22"/>
                    <w:lang w:eastAsia="ja-JP"/>
                  </w:rPr>
                  <m:t>g</m:t>
                </m:r>
              </m:den>
            </m:f>
          </m:e>
        </m:d>
        <m:r>
          <w:rPr>
            <w:rFonts w:ascii="Cambria Math" w:eastAsia="Yu Mincho" w:hAnsi="Cambria Math" w:cstheme="majorHAnsi"/>
            <w:color w:val="000000" w:themeColor="text1"/>
            <w:sz w:val="22"/>
            <w:szCs w:val="22"/>
            <w:lang w:eastAsia="ja-JP"/>
          </w:rPr>
          <m:t>=X</m:t>
        </m:r>
        <m:d>
          <m:dPr>
            <m:ctrlPr>
              <w:rPr>
                <w:rFonts w:ascii="Cambria Math" w:eastAsia="Yu Mincho" w:hAnsi="Cambria Math" w:cstheme="majorHAnsi"/>
                <w:i/>
                <w:color w:val="000000" w:themeColor="text1"/>
                <w:sz w:val="22"/>
                <w:szCs w:val="22"/>
                <w:lang w:eastAsia="ja-JP"/>
              </w:rPr>
            </m:ctrlPr>
          </m:dPr>
          <m:e>
            <m:r>
              <w:rPr>
                <w:rFonts w:ascii="Cambria Math" w:eastAsia="Yu Mincho" w:hAnsi="Cambria Math" w:cstheme="majorHAnsi"/>
                <w:color w:val="000000" w:themeColor="text1"/>
                <w:sz w:val="22"/>
                <w:szCs w:val="22"/>
                <w:lang w:eastAsia="ja-JP"/>
              </w:rPr>
              <m:t>%</m:t>
            </m:r>
          </m:e>
        </m:d>
        <m:r>
          <w:rPr>
            <w:rFonts w:ascii="Cambria Math" w:eastAsia="Yu Mincho" w:hAnsi="Cambria Math" w:cstheme="majorHAnsi"/>
            <w:color w:val="000000" w:themeColor="text1"/>
            <w:sz w:val="22"/>
            <w:szCs w:val="22"/>
            <w:lang w:eastAsia="ja-JP"/>
          </w:rPr>
          <m:t>×10</m:t>
        </m:r>
      </m:oMath>
      <w:r w:rsidRPr="005E6B7C">
        <w:rPr>
          <w:rFonts w:asciiTheme="majorHAnsi" w:eastAsia="Times New Roman" w:hAnsiTheme="majorHAnsi" w:cstheme="majorHAnsi"/>
          <w:color w:val="000000" w:themeColor="text1"/>
          <w:sz w:val="22"/>
          <w:szCs w:val="22"/>
          <w:lang w:eastAsia="ja-JP"/>
        </w:rPr>
        <w:tab/>
        <w:t xml:space="preserve">       </w:t>
      </w:r>
      <w:r w:rsidRPr="005E6B7C">
        <w:rPr>
          <w:rFonts w:asciiTheme="majorHAnsi" w:eastAsia="Times New Roman" w:hAnsiTheme="majorHAnsi" w:cstheme="majorHAnsi"/>
          <w:b/>
          <w:bCs/>
          <w:color w:val="000000" w:themeColor="text1"/>
          <w:sz w:val="22"/>
          <w:szCs w:val="22"/>
          <w:lang w:eastAsia="ja-JP"/>
        </w:rPr>
        <w:t>(2)</w:t>
      </w:r>
    </w:p>
    <w:p w14:paraId="04360535"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shd w:val="clear" w:color="auto" w:fill="FFFFFF"/>
          <w:lang w:eastAsia="ja-JP"/>
        </w:rPr>
        <w:sectPr w:rsidR="000F51CE" w:rsidRPr="005E6B7C" w:rsidSect="002206BB">
          <w:type w:val="continuous"/>
          <w:pgSz w:w="10773" w:h="15309" w:code="9"/>
          <w:pgMar w:top="907" w:right="851" w:bottom="1418" w:left="851" w:header="397" w:footer="851" w:gutter="0"/>
          <w:cols w:space="284"/>
          <w:docGrid w:linePitch="360"/>
        </w:sectPr>
      </w:pPr>
    </w:p>
    <w:p w14:paraId="2772865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12"/>
          <w:sz w:val="22"/>
          <w:szCs w:val="22"/>
          <w:lang w:eastAsia="ja-JP"/>
        </w:rPr>
      </w:pPr>
      <w:r w:rsidRPr="005E6B7C">
        <w:rPr>
          <w:rFonts w:asciiTheme="majorHAnsi" w:eastAsia="Yu Mincho" w:hAnsiTheme="majorHAnsi" w:cstheme="majorHAnsi"/>
          <w:color w:val="000000" w:themeColor="text1"/>
          <w:spacing w:val="12"/>
          <w:sz w:val="22"/>
          <w:szCs w:val="22"/>
          <w:shd w:val="clear" w:color="auto" w:fill="FFFFFF"/>
          <w:lang w:eastAsia="ja-JP"/>
        </w:rPr>
        <w:t>Where C</w:t>
      </w:r>
      <w:r w:rsidRPr="005E6B7C">
        <w:rPr>
          <w:rFonts w:asciiTheme="majorHAnsi" w:eastAsia="Yu Mincho" w:hAnsiTheme="majorHAnsi" w:cstheme="majorHAnsi"/>
          <w:color w:val="000000" w:themeColor="text1"/>
          <w:spacing w:val="12"/>
          <w:sz w:val="22"/>
          <w:szCs w:val="22"/>
          <w:shd w:val="clear" w:color="auto" w:fill="FFFFFF"/>
          <w:vertAlign w:val="subscript"/>
          <w:lang w:eastAsia="ja-JP"/>
        </w:rPr>
        <w:t>t</w:t>
      </w:r>
      <w:r w:rsidRPr="005E6B7C">
        <w:rPr>
          <w:rFonts w:asciiTheme="majorHAnsi" w:eastAsia="Yu Mincho" w:hAnsiTheme="majorHAnsi" w:cstheme="majorHAnsi"/>
          <w:color w:val="000000" w:themeColor="text1"/>
          <w:spacing w:val="12"/>
          <w:sz w:val="22"/>
          <w:szCs w:val="22"/>
          <w:shd w:val="clear" w:color="auto" w:fill="FFFFFF"/>
          <w:lang w:eastAsia="ja-JP"/>
        </w:rPr>
        <w:t xml:space="preserve">: the concentration of analyzed </w:t>
      </w:r>
      <w:r w:rsidRPr="005E6B7C">
        <w:rPr>
          <w:rFonts w:asciiTheme="majorHAnsi" w:eastAsia="Yu Mincho" w:hAnsiTheme="majorHAnsi" w:cstheme="majorHAnsi"/>
          <w:color w:val="000000" w:themeColor="text1"/>
          <w:spacing w:val="12"/>
          <w:sz w:val="22"/>
          <w:szCs w:val="22"/>
          <w:shd w:val="clear" w:color="auto" w:fill="FFFFFF"/>
          <w:lang w:eastAsia="ja-JP"/>
        </w:rPr>
        <w:t xml:space="preserve">compounds in the sample solution from the </w:t>
      </w:r>
      <w:r w:rsidRPr="005E6B7C">
        <w:rPr>
          <w:rFonts w:asciiTheme="majorHAnsi" w:eastAsia="Yu Mincho" w:hAnsiTheme="majorHAnsi" w:cstheme="majorHAnsi"/>
          <w:color w:val="000000" w:themeColor="text1"/>
          <w:spacing w:val="12"/>
          <w:sz w:val="22"/>
          <w:szCs w:val="22"/>
          <w:shd w:val="clear" w:color="auto" w:fill="FFFFFF"/>
          <w:lang w:eastAsia="ja-JP"/>
        </w:rPr>
        <w:lastRenderedPageBreak/>
        <w:t xml:space="preserve">calibration curve equation (μg/band); V: volume of the sample solution (mL); </w:t>
      </w:r>
      <w:r w:rsidRPr="005E6B7C">
        <w:rPr>
          <w:rFonts w:asciiTheme="majorHAnsi" w:eastAsia="Yu Mincho" w:hAnsiTheme="majorHAnsi" w:cstheme="majorHAnsi"/>
          <w:color w:val="000000" w:themeColor="text1"/>
          <w:spacing w:val="12"/>
          <w:sz w:val="22"/>
          <w:szCs w:val="22"/>
          <w:lang w:eastAsia="ja-JP"/>
        </w:rPr>
        <w:t>M: weight of</w:t>
      </w:r>
      <w:r w:rsidRPr="005E6B7C">
        <w:rPr>
          <w:rFonts w:asciiTheme="majorHAnsi" w:eastAsia="Yu Mincho" w:hAnsiTheme="majorHAnsi" w:cstheme="majorHAnsi"/>
          <w:color w:val="000000" w:themeColor="text1"/>
          <w:spacing w:val="12"/>
          <w:sz w:val="22"/>
          <w:szCs w:val="22"/>
          <w:shd w:val="clear" w:color="auto" w:fill="FFFFFF"/>
          <w:lang w:eastAsia="ja-JP"/>
        </w:rPr>
        <w:t xml:space="preserve"> sample</w:t>
      </w:r>
      <w:r w:rsidRPr="005E6B7C">
        <w:rPr>
          <w:rFonts w:asciiTheme="majorHAnsi" w:eastAsia="Yu Mincho" w:hAnsiTheme="majorHAnsi" w:cstheme="majorHAnsi"/>
          <w:i/>
          <w:color w:val="000000" w:themeColor="text1"/>
          <w:spacing w:val="12"/>
          <w:sz w:val="22"/>
          <w:szCs w:val="22"/>
          <w:shd w:val="clear" w:color="auto" w:fill="FFFFFF"/>
          <w:lang w:eastAsia="ja-JP"/>
        </w:rPr>
        <w:t xml:space="preserve"> </w:t>
      </w:r>
      <w:r w:rsidRPr="005E6B7C">
        <w:rPr>
          <w:rFonts w:asciiTheme="majorHAnsi" w:eastAsia="Yu Mincho" w:hAnsiTheme="majorHAnsi" w:cstheme="majorHAnsi"/>
          <w:color w:val="000000" w:themeColor="text1"/>
          <w:spacing w:val="12"/>
          <w:sz w:val="22"/>
          <w:szCs w:val="22"/>
          <w:shd w:val="clear" w:color="auto" w:fill="FFFFFF"/>
          <w:lang w:eastAsia="ja-JP"/>
        </w:rPr>
        <w:t>taken to prepare the sample solution (g); a: the moisture of the sample (%).</w:t>
      </w:r>
    </w:p>
    <w:p w14:paraId="6F997BE4" w14:textId="77777777" w:rsidR="00E049CB" w:rsidRPr="005E6B7C" w:rsidRDefault="00363760" w:rsidP="008C0D47">
      <w:pPr>
        <w:tabs>
          <w:tab w:val="left" w:pos="270"/>
          <w:tab w:val="left" w:pos="540"/>
          <w:tab w:val="left" w:pos="9270"/>
        </w:tabs>
        <w:spacing w:line="240" w:lineRule="exact"/>
        <w:ind w:firstLine="284"/>
        <w:jc w:val="both"/>
        <w:rPr>
          <w:rFonts w:asciiTheme="majorHAnsi" w:eastAsia="Times New Roman" w:hAnsiTheme="majorHAnsi" w:cstheme="majorHAnsi"/>
          <w:b/>
          <w:color w:val="000000" w:themeColor="text1"/>
          <w:sz w:val="22"/>
          <w:szCs w:val="22"/>
          <w:lang w:eastAsia="ja-JP"/>
        </w:rPr>
      </w:pPr>
      <w:r w:rsidRPr="005E6B7C">
        <w:rPr>
          <w:rFonts w:asciiTheme="majorHAnsi" w:eastAsia="Times New Roman" w:hAnsiTheme="majorHAnsi" w:cstheme="majorHAnsi"/>
          <w:b/>
          <w:color w:val="000000" w:themeColor="text1"/>
          <w:sz w:val="22"/>
          <w:szCs w:val="22"/>
          <w:lang w:eastAsia="ja-JP"/>
        </w:rPr>
        <w:br w:type="column"/>
      </w:r>
      <w:r w:rsidR="00E049CB" w:rsidRPr="005E6B7C">
        <w:rPr>
          <w:rFonts w:asciiTheme="majorHAnsi" w:eastAsia="Times New Roman" w:hAnsiTheme="majorHAnsi" w:cstheme="majorHAnsi"/>
          <w:b/>
          <w:color w:val="000000" w:themeColor="text1"/>
          <w:sz w:val="22"/>
          <w:szCs w:val="22"/>
          <w:lang w:eastAsia="ja-JP"/>
        </w:rPr>
        <w:t>3. Results and discussion</w:t>
      </w:r>
    </w:p>
    <w:p w14:paraId="6E32DF6C"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lang w:eastAsia="ja-JP"/>
        </w:rPr>
        <w:t>3.1. Survey of chromatographic conditions</w:t>
      </w:r>
    </w:p>
    <w:p w14:paraId="30B22D5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iCs/>
          <w:color w:val="000000" w:themeColor="text1"/>
          <w:sz w:val="22"/>
          <w:szCs w:val="22"/>
          <w:lang w:eastAsia="ja-JP"/>
        </w:rPr>
      </w:pPr>
      <w:r w:rsidRPr="005E6B7C">
        <w:rPr>
          <w:rFonts w:asciiTheme="majorHAnsi" w:eastAsia="Times New Roman" w:hAnsiTheme="majorHAnsi" w:cstheme="majorHAnsi"/>
          <w:iCs/>
          <w:color w:val="000000" w:themeColor="text1"/>
          <w:sz w:val="22"/>
          <w:szCs w:val="22"/>
          <w:lang w:eastAsia="ja-JP"/>
        </w:rPr>
        <w:t>3.1.1. Mobile phase:</w:t>
      </w:r>
    </w:p>
    <w:p w14:paraId="3E824D3B" w14:textId="77777777" w:rsidR="000F51CE"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Testing various mobile phase solvents, the separation efficiency was evaluated based on the retention factor (R</w:t>
      </w:r>
      <w:r w:rsidRPr="005E6B7C">
        <w:rPr>
          <w:rFonts w:asciiTheme="majorHAnsi" w:eastAsia="Times New Roman" w:hAnsiTheme="majorHAnsi" w:cstheme="majorHAnsi"/>
          <w:color w:val="000000" w:themeColor="text1"/>
          <w:sz w:val="22"/>
          <w:szCs w:val="22"/>
          <w:vertAlign w:val="subscript"/>
          <w:lang w:eastAsia="ja-JP"/>
        </w:rPr>
        <w:t>f</w:t>
      </w:r>
      <w:r w:rsidRPr="005E6B7C">
        <w:rPr>
          <w:rFonts w:asciiTheme="majorHAnsi" w:eastAsia="Times New Roman" w:hAnsiTheme="majorHAnsi" w:cstheme="majorHAnsi"/>
          <w:color w:val="000000" w:themeColor="text1"/>
          <w:sz w:val="22"/>
          <w:szCs w:val="22"/>
          <w:lang w:eastAsia="ja-JP"/>
        </w:rPr>
        <w:t xml:space="preserve">). The results obtained are shown in </w:t>
      </w:r>
      <w:r w:rsidR="00517F81" w:rsidRPr="005E6B7C">
        <w:rPr>
          <w:rFonts w:asciiTheme="majorHAnsi" w:eastAsia="Times New Roman" w:hAnsiTheme="majorHAnsi" w:cstheme="majorHAnsi"/>
          <w:color w:val="000000" w:themeColor="text1"/>
          <w:sz w:val="22"/>
          <w:szCs w:val="22"/>
          <w:lang w:eastAsia="ja-JP"/>
        </w:rPr>
        <w:t xml:space="preserve">Fig. </w:t>
      </w:r>
      <w:r w:rsidRPr="005E6B7C">
        <w:rPr>
          <w:rFonts w:asciiTheme="majorHAnsi" w:eastAsia="Times New Roman" w:hAnsiTheme="majorHAnsi" w:cstheme="majorHAnsi"/>
          <w:color w:val="000000" w:themeColor="text1"/>
          <w:sz w:val="22"/>
          <w:szCs w:val="22"/>
          <w:lang w:eastAsia="ja-JP"/>
        </w:rPr>
        <w:t>1.</w:t>
      </w:r>
    </w:p>
    <w:p w14:paraId="27D9961E"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sectPr w:rsidR="000F51CE" w:rsidRPr="005E6B7C" w:rsidSect="000F51CE">
          <w:type w:val="continuous"/>
          <w:pgSz w:w="10773" w:h="15309" w:code="9"/>
          <w:pgMar w:top="907" w:right="851" w:bottom="1418" w:left="851" w:header="397" w:footer="851" w:gutter="0"/>
          <w:cols w:num="2" w:space="284"/>
          <w:docGrid w:linePitch="360"/>
        </w:sectPr>
      </w:pPr>
    </w:p>
    <w:p w14:paraId="6160D3E3" w14:textId="77777777" w:rsidR="00AD6EEB" w:rsidRPr="005E6B7C" w:rsidRDefault="00AD6EE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tbl>
      <w:tblPr>
        <w:tblStyle w:val="TableGrid41"/>
        <w:tblW w:w="9416" w:type="dxa"/>
        <w:jc w:val="center"/>
        <w:tblLook w:val="04A0" w:firstRow="1" w:lastRow="0" w:firstColumn="1" w:lastColumn="0" w:noHBand="0" w:noVBand="1"/>
      </w:tblPr>
      <w:tblGrid>
        <w:gridCol w:w="2500"/>
        <w:gridCol w:w="2398"/>
        <w:gridCol w:w="2377"/>
        <w:gridCol w:w="2141"/>
      </w:tblGrid>
      <w:tr w:rsidR="00E049CB" w:rsidRPr="005E6B7C" w14:paraId="53FD9F88" w14:textId="77777777" w:rsidTr="00C644FB">
        <w:trPr>
          <w:trHeight w:val="2487"/>
          <w:jc w:val="center"/>
        </w:trPr>
        <w:tc>
          <w:tcPr>
            <w:tcW w:w="2362" w:type="dxa"/>
            <w:tcBorders>
              <w:top w:val="nil"/>
              <w:left w:val="nil"/>
              <w:bottom w:val="nil"/>
              <w:right w:val="nil"/>
            </w:tcBorders>
          </w:tcPr>
          <w:p w14:paraId="5AADA73F" w14:textId="77777777" w:rsidR="00E049CB" w:rsidRPr="005E6B7C" w:rsidRDefault="00E049CB" w:rsidP="008C0D47">
            <w:pPr>
              <w:tabs>
                <w:tab w:val="left" w:pos="270"/>
                <w:tab w:val="left" w:pos="540"/>
                <w:tab w:val="left" w:pos="9270"/>
              </w:tabs>
              <w:suppressAutoHyphens w:val="0"/>
              <w:ind w:right="-20"/>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rPr>
              <w:drawing>
                <wp:inline distT="0" distB="0" distL="0" distR="0" wp14:anchorId="71691B23" wp14:editId="6842F976">
                  <wp:extent cx="1450340" cy="2054225"/>
                  <wp:effectExtent l="0" t="0" r="0" b="3175"/>
                  <wp:docPr id="404915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2">
                            <a:extLst>
                              <a:ext uri="{BEBA8EAE-BF5A-486C-A8C5-ECC9F3942E4B}">
                                <a14:imgProps xmlns:a14="http://schemas.microsoft.com/office/drawing/2010/main">
                                  <a14:imgLayer r:embed="rId73">
                                    <a14:imgEffect>
                                      <a14:saturation sat="0"/>
                                    </a14:imgEffect>
                                  </a14:imgLayer>
                                </a14:imgProps>
                              </a:ext>
                            </a:extLst>
                          </a:blip>
                          <a:stretch>
                            <a:fillRect/>
                          </a:stretch>
                        </pic:blipFill>
                        <pic:spPr bwMode="auto">
                          <a:xfrm>
                            <a:off x="0" y="0"/>
                            <a:ext cx="1450340" cy="2054225"/>
                          </a:xfrm>
                          <a:prstGeom prst="rect">
                            <a:avLst/>
                          </a:prstGeom>
                        </pic:spPr>
                      </pic:pic>
                    </a:graphicData>
                  </a:graphic>
                </wp:inline>
              </w:drawing>
            </w:r>
          </w:p>
        </w:tc>
        <w:tc>
          <w:tcPr>
            <w:tcW w:w="2458" w:type="dxa"/>
            <w:tcBorders>
              <w:top w:val="nil"/>
              <w:left w:val="nil"/>
              <w:bottom w:val="nil"/>
              <w:right w:val="nil"/>
            </w:tcBorders>
          </w:tcPr>
          <w:p w14:paraId="52F5F86C" w14:textId="77777777" w:rsidR="00E049CB" w:rsidRPr="005E6B7C" w:rsidRDefault="00E049CB" w:rsidP="008C0D47">
            <w:pPr>
              <w:tabs>
                <w:tab w:val="left" w:pos="270"/>
                <w:tab w:val="left" w:pos="540"/>
                <w:tab w:val="left" w:pos="9270"/>
              </w:tabs>
              <w:suppressAutoHyphens w:val="0"/>
              <w:ind w:right="-20"/>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rPr>
              <w:drawing>
                <wp:inline distT="0" distB="0" distL="0" distR="0" wp14:anchorId="6C69057F" wp14:editId="1404CCFB">
                  <wp:extent cx="1355090" cy="2054225"/>
                  <wp:effectExtent l="0" t="0" r="0" b="3175"/>
                  <wp:docPr id="21043679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74">
                            <a:extLst>
                              <a:ext uri="{BEBA8EAE-BF5A-486C-A8C5-ECC9F3942E4B}">
                                <a14:imgProps xmlns:a14="http://schemas.microsoft.com/office/drawing/2010/main">
                                  <a14:imgLayer r:embed="rId75">
                                    <a14:imgEffect>
                                      <a14:saturation sat="0"/>
                                    </a14:imgEffect>
                                  </a14:imgLayer>
                                </a14:imgProps>
                              </a:ext>
                            </a:extLst>
                          </a:blip>
                          <a:stretch>
                            <a:fillRect/>
                          </a:stretch>
                        </pic:blipFill>
                        <pic:spPr bwMode="auto">
                          <a:xfrm>
                            <a:off x="0" y="0"/>
                            <a:ext cx="1355090" cy="2054225"/>
                          </a:xfrm>
                          <a:prstGeom prst="rect">
                            <a:avLst/>
                          </a:prstGeom>
                        </pic:spPr>
                      </pic:pic>
                    </a:graphicData>
                  </a:graphic>
                </wp:inline>
              </w:drawing>
            </w:r>
          </w:p>
        </w:tc>
        <w:tc>
          <w:tcPr>
            <w:tcW w:w="2409" w:type="dxa"/>
            <w:tcBorders>
              <w:top w:val="nil"/>
              <w:left w:val="nil"/>
              <w:bottom w:val="nil"/>
              <w:right w:val="nil"/>
            </w:tcBorders>
          </w:tcPr>
          <w:p w14:paraId="41482D96" w14:textId="77777777" w:rsidR="00E049CB" w:rsidRPr="005E6B7C" w:rsidRDefault="00E049CB" w:rsidP="008C0D47">
            <w:pPr>
              <w:tabs>
                <w:tab w:val="left" w:pos="270"/>
                <w:tab w:val="left" w:pos="540"/>
                <w:tab w:val="left" w:pos="9270"/>
              </w:tabs>
              <w:suppressAutoHyphens w:val="0"/>
              <w:ind w:right="-20"/>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rPr>
              <w:drawing>
                <wp:inline distT="0" distB="0" distL="0" distR="0" wp14:anchorId="173865C5" wp14:editId="69A4ECF6">
                  <wp:extent cx="1355725" cy="2054225"/>
                  <wp:effectExtent l="0" t="0" r="0" b="3175"/>
                  <wp:docPr id="988990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6">
                            <a:extLst>
                              <a:ext uri="{BEBA8EAE-BF5A-486C-A8C5-ECC9F3942E4B}">
                                <a14:imgProps xmlns:a14="http://schemas.microsoft.com/office/drawing/2010/main">
                                  <a14:imgLayer r:embed="rId77">
                                    <a14:imgEffect>
                                      <a14:saturation sat="0"/>
                                    </a14:imgEffect>
                                  </a14:imgLayer>
                                </a14:imgProps>
                              </a:ext>
                            </a:extLst>
                          </a:blip>
                          <a:stretch>
                            <a:fillRect/>
                          </a:stretch>
                        </pic:blipFill>
                        <pic:spPr bwMode="auto">
                          <a:xfrm>
                            <a:off x="0" y="0"/>
                            <a:ext cx="1355725" cy="2054225"/>
                          </a:xfrm>
                          <a:prstGeom prst="rect">
                            <a:avLst/>
                          </a:prstGeom>
                        </pic:spPr>
                      </pic:pic>
                    </a:graphicData>
                  </a:graphic>
                </wp:inline>
              </w:drawing>
            </w:r>
          </w:p>
        </w:tc>
        <w:tc>
          <w:tcPr>
            <w:tcW w:w="2186" w:type="dxa"/>
            <w:tcBorders>
              <w:top w:val="nil"/>
              <w:left w:val="nil"/>
              <w:bottom w:val="nil"/>
              <w:right w:val="nil"/>
            </w:tcBorders>
          </w:tcPr>
          <w:p w14:paraId="0909B1FB" w14:textId="77777777" w:rsidR="00E049CB" w:rsidRPr="005E6B7C" w:rsidRDefault="00E049CB" w:rsidP="008C0D47">
            <w:pPr>
              <w:tabs>
                <w:tab w:val="left" w:pos="270"/>
                <w:tab w:val="left" w:pos="540"/>
                <w:tab w:val="left" w:pos="9270"/>
              </w:tabs>
              <w:suppressAutoHyphens w:val="0"/>
              <w:ind w:right="-20"/>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rPr>
              <w:drawing>
                <wp:inline distT="0" distB="0" distL="0" distR="0" wp14:anchorId="7723949F" wp14:editId="2B09903F">
                  <wp:extent cx="1192530" cy="2054225"/>
                  <wp:effectExtent l="0" t="0" r="7620" b="3175"/>
                  <wp:docPr id="1676073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78">
                            <a:extLst>
                              <a:ext uri="{BEBA8EAE-BF5A-486C-A8C5-ECC9F3942E4B}">
                                <a14:imgProps xmlns:a14="http://schemas.microsoft.com/office/drawing/2010/main">
                                  <a14:imgLayer r:embed="rId79">
                                    <a14:imgEffect>
                                      <a14:saturation sat="0"/>
                                    </a14:imgEffect>
                                  </a14:imgLayer>
                                </a14:imgProps>
                              </a:ext>
                            </a:extLst>
                          </a:blip>
                          <a:stretch>
                            <a:fillRect/>
                          </a:stretch>
                        </pic:blipFill>
                        <pic:spPr bwMode="auto">
                          <a:xfrm>
                            <a:off x="0" y="0"/>
                            <a:ext cx="1192530" cy="2054225"/>
                          </a:xfrm>
                          <a:prstGeom prst="rect">
                            <a:avLst/>
                          </a:prstGeom>
                        </pic:spPr>
                      </pic:pic>
                    </a:graphicData>
                  </a:graphic>
                </wp:inline>
              </w:drawing>
            </w:r>
          </w:p>
        </w:tc>
      </w:tr>
      <w:tr w:rsidR="00E049CB" w:rsidRPr="005E6B7C" w14:paraId="1DE1054D" w14:textId="77777777" w:rsidTr="00C644FB">
        <w:trPr>
          <w:trHeight w:val="200"/>
          <w:jc w:val="center"/>
        </w:trPr>
        <w:tc>
          <w:tcPr>
            <w:tcW w:w="2362" w:type="dxa"/>
            <w:tcBorders>
              <w:top w:val="nil"/>
              <w:left w:val="nil"/>
              <w:bottom w:val="nil"/>
              <w:right w:val="nil"/>
            </w:tcBorders>
          </w:tcPr>
          <w:p w14:paraId="43DE0AD5"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val="it-IT" w:eastAsia="ja-JP"/>
              </w:rPr>
            </w:pPr>
            <w:r w:rsidRPr="005E6B7C">
              <w:rPr>
                <w:rFonts w:asciiTheme="majorHAnsi" w:eastAsia="Times New Roman" w:hAnsiTheme="majorHAnsi" w:cstheme="majorHAnsi"/>
                <w:color w:val="000000" w:themeColor="text1"/>
                <w:sz w:val="22"/>
                <w:szCs w:val="22"/>
                <w:lang w:val="it-IT" w:eastAsia="ja-JP"/>
              </w:rPr>
              <w:t xml:space="preserve">Mobile phase </w:t>
            </w:r>
            <w:r w:rsidRPr="005E6B7C">
              <w:rPr>
                <w:rFonts w:asciiTheme="majorHAnsi" w:eastAsia="Yu Mincho" w:hAnsiTheme="majorHAnsi" w:cstheme="majorHAnsi"/>
                <w:bCs/>
                <w:color w:val="000000" w:themeColor="text1"/>
                <w:sz w:val="22"/>
                <w:szCs w:val="22"/>
                <w:lang w:val="it-IT" w:eastAsia="ja-JP"/>
              </w:rPr>
              <w:t>1:</w:t>
            </w:r>
          </w:p>
          <w:p w14:paraId="385272D5"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22"/>
                <w:szCs w:val="22"/>
                <w:lang w:val="it-IT" w:eastAsia="ja-JP"/>
              </w:rPr>
            </w:pPr>
            <w:r w:rsidRPr="005E6B7C">
              <w:rPr>
                <w:rFonts w:asciiTheme="majorHAnsi" w:eastAsia="Yu Mincho" w:hAnsiTheme="majorHAnsi" w:cstheme="majorHAnsi"/>
                <w:bCs/>
                <w:i/>
                <w:color w:val="000000" w:themeColor="text1"/>
                <w:sz w:val="22"/>
                <w:szCs w:val="22"/>
                <w:lang w:val="it-IT" w:eastAsia="ja-JP"/>
              </w:rPr>
              <w:t>n</w:t>
            </w:r>
            <w:r w:rsidRPr="005E6B7C">
              <w:rPr>
                <w:rFonts w:asciiTheme="majorHAnsi" w:eastAsia="Yu Mincho" w:hAnsiTheme="majorHAnsi" w:cstheme="majorHAnsi"/>
                <w:bCs/>
                <w:color w:val="000000" w:themeColor="text1"/>
                <w:sz w:val="22"/>
                <w:szCs w:val="22"/>
                <w:lang w:val="it-IT" w:eastAsia="ja-JP"/>
              </w:rPr>
              <w:t xml:space="preserve">-hexane </w:t>
            </w:r>
            <w:r w:rsidRPr="005E6B7C">
              <w:rPr>
                <w:rFonts w:asciiTheme="majorHAnsi" w:eastAsia="Calibri" w:hAnsiTheme="majorHAnsi" w:cstheme="majorHAnsi"/>
                <w:color w:val="000000" w:themeColor="text1"/>
                <w:sz w:val="22"/>
                <w:szCs w:val="22"/>
                <w:lang w:val="it-IT" w:eastAsia="ja-JP"/>
              </w:rPr>
              <w:t xml:space="preserve">– </w:t>
            </w:r>
            <w:r w:rsidRPr="005E6B7C">
              <w:rPr>
                <w:rFonts w:asciiTheme="majorHAnsi" w:eastAsia="Yu Mincho" w:hAnsiTheme="majorHAnsi" w:cstheme="majorHAnsi"/>
                <w:bCs/>
                <w:color w:val="000000" w:themeColor="text1"/>
                <w:sz w:val="22"/>
                <w:szCs w:val="22"/>
                <w:lang w:val="it-IT" w:eastAsia="ja-JP"/>
              </w:rPr>
              <w:t>acetonitrile (100:1, v/v</w:t>
            </w:r>
            <w:r w:rsidRPr="005E6B7C">
              <w:rPr>
                <w:rFonts w:asciiTheme="majorHAnsi" w:eastAsia="Yu Mincho" w:hAnsiTheme="majorHAnsi" w:cstheme="majorHAnsi"/>
                <w:color w:val="000000" w:themeColor="text1"/>
                <w:sz w:val="22"/>
                <w:szCs w:val="22"/>
                <w:lang w:val="it-IT" w:eastAsia="ja-JP"/>
              </w:rPr>
              <w:t>)</w:t>
            </w:r>
          </w:p>
        </w:tc>
        <w:tc>
          <w:tcPr>
            <w:tcW w:w="2458" w:type="dxa"/>
            <w:tcBorders>
              <w:top w:val="nil"/>
              <w:left w:val="nil"/>
              <w:bottom w:val="nil"/>
              <w:right w:val="nil"/>
            </w:tcBorders>
          </w:tcPr>
          <w:p w14:paraId="4E0C2CF8"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val="it-IT" w:eastAsia="ja-JP"/>
              </w:rPr>
            </w:pPr>
            <w:r w:rsidRPr="005E6B7C">
              <w:rPr>
                <w:rFonts w:asciiTheme="majorHAnsi" w:eastAsia="Times New Roman" w:hAnsiTheme="majorHAnsi" w:cstheme="majorHAnsi"/>
                <w:color w:val="000000" w:themeColor="text1"/>
                <w:sz w:val="22"/>
                <w:szCs w:val="22"/>
                <w:lang w:val="it-IT" w:eastAsia="ja-JP"/>
              </w:rPr>
              <w:t>Mobile phase</w:t>
            </w:r>
            <w:r w:rsidRPr="005E6B7C">
              <w:rPr>
                <w:rFonts w:asciiTheme="majorHAnsi" w:eastAsia="Yu Mincho" w:hAnsiTheme="majorHAnsi" w:cstheme="majorHAnsi"/>
                <w:bCs/>
                <w:color w:val="000000" w:themeColor="text1"/>
                <w:sz w:val="22"/>
                <w:szCs w:val="22"/>
                <w:lang w:val="it-IT" w:eastAsia="ja-JP"/>
              </w:rPr>
              <w:t xml:space="preserve"> 2:</w:t>
            </w:r>
          </w:p>
          <w:p w14:paraId="44260CE5"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val="it-IT" w:eastAsia="ja-JP"/>
              </w:rPr>
            </w:pPr>
            <w:r w:rsidRPr="005E6B7C">
              <w:rPr>
                <w:rFonts w:asciiTheme="majorHAnsi" w:eastAsia="Yu Mincho" w:hAnsiTheme="majorHAnsi" w:cstheme="majorHAnsi"/>
                <w:bCs/>
                <w:i/>
                <w:color w:val="000000" w:themeColor="text1"/>
                <w:sz w:val="22"/>
                <w:szCs w:val="22"/>
                <w:lang w:val="it-IT" w:eastAsia="ja-JP"/>
              </w:rPr>
              <w:t>n</w:t>
            </w:r>
            <w:r w:rsidRPr="005E6B7C">
              <w:rPr>
                <w:rFonts w:asciiTheme="majorHAnsi" w:eastAsia="Yu Mincho" w:hAnsiTheme="majorHAnsi" w:cstheme="majorHAnsi"/>
                <w:bCs/>
                <w:color w:val="000000" w:themeColor="text1"/>
                <w:sz w:val="22"/>
                <w:szCs w:val="22"/>
                <w:lang w:val="it-IT" w:eastAsia="ja-JP"/>
              </w:rPr>
              <w:t xml:space="preserve">-hexane </w:t>
            </w:r>
            <w:r w:rsidRPr="005E6B7C">
              <w:rPr>
                <w:rFonts w:asciiTheme="majorHAnsi" w:eastAsia="Calibri" w:hAnsiTheme="majorHAnsi" w:cstheme="majorHAnsi"/>
                <w:color w:val="000000" w:themeColor="text1"/>
                <w:sz w:val="22"/>
                <w:szCs w:val="22"/>
                <w:lang w:val="it-IT" w:eastAsia="ja-JP"/>
              </w:rPr>
              <w:t>– acetonitrile</w:t>
            </w:r>
          </w:p>
          <w:p w14:paraId="02C98F20"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22"/>
                <w:szCs w:val="22"/>
                <w:lang w:val="it-IT" w:eastAsia="ja-JP"/>
              </w:rPr>
            </w:pPr>
            <w:r w:rsidRPr="005E6B7C">
              <w:rPr>
                <w:rFonts w:asciiTheme="majorHAnsi" w:eastAsia="Yu Mincho" w:hAnsiTheme="majorHAnsi" w:cstheme="majorHAnsi"/>
                <w:bCs/>
                <w:color w:val="000000" w:themeColor="text1"/>
                <w:sz w:val="22"/>
                <w:szCs w:val="22"/>
                <w:lang w:val="it-IT" w:eastAsia="ja-JP"/>
              </w:rPr>
              <w:t>(100:1.5, v/v)</w:t>
            </w:r>
          </w:p>
        </w:tc>
        <w:tc>
          <w:tcPr>
            <w:tcW w:w="2409" w:type="dxa"/>
            <w:tcBorders>
              <w:top w:val="nil"/>
              <w:left w:val="nil"/>
              <w:bottom w:val="nil"/>
              <w:right w:val="nil"/>
            </w:tcBorders>
          </w:tcPr>
          <w:p w14:paraId="0984819D"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val="fr-FR" w:eastAsia="ja-JP"/>
              </w:rPr>
            </w:pPr>
            <w:r w:rsidRPr="005E6B7C">
              <w:rPr>
                <w:rFonts w:asciiTheme="majorHAnsi" w:eastAsia="Times New Roman" w:hAnsiTheme="majorHAnsi" w:cstheme="majorHAnsi"/>
                <w:color w:val="000000" w:themeColor="text1"/>
                <w:sz w:val="22"/>
                <w:szCs w:val="22"/>
                <w:lang w:eastAsia="ja-JP"/>
              </w:rPr>
              <w:t>Mobile phase</w:t>
            </w:r>
            <w:r w:rsidRPr="005E6B7C">
              <w:rPr>
                <w:rFonts w:asciiTheme="majorHAnsi" w:eastAsia="Yu Mincho" w:hAnsiTheme="majorHAnsi" w:cstheme="majorHAnsi"/>
                <w:bCs/>
                <w:color w:val="000000" w:themeColor="text1"/>
                <w:sz w:val="22"/>
                <w:szCs w:val="22"/>
                <w:lang w:val="fr-FR" w:eastAsia="ja-JP"/>
              </w:rPr>
              <w:t xml:space="preserve"> 3:</w:t>
            </w:r>
          </w:p>
          <w:p w14:paraId="3B6D265A"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val="fr-FR" w:eastAsia="ja-JP"/>
              </w:rPr>
            </w:pPr>
            <w:r w:rsidRPr="005E6B7C">
              <w:rPr>
                <w:rFonts w:asciiTheme="majorHAnsi" w:eastAsia="Yu Mincho" w:hAnsiTheme="majorHAnsi" w:cstheme="majorHAnsi"/>
                <w:bCs/>
                <w:i/>
                <w:color w:val="000000" w:themeColor="text1"/>
                <w:sz w:val="22"/>
                <w:szCs w:val="22"/>
                <w:lang w:eastAsia="ja-JP"/>
              </w:rPr>
              <w:t>n</w:t>
            </w:r>
            <w:r w:rsidRPr="005E6B7C">
              <w:rPr>
                <w:rFonts w:asciiTheme="majorHAnsi" w:eastAsia="Yu Mincho" w:hAnsiTheme="majorHAnsi" w:cstheme="majorHAnsi"/>
                <w:bCs/>
                <w:color w:val="000000" w:themeColor="text1"/>
                <w:sz w:val="22"/>
                <w:szCs w:val="22"/>
                <w:lang w:eastAsia="ja-JP"/>
              </w:rPr>
              <w:t>-h</w:t>
            </w:r>
            <w:r w:rsidRPr="005E6B7C">
              <w:rPr>
                <w:rFonts w:asciiTheme="majorHAnsi" w:eastAsia="Yu Mincho" w:hAnsiTheme="majorHAnsi" w:cstheme="majorHAnsi"/>
                <w:bCs/>
                <w:color w:val="000000" w:themeColor="text1"/>
                <w:sz w:val="22"/>
                <w:szCs w:val="22"/>
                <w:lang w:val="fr-FR" w:eastAsia="ja-JP"/>
              </w:rPr>
              <w:t xml:space="preserve">exane </w:t>
            </w:r>
            <w:r w:rsidRPr="005E6B7C">
              <w:rPr>
                <w:rFonts w:asciiTheme="majorHAnsi" w:eastAsia="Calibri"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i</w:t>
            </w:r>
            <w:r w:rsidRPr="005E6B7C">
              <w:rPr>
                <w:rFonts w:asciiTheme="majorHAnsi" w:eastAsia="Yu Mincho" w:hAnsiTheme="majorHAnsi" w:cstheme="majorHAnsi"/>
                <w:bCs/>
                <w:color w:val="000000" w:themeColor="text1"/>
                <w:sz w:val="22"/>
                <w:szCs w:val="22"/>
                <w:lang w:val="fr-FR" w:eastAsia="ja-JP"/>
              </w:rPr>
              <w:t>sopropanol</w:t>
            </w:r>
          </w:p>
          <w:p w14:paraId="65650BA6"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22"/>
                <w:szCs w:val="22"/>
                <w:lang w:val="fr-FR" w:eastAsia="ja-JP"/>
              </w:rPr>
            </w:pPr>
            <w:r w:rsidRPr="005E6B7C">
              <w:rPr>
                <w:rFonts w:asciiTheme="majorHAnsi" w:eastAsia="Yu Mincho" w:hAnsiTheme="majorHAnsi" w:cstheme="majorHAnsi"/>
                <w:bCs/>
                <w:color w:val="000000" w:themeColor="text1"/>
                <w:sz w:val="22"/>
                <w:szCs w:val="22"/>
                <w:lang w:val="fr-FR" w:eastAsia="ja-JP"/>
              </w:rPr>
              <w:t>(100</w:t>
            </w:r>
            <w:r w:rsidRPr="005E6B7C">
              <w:rPr>
                <w:rFonts w:asciiTheme="majorHAnsi" w:eastAsia="Yu Mincho" w:hAnsiTheme="majorHAnsi" w:cstheme="majorHAnsi"/>
                <w:bCs/>
                <w:color w:val="000000" w:themeColor="text1"/>
                <w:sz w:val="22"/>
                <w:szCs w:val="22"/>
                <w:lang w:eastAsia="ja-JP"/>
              </w:rPr>
              <w:t>:</w:t>
            </w:r>
            <w:r w:rsidRPr="005E6B7C">
              <w:rPr>
                <w:rFonts w:asciiTheme="majorHAnsi" w:eastAsia="Yu Mincho" w:hAnsiTheme="majorHAnsi" w:cstheme="majorHAnsi"/>
                <w:bCs/>
                <w:color w:val="000000" w:themeColor="text1"/>
                <w:sz w:val="22"/>
                <w:szCs w:val="22"/>
                <w:lang w:val="fr-FR" w:eastAsia="ja-JP"/>
              </w:rPr>
              <w:t>1</w:t>
            </w:r>
            <w:r w:rsidRPr="005E6B7C">
              <w:rPr>
                <w:rFonts w:asciiTheme="majorHAnsi" w:eastAsia="Yu Mincho" w:hAnsiTheme="majorHAnsi" w:cstheme="majorHAnsi"/>
                <w:bCs/>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val="fr-FR" w:eastAsia="ja-JP"/>
              </w:rPr>
              <w:t>v/v)</w:t>
            </w:r>
          </w:p>
        </w:tc>
        <w:tc>
          <w:tcPr>
            <w:tcW w:w="2186" w:type="dxa"/>
            <w:tcBorders>
              <w:top w:val="nil"/>
              <w:left w:val="nil"/>
              <w:bottom w:val="nil"/>
              <w:right w:val="nil"/>
            </w:tcBorders>
          </w:tcPr>
          <w:p w14:paraId="707CBC5D"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bCs/>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 xml:space="preserve">Mobile phase </w:t>
            </w:r>
            <w:r w:rsidRPr="005E6B7C">
              <w:rPr>
                <w:rFonts w:asciiTheme="majorHAnsi" w:eastAsia="Yu Mincho" w:hAnsiTheme="majorHAnsi" w:cstheme="majorHAnsi"/>
                <w:bCs/>
                <w:color w:val="000000" w:themeColor="text1"/>
                <w:sz w:val="22"/>
                <w:szCs w:val="22"/>
                <w:lang w:eastAsia="ja-JP"/>
              </w:rPr>
              <w:t>4:</w:t>
            </w:r>
          </w:p>
          <w:p w14:paraId="7C532C8D"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n</w:t>
            </w:r>
            <w:r w:rsidRPr="005E6B7C">
              <w:rPr>
                <w:rFonts w:asciiTheme="majorHAnsi" w:eastAsia="Yu Mincho" w:hAnsiTheme="majorHAnsi" w:cstheme="majorHAnsi"/>
                <w:bCs/>
                <w:color w:val="000000" w:themeColor="text1"/>
                <w:sz w:val="22"/>
                <w:szCs w:val="22"/>
                <w:lang w:eastAsia="ja-JP"/>
              </w:rPr>
              <w:t xml:space="preserve">-hexane </w:t>
            </w:r>
            <w:r w:rsidRPr="005E6B7C">
              <w:rPr>
                <w:rFonts w:asciiTheme="majorHAnsi" w:eastAsia="Calibri" w:hAnsiTheme="majorHAnsi" w:cstheme="majorHAnsi"/>
                <w:color w:val="000000" w:themeColor="text1"/>
                <w:sz w:val="22"/>
                <w:szCs w:val="22"/>
                <w:lang w:eastAsia="ja-JP"/>
              </w:rPr>
              <w:t xml:space="preserve">– </w:t>
            </w:r>
            <w:r w:rsidRPr="005E6B7C">
              <w:rPr>
                <w:rFonts w:asciiTheme="majorHAnsi" w:eastAsia="Yu Mincho" w:hAnsiTheme="majorHAnsi" w:cstheme="majorHAnsi"/>
                <w:bCs/>
                <w:color w:val="000000" w:themeColor="text1"/>
                <w:sz w:val="22"/>
                <w:szCs w:val="22"/>
                <w:lang w:eastAsia="ja-JP"/>
              </w:rPr>
              <w:t>acetone (100:1, v/v)</w:t>
            </w:r>
          </w:p>
        </w:tc>
      </w:tr>
    </w:tbl>
    <w:p w14:paraId="5C9519FC" w14:textId="77777777" w:rsidR="00E049CB" w:rsidRPr="005E6B7C" w:rsidRDefault="00517F81" w:rsidP="008C0D47">
      <w:pPr>
        <w:numPr>
          <w:ilvl w:val="3"/>
          <w:numId w:val="24"/>
        </w:numPr>
        <w:tabs>
          <w:tab w:val="left" w:pos="270"/>
          <w:tab w:val="left" w:pos="540"/>
          <w:tab w:val="left" w:pos="9270"/>
        </w:tabs>
        <w:spacing w:before="120"/>
        <w:ind w:right="-20"/>
        <w:jc w:val="center"/>
        <w:outlineLvl w:val="3"/>
        <w:rPr>
          <w:rFonts w:asciiTheme="majorHAnsi" w:eastAsia="Times New Roman" w:hAnsiTheme="majorHAnsi" w:cstheme="majorHAnsi"/>
          <w:b/>
          <w:bCs/>
          <w:iCs/>
          <w:color w:val="000000" w:themeColor="text1"/>
          <w:sz w:val="18"/>
          <w:szCs w:val="18"/>
          <w:lang w:val="vi-VN" w:eastAsia="ja-JP"/>
        </w:rPr>
      </w:pPr>
      <w:r w:rsidRPr="005E6B7C">
        <w:rPr>
          <w:rFonts w:asciiTheme="majorHAnsi" w:eastAsia="Times New Roman" w:hAnsiTheme="majorHAnsi" w:cstheme="majorHAnsi"/>
          <w:b/>
          <w:bCs/>
          <w:iCs/>
          <w:color w:val="000000" w:themeColor="text1"/>
          <w:sz w:val="18"/>
          <w:szCs w:val="18"/>
          <w:lang w:val="vi-VN" w:eastAsia="ja-JP"/>
        </w:rPr>
        <w:t xml:space="preserve">Fig. </w:t>
      </w:r>
      <w:r w:rsidR="00E049CB" w:rsidRPr="005E6B7C">
        <w:rPr>
          <w:rFonts w:asciiTheme="majorHAnsi" w:eastAsia="Times New Roman" w:hAnsiTheme="majorHAnsi" w:cstheme="majorHAnsi"/>
          <w:b/>
          <w:bCs/>
          <w:iCs/>
          <w:color w:val="000000" w:themeColor="text1"/>
          <w:sz w:val="18"/>
          <w:szCs w:val="18"/>
          <w:lang w:val="vi-VN" w:eastAsia="ja-JP"/>
        </w:rPr>
        <w:t xml:space="preserve">1. </w:t>
      </w:r>
      <w:r w:rsidR="00E049CB" w:rsidRPr="005E6B7C">
        <w:rPr>
          <w:rFonts w:asciiTheme="majorHAnsi" w:eastAsia="Times New Roman" w:hAnsiTheme="majorHAnsi" w:cstheme="majorHAnsi"/>
          <w:iCs/>
          <w:color w:val="000000" w:themeColor="text1"/>
          <w:sz w:val="18"/>
          <w:szCs w:val="18"/>
          <w:lang w:val="vi-VN" w:eastAsia="ja-JP"/>
        </w:rPr>
        <w:t>TLC chromatograms of</w:t>
      </w:r>
      <w:r w:rsidR="00E049CB" w:rsidRPr="005E6B7C">
        <w:rPr>
          <w:rFonts w:asciiTheme="majorHAnsi" w:eastAsia="Times New Roman" w:hAnsiTheme="majorHAnsi" w:cstheme="majorHAnsi"/>
          <w:color w:val="000000" w:themeColor="text1"/>
          <w:sz w:val="18"/>
          <w:szCs w:val="18"/>
          <w:lang w:val="vi-VN" w:eastAsia="ja-JP"/>
        </w:rPr>
        <w:t xml:space="preserve"> testing some different mobile phases</w:t>
      </w:r>
    </w:p>
    <w:p w14:paraId="5F12CF8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 xml:space="preserve">(L: </w:t>
      </w:r>
      <w:r w:rsidRPr="005E6B7C">
        <w:rPr>
          <w:rFonts w:asciiTheme="majorHAnsi" w:eastAsia="Times New Roman" w:hAnsiTheme="majorHAnsi" w:cstheme="majorHAnsi"/>
          <w:bCs/>
          <w:i/>
          <w:color w:val="000000" w:themeColor="text1"/>
          <w:sz w:val="18"/>
          <w:szCs w:val="18"/>
          <w:lang w:eastAsia="ja-JP"/>
        </w:rPr>
        <w:t>lycopene</w:t>
      </w:r>
      <w:r w:rsidRPr="005E6B7C">
        <w:rPr>
          <w:rFonts w:asciiTheme="majorHAnsi" w:eastAsia="Yu Mincho" w:hAnsiTheme="majorHAnsi" w:cstheme="majorHAnsi"/>
          <w:i/>
          <w:color w:val="000000" w:themeColor="text1"/>
          <w:sz w:val="18"/>
          <w:szCs w:val="18"/>
          <w:lang w:eastAsia="ja-JP"/>
        </w:rPr>
        <w:t xml:space="preserve">; B: </w:t>
      </w:r>
      <w:r w:rsidRPr="005E6B7C">
        <w:rPr>
          <w:rFonts w:asciiTheme="majorHAnsi" w:eastAsia="Yu Mincho" w:hAnsiTheme="majorHAnsi" w:cstheme="majorHAnsi"/>
          <w:bCs/>
          <w:i/>
          <w:color w:val="000000" w:themeColor="text1"/>
          <w:sz w:val="18"/>
          <w:szCs w:val="18"/>
          <w:lang w:eastAsia="ja-JP"/>
        </w:rPr>
        <w:t xml:space="preserve">β-carotene; T: </w:t>
      </w:r>
      <w:r w:rsidRPr="005E6B7C">
        <w:rPr>
          <w:rFonts w:asciiTheme="majorHAnsi" w:eastAsia="Yu Mincho" w:hAnsiTheme="majorHAnsi" w:cstheme="majorHAnsi"/>
          <w:i/>
          <w:iCs/>
          <w:color w:val="000000" w:themeColor="text1"/>
          <w:sz w:val="18"/>
          <w:szCs w:val="18"/>
          <w:lang w:eastAsia="ja-JP"/>
        </w:rPr>
        <w:t xml:space="preserve">Gac seed aril </w:t>
      </w:r>
      <w:r w:rsidRPr="005E6B7C">
        <w:rPr>
          <w:rFonts w:asciiTheme="majorHAnsi" w:eastAsia="Yu Mincho" w:hAnsiTheme="majorHAnsi" w:cstheme="majorHAnsi"/>
          <w:i/>
          <w:color w:val="000000" w:themeColor="text1"/>
          <w:sz w:val="18"/>
          <w:szCs w:val="18"/>
          <w:lang w:eastAsia="ja-JP"/>
        </w:rPr>
        <w:t>sample)</w:t>
      </w:r>
    </w:p>
    <w:p w14:paraId="6FB07F54" w14:textId="77777777" w:rsidR="00AD6EEB" w:rsidRPr="005E6B7C" w:rsidRDefault="00AD6EEB" w:rsidP="008C0D47">
      <w:pPr>
        <w:tabs>
          <w:tab w:val="left" w:pos="270"/>
          <w:tab w:val="left" w:pos="540"/>
          <w:tab w:val="left" w:pos="9270"/>
        </w:tabs>
        <w:ind w:right="-20" w:firstLine="284"/>
        <w:jc w:val="center"/>
        <w:outlineLvl w:val="3"/>
        <w:rPr>
          <w:rFonts w:asciiTheme="majorHAnsi" w:eastAsia="Times New Roman" w:hAnsiTheme="majorHAnsi" w:cstheme="majorHAnsi"/>
          <w:bCs/>
          <w:color w:val="000000" w:themeColor="text1"/>
          <w:sz w:val="22"/>
          <w:szCs w:val="22"/>
          <w:lang w:eastAsia="ja-JP"/>
        </w:rPr>
      </w:pPr>
    </w:p>
    <w:p w14:paraId="61119B12" w14:textId="77777777" w:rsidR="000F51CE" w:rsidRPr="005E6B7C" w:rsidRDefault="000F51CE" w:rsidP="008C0D47">
      <w:pPr>
        <w:tabs>
          <w:tab w:val="left" w:pos="270"/>
          <w:tab w:val="left" w:pos="540"/>
          <w:tab w:val="left" w:pos="9270"/>
        </w:tabs>
        <w:ind w:right="-20" w:firstLine="284"/>
        <w:jc w:val="both"/>
        <w:outlineLvl w:val="3"/>
        <w:rPr>
          <w:rFonts w:asciiTheme="majorHAnsi" w:eastAsia="Times New Roman" w:hAnsiTheme="majorHAnsi" w:cstheme="majorHAnsi"/>
          <w:bCs/>
          <w:color w:val="000000" w:themeColor="text1"/>
          <w:sz w:val="22"/>
          <w:szCs w:val="22"/>
          <w:lang w:val="vi-VN" w:eastAsia="ja-JP"/>
        </w:rPr>
        <w:sectPr w:rsidR="000F51CE" w:rsidRPr="005E6B7C" w:rsidSect="002206BB">
          <w:type w:val="continuous"/>
          <w:pgSz w:w="10773" w:h="15309" w:code="9"/>
          <w:pgMar w:top="907" w:right="851" w:bottom="1418" w:left="851" w:header="397" w:footer="851" w:gutter="0"/>
          <w:cols w:space="284"/>
          <w:docGrid w:linePitch="360"/>
        </w:sectPr>
      </w:pPr>
    </w:p>
    <w:p w14:paraId="7B76EE8E" w14:textId="77777777" w:rsidR="00E049CB" w:rsidRPr="005E6B7C" w:rsidRDefault="00E049CB" w:rsidP="008C0D47">
      <w:pPr>
        <w:tabs>
          <w:tab w:val="left" w:pos="270"/>
          <w:tab w:val="left" w:pos="540"/>
          <w:tab w:val="left" w:pos="9270"/>
        </w:tabs>
        <w:ind w:right="-20" w:firstLine="284"/>
        <w:jc w:val="both"/>
        <w:outlineLvl w:val="3"/>
        <w:rPr>
          <w:rFonts w:asciiTheme="majorHAnsi" w:eastAsia="Calibri" w:hAnsiTheme="majorHAnsi" w:cstheme="majorHAnsi"/>
          <w:i/>
          <w:iCs/>
          <w:color w:val="000000" w:themeColor="text1"/>
          <w:spacing w:val="-6"/>
          <w:sz w:val="22"/>
          <w:szCs w:val="22"/>
          <w:lang w:val="vi-VN" w:eastAsia="ja-JP"/>
        </w:rPr>
      </w:pPr>
      <w:r w:rsidRPr="005E6B7C">
        <w:rPr>
          <w:rFonts w:asciiTheme="majorHAnsi" w:eastAsia="Times New Roman" w:hAnsiTheme="majorHAnsi" w:cstheme="majorHAnsi"/>
          <w:bCs/>
          <w:color w:val="000000" w:themeColor="text1"/>
          <w:spacing w:val="-6"/>
          <w:sz w:val="22"/>
          <w:szCs w:val="22"/>
          <w:lang w:val="vi-VN" w:eastAsia="ja-JP"/>
        </w:rPr>
        <w:t>The results showed that the R</w:t>
      </w:r>
      <w:r w:rsidRPr="005E6B7C">
        <w:rPr>
          <w:rFonts w:asciiTheme="majorHAnsi" w:eastAsia="Times New Roman" w:hAnsiTheme="majorHAnsi" w:cstheme="majorHAnsi"/>
          <w:bCs/>
          <w:color w:val="000000" w:themeColor="text1"/>
          <w:spacing w:val="-6"/>
          <w:sz w:val="22"/>
          <w:szCs w:val="22"/>
          <w:vertAlign w:val="subscript"/>
          <w:lang w:val="vi-VN" w:eastAsia="ja-JP"/>
        </w:rPr>
        <w:t>f</w:t>
      </w:r>
      <w:r w:rsidRPr="005E6B7C">
        <w:rPr>
          <w:rFonts w:asciiTheme="majorHAnsi" w:eastAsia="Times New Roman" w:hAnsiTheme="majorHAnsi" w:cstheme="majorHAnsi"/>
          <w:bCs/>
          <w:color w:val="000000" w:themeColor="text1"/>
          <w:spacing w:val="-6"/>
          <w:sz w:val="22"/>
          <w:szCs w:val="22"/>
          <w:lang w:val="vi-VN" w:eastAsia="ja-JP"/>
        </w:rPr>
        <w:t xml:space="preserve"> values of lycopene and </w:t>
      </w:r>
      <w:r w:rsidRPr="005E6B7C">
        <w:rPr>
          <w:rFonts w:asciiTheme="majorHAnsi" w:eastAsia="Times New Roman" w:hAnsiTheme="majorHAnsi" w:cstheme="majorHAnsi"/>
          <w:bCs/>
          <w:i/>
          <w:color w:val="000000" w:themeColor="text1"/>
          <w:spacing w:val="-6"/>
          <w:sz w:val="22"/>
          <w:szCs w:val="22"/>
          <w:lang w:val="vi-VN" w:eastAsia="ja-JP"/>
        </w:rPr>
        <w:t>β</w:t>
      </w:r>
      <w:r w:rsidRPr="005E6B7C">
        <w:rPr>
          <w:rFonts w:asciiTheme="majorHAnsi" w:eastAsia="Times New Roman" w:hAnsiTheme="majorHAnsi" w:cstheme="majorHAnsi"/>
          <w:bCs/>
          <w:color w:val="000000" w:themeColor="text1"/>
          <w:spacing w:val="-6"/>
          <w:sz w:val="22"/>
          <w:szCs w:val="22"/>
          <w:lang w:val="vi-VN" w:eastAsia="ja-JP"/>
        </w:rPr>
        <w:t>-carotene in four TLC chromatograms were all within the range 0.2-0.8. However, mobile phase 4 gives compact peaks and spots in the middle of the thin plate. Therefore, mobile phase 4 was selected for TLC chromatography.</w:t>
      </w:r>
    </w:p>
    <w:p w14:paraId="1CAAC8CE" w14:textId="77777777" w:rsidR="00E049CB" w:rsidRPr="005E6B7C" w:rsidRDefault="00E049CB" w:rsidP="008C0D47">
      <w:pPr>
        <w:tabs>
          <w:tab w:val="left" w:pos="270"/>
          <w:tab w:val="left" w:pos="540"/>
          <w:tab w:val="left" w:pos="9270"/>
        </w:tabs>
        <w:ind w:right="-20" w:firstLine="284"/>
        <w:jc w:val="both"/>
        <w:rPr>
          <w:rFonts w:asciiTheme="majorHAnsi" w:eastAsia="Calibri" w:hAnsiTheme="majorHAnsi" w:cstheme="majorHAnsi"/>
          <w:color w:val="000000" w:themeColor="text1"/>
          <w:sz w:val="22"/>
          <w:szCs w:val="22"/>
          <w:lang w:eastAsia="ja-JP"/>
        </w:rPr>
      </w:pPr>
      <w:r w:rsidRPr="005E6B7C">
        <w:rPr>
          <w:rFonts w:asciiTheme="majorHAnsi" w:eastAsia="Calibri" w:hAnsiTheme="majorHAnsi" w:cstheme="majorHAnsi"/>
          <w:color w:val="000000" w:themeColor="text1"/>
          <w:sz w:val="22"/>
          <w:szCs w:val="22"/>
          <w:lang w:eastAsia="ja-JP"/>
        </w:rPr>
        <w:t>3.1.2. Sample loading volume:</w:t>
      </w:r>
    </w:p>
    <w:p w14:paraId="5EE64D31" w14:textId="62786693" w:rsidR="000F51CE" w:rsidRPr="005E6B7C" w:rsidRDefault="00E049CB" w:rsidP="008C0D47">
      <w:pPr>
        <w:tabs>
          <w:tab w:val="left" w:pos="270"/>
          <w:tab w:val="left" w:pos="540"/>
          <w:tab w:val="left" w:pos="9270"/>
        </w:tabs>
        <w:ind w:right="-20" w:firstLine="284"/>
        <w:jc w:val="both"/>
        <w:rPr>
          <w:rFonts w:asciiTheme="majorHAnsi" w:eastAsia="Calibri" w:hAnsiTheme="majorHAnsi" w:cstheme="majorHAnsi"/>
          <w:iCs/>
          <w:color w:val="000000" w:themeColor="text1"/>
          <w:spacing w:val="8"/>
          <w:sz w:val="22"/>
          <w:szCs w:val="22"/>
          <w:lang w:eastAsia="ja-JP"/>
        </w:rPr>
      </w:pPr>
      <w:r w:rsidRPr="005E6B7C">
        <w:rPr>
          <w:rFonts w:asciiTheme="majorHAnsi" w:eastAsia="Calibri" w:hAnsiTheme="majorHAnsi" w:cstheme="majorHAnsi"/>
          <w:iCs/>
          <w:color w:val="000000" w:themeColor="text1"/>
          <w:spacing w:val="8"/>
          <w:sz w:val="22"/>
          <w:szCs w:val="22"/>
          <w:lang w:eastAsia="ja-JP"/>
        </w:rPr>
        <w:t xml:space="preserve">Survey different sample loading volumes in the range of 5 – 30 </w:t>
      </w:r>
      <w:r w:rsidR="00266B26" w:rsidRPr="005E6B7C">
        <w:rPr>
          <w:rFonts w:asciiTheme="majorHAnsi" w:eastAsia="Calibri" w:hAnsiTheme="majorHAnsi" w:cstheme="majorHAnsi"/>
          <w:i/>
          <w:iCs/>
          <w:color w:val="000000" w:themeColor="text1"/>
          <w:spacing w:val="8"/>
          <w:sz w:val="22"/>
          <w:szCs w:val="22"/>
          <w:lang w:eastAsia="ja-JP"/>
        </w:rPr>
        <w:t>µ</w:t>
      </w:r>
      <w:r w:rsidRPr="005E6B7C">
        <w:rPr>
          <w:rFonts w:asciiTheme="majorHAnsi" w:eastAsia="Calibri" w:hAnsiTheme="majorHAnsi" w:cstheme="majorHAnsi"/>
          <w:iCs/>
          <w:color w:val="000000" w:themeColor="text1"/>
          <w:spacing w:val="8"/>
          <w:sz w:val="22"/>
          <w:szCs w:val="22"/>
          <w:lang w:eastAsia="ja-JP"/>
        </w:rPr>
        <w:t xml:space="preserve">L. The sample used for the survey was the extract of the Gac seed aril. The results obtained are shown in Table 1 and </w:t>
      </w:r>
      <w:r w:rsidR="00517F81" w:rsidRPr="005E6B7C">
        <w:rPr>
          <w:rFonts w:asciiTheme="majorHAnsi" w:eastAsia="Calibri" w:hAnsiTheme="majorHAnsi" w:cstheme="majorHAnsi"/>
          <w:iCs/>
          <w:color w:val="000000" w:themeColor="text1"/>
          <w:spacing w:val="8"/>
          <w:sz w:val="22"/>
          <w:szCs w:val="22"/>
          <w:lang w:eastAsia="ja-JP"/>
        </w:rPr>
        <w:t xml:space="preserve">Fig. </w:t>
      </w:r>
      <w:r w:rsidRPr="005E6B7C">
        <w:rPr>
          <w:rFonts w:asciiTheme="majorHAnsi" w:eastAsia="Calibri" w:hAnsiTheme="majorHAnsi" w:cstheme="majorHAnsi"/>
          <w:iCs/>
          <w:color w:val="000000" w:themeColor="text1"/>
          <w:spacing w:val="8"/>
          <w:sz w:val="22"/>
          <w:szCs w:val="22"/>
          <w:lang w:eastAsia="ja-JP"/>
        </w:rPr>
        <w:t>2.</w:t>
      </w:r>
    </w:p>
    <w:p w14:paraId="442C4025" w14:textId="77777777" w:rsidR="000F51CE" w:rsidRPr="005E6B7C" w:rsidRDefault="000F51CE" w:rsidP="008C0D47">
      <w:pPr>
        <w:tabs>
          <w:tab w:val="left" w:pos="270"/>
          <w:tab w:val="left" w:pos="540"/>
          <w:tab w:val="left" w:pos="9270"/>
        </w:tabs>
        <w:ind w:right="-20" w:firstLine="284"/>
        <w:jc w:val="both"/>
        <w:rPr>
          <w:rFonts w:asciiTheme="majorHAnsi" w:eastAsia="Calibri" w:hAnsiTheme="majorHAnsi" w:cstheme="majorHAnsi"/>
          <w:iCs/>
          <w:color w:val="000000" w:themeColor="text1"/>
          <w:spacing w:val="8"/>
          <w:sz w:val="22"/>
          <w:szCs w:val="22"/>
          <w:lang w:eastAsia="ja-JP"/>
        </w:rPr>
        <w:sectPr w:rsidR="000F51CE" w:rsidRPr="005E6B7C" w:rsidSect="000F51CE">
          <w:type w:val="continuous"/>
          <w:pgSz w:w="10773" w:h="15309" w:code="9"/>
          <w:pgMar w:top="907" w:right="851" w:bottom="1418" w:left="851" w:header="397" w:footer="851" w:gutter="0"/>
          <w:cols w:num="2" w:space="284"/>
          <w:docGrid w:linePitch="360"/>
        </w:sectPr>
      </w:pPr>
    </w:p>
    <w:p w14:paraId="70A5A221" w14:textId="77777777" w:rsidR="00E049CB" w:rsidRPr="005E6B7C" w:rsidRDefault="00E049CB" w:rsidP="008C0D47">
      <w:pPr>
        <w:tabs>
          <w:tab w:val="left" w:pos="270"/>
          <w:tab w:val="left" w:pos="540"/>
          <w:tab w:val="left" w:pos="9270"/>
        </w:tabs>
        <w:spacing w:before="120" w:after="120"/>
        <w:ind w:right="-20"/>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b/>
          <w:bCs/>
          <w:color w:val="000000" w:themeColor="text1"/>
          <w:sz w:val="18"/>
          <w:szCs w:val="18"/>
          <w:lang w:val="vi-VN"/>
        </w:rPr>
        <w:t>Table 1.</w:t>
      </w:r>
      <w:r w:rsidRPr="005E6B7C">
        <w:rPr>
          <w:rFonts w:asciiTheme="majorHAnsi" w:eastAsia="Calibri" w:hAnsiTheme="majorHAnsi" w:cstheme="majorHAnsi"/>
          <w:color w:val="000000" w:themeColor="text1"/>
          <w:sz w:val="18"/>
          <w:szCs w:val="18"/>
          <w:lang w:val="vi-VN"/>
        </w:rPr>
        <w:t xml:space="preserve"> Peak parameters of lycopene and β-carotene corresponding to different sample loading volumes</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2052"/>
        <w:gridCol w:w="1324"/>
        <w:gridCol w:w="2017"/>
        <w:gridCol w:w="1694"/>
        <w:gridCol w:w="1985"/>
      </w:tblGrid>
      <w:tr w:rsidR="00573010" w:rsidRPr="005E6B7C" w14:paraId="4F4B3CCB" w14:textId="77777777" w:rsidTr="00460990">
        <w:trPr>
          <w:trHeight w:val="141"/>
          <w:jc w:val="center"/>
        </w:trPr>
        <w:tc>
          <w:tcPr>
            <w:tcW w:w="2052" w:type="dxa"/>
            <w:vMerge w:val="restart"/>
            <w:vAlign w:val="center"/>
          </w:tcPr>
          <w:p w14:paraId="1D49D243" w14:textId="77777777" w:rsidR="00E049CB" w:rsidRPr="005E6B7C" w:rsidRDefault="00E049CB" w:rsidP="005E65C5">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Sample</w:t>
            </w:r>
          </w:p>
          <w:p w14:paraId="34141B00" w14:textId="77777777" w:rsidR="00E049CB" w:rsidRPr="005E6B7C" w:rsidRDefault="00E049CB" w:rsidP="005E65C5">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loading volume</w:t>
            </w:r>
          </w:p>
          <w:p w14:paraId="025C8D7F" w14:textId="74C6CF1F" w:rsidR="00E049CB" w:rsidRPr="005E6B7C" w:rsidRDefault="00E049CB" w:rsidP="005E65C5">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w:t>
            </w:r>
            <w:r w:rsidR="00266B26" w:rsidRPr="005E6B7C">
              <w:rPr>
                <w:rFonts w:asciiTheme="majorHAnsi" w:eastAsia="Times New Roman" w:hAnsiTheme="majorHAnsi" w:cstheme="majorHAnsi"/>
                <w:b/>
                <w:i/>
                <w:iCs/>
                <w:color w:val="000000" w:themeColor="text1"/>
                <w:sz w:val="18"/>
                <w:szCs w:val="18"/>
                <w:lang w:eastAsia="ja-JP"/>
              </w:rPr>
              <w:t>µ</w:t>
            </w:r>
            <w:r w:rsidRPr="005E6B7C">
              <w:rPr>
                <w:rFonts w:asciiTheme="majorHAnsi" w:eastAsia="Times New Roman" w:hAnsiTheme="majorHAnsi" w:cstheme="majorHAnsi"/>
                <w:b/>
                <w:color w:val="000000" w:themeColor="text1"/>
                <w:sz w:val="18"/>
                <w:szCs w:val="18"/>
                <w:lang w:eastAsia="ja-JP"/>
              </w:rPr>
              <w:t>L</w:t>
            </w:r>
            <w:r w:rsidRPr="005E6B7C">
              <w:rPr>
                <w:rFonts w:asciiTheme="majorHAnsi" w:eastAsia="Times New Roman" w:hAnsiTheme="majorHAnsi" w:cstheme="majorHAnsi"/>
                <w:b/>
                <w:bCs/>
                <w:color w:val="000000" w:themeColor="text1"/>
                <w:sz w:val="18"/>
                <w:szCs w:val="18"/>
                <w:lang w:eastAsia="ja-JP"/>
              </w:rPr>
              <w:t>)</w:t>
            </w:r>
          </w:p>
        </w:tc>
        <w:tc>
          <w:tcPr>
            <w:tcW w:w="3341" w:type="dxa"/>
            <w:gridSpan w:val="2"/>
            <w:vAlign w:val="center"/>
          </w:tcPr>
          <w:p w14:paraId="33ACE0FB" w14:textId="77777777" w:rsidR="00E049CB" w:rsidRPr="005E6B7C" w:rsidRDefault="00E049CB" w:rsidP="005E65C5">
            <w:pPr>
              <w:tabs>
                <w:tab w:val="left" w:pos="270"/>
                <w:tab w:val="left" w:pos="540"/>
                <w:tab w:val="left" w:pos="9270"/>
              </w:tabs>
              <w:ind w:right="-20"/>
              <w:jc w:val="center"/>
              <w:rPr>
                <w:rFonts w:asciiTheme="majorHAnsi" w:eastAsia="Yu Mincho" w:hAnsiTheme="majorHAnsi" w:cstheme="majorHAnsi"/>
                <w:b/>
                <w:bCs/>
                <w:i/>
                <w:color w:val="000000" w:themeColor="text1"/>
                <w:sz w:val="18"/>
                <w:szCs w:val="18"/>
                <w:lang w:val="el-GR" w:eastAsia="ja-JP"/>
              </w:rPr>
            </w:pPr>
            <w:r w:rsidRPr="005E6B7C">
              <w:rPr>
                <w:rFonts w:asciiTheme="majorHAnsi" w:eastAsia="Yu Mincho" w:hAnsiTheme="majorHAnsi" w:cstheme="majorHAnsi"/>
                <w:b/>
                <w:bCs/>
                <w:color w:val="000000" w:themeColor="text1"/>
                <w:sz w:val="18"/>
                <w:szCs w:val="18"/>
                <w:lang w:eastAsia="ja-JP"/>
              </w:rPr>
              <w:t>Lycopene</w:t>
            </w:r>
          </w:p>
        </w:tc>
        <w:tc>
          <w:tcPr>
            <w:tcW w:w="3679" w:type="dxa"/>
            <w:gridSpan w:val="2"/>
            <w:vAlign w:val="center"/>
          </w:tcPr>
          <w:p w14:paraId="0A3FDE99" w14:textId="77777777" w:rsidR="00E049CB" w:rsidRPr="005E6B7C" w:rsidRDefault="00E049CB" w:rsidP="005E65C5">
            <w:pPr>
              <w:tabs>
                <w:tab w:val="left" w:pos="270"/>
                <w:tab w:val="left" w:pos="540"/>
                <w:tab w:val="left" w:pos="9270"/>
              </w:tabs>
              <w:ind w:right="-20"/>
              <w:jc w:val="center"/>
              <w:rPr>
                <w:rFonts w:asciiTheme="majorHAnsi" w:eastAsia="Yu Mincho" w:hAnsiTheme="majorHAnsi" w:cstheme="majorHAnsi"/>
                <w:b/>
                <w:bCs/>
                <w:i/>
                <w:color w:val="000000" w:themeColor="text1"/>
                <w:sz w:val="18"/>
                <w:szCs w:val="18"/>
                <w:lang w:val="el-GR" w:eastAsia="ja-JP"/>
              </w:rPr>
            </w:pPr>
            <w:r w:rsidRPr="005E6B7C">
              <w:rPr>
                <w:rFonts w:asciiTheme="majorHAnsi" w:eastAsia="Yu Mincho" w:hAnsiTheme="majorHAnsi" w:cstheme="majorHAnsi"/>
                <w:b/>
                <w:bCs/>
                <w:i/>
                <w:color w:val="000000" w:themeColor="text1"/>
                <w:sz w:val="18"/>
                <w:szCs w:val="18"/>
                <w:lang w:val="el-GR" w:eastAsia="ja-JP"/>
              </w:rPr>
              <w:t>β</w:t>
            </w:r>
            <w:r w:rsidRPr="005E6B7C">
              <w:rPr>
                <w:rFonts w:asciiTheme="majorHAnsi" w:eastAsia="Yu Mincho" w:hAnsiTheme="majorHAnsi" w:cstheme="majorHAnsi"/>
                <w:b/>
                <w:bCs/>
                <w:color w:val="000000" w:themeColor="text1"/>
                <w:sz w:val="18"/>
                <w:szCs w:val="18"/>
                <w:lang w:eastAsia="ja-JP"/>
              </w:rPr>
              <w:t>-Carotene</w:t>
            </w:r>
          </w:p>
        </w:tc>
      </w:tr>
      <w:tr w:rsidR="00460990" w:rsidRPr="005E6B7C" w14:paraId="2F04CDB6" w14:textId="77777777" w:rsidTr="00460990">
        <w:trPr>
          <w:trHeight w:val="141"/>
          <w:jc w:val="center"/>
        </w:trPr>
        <w:tc>
          <w:tcPr>
            <w:tcW w:w="2052" w:type="dxa"/>
            <w:vMerge/>
            <w:vAlign w:val="center"/>
          </w:tcPr>
          <w:p w14:paraId="14680DD7" w14:textId="77777777" w:rsidR="00460990" w:rsidRPr="005E6B7C" w:rsidRDefault="00460990" w:rsidP="00460990">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1324" w:type="dxa"/>
            <w:vAlign w:val="center"/>
          </w:tcPr>
          <w:p w14:paraId="33AF6B1D" w14:textId="24FABB9D" w:rsidR="00460990" w:rsidRPr="005E6B7C" w:rsidRDefault="00460990" w:rsidP="00460990">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Peak area</w:t>
            </w:r>
          </w:p>
        </w:tc>
        <w:tc>
          <w:tcPr>
            <w:tcW w:w="2017" w:type="dxa"/>
            <w:vAlign w:val="center"/>
          </w:tcPr>
          <w:p w14:paraId="6BAD1977" w14:textId="0377E541" w:rsidR="00460990" w:rsidRPr="005E6B7C" w:rsidRDefault="00460990" w:rsidP="00460990">
            <w:pPr>
              <w:tabs>
                <w:tab w:val="left" w:pos="270"/>
                <w:tab w:val="left" w:pos="540"/>
                <w:tab w:val="left" w:pos="9270"/>
              </w:tabs>
              <w:ind w:right="-20"/>
              <w:jc w:val="center"/>
              <w:rPr>
                <w:rFonts w:asciiTheme="majorHAnsi" w:eastAsia="Yu Mincho" w:hAnsiTheme="majorHAnsi" w:cstheme="majorHAnsi"/>
                <w:b/>
                <w:bCs/>
                <w: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The spot width (ΔR</w:t>
            </w:r>
            <w:r w:rsidRPr="005E6B7C">
              <w:rPr>
                <w:rFonts w:asciiTheme="majorHAnsi" w:eastAsia="Yu Mincho" w:hAnsiTheme="majorHAnsi" w:cstheme="majorHAnsi"/>
                <w:color w:val="000000" w:themeColor="text1"/>
                <w:sz w:val="18"/>
                <w:szCs w:val="18"/>
                <w:vertAlign w:val="subscript"/>
                <w:lang w:eastAsia="ja-JP"/>
              </w:rPr>
              <w:t>f</w:t>
            </w:r>
            <w:r w:rsidRPr="005E6B7C">
              <w:rPr>
                <w:rFonts w:asciiTheme="majorHAnsi" w:eastAsia="Yu Mincho" w:hAnsiTheme="majorHAnsi" w:cstheme="majorHAnsi"/>
                <w:color w:val="000000" w:themeColor="text1"/>
                <w:sz w:val="18"/>
                <w:szCs w:val="18"/>
                <w:lang w:eastAsia="ja-JP"/>
              </w:rPr>
              <w:t>)</w:t>
            </w:r>
          </w:p>
        </w:tc>
        <w:tc>
          <w:tcPr>
            <w:tcW w:w="1694" w:type="dxa"/>
            <w:vAlign w:val="center"/>
          </w:tcPr>
          <w:p w14:paraId="02DFBD98" w14:textId="605370F7" w:rsidR="00460990" w:rsidRPr="005E6B7C" w:rsidRDefault="00460990" w:rsidP="00460990">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Peak area</w:t>
            </w:r>
          </w:p>
        </w:tc>
        <w:tc>
          <w:tcPr>
            <w:tcW w:w="1985" w:type="dxa"/>
            <w:vAlign w:val="center"/>
          </w:tcPr>
          <w:p w14:paraId="5C79281D" w14:textId="2F0D0288" w:rsidR="00460990" w:rsidRPr="005E6B7C" w:rsidRDefault="00460990" w:rsidP="00460990">
            <w:pPr>
              <w:tabs>
                <w:tab w:val="left" w:pos="270"/>
                <w:tab w:val="left" w:pos="540"/>
                <w:tab w:val="left" w:pos="9270"/>
              </w:tabs>
              <w:ind w:right="-20"/>
              <w:jc w:val="center"/>
              <w:rPr>
                <w:rFonts w:asciiTheme="majorHAnsi" w:eastAsia="Yu Mincho" w:hAnsiTheme="majorHAnsi" w:cstheme="majorHAnsi"/>
                <w:b/>
                <w:bCs/>
                <w:i/>
                <w:color w:val="000000" w:themeColor="text1"/>
                <w:sz w:val="18"/>
                <w:szCs w:val="18"/>
                <w:lang w:val="el-GR" w:eastAsia="ja-JP"/>
              </w:rPr>
            </w:pPr>
            <w:r w:rsidRPr="005E6B7C">
              <w:rPr>
                <w:rFonts w:asciiTheme="majorHAnsi" w:eastAsia="Yu Mincho" w:hAnsiTheme="majorHAnsi" w:cstheme="majorHAnsi"/>
                <w:color w:val="000000" w:themeColor="text1"/>
                <w:sz w:val="18"/>
                <w:szCs w:val="18"/>
                <w:lang w:eastAsia="ja-JP"/>
              </w:rPr>
              <w:t>The spot width (ΔRf)</w:t>
            </w:r>
          </w:p>
        </w:tc>
      </w:tr>
      <w:tr w:rsidR="00573010" w:rsidRPr="005E6B7C" w14:paraId="4C231FBF" w14:textId="77777777" w:rsidTr="00460990">
        <w:trPr>
          <w:trHeight w:val="206"/>
          <w:jc w:val="center"/>
        </w:trPr>
        <w:tc>
          <w:tcPr>
            <w:tcW w:w="2052" w:type="dxa"/>
            <w:vAlign w:val="bottom"/>
          </w:tcPr>
          <w:p w14:paraId="66547C2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w:t>
            </w:r>
          </w:p>
        </w:tc>
        <w:tc>
          <w:tcPr>
            <w:tcW w:w="1324" w:type="dxa"/>
            <w:vAlign w:val="bottom"/>
          </w:tcPr>
          <w:p w14:paraId="522CF25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0.0026</w:t>
            </w:r>
          </w:p>
        </w:tc>
        <w:tc>
          <w:tcPr>
            <w:tcW w:w="2017" w:type="dxa"/>
          </w:tcPr>
          <w:p w14:paraId="2159B03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0.083</w:t>
            </w:r>
          </w:p>
        </w:tc>
        <w:tc>
          <w:tcPr>
            <w:tcW w:w="1694" w:type="dxa"/>
            <w:vAlign w:val="bottom"/>
          </w:tcPr>
          <w:p w14:paraId="08CA528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i/>
                <w:color w:val="000000" w:themeColor="text1"/>
                <w:sz w:val="18"/>
                <w:szCs w:val="18"/>
                <w:lang w:eastAsia="ja-JP"/>
              </w:rPr>
              <w:t>not detected</w:t>
            </w:r>
          </w:p>
        </w:tc>
        <w:tc>
          <w:tcPr>
            <w:tcW w:w="1985" w:type="dxa"/>
          </w:tcPr>
          <w:p w14:paraId="54CCB40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i/>
                <w:color w:val="000000" w:themeColor="text1"/>
                <w:sz w:val="18"/>
                <w:szCs w:val="18"/>
                <w:lang w:eastAsia="ja-JP"/>
              </w:rPr>
              <w:t>not detected</w:t>
            </w:r>
          </w:p>
        </w:tc>
      </w:tr>
      <w:tr w:rsidR="00573010" w:rsidRPr="005E6B7C" w14:paraId="61C91DC4" w14:textId="77777777" w:rsidTr="00460990">
        <w:trPr>
          <w:trHeight w:val="206"/>
          <w:jc w:val="center"/>
        </w:trPr>
        <w:tc>
          <w:tcPr>
            <w:tcW w:w="2052" w:type="dxa"/>
            <w:vAlign w:val="bottom"/>
          </w:tcPr>
          <w:p w14:paraId="7A85CCD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c>
          <w:tcPr>
            <w:tcW w:w="1324" w:type="dxa"/>
            <w:vAlign w:val="bottom"/>
          </w:tcPr>
          <w:p w14:paraId="7A10F20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0.0095</w:t>
            </w:r>
          </w:p>
        </w:tc>
        <w:tc>
          <w:tcPr>
            <w:tcW w:w="2017" w:type="dxa"/>
          </w:tcPr>
          <w:p w14:paraId="7721FC2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0.081</w:t>
            </w:r>
          </w:p>
        </w:tc>
        <w:tc>
          <w:tcPr>
            <w:tcW w:w="1694" w:type="dxa"/>
            <w:vAlign w:val="bottom"/>
          </w:tcPr>
          <w:p w14:paraId="6DD2C5D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0.0010</w:t>
            </w:r>
          </w:p>
        </w:tc>
        <w:tc>
          <w:tcPr>
            <w:tcW w:w="1985" w:type="dxa"/>
          </w:tcPr>
          <w:p w14:paraId="49FBF3E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0.065</w:t>
            </w:r>
          </w:p>
        </w:tc>
      </w:tr>
      <w:tr w:rsidR="00573010" w:rsidRPr="005E6B7C" w14:paraId="2C495D52" w14:textId="77777777" w:rsidTr="00460990">
        <w:trPr>
          <w:trHeight w:val="206"/>
          <w:jc w:val="center"/>
        </w:trPr>
        <w:tc>
          <w:tcPr>
            <w:tcW w:w="2052" w:type="dxa"/>
            <w:vAlign w:val="bottom"/>
          </w:tcPr>
          <w:p w14:paraId="7B87C62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20</w:t>
            </w:r>
          </w:p>
        </w:tc>
        <w:tc>
          <w:tcPr>
            <w:tcW w:w="1324" w:type="dxa"/>
            <w:vAlign w:val="bottom"/>
          </w:tcPr>
          <w:p w14:paraId="22CA0A8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0.0200</w:t>
            </w:r>
          </w:p>
        </w:tc>
        <w:tc>
          <w:tcPr>
            <w:tcW w:w="2017" w:type="dxa"/>
          </w:tcPr>
          <w:p w14:paraId="3C03C69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0.113</w:t>
            </w:r>
          </w:p>
        </w:tc>
        <w:tc>
          <w:tcPr>
            <w:tcW w:w="1694" w:type="dxa"/>
            <w:vAlign w:val="bottom"/>
          </w:tcPr>
          <w:p w14:paraId="77E5B8D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0.0028</w:t>
            </w:r>
          </w:p>
        </w:tc>
        <w:tc>
          <w:tcPr>
            <w:tcW w:w="1985" w:type="dxa"/>
          </w:tcPr>
          <w:p w14:paraId="42F0D5D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0.082</w:t>
            </w:r>
          </w:p>
        </w:tc>
      </w:tr>
      <w:tr w:rsidR="00573010" w:rsidRPr="005E6B7C" w14:paraId="534A0135" w14:textId="77777777" w:rsidTr="00460990">
        <w:trPr>
          <w:trHeight w:val="206"/>
          <w:jc w:val="center"/>
        </w:trPr>
        <w:tc>
          <w:tcPr>
            <w:tcW w:w="2052" w:type="dxa"/>
            <w:vAlign w:val="bottom"/>
          </w:tcPr>
          <w:p w14:paraId="158DEB0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30</w:t>
            </w:r>
          </w:p>
        </w:tc>
        <w:tc>
          <w:tcPr>
            <w:tcW w:w="1324" w:type="dxa"/>
            <w:vAlign w:val="bottom"/>
          </w:tcPr>
          <w:p w14:paraId="007F50E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0.0326</w:t>
            </w:r>
          </w:p>
        </w:tc>
        <w:tc>
          <w:tcPr>
            <w:tcW w:w="2017" w:type="dxa"/>
          </w:tcPr>
          <w:p w14:paraId="2F4E849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0.184</w:t>
            </w:r>
          </w:p>
        </w:tc>
        <w:tc>
          <w:tcPr>
            <w:tcW w:w="1694" w:type="dxa"/>
            <w:vAlign w:val="bottom"/>
          </w:tcPr>
          <w:p w14:paraId="72410E7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0.0055</w:t>
            </w:r>
          </w:p>
        </w:tc>
        <w:tc>
          <w:tcPr>
            <w:tcW w:w="1985" w:type="dxa"/>
          </w:tcPr>
          <w:p w14:paraId="44D5A5E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0.090</w:t>
            </w:r>
          </w:p>
        </w:tc>
      </w:tr>
    </w:tbl>
    <w:p w14:paraId="591D1EE0"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22"/>
          <w:szCs w:val="22"/>
          <w:lang w:eastAsia="ja-JP"/>
        </w:rPr>
      </w:pPr>
    </w:p>
    <w:tbl>
      <w:tblPr>
        <w:tblStyle w:val="TableGrid51"/>
        <w:tblW w:w="5000" w:type="pct"/>
        <w:tblLook w:val="04A0" w:firstRow="1" w:lastRow="0" w:firstColumn="1" w:lastColumn="0" w:noHBand="0" w:noVBand="1"/>
      </w:tblPr>
      <w:tblGrid>
        <w:gridCol w:w="4584"/>
        <w:gridCol w:w="4487"/>
      </w:tblGrid>
      <w:tr w:rsidR="00573010" w:rsidRPr="005E6B7C" w14:paraId="712F3B20" w14:textId="77777777" w:rsidTr="00C644FB">
        <w:trPr>
          <w:trHeight w:val="2015"/>
        </w:trPr>
        <w:tc>
          <w:tcPr>
            <w:tcW w:w="4543" w:type="dxa"/>
            <w:tcBorders>
              <w:top w:val="nil"/>
              <w:left w:val="nil"/>
              <w:bottom w:val="nil"/>
              <w:right w:val="nil"/>
            </w:tcBorders>
          </w:tcPr>
          <w:p w14:paraId="4D36624C" w14:textId="77777777" w:rsidR="00E049CB" w:rsidRPr="005E6B7C" w:rsidRDefault="00E049CB" w:rsidP="008C0D47">
            <w:pPr>
              <w:tabs>
                <w:tab w:val="left" w:pos="270"/>
                <w:tab w:val="left" w:pos="540"/>
                <w:tab w:val="left" w:pos="9270"/>
              </w:tabs>
              <w:suppressAutoHyphens w:val="0"/>
              <w:ind w:right="-20"/>
              <w:jc w:val="both"/>
              <w:rPr>
                <w:rFonts w:asciiTheme="majorHAnsi" w:eastAsia="Yu Mincho" w:hAnsiTheme="majorHAnsi" w:cstheme="majorHAnsi"/>
                <w:color w:val="000000" w:themeColor="text1"/>
                <w:sz w:val="22"/>
                <w:szCs w:val="22"/>
                <w:lang w:val="pt-BR" w:eastAsia="ja-JP"/>
              </w:rPr>
            </w:pPr>
            <w:r w:rsidRPr="005E6B7C">
              <w:rPr>
                <w:rFonts w:asciiTheme="majorHAnsi" w:eastAsia="Yu Mincho" w:hAnsiTheme="majorHAnsi" w:cstheme="majorHAnsi"/>
                <w:noProof/>
                <w:color w:val="000000" w:themeColor="text1"/>
                <w:sz w:val="22"/>
                <w:szCs w:val="22"/>
              </w:rPr>
              <w:drawing>
                <wp:inline distT="0" distB="0" distL="0" distR="0" wp14:anchorId="28EF9DB9" wp14:editId="0B829E13">
                  <wp:extent cx="2863850" cy="1375044"/>
                  <wp:effectExtent l="0" t="0" r="0" b="0"/>
                  <wp:docPr id="3143753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80">
                            <a:extLst>
                              <a:ext uri="{BEBA8EAE-BF5A-486C-A8C5-ECC9F3942E4B}">
                                <a14:imgProps xmlns:a14="http://schemas.microsoft.com/office/drawing/2010/main">
                                  <a14:imgLayer r:embed="rId81">
                                    <a14:imgEffect>
                                      <a14:saturation sat="0"/>
                                    </a14:imgEffect>
                                  </a14:imgLayer>
                                </a14:imgProps>
                              </a:ext>
                            </a:extLst>
                          </a:blip>
                          <a:stretch>
                            <a:fillRect/>
                          </a:stretch>
                        </pic:blipFill>
                        <pic:spPr bwMode="auto">
                          <a:xfrm>
                            <a:off x="0" y="0"/>
                            <a:ext cx="2869010" cy="1377522"/>
                          </a:xfrm>
                          <a:prstGeom prst="rect">
                            <a:avLst/>
                          </a:prstGeom>
                        </pic:spPr>
                      </pic:pic>
                    </a:graphicData>
                  </a:graphic>
                </wp:inline>
              </w:drawing>
            </w:r>
          </w:p>
        </w:tc>
        <w:tc>
          <w:tcPr>
            <w:tcW w:w="4482" w:type="dxa"/>
            <w:tcBorders>
              <w:top w:val="nil"/>
              <w:left w:val="nil"/>
              <w:bottom w:val="nil"/>
              <w:right w:val="nil"/>
            </w:tcBorders>
          </w:tcPr>
          <w:p w14:paraId="3A65DF2B" w14:textId="77777777" w:rsidR="00E049CB" w:rsidRPr="005E6B7C" w:rsidRDefault="00E049CB" w:rsidP="008C0D47">
            <w:pPr>
              <w:tabs>
                <w:tab w:val="left" w:pos="270"/>
                <w:tab w:val="left" w:pos="540"/>
                <w:tab w:val="left" w:pos="9270"/>
              </w:tabs>
              <w:suppressAutoHyphens w:val="0"/>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2CF6E68A" wp14:editId="16F71959">
                  <wp:extent cx="2794000" cy="1359987"/>
                  <wp:effectExtent l="0" t="0" r="6350" b="0"/>
                  <wp:docPr id="15191764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82">
                            <a:extLst>
                              <a:ext uri="{BEBA8EAE-BF5A-486C-A8C5-ECC9F3942E4B}">
                                <a14:imgProps xmlns:a14="http://schemas.microsoft.com/office/drawing/2010/main">
                                  <a14:imgLayer r:embed="rId83">
                                    <a14:imgEffect>
                                      <a14:saturation sat="0"/>
                                    </a14:imgEffect>
                                  </a14:imgLayer>
                                </a14:imgProps>
                              </a:ext>
                            </a:extLst>
                          </a:blip>
                          <a:stretch>
                            <a:fillRect/>
                          </a:stretch>
                        </pic:blipFill>
                        <pic:spPr bwMode="auto">
                          <a:xfrm>
                            <a:off x="0" y="0"/>
                            <a:ext cx="2797776" cy="1361825"/>
                          </a:xfrm>
                          <a:prstGeom prst="rect">
                            <a:avLst/>
                          </a:prstGeom>
                        </pic:spPr>
                      </pic:pic>
                    </a:graphicData>
                  </a:graphic>
                </wp:inline>
              </w:drawing>
            </w:r>
          </w:p>
        </w:tc>
      </w:tr>
      <w:tr w:rsidR="00573010" w:rsidRPr="005E6B7C" w14:paraId="61BF1F97" w14:textId="77777777" w:rsidTr="00C644FB">
        <w:trPr>
          <w:trHeight w:val="1913"/>
        </w:trPr>
        <w:tc>
          <w:tcPr>
            <w:tcW w:w="4543" w:type="dxa"/>
            <w:tcBorders>
              <w:top w:val="nil"/>
              <w:left w:val="nil"/>
              <w:bottom w:val="nil"/>
              <w:right w:val="nil"/>
            </w:tcBorders>
          </w:tcPr>
          <w:p w14:paraId="3BFC37E8" w14:textId="77777777" w:rsidR="00E049CB" w:rsidRPr="005E6B7C" w:rsidRDefault="00E049CB" w:rsidP="008C0D47">
            <w:pPr>
              <w:tabs>
                <w:tab w:val="left" w:pos="270"/>
                <w:tab w:val="left" w:pos="540"/>
                <w:tab w:val="left" w:pos="9270"/>
              </w:tabs>
              <w:suppressAutoHyphens w:val="0"/>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lastRenderedPageBreak/>
              <w:drawing>
                <wp:inline distT="0" distB="0" distL="0" distR="0" wp14:anchorId="20941D50" wp14:editId="6D353F75">
                  <wp:extent cx="2863850" cy="1351876"/>
                  <wp:effectExtent l="0" t="0" r="0" b="1270"/>
                  <wp:docPr id="13854600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a:blip r:embed="rId84">
                            <a:extLst>
                              <a:ext uri="{BEBA8EAE-BF5A-486C-A8C5-ECC9F3942E4B}">
                                <a14:imgProps xmlns:a14="http://schemas.microsoft.com/office/drawing/2010/main">
                                  <a14:imgLayer r:embed="rId85">
                                    <a14:imgEffect>
                                      <a14:saturation sat="0"/>
                                    </a14:imgEffect>
                                  </a14:imgLayer>
                                </a14:imgProps>
                              </a:ext>
                            </a:extLst>
                          </a:blip>
                          <a:stretch>
                            <a:fillRect/>
                          </a:stretch>
                        </pic:blipFill>
                        <pic:spPr bwMode="auto">
                          <a:xfrm>
                            <a:off x="0" y="0"/>
                            <a:ext cx="2865706" cy="1352752"/>
                          </a:xfrm>
                          <a:prstGeom prst="rect">
                            <a:avLst/>
                          </a:prstGeom>
                        </pic:spPr>
                      </pic:pic>
                    </a:graphicData>
                  </a:graphic>
                </wp:inline>
              </w:drawing>
            </w:r>
          </w:p>
        </w:tc>
        <w:tc>
          <w:tcPr>
            <w:tcW w:w="4482" w:type="dxa"/>
            <w:tcBorders>
              <w:top w:val="nil"/>
              <w:left w:val="nil"/>
              <w:bottom w:val="nil"/>
              <w:right w:val="nil"/>
            </w:tcBorders>
          </w:tcPr>
          <w:p w14:paraId="55F98DBB" w14:textId="77777777" w:rsidR="00E049CB" w:rsidRPr="005E6B7C" w:rsidRDefault="00E049CB" w:rsidP="008C0D47">
            <w:pPr>
              <w:tabs>
                <w:tab w:val="left" w:pos="270"/>
                <w:tab w:val="left" w:pos="540"/>
                <w:tab w:val="left" w:pos="9270"/>
              </w:tabs>
              <w:suppressAutoHyphens w:val="0"/>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2ED04A97" wp14:editId="07CA49AB">
                  <wp:extent cx="2794000" cy="1358186"/>
                  <wp:effectExtent l="0" t="0" r="6350" b="0"/>
                  <wp:docPr id="4992978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86">
                            <a:extLst>
                              <a:ext uri="{BEBA8EAE-BF5A-486C-A8C5-ECC9F3942E4B}">
                                <a14:imgProps xmlns:a14="http://schemas.microsoft.com/office/drawing/2010/main">
                                  <a14:imgLayer r:embed="rId87">
                                    <a14:imgEffect>
                                      <a14:saturation sat="0"/>
                                    </a14:imgEffect>
                                  </a14:imgLayer>
                                </a14:imgProps>
                              </a:ext>
                            </a:extLst>
                          </a:blip>
                          <a:stretch>
                            <a:fillRect/>
                          </a:stretch>
                        </pic:blipFill>
                        <pic:spPr bwMode="auto">
                          <a:xfrm>
                            <a:off x="0" y="0"/>
                            <a:ext cx="2793379" cy="1357884"/>
                          </a:xfrm>
                          <a:prstGeom prst="rect">
                            <a:avLst/>
                          </a:prstGeom>
                        </pic:spPr>
                      </pic:pic>
                    </a:graphicData>
                  </a:graphic>
                </wp:inline>
              </w:drawing>
            </w:r>
          </w:p>
        </w:tc>
      </w:tr>
    </w:tbl>
    <w:p w14:paraId="7C2BC9D4"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i/>
          <w:iCs/>
          <w:color w:val="000000" w:themeColor="text1"/>
          <w:sz w:val="18"/>
          <w:szCs w:val="18"/>
          <w:lang w:val="vi-VN"/>
        </w:rPr>
      </w:pPr>
      <w:r w:rsidRPr="005E6B7C">
        <w:rPr>
          <w:rFonts w:asciiTheme="majorHAnsi" w:eastAsia="Calibri" w:hAnsiTheme="majorHAnsi" w:cstheme="majorHAnsi"/>
          <w:b/>
          <w:iCs/>
          <w:color w:val="000000" w:themeColor="text1"/>
          <w:sz w:val="18"/>
          <w:szCs w:val="18"/>
          <w:lang w:val="vi-VN"/>
        </w:rPr>
        <w:t xml:space="preserve">Fig. </w:t>
      </w:r>
      <w:r w:rsidR="00E049CB" w:rsidRPr="005E6B7C">
        <w:rPr>
          <w:rFonts w:asciiTheme="majorHAnsi" w:eastAsia="Calibri" w:hAnsiTheme="majorHAnsi" w:cstheme="majorHAnsi"/>
          <w:b/>
          <w:iCs/>
          <w:color w:val="000000" w:themeColor="text1"/>
          <w:sz w:val="18"/>
          <w:szCs w:val="18"/>
          <w:lang w:val="vi-VN"/>
        </w:rPr>
        <w:t>2.</w:t>
      </w:r>
      <w:r w:rsidR="00E049CB" w:rsidRPr="005E6B7C">
        <w:rPr>
          <w:rFonts w:asciiTheme="majorHAnsi" w:eastAsia="Calibri" w:hAnsiTheme="majorHAnsi" w:cstheme="majorHAnsi"/>
          <w:i/>
          <w:iCs/>
          <w:color w:val="000000" w:themeColor="text1"/>
          <w:sz w:val="18"/>
          <w:szCs w:val="18"/>
          <w:lang w:val="vi-VN"/>
        </w:rPr>
        <w:t xml:space="preserve"> </w:t>
      </w:r>
      <w:r w:rsidR="00E049CB" w:rsidRPr="005E6B7C">
        <w:rPr>
          <w:rFonts w:asciiTheme="majorHAnsi" w:eastAsia="Calibri" w:hAnsiTheme="majorHAnsi" w:cstheme="majorHAnsi"/>
          <w:bCs/>
          <w:iCs/>
          <w:color w:val="000000" w:themeColor="text1"/>
          <w:sz w:val="18"/>
          <w:szCs w:val="18"/>
          <w:lang w:val="vi-VN"/>
        </w:rPr>
        <w:t>Results of testing sample loading volumes</w:t>
      </w:r>
    </w:p>
    <w:p w14:paraId="36EAD263" w14:textId="77777777" w:rsidR="00AD6EEB" w:rsidRPr="005E6B7C" w:rsidRDefault="00AD6EEB" w:rsidP="008C0D47">
      <w:pPr>
        <w:tabs>
          <w:tab w:val="left" w:pos="270"/>
          <w:tab w:val="left" w:pos="540"/>
          <w:tab w:val="left" w:pos="709"/>
          <w:tab w:val="left" w:pos="9270"/>
        </w:tabs>
        <w:ind w:right="-20" w:firstLine="284"/>
        <w:jc w:val="both"/>
        <w:outlineLvl w:val="2"/>
        <w:rPr>
          <w:rFonts w:asciiTheme="majorHAnsi" w:eastAsia="Yu Mincho" w:hAnsiTheme="majorHAnsi" w:cstheme="majorHAnsi"/>
          <w:color w:val="000000" w:themeColor="text1"/>
          <w:sz w:val="22"/>
          <w:szCs w:val="22"/>
          <w:lang w:eastAsia="ja-JP"/>
        </w:rPr>
      </w:pPr>
      <w:bookmarkStart w:id="28" w:name="_Toc184127178"/>
      <w:bookmarkEnd w:id="28"/>
    </w:p>
    <w:p w14:paraId="6995E9EB" w14:textId="77777777" w:rsidR="000F51CE" w:rsidRPr="005E6B7C" w:rsidRDefault="000F51CE" w:rsidP="008C0D47">
      <w:pPr>
        <w:tabs>
          <w:tab w:val="left" w:pos="270"/>
          <w:tab w:val="left" w:pos="540"/>
          <w:tab w:val="left" w:pos="709"/>
          <w:tab w:val="left" w:pos="9270"/>
        </w:tabs>
        <w:spacing w:line="240" w:lineRule="exact"/>
        <w:ind w:firstLine="284"/>
        <w:jc w:val="both"/>
        <w:outlineLvl w:val="2"/>
        <w:rPr>
          <w:rFonts w:asciiTheme="majorHAnsi" w:eastAsia="Yu Mincho" w:hAnsiTheme="majorHAnsi" w:cstheme="majorHAnsi"/>
          <w:color w:val="000000" w:themeColor="text1"/>
          <w:sz w:val="22"/>
          <w:szCs w:val="22"/>
          <w:lang w:val="vi-VN" w:eastAsia="ja-JP"/>
        </w:rPr>
        <w:sectPr w:rsidR="000F51CE" w:rsidRPr="005E6B7C" w:rsidSect="002206BB">
          <w:type w:val="continuous"/>
          <w:pgSz w:w="10773" w:h="15309" w:code="9"/>
          <w:pgMar w:top="907" w:right="851" w:bottom="1418" w:left="851" w:header="397" w:footer="851" w:gutter="0"/>
          <w:cols w:space="284"/>
          <w:docGrid w:linePitch="360"/>
        </w:sectPr>
      </w:pPr>
    </w:p>
    <w:p w14:paraId="373BC0ED" w14:textId="1BE74BF1" w:rsidR="00E049CB" w:rsidRPr="005E6B7C" w:rsidRDefault="00E049CB" w:rsidP="008C0D47">
      <w:pPr>
        <w:tabs>
          <w:tab w:val="left" w:pos="270"/>
          <w:tab w:val="left" w:pos="540"/>
          <w:tab w:val="left" w:pos="709"/>
          <w:tab w:val="left" w:pos="9270"/>
        </w:tabs>
        <w:spacing w:line="240" w:lineRule="exact"/>
        <w:ind w:firstLine="284"/>
        <w:jc w:val="both"/>
        <w:outlineLvl w:val="2"/>
        <w:rPr>
          <w:rFonts w:asciiTheme="majorHAnsi" w:eastAsia="Times New Roman" w:hAnsiTheme="majorHAnsi" w:cstheme="majorHAnsi"/>
          <w:b/>
          <w: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val="vi-VN" w:eastAsia="ja-JP"/>
        </w:rPr>
        <w:t>The sample injection volume is proportional to the received peak signal. The peaks are asymmetrical, and the spot width (ΔR</w:t>
      </w:r>
      <w:r w:rsidRPr="005E6B7C">
        <w:rPr>
          <w:rFonts w:asciiTheme="majorHAnsi" w:eastAsia="Yu Mincho" w:hAnsiTheme="majorHAnsi" w:cstheme="majorHAnsi"/>
          <w:color w:val="000000" w:themeColor="text1"/>
          <w:spacing w:val="-6"/>
          <w:sz w:val="22"/>
          <w:szCs w:val="22"/>
          <w:vertAlign w:val="subscript"/>
          <w:lang w:val="vi-VN" w:eastAsia="ja-JP"/>
        </w:rPr>
        <w:t>f</w:t>
      </w:r>
      <w:r w:rsidRPr="005E6B7C">
        <w:rPr>
          <w:rFonts w:asciiTheme="majorHAnsi" w:eastAsia="Yu Mincho" w:hAnsiTheme="majorHAnsi" w:cstheme="majorHAnsi"/>
          <w:color w:val="000000" w:themeColor="text1"/>
          <w:spacing w:val="-6"/>
          <w:sz w:val="22"/>
          <w:szCs w:val="22"/>
          <w:lang w:val="vi-VN" w:eastAsia="ja-JP"/>
        </w:rPr>
        <w:t xml:space="preserve">) is very large, affecting the analysis process when sample loading volumes are above 20 </w:t>
      </w:r>
      <w:r w:rsidR="00266B26" w:rsidRPr="005E6B7C">
        <w:rPr>
          <w:rFonts w:asciiTheme="majorHAnsi" w:eastAsia="Yu Mincho" w:hAnsiTheme="majorHAnsi" w:cstheme="majorHAnsi"/>
          <w:i/>
          <w:iCs/>
          <w:color w:val="000000" w:themeColor="text1"/>
          <w:spacing w:val="-6"/>
          <w:sz w:val="22"/>
          <w:szCs w:val="22"/>
          <w:lang w:val="vi-VN" w:eastAsia="ja-JP"/>
        </w:rPr>
        <w:t>µ</w:t>
      </w:r>
      <w:r w:rsidRPr="005E6B7C">
        <w:rPr>
          <w:rFonts w:asciiTheme="majorHAnsi" w:eastAsia="Yu Mincho" w:hAnsiTheme="majorHAnsi" w:cstheme="majorHAnsi"/>
          <w:color w:val="000000" w:themeColor="text1"/>
          <w:spacing w:val="-6"/>
          <w:sz w:val="22"/>
          <w:szCs w:val="22"/>
          <w:lang w:val="vi-VN" w:eastAsia="ja-JP"/>
        </w:rPr>
        <w:t xml:space="preserve">L. Therefore, the sample loading volume is about </w:t>
      </w:r>
      <w:r w:rsidRPr="005E6B7C">
        <w:rPr>
          <w:rFonts w:asciiTheme="majorHAnsi" w:eastAsia="Yu Mincho" w:hAnsiTheme="majorHAnsi" w:cstheme="majorHAnsi"/>
          <w:color w:val="EE0000"/>
          <w:spacing w:val="-6"/>
          <w:sz w:val="22"/>
          <w:szCs w:val="22"/>
          <w:lang w:val="vi-VN" w:eastAsia="ja-JP"/>
        </w:rPr>
        <w:t>10</w:t>
      </w:r>
      <w:r w:rsidR="001D5000" w:rsidRPr="005E6B7C">
        <w:rPr>
          <w:rFonts w:asciiTheme="majorHAnsi" w:eastAsia="Yu Mincho" w:hAnsiTheme="majorHAnsi" w:cstheme="majorHAnsi"/>
          <w:color w:val="EE0000"/>
          <w:spacing w:val="-6"/>
          <w:sz w:val="22"/>
          <w:szCs w:val="22"/>
          <w:lang w:val="vi-VN" w:eastAsia="ja-JP"/>
        </w:rPr>
        <w:t xml:space="preserve"> </w:t>
      </w:r>
      <w:r w:rsidR="00266B26" w:rsidRPr="005E6B7C">
        <w:rPr>
          <w:rFonts w:asciiTheme="majorHAnsi" w:eastAsia="Yu Mincho" w:hAnsiTheme="majorHAnsi" w:cstheme="majorHAnsi"/>
          <w:i/>
          <w:iCs/>
          <w:color w:val="EE0000"/>
          <w:spacing w:val="-6"/>
          <w:sz w:val="22"/>
          <w:szCs w:val="22"/>
          <w:lang w:eastAsia="ja-JP"/>
        </w:rPr>
        <w:t>µ</w:t>
      </w:r>
      <w:r w:rsidR="001D5000" w:rsidRPr="005E6B7C">
        <w:rPr>
          <w:rFonts w:asciiTheme="majorHAnsi" w:eastAsia="Yu Mincho" w:hAnsiTheme="majorHAnsi" w:cstheme="majorHAnsi"/>
          <w:color w:val="EE0000"/>
          <w:spacing w:val="-6"/>
          <w:sz w:val="22"/>
          <w:szCs w:val="22"/>
          <w:lang w:eastAsia="ja-JP"/>
        </w:rPr>
        <w:t>L</w:t>
      </w:r>
      <w:r w:rsidRPr="005E6B7C">
        <w:rPr>
          <w:rFonts w:asciiTheme="majorHAnsi" w:eastAsia="Yu Mincho" w:hAnsiTheme="majorHAnsi" w:cstheme="majorHAnsi"/>
          <w:color w:val="000000" w:themeColor="text1"/>
          <w:spacing w:val="-6"/>
          <w:sz w:val="22"/>
          <w:szCs w:val="22"/>
          <w:lang w:val="vi-VN" w:eastAsia="ja-JP"/>
        </w:rPr>
        <w:t xml:space="preserve">, which is suitable for the method. In this study, a sample loading volume of 10 </w:t>
      </w:r>
      <w:r w:rsidR="00266B26" w:rsidRPr="005E6B7C">
        <w:rPr>
          <w:rFonts w:asciiTheme="majorHAnsi" w:eastAsia="Yu Mincho" w:hAnsiTheme="majorHAnsi" w:cstheme="majorHAnsi"/>
          <w:i/>
          <w:iCs/>
          <w:color w:val="000000" w:themeColor="text1"/>
          <w:spacing w:val="-6"/>
          <w:sz w:val="22"/>
          <w:szCs w:val="22"/>
          <w:lang w:val="vi-VN" w:eastAsia="ja-JP"/>
        </w:rPr>
        <w:t>µ</w:t>
      </w:r>
      <w:r w:rsidRPr="005E6B7C">
        <w:rPr>
          <w:rFonts w:asciiTheme="majorHAnsi" w:eastAsia="Yu Mincho" w:hAnsiTheme="majorHAnsi" w:cstheme="majorHAnsi"/>
          <w:color w:val="000000" w:themeColor="text1"/>
          <w:spacing w:val="-6"/>
          <w:sz w:val="22"/>
          <w:szCs w:val="22"/>
          <w:lang w:val="vi-VN" w:eastAsia="ja-JP"/>
        </w:rPr>
        <w:t>L was selected for the next steps.</w:t>
      </w:r>
      <w:bookmarkStart w:id="29" w:name="_Toc184117837"/>
      <w:bookmarkStart w:id="30" w:name="_Toc194573021"/>
      <w:bookmarkStart w:id="31" w:name="_Toc194573173"/>
      <w:bookmarkStart w:id="32" w:name="_Toc198177448"/>
      <w:bookmarkStart w:id="33" w:name="_Toc194583187"/>
      <w:bookmarkStart w:id="34" w:name="_Toc194680282"/>
      <w:bookmarkEnd w:id="29"/>
      <w:bookmarkEnd w:id="30"/>
      <w:bookmarkEnd w:id="31"/>
      <w:bookmarkEnd w:id="32"/>
      <w:bookmarkEnd w:id="33"/>
      <w:bookmarkEnd w:id="34"/>
    </w:p>
    <w:p w14:paraId="0A6514CD"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Times New Roman" w:hAnsiTheme="majorHAnsi" w:cstheme="majorHAnsi"/>
          <w:bCs/>
          <w:i/>
          <w:color w:val="000000" w:themeColor="text1"/>
          <w:sz w:val="22"/>
          <w:szCs w:val="22"/>
          <w:lang w:eastAsia="ja-JP"/>
        </w:rPr>
      </w:pPr>
      <w:r w:rsidRPr="005E6B7C">
        <w:rPr>
          <w:rFonts w:asciiTheme="majorHAnsi" w:eastAsia="Times New Roman" w:hAnsiTheme="majorHAnsi" w:cstheme="majorHAnsi"/>
          <w:bCs/>
          <w:i/>
          <w:color w:val="000000" w:themeColor="text1"/>
          <w:sz w:val="22"/>
          <w:szCs w:val="22"/>
          <w:lang w:eastAsia="ja-JP"/>
        </w:rPr>
        <w:t>3.2. Method validation</w:t>
      </w:r>
    </w:p>
    <w:p w14:paraId="62DBA1A3"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3.2.1. Specificity:</w:t>
      </w:r>
    </w:p>
    <w:p w14:paraId="1ED4C7A7" w14:textId="736696A7" w:rsidR="000F51CE" w:rsidRPr="005E6B7C" w:rsidRDefault="00E049CB" w:rsidP="008C0D47">
      <w:pPr>
        <w:tabs>
          <w:tab w:val="left" w:pos="270"/>
          <w:tab w:val="left" w:pos="540"/>
          <w:tab w:val="left" w:pos="9270"/>
        </w:tabs>
        <w:spacing w:line="260" w:lineRule="exact"/>
        <w:ind w:firstLine="284"/>
        <w:jc w:val="both"/>
        <w:rPr>
          <w:rFonts w:asciiTheme="majorHAnsi" w:eastAsia="Times New Roman" w:hAnsiTheme="majorHAnsi" w:cstheme="majorHAnsi"/>
          <w:color w:val="000000" w:themeColor="text1"/>
          <w:sz w:val="22"/>
          <w:szCs w:val="22"/>
          <w:lang w:val="pt-BR" w:eastAsia="ja-JP"/>
        </w:rPr>
      </w:pPr>
      <w:r w:rsidRPr="005E6B7C">
        <w:rPr>
          <w:rFonts w:asciiTheme="majorHAnsi" w:eastAsia="Times New Roman" w:hAnsiTheme="majorHAnsi" w:cstheme="majorHAnsi"/>
          <w:color w:val="000000" w:themeColor="text1"/>
          <w:sz w:val="22"/>
          <w:szCs w:val="22"/>
          <w:lang w:eastAsia="ja-JP"/>
        </w:rPr>
        <w:t>To evaluate the specificity of the method, conduct chromatography of blank sample</w:t>
      </w:r>
      <w:r w:rsidRPr="005E6B7C">
        <w:rPr>
          <w:rFonts w:asciiTheme="majorHAnsi" w:eastAsia="Calibri" w:hAnsiTheme="majorHAnsi" w:cstheme="majorHAnsi"/>
          <w:iCs/>
          <w:color w:val="000000" w:themeColor="text1"/>
          <w:sz w:val="22"/>
          <w:szCs w:val="22"/>
          <w:lang w:eastAsia="ja-JP"/>
        </w:rPr>
        <w:t xml:space="preserve">, lycopene and </w:t>
      </w:r>
      <w:r w:rsidRPr="005E6B7C">
        <w:rPr>
          <w:rFonts w:asciiTheme="majorHAnsi" w:eastAsia="Calibri" w:hAnsiTheme="majorHAnsi" w:cstheme="majorHAnsi"/>
          <w:i/>
          <w:iCs/>
          <w:color w:val="000000" w:themeColor="text1"/>
          <w:sz w:val="22"/>
          <w:szCs w:val="22"/>
          <w:lang w:eastAsia="ja-JP"/>
        </w:rPr>
        <w:t>β</w:t>
      </w:r>
      <w:r w:rsidRPr="005E6B7C">
        <w:rPr>
          <w:rFonts w:asciiTheme="majorHAnsi" w:eastAsia="Calibri" w:hAnsiTheme="majorHAnsi" w:cstheme="majorHAnsi"/>
          <w:iCs/>
          <w:color w:val="000000" w:themeColor="text1"/>
          <w:sz w:val="22"/>
          <w:szCs w:val="22"/>
          <w:lang w:eastAsia="ja-JP"/>
        </w:rPr>
        <w:t xml:space="preserve">-carotene standard, and </w:t>
      </w:r>
      <w:r w:rsidR="008C0D47" w:rsidRPr="005E6B7C">
        <w:rPr>
          <w:rFonts w:asciiTheme="majorHAnsi" w:eastAsia="Calibri" w:hAnsiTheme="majorHAnsi" w:cstheme="majorHAnsi"/>
          <w:iCs/>
          <w:color w:val="000000" w:themeColor="text1"/>
          <w:sz w:val="22"/>
          <w:szCs w:val="22"/>
          <w:lang w:eastAsia="ja-JP"/>
        </w:rPr>
        <w:t>G</w:t>
      </w:r>
      <w:r w:rsidRPr="005E6B7C">
        <w:rPr>
          <w:rFonts w:asciiTheme="majorHAnsi" w:eastAsia="Calibri" w:hAnsiTheme="majorHAnsi" w:cstheme="majorHAnsi"/>
          <w:iCs/>
          <w:color w:val="000000" w:themeColor="text1"/>
          <w:sz w:val="22"/>
          <w:szCs w:val="22"/>
          <w:lang w:eastAsia="ja-JP"/>
        </w:rPr>
        <w:t>ac seed aril</w:t>
      </w:r>
      <w:r w:rsidRPr="005E6B7C">
        <w:rPr>
          <w:rFonts w:asciiTheme="majorHAnsi" w:eastAsia="Times New Roman" w:hAnsiTheme="majorHAnsi" w:cstheme="majorHAnsi"/>
          <w:color w:val="000000" w:themeColor="text1"/>
          <w:sz w:val="22"/>
          <w:szCs w:val="22"/>
          <w:lang w:eastAsia="ja-JP"/>
        </w:rPr>
        <w:t xml:space="preserve"> sample solutions. </w:t>
      </w:r>
      <w:r w:rsidRPr="005E6B7C">
        <w:rPr>
          <w:rFonts w:asciiTheme="majorHAnsi" w:eastAsia="Times New Roman" w:hAnsiTheme="majorHAnsi" w:cstheme="majorHAnsi"/>
          <w:color w:val="000000" w:themeColor="text1"/>
          <w:sz w:val="22"/>
          <w:szCs w:val="22"/>
          <w:lang w:val="pt-BR" w:eastAsia="ja-JP"/>
        </w:rPr>
        <w:t>The results are presented in Figures 3 and 4.</w:t>
      </w:r>
    </w:p>
    <w:p w14:paraId="63FC188C"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val="pt-BR" w:eastAsia="ja-JP"/>
        </w:rPr>
        <w:sectPr w:rsidR="000F51CE" w:rsidRPr="005E6B7C" w:rsidSect="000F51CE">
          <w:type w:val="continuous"/>
          <w:pgSz w:w="10773" w:h="15309" w:code="9"/>
          <w:pgMar w:top="907" w:right="851" w:bottom="1418" w:left="851" w:header="397" w:footer="851" w:gutter="0"/>
          <w:cols w:num="2" w:space="284"/>
          <w:docGrid w:linePitch="360"/>
        </w:sectPr>
      </w:pPr>
    </w:p>
    <w:p w14:paraId="5946AC9E" w14:textId="77777777" w:rsidR="00AD6EEB" w:rsidRPr="005E6B7C" w:rsidRDefault="00AD6EE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tbl>
      <w:tblPr>
        <w:tblStyle w:val="TableGrid61"/>
        <w:tblW w:w="9027" w:type="dxa"/>
        <w:jc w:val="center"/>
        <w:tblLook w:val="04A0" w:firstRow="1" w:lastRow="0" w:firstColumn="1" w:lastColumn="0" w:noHBand="0" w:noVBand="1"/>
      </w:tblPr>
      <w:tblGrid>
        <w:gridCol w:w="3052"/>
        <w:gridCol w:w="3004"/>
        <w:gridCol w:w="2971"/>
      </w:tblGrid>
      <w:tr w:rsidR="00573010" w:rsidRPr="005E6B7C" w14:paraId="250F952E" w14:textId="77777777" w:rsidTr="00AD6EEB">
        <w:trPr>
          <w:jc w:val="center"/>
        </w:trPr>
        <w:tc>
          <w:tcPr>
            <w:tcW w:w="3052" w:type="dxa"/>
            <w:tcBorders>
              <w:top w:val="nil"/>
              <w:left w:val="nil"/>
              <w:bottom w:val="nil"/>
              <w:right w:val="nil"/>
            </w:tcBorders>
          </w:tcPr>
          <w:p w14:paraId="0759099C"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18"/>
                <w:szCs w:val="18"/>
                <w:lang w:val="pt-BR" w:eastAsia="ja-JP"/>
              </w:rPr>
            </w:pPr>
            <w:r w:rsidRPr="005E6B7C">
              <w:rPr>
                <w:rFonts w:asciiTheme="majorHAnsi" w:eastAsia="Yu Mincho" w:hAnsiTheme="majorHAnsi" w:cstheme="majorHAnsi"/>
                <w:noProof/>
                <w:color w:val="000000" w:themeColor="text1"/>
                <w:sz w:val="18"/>
                <w:szCs w:val="18"/>
              </w:rPr>
              <w:drawing>
                <wp:inline distT="0" distB="0" distL="0" distR="0" wp14:anchorId="7678CB2F" wp14:editId="1317AE68">
                  <wp:extent cx="1654896" cy="919984"/>
                  <wp:effectExtent l="0" t="0" r="2540" b="0"/>
                  <wp:docPr id="7551184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88">
                            <a:extLst>
                              <a:ext uri="{BEBA8EAE-BF5A-486C-A8C5-ECC9F3942E4B}">
                                <a14:imgProps xmlns:a14="http://schemas.microsoft.com/office/drawing/2010/main">
                                  <a14:imgLayer r:embed="rId89">
                                    <a14:imgEffect>
                                      <a14:saturation sat="0"/>
                                    </a14:imgEffect>
                                  </a14:imgLayer>
                                </a14:imgProps>
                              </a:ext>
                            </a:extLst>
                          </a:blip>
                          <a:stretch>
                            <a:fillRect/>
                          </a:stretch>
                        </pic:blipFill>
                        <pic:spPr bwMode="auto">
                          <a:xfrm>
                            <a:off x="0" y="0"/>
                            <a:ext cx="1658646" cy="922069"/>
                          </a:xfrm>
                          <a:prstGeom prst="rect">
                            <a:avLst/>
                          </a:prstGeom>
                        </pic:spPr>
                      </pic:pic>
                    </a:graphicData>
                  </a:graphic>
                </wp:inline>
              </w:drawing>
            </w:r>
          </w:p>
        </w:tc>
        <w:tc>
          <w:tcPr>
            <w:tcW w:w="3004" w:type="dxa"/>
            <w:tcBorders>
              <w:top w:val="nil"/>
              <w:left w:val="nil"/>
              <w:bottom w:val="nil"/>
              <w:right w:val="nil"/>
            </w:tcBorders>
          </w:tcPr>
          <w:p w14:paraId="7DD261D6" w14:textId="77777777" w:rsidR="00E049CB" w:rsidRPr="005E6B7C" w:rsidRDefault="00E049CB" w:rsidP="008C0D47">
            <w:pPr>
              <w:tabs>
                <w:tab w:val="left" w:pos="270"/>
                <w:tab w:val="left" w:pos="540"/>
                <w:tab w:val="left" w:pos="9270"/>
              </w:tabs>
              <w:suppressAutoHyphens w:val="0"/>
              <w:ind w:right="-20"/>
              <w:jc w:val="center"/>
              <w:rPr>
                <w:rFonts w:asciiTheme="majorHAnsi" w:eastAsia="Yu Mincho" w:hAnsiTheme="majorHAnsi" w:cstheme="majorHAnsi"/>
                <w:color w:val="000000" w:themeColor="text1"/>
                <w:sz w:val="18"/>
                <w:szCs w:val="18"/>
                <w:lang w:val="pt-BR" w:eastAsia="ja-JP"/>
              </w:rPr>
            </w:pPr>
            <w:r w:rsidRPr="005E6B7C">
              <w:rPr>
                <w:rFonts w:asciiTheme="majorHAnsi" w:eastAsia="Yu Mincho" w:hAnsiTheme="majorHAnsi" w:cstheme="majorHAnsi"/>
                <w:noProof/>
                <w:color w:val="000000" w:themeColor="text1"/>
                <w:sz w:val="18"/>
                <w:szCs w:val="18"/>
              </w:rPr>
              <w:drawing>
                <wp:inline distT="0" distB="0" distL="0" distR="0" wp14:anchorId="0E8A87A7" wp14:editId="7382CA29">
                  <wp:extent cx="1649091" cy="917188"/>
                  <wp:effectExtent l="0" t="0" r="8890" b="0"/>
                  <wp:docPr id="15148090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90">
                            <a:extLst>
                              <a:ext uri="{BEBA8EAE-BF5A-486C-A8C5-ECC9F3942E4B}">
                                <a14:imgProps xmlns:a14="http://schemas.microsoft.com/office/drawing/2010/main">
                                  <a14:imgLayer r:embed="rId91">
                                    <a14:imgEffect>
                                      <a14:saturation sat="0"/>
                                    </a14:imgEffect>
                                  </a14:imgLayer>
                                </a14:imgProps>
                              </a:ext>
                            </a:extLst>
                          </a:blip>
                          <a:stretch>
                            <a:fillRect/>
                          </a:stretch>
                        </pic:blipFill>
                        <pic:spPr bwMode="auto">
                          <a:xfrm>
                            <a:off x="0" y="0"/>
                            <a:ext cx="1649268" cy="917286"/>
                          </a:xfrm>
                          <a:prstGeom prst="rect">
                            <a:avLst/>
                          </a:prstGeom>
                        </pic:spPr>
                      </pic:pic>
                    </a:graphicData>
                  </a:graphic>
                </wp:inline>
              </w:drawing>
            </w:r>
          </w:p>
        </w:tc>
        <w:tc>
          <w:tcPr>
            <w:tcW w:w="2971" w:type="dxa"/>
            <w:tcBorders>
              <w:top w:val="nil"/>
              <w:left w:val="nil"/>
              <w:bottom w:val="nil"/>
              <w:right w:val="nil"/>
            </w:tcBorders>
          </w:tcPr>
          <w:p w14:paraId="0B00497A" w14:textId="77777777" w:rsidR="00E049CB" w:rsidRPr="005E6B7C" w:rsidRDefault="00E049CB" w:rsidP="008C0D47">
            <w:pPr>
              <w:tabs>
                <w:tab w:val="left" w:pos="270"/>
                <w:tab w:val="left" w:pos="9270"/>
              </w:tabs>
              <w:suppressAutoHyphens w:val="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rPr>
              <w:drawing>
                <wp:inline distT="0" distB="0" distL="0" distR="0" wp14:anchorId="7B928572" wp14:editId="3F165EAD">
                  <wp:extent cx="1666115" cy="933046"/>
                  <wp:effectExtent l="0" t="0" r="0" b="635"/>
                  <wp:docPr id="722616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92">
                            <a:extLst>
                              <a:ext uri="{BEBA8EAE-BF5A-486C-A8C5-ECC9F3942E4B}">
                                <a14:imgProps xmlns:a14="http://schemas.microsoft.com/office/drawing/2010/main">
                                  <a14:imgLayer r:embed="rId93">
                                    <a14:imgEffect>
                                      <a14:saturation sat="0"/>
                                    </a14:imgEffect>
                                  </a14:imgLayer>
                                </a14:imgProps>
                              </a:ext>
                            </a:extLst>
                          </a:blip>
                          <a:stretch>
                            <a:fillRect/>
                          </a:stretch>
                        </pic:blipFill>
                        <pic:spPr bwMode="auto">
                          <a:xfrm>
                            <a:off x="0" y="0"/>
                            <a:ext cx="1668892" cy="934601"/>
                          </a:xfrm>
                          <a:prstGeom prst="rect">
                            <a:avLst/>
                          </a:prstGeom>
                        </pic:spPr>
                      </pic:pic>
                    </a:graphicData>
                  </a:graphic>
                </wp:inline>
              </w:drawing>
            </w:r>
          </w:p>
        </w:tc>
      </w:tr>
      <w:tr w:rsidR="00573010" w:rsidRPr="005E6B7C" w14:paraId="49335D9C" w14:textId="77777777" w:rsidTr="00AD6EEB">
        <w:trPr>
          <w:trHeight w:val="237"/>
          <w:jc w:val="center"/>
        </w:trPr>
        <w:tc>
          <w:tcPr>
            <w:tcW w:w="3052" w:type="dxa"/>
            <w:tcBorders>
              <w:top w:val="nil"/>
              <w:left w:val="nil"/>
              <w:bottom w:val="nil"/>
              <w:right w:val="nil"/>
            </w:tcBorders>
          </w:tcPr>
          <w:p w14:paraId="61DAC09A" w14:textId="77777777" w:rsidR="00E049CB" w:rsidRPr="005E6B7C" w:rsidRDefault="00E049CB" w:rsidP="008C0D47">
            <w:pPr>
              <w:tabs>
                <w:tab w:val="left" w:pos="270"/>
                <w:tab w:val="left" w:pos="540"/>
                <w:tab w:val="left" w:pos="9270"/>
              </w:tabs>
              <w:suppressAutoHyphens w:val="0"/>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Calibri" w:hAnsiTheme="majorHAnsi" w:cstheme="majorHAnsi"/>
                <w:iCs/>
                <w:color w:val="000000" w:themeColor="text1"/>
                <w:sz w:val="18"/>
                <w:szCs w:val="18"/>
                <w:lang w:eastAsia="ja-JP"/>
              </w:rPr>
              <w:t>Mixed sample of lycopene and β-carotene standard</w:t>
            </w:r>
          </w:p>
        </w:tc>
        <w:tc>
          <w:tcPr>
            <w:tcW w:w="3004" w:type="dxa"/>
            <w:tcBorders>
              <w:top w:val="nil"/>
              <w:left w:val="nil"/>
              <w:bottom w:val="nil"/>
              <w:right w:val="nil"/>
            </w:tcBorders>
          </w:tcPr>
          <w:p w14:paraId="201BCB4F" w14:textId="77777777" w:rsidR="00E049CB" w:rsidRPr="005E6B7C" w:rsidRDefault="00E049CB" w:rsidP="008C0D47">
            <w:pPr>
              <w:tabs>
                <w:tab w:val="left" w:pos="270"/>
                <w:tab w:val="left" w:pos="540"/>
                <w:tab w:val="left" w:pos="9270"/>
              </w:tabs>
              <w:suppressAutoHyphens w:val="0"/>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Calibri" w:hAnsiTheme="majorHAnsi" w:cstheme="majorHAnsi"/>
                <w:iCs/>
                <w:color w:val="000000" w:themeColor="text1"/>
                <w:sz w:val="18"/>
                <w:szCs w:val="18"/>
                <w:lang w:eastAsia="ja-JP"/>
              </w:rPr>
              <w:t>Gac seed aril</w:t>
            </w:r>
            <w:r w:rsidRPr="005E6B7C">
              <w:rPr>
                <w:rFonts w:asciiTheme="majorHAnsi" w:eastAsia="Times New Roman" w:hAnsiTheme="majorHAnsi" w:cstheme="majorHAnsi"/>
                <w:color w:val="000000" w:themeColor="text1"/>
                <w:sz w:val="18"/>
                <w:szCs w:val="18"/>
                <w:lang w:eastAsia="ja-JP"/>
              </w:rPr>
              <w:t xml:space="preserve"> sample solution</w:t>
            </w:r>
          </w:p>
        </w:tc>
        <w:tc>
          <w:tcPr>
            <w:tcW w:w="2971" w:type="dxa"/>
            <w:tcBorders>
              <w:top w:val="nil"/>
              <w:left w:val="nil"/>
              <w:bottom w:val="nil"/>
              <w:right w:val="nil"/>
            </w:tcBorders>
          </w:tcPr>
          <w:p w14:paraId="655356BC" w14:textId="77777777" w:rsidR="00E049CB" w:rsidRPr="005E6B7C" w:rsidRDefault="00E049CB" w:rsidP="008C0D47">
            <w:pPr>
              <w:tabs>
                <w:tab w:val="left" w:pos="270"/>
                <w:tab w:val="left" w:pos="540"/>
                <w:tab w:val="left" w:pos="9270"/>
              </w:tabs>
              <w:suppressAutoHyphens w:val="0"/>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val="pt-BR" w:eastAsia="ja-JP"/>
              </w:rPr>
              <w:t>Blank</w:t>
            </w:r>
            <w:r w:rsidRPr="005E6B7C">
              <w:rPr>
                <w:rFonts w:asciiTheme="majorHAnsi" w:eastAsia="Times New Roman" w:hAnsiTheme="majorHAnsi" w:cstheme="majorHAnsi"/>
                <w:color w:val="000000" w:themeColor="text1"/>
                <w:sz w:val="18"/>
                <w:szCs w:val="18"/>
                <w:lang w:eastAsia="ja-JP"/>
              </w:rPr>
              <w:t xml:space="preserve"> sample</w:t>
            </w:r>
          </w:p>
        </w:tc>
      </w:tr>
    </w:tbl>
    <w:p w14:paraId="529B186A"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Cs/>
          <w:iCs/>
          <w:color w:val="000000" w:themeColor="text1"/>
          <w:sz w:val="18"/>
          <w:szCs w:val="18"/>
          <w:lang w:val="vi-VN"/>
        </w:rPr>
      </w:pPr>
      <w:bookmarkStart w:id="35" w:name="_Toc1841271781"/>
      <w:bookmarkEnd w:id="35"/>
      <w:r w:rsidRPr="005E6B7C">
        <w:rPr>
          <w:rFonts w:asciiTheme="majorHAnsi" w:eastAsia="Calibri" w:hAnsiTheme="majorHAnsi" w:cstheme="majorHAnsi"/>
          <w:b/>
          <w:iCs/>
          <w:color w:val="000000" w:themeColor="text1"/>
          <w:sz w:val="18"/>
          <w:szCs w:val="18"/>
          <w:lang w:val="vi-VN"/>
        </w:rPr>
        <w:t xml:space="preserve">Fig. </w:t>
      </w:r>
      <w:r w:rsidR="00E049CB" w:rsidRPr="005E6B7C">
        <w:rPr>
          <w:rFonts w:asciiTheme="majorHAnsi" w:eastAsia="Calibri" w:hAnsiTheme="majorHAnsi" w:cstheme="majorHAnsi"/>
          <w:b/>
          <w:iCs/>
          <w:color w:val="000000" w:themeColor="text1"/>
          <w:sz w:val="18"/>
          <w:szCs w:val="18"/>
          <w:lang w:val="vi-VN"/>
        </w:rPr>
        <w:t>3.</w:t>
      </w:r>
      <w:r w:rsidR="00E049CB" w:rsidRPr="005E6B7C">
        <w:rPr>
          <w:rFonts w:asciiTheme="majorHAnsi" w:eastAsia="Calibri" w:hAnsiTheme="majorHAnsi" w:cstheme="majorHAnsi"/>
          <w:iCs/>
          <w:color w:val="000000" w:themeColor="text1"/>
          <w:sz w:val="18"/>
          <w:szCs w:val="18"/>
          <w:lang w:val="vi-VN"/>
        </w:rPr>
        <w:t xml:space="preserve"> </w:t>
      </w:r>
      <w:r w:rsidR="00E049CB" w:rsidRPr="005E6B7C">
        <w:rPr>
          <w:rFonts w:asciiTheme="majorHAnsi" w:eastAsia="Calibri" w:hAnsiTheme="majorHAnsi" w:cstheme="majorHAnsi"/>
          <w:bCs/>
          <w:iCs/>
          <w:color w:val="000000" w:themeColor="text1"/>
          <w:sz w:val="18"/>
          <w:szCs w:val="18"/>
          <w:lang w:val="vi-VN"/>
        </w:rPr>
        <w:t>TLC chromatogram to evaluate the specificity</w:t>
      </w:r>
    </w:p>
    <w:p w14:paraId="2304862F" w14:textId="77777777" w:rsidR="00E049CB" w:rsidRPr="005E6B7C" w:rsidRDefault="00E049CB" w:rsidP="008C0D47">
      <w:pPr>
        <w:tabs>
          <w:tab w:val="left" w:pos="270"/>
          <w:tab w:val="left" w:pos="540"/>
          <w:tab w:val="left" w:pos="9270"/>
        </w:tabs>
        <w:ind w:right="-20"/>
        <w:jc w:val="both"/>
        <w:rPr>
          <w:rFonts w:asciiTheme="majorHAnsi" w:eastAsia="Calibri" w:hAnsiTheme="majorHAnsi" w:cstheme="majorHAnsi"/>
          <w:i/>
          <w:iCs/>
          <w:color w:val="000000" w:themeColor="text1"/>
          <w:sz w:val="22"/>
          <w:szCs w:val="22"/>
          <w:lang w:val="vi-VN"/>
        </w:rPr>
      </w:pPr>
    </w:p>
    <w:tbl>
      <w:tblPr>
        <w:tblStyle w:val="TableGrid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049CB" w:rsidRPr="005E6B7C" w14:paraId="227699AD" w14:textId="77777777" w:rsidTr="00AD6EEB">
        <w:trPr>
          <w:jc w:val="center"/>
        </w:trPr>
        <w:tc>
          <w:tcPr>
            <w:tcW w:w="4508" w:type="dxa"/>
          </w:tcPr>
          <w:p w14:paraId="7F9C6D39" w14:textId="77777777" w:rsidR="00E049CB" w:rsidRPr="005E6B7C" w:rsidRDefault="00E049CB" w:rsidP="008C0D47">
            <w:pPr>
              <w:tabs>
                <w:tab w:val="left" w:pos="270"/>
                <w:tab w:val="left" w:pos="540"/>
                <w:tab w:val="left" w:pos="9270"/>
              </w:tabs>
              <w:ind w:right="-20"/>
              <w:jc w:val="center"/>
              <w:rPr>
                <w:rFonts w:asciiTheme="majorHAnsi" w:eastAsia="Calibri" w:hAnsiTheme="majorHAnsi" w:cstheme="majorHAnsi"/>
                <w:i/>
                <w:iCs/>
                <w:color w:val="000000" w:themeColor="text1"/>
                <w:sz w:val="22"/>
                <w:szCs w:val="22"/>
                <w:lang w:val="vi-VN"/>
              </w:rPr>
            </w:pPr>
            <w:r w:rsidRPr="005E6B7C">
              <w:rPr>
                <w:rFonts w:asciiTheme="majorHAnsi" w:eastAsia="Calibri" w:hAnsiTheme="majorHAnsi" w:cstheme="majorHAnsi"/>
                <w:i/>
                <w:iCs/>
                <w:noProof/>
                <w:color w:val="000000" w:themeColor="text1"/>
                <w:sz w:val="22"/>
                <w:szCs w:val="22"/>
              </w:rPr>
              <w:drawing>
                <wp:inline distT="0" distB="0" distL="0" distR="0" wp14:anchorId="583ADADA" wp14:editId="64EACC63">
                  <wp:extent cx="2447925" cy="1454400"/>
                  <wp:effectExtent l="0" t="0" r="0" b="0"/>
                  <wp:docPr id="1367809086" name="Picture 136780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4" cstate="print">
                            <a:extLst>
                              <a:ext uri="{BEBA8EAE-BF5A-486C-A8C5-ECC9F3942E4B}">
                                <a14:imgProps xmlns:a14="http://schemas.microsoft.com/office/drawing/2010/main">
                                  <a14:imgLayer r:embed="rId95">
                                    <a14:imgEffect>
                                      <a14:saturation sat="0"/>
                                    </a14:imgEffect>
                                  </a14:imgLayer>
                                </a14:imgProps>
                              </a:ext>
                              <a:ext uri="{28A0092B-C50C-407E-A947-70E740481C1C}">
                                <a14:useLocalDpi xmlns:a14="http://schemas.microsoft.com/office/drawing/2010/main" val="0"/>
                              </a:ext>
                            </a:extLst>
                          </a:blip>
                          <a:srcRect r="26771"/>
                          <a:stretch/>
                        </pic:blipFill>
                        <pic:spPr bwMode="auto">
                          <a:xfrm>
                            <a:off x="0" y="0"/>
                            <a:ext cx="2483463" cy="14755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2F170DBB" w14:textId="77777777" w:rsidR="00E049CB" w:rsidRPr="005E6B7C" w:rsidRDefault="00E049CB" w:rsidP="008C0D47">
            <w:pPr>
              <w:tabs>
                <w:tab w:val="left" w:pos="270"/>
                <w:tab w:val="left" w:pos="540"/>
                <w:tab w:val="left" w:pos="9270"/>
              </w:tabs>
              <w:ind w:right="-20"/>
              <w:jc w:val="center"/>
              <w:rPr>
                <w:rFonts w:asciiTheme="majorHAnsi" w:eastAsia="Calibri" w:hAnsiTheme="majorHAnsi" w:cstheme="majorHAnsi"/>
                <w:i/>
                <w:iCs/>
                <w:color w:val="000000" w:themeColor="text1"/>
                <w:sz w:val="22"/>
                <w:szCs w:val="22"/>
                <w:lang w:val="vi-VN"/>
              </w:rPr>
            </w:pPr>
            <w:r w:rsidRPr="005E6B7C">
              <w:rPr>
                <w:rFonts w:asciiTheme="majorHAnsi" w:eastAsia="Calibri" w:hAnsiTheme="majorHAnsi" w:cstheme="majorHAnsi"/>
                <w:i/>
                <w:iCs/>
                <w:noProof/>
                <w:color w:val="000000" w:themeColor="text1"/>
                <w:sz w:val="22"/>
                <w:szCs w:val="22"/>
              </w:rPr>
              <w:drawing>
                <wp:inline distT="0" distB="0" distL="0" distR="0" wp14:anchorId="1EAFE116" wp14:editId="5C5ACAC7">
                  <wp:extent cx="2494280" cy="1454150"/>
                  <wp:effectExtent l="0" t="0" r="1270" b="0"/>
                  <wp:docPr id="1312766723" name="Picture 131276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r="26109"/>
                          <a:stretch/>
                        </pic:blipFill>
                        <pic:spPr bwMode="auto">
                          <a:xfrm>
                            <a:off x="0" y="0"/>
                            <a:ext cx="2533575" cy="14770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49CB" w:rsidRPr="005E6B7C" w14:paraId="049EA9E8" w14:textId="77777777" w:rsidTr="00AD6EEB">
        <w:trPr>
          <w:jc w:val="center"/>
        </w:trPr>
        <w:tc>
          <w:tcPr>
            <w:tcW w:w="4508" w:type="dxa"/>
          </w:tcPr>
          <w:p w14:paraId="3AF2340D" w14:textId="77777777" w:rsidR="00E049CB" w:rsidRPr="005E6B7C" w:rsidRDefault="00E049CB" w:rsidP="008C0D47">
            <w:pPr>
              <w:tabs>
                <w:tab w:val="left" w:pos="270"/>
                <w:tab w:val="left" w:pos="540"/>
                <w:tab w:val="left" w:pos="9270"/>
              </w:tabs>
              <w:ind w:right="-20"/>
              <w:jc w:val="center"/>
              <w:rPr>
                <w:rFonts w:asciiTheme="majorHAnsi" w:eastAsia="Calibri" w:hAnsiTheme="majorHAnsi" w:cstheme="majorHAnsi"/>
                <w:i/>
                <w:iCs/>
                <w:color w:val="000000" w:themeColor="text1"/>
                <w:sz w:val="18"/>
                <w:szCs w:val="18"/>
                <w:lang w:val="vi-VN"/>
              </w:rPr>
            </w:pPr>
            <w:r w:rsidRPr="005E6B7C">
              <w:rPr>
                <w:rFonts w:asciiTheme="majorHAnsi" w:eastAsia="Yu Mincho" w:hAnsiTheme="majorHAnsi" w:cstheme="majorHAnsi"/>
                <w:i/>
                <w:iCs/>
                <w:color w:val="000000" w:themeColor="text1"/>
                <w:sz w:val="18"/>
                <w:szCs w:val="18"/>
              </w:rPr>
              <w:t>Lycopene</w:t>
            </w:r>
          </w:p>
        </w:tc>
        <w:tc>
          <w:tcPr>
            <w:tcW w:w="4508" w:type="dxa"/>
          </w:tcPr>
          <w:p w14:paraId="78C3A505" w14:textId="77777777" w:rsidR="00E049CB" w:rsidRPr="005E6B7C" w:rsidRDefault="00E049CB" w:rsidP="008C0D47">
            <w:pPr>
              <w:tabs>
                <w:tab w:val="left" w:pos="270"/>
                <w:tab w:val="left" w:pos="540"/>
                <w:tab w:val="left" w:pos="9270"/>
              </w:tabs>
              <w:ind w:right="-20"/>
              <w:jc w:val="center"/>
              <w:rPr>
                <w:rFonts w:asciiTheme="majorHAnsi" w:eastAsia="Calibri" w:hAnsiTheme="majorHAnsi" w:cstheme="majorHAnsi"/>
                <w:i/>
                <w:iCs/>
                <w:color w:val="000000" w:themeColor="text1"/>
                <w:sz w:val="18"/>
                <w:szCs w:val="18"/>
                <w:lang w:val="vi-VN"/>
              </w:rPr>
            </w:pPr>
            <w:r w:rsidRPr="005E6B7C">
              <w:rPr>
                <w:rFonts w:asciiTheme="majorHAnsi" w:eastAsia="Yu Mincho" w:hAnsiTheme="majorHAnsi" w:cstheme="majorHAnsi"/>
                <w:i/>
                <w:iCs/>
                <w:color w:val="000000" w:themeColor="text1"/>
                <w:sz w:val="18"/>
                <w:szCs w:val="18"/>
              </w:rPr>
              <w:t>β-Carotene</w:t>
            </w:r>
          </w:p>
        </w:tc>
      </w:tr>
    </w:tbl>
    <w:p w14:paraId="55E8CAC6"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Cs/>
          <w:iCs/>
          <w:color w:val="000000" w:themeColor="text1"/>
          <w:sz w:val="18"/>
          <w:szCs w:val="18"/>
        </w:rPr>
      </w:pPr>
      <w:r w:rsidRPr="005E6B7C">
        <w:rPr>
          <w:rFonts w:asciiTheme="majorHAnsi" w:eastAsia="Calibri" w:hAnsiTheme="majorHAnsi" w:cstheme="majorHAnsi"/>
          <w:b/>
          <w:iCs/>
          <w:color w:val="000000" w:themeColor="text1"/>
          <w:sz w:val="18"/>
          <w:szCs w:val="18"/>
          <w:lang w:val="vi-VN"/>
        </w:rPr>
        <w:t xml:space="preserve">Fig. </w:t>
      </w:r>
      <w:r w:rsidR="00E049CB" w:rsidRPr="005E6B7C">
        <w:rPr>
          <w:rFonts w:asciiTheme="majorHAnsi" w:eastAsia="Calibri" w:hAnsiTheme="majorHAnsi" w:cstheme="majorHAnsi"/>
          <w:b/>
          <w:iCs/>
          <w:color w:val="000000" w:themeColor="text1"/>
          <w:sz w:val="18"/>
          <w:szCs w:val="18"/>
        </w:rPr>
        <w:t>4</w:t>
      </w:r>
      <w:r w:rsidR="00E049CB" w:rsidRPr="005E6B7C">
        <w:rPr>
          <w:rFonts w:asciiTheme="majorHAnsi" w:eastAsia="Calibri" w:hAnsiTheme="majorHAnsi" w:cstheme="majorHAnsi"/>
          <w:b/>
          <w:iCs/>
          <w:color w:val="000000" w:themeColor="text1"/>
          <w:sz w:val="18"/>
          <w:szCs w:val="18"/>
          <w:lang w:val="vi-VN"/>
        </w:rPr>
        <w:t>.</w:t>
      </w:r>
      <w:r w:rsidR="00E049CB" w:rsidRPr="005E6B7C">
        <w:rPr>
          <w:rFonts w:asciiTheme="majorHAnsi" w:eastAsia="Calibri" w:hAnsiTheme="majorHAnsi" w:cstheme="majorHAnsi"/>
          <w:iCs/>
          <w:color w:val="000000" w:themeColor="text1"/>
          <w:sz w:val="18"/>
          <w:szCs w:val="18"/>
          <w:lang w:val="vi-VN"/>
        </w:rPr>
        <w:t xml:space="preserve"> </w:t>
      </w:r>
      <w:r w:rsidR="00E049CB" w:rsidRPr="005E6B7C">
        <w:rPr>
          <w:rFonts w:asciiTheme="majorHAnsi" w:eastAsia="Calibri" w:hAnsiTheme="majorHAnsi" w:cstheme="majorHAnsi"/>
          <w:bCs/>
          <w:iCs/>
          <w:color w:val="000000" w:themeColor="text1"/>
          <w:sz w:val="18"/>
          <w:szCs w:val="18"/>
          <w:lang w:val="vi-VN"/>
        </w:rPr>
        <w:t>UV spectra of the standard solution and test solution</w:t>
      </w:r>
      <w:r w:rsidR="00E049CB" w:rsidRPr="005E6B7C">
        <w:rPr>
          <w:rFonts w:asciiTheme="majorHAnsi" w:eastAsia="Calibri" w:hAnsiTheme="majorHAnsi" w:cstheme="majorHAnsi"/>
          <w:bCs/>
          <w:iCs/>
          <w:color w:val="000000" w:themeColor="text1"/>
          <w:sz w:val="18"/>
          <w:szCs w:val="18"/>
        </w:rPr>
        <w:t xml:space="preserve"> by HPTLC</w:t>
      </w:r>
    </w:p>
    <w:p w14:paraId="5EB7EF2F" w14:textId="77777777" w:rsidR="0018773C" w:rsidRPr="005E6B7C" w:rsidRDefault="0018773C" w:rsidP="008C0D47">
      <w:pPr>
        <w:tabs>
          <w:tab w:val="left" w:pos="270"/>
          <w:tab w:val="left" w:pos="540"/>
          <w:tab w:val="left" w:pos="9270"/>
        </w:tabs>
        <w:ind w:right="-20"/>
        <w:jc w:val="both"/>
        <w:rPr>
          <w:rFonts w:asciiTheme="majorHAnsi" w:eastAsia="Calibri" w:hAnsiTheme="majorHAnsi" w:cstheme="majorHAnsi"/>
          <w:iCs/>
          <w:color w:val="000000" w:themeColor="text1"/>
          <w:sz w:val="22"/>
          <w:szCs w:val="22"/>
        </w:rPr>
      </w:pPr>
    </w:p>
    <w:p w14:paraId="515FD56F"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iCs/>
          <w:color w:val="000000" w:themeColor="text1"/>
          <w:sz w:val="22"/>
          <w:szCs w:val="22"/>
          <w:lang w:val="vi-VN"/>
        </w:rPr>
        <w:sectPr w:rsidR="000F51CE" w:rsidRPr="005E6B7C" w:rsidSect="002206BB">
          <w:type w:val="continuous"/>
          <w:pgSz w:w="10773" w:h="15309" w:code="9"/>
          <w:pgMar w:top="907" w:right="851" w:bottom="1418" w:left="851" w:header="397" w:footer="851" w:gutter="0"/>
          <w:cols w:space="284"/>
          <w:docGrid w:linePitch="360"/>
        </w:sectPr>
      </w:pPr>
    </w:p>
    <w:p w14:paraId="648BEAB9" w14:textId="40AA1500" w:rsidR="00E049CB" w:rsidRPr="005E6B7C" w:rsidRDefault="00E049CB" w:rsidP="008C0D47">
      <w:pPr>
        <w:tabs>
          <w:tab w:val="left" w:pos="270"/>
          <w:tab w:val="left" w:pos="540"/>
          <w:tab w:val="left" w:pos="9270"/>
        </w:tabs>
        <w:spacing w:line="260" w:lineRule="exact"/>
        <w:ind w:firstLine="284"/>
        <w:jc w:val="both"/>
        <w:rPr>
          <w:rFonts w:asciiTheme="majorHAnsi" w:eastAsia="Calibri" w:hAnsiTheme="majorHAnsi" w:cstheme="majorHAnsi"/>
          <w:b/>
          <w:iCs/>
          <w:color w:val="000000" w:themeColor="text1"/>
          <w:sz w:val="22"/>
          <w:szCs w:val="22"/>
          <w:lang w:val="vi-VN"/>
        </w:rPr>
      </w:pPr>
      <w:r w:rsidRPr="005E6B7C">
        <w:rPr>
          <w:rFonts w:asciiTheme="majorHAnsi" w:eastAsia="Calibri" w:hAnsiTheme="majorHAnsi" w:cstheme="majorHAnsi"/>
          <w:iCs/>
          <w:color w:val="000000" w:themeColor="text1"/>
          <w:sz w:val="22"/>
          <w:szCs w:val="22"/>
          <w:lang w:val="vi-VN"/>
        </w:rPr>
        <w:t xml:space="preserve">The results obtained showed that </w:t>
      </w:r>
      <w:r w:rsidR="001D5000" w:rsidRPr="005E6B7C">
        <w:rPr>
          <w:rFonts w:asciiTheme="majorHAnsi" w:eastAsia="Calibri" w:hAnsiTheme="majorHAnsi" w:cstheme="majorHAnsi"/>
          <w:iCs/>
          <w:color w:val="000000" w:themeColor="text1"/>
          <w:sz w:val="22"/>
          <w:szCs w:val="22"/>
        </w:rPr>
        <w:t>clear and compact spots appeared in the test sample</w:t>
      </w:r>
      <w:r w:rsidRPr="005E6B7C">
        <w:rPr>
          <w:rFonts w:asciiTheme="majorHAnsi" w:eastAsia="Calibri" w:hAnsiTheme="majorHAnsi" w:cstheme="majorHAnsi"/>
          <w:iCs/>
          <w:color w:val="000000" w:themeColor="text1"/>
          <w:sz w:val="22"/>
          <w:szCs w:val="22"/>
          <w:lang w:val="vi-VN"/>
        </w:rPr>
        <w:t>, with R</w:t>
      </w:r>
      <w:r w:rsidRPr="005E6B7C">
        <w:rPr>
          <w:rFonts w:asciiTheme="majorHAnsi" w:eastAsia="Calibri" w:hAnsiTheme="majorHAnsi" w:cstheme="majorHAnsi"/>
          <w:iCs/>
          <w:color w:val="000000" w:themeColor="text1"/>
          <w:sz w:val="22"/>
          <w:szCs w:val="22"/>
          <w:vertAlign w:val="subscript"/>
          <w:lang w:val="vi-VN"/>
        </w:rPr>
        <w:t>f</w:t>
      </w:r>
      <w:r w:rsidRPr="005E6B7C">
        <w:rPr>
          <w:rFonts w:asciiTheme="majorHAnsi" w:eastAsia="Calibri" w:hAnsiTheme="majorHAnsi" w:cstheme="majorHAnsi"/>
          <w:iCs/>
          <w:color w:val="000000" w:themeColor="text1"/>
          <w:sz w:val="22"/>
          <w:szCs w:val="22"/>
          <w:lang w:val="vi-VN"/>
        </w:rPr>
        <w:t xml:space="preserve"> values ​​coinciding with the lycopene and </w:t>
      </w:r>
      <w:r w:rsidRPr="005E6B7C">
        <w:rPr>
          <w:rFonts w:asciiTheme="majorHAnsi" w:eastAsia="Calibri" w:hAnsiTheme="majorHAnsi" w:cstheme="majorHAnsi"/>
          <w:i/>
          <w:iCs/>
          <w:color w:val="000000" w:themeColor="text1"/>
          <w:sz w:val="22"/>
          <w:szCs w:val="22"/>
          <w:lang w:val="vi-VN"/>
        </w:rPr>
        <w:t>β</w:t>
      </w:r>
      <w:r w:rsidRPr="005E6B7C">
        <w:rPr>
          <w:rFonts w:asciiTheme="majorHAnsi" w:eastAsia="Calibri" w:hAnsiTheme="majorHAnsi" w:cstheme="majorHAnsi"/>
          <w:iCs/>
          <w:color w:val="000000" w:themeColor="text1"/>
          <w:sz w:val="22"/>
          <w:szCs w:val="22"/>
          <w:lang w:val="vi-VN"/>
        </w:rPr>
        <w:t xml:space="preserve">-carotene standard solutions. The blank sample </w:t>
      </w:r>
      <w:r w:rsidR="001D5000" w:rsidRPr="005E6B7C">
        <w:rPr>
          <w:rFonts w:asciiTheme="majorHAnsi" w:eastAsia="Calibri" w:hAnsiTheme="majorHAnsi" w:cstheme="majorHAnsi"/>
          <w:iCs/>
          <w:color w:val="000000" w:themeColor="text1"/>
          <w:sz w:val="22"/>
          <w:szCs w:val="22"/>
        </w:rPr>
        <w:t>did not show any spots</w:t>
      </w:r>
      <w:r w:rsidRPr="005E6B7C">
        <w:rPr>
          <w:rFonts w:asciiTheme="majorHAnsi" w:eastAsia="Calibri" w:hAnsiTheme="majorHAnsi" w:cstheme="majorHAnsi"/>
          <w:iCs/>
          <w:color w:val="000000" w:themeColor="text1"/>
          <w:sz w:val="22"/>
          <w:szCs w:val="22"/>
          <w:lang w:val="vi-VN"/>
        </w:rPr>
        <w:t xml:space="preserve"> with R</w:t>
      </w:r>
      <w:r w:rsidRPr="005E6B7C">
        <w:rPr>
          <w:rFonts w:asciiTheme="majorHAnsi" w:eastAsia="Calibri" w:hAnsiTheme="majorHAnsi" w:cstheme="majorHAnsi"/>
          <w:iCs/>
          <w:color w:val="000000" w:themeColor="text1"/>
          <w:sz w:val="22"/>
          <w:szCs w:val="22"/>
          <w:vertAlign w:val="subscript"/>
          <w:lang w:val="vi-VN"/>
        </w:rPr>
        <w:t>f</w:t>
      </w:r>
      <w:r w:rsidRPr="005E6B7C">
        <w:rPr>
          <w:rFonts w:asciiTheme="majorHAnsi" w:eastAsia="Calibri" w:hAnsiTheme="majorHAnsi" w:cstheme="majorHAnsi"/>
          <w:iCs/>
          <w:color w:val="000000" w:themeColor="text1"/>
          <w:sz w:val="22"/>
          <w:szCs w:val="22"/>
          <w:lang w:val="vi-VN"/>
        </w:rPr>
        <w:t xml:space="preserve"> values ​​similar to the standard sample and the test sample</w:t>
      </w:r>
      <w:r w:rsidRPr="005E6B7C">
        <w:rPr>
          <w:rFonts w:asciiTheme="majorHAnsi" w:eastAsia="Calibri" w:hAnsiTheme="majorHAnsi" w:cstheme="majorHAnsi"/>
          <w:iCs/>
          <w:color w:val="000000" w:themeColor="text1"/>
          <w:sz w:val="22"/>
          <w:szCs w:val="22"/>
        </w:rPr>
        <w:t xml:space="preserve">. Furthermore, the match ratios for both lycopene and </w:t>
      </w:r>
      <w:r w:rsidRPr="005E6B7C">
        <w:rPr>
          <w:rFonts w:asciiTheme="majorHAnsi" w:eastAsia="Calibri" w:hAnsiTheme="majorHAnsi" w:cstheme="majorHAnsi"/>
          <w:i/>
          <w:iCs/>
          <w:color w:val="000000" w:themeColor="text1"/>
          <w:sz w:val="22"/>
          <w:szCs w:val="22"/>
          <w:lang w:val="vi-VN"/>
        </w:rPr>
        <w:t>β</w:t>
      </w:r>
      <w:r w:rsidRPr="005E6B7C">
        <w:rPr>
          <w:rFonts w:asciiTheme="majorHAnsi" w:eastAsia="Calibri" w:hAnsiTheme="majorHAnsi" w:cstheme="majorHAnsi"/>
          <w:iCs/>
          <w:color w:val="000000" w:themeColor="text1"/>
          <w:sz w:val="22"/>
          <w:szCs w:val="22"/>
          <w:lang w:val="vi-VN"/>
        </w:rPr>
        <w:t>-</w:t>
      </w:r>
      <w:r w:rsidRPr="005E6B7C">
        <w:rPr>
          <w:rFonts w:asciiTheme="majorHAnsi" w:eastAsia="Calibri" w:hAnsiTheme="majorHAnsi" w:cstheme="majorHAnsi"/>
          <w:iCs/>
          <w:color w:val="000000" w:themeColor="text1"/>
          <w:sz w:val="22"/>
          <w:szCs w:val="22"/>
        </w:rPr>
        <w:t xml:space="preserve">carotene in the sample solution compared to the standard solutions were greater than 0.99. These results </w:t>
      </w:r>
      <w:r w:rsidRPr="005E6B7C">
        <w:rPr>
          <w:rFonts w:asciiTheme="majorHAnsi" w:eastAsia="Calibri" w:hAnsiTheme="majorHAnsi" w:cstheme="majorHAnsi"/>
          <w:iCs/>
          <w:color w:val="000000" w:themeColor="text1"/>
          <w:sz w:val="22"/>
          <w:szCs w:val="22"/>
        </w:rPr>
        <w:t>collectively d</w:t>
      </w:r>
      <w:r w:rsidRPr="005E6B7C">
        <w:rPr>
          <w:rFonts w:asciiTheme="majorHAnsi" w:eastAsia="Calibri" w:hAnsiTheme="majorHAnsi" w:cstheme="majorHAnsi"/>
          <w:iCs/>
          <w:color w:val="000000" w:themeColor="text1"/>
          <w:sz w:val="22"/>
          <w:szCs w:val="22"/>
          <w:lang w:val="vi-VN"/>
        </w:rPr>
        <w:t>emonstrate that the constructed qualitative method meets the requirements for specificity.</w:t>
      </w:r>
    </w:p>
    <w:p w14:paraId="66B8AE85"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Calibri" w:hAnsiTheme="majorHAnsi" w:cstheme="majorHAnsi"/>
          <w:b/>
          <w:iCs/>
          <w:color w:val="000000" w:themeColor="text1"/>
          <w:sz w:val="22"/>
          <w:szCs w:val="22"/>
        </w:rPr>
      </w:pPr>
      <w:r w:rsidRPr="005E6B7C">
        <w:rPr>
          <w:rFonts w:asciiTheme="majorHAnsi" w:eastAsia="Calibri" w:hAnsiTheme="majorHAnsi" w:cstheme="majorHAnsi"/>
          <w:iCs/>
          <w:color w:val="000000" w:themeColor="text1"/>
          <w:sz w:val="22"/>
          <w:szCs w:val="22"/>
          <w:lang w:val="vi-VN"/>
        </w:rPr>
        <w:t>3.2.2. System suitability</w:t>
      </w:r>
      <w:r w:rsidRPr="005E6B7C">
        <w:rPr>
          <w:rFonts w:asciiTheme="majorHAnsi" w:eastAsia="Calibri" w:hAnsiTheme="majorHAnsi" w:cstheme="majorHAnsi"/>
          <w:iCs/>
          <w:color w:val="000000" w:themeColor="text1"/>
          <w:sz w:val="22"/>
          <w:szCs w:val="22"/>
        </w:rPr>
        <w:t>:</w:t>
      </w:r>
    </w:p>
    <w:p w14:paraId="560C130F" w14:textId="77777777" w:rsidR="000F51CE" w:rsidRPr="005E6B7C" w:rsidRDefault="00E049CB" w:rsidP="008C0D47">
      <w:pPr>
        <w:tabs>
          <w:tab w:val="left" w:pos="270"/>
          <w:tab w:val="left" w:pos="540"/>
          <w:tab w:val="left" w:pos="9270"/>
        </w:tabs>
        <w:spacing w:line="260" w:lineRule="exact"/>
        <w:ind w:firstLine="284"/>
        <w:jc w:val="both"/>
        <w:rPr>
          <w:rFonts w:asciiTheme="majorHAnsi" w:eastAsia="Calibri" w:hAnsiTheme="majorHAnsi" w:cstheme="majorHAnsi"/>
          <w:iCs/>
          <w:color w:val="000000" w:themeColor="text1"/>
          <w:sz w:val="22"/>
          <w:szCs w:val="22"/>
        </w:rPr>
      </w:pPr>
      <w:r w:rsidRPr="005E6B7C">
        <w:rPr>
          <w:rFonts w:asciiTheme="majorHAnsi" w:eastAsia="Calibri" w:hAnsiTheme="majorHAnsi" w:cstheme="majorHAnsi"/>
          <w:iCs/>
          <w:color w:val="000000" w:themeColor="text1"/>
          <w:sz w:val="22"/>
          <w:szCs w:val="22"/>
          <w:lang w:val="vi-VN"/>
        </w:rPr>
        <w:t xml:space="preserve">Use a mixed sample of lycopene and </w:t>
      </w:r>
      <w:r w:rsidRPr="005E6B7C">
        <w:rPr>
          <w:rFonts w:asciiTheme="majorHAnsi" w:eastAsia="Calibri" w:hAnsiTheme="majorHAnsi" w:cstheme="majorHAnsi"/>
          <w:i/>
          <w:iCs/>
          <w:color w:val="000000" w:themeColor="text1"/>
          <w:sz w:val="22"/>
          <w:szCs w:val="22"/>
          <w:lang w:val="vi-VN"/>
        </w:rPr>
        <w:t>β</w:t>
      </w:r>
      <w:r w:rsidRPr="005E6B7C">
        <w:rPr>
          <w:rFonts w:asciiTheme="majorHAnsi" w:eastAsia="Calibri" w:hAnsiTheme="majorHAnsi" w:cstheme="majorHAnsi"/>
          <w:iCs/>
          <w:color w:val="000000" w:themeColor="text1"/>
          <w:sz w:val="22"/>
          <w:szCs w:val="22"/>
          <w:lang w:val="vi-VN"/>
        </w:rPr>
        <w:t>-carotene standards and repeat HPTLC analysis six times under the selected chromatographic conditions, record the R</w:t>
      </w:r>
      <w:r w:rsidRPr="005E6B7C">
        <w:rPr>
          <w:rFonts w:asciiTheme="majorHAnsi" w:eastAsia="Calibri" w:hAnsiTheme="majorHAnsi" w:cstheme="majorHAnsi"/>
          <w:iCs/>
          <w:color w:val="000000" w:themeColor="text1"/>
          <w:sz w:val="22"/>
          <w:szCs w:val="22"/>
          <w:vertAlign w:val="subscript"/>
          <w:lang w:val="vi-VN"/>
        </w:rPr>
        <w:t>f</w:t>
      </w:r>
      <w:r w:rsidRPr="005E6B7C">
        <w:rPr>
          <w:rFonts w:asciiTheme="majorHAnsi" w:eastAsia="Calibri" w:hAnsiTheme="majorHAnsi" w:cstheme="majorHAnsi"/>
          <w:iCs/>
          <w:color w:val="000000" w:themeColor="text1"/>
          <w:sz w:val="22"/>
          <w:szCs w:val="22"/>
          <w:lang w:val="vi-VN"/>
        </w:rPr>
        <w:t xml:space="preserve"> values ​​and peak areas. The results obtained are presented in Table 2.</w:t>
      </w:r>
    </w:p>
    <w:p w14:paraId="2844121F"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iCs/>
          <w:color w:val="000000" w:themeColor="text1"/>
          <w:sz w:val="22"/>
          <w:szCs w:val="22"/>
        </w:rPr>
        <w:sectPr w:rsidR="000F51CE" w:rsidRPr="005E6B7C" w:rsidSect="000F51CE">
          <w:type w:val="continuous"/>
          <w:pgSz w:w="10773" w:h="15309" w:code="9"/>
          <w:pgMar w:top="907" w:right="851" w:bottom="1418" w:left="851" w:header="397" w:footer="851" w:gutter="0"/>
          <w:cols w:num="2" w:space="284"/>
          <w:docGrid w:linePitch="360"/>
        </w:sectPr>
      </w:pPr>
    </w:p>
    <w:p w14:paraId="567809C6" w14:textId="77777777"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iCs/>
          <w:color w:val="000000" w:themeColor="text1"/>
          <w:sz w:val="18"/>
          <w:szCs w:val="18"/>
          <w:lang w:val="vi-VN"/>
        </w:rPr>
      </w:pPr>
      <w:r w:rsidRPr="005E6B7C">
        <w:rPr>
          <w:rFonts w:asciiTheme="majorHAnsi" w:eastAsia="Calibri" w:hAnsiTheme="majorHAnsi" w:cstheme="majorHAnsi"/>
          <w:b/>
          <w:iCs/>
          <w:color w:val="000000" w:themeColor="text1"/>
          <w:sz w:val="18"/>
          <w:szCs w:val="18"/>
        </w:rPr>
        <w:lastRenderedPageBreak/>
        <w:t>Table 2.</w:t>
      </w:r>
      <w:r w:rsidRPr="005E6B7C">
        <w:rPr>
          <w:rFonts w:asciiTheme="majorHAnsi" w:eastAsia="Calibri" w:hAnsiTheme="majorHAnsi" w:cstheme="majorHAnsi"/>
          <w:iCs/>
          <w:color w:val="000000" w:themeColor="text1"/>
          <w:sz w:val="18"/>
          <w:szCs w:val="18"/>
        </w:rPr>
        <w:t xml:space="preserve"> </w:t>
      </w:r>
      <w:r w:rsidRPr="005E6B7C">
        <w:rPr>
          <w:rFonts w:asciiTheme="majorHAnsi" w:eastAsia="Calibri" w:hAnsiTheme="majorHAnsi" w:cstheme="majorHAnsi"/>
          <w:bCs/>
          <w:iCs/>
          <w:color w:val="000000" w:themeColor="text1"/>
          <w:sz w:val="18"/>
          <w:szCs w:val="18"/>
        </w:rPr>
        <w:t>Results of system suitability assessment</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15" w:type="dxa"/>
        </w:tblCellMar>
        <w:tblLook w:val="04A0" w:firstRow="1" w:lastRow="0" w:firstColumn="1" w:lastColumn="0" w:noHBand="0" w:noVBand="1"/>
      </w:tblPr>
      <w:tblGrid>
        <w:gridCol w:w="1544"/>
        <w:gridCol w:w="1547"/>
        <w:gridCol w:w="2127"/>
        <w:gridCol w:w="1310"/>
        <w:gridCol w:w="2544"/>
      </w:tblGrid>
      <w:tr w:rsidR="00573010" w:rsidRPr="005E6B7C" w14:paraId="5FE4C53E" w14:textId="77777777" w:rsidTr="00AD6EEB">
        <w:trPr>
          <w:trHeight w:val="20"/>
          <w:jc w:val="center"/>
        </w:trPr>
        <w:tc>
          <w:tcPr>
            <w:tcW w:w="1537" w:type="dxa"/>
            <w:vMerge w:val="restart"/>
            <w:vAlign w:val="center"/>
          </w:tcPr>
          <w:p w14:paraId="561BDAF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No.</w:t>
            </w:r>
          </w:p>
        </w:tc>
        <w:tc>
          <w:tcPr>
            <w:tcW w:w="3655" w:type="dxa"/>
            <w:gridSpan w:val="2"/>
            <w:vAlign w:val="center"/>
          </w:tcPr>
          <w:p w14:paraId="05AB9D4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Lycopene</w:t>
            </w:r>
          </w:p>
        </w:tc>
        <w:tc>
          <w:tcPr>
            <w:tcW w:w="3834" w:type="dxa"/>
            <w:gridSpan w:val="2"/>
            <w:vAlign w:val="center"/>
          </w:tcPr>
          <w:p w14:paraId="23BE8AE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i/>
                <w:color w:val="000000" w:themeColor="text1"/>
                <w:sz w:val="18"/>
                <w:szCs w:val="18"/>
                <w:lang w:eastAsia="ja-JP"/>
              </w:rPr>
              <w:t>β</w:t>
            </w:r>
            <w:r w:rsidRPr="005E6B7C">
              <w:rPr>
                <w:rFonts w:asciiTheme="majorHAnsi" w:eastAsia="Yu Mincho" w:hAnsiTheme="majorHAnsi" w:cstheme="majorHAnsi"/>
                <w:b/>
                <w:bCs/>
                <w:color w:val="000000" w:themeColor="text1"/>
                <w:sz w:val="18"/>
                <w:szCs w:val="18"/>
                <w:lang w:eastAsia="ja-JP"/>
              </w:rPr>
              <w:t>-Carotene</w:t>
            </w:r>
          </w:p>
        </w:tc>
      </w:tr>
      <w:tr w:rsidR="00573010" w:rsidRPr="005E6B7C" w14:paraId="11073F73" w14:textId="77777777" w:rsidTr="00AD6EEB">
        <w:trPr>
          <w:trHeight w:val="20"/>
          <w:jc w:val="center"/>
        </w:trPr>
        <w:tc>
          <w:tcPr>
            <w:tcW w:w="1537" w:type="dxa"/>
            <w:vMerge/>
            <w:vAlign w:val="center"/>
          </w:tcPr>
          <w:p w14:paraId="666FD43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1539" w:type="dxa"/>
            <w:vAlign w:val="center"/>
          </w:tcPr>
          <w:p w14:paraId="6B2DCD2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w:t>
            </w:r>
            <w:r w:rsidRPr="005E6B7C">
              <w:rPr>
                <w:rFonts w:asciiTheme="majorHAnsi" w:eastAsia="Yu Mincho" w:hAnsiTheme="majorHAnsi" w:cstheme="majorHAnsi"/>
                <w:color w:val="000000" w:themeColor="text1"/>
                <w:sz w:val="18"/>
                <w:szCs w:val="18"/>
                <w:vertAlign w:val="subscript"/>
                <w:lang w:eastAsia="ja-JP"/>
              </w:rPr>
              <w:t>f</w:t>
            </w:r>
          </w:p>
        </w:tc>
        <w:tc>
          <w:tcPr>
            <w:tcW w:w="2116" w:type="dxa"/>
            <w:vAlign w:val="center"/>
          </w:tcPr>
          <w:p w14:paraId="572506D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Peak area</w:t>
            </w:r>
          </w:p>
        </w:tc>
        <w:tc>
          <w:tcPr>
            <w:tcW w:w="1303" w:type="dxa"/>
            <w:vAlign w:val="center"/>
          </w:tcPr>
          <w:p w14:paraId="4284820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w:t>
            </w:r>
            <w:r w:rsidRPr="005E6B7C">
              <w:rPr>
                <w:rFonts w:asciiTheme="majorHAnsi" w:eastAsia="Yu Mincho" w:hAnsiTheme="majorHAnsi" w:cstheme="majorHAnsi"/>
                <w:color w:val="000000" w:themeColor="text1"/>
                <w:sz w:val="18"/>
                <w:szCs w:val="18"/>
                <w:vertAlign w:val="subscript"/>
                <w:lang w:eastAsia="ja-JP"/>
              </w:rPr>
              <w:t>f</w:t>
            </w:r>
          </w:p>
        </w:tc>
        <w:tc>
          <w:tcPr>
            <w:tcW w:w="2531" w:type="dxa"/>
            <w:vAlign w:val="center"/>
          </w:tcPr>
          <w:p w14:paraId="707D468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Peak area</w:t>
            </w:r>
          </w:p>
        </w:tc>
      </w:tr>
      <w:tr w:rsidR="00573010" w:rsidRPr="005E6B7C" w14:paraId="1AC32837" w14:textId="77777777" w:rsidTr="00AD6EEB">
        <w:trPr>
          <w:trHeight w:val="20"/>
          <w:jc w:val="center"/>
        </w:trPr>
        <w:tc>
          <w:tcPr>
            <w:tcW w:w="1537" w:type="dxa"/>
            <w:vAlign w:val="center"/>
          </w:tcPr>
          <w:p w14:paraId="5E19DE3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w:t>
            </w:r>
          </w:p>
        </w:tc>
        <w:tc>
          <w:tcPr>
            <w:tcW w:w="1539" w:type="dxa"/>
            <w:vAlign w:val="center"/>
          </w:tcPr>
          <w:p w14:paraId="216FC49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0.532</w:t>
            </w:r>
          </w:p>
        </w:tc>
        <w:tc>
          <w:tcPr>
            <w:tcW w:w="2116" w:type="dxa"/>
            <w:vAlign w:val="center"/>
          </w:tcPr>
          <w:p w14:paraId="57D5CD6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0.0104</w:t>
            </w:r>
          </w:p>
        </w:tc>
        <w:tc>
          <w:tcPr>
            <w:tcW w:w="1303" w:type="dxa"/>
            <w:vAlign w:val="center"/>
          </w:tcPr>
          <w:p w14:paraId="40363F5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0.682</w:t>
            </w:r>
          </w:p>
        </w:tc>
        <w:tc>
          <w:tcPr>
            <w:tcW w:w="2531" w:type="dxa"/>
            <w:vAlign w:val="center"/>
          </w:tcPr>
          <w:p w14:paraId="7C27B7C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0.0298</w:t>
            </w:r>
          </w:p>
        </w:tc>
      </w:tr>
      <w:tr w:rsidR="00573010" w:rsidRPr="005E6B7C" w14:paraId="076F9C16" w14:textId="77777777" w:rsidTr="00AD6EEB">
        <w:trPr>
          <w:trHeight w:val="20"/>
          <w:jc w:val="center"/>
        </w:trPr>
        <w:tc>
          <w:tcPr>
            <w:tcW w:w="1537" w:type="dxa"/>
            <w:vAlign w:val="center"/>
          </w:tcPr>
          <w:p w14:paraId="4BEA797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p>
        </w:tc>
        <w:tc>
          <w:tcPr>
            <w:tcW w:w="1539" w:type="dxa"/>
            <w:vAlign w:val="center"/>
          </w:tcPr>
          <w:p w14:paraId="7D424F2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0.526</w:t>
            </w:r>
          </w:p>
        </w:tc>
        <w:tc>
          <w:tcPr>
            <w:tcW w:w="2116" w:type="dxa"/>
            <w:vAlign w:val="center"/>
          </w:tcPr>
          <w:p w14:paraId="73E44AB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0.0105</w:t>
            </w:r>
          </w:p>
        </w:tc>
        <w:tc>
          <w:tcPr>
            <w:tcW w:w="1303" w:type="dxa"/>
            <w:vAlign w:val="center"/>
          </w:tcPr>
          <w:p w14:paraId="181402F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0.678</w:t>
            </w:r>
          </w:p>
        </w:tc>
        <w:tc>
          <w:tcPr>
            <w:tcW w:w="2531" w:type="dxa"/>
            <w:vAlign w:val="center"/>
          </w:tcPr>
          <w:p w14:paraId="52C26A2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0.0294</w:t>
            </w:r>
          </w:p>
        </w:tc>
      </w:tr>
      <w:tr w:rsidR="00573010" w:rsidRPr="005E6B7C" w14:paraId="1AD7BCE0" w14:textId="77777777" w:rsidTr="00AD6EEB">
        <w:trPr>
          <w:trHeight w:val="20"/>
          <w:jc w:val="center"/>
        </w:trPr>
        <w:tc>
          <w:tcPr>
            <w:tcW w:w="1537" w:type="dxa"/>
            <w:vAlign w:val="center"/>
          </w:tcPr>
          <w:p w14:paraId="5FC3AEC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3</w:t>
            </w:r>
          </w:p>
        </w:tc>
        <w:tc>
          <w:tcPr>
            <w:tcW w:w="1539" w:type="dxa"/>
            <w:vAlign w:val="center"/>
          </w:tcPr>
          <w:p w14:paraId="7114669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0.527</w:t>
            </w:r>
          </w:p>
        </w:tc>
        <w:tc>
          <w:tcPr>
            <w:tcW w:w="2116" w:type="dxa"/>
            <w:vAlign w:val="center"/>
          </w:tcPr>
          <w:p w14:paraId="36AFF94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0.0109</w:t>
            </w:r>
          </w:p>
        </w:tc>
        <w:tc>
          <w:tcPr>
            <w:tcW w:w="1303" w:type="dxa"/>
            <w:vAlign w:val="center"/>
          </w:tcPr>
          <w:p w14:paraId="17FB1DF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0.678</w:t>
            </w:r>
          </w:p>
        </w:tc>
        <w:tc>
          <w:tcPr>
            <w:tcW w:w="2531" w:type="dxa"/>
            <w:vAlign w:val="center"/>
          </w:tcPr>
          <w:p w14:paraId="17B877C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0.0287</w:t>
            </w:r>
          </w:p>
        </w:tc>
      </w:tr>
      <w:tr w:rsidR="00573010" w:rsidRPr="005E6B7C" w14:paraId="39A6E39A" w14:textId="77777777" w:rsidTr="00AD6EEB">
        <w:trPr>
          <w:trHeight w:val="20"/>
          <w:jc w:val="center"/>
        </w:trPr>
        <w:tc>
          <w:tcPr>
            <w:tcW w:w="1537" w:type="dxa"/>
            <w:vAlign w:val="center"/>
          </w:tcPr>
          <w:p w14:paraId="61759DF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4</w:t>
            </w:r>
          </w:p>
        </w:tc>
        <w:tc>
          <w:tcPr>
            <w:tcW w:w="1539" w:type="dxa"/>
            <w:vAlign w:val="center"/>
          </w:tcPr>
          <w:p w14:paraId="7839D63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0.521</w:t>
            </w:r>
          </w:p>
        </w:tc>
        <w:tc>
          <w:tcPr>
            <w:tcW w:w="2116" w:type="dxa"/>
            <w:vAlign w:val="center"/>
          </w:tcPr>
          <w:p w14:paraId="5DDC9C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0.0102</w:t>
            </w:r>
          </w:p>
        </w:tc>
        <w:tc>
          <w:tcPr>
            <w:tcW w:w="1303" w:type="dxa"/>
            <w:vAlign w:val="center"/>
          </w:tcPr>
          <w:p w14:paraId="737C335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0.674</w:t>
            </w:r>
          </w:p>
        </w:tc>
        <w:tc>
          <w:tcPr>
            <w:tcW w:w="2531" w:type="dxa"/>
            <w:vAlign w:val="center"/>
          </w:tcPr>
          <w:p w14:paraId="7ECA803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0.0288</w:t>
            </w:r>
          </w:p>
        </w:tc>
      </w:tr>
      <w:tr w:rsidR="00573010" w:rsidRPr="005E6B7C" w14:paraId="43C56A99" w14:textId="77777777" w:rsidTr="00AD6EEB">
        <w:trPr>
          <w:trHeight w:val="20"/>
          <w:jc w:val="center"/>
        </w:trPr>
        <w:tc>
          <w:tcPr>
            <w:tcW w:w="1537" w:type="dxa"/>
            <w:vAlign w:val="center"/>
          </w:tcPr>
          <w:p w14:paraId="5276686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5</w:t>
            </w:r>
          </w:p>
        </w:tc>
        <w:tc>
          <w:tcPr>
            <w:tcW w:w="1539" w:type="dxa"/>
            <w:vAlign w:val="center"/>
          </w:tcPr>
          <w:p w14:paraId="238F3E7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0.517</w:t>
            </w:r>
          </w:p>
        </w:tc>
        <w:tc>
          <w:tcPr>
            <w:tcW w:w="2116" w:type="dxa"/>
            <w:vAlign w:val="center"/>
          </w:tcPr>
          <w:p w14:paraId="495CEE7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0.0108</w:t>
            </w:r>
          </w:p>
        </w:tc>
        <w:tc>
          <w:tcPr>
            <w:tcW w:w="1303" w:type="dxa"/>
            <w:vAlign w:val="center"/>
          </w:tcPr>
          <w:p w14:paraId="0D34454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0.671</w:t>
            </w:r>
          </w:p>
        </w:tc>
        <w:tc>
          <w:tcPr>
            <w:tcW w:w="2531" w:type="dxa"/>
            <w:vAlign w:val="center"/>
          </w:tcPr>
          <w:p w14:paraId="2951D78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0.0297</w:t>
            </w:r>
          </w:p>
        </w:tc>
      </w:tr>
      <w:tr w:rsidR="00573010" w:rsidRPr="005E6B7C" w14:paraId="6112FEA1" w14:textId="77777777" w:rsidTr="00AD6EEB">
        <w:trPr>
          <w:trHeight w:val="20"/>
          <w:jc w:val="center"/>
        </w:trPr>
        <w:tc>
          <w:tcPr>
            <w:tcW w:w="1537" w:type="dxa"/>
            <w:vAlign w:val="center"/>
          </w:tcPr>
          <w:p w14:paraId="0797374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6</w:t>
            </w:r>
          </w:p>
        </w:tc>
        <w:tc>
          <w:tcPr>
            <w:tcW w:w="1539" w:type="dxa"/>
            <w:vAlign w:val="center"/>
          </w:tcPr>
          <w:p w14:paraId="4F30E53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0.520</w:t>
            </w:r>
          </w:p>
        </w:tc>
        <w:tc>
          <w:tcPr>
            <w:tcW w:w="2116" w:type="dxa"/>
            <w:vAlign w:val="center"/>
          </w:tcPr>
          <w:p w14:paraId="21D5D52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0.0107</w:t>
            </w:r>
          </w:p>
        </w:tc>
        <w:tc>
          <w:tcPr>
            <w:tcW w:w="1303" w:type="dxa"/>
            <w:vAlign w:val="center"/>
          </w:tcPr>
          <w:p w14:paraId="235E39A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0.672</w:t>
            </w:r>
          </w:p>
        </w:tc>
        <w:tc>
          <w:tcPr>
            <w:tcW w:w="2531" w:type="dxa"/>
            <w:vAlign w:val="center"/>
          </w:tcPr>
          <w:p w14:paraId="70D61C9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0.0296</w:t>
            </w:r>
          </w:p>
        </w:tc>
      </w:tr>
      <w:tr w:rsidR="00573010" w:rsidRPr="005E6B7C" w14:paraId="29D9552F" w14:textId="77777777" w:rsidTr="00AD6EEB">
        <w:trPr>
          <w:trHeight w:val="20"/>
          <w:jc w:val="center"/>
        </w:trPr>
        <w:tc>
          <w:tcPr>
            <w:tcW w:w="1537" w:type="dxa"/>
            <w:vAlign w:val="center"/>
          </w:tcPr>
          <w:p w14:paraId="30BF4E6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RSD (%)</w:t>
            </w:r>
          </w:p>
        </w:tc>
        <w:tc>
          <w:tcPr>
            <w:tcW w:w="1539" w:type="dxa"/>
            <w:vAlign w:val="center"/>
          </w:tcPr>
          <w:p w14:paraId="36300FE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0.957</w:t>
            </w:r>
          </w:p>
        </w:tc>
        <w:tc>
          <w:tcPr>
            <w:tcW w:w="2116" w:type="dxa"/>
            <w:vAlign w:val="center"/>
          </w:tcPr>
          <w:p w14:paraId="6CDDD64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2.5551</w:t>
            </w:r>
          </w:p>
        </w:tc>
        <w:tc>
          <w:tcPr>
            <w:tcW w:w="1303" w:type="dxa"/>
            <w:vAlign w:val="center"/>
          </w:tcPr>
          <w:p w14:paraId="1572035D"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0.569</w:t>
            </w:r>
          </w:p>
        </w:tc>
        <w:tc>
          <w:tcPr>
            <w:tcW w:w="2531" w:type="dxa"/>
            <w:vAlign w:val="center"/>
          </w:tcPr>
          <w:p w14:paraId="51F7C8A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1.4373</w:t>
            </w:r>
          </w:p>
        </w:tc>
      </w:tr>
    </w:tbl>
    <w:p w14:paraId="11A5AD7D" w14:textId="77777777" w:rsidR="00AD6EEB" w:rsidRPr="005E6B7C" w:rsidRDefault="00AD6EEB" w:rsidP="008C0D47">
      <w:pPr>
        <w:tabs>
          <w:tab w:val="left" w:pos="270"/>
          <w:tab w:val="left" w:pos="540"/>
          <w:tab w:val="left" w:pos="9270"/>
        </w:tabs>
        <w:ind w:right="-20"/>
        <w:jc w:val="both"/>
        <w:rPr>
          <w:rFonts w:asciiTheme="majorHAnsi" w:eastAsia="Times New Roman" w:hAnsiTheme="majorHAnsi" w:cstheme="majorHAnsi"/>
          <w:color w:val="000000" w:themeColor="text1"/>
          <w:sz w:val="22"/>
          <w:szCs w:val="22"/>
          <w:lang w:eastAsia="ja-JP"/>
        </w:rPr>
      </w:pPr>
    </w:p>
    <w:p w14:paraId="1BFD5DD8"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sectPr w:rsidR="000F51CE" w:rsidRPr="005E6B7C" w:rsidSect="002206BB">
          <w:type w:val="continuous"/>
          <w:pgSz w:w="10773" w:h="15309" w:code="9"/>
          <w:pgMar w:top="907" w:right="851" w:bottom="1418" w:left="851" w:header="397" w:footer="851" w:gutter="0"/>
          <w:cols w:space="284"/>
          <w:docGrid w:linePitch="360"/>
        </w:sectPr>
      </w:pPr>
    </w:p>
    <w:p w14:paraId="6205DB3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lang w:eastAsia="ja-JP"/>
        </w:rPr>
      </w:pPr>
      <w:r w:rsidRPr="005E6B7C">
        <w:rPr>
          <w:rFonts w:asciiTheme="majorHAnsi" w:eastAsia="Times New Roman" w:hAnsiTheme="majorHAnsi" w:cstheme="majorHAnsi"/>
          <w:color w:val="000000" w:themeColor="text1"/>
          <w:sz w:val="22"/>
          <w:szCs w:val="22"/>
          <w:lang w:eastAsia="ja-JP"/>
        </w:rPr>
        <w:t>The relative standard deviation (RSD, %) of the peak area and R</w:t>
      </w:r>
      <w:r w:rsidRPr="005E6B7C">
        <w:rPr>
          <w:rFonts w:asciiTheme="majorHAnsi" w:eastAsia="Times New Roman" w:hAnsiTheme="majorHAnsi" w:cstheme="majorHAnsi"/>
          <w:color w:val="000000" w:themeColor="text1"/>
          <w:sz w:val="22"/>
          <w:szCs w:val="22"/>
          <w:vertAlign w:val="subscript"/>
          <w:lang w:eastAsia="ja-JP"/>
        </w:rPr>
        <w:t xml:space="preserve">f </w:t>
      </w:r>
      <w:r w:rsidRPr="005E6B7C">
        <w:rPr>
          <w:rFonts w:asciiTheme="majorHAnsi" w:eastAsia="Times New Roman" w:hAnsiTheme="majorHAnsi" w:cstheme="majorHAnsi"/>
          <w:color w:val="000000" w:themeColor="text1"/>
          <w:sz w:val="22"/>
          <w:szCs w:val="22"/>
          <w:lang w:eastAsia="ja-JP"/>
        </w:rPr>
        <w:t xml:space="preserve">value was less than 3%, showing that the chromatographic conditions selected and the HPTLC system used are appropriate and ensure the stability of quantitative analysis of lycopene and </w:t>
      </w:r>
      <w:r w:rsidRPr="005E6B7C">
        <w:rPr>
          <w:rFonts w:asciiTheme="majorHAnsi" w:eastAsia="Times New Roman" w:hAnsiTheme="majorHAnsi" w:cstheme="majorHAnsi"/>
          <w:i/>
          <w:color w:val="000000" w:themeColor="text1"/>
          <w:sz w:val="22"/>
          <w:szCs w:val="22"/>
          <w:lang w:eastAsia="ja-JP"/>
        </w:rPr>
        <w:t>β</w:t>
      </w:r>
      <w:r w:rsidRPr="005E6B7C">
        <w:rPr>
          <w:rFonts w:asciiTheme="majorHAnsi" w:eastAsia="Times New Roman" w:hAnsiTheme="majorHAnsi" w:cstheme="majorHAnsi"/>
          <w:color w:val="000000" w:themeColor="text1"/>
          <w:sz w:val="22"/>
          <w:szCs w:val="22"/>
          <w:lang w:eastAsia="ja-JP"/>
        </w:rPr>
        <w:t>-carotene.</w:t>
      </w:r>
      <w:r w:rsidRPr="005E6B7C">
        <w:rPr>
          <w:rFonts w:asciiTheme="majorHAnsi" w:eastAsia="Times New Roman" w:hAnsiTheme="majorHAnsi" w:cstheme="majorHAnsi"/>
          <w:color w:val="000000" w:themeColor="text1"/>
          <w:sz w:val="22"/>
          <w:szCs w:val="22"/>
          <w:lang w:eastAsia="ja-JP"/>
        </w:rPr>
        <w:tab/>
      </w:r>
    </w:p>
    <w:p w14:paraId="15B8C71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iCs/>
          <w:color w:val="000000" w:themeColor="text1"/>
          <w:sz w:val="22"/>
          <w:szCs w:val="22"/>
          <w:lang w:eastAsia="ja-JP"/>
        </w:rPr>
      </w:pPr>
      <w:r w:rsidRPr="005E6B7C">
        <w:rPr>
          <w:rFonts w:asciiTheme="majorHAnsi" w:eastAsia="Times New Roman" w:hAnsiTheme="majorHAnsi" w:cstheme="majorHAnsi"/>
          <w:iCs/>
          <w:color w:val="000000" w:themeColor="text1"/>
          <w:sz w:val="22"/>
          <w:szCs w:val="22"/>
          <w:lang w:eastAsia="ja-JP"/>
        </w:rPr>
        <w:t>3.2.3. Linearity:</w:t>
      </w:r>
    </w:p>
    <w:p w14:paraId="6CB9C671" w14:textId="75397C87" w:rsidR="000F51CE" w:rsidRPr="005E6B7C" w:rsidRDefault="00E049CB" w:rsidP="008C0D47">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pacing w:val="8"/>
          <w:sz w:val="22"/>
          <w:szCs w:val="22"/>
          <w:lang w:eastAsia="ja-JP"/>
        </w:rPr>
      </w:pPr>
      <w:r w:rsidRPr="005E6B7C">
        <w:rPr>
          <w:rFonts w:asciiTheme="majorHAnsi" w:eastAsia="Times New Roman" w:hAnsiTheme="majorHAnsi" w:cstheme="majorHAnsi"/>
          <w:color w:val="000000" w:themeColor="text1"/>
          <w:spacing w:val="8"/>
          <w:sz w:val="22"/>
          <w:szCs w:val="22"/>
          <w:lang w:eastAsia="ja-JP"/>
        </w:rPr>
        <w:t xml:space="preserve">Prepare standard solutions with different concentrations in the range 0.06 – 1.00 </w:t>
      </w:r>
      <w:r w:rsidR="00266B26" w:rsidRPr="005E6B7C">
        <w:rPr>
          <w:rFonts w:asciiTheme="majorHAnsi" w:eastAsia="Times New Roman" w:hAnsiTheme="majorHAnsi" w:cstheme="majorHAnsi"/>
          <w:i/>
          <w:iCs/>
          <w:color w:val="000000" w:themeColor="text1"/>
          <w:spacing w:val="8"/>
          <w:sz w:val="22"/>
          <w:szCs w:val="22"/>
          <w:lang w:eastAsia="ja-JP"/>
        </w:rPr>
        <w:t>µ</w:t>
      </w:r>
      <w:r w:rsidRPr="005E6B7C">
        <w:rPr>
          <w:rFonts w:asciiTheme="majorHAnsi" w:eastAsia="Times New Roman" w:hAnsiTheme="majorHAnsi" w:cstheme="majorHAnsi"/>
          <w:color w:val="000000" w:themeColor="text1"/>
          <w:spacing w:val="8"/>
          <w:sz w:val="22"/>
          <w:szCs w:val="22"/>
          <w:lang w:eastAsia="ja-JP"/>
        </w:rPr>
        <w:t xml:space="preserve">g/band for lycopene and 0.04 – 1.25 </w:t>
      </w:r>
      <w:r w:rsidR="00266B26" w:rsidRPr="005E6B7C">
        <w:rPr>
          <w:rFonts w:asciiTheme="majorHAnsi" w:eastAsia="Times New Roman" w:hAnsiTheme="majorHAnsi" w:cstheme="majorHAnsi"/>
          <w:i/>
          <w:iCs/>
          <w:color w:val="000000" w:themeColor="text1"/>
          <w:spacing w:val="8"/>
          <w:sz w:val="22"/>
          <w:szCs w:val="22"/>
          <w:lang w:eastAsia="ja-JP"/>
        </w:rPr>
        <w:t>µ</w:t>
      </w:r>
      <w:r w:rsidRPr="005E6B7C">
        <w:rPr>
          <w:rFonts w:asciiTheme="majorHAnsi" w:eastAsia="Times New Roman" w:hAnsiTheme="majorHAnsi" w:cstheme="majorHAnsi"/>
          <w:color w:val="000000" w:themeColor="text1"/>
          <w:spacing w:val="8"/>
          <w:sz w:val="22"/>
          <w:szCs w:val="22"/>
          <w:lang w:eastAsia="ja-JP"/>
        </w:rPr>
        <w:t xml:space="preserve">g/band </w:t>
      </w:r>
      <w:r w:rsidRPr="005E6B7C">
        <w:rPr>
          <w:rFonts w:asciiTheme="majorHAnsi" w:eastAsia="Times New Roman" w:hAnsiTheme="majorHAnsi" w:cstheme="majorHAnsi"/>
          <w:color w:val="000000" w:themeColor="text1"/>
          <w:spacing w:val="8"/>
          <w:sz w:val="22"/>
          <w:szCs w:val="22"/>
          <w:lang w:eastAsia="ja-JP"/>
        </w:rPr>
        <w:t xml:space="preserve">for </w:t>
      </w:r>
      <w:r w:rsidRPr="005E6B7C">
        <w:rPr>
          <w:rFonts w:asciiTheme="majorHAnsi" w:eastAsia="Times New Roman" w:hAnsiTheme="majorHAnsi" w:cstheme="majorHAnsi"/>
          <w:i/>
          <w:iCs/>
          <w:color w:val="000000" w:themeColor="text1"/>
          <w:spacing w:val="8"/>
          <w:sz w:val="22"/>
          <w:szCs w:val="22"/>
          <w:lang w:eastAsia="ja-JP"/>
        </w:rPr>
        <w:t>β</w:t>
      </w:r>
      <w:r w:rsidRPr="005E6B7C">
        <w:rPr>
          <w:rFonts w:asciiTheme="majorHAnsi" w:eastAsia="Times New Roman" w:hAnsiTheme="majorHAnsi" w:cstheme="majorHAnsi"/>
          <w:color w:val="000000" w:themeColor="text1"/>
          <w:spacing w:val="8"/>
          <w:sz w:val="22"/>
          <w:szCs w:val="22"/>
          <w:lang w:eastAsia="ja-JP"/>
        </w:rPr>
        <w:t xml:space="preserve">-carotene. Carry out HPTLC chromatography of the standard solutions after dilution according to the selected conditions, record the peak area value corresponding to each standard, thereby building a standard curve representing the relationship between the concentration of each standard in the solution and the peak area value obtained on the chromatogram. The results are shown in </w:t>
      </w:r>
      <w:r w:rsidR="00517F81" w:rsidRPr="005E6B7C">
        <w:rPr>
          <w:rFonts w:asciiTheme="majorHAnsi" w:eastAsia="Times New Roman" w:hAnsiTheme="majorHAnsi" w:cstheme="majorHAnsi"/>
          <w:color w:val="000000" w:themeColor="text1"/>
          <w:spacing w:val="8"/>
          <w:sz w:val="22"/>
          <w:szCs w:val="22"/>
          <w:lang w:eastAsia="ja-JP"/>
        </w:rPr>
        <w:t xml:space="preserve">Fig. </w:t>
      </w:r>
      <w:r w:rsidRPr="005E6B7C">
        <w:rPr>
          <w:rFonts w:asciiTheme="majorHAnsi" w:eastAsia="Times New Roman" w:hAnsiTheme="majorHAnsi" w:cstheme="majorHAnsi"/>
          <w:color w:val="000000" w:themeColor="text1"/>
          <w:spacing w:val="8"/>
          <w:sz w:val="22"/>
          <w:szCs w:val="22"/>
          <w:lang w:eastAsia="ja-JP"/>
        </w:rPr>
        <w:t xml:space="preserve">5 and </w:t>
      </w:r>
      <w:r w:rsidRPr="005E6B7C">
        <w:rPr>
          <w:rFonts w:asciiTheme="majorHAnsi" w:eastAsia="Calibri" w:hAnsiTheme="majorHAnsi" w:cstheme="majorHAnsi"/>
          <w:color w:val="000000" w:themeColor="text1"/>
          <w:spacing w:val="8"/>
          <w:sz w:val="22"/>
          <w:szCs w:val="22"/>
          <w:lang w:eastAsia="ja-JP"/>
        </w:rPr>
        <w:t>Table 3.</w:t>
      </w:r>
    </w:p>
    <w:p w14:paraId="2DFED324"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z w:val="22"/>
          <w:szCs w:val="22"/>
          <w:lang w:eastAsia="ja-JP"/>
        </w:rPr>
        <w:sectPr w:rsidR="000F51CE" w:rsidRPr="005E6B7C" w:rsidSect="000F51CE">
          <w:type w:val="continuous"/>
          <w:pgSz w:w="10773" w:h="15309" w:code="9"/>
          <w:pgMar w:top="907" w:right="851" w:bottom="1418" w:left="851" w:header="397" w:footer="851" w:gutter="0"/>
          <w:cols w:num="2" w:space="284"/>
          <w:docGrid w:linePitch="360"/>
        </w:sectPr>
      </w:pPr>
    </w:p>
    <w:p w14:paraId="23F6C9BF" w14:textId="77777777" w:rsidR="00E049CB" w:rsidRPr="005E6B7C" w:rsidRDefault="00E049CB" w:rsidP="008C0D47">
      <w:pPr>
        <w:tabs>
          <w:tab w:val="left" w:pos="270"/>
          <w:tab w:val="left" w:pos="540"/>
          <w:tab w:val="left" w:pos="9270"/>
        </w:tabs>
        <w:spacing w:before="120" w:after="120"/>
        <w:jc w:val="center"/>
        <w:rPr>
          <w:rFonts w:asciiTheme="majorHAnsi" w:eastAsia="Times New Roman" w:hAnsiTheme="majorHAnsi" w:cstheme="majorHAnsi"/>
          <w:color w:val="000000" w:themeColor="text1"/>
          <w:sz w:val="18"/>
          <w:szCs w:val="18"/>
          <w:lang w:eastAsia="ja-JP"/>
        </w:rPr>
      </w:pPr>
      <w:r w:rsidRPr="005E6B7C">
        <w:rPr>
          <w:rFonts w:asciiTheme="majorHAnsi" w:eastAsia="Calibri" w:hAnsiTheme="majorHAnsi" w:cstheme="majorHAnsi"/>
          <w:b/>
          <w:bCs/>
          <w:color w:val="000000" w:themeColor="text1"/>
          <w:sz w:val="18"/>
          <w:szCs w:val="18"/>
          <w:lang w:eastAsia="ja-JP"/>
        </w:rPr>
        <w:t xml:space="preserve">Table 3. </w:t>
      </w:r>
      <w:r w:rsidRPr="005E6B7C">
        <w:rPr>
          <w:rFonts w:asciiTheme="majorHAnsi" w:eastAsia="Yu Mincho" w:hAnsiTheme="majorHAnsi" w:cstheme="majorHAnsi"/>
          <w:color w:val="000000" w:themeColor="text1"/>
          <w:sz w:val="18"/>
          <w:szCs w:val="18"/>
          <w:lang w:eastAsia="ja-JP"/>
        </w:rPr>
        <w:t>Linearity study data</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6"/>
        <w:gridCol w:w="1497"/>
        <w:gridCol w:w="889"/>
        <w:gridCol w:w="715"/>
        <w:gridCol w:w="1698"/>
        <w:gridCol w:w="1428"/>
        <w:gridCol w:w="769"/>
        <w:gridCol w:w="750"/>
      </w:tblGrid>
      <w:tr w:rsidR="0018773C" w:rsidRPr="005E6B7C" w14:paraId="1A3A84F4" w14:textId="77777777" w:rsidTr="00AD6EEB">
        <w:trPr>
          <w:jc w:val="center"/>
        </w:trPr>
        <w:tc>
          <w:tcPr>
            <w:tcW w:w="2420" w:type="pct"/>
            <w:gridSpan w:val="4"/>
            <w:shd w:val="clear" w:color="000000" w:fill="FFFFFF"/>
            <w:noWrap/>
            <w:vAlign w:val="center"/>
            <w:hideMark/>
          </w:tcPr>
          <w:p w14:paraId="4DA66AA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Lycopene</w:t>
            </w:r>
          </w:p>
        </w:tc>
        <w:tc>
          <w:tcPr>
            <w:tcW w:w="2580" w:type="pct"/>
            <w:gridSpan w:val="4"/>
            <w:shd w:val="clear" w:color="000000" w:fill="FFFFFF"/>
            <w:noWrap/>
            <w:vAlign w:val="center"/>
            <w:hideMark/>
          </w:tcPr>
          <w:p w14:paraId="04570A8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β</w:t>
            </w:r>
            <w:r w:rsidRPr="005E6B7C">
              <w:rPr>
                <w:rFonts w:asciiTheme="majorHAnsi" w:eastAsia="Times New Roman" w:hAnsiTheme="majorHAnsi" w:cstheme="majorHAnsi"/>
                <w:b/>
                <w:bCs/>
                <w:color w:val="000000" w:themeColor="text1"/>
                <w:sz w:val="18"/>
                <w:szCs w:val="18"/>
                <w:lang w:eastAsia="ja-JP"/>
              </w:rPr>
              <w:t>-Carotene</w:t>
            </w:r>
          </w:p>
        </w:tc>
      </w:tr>
      <w:tr w:rsidR="0018773C" w:rsidRPr="005E6B7C" w14:paraId="3B016BB5" w14:textId="77777777" w:rsidTr="00AD6EEB">
        <w:trPr>
          <w:jc w:val="center"/>
        </w:trPr>
        <w:tc>
          <w:tcPr>
            <w:tcW w:w="697" w:type="pct"/>
            <w:shd w:val="clear" w:color="000000" w:fill="FFFFFF"/>
            <w:vAlign w:val="center"/>
            <w:hideMark/>
          </w:tcPr>
          <w:p w14:paraId="520B3DC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Concentration (μg/mL)</w:t>
            </w:r>
          </w:p>
        </w:tc>
        <w:tc>
          <w:tcPr>
            <w:tcW w:w="830" w:type="pct"/>
            <w:shd w:val="clear" w:color="000000" w:fill="FFFFFF"/>
            <w:vAlign w:val="center"/>
            <w:hideMark/>
          </w:tcPr>
          <w:p w14:paraId="144F1EBF" w14:textId="61BEC30C"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Applied quantity (</w:t>
            </w:r>
            <w:r w:rsidR="00266B26" w:rsidRPr="005E6B7C">
              <w:rPr>
                <w:rFonts w:asciiTheme="majorHAnsi" w:eastAsia="Times New Roman" w:hAnsiTheme="majorHAnsi" w:cstheme="majorHAnsi"/>
                <w:b/>
                <w:bCs/>
                <w:i/>
                <w:iCs/>
                <w:color w:val="000000" w:themeColor="text1"/>
                <w:sz w:val="18"/>
                <w:szCs w:val="18"/>
                <w:lang w:eastAsia="ja-JP"/>
              </w:rPr>
              <w:t>µ</w:t>
            </w:r>
            <w:r w:rsidRPr="005E6B7C">
              <w:rPr>
                <w:rFonts w:asciiTheme="majorHAnsi" w:eastAsia="Times New Roman" w:hAnsiTheme="majorHAnsi" w:cstheme="majorHAnsi"/>
                <w:b/>
                <w:bCs/>
                <w:color w:val="000000" w:themeColor="text1"/>
                <w:sz w:val="18"/>
                <w:szCs w:val="18"/>
                <w:lang w:eastAsia="ja-JP"/>
              </w:rPr>
              <w:t>g/band)</w:t>
            </w:r>
          </w:p>
        </w:tc>
        <w:tc>
          <w:tcPr>
            <w:tcW w:w="495" w:type="pct"/>
            <w:shd w:val="clear" w:color="000000" w:fill="FFFFFF"/>
            <w:vAlign w:val="center"/>
            <w:hideMark/>
          </w:tcPr>
          <w:p w14:paraId="3A5B321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Peak area</w:t>
            </w:r>
          </w:p>
        </w:tc>
        <w:tc>
          <w:tcPr>
            <w:tcW w:w="399" w:type="pct"/>
            <w:shd w:val="clear" w:color="000000" w:fill="FFFFFF"/>
            <w:vAlign w:val="center"/>
            <w:hideMark/>
          </w:tcPr>
          <w:p w14:paraId="579E939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Bias (%)</w:t>
            </w:r>
          </w:p>
        </w:tc>
        <w:tc>
          <w:tcPr>
            <w:tcW w:w="941" w:type="pct"/>
            <w:shd w:val="clear" w:color="000000" w:fill="FFFFFF"/>
            <w:vAlign w:val="center"/>
            <w:hideMark/>
          </w:tcPr>
          <w:p w14:paraId="7991213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Concentration (μg/mL)</w:t>
            </w:r>
          </w:p>
        </w:tc>
        <w:tc>
          <w:tcPr>
            <w:tcW w:w="792" w:type="pct"/>
            <w:shd w:val="clear" w:color="000000" w:fill="FFFFFF"/>
            <w:vAlign w:val="center"/>
            <w:hideMark/>
          </w:tcPr>
          <w:p w14:paraId="4FB4CDAB" w14:textId="2E38FA28"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Applied quantity (</w:t>
            </w:r>
            <w:r w:rsidR="00266B26" w:rsidRPr="005E6B7C">
              <w:rPr>
                <w:rFonts w:asciiTheme="majorHAnsi" w:eastAsia="Times New Roman" w:hAnsiTheme="majorHAnsi" w:cstheme="majorHAnsi"/>
                <w:b/>
                <w:bCs/>
                <w:i/>
                <w:iCs/>
                <w:color w:val="000000" w:themeColor="text1"/>
                <w:sz w:val="18"/>
                <w:szCs w:val="18"/>
                <w:lang w:eastAsia="ja-JP"/>
              </w:rPr>
              <w:t>µ</w:t>
            </w:r>
            <w:r w:rsidRPr="005E6B7C">
              <w:rPr>
                <w:rFonts w:asciiTheme="majorHAnsi" w:eastAsia="Times New Roman" w:hAnsiTheme="majorHAnsi" w:cstheme="majorHAnsi"/>
                <w:b/>
                <w:bCs/>
                <w:color w:val="000000" w:themeColor="text1"/>
                <w:sz w:val="18"/>
                <w:szCs w:val="18"/>
                <w:lang w:eastAsia="ja-JP"/>
              </w:rPr>
              <w:t>g/band)</w:t>
            </w:r>
          </w:p>
        </w:tc>
        <w:tc>
          <w:tcPr>
            <w:tcW w:w="428" w:type="pct"/>
            <w:shd w:val="clear" w:color="000000" w:fill="FFFFFF"/>
            <w:vAlign w:val="center"/>
            <w:hideMark/>
          </w:tcPr>
          <w:p w14:paraId="6642EF1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Peak area</w:t>
            </w:r>
          </w:p>
        </w:tc>
        <w:tc>
          <w:tcPr>
            <w:tcW w:w="419" w:type="pct"/>
            <w:shd w:val="clear" w:color="000000" w:fill="FFFFFF"/>
            <w:vAlign w:val="center"/>
            <w:hideMark/>
          </w:tcPr>
          <w:p w14:paraId="30DA1FC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Bias (%)</w:t>
            </w:r>
          </w:p>
        </w:tc>
      </w:tr>
      <w:tr w:rsidR="0018773C" w:rsidRPr="005E6B7C" w14:paraId="260B4E69" w14:textId="77777777" w:rsidTr="00AD6EEB">
        <w:trPr>
          <w:jc w:val="center"/>
        </w:trPr>
        <w:tc>
          <w:tcPr>
            <w:tcW w:w="697" w:type="pct"/>
            <w:shd w:val="clear" w:color="000000" w:fill="FFFFFF"/>
            <w:vAlign w:val="bottom"/>
            <w:hideMark/>
          </w:tcPr>
          <w:p w14:paraId="408DDFD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100.00</w:t>
            </w:r>
          </w:p>
        </w:tc>
        <w:tc>
          <w:tcPr>
            <w:tcW w:w="830" w:type="pct"/>
            <w:shd w:val="clear" w:color="000000" w:fill="FFFFFF"/>
            <w:vAlign w:val="bottom"/>
            <w:hideMark/>
          </w:tcPr>
          <w:p w14:paraId="1DD1E45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w:t>
            </w:r>
          </w:p>
        </w:tc>
        <w:tc>
          <w:tcPr>
            <w:tcW w:w="495" w:type="pct"/>
            <w:shd w:val="clear" w:color="000000" w:fill="FFFFFF"/>
            <w:vAlign w:val="bottom"/>
            <w:hideMark/>
          </w:tcPr>
          <w:p w14:paraId="1831F39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0.0100</w:t>
            </w:r>
          </w:p>
        </w:tc>
        <w:tc>
          <w:tcPr>
            <w:tcW w:w="399" w:type="pct"/>
            <w:shd w:val="clear" w:color="000000" w:fill="FFFFFF"/>
            <w:noWrap/>
            <w:vAlign w:val="bottom"/>
            <w:hideMark/>
          </w:tcPr>
          <w:p w14:paraId="4F5B9A3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w:t>
            </w:r>
          </w:p>
        </w:tc>
        <w:tc>
          <w:tcPr>
            <w:tcW w:w="941" w:type="pct"/>
            <w:shd w:val="clear" w:color="000000" w:fill="FFFFFF"/>
            <w:vAlign w:val="bottom"/>
            <w:hideMark/>
          </w:tcPr>
          <w:p w14:paraId="0838E59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125.00</w:t>
            </w:r>
          </w:p>
        </w:tc>
        <w:tc>
          <w:tcPr>
            <w:tcW w:w="792" w:type="pct"/>
            <w:shd w:val="clear" w:color="000000" w:fill="FFFFFF"/>
            <w:vAlign w:val="bottom"/>
            <w:hideMark/>
          </w:tcPr>
          <w:p w14:paraId="09CC73A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1.25</w:t>
            </w:r>
          </w:p>
        </w:tc>
        <w:tc>
          <w:tcPr>
            <w:tcW w:w="428" w:type="pct"/>
            <w:shd w:val="clear" w:color="000000" w:fill="FFFFFF"/>
            <w:vAlign w:val="bottom"/>
            <w:hideMark/>
          </w:tcPr>
          <w:p w14:paraId="037D7E1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0.0690</w:t>
            </w:r>
          </w:p>
        </w:tc>
        <w:tc>
          <w:tcPr>
            <w:tcW w:w="419" w:type="pct"/>
            <w:shd w:val="clear" w:color="000000" w:fill="FFFFFF"/>
            <w:noWrap/>
            <w:vAlign w:val="bottom"/>
            <w:hideMark/>
          </w:tcPr>
          <w:p w14:paraId="005A5F6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0.26</w:t>
            </w:r>
          </w:p>
        </w:tc>
      </w:tr>
      <w:tr w:rsidR="0018773C" w:rsidRPr="005E6B7C" w14:paraId="6F2437CB" w14:textId="77777777" w:rsidTr="00AD6EEB">
        <w:trPr>
          <w:jc w:val="center"/>
        </w:trPr>
        <w:tc>
          <w:tcPr>
            <w:tcW w:w="697" w:type="pct"/>
            <w:shd w:val="clear" w:color="000000" w:fill="FFFFFF"/>
            <w:vAlign w:val="bottom"/>
            <w:hideMark/>
          </w:tcPr>
          <w:p w14:paraId="1ACBD10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50.00</w:t>
            </w:r>
          </w:p>
        </w:tc>
        <w:tc>
          <w:tcPr>
            <w:tcW w:w="830" w:type="pct"/>
            <w:shd w:val="clear" w:color="000000" w:fill="FFFFFF"/>
            <w:vAlign w:val="bottom"/>
            <w:hideMark/>
          </w:tcPr>
          <w:p w14:paraId="181E312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0.50</w:t>
            </w:r>
          </w:p>
        </w:tc>
        <w:tc>
          <w:tcPr>
            <w:tcW w:w="495" w:type="pct"/>
            <w:shd w:val="clear" w:color="000000" w:fill="FFFFFF"/>
            <w:vAlign w:val="bottom"/>
            <w:hideMark/>
          </w:tcPr>
          <w:p w14:paraId="5950E04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0.0053</w:t>
            </w:r>
          </w:p>
        </w:tc>
        <w:tc>
          <w:tcPr>
            <w:tcW w:w="399" w:type="pct"/>
            <w:shd w:val="clear" w:color="000000" w:fill="FFFFFF"/>
            <w:noWrap/>
            <w:vAlign w:val="bottom"/>
            <w:hideMark/>
          </w:tcPr>
          <w:p w14:paraId="0EB8598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2.27</w:t>
            </w:r>
          </w:p>
        </w:tc>
        <w:tc>
          <w:tcPr>
            <w:tcW w:w="941" w:type="pct"/>
            <w:shd w:val="clear" w:color="000000" w:fill="FFFFFF"/>
            <w:vAlign w:val="bottom"/>
            <w:hideMark/>
          </w:tcPr>
          <w:p w14:paraId="514FA58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62.50</w:t>
            </w:r>
          </w:p>
        </w:tc>
        <w:tc>
          <w:tcPr>
            <w:tcW w:w="792" w:type="pct"/>
            <w:shd w:val="clear" w:color="000000" w:fill="FFFFFF"/>
            <w:vAlign w:val="bottom"/>
            <w:hideMark/>
          </w:tcPr>
          <w:p w14:paraId="778DEDD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0.63</w:t>
            </w:r>
          </w:p>
        </w:tc>
        <w:tc>
          <w:tcPr>
            <w:tcW w:w="428" w:type="pct"/>
            <w:shd w:val="clear" w:color="000000" w:fill="FFFFFF"/>
            <w:vAlign w:val="bottom"/>
            <w:hideMark/>
          </w:tcPr>
          <w:p w14:paraId="1AE9CA4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0.0357</w:t>
            </w:r>
          </w:p>
        </w:tc>
        <w:tc>
          <w:tcPr>
            <w:tcW w:w="419" w:type="pct"/>
            <w:shd w:val="clear" w:color="000000" w:fill="FFFFFF"/>
            <w:noWrap/>
            <w:vAlign w:val="bottom"/>
            <w:hideMark/>
          </w:tcPr>
          <w:p w14:paraId="16023E7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-0.19</w:t>
            </w:r>
          </w:p>
        </w:tc>
      </w:tr>
      <w:tr w:rsidR="0018773C" w:rsidRPr="005E6B7C" w14:paraId="78A926CB" w14:textId="77777777" w:rsidTr="00AD6EEB">
        <w:trPr>
          <w:jc w:val="center"/>
        </w:trPr>
        <w:tc>
          <w:tcPr>
            <w:tcW w:w="697" w:type="pct"/>
            <w:shd w:val="clear" w:color="000000" w:fill="FFFFFF"/>
            <w:vAlign w:val="bottom"/>
            <w:hideMark/>
          </w:tcPr>
          <w:p w14:paraId="5B7D66A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25.00</w:t>
            </w:r>
          </w:p>
        </w:tc>
        <w:tc>
          <w:tcPr>
            <w:tcW w:w="830" w:type="pct"/>
            <w:shd w:val="clear" w:color="000000" w:fill="FFFFFF"/>
            <w:vAlign w:val="bottom"/>
            <w:hideMark/>
          </w:tcPr>
          <w:p w14:paraId="74D7CA8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0.25</w:t>
            </w:r>
          </w:p>
        </w:tc>
        <w:tc>
          <w:tcPr>
            <w:tcW w:w="495" w:type="pct"/>
            <w:shd w:val="clear" w:color="000000" w:fill="FFFFFF"/>
            <w:vAlign w:val="bottom"/>
            <w:hideMark/>
          </w:tcPr>
          <w:p w14:paraId="158200F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0.0025</w:t>
            </w:r>
          </w:p>
        </w:tc>
        <w:tc>
          <w:tcPr>
            <w:tcW w:w="399" w:type="pct"/>
            <w:shd w:val="clear" w:color="000000" w:fill="FFFFFF"/>
            <w:noWrap/>
            <w:vAlign w:val="bottom"/>
            <w:hideMark/>
          </w:tcPr>
          <w:p w14:paraId="376C3F9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-7.63</w:t>
            </w:r>
          </w:p>
        </w:tc>
        <w:tc>
          <w:tcPr>
            <w:tcW w:w="941" w:type="pct"/>
            <w:shd w:val="clear" w:color="000000" w:fill="FFFFFF"/>
            <w:vAlign w:val="bottom"/>
            <w:hideMark/>
          </w:tcPr>
          <w:p w14:paraId="4ECFD28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31.25</w:t>
            </w:r>
          </w:p>
        </w:tc>
        <w:tc>
          <w:tcPr>
            <w:tcW w:w="792" w:type="pct"/>
            <w:shd w:val="clear" w:color="000000" w:fill="FFFFFF"/>
            <w:vAlign w:val="bottom"/>
            <w:hideMark/>
          </w:tcPr>
          <w:p w14:paraId="15CD577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0.31</w:t>
            </w:r>
          </w:p>
        </w:tc>
        <w:tc>
          <w:tcPr>
            <w:tcW w:w="428" w:type="pct"/>
            <w:shd w:val="clear" w:color="000000" w:fill="FFFFFF"/>
            <w:vAlign w:val="bottom"/>
            <w:hideMark/>
          </w:tcPr>
          <w:p w14:paraId="01A268A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0.0189</w:t>
            </w:r>
          </w:p>
        </w:tc>
        <w:tc>
          <w:tcPr>
            <w:tcW w:w="419" w:type="pct"/>
            <w:shd w:val="clear" w:color="000000" w:fill="FFFFFF"/>
            <w:noWrap/>
            <w:vAlign w:val="bottom"/>
            <w:hideMark/>
          </w:tcPr>
          <w:p w14:paraId="4E96578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-2.00</w:t>
            </w:r>
          </w:p>
        </w:tc>
      </w:tr>
      <w:tr w:rsidR="0018773C" w:rsidRPr="005E6B7C" w14:paraId="7C59AD6A" w14:textId="77777777" w:rsidTr="00AD6EEB">
        <w:trPr>
          <w:jc w:val="center"/>
        </w:trPr>
        <w:tc>
          <w:tcPr>
            <w:tcW w:w="697" w:type="pct"/>
            <w:shd w:val="clear" w:color="000000" w:fill="FFFFFF"/>
            <w:vAlign w:val="bottom"/>
            <w:hideMark/>
          </w:tcPr>
          <w:p w14:paraId="0C42210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12.50</w:t>
            </w:r>
          </w:p>
        </w:tc>
        <w:tc>
          <w:tcPr>
            <w:tcW w:w="830" w:type="pct"/>
            <w:shd w:val="clear" w:color="000000" w:fill="FFFFFF"/>
            <w:vAlign w:val="bottom"/>
            <w:hideMark/>
          </w:tcPr>
          <w:p w14:paraId="5FF8BC2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0.13</w:t>
            </w:r>
          </w:p>
        </w:tc>
        <w:tc>
          <w:tcPr>
            <w:tcW w:w="495" w:type="pct"/>
            <w:shd w:val="clear" w:color="000000" w:fill="FFFFFF"/>
            <w:vAlign w:val="bottom"/>
            <w:hideMark/>
          </w:tcPr>
          <w:p w14:paraId="645775D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0.0016</w:t>
            </w:r>
          </w:p>
        </w:tc>
        <w:tc>
          <w:tcPr>
            <w:tcW w:w="399" w:type="pct"/>
            <w:shd w:val="clear" w:color="000000" w:fill="FFFFFF"/>
            <w:noWrap/>
            <w:vAlign w:val="bottom"/>
            <w:hideMark/>
          </w:tcPr>
          <w:p w14:paraId="0A4FB59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7.22</w:t>
            </w:r>
          </w:p>
        </w:tc>
        <w:tc>
          <w:tcPr>
            <w:tcW w:w="941" w:type="pct"/>
            <w:shd w:val="clear" w:color="000000" w:fill="FFFFFF"/>
            <w:vAlign w:val="bottom"/>
            <w:hideMark/>
          </w:tcPr>
          <w:p w14:paraId="2EF6DD9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15.63</w:t>
            </w:r>
          </w:p>
        </w:tc>
        <w:tc>
          <w:tcPr>
            <w:tcW w:w="792" w:type="pct"/>
            <w:shd w:val="clear" w:color="000000" w:fill="FFFFFF"/>
            <w:vAlign w:val="bottom"/>
            <w:hideMark/>
          </w:tcPr>
          <w:p w14:paraId="4FA0B5D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0.16</w:t>
            </w:r>
          </w:p>
        </w:tc>
        <w:tc>
          <w:tcPr>
            <w:tcW w:w="428" w:type="pct"/>
            <w:shd w:val="clear" w:color="000000" w:fill="FFFFFF"/>
            <w:vAlign w:val="bottom"/>
            <w:hideMark/>
          </w:tcPr>
          <w:p w14:paraId="636DB35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0.0110</w:t>
            </w:r>
          </w:p>
        </w:tc>
        <w:tc>
          <w:tcPr>
            <w:tcW w:w="419" w:type="pct"/>
            <w:shd w:val="clear" w:color="000000" w:fill="FFFFFF"/>
            <w:noWrap/>
            <w:vAlign w:val="bottom"/>
            <w:hideMark/>
          </w:tcPr>
          <w:p w14:paraId="02867C4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0.42</w:t>
            </w:r>
          </w:p>
        </w:tc>
      </w:tr>
      <w:tr w:rsidR="0018773C" w:rsidRPr="005E6B7C" w14:paraId="29C8A93D" w14:textId="77777777" w:rsidTr="00AD6EEB">
        <w:trPr>
          <w:jc w:val="center"/>
        </w:trPr>
        <w:tc>
          <w:tcPr>
            <w:tcW w:w="697" w:type="pct"/>
            <w:shd w:val="clear" w:color="000000" w:fill="FFFFFF"/>
            <w:vAlign w:val="bottom"/>
            <w:hideMark/>
          </w:tcPr>
          <w:p w14:paraId="175EB99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6.25</w:t>
            </w:r>
          </w:p>
        </w:tc>
        <w:tc>
          <w:tcPr>
            <w:tcW w:w="830" w:type="pct"/>
            <w:shd w:val="clear" w:color="000000" w:fill="FFFFFF"/>
            <w:vAlign w:val="bottom"/>
            <w:hideMark/>
          </w:tcPr>
          <w:p w14:paraId="2803A16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495" w:type="pct"/>
            <w:shd w:val="clear" w:color="000000" w:fill="FFFFFF"/>
            <w:vAlign w:val="bottom"/>
            <w:hideMark/>
          </w:tcPr>
          <w:p w14:paraId="2E54302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0.0009</w:t>
            </w:r>
          </w:p>
        </w:tc>
        <w:tc>
          <w:tcPr>
            <w:tcW w:w="399" w:type="pct"/>
            <w:shd w:val="clear" w:color="000000" w:fill="FFFFFF"/>
            <w:noWrap/>
            <w:vAlign w:val="bottom"/>
            <w:hideMark/>
          </w:tcPr>
          <w:p w14:paraId="6EC74CE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w:t>
            </w:r>
          </w:p>
        </w:tc>
        <w:tc>
          <w:tcPr>
            <w:tcW w:w="941" w:type="pct"/>
            <w:shd w:val="clear" w:color="000000" w:fill="FFFFFF"/>
            <w:vAlign w:val="bottom"/>
            <w:hideMark/>
          </w:tcPr>
          <w:p w14:paraId="6EDE683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7.81</w:t>
            </w:r>
          </w:p>
        </w:tc>
        <w:tc>
          <w:tcPr>
            <w:tcW w:w="792" w:type="pct"/>
            <w:shd w:val="clear" w:color="000000" w:fill="FFFFFF"/>
            <w:vAlign w:val="bottom"/>
            <w:hideMark/>
          </w:tcPr>
          <w:p w14:paraId="6550598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w:t>
            </w:r>
          </w:p>
        </w:tc>
        <w:tc>
          <w:tcPr>
            <w:tcW w:w="428" w:type="pct"/>
            <w:shd w:val="clear" w:color="000000" w:fill="FFFFFF"/>
            <w:vAlign w:val="bottom"/>
            <w:hideMark/>
          </w:tcPr>
          <w:p w14:paraId="568834C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0.0070</w:t>
            </w:r>
          </w:p>
        </w:tc>
        <w:tc>
          <w:tcPr>
            <w:tcW w:w="419" w:type="pct"/>
            <w:shd w:val="clear" w:color="000000" w:fill="FFFFFF"/>
            <w:noWrap/>
            <w:vAlign w:val="bottom"/>
            <w:hideMark/>
          </w:tcPr>
          <w:p w14:paraId="425DF68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4.05</w:t>
            </w:r>
          </w:p>
        </w:tc>
      </w:tr>
      <w:tr w:rsidR="0018773C" w:rsidRPr="005E6B7C" w14:paraId="1A39B5FF" w14:textId="77777777" w:rsidTr="00AD6EEB">
        <w:trPr>
          <w:jc w:val="center"/>
        </w:trPr>
        <w:tc>
          <w:tcPr>
            <w:tcW w:w="697" w:type="pct"/>
            <w:shd w:val="clear" w:color="000000" w:fill="FFFFFF"/>
            <w:noWrap/>
            <w:vAlign w:val="bottom"/>
            <w:hideMark/>
          </w:tcPr>
          <w:p w14:paraId="1211421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830" w:type="pct"/>
            <w:shd w:val="clear" w:color="000000" w:fill="FFFFFF"/>
            <w:noWrap/>
            <w:vAlign w:val="bottom"/>
            <w:hideMark/>
          </w:tcPr>
          <w:p w14:paraId="3B21E17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495" w:type="pct"/>
            <w:shd w:val="clear" w:color="000000" w:fill="FFFFFF"/>
            <w:noWrap/>
            <w:vAlign w:val="bottom"/>
            <w:hideMark/>
          </w:tcPr>
          <w:p w14:paraId="1DD2B1E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399" w:type="pct"/>
            <w:shd w:val="clear" w:color="000000" w:fill="FFFFFF"/>
            <w:noWrap/>
            <w:vAlign w:val="bottom"/>
            <w:hideMark/>
          </w:tcPr>
          <w:p w14:paraId="36FEA19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p>
        </w:tc>
        <w:tc>
          <w:tcPr>
            <w:tcW w:w="941" w:type="pct"/>
            <w:shd w:val="clear" w:color="000000" w:fill="FFFFFF"/>
            <w:vAlign w:val="bottom"/>
            <w:hideMark/>
          </w:tcPr>
          <w:p w14:paraId="6189CEB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3.91</w:t>
            </w:r>
          </w:p>
        </w:tc>
        <w:tc>
          <w:tcPr>
            <w:tcW w:w="792" w:type="pct"/>
            <w:shd w:val="clear" w:color="000000" w:fill="FFFFFF"/>
            <w:vAlign w:val="bottom"/>
            <w:hideMark/>
          </w:tcPr>
          <w:p w14:paraId="7ECBE01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0.04</w:t>
            </w:r>
          </w:p>
        </w:tc>
        <w:tc>
          <w:tcPr>
            <w:tcW w:w="428" w:type="pct"/>
            <w:shd w:val="clear" w:color="000000" w:fill="FFFFFF"/>
            <w:vAlign w:val="bottom"/>
            <w:hideMark/>
          </w:tcPr>
          <w:p w14:paraId="6E602F7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0.0050</w:t>
            </w:r>
          </w:p>
        </w:tc>
        <w:tc>
          <w:tcPr>
            <w:tcW w:w="419" w:type="pct"/>
            <w:shd w:val="clear" w:color="000000" w:fill="FFFFFF"/>
            <w:noWrap/>
            <w:vAlign w:val="bottom"/>
            <w:hideMark/>
          </w:tcPr>
          <w:p w14:paraId="7B08C34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11.30</w:t>
            </w:r>
          </w:p>
        </w:tc>
      </w:tr>
    </w:tbl>
    <w:p w14:paraId="3307BAB3" w14:textId="77777777" w:rsidR="000F51CE" w:rsidRPr="005E6B7C" w:rsidRDefault="000F51CE" w:rsidP="008C0D47">
      <w:pPr>
        <w:tabs>
          <w:tab w:val="left" w:pos="270"/>
          <w:tab w:val="left" w:pos="540"/>
          <w:tab w:val="left" w:pos="9270"/>
        </w:tabs>
        <w:ind w:right="-20"/>
        <w:rPr>
          <w:rFonts w:asciiTheme="majorHAnsi" w:eastAsia="Calibri" w:hAnsiTheme="majorHAnsi" w:cstheme="majorHAnsi"/>
          <w:b/>
          <w:iCs/>
          <w:color w:val="000000" w:themeColor="text1"/>
          <w:sz w:val="18"/>
          <w:szCs w:val="18"/>
        </w:rPr>
      </w:pPr>
    </w:p>
    <w:p w14:paraId="4A922E4F" w14:textId="77777777" w:rsidR="000F51CE" w:rsidRPr="005E6B7C" w:rsidRDefault="000F51CE" w:rsidP="008C0D47">
      <w:pPr>
        <w:tabs>
          <w:tab w:val="left" w:pos="270"/>
          <w:tab w:val="left" w:pos="540"/>
          <w:tab w:val="left" w:pos="9270"/>
        </w:tabs>
        <w:ind w:right="-20"/>
        <w:rPr>
          <w:rFonts w:asciiTheme="majorHAnsi" w:eastAsia="Calibri" w:hAnsiTheme="majorHAnsi" w:cstheme="majorHAnsi"/>
          <w:b/>
          <w:iCs/>
          <w:color w:val="000000" w:themeColor="text1"/>
          <w:sz w:val="18"/>
          <w:szCs w:val="18"/>
        </w:rPr>
        <w:sectPr w:rsidR="000F51CE" w:rsidRPr="005E6B7C" w:rsidSect="002206BB">
          <w:type w:val="continuous"/>
          <w:pgSz w:w="10773" w:h="15309" w:code="9"/>
          <w:pgMar w:top="907" w:right="851" w:bottom="1418" w:left="851" w:header="397" w:footer="851" w:gutter="0"/>
          <w:cols w:space="284"/>
          <w:docGrid w:linePitch="360"/>
        </w:sectPr>
      </w:pPr>
    </w:p>
    <w:p w14:paraId="650758E6" w14:textId="77777777" w:rsidR="0018773C" w:rsidRPr="005E6B7C" w:rsidRDefault="0018773C" w:rsidP="008C0D47">
      <w:pPr>
        <w:tabs>
          <w:tab w:val="left" w:pos="270"/>
          <w:tab w:val="left" w:pos="540"/>
          <w:tab w:val="left" w:pos="9270"/>
        </w:tabs>
        <w:ind w:right="-20"/>
        <w:rPr>
          <w:rFonts w:asciiTheme="majorHAnsi" w:eastAsia="Calibri" w:hAnsiTheme="majorHAnsi" w:cstheme="majorHAnsi"/>
          <w:b/>
          <w:iCs/>
          <w:color w:val="000000" w:themeColor="text1"/>
          <w:sz w:val="18"/>
          <w:szCs w:val="18"/>
        </w:rPr>
      </w:pPr>
      <w:r w:rsidRPr="005E6B7C">
        <w:rPr>
          <w:rFonts w:asciiTheme="majorHAnsi" w:eastAsia="Calibri" w:hAnsiTheme="majorHAnsi" w:cstheme="majorHAnsi"/>
          <w:b/>
          <w:iCs/>
          <w:noProof/>
          <w:color w:val="000000" w:themeColor="text1"/>
          <w:sz w:val="18"/>
          <w:szCs w:val="18"/>
        </w:rPr>
        <w:drawing>
          <wp:inline distT="0" distB="0" distL="0" distR="0" wp14:anchorId="22222091" wp14:editId="12482036">
            <wp:extent cx="2796750" cy="1744653"/>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98" cstate="print">
                      <a:extLst>
                        <a:ext uri="{BEBA8EAE-BF5A-486C-A8C5-ECC9F3942E4B}">
                          <a14:imgProps xmlns:a14="http://schemas.microsoft.com/office/drawing/2010/main">
                            <a14:imgLayer r:embed="rId9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01084" cy="1747356"/>
                    </a:xfrm>
                    <a:prstGeom prst="rect">
                      <a:avLst/>
                    </a:prstGeom>
                  </pic:spPr>
                </pic:pic>
              </a:graphicData>
            </a:graphic>
          </wp:inline>
        </w:drawing>
      </w:r>
    </w:p>
    <w:p w14:paraId="65EA6557" w14:textId="77777777" w:rsidR="0018773C"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bCs/>
          <w:iCs/>
          <w:color w:val="000000" w:themeColor="text1"/>
          <w:sz w:val="18"/>
          <w:szCs w:val="18"/>
        </w:rPr>
      </w:pPr>
      <w:r w:rsidRPr="005E6B7C">
        <w:rPr>
          <w:rFonts w:asciiTheme="majorHAnsi" w:eastAsia="Calibri" w:hAnsiTheme="majorHAnsi" w:cstheme="majorHAnsi"/>
          <w:b/>
          <w:iCs/>
          <w:color w:val="000000" w:themeColor="text1"/>
          <w:sz w:val="18"/>
          <w:szCs w:val="18"/>
        </w:rPr>
        <w:t xml:space="preserve">Fig. </w:t>
      </w:r>
      <w:r w:rsidR="00E049CB" w:rsidRPr="005E6B7C">
        <w:rPr>
          <w:rFonts w:asciiTheme="majorHAnsi" w:eastAsia="Calibri" w:hAnsiTheme="majorHAnsi" w:cstheme="majorHAnsi"/>
          <w:b/>
          <w:iCs/>
          <w:color w:val="000000" w:themeColor="text1"/>
          <w:sz w:val="18"/>
          <w:szCs w:val="18"/>
        </w:rPr>
        <w:t>5.</w:t>
      </w:r>
      <w:r w:rsidR="00E049CB" w:rsidRPr="005E6B7C">
        <w:rPr>
          <w:rFonts w:asciiTheme="majorHAnsi" w:eastAsia="Calibri" w:hAnsiTheme="majorHAnsi" w:cstheme="majorHAnsi"/>
          <w:iCs/>
          <w:color w:val="000000" w:themeColor="text1"/>
          <w:sz w:val="18"/>
          <w:szCs w:val="18"/>
        </w:rPr>
        <w:t xml:space="preserve"> </w:t>
      </w:r>
      <w:r w:rsidR="00E049CB" w:rsidRPr="005E6B7C">
        <w:rPr>
          <w:rFonts w:asciiTheme="majorHAnsi" w:eastAsia="Calibri" w:hAnsiTheme="majorHAnsi" w:cstheme="majorHAnsi"/>
          <w:bCs/>
          <w:iCs/>
          <w:color w:val="000000" w:themeColor="text1"/>
          <w:sz w:val="18"/>
          <w:szCs w:val="18"/>
        </w:rPr>
        <w:t xml:space="preserve">Calibration curves of lycopene and </w:t>
      </w:r>
      <w:r w:rsidR="00E049CB" w:rsidRPr="005E6B7C">
        <w:rPr>
          <w:rFonts w:asciiTheme="majorHAnsi" w:eastAsia="Calibri" w:hAnsiTheme="majorHAnsi" w:cstheme="majorHAnsi"/>
          <w:bCs/>
          <w:i/>
          <w:iCs/>
          <w:color w:val="000000" w:themeColor="text1"/>
          <w:sz w:val="18"/>
          <w:szCs w:val="18"/>
        </w:rPr>
        <w:t>β</w:t>
      </w:r>
      <w:r w:rsidR="000F51CE" w:rsidRPr="005E6B7C">
        <w:rPr>
          <w:rFonts w:asciiTheme="majorHAnsi" w:eastAsia="Calibri" w:hAnsiTheme="majorHAnsi" w:cstheme="majorHAnsi"/>
          <w:bCs/>
          <w:iCs/>
          <w:color w:val="000000" w:themeColor="text1"/>
          <w:sz w:val="18"/>
          <w:szCs w:val="18"/>
        </w:rPr>
        <w:t>-carotene</w:t>
      </w:r>
    </w:p>
    <w:p w14:paraId="6C3EA91F" w14:textId="57F487BA" w:rsidR="00E049CB"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b/>
          <w:iCs/>
          <w:color w:val="000000" w:themeColor="text1"/>
          <w:sz w:val="22"/>
          <w:szCs w:val="22"/>
        </w:rPr>
      </w:pPr>
      <w:r w:rsidRPr="005E6B7C">
        <w:rPr>
          <w:rFonts w:asciiTheme="majorHAnsi" w:eastAsia="Calibri" w:hAnsiTheme="majorHAnsi" w:cstheme="majorHAnsi"/>
          <w:iCs/>
          <w:color w:val="000000" w:themeColor="text1"/>
          <w:sz w:val="22"/>
          <w:szCs w:val="22"/>
        </w:rPr>
        <w:br w:type="column"/>
      </w:r>
      <w:r w:rsidR="00E049CB" w:rsidRPr="005E6B7C">
        <w:rPr>
          <w:rFonts w:asciiTheme="majorHAnsi" w:eastAsia="Calibri" w:hAnsiTheme="majorHAnsi" w:cstheme="majorHAnsi"/>
          <w:iCs/>
          <w:color w:val="000000" w:themeColor="text1"/>
          <w:sz w:val="22"/>
          <w:szCs w:val="22"/>
        </w:rPr>
        <w:t>The calibration curves had P</w:t>
      </w:r>
      <w:r w:rsidR="00E049CB" w:rsidRPr="005E6B7C">
        <w:rPr>
          <w:rFonts w:asciiTheme="majorHAnsi" w:eastAsia="Calibri" w:hAnsiTheme="majorHAnsi" w:cstheme="majorHAnsi"/>
          <w:iCs/>
          <w:color w:val="000000" w:themeColor="text1"/>
          <w:sz w:val="22"/>
          <w:szCs w:val="22"/>
          <w:vertAlign w:val="subscript"/>
        </w:rPr>
        <w:t>value (intercept)</w:t>
      </w:r>
      <w:r w:rsidR="00E049CB" w:rsidRPr="005E6B7C">
        <w:rPr>
          <w:rFonts w:asciiTheme="majorHAnsi" w:eastAsia="Calibri" w:hAnsiTheme="majorHAnsi" w:cstheme="majorHAnsi"/>
          <w:iCs/>
          <w:color w:val="000000" w:themeColor="text1"/>
          <w:sz w:val="22"/>
          <w:szCs w:val="22"/>
        </w:rPr>
        <w:t xml:space="preserve"> &gt; 0.05, correlation coefficient R</w:t>
      </w:r>
      <w:r w:rsidR="00E049CB" w:rsidRPr="005E6B7C">
        <w:rPr>
          <w:rFonts w:asciiTheme="majorHAnsi" w:eastAsia="Calibri" w:hAnsiTheme="majorHAnsi" w:cstheme="majorHAnsi"/>
          <w:iCs/>
          <w:color w:val="000000" w:themeColor="text1"/>
          <w:sz w:val="22"/>
          <w:szCs w:val="22"/>
          <w:vertAlign w:val="superscript"/>
        </w:rPr>
        <w:t>2</w:t>
      </w:r>
      <w:r w:rsidR="00E049CB" w:rsidRPr="005E6B7C">
        <w:rPr>
          <w:rFonts w:asciiTheme="majorHAnsi" w:eastAsia="Calibri" w:hAnsiTheme="majorHAnsi" w:cstheme="majorHAnsi"/>
          <w:iCs/>
          <w:color w:val="000000" w:themeColor="text1"/>
          <w:sz w:val="22"/>
          <w:szCs w:val="22"/>
        </w:rPr>
        <w:t xml:space="preserve"> &gt; 0.99, </w:t>
      </w:r>
      <w:r w:rsidR="001D5000" w:rsidRPr="005E6B7C">
        <w:rPr>
          <w:rFonts w:asciiTheme="majorHAnsi" w:eastAsia="Calibri" w:hAnsiTheme="majorHAnsi" w:cstheme="majorHAnsi"/>
          <w:iCs/>
          <w:color w:val="000000" w:themeColor="text1"/>
          <w:sz w:val="22"/>
          <w:szCs w:val="22"/>
        </w:rPr>
        <w:t>indicating good linear correlation</w:t>
      </w:r>
      <w:r w:rsidR="00E049CB" w:rsidRPr="005E6B7C">
        <w:rPr>
          <w:rFonts w:asciiTheme="majorHAnsi" w:eastAsia="Calibri" w:hAnsiTheme="majorHAnsi" w:cstheme="majorHAnsi"/>
          <w:iCs/>
          <w:color w:val="000000" w:themeColor="text1"/>
          <w:sz w:val="22"/>
          <w:szCs w:val="22"/>
        </w:rPr>
        <w:t xml:space="preserve"> between </w:t>
      </w:r>
      <w:r w:rsidR="00E049CB" w:rsidRPr="005E6B7C">
        <w:rPr>
          <w:rFonts w:asciiTheme="majorHAnsi" w:eastAsia="Calibri" w:hAnsiTheme="majorHAnsi" w:cstheme="majorHAnsi"/>
          <w:i/>
          <w:iCs/>
          <w:color w:val="000000" w:themeColor="text1"/>
          <w:sz w:val="22"/>
          <w:szCs w:val="22"/>
        </w:rPr>
        <w:t>β</w:t>
      </w:r>
      <w:r w:rsidR="00E049CB" w:rsidRPr="005E6B7C">
        <w:rPr>
          <w:rFonts w:asciiTheme="majorHAnsi" w:eastAsia="Calibri" w:hAnsiTheme="majorHAnsi" w:cstheme="majorHAnsi"/>
          <w:iCs/>
          <w:color w:val="000000" w:themeColor="text1"/>
          <w:sz w:val="22"/>
          <w:szCs w:val="22"/>
        </w:rPr>
        <w:t xml:space="preserve">-carotene (lycopene) concentration and peak area value, the deviation is less than 15%, and no systematic error. Therefore, the developed method can be applied to the quantitative analysis of </w:t>
      </w:r>
      <w:r w:rsidR="00E049CB" w:rsidRPr="005E6B7C">
        <w:rPr>
          <w:rFonts w:asciiTheme="majorHAnsi" w:eastAsia="Calibri" w:hAnsiTheme="majorHAnsi" w:cstheme="majorHAnsi"/>
          <w:i/>
          <w:iCs/>
          <w:color w:val="000000" w:themeColor="text1"/>
          <w:sz w:val="22"/>
          <w:szCs w:val="22"/>
        </w:rPr>
        <w:t>β</w:t>
      </w:r>
      <w:r w:rsidR="00E049CB" w:rsidRPr="005E6B7C">
        <w:rPr>
          <w:rFonts w:asciiTheme="majorHAnsi" w:eastAsia="Calibri" w:hAnsiTheme="majorHAnsi" w:cstheme="majorHAnsi"/>
          <w:iCs/>
          <w:color w:val="000000" w:themeColor="text1"/>
          <w:sz w:val="22"/>
          <w:szCs w:val="22"/>
        </w:rPr>
        <w:t>-carotene and lycopene.</w:t>
      </w:r>
    </w:p>
    <w:p w14:paraId="3AEB076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Calibri" w:hAnsiTheme="majorHAnsi" w:cstheme="majorHAnsi"/>
          <w:b/>
          <w:iCs/>
          <w:color w:val="000000" w:themeColor="text1"/>
          <w:sz w:val="22"/>
          <w:szCs w:val="22"/>
        </w:rPr>
      </w:pPr>
      <w:r w:rsidRPr="005E6B7C">
        <w:rPr>
          <w:rFonts w:asciiTheme="majorHAnsi" w:eastAsia="Calibri" w:hAnsiTheme="majorHAnsi" w:cstheme="majorHAnsi"/>
          <w:iCs/>
          <w:color w:val="000000" w:themeColor="text1"/>
          <w:sz w:val="22"/>
          <w:szCs w:val="22"/>
        </w:rPr>
        <w:t>3.2.4 Repeatability:</w:t>
      </w:r>
    </w:p>
    <w:p w14:paraId="65876E5A" w14:textId="77777777" w:rsidR="000F51CE" w:rsidRPr="005E6B7C" w:rsidRDefault="00E049CB" w:rsidP="008C0D47">
      <w:pPr>
        <w:tabs>
          <w:tab w:val="left" w:pos="270"/>
          <w:tab w:val="left" w:pos="540"/>
          <w:tab w:val="left" w:pos="9270"/>
        </w:tabs>
        <w:spacing w:line="240" w:lineRule="exact"/>
        <w:ind w:firstLine="284"/>
        <w:jc w:val="both"/>
        <w:rPr>
          <w:rFonts w:asciiTheme="majorHAnsi" w:eastAsia="Calibri" w:hAnsiTheme="majorHAnsi" w:cstheme="majorHAnsi"/>
          <w:iCs/>
          <w:color w:val="000000" w:themeColor="text1"/>
          <w:spacing w:val="4"/>
          <w:sz w:val="22"/>
          <w:szCs w:val="22"/>
        </w:rPr>
      </w:pPr>
      <w:r w:rsidRPr="005E6B7C">
        <w:rPr>
          <w:rFonts w:asciiTheme="majorHAnsi" w:eastAsia="Calibri" w:hAnsiTheme="majorHAnsi" w:cstheme="majorHAnsi"/>
          <w:iCs/>
          <w:color w:val="000000" w:themeColor="text1"/>
          <w:spacing w:val="4"/>
          <w:sz w:val="22"/>
          <w:szCs w:val="22"/>
        </w:rPr>
        <w:t>The results of the intra-day and inter-day repeatability assessment were presented in Table 4.</w:t>
      </w:r>
      <w:bookmarkStart w:id="36" w:name="_Toc184127162"/>
      <w:bookmarkStart w:id="37" w:name="_Toc198206801"/>
      <w:bookmarkEnd w:id="36"/>
      <w:bookmarkEnd w:id="37"/>
    </w:p>
    <w:p w14:paraId="17A16989"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iCs/>
          <w:color w:val="000000" w:themeColor="text1"/>
          <w:spacing w:val="4"/>
          <w:sz w:val="22"/>
          <w:szCs w:val="22"/>
        </w:rPr>
        <w:sectPr w:rsidR="000F51CE" w:rsidRPr="005E6B7C" w:rsidSect="000F51CE">
          <w:type w:val="continuous"/>
          <w:pgSz w:w="10773" w:h="15309" w:code="9"/>
          <w:pgMar w:top="907" w:right="851" w:bottom="1418" w:left="851" w:header="397" w:footer="851" w:gutter="0"/>
          <w:cols w:num="2" w:space="284"/>
          <w:docGrid w:linePitch="360"/>
        </w:sectPr>
      </w:pPr>
    </w:p>
    <w:p w14:paraId="265A6365" w14:textId="77777777" w:rsidR="00E049CB" w:rsidRPr="005E6B7C" w:rsidRDefault="00E049CB" w:rsidP="008C0D47">
      <w:pPr>
        <w:tabs>
          <w:tab w:val="left" w:pos="270"/>
          <w:tab w:val="left" w:pos="540"/>
          <w:tab w:val="left" w:pos="9270"/>
        </w:tabs>
        <w:spacing w:before="120" w:after="120"/>
        <w:jc w:val="center"/>
        <w:rPr>
          <w:rFonts w:asciiTheme="majorHAnsi" w:eastAsia="Calibri" w:hAnsiTheme="majorHAnsi" w:cstheme="majorHAnsi"/>
          <w:b/>
          <w:iCs/>
          <w:color w:val="000000" w:themeColor="text1"/>
          <w:sz w:val="18"/>
          <w:szCs w:val="18"/>
        </w:rPr>
      </w:pPr>
      <w:r w:rsidRPr="005E6B7C">
        <w:rPr>
          <w:rFonts w:asciiTheme="majorHAnsi" w:eastAsia="Calibri" w:hAnsiTheme="majorHAnsi" w:cstheme="majorHAnsi"/>
          <w:b/>
          <w:iCs/>
          <w:color w:val="000000" w:themeColor="text1"/>
          <w:sz w:val="18"/>
          <w:szCs w:val="18"/>
        </w:rPr>
        <w:t xml:space="preserve">Table 4. </w:t>
      </w:r>
      <w:r w:rsidRPr="005E6B7C">
        <w:rPr>
          <w:rFonts w:asciiTheme="majorHAnsi" w:eastAsia="Calibri" w:hAnsiTheme="majorHAnsi" w:cstheme="majorHAnsi"/>
          <w:bCs/>
          <w:iCs/>
          <w:color w:val="000000" w:themeColor="text1"/>
          <w:sz w:val="18"/>
          <w:szCs w:val="18"/>
        </w:rPr>
        <w:t>Results of evaluating intra-day and inter-day repeatability</w:t>
      </w:r>
    </w:p>
    <w:tbl>
      <w:tblPr>
        <w:tblW w:w="9072" w:type="dxa"/>
        <w:jc w:val="center"/>
        <w:tblLook w:val="04A0" w:firstRow="1" w:lastRow="0" w:firstColumn="1" w:lastColumn="0" w:noHBand="0" w:noVBand="1"/>
      </w:tblPr>
      <w:tblGrid>
        <w:gridCol w:w="1146"/>
        <w:gridCol w:w="1842"/>
        <w:gridCol w:w="2685"/>
        <w:gridCol w:w="3399"/>
      </w:tblGrid>
      <w:tr w:rsidR="00573010" w:rsidRPr="005E6B7C" w14:paraId="7694B749" w14:textId="77777777" w:rsidTr="000F51CE">
        <w:trPr>
          <w:tblHeade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74A3DD2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No.</w:t>
            </w:r>
          </w:p>
        </w:tc>
        <w:tc>
          <w:tcPr>
            <w:tcW w:w="1832" w:type="dxa"/>
            <w:tcBorders>
              <w:top w:val="dotted" w:sz="4" w:space="0" w:color="000000"/>
              <w:left w:val="dotted" w:sz="4" w:space="0" w:color="000000"/>
              <w:bottom w:val="dotted" w:sz="4" w:space="0" w:color="000000"/>
              <w:right w:val="dotted" w:sz="4" w:space="0" w:color="000000"/>
            </w:tcBorders>
            <w:vAlign w:val="center"/>
          </w:tcPr>
          <w:p w14:paraId="4D6700B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Mass (g)</w:t>
            </w:r>
          </w:p>
        </w:tc>
        <w:tc>
          <w:tcPr>
            <w:tcW w:w="2671" w:type="dxa"/>
            <w:tcBorders>
              <w:top w:val="dotted" w:sz="4" w:space="0" w:color="000000"/>
              <w:left w:val="dotted" w:sz="4" w:space="0" w:color="000000"/>
              <w:bottom w:val="dotted" w:sz="4" w:space="0" w:color="000000"/>
              <w:right w:val="dotted" w:sz="4" w:space="0" w:color="000000"/>
            </w:tcBorders>
            <w:vAlign w:val="center"/>
          </w:tcPr>
          <w:p w14:paraId="03947D6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 lycopene (%)</w:t>
            </w:r>
          </w:p>
        </w:tc>
        <w:tc>
          <w:tcPr>
            <w:tcW w:w="3381" w:type="dxa"/>
            <w:tcBorders>
              <w:top w:val="dotted" w:sz="4" w:space="0" w:color="000000"/>
              <w:left w:val="dotted" w:sz="4" w:space="0" w:color="000000"/>
              <w:bottom w:val="dotted" w:sz="4" w:space="0" w:color="000000"/>
              <w:right w:val="dotted" w:sz="4" w:space="0" w:color="000000"/>
            </w:tcBorders>
            <w:vAlign w:val="center"/>
          </w:tcPr>
          <w:p w14:paraId="729C707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 xml:space="preserve">Content </w:t>
            </w:r>
            <w:r w:rsidRPr="005E6B7C">
              <w:rPr>
                <w:rFonts w:asciiTheme="majorHAnsi" w:eastAsia="Times New Roman" w:hAnsiTheme="majorHAnsi" w:cstheme="majorHAnsi"/>
                <w:b/>
                <w:bCs/>
                <w:i/>
                <w:iCs/>
                <w:color w:val="000000" w:themeColor="text1"/>
                <w:sz w:val="18"/>
                <w:szCs w:val="18"/>
                <w:lang w:eastAsia="ja-JP"/>
              </w:rPr>
              <w:t>β</w:t>
            </w:r>
            <w:r w:rsidRPr="005E6B7C">
              <w:rPr>
                <w:rFonts w:asciiTheme="majorHAnsi" w:eastAsia="Times New Roman" w:hAnsiTheme="majorHAnsi" w:cstheme="majorHAnsi"/>
                <w:b/>
                <w:bCs/>
                <w:color w:val="000000" w:themeColor="text1"/>
                <w:sz w:val="18"/>
                <w:szCs w:val="18"/>
                <w:lang w:eastAsia="ja-JP"/>
              </w:rPr>
              <w:t>-carotene (%)</w:t>
            </w:r>
          </w:p>
        </w:tc>
      </w:tr>
      <w:tr w:rsidR="00573010" w:rsidRPr="005E6B7C" w14:paraId="52E2006E"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4248752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M1</w:t>
            </w:r>
          </w:p>
        </w:tc>
        <w:tc>
          <w:tcPr>
            <w:tcW w:w="1832" w:type="dxa"/>
            <w:tcBorders>
              <w:top w:val="dotted" w:sz="4" w:space="0" w:color="000000"/>
              <w:left w:val="dotted" w:sz="4" w:space="0" w:color="000000"/>
              <w:bottom w:val="dotted" w:sz="4" w:space="0" w:color="000000"/>
              <w:right w:val="dotted" w:sz="4" w:space="0" w:color="000000"/>
            </w:tcBorders>
            <w:vAlign w:val="center"/>
          </w:tcPr>
          <w:p w14:paraId="70C399A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1.0023</w:t>
            </w:r>
          </w:p>
        </w:tc>
        <w:tc>
          <w:tcPr>
            <w:tcW w:w="2671" w:type="dxa"/>
            <w:tcBorders>
              <w:top w:val="dotted" w:sz="4" w:space="0" w:color="000000"/>
              <w:left w:val="dotted" w:sz="4" w:space="0" w:color="000000"/>
              <w:bottom w:val="dotted" w:sz="4" w:space="0" w:color="000000"/>
              <w:right w:val="dotted" w:sz="4" w:space="0" w:color="000000"/>
            </w:tcBorders>
            <w:vAlign w:val="center"/>
          </w:tcPr>
          <w:p w14:paraId="1AEAB43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0.775</w:t>
            </w:r>
          </w:p>
        </w:tc>
        <w:tc>
          <w:tcPr>
            <w:tcW w:w="3381" w:type="dxa"/>
            <w:tcBorders>
              <w:top w:val="dotted" w:sz="4" w:space="0" w:color="000000"/>
              <w:left w:val="dotted" w:sz="4" w:space="0" w:color="000000"/>
              <w:bottom w:val="dotted" w:sz="4" w:space="0" w:color="000000"/>
              <w:right w:val="dotted" w:sz="4" w:space="0" w:color="000000"/>
            </w:tcBorders>
            <w:vAlign w:val="center"/>
          </w:tcPr>
          <w:p w14:paraId="3910C1A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0.067</w:t>
            </w:r>
          </w:p>
        </w:tc>
      </w:tr>
      <w:tr w:rsidR="00573010" w:rsidRPr="005E6B7C" w14:paraId="66AF4FB5"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433750D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M2</w:t>
            </w:r>
          </w:p>
        </w:tc>
        <w:tc>
          <w:tcPr>
            <w:tcW w:w="1832" w:type="dxa"/>
            <w:tcBorders>
              <w:top w:val="dotted" w:sz="4" w:space="0" w:color="000000"/>
              <w:left w:val="dotted" w:sz="4" w:space="0" w:color="000000"/>
              <w:bottom w:val="dotted" w:sz="4" w:space="0" w:color="000000"/>
              <w:right w:val="dotted" w:sz="4" w:space="0" w:color="000000"/>
            </w:tcBorders>
            <w:vAlign w:val="center"/>
          </w:tcPr>
          <w:p w14:paraId="3C25B3A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1.0091</w:t>
            </w:r>
          </w:p>
        </w:tc>
        <w:tc>
          <w:tcPr>
            <w:tcW w:w="2671" w:type="dxa"/>
            <w:tcBorders>
              <w:top w:val="dotted" w:sz="4" w:space="0" w:color="000000"/>
              <w:left w:val="dotted" w:sz="4" w:space="0" w:color="000000"/>
              <w:bottom w:val="dotted" w:sz="4" w:space="0" w:color="000000"/>
              <w:right w:val="dotted" w:sz="4" w:space="0" w:color="000000"/>
            </w:tcBorders>
            <w:vAlign w:val="center"/>
          </w:tcPr>
          <w:p w14:paraId="0D6AF70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0.726</w:t>
            </w:r>
          </w:p>
        </w:tc>
        <w:tc>
          <w:tcPr>
            <w:tcW w:w="3381" w:type="dxa"/>
            <w:tcBorders>
              <w:top w:val="dotted" w:sz="4" w:space="0" w:color="000000"/>
              <w:left w:val="dotted" w:sz="4" w:space="0" w:color="000000"/>
              <w:bottom w:val="dotted" w:sz="4" w:space="0" w:color="000000"/>
              <w:right w:val="dotted" w:sz="4" w:space="0" w:color="000000"/>
            </w:tcBorders>
            <w:vAlign w:val="center"/>
          </w:tcPr>
          <w:p w14:paraId="5B94633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0.067</w:t>
            </w:r>
          </w:p>
        </w:tc>
      </w:tr>
      <w:tr w:rsidR="00573010" w:rsidRPr="005E6B7C" w14:paraId="393FA44A"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6E91AFF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M3</w:t>
            </w:r>
          </w:p>
        </w:tc>
        <w:tc>
          <w:tcPr>
            <w:tcW w:w="1832" w:type="dxa"/>
            <w:tcBorders>
              <w:top w:val="dotted" w:sz="4" w:space="0" w:color="000000"/>
              <w:left w:val="dotted" w:sz="4" w:space="0" w:color="000000"/>
              <w:bottom w:val="dotted" w:sz="4" w:space="0" w:color="000000"/>
              <w:right w:val="dotted" w:sz="4" w:space="0" w:color="000000"/>
            </w:tcBorders>
            <w:vAlign w:val="center"/>
          </w:tcPr>
          <w:p w14:paraId="66186F1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1.0187</w:t>
            </w:r>
          </w:p>
        </w:tc>
        <w:tc>
          <w:tcPr>
            <w:tcW w:w="2671" w:type="dxa"/>
            <w:tcBorders>
              <w:top w:val="dotted" w:sz="4" w:space="0" w:color="000000"/>
              <w:left w:val="dotted" w:sz="4" w:space="0" w:color="000000"/>
              <w:bottom w:val="dotted" w:sz="4" w:space="0" w:color="000000"/>
              <w:right w:val="dotted" w:sz="4" w:space="0" w:color="000000"/>
            </w:tcBorders>
            <w:vAlign w:val="center"/>
          </w:tcPr>
          <w:p w14:paraId="5269E55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0.688</w:t>
            </w:r>
          </w:p>
        </w:tc>
        <w:tc>
          <w:tcPr>
            <w:tcW w:w="3381" w:type="dxa"/>
            <w:tcBorders>
              <w:top w:val="dotted" w:sz="4" w:space="0" w:color="000000"/>
              <w:left w:val="dotted" w:sz="4" w:space="0" w:color="000000"/>
              <w:bottom w:val="dotted" w:sz="4" w:space="0" w:color="000000"/>
              <w:right w:val="dotted" w:sz="4" w:space="0" w:color="000000"/>
            </w:tcBorders>
            <w:vAlign w:val="center"/>
          </w:tcPr>
          <w:p w14:paraId="4391539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0.061</w:t>
            </w:r>
          </w:p>
        </w:tc>
      </w:tr>
      <w:tr w:rsidR="00573010" w:rsidRPr="005E6B7C" w14:paraId="76F47948"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598E70B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lastRenderedPageBreak/>
              <w:t>M4</w:t>
            </w:r>
          </w:p>
        </w:tc>
        <w:tc>
          <w:tcPr>
            <w:tcW w:w="1832" w:type="dxa"/>
            <w:tcBorders>
              <w:top w:val="dotted" w:sz="4" w:space="0" w:color="000000"/>
              <w:left w:val="dotted" w:sz="4" w:space="0" w:color="000000"/>
              <w:bottom w:val="dotted" w:sz="4" w:space="0" w:color="000000"/>
              <w:right w:val="dotted" w:sz="4" w:space="0" w:color="000000"/>
            </w:tcBorders>
            <w:vAlign w:val="center"/>
          </w:tcPr>
          <w:p w14:paraId="4887016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1.0270</w:t>
            </w:r>
          </w:p>
        </w:tc>
        <w:tc>
          <w:tcPr>
            <w:tcW w:w="2671" w:type="dxa"/>
            <w:tcBorders>
              <w:top w:val="dotted" w:sz="4" w:space="0" w:color="000000"/>
              <w:left w:val="dotted" w:sz="4" w:space="0" w:color="000000"/>
              <w:bottom w:val="dotted" w:sz="4" w:space="0" w:color="000000"/>
              <w:right w:val="dotted" w:sz="4" w:space="0" w:color="000000"/>
            </w:tcBorders>
            <w:vAlign w:val="center"/>
          </w:tcPr>
          <w:p w14:paraId="7E4DE65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0.723</w:t>
            </w:r>
          </w:p>
        </w:tc>
        <w:tc>
          <w:tcPr>
            <w:tcW w:w="3381" w:type="dxa"/>
            <w:tcBorders>
              <w:top w:val="dotted" w:sz="4" w:space="0" w:color="000000"/>
              <w:left w:val="dotted" w:sz="4" w:space="0" w:color="000000"/>
              <w:bottom w:val="dotted" w:sz="4" w:space="0" w:color="000000"/>
              <w:right w:val="dotted" w:sz="4" w:space="0" w:color="000000"/>
            </w:tcBorders>
            <w:vAlign w:val="center"/>
          </w:tcPr>
          <w:p w14:paraId="0D89B51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0.062</w:t>
            </w:r>
          </w:p>
        </w:tc>
      </w:tr>
      <w:tr w:rsidR="00573010" w:rsidRPr="005E6B7C" w14:paraId="595DFAFA"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1BDDC82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M5</w:t>
            </w:r>
          </w:p>
        </w:tc>
        <w:tc>
          <w:tcPr>
            <w:tcW w:w="1832" w:type="dxa"/>
            <w:tcBorders>
              <w:top w:val="dotted" w:sz="4" w:space="0" w:color="000000"/>
              <w:left w:val="dotted" w:sz="4" w:space="0" w:color="000000"/>
              <w:bottom w:val="dotted" w:sz="4" w:space="0" w:color="000000"/>
              <w:right w:val="dotted" w:sz="4" w:space="0" w:color="000000"/>
            </w:tcBorders>
            <w:vAlign w:val="center"/>
          </w:tcPr>
          <w:p w14:paraId="26534EF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1.0130</w:t>
            </w:r>
          </w:p>
        </w:tc>
        <w:tc>
          <w:tcPr>
            <w:tcW w:w="2671" w:type="dxa"/>
            <w:tcBorders>
              <w:top w:val="dotted" w:sz="4" w:space="0" w:color="000000"/>
              <w:left w:val="dotted" w:sz="4" w:space="0" w:color="000000"/>
              <w:bottom w:val="dotted" w:sz="4" w:space="0" w:color="000000"/>
              <w:right w:val="dotted" w:sz="4" w:space="0" w:color="000000"/>
            </w:tcBorders>
            <w:vAlign w:val="center"/>
          </w:tcPr>
          <w:p w14:paraId="65091D5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0.752</w:t>
            </w:r>
          </w:p>
        </w:tc>
        <w:tc>
          <w:tcPr>
            <w:tcW w:w="3381" w:type="dxa"/>
            <w:tcBorders>
              <w:top w:val="dotted" w:sz="4" w:space="0" w:color="000000"/>
              <w:left w:val="dotted" w:sz="4" w:space="0" w:color="000000"/>
              <w:bottom w:val="dotted" w:sz="4" w:space="0" w:color="000000"/>
              <w:right w:val="dotted" w:sz="4" w:space="0" w:color="000000"/>
            </w:tcBorders>
            <w:vAlign w:val="center"/>
          </w:tcPr>
          <w:p w14:paraId="29B6801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0.067</w:t>
            </w:r>
          </w:p>
        </w:tc>
      </w:tr>
      <w:tr w:rsidR="00573010" w:rsidRPr="005E6B7C" w14:paraId="106BD839"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0572413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M6</w:t>
            </w:r>
          </w:p>
        </w:tc>
        <w:tc>
          <w:tcPr>
            <w:tcW w:w="1832" w:type="dxa"/>
            <w:tcBorders>
              <w:top w:val="dotted" w:sz="4" w:space="0" w:color="000000"/>
              <w:left w:val="dotted" w:sz="4" w:space="0" w:color="000000"/>
              <w:bottom w:val="dotted" w:sz="4" w:space="0" w:color="000000"/>
              <w:right w:val="dotted" w:sz="4" w:space="0" w:color="000000"/>
            </w:tcBorders>
            <w:vAlign w:val="center"/>
          </w:tcPr>
          <w:p w14:paraId="0B3D4A4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1.0007</w:t>
            </w:r>
          </w:p>
        </w:tc>
        <w:tc>
          <w:tcPr>
            <w:tcW w:w="2671" w:type="dxa"/>
            <w:tcBorders>
              <w:top w:val="dotted" w:sz="4" w:space="0" w:color="000000"/>
              <w:left w:val="dotted" w:sz="4" w:space="0" w:color="000000"/>
              <w:bottom w:val="dotted" w:sz="4" w:space="0" w:color="000000"/>
              <w:right w:val="dotted" w:sz="4" w:space="0" w:color="000000"/>
            </w:tcBorders>
            <w:vAlign w:val="center"/>
          </w:tcPr>
          <w:p w14:paraId="49584BF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0.779</w:t>
            </w:r>
          </w:p>
        </w:tc>
        <w:tc>
          <w:tcPr>
            <w:tcW w:w="3381" w:type="dxa"/>
            <w:tcBorders>
              <w:top w:val="dotted" w:sz="4" w:space="0" w:color="000000"/>
              <w:left w:val="dotted" w:sz="4" w:space="0" w:color="000000"/>
              <w:bottom w:val="dotted" w:sz="4" w:space="0" w:color="000000"/>
              <w:right w:val="dotted" w:sz="4" w:space="0" w:color="000000"/>
            </w:tcBorders>
            <w:vAlign w:val="center"/>
          </w:tcPr>
          <w:p w14:paraId="5B66C3A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0.066</w:t>
            </w:r>
          </w:p>
        </w:tc>
      </w:tr>
      <w:tr w:rsidR="00573010" w:rsidRPr="005E6B7C" w14:paraId="7FE06638" w14:textId="77777777" w:rsidTr="00AD6EEB">
        <w:trPr>
          <w:jc w:val="center"/>
        </w:trPr>
        <w:tc>
          <w:tcPr>
            <w:tcW w:w="2973" w:type="dxa"/>
            <w:gridSpan w:val="2"/>
            <w:tcBorders>
              <w:top w:val="dotted" w:sz="4" w:space="0" w:color="000000"/>
              <w:left w:val="dotted" w:sz="4" w:space="0" w:color="000000"/>
              <w:bottom w:val="dotted" w:sz="4" w:space="0" w:color="000000"/>
              <w:right w:val="dotted" w:sz="4" w:space="0" w:color="000000"/>
            </w:tcBorders>
            <w:vAlign w:val="center"/>
          </w:tcPr>
          <w:p w14:paraId="1452C94B" w14:textId="5B07C588" w:rsidR="00E049CB" w:rsidRPr="005E6B7C" w:rsidRDefault="001D5000"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Mean (n = 6)</w:t>
            </w:r>
          </w:p>
        </w:tc>
        <w:tc>
          <w:tcPr>
            <w:tcW w:w="2671" w:type="dxa"/>
            <w:tcBorders>
              <w:top w:val="dotted" w:sz="4" w:space="0" w:color="000000"/>
              <w:left w:val="dotted" w:sz="4" w:space="0" w:color="000000"/>
              <w:bottom w:val="dotted" w:sz="4" w:space="0" w:color="000000"/>
              <w:right w:val="dotted" w:sz="4" w:space="0" w:color="000000"/>
            </w:tcBorders>
            <w:vAlign w:val="center"/>
          </w:tcPr>
          <w:p w14:paraId="4700F9C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0.741</w:t>
            </w:r>
          </w:p>
        </w:tc>
        <w:tc>
          <w:tcPr>
            <w:tcW w:w="3381" w:type="dxa"/>
            <w:tcBorders>
              <w:top w:val="dotted" w:sz="4" w:space="0" w:color="000000"/>
              <w:left w:val="dotted" w:sz="4" w:space="0" w:color="000000"/>
              <w:bottom w:val="dotted" w:sz="4" w:space="0" w:color="000000"/>
              <w:right w:val="dotted" w:sz="4" w:space="0" w:color="000000"/>
            </w:tcBorders>
            <w:vAlign w:val="center"/>
          </w:tcPr>
          <w:p w14:paraId="0B7AC4E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0.065</w:t>
            </w:r>
          </w:p>
        </w:tc>
      </w:tr>
      <w:tr w:rsidR="00573010" w:rsidRPr="005E6B7C" w14:paraId="4A9BB36F" w14:textId="77777777" w:rsidTr="00AD6EEB">
        <w:trPr>
          <w:jc w:val="center"/>
        </w:trPr>
        <w:tc>
          <w:tcPr>
            <w:tcW w:w="2973" w:type="dxa"/>
            <w:gridSpan w:val="2"/>
            <w:tcBorders>
              <w:top w:val="dotted" w:sz="4" w:space="0" w:color="000000"/>
              <w:left w:val="dotted" w:sz="4" w:space="0" w:color="000000"/>
              <w:bottom w:val="dotted" w:sz="4" w:space="0" w:color="000000"/>
              <w:right w:val="dotted" w:sz="4" w:space="0" w:color="000000"/>
            </w:tcBorders>
            <w:vAlign w:val="center"/>
          </w:tcPr>
          <w:p w14:paraId="5EBE7B29"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RSD (%, n=6)</w:t>
            </w:r>
          </w:p>
        </w:tc>
        <w:tc>
          <w:tcPr>
            <w:tcW w:w="2671" w:type="dxa"/>
            <w:tcBorders>
              <w:top w:val="dotted" w:sz="4" w:space="0" w:color="000000"/>
              <w:left w:val="dotted" w:sz="4" w:space="0" w:color="000000"/>
              <w:bottom w:val="dotted" w:sz="4" w:space="0" w:color="000000"/>
              <w:right w:val="dotted" w:sz="4" w:space="0" w:color="000000"/>
            </w:tcBorders>
            <w:vAlign w:val="center"/>
          </w:tcPr>
          <w:p w14:paraId="4C87C7C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3.982</w:t>
            </w:r>
          </w:p>
        </w:tc>
        <w:tc>
          <w:tcPr>
            <w:tcW w:w="3381" w:type="dxa"/>
            <w:tcBorders>
              <w:top w:val="dotted" w:sz="4" w:space="0" w:color="000000"/>
              <w:left w:val="dotted" w:sz="4" w:space="0" w:color="000000"/>
              <w:bottom w:val="dotted" w:sz="4" w:space="0" w:color="000000"/>
              <w:right w:val="dotted" w:sz="4" w:space="0" w:color="000000"/>
            </w:tcBorders>
            <w:vAlign w:val="center"/>
          </w:tcPr>
          <w:p w14:paraId="100929F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3.686</w:t>
            </w:r>
          </w:p>
        </w:tc>
      </w:tr>
      <w:tr w:rsidR="00573010" w:rsidRPr="005E6B7C" w14:paraId="02FD8312"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523F86D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M7</w:t>
            </w:r>
          </w:p>
        </w:tc>
        <w:tc>
          <w:tcPr>
            <w:tcW w:w="1832" w:type="dxa"/>
            <w:tcBorders>
              <w:top w:val="dotted" w:sz="4" w:space="0" w:color="000000"/>
              <w:left w:val="dotted" w:sz="4" w:space="0" w:color="000000"/>
              <w:bottom w:val="dotted" w:sz="4" w:space="0" w:color="000000"/>
              <w:right w:val="dotted" w:sz="4" w:space="0" w:color="000000"/>
            </w:tcBorders>
            <w:vAlign w:val="center"/>
          </w:tcPr>
          <w:p w14:paraId="6A248D9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1.0056</w:t>
            </w:r>
          </w:p>
        </w:tc>
        <w:tc>
          <w:tcPr>
            <w:tcW w:w="2671" w:type="dxa"/>
            <w:tcBorders>
              <w:top w:val="dotted" w:sz="4" w:space="0" w:color="000000"/>
              <w:left w:val="dotted" w:sz="4" w:space="0" w:color="000000"/>
              <w:bottom w:val="dotted" w:sz="4" w:space="0" w:color="000000"/>
              <w:right w:val="dotted" w:sz="4" w:space="0" w:color="000000"/>
            </w:tcBorders>
            <w:vAlign w:val="center"/>
          </w:tcPr>
          <w:p w14:paraId="1758CF7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0.756</w:t>
            </w:r>
          </w:p>
        </w:tc>
        <w:tc>
          <w:tcPr>
            <w:tcW w:w="3381" w:type="dxa"/>
            <w:tcBorders>
              <w:top w:val="dotted" w:sz="4" w:space="0" w:color="000000"/>
              <w:left w:val="dotted" w:sz="4" w:space="0" w:color="000000"/>
              <w:bottom w:val="dotted" w:sz="4" w:space="0" w:color="000000"/>
              <w:right w:val="dotted" w:sz="4" w:space="0" w:color="000000"/>
            </w:tcBorders>
            <w:vAlign w:val="center"/>
          </w:tcPr>
          <w:p w14:paraId="451CF55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0.065</w:t>
            </w:r>
          </w:p>
        </w:tc>
      </w:tr>
      <w:tr w:rsidR="00573010" w:rsidRPr="005E6B7C" w14:paraId="04D36FEB"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529A094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M8</w:t>
            </w:r>
          </w:p>
        </w:tc>
        <w:tc>
          <w:tcPr>
            <w:tcW w:w="1832" w:type="dxa"/>
            <w:tcBorders>
              <w:top w:val="dotted" w:sz="4" w:space="0" w:color="000000"/>
              <w:left w:val="dotted" w:sz="4" w:space="0" w:color="000000"/>
              <w:bottom w:val="dotted" w:sz="4" w:space="0" w:color="000000"/>
              <w:right w:val="dotted" w:sz="4" w:space="0" w:color="000000"/>
            </w:tcBorders>
            <w:vAlign w:val="center"/>
          </w:tcPr>
          <w:p w14:paraId="7A63BEE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1.0070</w:t>
            </w:r>
          </w:p>
        </w:tc>
        <w:tc>
          <w:tcPr>
            <w:tcW w:w="2671" w:type="dxa"/>
            <w:tcBorders>
              <w:top w:val="dotted" w:sz="4" w:space="0" w:color="000000"/>
              <w:left w:val="dotted" w:sz="4" w:space="0" w:color="000000"/>
              <w:bottom w:val="dotted" w:sz="4" w:space="0" w:color="000000"/>
              <w:right w:val="dotted" w:sz="4" w:space="0" w:color="000000"/>
            </w:tcBorders>
            <w:vAlign w:val="center"/>
          </w:tcPr>
          <w:p w14:paraId="5FA0161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0.719</w:t>
            </w:r>
          </w:p>
        </w:tc>
        <w:tc>
          <w:tcPr>
            <w:tcW w:w="3381" w:type="dxa"/>
            <w:tcBorders>
              <w:top w:val="dotted" w:sz="4" w:space="0" w:color="000000"/>
              <w:left w:val="dotted" w:sz="4" w:space="0" w:color="000000"/>
              <w:bottom w:val="dotted" w:sz="4" w:space="0" w:color="000000"/>
              <w:right w:val="dotted" w:sz="4" w:space="0" w:color="000000"/>
            </w:tcBorders>
            <w:vAlign w:val="center"/>
          </w:tcPr>
          <w:p w14:paraId="1B7C263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0.069</w:t>
            </w:r>
          </w:p>
        </w:tc>
      </w:tr>
      <w:tr w:rsidR="00573010" w:rsidRPr="005E6B7C" w14:paraId="74509CFC"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3E792C9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M9</w:t>
            </w:r>
          </w:p>
        </w:tc>
        <w:tc>
          <w:tcPr>
            <w:tcW w:w="1832" w:type="dxa"/>
            <w:tcBorders>
              <w:top w:val="dotted" w:sz="4" w:space="0" w:color="000000"/>
              <w:left w:val="dotted" w:sz="4" w:space="0" w:color="000000"/>
              <w:bottom w:val="dotted" w:sz="4" w:space="0" w:color="000000"/>
              <w:right w:val="dotted" w:sz="4" w:space="0" w:color="000000"/>
            </w:tcBorders>
            <w:vAlign w:val="center"/>
          </w:tcPr>
          <w:p w14:paraId="49B15D4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1.0026</w:t>
            </w:r>
          </w:p>
        </w:tc>
        <w:tc>
          <w:tcPr>
            <w:tcW w:w="2671" w:type="dxa"/>
            <w:tcBorders>
              <w:top w:val="dotted" w:sz="4" w:space="0" w:color="000000"/>
              <w:left w:val="dotted" w:sz="4" w:space="0" w:color="000000"/>
              <w:bottom w:val="dotted" w:sz="4" w:space="0" w:color="000000"/>
              <w:right w:val="dotted" w:sz="4" w:space="0" w:color="000000"/>
            </w:tcBorders>
            <w:vAlign w:val="center"/>
          </w:tcPr>
          <w:p w14:paraId="34532E6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0.734</w:t>
            </w:r>
          </w:p>
        </w:tc>
        <w:tc>
          <w:tcPr>
            <w:tcW w:w="3381" w:type="dxa"/>
            <w:tcBorders>
              <w:top w:val="dotted" w:sz="4" w:space="0" w:color="000000"/>
              <w:left w:val="dotted" w:sz="4" w:space="0" w:color="000000"/>
              <w:bottom w:val="dotted" w:sz="4" w:space="0" w:color="000000"/>
              <w:right w:val="dotted" w:sz="4" w:space="0" w:color="000000"/>
            </w:tcBorders>
            <w:vAlign w:val="center"/>
          </w:tcPr>
          <w:p w14:paraId="7627EA3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0.064</w:t>
            </w:r>
          </w:p>
        </w:tc>
      </w:tr>
      <w:tr w:rsidR="00573010" w:rsidRPr="005E6B7C" w14:paraId="5A90D1DC"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53A3767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M10</w:t>
            </w:r>
          </w:p>
        </w:tc>
        <w:tc>
          <w:tcPr>
            <w:tcW w:w="1832" w:type="dxa"/>
            <w:tcBorders>
              <w:top w:val="dotted" w:sz="4" w:space="0" w:color="000000"/>
              <w:left w:val="dotted" w:sz="4" w:space="0" w:color="000000"/>
              <w:bottom w:val="dotted" w:sz="4" w:space="0" w:color="000000"/>
              <w:right w:val="dotted" w:sz="4" w:space="0" w:color="000000"/>
            </w:tcBorders>
            <w:vAlign w:val="center"/>
          </w:tcPr>
          <w:p w14:paraId="41059ED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1.0038</w:t>
            </w:r>
          </w:p>
        </w:tc>
        <w:tc>
          <w:tcPr>
            <w:tcW w:w="2671" w:type="dxa"/>
            <w:tcBorders>
              <w:top w:val="dotted" w:sz="4" w:space="0" w:color="000000"/>
              <w:left w:val="dotted" w:sz="4" w:space="0" w:color="000000"/>
              <w:bottom w:val="dotted" w:sz="4" w:space="0" w:color="000000"/>
              <w:right w:val="dotted" w:sz="4" w:space="0" w:color="000000"/>
            </w:tcBorders>
            <w:vAlign w:val="center"/>
          </w:tcPr>
          <w:p w14:paraId="0FAC24A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0.727</w:t>
            </w:r>
          </w:p>
        </w:tc>
        <w:tc>
          <w:tcPr>
            <w:tcW w:w="3381" w:type="dxa"/>
            <w:tcBorders>
              <w:top w:val="dotted" w:sz="4" w:space="0" w:color="000000"/>
              <w:left w:val="dotted" w:sz="4" w:space="0" w:color="000000"/>
              <w:bottom w:val="dotted" w:sz="4" w:space="0" w:color="000000"/>
              <w:right w:val="dotted" w:sz="4" w:space="0" w:color="000000"/>
            </w:tcBorders>
            <w:vAlign w:val="center"/>
          </w:tcPr>
          <w:p w14:paraId="5A07067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0.067</w:t>
            </w:r>
          </w:p>
        </w:tc>
      </w:tr>
      <w:tr w:rsidR="00573010" w:rsidRPr="005E6B7C" w14:paraId="21E07A3A"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00CFC6B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M11</w:t>
            </w:r>
          </w:p>
        </w:tc>
        <w:tc>
          <w:tcPr>
            <w:tcW w:w="1832" w:type="dxa"/>
            <w:tcBorders>
              <w:top w:val="dotted" w:sz="4" w:space="0" w:color="000000"/>
              <w:left w:val="dotted" w:sz="4" w:space="0" w:color="000000"/>
              <w:bottom w:val="dotted" w:sz="4" w:space="0" w:color="000000"/>
              <w:right w:val="dotted" w:sz="4" w:space="0" w:color="000000"/>
            </w:tcBorders>
            <w:vAlign w:val="center"/>
          </w:tcPr>
          <w:p w14:paraId="3E06C2C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1.0002</w:t>
            </w:r>
          </w:p>
        </w:tc>
        <w:tc>
          <w:tcPr>
            <w:tcW w:w="2671" w:type="dxa"/>
            <w:tcBorders>
              <w:top w:val="dotted" w:sz="4" w:space="0" w:color="000000"/>
              <w:left w:val="dotted" w:sz="4" w:space="0" w:color="000000"/>
              <w:bottom w:val="dotted" w:sz="4" w:space="0" w:color="000000"/>
              <w:right w:val="dotted" w:sz="4" w:space="0" w:color="000000"/>
            </w:tcBorders>
            <w:vAlign w:val="center"/>
          </w:tcPr>
          <w:p w14:paraId="246C236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0.760</w:t>
            </w:r>
          </w:p>
        </w:tc>
        <w:tc>
          <w:tcPr>
            <w:tcW w:w="3381" w:type="dxa"/>
            <w:tcBorders>
              <w:top w:val="dotted" w:sz="4" w:space="0" w:color="000000"/>
              <w:left w:val="dotted" w:sz="4" w:space="0" w:color="000000"/>
              <w:bottom w:val="dotted" w:sz="4" w:space="0" w:color="000000"/>
              <w:right w:val="dotted" w:sz="4" w:space="0" w:color="000000"/>
            </w:tcBorders>
            <w:vAlign w:val="center"/>
          </w:tcPr>
          <w:p w14:paraId="63968E5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0.063</w:t>
            </w:r>
          </w:p>
        </w:tc>
      </w:tr>
      <w:tr w:rsidR="00573010" w:rsidRPr="005E6B7C" w14:paraId="04DFA3CA" w14:textId="77777777" w:rsidTr="00AD6EEB">
        <w:trPr>
          <w:jc w:val="center"/>
        </w:trPr>
        <w:tc>
          <w:tcPr>
            <w:tcW w:w="1141" w:type="dxa"/>
            <w:tcBorders>
              <w:top w:val="dotted" w:sz="4" w:space="0" w:color="000000"/>
              <w:left w:val="dotted" w:sz="4" w:space="0" w:color="000000"/>
              <w:bottom w:val="dotted" w:sz="4" w:space="0" w:color="000000"/>
              <w:right w:val="dotted" w:sz="4" w:space="0" w:color="000000"/>
            </w:tcBorders>
            <w:vAlign w:val="center"/>
          </w:tcPr>
          <w:p w14:paraId="3BBDC0E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M12</w:t>
            </w:r>
          </w:p>
        </w:tc>
        <w:tc>
          <w:tcPr>
            <w:tcW w:w="1832" w:type="dxa"/>
            <w:tcBorders>
              <w:top w:val="dotted" w:sz="4" w:space="0" w:color="000000"/>
              <w:left w:val="dotted" w:sz="4" w:space="0" w:color="000000"/>
              <w:bottom w:val="dotted" w:sz="4" w:space="0" w:color="000000"/>
              <w:right w:val="dotted" w:sz="4" w:space="0" w:color="000000"/>
            </w:tcBorders>
            <w:vAlign w:val="center"/>
          </w:tcPr>
          <w:p w14:paraId="799D98AE"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1.0094</w:t>
            </w:r>
          </w:p>
        </w:tc>
        <w:tc>
          <w:tcPr>
            <w:tcW w:w="2671" w:type="dxa"/>
            <w:tcBorders>
              <w:top w:val="dotted" w:sz="4" w:space="0" w:color="000000"/>
              <w:left w:val="dotted" w:sz="4" w:space="0" w:color="000000"/>
              <w:bottom w:val="dotted" w:sz="4" w:space="0" w:color="000000"/>
              <w:right w:val="dotted" w:sz="4" w:space="0" w:color="000000"/>
            </w:tcBorders>
            <w:vAlign w:val="center"/>
          </w:tcPr>
          <w:p w14:paraId="2DF751B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0.769</w:t>
            </w:r>
          </w:p>
        </w:tc>
        <w:tc>
          <w:tcPr>
            <w:tcW w:w="3381" w:type="dxa"/>
            <w:tcBorders>
              <w:top w:val="dotted" w:sz="4" w:space="0" w:color="000000"/>
              <w:left w:val="dotted" w:sz="4" w:space="0" w:color="000000"/>
              <w:bottom w:val="dotted" w:sz="4" w:space="0" w:color="000000"/>
              <w:right w:val="dotted" w:sz="4" w:space="0" w:color="000000"/>
            </w:tcBorders>
            <w:vAlign w:val="center"/>
          </w:tcPr>
          <w:p w14:paraId="0406686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0.062</w:t>
            </w:r>
          </w:p>
        </w:tc>
      </w:tr>
      <w:tr w:rsidR="00573010" w:rsidRPr="005E6B7C" w14:paraId="6786D57A" w14:textId="77777777" w:rsidTr="00AD6EEB">
        <w:trPr>
          <w:jc w:val="center"/>
        </w:trPr>
        <w:tc>
          <w:tcPr>
            <w:tcW w:w="2973" w:type="dxa"/>
            <w:gridSpan w:val="2"/>
            <w:tcBorders>
              <w:top w:val="dotted" w:sz="4" w:space="0" w:color="000000"/>
              <w:left w:val="dotted" w:sz="4" w:space="0" w:color="000000"/>
              <w:bottom w:val="dotted" w:sz="4" w:space="0" w:color="000000"/>
              <w:right w:val="dotted" w:sz="4" w:space="0" w:color="000000"/>
            </w:tcBorders>
            <w:vAlign w:val="center"/>
          </w:tcPr>
          <w:p w14:paraId="129B3F99" w14:textId="5431DFE0" w:rsidR="00E049CB" w:rsidRPr="005E6B7C" w:rsidRDefault="001D5000"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Mean (n = 12)</w:t>
            </w:r>
          </w:p>
        </w:tc>
        <w:tc>
          <w:tcPr>
            <w:tcW w:w="2671" w:type="dxa"/>
            <w:tcBorders>
              <w:top w:val="dotted" w:sz="4" w:space="0" w:color="000000"/>
              <w:left w:val="dotted" w:sz="4" w:space="0" w:color="000000"/>
              <w:bottom w:val="dotted" w:sz="4" w:space="0" w:color="000000"/>
              <w:right w:val="dotted" w:sz="4" w:space="0" w:color="000000"/>
            </w:tcBorders>
            <w:vAlign w:val="center"/>
          </w:tcPr>
          <w:p w14:paraId="68E3816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0.742</w:t>
            </w:r>
          </w:p>
        </w:tc>
        <w:tc>
          <w:tcPr>
            <w:tcW w:w="3381" w:type="dxa"/>
            <w:tcBorders>
              <w:top w:val="dotted" w:sz="4" w:space="0" w:color="000000"/>
              <w:left w:val="dotted" w:sz="4" w:space="0" w:color="000000"/>
              <w:bottom w:val="dotted" w:sz="4" w:space="0" w:color="000000"/>
              <w:right w:val="dotted" w:sz="4" w:space="0" w:color="000000"/>
            </w:tcBorders>
            <w:vAlign w:val="center"/>
          </w:tcPr>
          <w:p w14:paraId="7AE969A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0.065</w:t>
            </w:r>
          </w:p>
        </w:tc>
      </w:tr>
      <w:tr w:rsidR="00573010" w:rsidRPr="005E6B7C" w14:paraId="07E478B7" w14:textId="77777777" w:rsidTr="00AD6EEB">
        <w:trPr>
          <w:jc w:val="center"/>
        </w:trPr>
        <w:tc>
          <w:tcPr>
            <w:tcW w:w="2973" w:type="dxa"/>
            <w:gridSpan w:val="2"/>
            <w:tcBorders>
              <w:top w:val="dotted" w:sz="4" w:space="0" w:color="000000"/>
              <w:left w:val="dotted" w:sz="4" w:space="0" w:color="000000"/>
              <w:bottom w:val="dotted" w:sz="4" w:space="0" w:color="000000"/>
              <w:right w:val="dotted" w:sz="4" w:space="0" w:color="000000"/>
            </w:tcBorders>
            <w:vAlign w:val="center"/>
          </w:tcPr>
          <w:p w14:paraId="3AB890F2" w14:textId="7CD56C70"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RSDr (%,</w:t>
            </w:r>
            <w:r w:rsidR="001D5000" w:rsidRPr="005E6B7C">
              <w:rPr>
                <w:rFonts w:asciiTheme="majorHAnsi" w:eastAsia="Times New Roman" w:hAnsiTheme="majorHAnsi" w:cstheme="majorHAnsi"/>
                <w:b/>
                <w:bCs/>
                <w:color w:val="000000" w:themeColor="text1"/>
                <w:sz w:val="18"/>
                <w:szCs w:val="18"/>
                <w:lang w:val="vi-VN" w:eastAsia="ja-JP"/>
              </w:rPr>
              <w:t xml:space="preserve"> </w:t>
            </w:r>
            <w:r w:rsidRPr="005E6B7C">
              <w:rPr>
                <w:rFonts w:asciiTheme="majorHAnsi" w:eastAsia="Times New Roman" w:hAnsiTheme="majorHAnsi" w:cstheme="majorHAnsi"/>
                <w:b/>
                <w:bCs/>
                <w:color w:val="000000" w:themeColor="text1"/>
                <w:sz w:val="18"/>
                <w:szCs w:val="18"/>
                <w:lang w:eastAsia="ja-JP"/>
              </w:rPr>
              <w:t>n=12)</w:t>
            </w:r>
          </w:p>
        </w:tc>
        <w:tc>
          <w:tcPr>
            <w:tcW w:w="2671" w:type="dxa"/>
            <w:tcBorders>
              <w:top w:val="dotted" w:sz="4" w:space="0" w:color="000000"/>
              <w:left w:val="dotted" w:sz="4" w:space="0" w:color="000000"/>
              <w:bottom w:val="dotted" w:sz="4" w:space="0" w:color="000000"/>
              <w:right w:val="dotted" w:sz="4" w:space="0" w:color="000000"/>
            </w:tcBorders>
            <w:vAlign w:val="center"/>
          </w:tcPr>
          <w:p w14:paraId="559D75C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4.594</w:t>
            </w:r>
          </w:p>
        </w:tc>
        <w:tc>
          <w:tcPr>
            <w:tcW w:w="3381" w:type="dxa"/>
            <w:tcBorders>
              <w:top w:val="dotted" w:sz="4" w:space="0" w:color="000000"/>
              <w:left w:val="dotted" w:sz="4" w:space="0" w:color="000000"/>
              <w:bottom w:val="dotted" w:sz="4" w:space="0" w:color="000000"/>
              <w:right w:val="dotted" w:sz="4" w:space="0" w:color="000000"/>
            </w:tcBorders>
            <w:vAlign w:val="center"/>
          </w:tcPr>
          <w:p w14:paraId="14BBE8F3"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4.931</w:t>
            </w:r>
          </w:p>
        </w:tc>
      </w:tr>
    </w:tbl>
    <w:p w14:paraId="62F7AE10" w14:textId="77777777" w:rsidR="0018773C" w:rsidRPr="005E6B7C" w:rsidRDefault="0018773C" w:rsidP="008C0D47">
      <w:pPr>
        <w:tabs>
          <w:tab w:val="left" w:pos="270"/>
          <w:tab w:val="left" w:pos="540"/>
          <w:tab w:val="left" w:pos="9270"/>
        </w:tabs>
        <w:ind w:right="-20"/>
        <w:jc w:val="both"/>
        <w:rPr>
          <w:rFonts w:asciiTheme="majorHAnsi" w:eastAsia="Yu Mincho" w:hAnsiTheme="majorHAnsi" w:cstheme="majorHAnsi"/>
          <w:iCs/>
          <w:color w:val="000000" w:themeColor="text1"/>
          <w:sz w:val="22"/>
          <w:szCs w:val="22"/>
        </w:rPr>
      </w:pPr>
    </w:p>
    <w:p w14:paraId="52DD94BF"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val="vi-VN"/>
        </w:rPr>
        <w:sectPr w:rsidR="000F51CE" w:rsidRPr="005E6B7C" w:rsidSect="002206BB">
          <w:type w:val="continuous"/>
          <w:pgSz w:w="10773" w:h="15309" w:code="9"/>
          <w:pgMar w:top="907" w:right="851" w:bottom="1418" w:left="851" w:header="397" w:footer="851" w:gutter="0"/>
          <w:cols w:space="284"/>
          <w:docGrid w:linePitch="360"/>
        </w:sectPr>
      </w:pPr>
    </w:p>
    <w:p w14:paraId="19A043AC" w14:textId="18667CAE"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b/>
          <w:bCs/>
          <w:iCs/>
          <w:color w:val="000000" w:themeColor="text1"/>
          <w:sz w:val="22"/>
          <w:szCs w:val="22"/>
          <w:lang w:val="vi-VN"/>
        </w:rPr>
      </w:pPr>
      <w:r w:rsidRPr="005E6B7C">
        <w:rPr>
          <w:rFonts w:asciiTheme="majorHAnsi" w:eastAsia="Yu Mincho" w:hAnsiTheme="majorHAnsi" w:cstheme="majorHAnsi"/>
          <w:iCs/>
          <w:color w:val="000000" w:themeColor="text1"/>
          <w:sz w:val="22"/>
          <w:szCs w:val="22"/>
          <w:lang w:val="vi-VN"/>
        </w:rPr>
        <w:t xml:space="preserve">The obtained results showed that the RSD values ​​(%) for intra-day and inter-day repeatability assessment were less than 4.0%, proving that the developed method had high repeatability, stability, and was suitable for analyzing and quantifying </w:t>
      </w:r>
      <w:r w:rsidRPr="005E6B7C">
        <w:rPr>
          <w:rFonts w:asciiTheme="majorHAnsi" w:eastAsia="Yu Mincho" w:hAnsiTheme="majorHAnsi" w:cstheme="majorHAnsi"/>
          <w:i/>
          <w:iCs/>
          <w:color w:val="000000" w:themeColor="text1"/>
          <w:sz w:val="22"/>
          <w:szCs w:val="22"/>
          <w:lang w:val="vi-VN"/>
        </w:rPr>
        <w:t>β</w:t>
      </w:r>
      <w:r w:rsidRPr="005E6B7C">
        <w:rPr>
          <w:rFonts w:asciiTheme="majorHAnsi" w:eastAsia="Yu Mincho" w:hAnsiTheme="majorHAnsi" w:cstheme="majorHAnsi"/>
          <w:iCs/>
          <w:color w:val="000000" w:themeColor="text1"/>
          <w:sz w:val="22"/>
          <w:szCs w:val="22"/>
          <w:lang w:val="vi-VN"/>
        </w:rPr>
        <w:t>-carotene and lycopene in the Gac seed aril sample.</w:t>
      </w:r>
    </w:p>
    <w:p w14:paraId="3450E09F" w14:textId="77777777" w:rsidR="00E049CB" w:rsidRPr="005E6B7C" w:rsidRDefault="000F51CE" w:rsidP="008C0D47">
      <w:pPr>
        <w:tabs>
          <w:tab w:val="left" w:pos="270"/>
          <w:tab w:val="left" w:pos="540"/>
          <w:tab w:val="left" w:pos="9270"/>
        </w:tabs>
        <w:spacing w:line="260" w:lineRule="exact"/>
        <w:ind w:firstLine="284"/>
        <w:jc w:val="both"/>
        <w:rPr>
          <w:rFonts w:asciiTheme="majorHAnsi" w:eastAsia="Yu Mincho" w:hAnsiTheme="majorHAnsi" w:cstheme="majorHAnsi"/>
          <w:b/>
          <w:bCs/>
          <w:iCs/>
          <w:color w:val="000000" w:themeColor="text1"/>
          <w:sz w:val="22"/>
          <w:szCs w:val="22"/>
        </w:rPr>
      </w:pPr>
      <w:r w:rsidRPr="005E6B7C">
        <w:rPr>
          <w:rFonts w:asciiTheme="majorHAnsi" w:eastAsia="Yu Mincho" w:hAnsiTheme="majorHAnsi" w:cstheme="majorHAnsi"/>
          <w:i/>
          <w:color w:val="000000" w:themeColor="text1"/>
          <w:sz w:val="22"/>
          <w:szCs w:val="22"/>
          <w:lang w:val="vi-VN"/>
        </w:rPr>
        <w:br w:type="column"/>
      </w:r>
      <w:r w:rsidR="00E049CB" w:rsidRPr="005E6B7C">
        <w:rPr>
          <w:rFonts w:asciiTheme="majorHAnsi" w:eastAsia="Yu Mincho" w:hAnsiTheme="majorHAnsi" w:cstheme="majorHAnsi"/>
          <w:iCs/>
          <w:color w:val="000000" w:themeColor="text1"/>
          <w:sz w:val="22"/>
          <w:szCs w:val="22"/>
          <w:lang w:val="vi-VN"/>
        </w:rPr>
        <w:t>3.2.5. Limit of detection and limit of quantification</w:t>
      </w:r>
      <w:r w:rsidR="00E049CB" w:rsidRPr="005E6B7C">
        <w:rPr>
          <w:rFonts w:asciiTheme="majorHAnsi" w:eastAsia="Yu Mincho" w:hAnsiTheme="majorHAnsi" w:cstheme="majorHAnsi"/>
          <w:bCs/>
          <w:iCs/>
          <w:color w:val="000000" w:themeColor="text1"/>
          <w:sz w:val="22"/>
          <w:szCs w:val="22"/>
        </w:rPr>
        <w:t>:</w:t>
      </w:r>
    </w:p>
    <w:p w14:paraId="1DC60403" w14:textId="77777777" w:rsidR="000F51CE"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iCs/>
          <w:color w:val="000000" w:themeColor="text1"/>
          <w:spacing w:val="-6"/>
          <w:sz w:val="22"/>
          <w:szCs w:val="22"/>
        </w:rPr>
      </w:pPr>
      <w:r w:rsidRPr="005E6B7C">
        <w:rPr>
          <w:rFonts w:asciiTheme="majorHAnsi" w:eastAsia="Yu Mincho" w:hAnsiTheme="majorHAnsi" w:cstheme="majorHAnsi"/>
          <w:iCs/>
          <w:color w:val="000000" w:themeColor="text1"/>
          <w:spacing w:val="-6"/>
          <w:sz w:val="22"/>
          <w:szCs w:val="22"/>
          <w:lang w:val="vi-VN"/>
        </w:rPr>
        <w:t xml:space="preserve">The limit of detection (LOD) and the limit of quantification (LOQ) were calculated by diluting sample solutions until signal-to-noise ratios of 3 and 10, respectively. LOD and LOQ of two substances were also calculated, as shown in Table </w:t>
      </w:r>
      <w:r w:rsidRPr="005E6B7C">
        <w:rPr>
          <w:rFonts w:asciiTheme="majorHAnsi" w:eastAsia="Yu Mincho" w:hAnsiTheme="majorHAnsi" w:cstheme="majorHAnsi"/>
          <w:iCs/>
          <w:color w:val="000000" w:themeColor="text1"/>
          <w:spacing w:val="-6"/>
          <w:sz w:val="22"/>
          <w:szCs w:val="22"/>
        </w:rPr>
        <w:t>5</w:t>
      </w:r>
      <w:r w:rsidRPr="005E6B7C">
        <w:rPr>
          <w:rFonts w:asciiTheme="majorHAnsi" w:eastAsia="Yu Mincho" w:hAnsiTheme="majorHAnsi" w:cstheme="majorHAnsi"/>
          <w:iCs/>
          <w:color w:val="000000" w:themeColor="text1"/>
          <w:spacing w:val="-6"/>
          <w:sz w:val="22"/>
          <w:szCs w:val="22"/>
          <w:lang w:val="vi-VN"/>
        </w:rPr>
        <w:t>.</w:t>
      </w:r>
      <w:bookmarkStart w:id="38" w:name="_Toc184127163"/>
      <w:bookmarkStart w:id="39" w:name="_Toc198206802"/>
      <w:bookmarkEnd w:id="38"/>
      <w:bookmarkEnd w:id="39"/>
    </w:p>
    <w:p w14:paraId="5094AF2C"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rPr>
        <w:sectPr w:rsidR="000F51CE" w:rsidRPr="005E6B7C" w:rsidSect="000F51CE">
          <w:type w:val="continuous"/>
          <w:pgSz w:w="10773" w:h="15309" w:code="9"/>
          <w:pgMar w:top="907" w:right="851" w:bottom="1418" w:left="851" w:header="397" w:footer="851" w:gutter="0"/>
          <w:cols w:num="2" w:space="284"/>
          <w:docGrid w:linePitch="360"/>
        </w:sectPr>
      </w:pPr>
    </w:p>
    <w:p w14:paraId="7310FAC8" w14:textId="77777777" w:rsidR="00E049CB" w:rsidRPr="005E6B7C" w:rsidRDefault="00E049CB" w:rsidP="008C0D47">
      <w:pPr>
        <w:tabs>
          <w:tab w:val="left" w:pos="270"/>
          <w:tab w:val="left" w:pos="540"/>
          <w:tab w:val="left" w:pos="9270"/>
        </w:tabs>
        <w:spacing w:before="120" w:after="120"/>
        <w:ind w:right="-20"/>
        <w:jc w:val="center"/>
        <w:rPr>
          <w:rFonts w:asciiTheme="majorHAnsi" w:eastAsia="Calibri" w:hAnsiTheme="majorHAnsi" w:cstheme="majorHAnsi"/>
          <w:bCs/>
          <w:iCs/>
          <w:color w:val="000000" w:themeColor="text1"/>
          <w:sz w:val="18"/>
          <w:szCs w:val="18"/>
          <w:lang w:val="vi-VN"/>
        </w:rPr>
      </w:pPr>
      <w:r w:rsidRPr="005E6B7C">
        <w:rPr>
          <w:rFonts w:asciiTheme="majorHAnsi" w:eastAsia="Calibri" w:hAnsiTheme="majorHAnsi" w:cstheme="majorHAnsi"/>
          <w:b/>
          <w:iCs/>
          <w:color w:val="000000" w:themeColor="text1"/>
          <w:sz w:val="18"/>
          <w:szCs w:val="18"/>
          <w:lang w:val="vi-VN"/>
        </w:rPr>
        <w:t xml:space="preserve">Table </w:t>
      </w:r>
      <w:r w:rsidRPr="005E6B7C">
        <w:rPr>
          <w:rFonts w:asciiTheme="majorHAnsi" w:eastAsia="Calibri" w:hAnsiTheme="majorHAnsi" w:cstheme="majorHAnsi"/>
          <w:b/>
          <w:iCs/>
          <w:color w:val="000000" w:themeColor="text1"/>
          <w:sz w:val="18"/>
          <w:szCs w:val="18"/>
        </w:rPr>
        <w:t>5</w:t>
      </w:r>
      <w:r w:rsidRPr="005E6B7C">
        <w:rPr>
          <w:rFonts w:asciiTheme="majorHAnsi" w:eastAsia="Calibri" w:hAnsiTheme="majorHAnsi" w:cstheme="majorHAnsi"/>
          <w:b/>
          <w:iCs/>
          <w:color w:val="000000" w:themeColor="text1"/>
          <w:sz w:val="18"/>
          <w:szCs w:val="18"/>
          <w:lang w:val="vi-VN"/>
        </w:rPr>
        <w:t xml:space="preserve">. </w:t>
      </w:r>
      <w:r w:rsidRPr="005E6B7C">
        <w:rPr>
          <w:rFonts w:asciiTheme="majorHAnsi" w:eastAsia="Calibri" w:hAnsiTheme="majorHAnsi" w:cstheme="majorHAnsi"/>
          <w:bCs/>
          <w:iCs/>
          <w:color w:val="000000" w:themeColor="text1"/>
          <w:sz w:val="18"/>
          <w:szCs w:val="18"/>
          <w:lang w:val="vi-VN"/>
        </w:rPr>
        <w:t xml:space="preserve">LOD and LOQ of </w:t>
      </w:r>
      <w:r w:rsidRPr="005E6B7C">
        <w:rPr>
          <w:rFonts w:asciiTheme="majorHAnsi" w:eastAsia="Yu Mincho" w:hAnsiTheme="majorHAnsi" w:cstheme="majorHAnsi"/>
          <w:bCs/>
          <w:iCs/>
          <w:color w:val="000000" w:themeColor="text1"/>
          <w:sz w:val="18"/>
          <w:szCs w:val="18"/>
        </w:rPr>
        <w:t xml:space="preserve">lycopene and </w:t>
      </w:r>
      <w:r w:rsidRPr="005E6B7C">
        <w:rPr>
          <w:rFonts w:asciiTheme="majorHAnsi" w:eastAsia="Yu Mincho" w:hAnsiTheme="majorHAnsi" w:cstheme="majorHAnsi"/>
          <w:bCs/>
          <w:i/>
          <w:iCs/>
          <w:color w:val="000000" w:themeColor="text1"/>
          <w:sz w:val="18"/>
          <w:szCs w:val="18"/>
        </w:rPr>
        <w:t>β</w:t>
      </w:r>
      <w:r w:rsidRPr="005E6B7C">
        <w:rPr>
          <w:rFonts w:asciiTheme="majorHAnsi" w:eastAsia="Yu Mincho" w:hAnsiTheme="majorHAnsi" w:cstheme="majorHAnsi"/>
          <w:bCs/>
          <w:iCs/>
          <w:color w:val="000000" w:themeColor="text1"/>
          <w:sz w:val="18"/>
          <w:szCs w:val="18"/>
        </w:rPr>
        <w:t>-carotene</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1507"/>
        <w:gridCol w:w="2762"/>
        <w:gridCol w:w="2401"/>
        <w:gridCol w:w="2402"/>
      </w:tblGrid>
      <w:tr w:rsidR="00E049CB" w:rsidRPr="005E6B7C" w14:paraId="46D1C4C6" w14:textId="77777777" w:rsidTr="00AD6EEB">
        <w:trPr>
          <w:jc w:val="center"/>
        </w:trPr>
        <w:tc>
          <w:tcPr>
            <w:tcW w:w="1413" w:type="dxa"/>
          </w:tcPr>
          <w:p w14:paraId="6D71B5A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89" w:type="dxa"/>
          </w:tcPr>
          <w:p w14:paraId="3E52B032"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p>
        </w:tc>
        <w:tc>
          <w:tcPr>
            <w:tcW w:w="2251" w:type="dxa"/>
          </w:tcPr>
          <w:p w14:paraId="053E30A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Lycopene</w:t>
            </w:r>
          </w:p>
        </w:tc>
        <w:tc>
          <w:tcPr>
            <w:tcW w:w="2252" w:type="dxa"/>
          </w:tcPr>
          <w:p w14:paraId="3DDC486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Times New Roman" w:hAnsiTheme="majorHAnsi" w:cstheme="majorHAnsi"/>
                <w:b/>
                <w:bCs/>
                <w:i/>
                <w:color w:val="000000" w:themeColor="text1"/>
                <w:sz w:val="18"/>
                <w:szCs w:val="18"/>
                <w:lang w:eastAsia="ja-JP"/>
              </w:rPr>
              <w:t>β</w:t>
            </w:r>
            <w:r w:rsidRPr="005E6B7C">
              <w:rPr>
                <w:rFonts w:asciiTheme="majorHAnsi" w:eastAsia="Times New Roman" w:hAnsiTheme="majorHAnsi" w:cstheme="majorHAnsi"/>
                <w:b/>
                <w:bCs/>
                <w:color w:val="000000" w:themeColor="text1"/>
                <w:sz w:val="18"/>
                <w:szCs w:val="18"/>
                <w:lang w:eastAsia="ja-JP"/>
              </w:rPr>
              <w:t>-Carotene</w:t>
            </w:r>
          </w:p>
        </w:tc>
      </w:tr>
      <w:tr w:rsidR="00E049CB" w:rsidRPr="005E6B7C" w14:paraId="1CF2EE3E" w14:textId="77777777" w:rsidTr="00AD6EEB">
        <w:trPr>
          <w:jc w:val="center"/>
        </w:trPr>
        <w:tc>
          <w:tcPr>
            <w:tcW w:w="1413" w:type="dxa"/>
            <w:vMerge w:val="restart"/>
            <w:vAlign w:val="center"/>
          </w:tcPr>
          <w:p w14:paraId="7876AC5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LOD</w:t>
            </w:r>
          </w:p>
        </w:tc>
        <w:tc>
          <w:tcPr>
            <w:tcW w:w="2589" w:type="dxa"/>
          </w:tcPr>
          <w:p w14:paraId="7BBF0362" w14:textId="1D2C9D61"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Concentration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g/mL)</w:t>
            </w:r>
          </w:p>
        </w:tc>
        <w:tc>
          <w:tcPr>
            <w:tcW w:w="2251" w:type="dxa"/>
          </w:tcPr>
          <w:p w14:paraId="69F1CF3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1.55</w:t>
            </w:r>
          </w:p>
        </w:tc>
        <w:tc>
          <w:tcPr>
            <w:tcW w:w="2252" w:type="dxa"/>
          </w:tcPr>
          <w:p w14:paraId="7CA69018"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0.985</w:t>
            </w:r>
          </w:p>
        </w:tc>
      </w:tr>
      <w:tr w:rsidR="00E049CB" w:rsidRPr="005E6B7C" w14:paraId="6B512495" w14:textId="77777777" w:rsidTr="00AD6EEB">
        <w:trPr>
          <w:jc w:val="center"/>
        </w:trPr>
        <w:tc>
          <w:tcPr>
            <w:tcW w:w="1413" w:type="dxa"/>
            <w:vMerge/>
            <w:shd w:val="clear" w:color="auto" w:fill="FFFF00"/>
          </w:tcPr>
          <w:p w14:paraId="2EAA8E60"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89" w:type="dxa"/>
            <w:vAlign w:val="center"/>
          </w:tcPr>
          <w:p w14:paraId="6024C826"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Content (%)</w:t>
            </w:r>
          </w:p>
        </w:tc>
        <w:tc>
          <w:tcPr>
            <w:tcW w:w="2251" w:type="dxa"/>
          </w:tcPr>
          <w:p w14:paraId="7E1F3A6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0.008</w:t>
            </w:r>
          </w:p>
        </w:tc>
        <w:tc>
          <w:tcPr>
            <w:tcW w:w="2252" w:type="dxa"/>
          </w:tcPr>
          <w:p w14:paraId="0F0FC6F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0.005</w:t>
            </w:r>
          </w:p>
        </w:tc>
      </w:tr>
      <w:tr w:rsidR="00E049CB" w:rsidRPr="005E6B7C" w14:paraId="7D0AC07F" w14:textId="77777777" w:rsidTr="00AD6EEB">
        <w:trPr>
          <w:jc w:val="center"/>
        </w:trPr>
        <w:tc>
          <w:tcPr>
            <w:tcW w:w="1413" w:type="dxa"/>
            <w:vMerge w:val="restart"/>
            <w:vAlign w:val="center"/>
          </w:tcPr>
          <w:p w14:paraId="22F5581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LOQ</w:t>
            </w:r>
          </w:p>
        </w:tc>
        <w:tc>
          <w:tcPr>
            <w:tcW w:w="2589" w:type="dxa"/>
          </w:tcPr>
          <w:p w14:paraId="394092C4" w14:textId="7994D2C5"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Concentration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g/mL)</w:t>
            </w:r>
          </w:p>
        </w:tc>
        <w:tc>
          <w:tcPr>
            <w:tcW w:w="2251" w:type="dxa"/>
          </w:tcPr>
          <w:p w14:paraId="7D4B361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5.13</w:t>
            </w:r>
          </w:p>
        </w:tc>
        <w:tc>
          <w:tcPr>
            <w:tcW w:w="2252" w:type="dxa"/>
          </w:tcPr>
          <w:p w14:paraId="4966850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3.25</w:t>
            </w:r>
          </w:p>
        </w:tc>
      </w:tr>
      <w:tr w:rsidR="00E049CB" w:rsidRPr="005E6B7C" w14:paraId="321B7985" w14:textId="77777777" w:rsidTr="00AD6EEB">
        <w:trPr>
          <w:jc w:val="center"/>
        </w:trPr>
        <w:tc>
          <w:tcPr>
            <w:tcW w:w="1413" w:type="dxa"/>
            <w:vMerge/>
            <w:shd w:val="clear" w:color="auto" w:fill="FFFF00"/>
          </w:tcPr>
          <w:p w14:paraId="2087CF9C"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p>
        </w:tc>
        <w:tc>
          <w:tcPr>
            <w:tcW w:w="2589" w:type="dxa"/>
            <w:vAlign w:val="center"/>
          </w:tcPr>
          <w:p w14:paraId="153456BC"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Content (%)</w:t>
            </w:r>
          </w:p>
        </w:tc>
        <w:tc>
          <w:tcPr>
            <w:tcW w:w="2251" w:type="dxa"/>
          </w:tcPr>
          <w:p w14:paraId="13F0339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0.026</w:t>
            </w:r>
          </w:p>
        </w:tc>
        <w:tc>
          <w:tcPr>
            <w:tcW w:w="2252" w:type="dxa"/>
          </w:tcPr>
          <w:p w14:paraId="00F780F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0.016</w:t>
            </w:r>
          </w:p>
        </w:tc>
      </w:tr>
    </w:tbl>
    <w:p w14:paraId="6311AB79" w14:textId="77777777" w:rsidR="00AD6EEB" w:rsidRPr="005E6B7C" w:rsidRDefault="00AD6EE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37EC233A"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0F51CE" w:rsidRPr="005E6B7C" w:rsidSect="002206BB">
          <w:type w:val="continuous"/>
          <w:pgSz w:w="10773" w:h="15309" w:code="9"/>
          <w:pgMar w:top="907" w:right="851" w:bottom="1418" w:left="851" w:header="397" w:footer="851" w:gutter="0"/>
          <w:cols w:space="284"/>
          <w:docGrid w:linePitch="360"/>
        </w:sectPr>
      </w:pPr>
    </w:p>
    <w:p w14:paraId="79103731" w14:textId="11F269E1"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results obtained showed that LOD and LOQ values of lycopene and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by the HPTLC scanner method were 1.55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and 5.13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for lycopene, 0.985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and 3.25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for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respectively.</w:t>
      </w:r>
    </w:p>
    <w:p w14:paraId="7E224BC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3.2.6. Accuracy:</w:t>
      </w:r>
    </w:p>
    <w:p w14:paraId="04C32B87" w14:textId="77777777" w:rsidR="000F51CE"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val="en" w:eastAsia="ja-JP"/>
        </w:rPr>
      </w:pPr>
      <w:r w:rsidRPr="005E6B7C">
        <w:rPr>
          <w:rFonts w:asciiTheme="majorHAnsi" w:eastAsia="Yu Mincho" w:hAnsiTheme="majorHAnsi" w:cstheme="majorHAnsi"/>
          <w:color w:val="000000" w:themeColor="text1"/>
          <w:spacing w:val="-4"/>
          <w:sz w:val="22"/>
          <w:szCs w:val="22"/>
          <w:lang w:eastAsia="ja-JP"/>
        </w:rPr>
        <w:t xml:space="preserve">The accuracy was evaluated by spiking the previously quantified sample with known amounts of </w:t>
      </w:r>
      <w:r w:rsidRPr="005E6B7C">
        <w:rPr>
          <w:rFonts w:asciiTheme="majorHAnsi" w:eastAsia="Yu Mincho" w:hAnsiTheme="majorHAnsi" w:cstheme="majorHAnsi"/>
          <w:i/>
          <w:iCs/>
          <w:color w:val="000000" w:themeColor="text1"/>
          <w:spacing w:val="-4"/>
          <w:sz w:val="22"/>
          <w:szCs w:val="22"/>
          <w:lang w:eastAsia="ja-JP"/>
        </w:rPr>
        <w:t>β</w:t>
      </w:r>
      <w:r w:rsidRPr="005E6B7C">
        <w:rPr>
          <w:rFonts w:asciiTheme="majorHAnsi" w:eastAsia="Yu Mincho" w:hAnsiTheme="majorHAnsi" w:cstheme="majorHAnsi"/>
          <w:color w:val="000000" w:themeColor="text1"/>
          <w:spacing w:val="-4"/>
          <w:sz w:val="22"/>
          <w:szCs w:val="22"/>
          <w:lang w:eastAsia="ja-JP"/>
        </w:rPr>
        <w:t xml:space="preserve">-carotene standard solution and lycopene </w:t>
      </w:r>
      <w:r w:rsidRPr="005E6B7C">
        <w:rPr>
          <w:rFonts w:asciiTheme="majorHAnsi" w:eastAsia="Yu Mincho" w:hAnsiTheme="majorHAnsi" w:cstheme="majorHAnsi"/>
          <w:color w:val="000000" w:themeColor="text1"/>
          <w:spacing w:val="-4"/>
          <w:sz w:val="22"/>
          <w:szCs w:val="22"/>
          <w:lang w:eastAsia="ja-JP"/>
        </w:rPr>
        <w:t xml:space="preserve">standard in solid form at three different levels (50%, 100%, and 150%) relative to the inherent concentration found in the </w:t>
      </w:r>
      <w:r w:rsidRPr="005E6B7C">
        <w:rPr>
          <w:rFonts w:asciiTheme="majorHAnsi" w:eastAsia="Yu Mincho" w:hAnsiTheme="majorHAnsi" w:cstheme="majorHAnsi"/>
          <w:color w:val="000000" w:themeColor="text1"/>
          <w:spacing w:val="-4"/>
          <w:sz w:val="22"/>
          <w:szCs w:val="22"/>
          <w:lang w:val="en" w:eastAsia="ja-JP"/>
        </w:rPr>
        <w:t>unspiked sample</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val="en" w:eastAsia="ja-JP"/>
        </w:rPr>
        <w:t>Each experiment was repeated three times. Conduct H</w:t>
      </w:r>
      <w:r w:rsidRPr="005E6B7C">
        <w:rPr>
          <w:rFonts w:asciiTheme="majorHAnsi" w:eastAsia="Yu Mincho" w:hAnsiTheme="majorHAnsi" w:cstheme="majorHAnsi"/>
          <w:color w:val="000000" w:themeColor="text1"/>
          <w:spacing w:val="-4"/>
          <w:sz w:val="22"/>
          <w:szCs w:val="22"/>
          <w:lang w:eastAsia="ja-JP"/>
        </w:rPr>
        <w:t>PTLC scanner</w:t>
      </w:r>
      <w:r w:rsidRPr="005E6B7C">
        <w:rPr>
          <w:rFonts w:asciiTheme="majorHAnsi" w:eastAsia="Yu Mincho" w:hAnsiTheme="majorHAnsi" w:cstheme="majorHAnsi"/>
          <w:color w:val="000000" w:themeColor="text1"/>
          <w:spacing w:val="-4"/>
          <w:sz w:val="22"/>
          <w:szCs w:val="22"/>
          <w:lang w:val="en" w:eastAsia="ja-JP"/>
        </w:rPr>
        <w:t xml:space="preserve"> analysis of spiked and unspiked samples, determine the amount of standard added based on the calibration curve equations, and calculate the recovery efficiency compared to the actual amount of standard added.</w:t>
      </w:r>
    </w:p>
    <w:p w14:paraId="4E69A01A"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en" w:eastAsia="ja-JP"/>
        </w:rPr>
        <w:sectPr w:rsidR="000F51CE" w:rsidRPr="005E6B7C" w:rsidSect="000F51CE">
          <w:type w:val="continuous"/>
          <w:pgSz w:w="10773" w:h="15309" w:code="9"/>
          <w:pgMar w:top="907" w:right="851" w:bottom="1418" w:left="851" w:header="397" w:footer="851" w:gutter="0"/>
          <w:cols w:num="2" w:space="284"/>
          <w:docGrid w:linePitch="360"/>
        </w:sectPr>
      </w:pPr>
    </w:p>
    <w:p w14:paraId="452FD8EA" w14:textId="77777777"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 xml:space="preserve">Table 6. </w:t>
      </w:r>
      <w:r w:rsidRPr="005E6B7C">
        <w:rPr>
          <w:rFonts w:asciiTheme="majorHAnsi" w:eastAsia="Yu Mincho" w:hAnsiTheme="majorHAnsi" w:cstheme="majorHAnsi"/>
          <w:color w:val="000000" w:themeColor="text1"/>
          <w:sz w:val="18"/>
          <w:szCs w:val="18"/>
          <w:lang w:eastAsia="ja-JP"/>
        </w:rPr>
        <w:t>The results of evaluating the accuracy (n=3)</w:t>
      </w:r>
    </w:p>
    <w:tbl>
      <w:tblPr>
        <w:tblW w:w="4900" w:type="pct"/>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1738"/>
        <w:gridCol w:w="2828"/>
        <w:gridCol w:w="2158"/>
        <w:gridCol w:w="2156"/>
      </w:tblGrid>
      <w:tr w:rsidR="00573010" w:rsidRPr="005E6B7C" w14:paraId="555110B0" w14:textId="77777777" w:rsidTr="00AD6EEB">
        <w:tc>
          <w:tcPr>
            <w:tcW w:w="1730" w:type="dxa"/>
            <w:vAlign w:val="center"/>
          </w:tcPr>
          <w:p w14:paraId="57A1702F"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Compound</w:t>
            </w:r>
          </w:p>
        </w:tc>
        <w:tc>
          <w:tcPr>
            <w:tcW w:w="2814" w:type="dxa"/>
            <w:vAlign w:val="center"/>
          </w:tcPr>
          <w:p w14:paraId="6759997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Level</w:t>
            </w:r>
          </w:p>
        </w:tc>
        <w:tc>
          <w:tcPr>
            <w:tcW w:w="2147" w:type="dxa"/>
            <w:vAlign w:val="center"/>
          </w:tcPr>
          <w:p w14:paraId="7361FEC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Recovery rate (%)</w:t>
            </w:r>
          </w:p>
        </w:tc>
        <w:tc>
          <w:tcPr>
            <w:tcW w:w="2145" w:type="dxa"/>
            <w:vAlign w:val="center"/>
          </w:tcPr>
          <w:p w14:paraId="117875E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Mean (%)</w:t>
            </w:r>
          </w:p>
        </w:tc>
      </w:tr>
      <w:tr w:rsidR="00573010" w:rsidRPr="005E6B7C" w14:paraId="7D502311" w14:textId="77777777" w:rsidTr="00AD6EEB">
        <w:tc>
          <w:tcPr>
            <w:tcW w:w="1730" w:type="dxa"/>
            <w:vMerge w:val="restart"/>
            <w:vAlign w:val="center"/>
          </w:tcPr>
          <w:p w14:paraId="21FA18FD"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Lycopene</w:t>
            </w:r>
          </w:p>
        </w:tc>
        <w:tc>
          <w:tcPr>
            <w:tcW w:w="2814" w:type="dxa"/>
            <w:vAlign w:val="center"/>
          </w:tcPr>
          <w:p w14:paraId="129D6EB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50% spiked (3.71 mg)</w:t>
            </w:r>
          </w:p>
        </w:tc>
        <w:tc>
          <w:tcPr>
            <w:tcW w:w="2147" w:type="dxa"/>
            <w:vAlign w:val="center"/>
          </w:tcPr>
          <w:p w14:paraId="3CAD1CE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101.53</w:t>
            </w:r>
          </w:p>
        </w:tc>
        <w:tc>
          <w:tcPr>
            <w:tcW w:w="2145" w:type="dxa"/>
            <w:vMerge w:val="restart"/>
            <w:vAlign w:val="center"/>
          </w:tcPr>
          <w:p w14:paraId="583B7DA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98.57 ± 2.14</w:t>
            </w:r>
          </w:p>
        </w:tc>
      </w:tr>
      <w:tr w:rsidR="00573010" w:rsidRPr="005E6B7C" w14:paraId="3D67B78E" w14:textId="77777777" w:rsidTr="00AD6EEB">
        <w:tc>
          <w:tcPr>
            <w:tcW w:w="1730" w:type="dxa"/>
            <w:vMerge/>
            <w:vAlign w:val="center"/>
          </w:tcPr>
          <w:p w14:paraId="065E343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p>
        </w:tc>
        <w:tc>
          <w:tcPr>
            <w:tcW w:w="2814" w:type="dxa"/>
            <w:vAlign w:val="center"/>
          </w:tcPr>
          <w:p w14:paraId="67070C1B"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 spiked (7.41 mg)</w:t>
            </w:r>
          </w:p>
        </w:tc>
        <w:tc>
          <w:tcPr>
            <w:tcW w:w="2147" w:type="dxa"/>
            <w:vAlign w:val="center"/>
          </w:tcPr>
          <w:p w14:paraId="146862F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96.54</w:t>
            </w:r>
          </w:p>
        </w:tc>
        <w:tc>
          <w:tcPr>
            <w:tcW w:w="2145" w:type="dxa"/>
            <w:vMerge/>
            <w:vAlign w:val="center"/>
          </w:tcPr>
          <w:p w14:paraId="03AA756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r>
      <w:tr w:rsidR="00573010" w:rsidRPr="005E6B7C" w14:paraId="15FF60F5" w14:textId="77777777" w:rsidTr="00AD6EEB">
        <w:tc>
          <w:tcPr>
            <w:tcW w:w="1730" w:type="dxa"/>
            <w:vMerge/>
            <w:vAlign w:val="center"/>
          </w:tcPr>
          <w:p w14:paraId="4EF99E13"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814" w:type="dxa"/>
            <w:vAlign w:val="center"/>
          </w:tcPr>
          <w:p w14:paraId="5932106C"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150% spiked (11.12 mg)</w:t>
            </w:r>
          </w:p>
        </w:tc>
        <w:tc>
          <w:tcPr>
            <w:tcW w:w="2147" w:type="dxa"/>
            <w:vAlign w:val="center"/>
          </w:tcPr>
          <w:p w14:paraId="70ACF10C"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97.65</w:t>
            </w:r>
          </w:p>
        </w:tc>
        <w:tc>
          <w:tcPr>
            <w:tcW w:w="2145" w:type="dxa"/>
            <w:vMerge/>
            <w:vAlign w:val="center"/>
          </w:tcPr>
          <w:p w14:paraId="35A8563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r>
      <w:tr w:rsidR="00573010" w:rsidRPr="005E6B7C" w14:paraId="69B75262" w14:textId="77777777" w:rsidTr="00AD6EEB">
        <w:tc>
          <w:tcPr>
            <w:tcW w:w="1730" w:type="dxa"/>
            <w:vMerge w:val="restart"/>
            <w:vAlign w:val="center"/>
          </w:tcPr>
          <w:p w14:paraId="0137519A"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bCs/>
                <w:i/>
                <w:color w:val="000000" w:themeColor="text1"/>
                <w:sz w:val="18"/>
                <w:szCs w:val="18"/>
                <w:lang w:eastAsia="ja-JP"/>
              </w:rPr>
              <w:t>β</w:t>
            </w:r>
            <w:r w:rsidRPr="005E6B7C">
              <w:rPr>
                <w:rFonts w:asciiTheme="majorHAnsi" w:eastAsia="Times New Roman" w:hAnsiTheme="majorHAnsi" w:cstheme="majorHAnsi"/>
                <w:bCs/>
                <w:color w:val="000000" w:themeColor="text1"/>
                <w:sz w:val="18"/>
                <w:szCs w:val="18"/>
                <w:lang w:eastAsia="ja-JP"/>
              </w:rPr>
              <w:t>-Carotene</w:t>
            </w:r>
          </w:p>
        </w:tc>
        <w:tc>
          <w:tcPr>
            <w:tcW w:w="2814" w:type="dxa"/>
            <w:vAlign w:val="center"/>
          </w:tcPr>
          <w:p w14:paraId="42423612"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50% spiked (0.33 mg)</w:t>
            </w:r>
          </w:p>
        </w:tc>
        <w:tc>
          <w:tcPr>
            <w:tcW w:w="2147" w:type="dxa"/>
            <w:vAlign w:val="center"/>
          </w:tcPr>
          <w:p w14:paraId="01212211"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98.73</w:t>
            </w:r>
          </w:p>
        </w:tc>
        <w:tc>
          <w:tcPr>
            <w:tcW w:w="2145" w:type="dxa"/>
            <w:vMerge w:val="restart"/>
            <w:vAlign w:val="center"/>
          </w:tcPr>
          <w:p w14:paraId="6F2496B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100.60 ± 1.41</w:t>
            </w:r>
          </w:p>
        </w:tc>
      </w:tr>
      <w:tr w:rsidR="00573010" w:rsidRPr="005E6B7C" w14:paraId="6E39D9B9" w14:textId="77777777" w:rsidTr="00AD6EEB">
        <w:tc>
          <w:tcPr>
            <w:tcW w:w="1730" w:type="dxa"/>
            <w:vMerge/>
            <w:vAlign w:val="center"/>
          </w:tcPr>
          <w:p w14:paraId="38E065E0"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p>
        </w:tc>
        <w:tc>
          <w:tcPr>
            <w:tcW w:w="2814" w:type="dxa"/>
            <w:vAlign w:val="center"/>
          </w:tcPr>
          <w:p w14:paraId="13B107E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 spiked (0.65 mg)</w:t>
            </w:r>
          </w:p>
        </w:tc>
        <w:tc>
          <w:tcPr>
            <w:tcW w:w="2147" w:type="dxa"/>
            <w:vAlign w:val="center"/>
          </w:tcPr>
          <w:p w14:paraId="09893EB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100.95</w:t>
            </w:r>
          </w:p>
        </w:tc>
        <w:tc>
          <w:tcPr>
            <w:tcW w:w="2145" w:type="dxa"/>
            <w:vMerge/>
            <w:vAlign w:val="center"/>
          </w:tcPr>
          <w:p w14:paraId="713736A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r>
      <w:tr w:rsidR="00573010" w:rsidRPr="005E6B7C" w14:paraId="77F0CF5F" w14:textId="77777777" w:rsidTr="00AD6EEB">
        <w:tc>
          <w:tcPr>
            <w:tcW w:w="1730" w:type="dxa"/>
            <w:vMerge/>
            <w:vAlign w:val="center"/>
          </w:tcPr>
          <w:p w14:paraId="3C627BAE"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p>
        </w:tc>
        <w:tc>
          <w:tcPr>
            <w:tcW w:w="2814" w:type="dxa"/>
            <w:vAlign w:val="center"/>
          </w:tcPr>
          <w:p w14:paraId="292F8439"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150% spiked (0.98 mg)</w:t>
            </w:r>
          </w:p>
        </w:tc>
        <w:tc>
          <w:tcPr>
            <w:tcW w:w="2147" w:type="dxa"/>
            <w:vAlign w:val="center"/>
          </w:tcPr>
          <w:p w14:paraId="1EF0598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102.12</w:t>
            </w:r>
          </w:p>
        </w:tc>
        <w:tc>
          <w:tcPr>
            <w:tcW w:w="2145" w:type="dxa"/>
            <w:vMerge/>
            <w:vAlign w:val="center"/>
          </w:tcPr>
          <w:p w14:paraId="05A722D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r>
    </w:tbl>
    <w:p w14:paraId="6C5068F8" w14:textId="77777777" w:rsidR="00AD6EEB" w:rsidRPr="005E6B7C" w:rsidRDefault="00AD6EE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3D7DCDD"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0F51CE" w:rsidRPr="005E6B7C" w:rsidSect="002206BB">
          <w:type w:val="continuous"/>
          <w:pgSz w:w="10773" w:h="15309" w:code="9"/>
          <w:pgMar w:top="907" w:right="851" w:bottom="1418" w:left="851" w:header="397" w:footer="851" w:gutter="0"/>
          <w:cols w:space="284"/>
          <w:docGrid w:linePitch="360"/>
        </w:sectPr>
      </w:pPr>
    </w:p>
    <w:p w14:paraId="6B410457" w14:textId="77777777" w:rsidR="00E049CB" w:rsidRPr="005E6B7C" w:rsidRDefault="00E049CB" w:rsidP="008C0D47">
      <w:pPr>
        <w:tabs>
          <w:tab w:val="left" w:pos="270"/>
          <w:tab w:val="left" w:pos="540"/>
          <w:tab w:val="left" w:pos="9270"/>
        </w:tabs>
        <w:spacing w:line="25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results in Table 5 showed that the recovery rates of the two compounds were in the range of 96.54% </w:t>
      </w:r>
      <w:r w:rsidRPr="005E6B7C">
        <w:rPr>
          <w:rFonts w:asciiTheme="majorHAnsi" w:eastAsia="Calibri" w:hAnsiTheme="majorHAnsi" w:cstheme="majorHAns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102.12%. </w:t>
      </w:r>
      <w:r w:rsidRPr="005E6B7C">
        <w:rPr>
          <w:rFonts w:asciiTheme="majorHAnsi" w:eastAsia="Yu Mincho" w:hAnsiTheme="majorHAnsi" w:cstheme="majorHAnsi"/>
          <w:color w:val="000000" w:themeColor="text1"/>
          <w:sz w:val="22"/>
          <w:szCs w:val="22"/>
          <w:lang w:val="en-IN" w:eastAsia="ja-JP"/>
        </w:rPr>
        <w:t>The results indicated that the accuracy of the developed method was acceptable.</w:t>
      </w:r>
    </w:p>
    <w:p w14:paraId="385079B0" w14:textId="77777777" w:rsidR="00E049CB" w:rsidRPr="005E6B7C" w:rsidRDefault="00E049CB" w:rsidP="008C0D47">
      <w:pPr>
        <w:tabs>
          <w:tab w:val="left" w:pos="270"/>
          <w:tab w:val="left" w:pos="540"/>
          <w:tab w:val="left" w:pos="9270"/>
        </w:tabs>
        <w:spacing w:line="250" w:lineRule="exact"/>
        <w:ind w:firstLine="284"/>
        <w:jc w:val="both"/>
        <w:rPr>
          <w:rFonts w:asciiTheme="majorHAnsi" w:eastAsia="Times New Roman" w:hAnsiTheme="majorHAnsi" w:cstheme="majorHAnsi"/>
          <w:bCs/>
          <w:i/>
          <w:iCs/>
          <w:color w:val="000000" w:themeColor="text1"/>
          <w:sz w:val="22"/>
          <w:szCs w:val="22"/>
          <w:lang w:val="vi-VN"/>
        </w:rPr>
      </w:pPr>
      <w:bookmarkStart w:id="40" w:name="_Toc198206803"/>
      <w:bookmarkStart w:id="41" w:name="_Toc184127164"/>
      <w:r w:rsidRPr="005E6B7C">
        <w:rPr>
          <w:rFonts w:asciiTheme="majorHAnsi" w:eastAsia="Times New Roman" w:hAnsiTheme="majorHAnsi" w:cstheme="majorHAnsi"/>
          <w:bCs/>
          <w:i/>
          <w:iCs/>
          <w:color w:val="000000" w:themeColor="text1"/>
          <w:sz w:val="22"/>
          <w:szCs w:val="22"/>
          <w:lang w:val="vi-VN"/>
        </w:rPr>
        <w:t>3.3</w:t>
      </w:r>
      <w:r w:rsidRPr="005E6B7C">
        <w:rPr>
          <w:rFonts w:asciiTheme="majorHAnsi" w:eastAsia="Times New Roman" w:hAnsiTheme="majorHAnsi" w:cstheme="majorHAnsi"/>
          <w:bCs/>
          <w:i/>
          <w:iCs/>
          <w:color w:val="000000" w:themeColor="text1"/>
          <w:sz w:val="22"/>
          <w:szCs w:val="22"/>
        </w:rPr>
        <w:t>.</w:t>
      </w:r>
      <w:r w:rsidRPr="005E6B7C">
        <w:rPr>
          <w:rFonts w:asciiTheme="majorHAnsi" w:eastAsia="Times New Roman" w:hAnsiTheme="majorHAnsi" w:cstheme="majorHAnsi"/>
          <w:bCs/>
          <w:i/>
          <w:iCs/>
          <w:color w:val="000000" w:themeColor="text1"/>
          <w:sz w:val="22"/>
          <w:szCs w:val="22"/>
          <w:lang w:val="vi-VN"/>
        </w:rPr>
        <w:t xml:space="preserve"> Applying the method to quantify β-</w:t>
      </w:r>
      <w:r w:rsidRPr="005E6B7C">
        <w:rPr>
          <w:rFonts w:asciiTheme="majorHAnsi" w:eastAsia="Times New Roman" w:hAnsiTheme="majorHAnsi" w:cstheme="majorHAnsi"/>
          <w:bCs/>
          <w:i/>
          <w:iCs/>
          <w:color w:val="000000" w:themeColor="text1"/>
          <w:sz w:val="22"/>
          <w:szCs w:val="22"/>
          <w:lang w:val="vi-VN"/>
        </w:rPr>
        <w:t xml:space="preserve">carotene and lycopene in some </w:t>
      </w:r>
      <w:r w:rsidRPr="005E6B7C">
        <w:rPr>
          <w:rFonts w:asciiTheme="majorHAnsi" w:eastAsia="Times New Roman" w:hAnsiTheme="majorHAnsi" w:cstheme="majorHAnsi"/>
          <w:bCs/>
          <w:i/>
          <w:iCs/>
          <w:color w:val="000000" w:themeColor="text1"/>
          <w:sz w:val="22"/>
          <w:szCs w:val="22"/>
        </w:rPr>
        <w:t>G</w:t>
      </w:r>
      <w:r w:rsidRPr="005E6B7C">
        <w:rPr>
          <w:rFonts w:asciiTheme="majorHAnsi" w:eastAsia="Times New Roman" w:hAnsiTheme="majorHAnsi" w:cstheme="majorHAnsi"/>
          <w:bCs/>
          <w:i/>
          <w:iCs/>
          <w:color w:val="000000" w:themeColor="text1"/>
          <w:sz w:val="22"/>
          <w:szCs w:val="22"/>
          <w:lang w:val="vi-VN"/>
        </w:rPr>
        <w:t>ac seed arils</w:t>
      </w:r>
    </w:p>
    <w:p w14:paraId="025926FD" w14:textId="77777777" w:rsidR="000F51CE" w:rsidRPr="005E6B7C" w:rsidRDefault="00E049CB" w:rsidP="008C0D47">
      <w:pPr>
        <w:tabs>
          <w:tab w:val="left" w:pos="270"/>
          <w:tab w:val="left" w:pos="540"/>
          <w:tab w:val="left" w:pos="9270"/>
        </w:tabs>
        <w:spacing w:line="250" w:lineRule="exact"/>
        <w:ind w:firstLine="284"/>
        <w:jc w:val="both"/>
        <w:rPr>
          <w:rFonts w:asciiTheme="majorHAnsi" w:eastAsia="Times New Roman" w:hAnsiTheme="majorHAnsi" w:cstheme="majorHAnsi"/>
          <w:iCs/>
          <w:color w:val="000000" w:themeColor="text1"/>
          <w:sz w:val="22"/>
          <w:szCs w:val="22"/>
        </w:rPr>
      </w:pPr>
      <w:r w:rsidRPr="005E6B7C">
        <w:rPr>
          <w:rFonts w:asciiTheme="majorHAnsi" w:eastAsia="Times New Roman" w:hAnsiTheme="majorHAnsi" w:cstheme="majorHAnsi"/>
          <w:iCs/>
          <w:color w:val="000000" w:themeColor="text1"/>
          <w:sz w:val="22"/>
          <w:szCs w:val="22"/>
          <w:lang w:val="vi-VN"/>
        </w:rPr>
        <w:t xml:space="preserve">Applying the HPTLC method to evaluate the content of </w:t>
      </w:r>
      <w:r w:rsidRPr="005E6B7C">
        <w:rPr>
          <w:rFonts w:asciiTheme="majorHAnsi" w:eastAsia="Times New Roman" w:hAnsiTheme="majorHAnsi" w:cstheme="majorHAnsi"/>
          <w:i/>
          <w:iCs/>
          <w:color w:val="000000" w:themeColor="text1"/>
          <w:sz w:val="22"/>
          <w:szCs w:val="22"/>
          <w:lang w:val="vi-VN"/>
        </w:rPr>
        <w:t>β</w:t>
      </w:r>
      <w:r w:rsidRPr="005E6B7C">
        <w:rPr>
          <w:rFonts w:asciiTheme="majorHAnsi" w:eastAsia="Times New Roman" w:hAnsiTheme="majorHAnsi" w:cstheme="majorHAnsi"/>
          <w:iCs/>
          <w:color w:val="000000" w:themeColor="text1"/>
          <w:sz w:val="22"/>
          <w:szCs w:val="22"/>
          <w:lang w:val="vi-VN"/>
        </w:rPr>
        <w:t xml:space="preserve">-carotene and lycopene in ten samples of </w:t>
      </w:r>
      <w:r w:rsidRPr="005E6B7C">
        <w:rPr>
          <w:rFonts w:asciiTheme="majorHAnsi" w:eastAsia="Times New Roman" w:hAnsiTheme="majorHAnsi" w:cstheme="majorHAnsi"/>
          <w:iCs/>
          <w:color w:val="000000" w:themeColor="text1"/>
          <w:sz w:val="22"/>
          <w:szCs w:val="22"/>
        </w:rPr>
        <w:t>G</w:t>
      </w:r>
      <w:r w:rsidRPr="005E6B7C">
        <w:rPr>
          <w:rFonts w:asciiTheme="majorHAnsi" w:eastAsia="Times New Roman" w:hAnsiTheme="majorHAnsi" w:cstheme="majorHAnsi"/>
          <w:iCs/>
          <w:color w:val="000000" w:themeColor="text1"/>
          <w:sz w:val="22"/>
          <w:szCs w:val="22"/>
          <w:lang w:val="vi-VN"/>
        </w:rPr>
        <w:t xml:space="preserve">ac seed aril collected in Vietnam. The results obtained are presented in Table </w:t>
      </w:r>
      <w:r w:rsidRPr="005E6B7C">
        <w:rPr>
          <w:rFonts w:asciiTheme="majorHAnsi" w:eastAsia="Times New Roman" w:hAnsiTheme="majorHAnsi" w:cstheme="majorHAnsi"/>
          <w:iCs/>
          <w:color w:val="000000" w:themeColor="text1"/>
          <w:sz w:val="22"/>
          <w:szCs w:val="22"/>
        </w:rPr>
        <w:t>7</w:t>
      </w:r>
      <w:r w:rsidRPr="005E6B7C">
        <w:rPr>
          <w:rFonts w:asciiTheme="majorHAnsi" w:eastAsia="Times New Roman" w:hAnsiTheme="majorHAnsi" w:cstheme="majorHAnsi"/>
          <w:iCs/>
          <w:color w:val="000000" w:themeColor="text1"/>
          <w:sz w:val="22"/>
          <w:szCs w:val="22"/>
          <w:lang w:val="vi-VN"/>
        </w:rPr>
        <w:t xml:space="preserve"> and </w:t>
      </w:r>
      <w:r w:rsidR="00517F81" w:rsidRPr="005E6B7C">
        <w:rPr>
          <w:rFonts w:asciiTheme="majorHAnsi" w:eastAsia="Times New Roman" w:hAnsiTheme="majorHAnsi" w:cstheme="majorHAnsi"/>
          <w:iCs/>
          <w:color w:val="000000" w:themeColor="text1"/>
          <w:sz w:val="22"/>
          <w:szCs w:val="22"/>
          <w:lang w:val="vi-VN"/>
        </w:rPr>
        <w:t xml:space="preserve">Fig. </w:t>
      </w:r>
      <w:r w:rsidRPr="005E6B7C">
        <w:rPr>
          <w:rFonts w:asciiTheme="majorHAnsi" w:eastAsia="Times New Roman" w:hAnsiTheme="majorHAnsi" w:cstheme="majorHAnsi"/>
          <w:iCs/>
          <w:color w:val="000000" w:themeColor="text1"/>
          <w:sz w:val="22"/>
          <w:szCs w:val="22"/>
        </w:rPr>
        <w:t>6</w:t>
      </w:r>
      <w:r w:rsidRPr="005E6B7C">
        <w:rPr>
          <w:rFonts w:asciiTheme="majorHAnsi" w:eastAsia="Times New Roman" w:hAnsiTheme="majorHAnsi" w:cstheme="majorHAnsi"/>
          <w:iCs/>
          <w:color w:val="000000" w:themeColor="text1"/>
          <w:sz w:val="22"/>
          <w:szCs w:val="22"/>
          <w:lang w:val="vi-VN"/>
        </w:rPr>
        <w:t>.</w:t>
      </w:r>
    </w:p>
    <w:p w14:paraId="3139676A" w14:textId="77777777" w:rsidR="000F51CE" w:rsidRPr="005E6B7C" w:rsidRDefault="000F51CE" w:rsidP="008C0D47">
      <w:pPr>
        <w:tabs>
          <w:tab w:val="left" w:pos="270"/>
          <w:tab w:val="left" w:pos="540"/>
          <w:tab w:val="left" w:pos="9270"/>
        </w:tabs>
        <w:spacing w:line="25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lastRenderedPageBreak/>
        <w:t xml:space="preserve">The results of evaluating the active ingredient content in ten samples of Gac seed aril showed that the lycopene content in Gac seed aril samples </w:t>
      </w:r>
      <w:r w:rsidRPr="005E6B7C">
        <w:rPr>
          <w:rFonts w:asciiTheme="majorHAnsi" w:eastAsia="Yu Mincho" w:hAnsiTheme="majorHAnsi" w:cstheme="majorHAnsi"/>
          <w:color w:val="000000" w:themeColor="text1"/>
          <w:sz w:val="22"/>
          <w:szCs w:val="22"/>
          <w:lang w:eastAsia="ja-JP"/>
        </w:rPr>
        <w:t xml:space="preserve">fluctuated greatly from 0.03 to 1.01%, and the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content in the test sample was in the range of 0.09 to 1.43 mg/g.</w:t>
      </w:r>
    </w:p>
    <w:p w14:paraId="02412D7F"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Times New Roman" w:hAnsiTheme="majorHAnsi" w:cstheme="majorHAnsi"/>
          <w:iCs/>
          <w:color w:val="000000" w:themeColor="text1"/>
          <w:sz w:val="22"/>
          <w:szCs w:val="22"/>
        </w:rPr>
        <w:sectPr w:rsidR="000F51CE" w:rsidRPr="005E6B7C" w:rsidSect="000F51CE">
          <w:type w:val="continuous"/>
          <w:pgSz w:w="10773" w:h="15309" w:code="9"/>
          <w:pgMar w:top="907" w:right="851" w:bottom="1418" w:left="851" w:header="397" w:footer="851" w:gutter="0"/>
          <w:cols w:num="2" w:space="284"/>
          <w:docGrid w:linePitch="360"/>
        </w:sectPr>
      </w:pPr>
    </w:p>
    <w:p w14:paraId="197B1F68" w14:textId="77777777" w:rsidR="00E049CB" w:rsidRPr="005E6B7C" w:rsidRDefault="00E049CB" w:rsidP="008C0D47">
      <w:pPr>
        <w:tabs>
          <w:tab w:val="left" w:pos="270"/>
          <w:tab w:val="left" w:pos="540"/>
          <w:tab w:val="left" w:pos="9270"/>
        </w:tabs>
        <w:spacing w:after="120"/>
        <w:ind w:right="-20"/>
        <w:jc w:val="center"/>
        <w:rPr>
          <w:rFonts w:asciiTheme="majorHAnsi" w:eastAsia="Calibri" w:hAnsiTheme="majorHAnsi" w:cstheme="majorHAnsi"/>
          <w:iCs/>
          <w:color w:val="000000" w:themeColor="text1"/>
          <w:sz w:val="18"/>
          <w:szCs w:val="18"/>
          <w:lang w:val="vi-VN"/>
        </w:rPr>
      </w:pPr>
      <w:r w:rsidRPr="005E6B7C">
        <w:rPr>
          <w:rFonts w:asciiTheme="majorHAnsi" w:eastAsia="Times New Roman" w:hAnsiTheme="majorHAnsi" w:cstheme="majorHAnsi"/>
          <w:b/>
          <w:iCs/>
          <w:color w:val="000000" w:themeColor="text1"/>
          <w:sz w:val="18"/>
          <w:szCs w:val="18"/>
          <w:lang w:val="vi-VN"/>
        </w:rPr>
        <w:t xml:space="preserve">Table </w:t>
      </w:r>
      <w:r w:rsidRPr="005E6B7C">
        <w:rPr>
          <w:rFonts w:asciiTheme="majorHAnsi" w:eastAsia="Times New Roman" w:hAnsiTheme="majorHAnsi" w:cstheme="majorHAnsi"/>
          <w:b/>
          <w:iCs/>
          <w:color w:val="000000" w:themeColor="text1"/>
          <w:sz w:val="18"/>
          <w:szCs w:val="18"/>
        </w:rPr>
        <w:t>7</w:t>
      </w:r>
      <w:r w:rsidRPr="005E6B7C">
        <w:rPr>
          <w:rFonts w:asciiTheme="majorHAnsi" w:eastAsia="Times New Roman" w:hAnsiTheme="majorHAnsi" w:cstheme="majorHAnsi"/>
          <w:b/>
          <w:iCs/>
          <w:color w:val="000000" w:themeColor="text1"/>
          <w:sz w:val="18"/>
          <w:szCs w:val="18"/>
          <w:lang w:val="vi-VN"/>
        </w:rPr>
        <w:t>.</w:t>
      </w:r>
      <w:r w:rsidRPr="005E6B7C">
        <w:rPr>
          <w:rFonts w:asciiTheme="majorHAnsi" w:eastAsia="Times New Roman" w:hAnsiTheme="majorHAnsi" w:cstheme="majorHAnsi"/>
          <w:iCs/>
          <w:color w:val="000000" w:themeColor="text1"/>
          <w:sz w:val="18"/>
          <w:szCs w:val="18"/>
          <w:lang w:val="vi-VN"/>
        </w:rPr>
        <w:t xml:space="preserve"> Results of </w:t>
      </w:r>
      <w:r w:rsidRPr="005E6B7C">
        <w:rPr>
          <w:rFonts w:asciiTheme="majorHAnsi" w:eastAsia="Times New Roman" w:hAnsiTheme="majorHAnsi" w:cstheme="majorHAnsi"/>
          <w:i/>
          <w:iCs/>
          <w:color w:val="000000" w:themeColor="text1"/>
          <w:sz w:val="18"/>
          <w:szCs w:val="18"/>
          <w:lang w:val="vi-VN"/>
        </w:rPr>
        <w:t>β</w:t>
      </w:r>
      <w:r w:rsidRPr="005E6B7C">
        <w:rPr>
          <w:rFonts w:asciiTheme="majorHAnsi" w:eastAsia="Times New Roman" w:hAnsiTheme="majorHAnsi" w:cstheme="majorHAnsi"/>
          <w:iCs/>
          <w:color w:val="000000" w:themeColor="text1"/>
          <w:sz w:val="18"/>
          <w:szCs w:val="18"/>
          <w:lang w:val="vi-VN"/>
        </w:rPr>
        <w:t xml:space="preserve">-carotene and lycopene content in some samples </w:t>
      </w:r>
      <w:r w:rsidR="000F51CE" w:rsidRPr="005E6B7C">
        <w:rPr>
          <w:rFonts w:asciiTheme="majorHAnsi" w:eastAsia="Times New Roman" w:hAnsiTheme="majorHAnsi" w:cstheme="majorHAnsi"/>
          <w:iCs/>
          <w:color w:val="000000" w:themeColor="text1"/>
          <w:sz w:val="18"/>
          <w:szCs w:val="18"/>
        </w:rPr>
        <w:br/>
      </w:r>
      <w:r w:rsidRPr="005E6B7C">
        <w:rPr>
          <w:rFonts w:asciiTheme="majorHAnsi" w:eastAsia="Times New Roman" w:hAnsiTheme="majorHAnsi" w:cstheme="majorHAnsi"/>
          <w:iCs/>
          <w:color w:val="000000" w:themeColor="text1"/>
          <w:sz w:val="18"/>
          <w:szCs w:val="18"/>
          <w:lang w:val="vi-VN"/>
        </w:rPr>
        <w:t xml:space="preserve">of </w:t>
      </w:r>
      <w:r w:rsidRPr="005E6B7C">
        <w:rPr>
          <w:rFonts w:asciiTheme="majorHAnsi" w:eastAsia="Times New Roman" w:hAnsiTheme="majorHAnsi" w:cstheme="majorHAnsi"/>
          <w:iCs/>
          <w:color w:val="000000" w:themeColor="text1"/>
          <w:sz w:val="18"/>
          <w:szCs w:val="18"/>
        </w:rPr>
        <w:t>G</w:t>
      </w:r>
      <w:r w:rsidRPr="005E6B7C">
        <w:rPr>
          <w:rFonts w:asciiTheme="majorHAnsi" w:eastAsia="Times New Roman" w:hAnsiTheme="majorHAnsi" w:cstheme="majorHAnsi"/>
          <w:iCs/>
          <w:color w:val="000000" w:themeColor="text1"/>
          <w:sz w:val="18"/>
          <w:szCs w:val="18"/>
          <w:lang w:val="vi-VN"/>
        </w:rPr>
        <w:t xml:space="preserve">ac seed aril collected in Vietnam by HPTLC scanner </w:t>
      </w:r>
      <w:bookmarkEnd w:id="40"/>
      <w:bookmarkEnd w:id="41"/>
      <w:r w:rsidRPr="005E6B7C">
        <w:rPr>
          <w:rFonts w:asciiTheme="majorHAnsi" w:eastAsia="Times New Roman" w:hAnsiTheme="majorHAnsi" w:cstheme="majorHAnsi"/>
          <w:iCs/>
          <w:color w:val="000000" w:themeColor="text1"/>
          <w:sz w:val="18"/>
          <w:szCs w:val="18"/>
          <w:lang w:val="vi-VN"/>
        </w:rPr>
        <w:t>and HPLC-DAD method</w:t>
      </w:r>
      <w:r w:rsidRPr="005E6B7C">
        <w:rPr>
          <w:rFonts w:asciiTheme="majorHAnsi" w:eastAsia="Calibri" w:hAnsiTheme="majorHAnsi" w:cstheme="majorHAnsi"/>
          <w:iCs/>
          <w:color w:val="000000" w:themeColor="text1"/>
          <w:sz w:val="18"/>
          <w:szCs w:val="18"/>
          <w:lang w:val="vi-VN"/>
        </w:rPr>
        <w:t>s</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86"/>
        <w:gridCol w:w="973"/>
        <w:gridCol w:w="882"/>
        <w:gridCol w:w="982"/>
        <w:gridCol w:w="760"/>
        <w:gridCol w:w="981"/>
        <w:gridCol w:w="980"/>
        <w:gridCol w:w="831"/>
        <w:gridCol w:w="1128"/>
        <w:gridCol w:w="1069"/>
      </w:tblGrid>
      <w:tr w:rsidR="00E049CB" w:rsidRPr="005E6B7C" w14:paraId="65312721" w14:textId="77777777" w:rsidTr="0047080C">
        <w:trPr>
          <w:jc w:val="center"/>
        </w:trPr>
        <w:tc>
          <w:tcPr>
            <w:tcW w:w="484" w:type="dxa"/>
            <w:vMerge w:val="restart"/>
            <w:vAlign w:val="center"/>
          </w:tcPr>
          <w:p w14:paraId="23708A17" w14:textId="41AE7549"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No</w:t>
            </w:r>
            <w:r w:rsidR="008C0D47" w:rsidRPr="005E6B7C">
              <w:rPr>
                <w:rFonts w:asciiTheme="majorHAnsi" w:eastAsia="Times New Roman" w:hAnsiTheme="majorHAnsi" w:cstheme="majorHAnsi"/>
                <w:b/>
                <w:bCs/>
                <w:color w:val="000000" w:themeColor="text1"/>
                <w:sz w:val="18"/>
                <w:szCs w:val="18"/>
                <w:lang w:eastAsia="ja-JP"/>
              </w:rPr>
              <w:t>.</w:t>
            </w:r>
          </w:p>
        </w:tc>
        <w:tc>
          <w:tcPr>
            <w:tcW w:w="968" w:type="dxa"/>
            <w:vMerge w:val="restart"/>
            <w:vAlign w:val="center"/>
          </w:tcPr>
          <w:p w14:paraId="2F6E4C6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Sample</w:t>
            </w:r>
          </w:p>
        </w:tc>
        <w:tc>
          <w:tcPr>
            <w:tcW w:w="5388" w:type="dxa"/>
            <w:gridSpan w:val="6"/>
            <w:vAlign w:val="center"/>
          </w:tcPr>
          <w:p w14:paraId="3575E02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HPTLC scanner method (n = 3)</w:t>
            </w:r>
          </w:p>
        </w:tc>
        <w:tc>
          <w:tcPr>
            <w:tcW w:w="2185" w:type="dxa"/>
            <w:gridSpan w:val="2"/>
          </w:tcPr>
          <w:p w14:paraId="06256F72"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HPLC-DAD method</w:t>
            </w:r>
          </w:p>
        </w:tc>
      </w:tr>
      <w:tr w:rsidR="00E049CB" w:rsidRPr="005E6B7C" w14:paraId="236A033B" w14:textId="77777777" w:rsidTr="0047080C">
        <w:trPr>
          <w:jc w:val="center"/>
        </w:trPr>
        <w:tc>
          <w:tcPr>
            <w:tcW w:w="484" w:type="dxa"/>
            <w:vMerge/>
            <w:vAlign w:val="center"/>
          </w:tcPr>
          <w:p w14:paraId="29B6F81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968" w:type="dxa"/>
            <w:vMerge/>
            <w:vAlign w:val="center"/>
          </w:tcPr>
          <w:p w14:paraId="6B58D27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877" w:type="dxa"/>
            <w:vMerge w:val="restart"/>
            <w:vAlign w:val="center"/>
          </w:tcPr>
          <w:p w14:paraId="498FE57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Mass (g)</w:t>
            </w:r>
          </w:p>
        </w:tc>
        <w:tc>
          <w:tcPr>
            <w:tcW w:w="1733" w:type="dxa"/>
            <w:gridSpan w:val="2"/>
            <w:vAlign w:val="center"/>
          </w:tcPr>
          <w:p w14:paraId="3063015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Lycopene</w:t>
            </w:r>
          </w:p>
        </w:tc>
        <w:tc>
          <w:tcPr>
            <w:tcW w:w="2778" w:type="dxa"/>
            <w:gridSpan w:val="3"/>
            <w:vAlign w:val="center"/>
          </w:tcPr>
          <w:p w14:paraId="61372ACA"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bookmarkStart w:id="42" w:name="_Hlk220142811"/>
            <w:r w:rsidRPr="005E6B7C">
              <w:rPr>
                <w:rFonts w:asciiTheme="majorHAnsi" w:eastAsia="Times New Roman" w:hAnsiTheme="majorHAnsi" w:cstheme="majorHAnsi"/>
                <w:b/>
                <w:bCs/>
                <w:i/>
                <w:color w:val="000000" w:themeColor="text1"/>
                <w:sz w:val="18"/>
                <w:szCs w:val="18"/>
                <w:lang w:eastAsia="ja-JP"/>
              </w:rPr>
              <w:t>β-</w:t>
            </w:r>
            <w:r w:rsidRPr="005E6B7C">
              <w:rPr>
                <w:rFonts w:asciiTheme="majorHAnsi" w:eastAsia="Times New Roman" w:hAnsiTheme="majorHAnsi" w:cstheme="majorHAnsi"/>
                <w:b/>
                <w:bCs/>
                <w:color w:val="000000" w:themeColor="text1"/>
                <w:sz w:val="18"/>
                <w:szCs w:val="18"/>
                <w:lang w:eastAsia="ja-JP"/>
              </w:rPr>
              <w:t>Carotene</w:t>
            </w:r>
            <w:bookmarkEnd w:id="42"/>
          </w:p>
        </w:tc>
        <w:tc>
          <w:tcPr>
            <w:tcW w:w="1122" w:type="dxa"/>
            <w:vAlign w:val="center"/>
          </w:tcPr>
          <w:p w14:paraId="1C716C77"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Lycopene</w:t>
            </w:r>
          </w:p>
        </w:tc>
        <w:tc>
          <w:tcPr>
            <w:tcW w:w="1063" w:type="dxa"/>
            <w:vAlign w:val="center"/>
          </w:tcPr>
          <w:p w14:paraId="465AC5F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i/>
                <w:color w:val="000000" w:themeColor="text1"/>
                <w:sz w:val="18"/>
                <w:szCs w:val="18"/>
                <w:lang w:eastAsia="ja-JP"/>
              </w:rPr>
              <w:t>β-</w:t>
            </w:r>
            <w:r w:rsidRPr="005E6B7C">
              <w:rPr>
                <w:rFonts w:asciiTheme="majorHAnsi" w:eastAsia="Times New Roman" w:hAnsiTheme="majorHAnsi" w:cstheme="majorHAnsi"/>
                <w:b/>
                <w:bCs/>
                <w:color w:val="000000" w:themeColor="text1"/>
                <w:sz w:val="18"/>
                <w:szCs w:val="18"/>
                <w:lang w:eastAsia="ja-JP"/>
              </w:rPr>
              <w:t>Carotene</w:t>
            </w:r>
          </w:p>
        </w:tc>
      </w:tr>
      <w:tr w:rsidR="00901F2B" w:rsidRPr="005E6B7C" w14:paraId="4F1E6F47" w14:textId="77777777" w:rsidTr="0047080C">
        <w:trPr>
          <w:jc w:val="center"/>
        </w:trPr>
        <w:tc>
          <w:tcPr>
            <w:tcW w:w="484" w:type="dxa"/>
            <w:vMerge/>
            <w:vAlign w:val="center"/>
          </w:tcPr>
          <w:p w14:paraId="350AA821"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968" w:type="dxa"/>
            <w:vMerge/>
            <w:vAlign w:val="center"/>
          </w:tcPr>
          <w:p w14:paraId="74E0CE94"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877" w:type="dxa"/>
            <w:vMerge/>
            <w:vAlign w:val="center"/>
          </w:tcPr>
          <w:p w14:paraId="6F6206BD"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p>
        </w:tc>
        <w:tc>
          <w:tcPr>
            <w:tcW w:w="977" w:type="dxa"/>
            <w:vAlign w:val="center"/>
          </w:tcPr>
          <w:p w14:paraId="1EA96DF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 (%)</w:t>
            </w:r>
          </w:p>
        </w:tc>
        <w:tc>
          <w:tcPr>
            <w:tcW w:w="756" w:type="dxa"/>
            <w:vAlign w:val="center"/>
          </w:tcPr>
          <w:p w14:paraId="64ED109F"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Mean (%)</w:t>
            </w:r>
          </w:p>
        </w:tc>
        <w:tc>
          <w:tcPr>
            <w:tcW w:w="976" w:type="dxa"/>
            <w:vAlign w:val="center"/>
          </w:tcPr>
          <w:p w14:paraId="75A386D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w:t>
            </w:r>
          </w:p>
          <w:p w14:paraId="1D77DEB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w:t>
            </w:r>
          </w:p>
        </w:tc>
        <w:tc>
          <w:tcPr>
            <w:tcW w:w="975" w:type="dxa"/>
            <w:vAlign w:val="center"/>
          </w:tcPr>
          <w:p w14:paraId="1AA7BD6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w:t>
            </w:r>
          </w:p>
          <w:p w14:paraId="301A686C"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(mg/g)</w:t>
            </w:r>
          </w:p>
        </w:tc>
        <w:tc>
          <w:tcPr>
            <w:tcW w:w="827" w:type="dxa"/>
            <w:vAlign w:val="center"/>
          </w:tcPr>
          <w:p w14:paraId="0024B3B5"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Mean (mg/g)</w:t>
            </w:r>
          </w:p>
        </w:tc>
        <w:tc>
          <w:tcPr>
            <w:tcW w:w="1122" w:type="dxa"/>
          </w:tcPr>
          <w:p w14:paraId="1B0ECA46"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w:t>
            </w:r>
          </w:p>
          <w:p w14:paraId="217296A8"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w:t>
            </w:r>
          </w:p>
        </w:tc>
        <w:tc>
          <w:tcPr>
            <w:tcW w:w="1063" w:type="dxa"/>
          </w:tcPr>
          <w:p w14:paraId="440A67E0"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Content</w:t>
            </w:r>
          </w:p>
          <w:p w14:paraId="5E3FC2BB" w14:textId="77777777" w:rsidR="00E049CB" w:rsidRPr="005E6B7C" w:rsidRDefault="00E049CB" w:rsidP="008C0D47">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(mg/g)</w:t>
            </w:r>
          </w:p>
        </w:tc>
      </w:tr>
      <w:tr w:rsidR="00901F2B" w:rsidRPr="005E6B7C" w14:paraId="278FC31F" w14:textId="77777777" w:rsidTr="0047080C">
        <w:trPr>
          <w:jc w:val="center"/>
        </w:trPr>
        <w:tc>
          <w:tcPr>
            <w:tcW w:w="484" w:type="dxa"/>
            <w:vMerge w:val="restart"/>
            <w:vAlign w:val="center"/>
          </w:tcPr>
          <w:p w14:paraId="5D9FCD7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p>
        </w:tc>
        <w:tc>
          <w:tcPr>
            <w:tcW w:w="968" w:type="dxa"/>
            <w:vMerge w:val="restart"/>
            <w:vAlign w:val="center"/>
          </w:tcPr>
          <w:p w14:paraId="569AEDF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G1</w:t>
            </w:r>
          </w:p>
        </w:tc>
        <w:tc>
          <w:tcPr>
            <w:tcW w:w="877" w:type="dxa"/>
            <w:vAlign w:val="center"/>
          </w:tcPr>
          <w:p w14:paraId="10A796A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1.0087</w:t>
            </w:r>
          </w:p>
        </w:tc>
        <w:tc>
          <w:tcPr>
            <w:tcW w:w="977" w:type="dxa"/>
            <w:vAlign w:val="center"/>
          </w:tcPr>
          <w:p w14:paraId="084BB64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0.43</w:t>
            </w:r>
          </w:p>
        </w:tc>
        <w:tc>
          <w:tcPr>
            <w:tcW w:w="756" w:type="dxa"/>
            <w:vMerge w:val="restart"/>
            <w:vAlign w:val="center"/>
          </w:tcPr>
          <w:p w14:paraId="5B9B7B7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0.41</w:t>
            </w:r>
          </w:p>
        </w:tc>
        <w:tc>
          <w:tcPr>
            <w:tcW w:w="976" w:type="dxa"/>
            <w:vAlign w:val="center"/>
          </w:tcPr>
          <w:p w14:paraId="76DC18E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0.07</w:t>
            </w:r>
          </w:p>
        </w:tc>
        <w:tc>
          <w:tcPr>
            <w:tcW w:w="975" w:type="dxa"/>
            <w:vAlign w:val="center"/>
          </w:tcPr>
          <w:p w14:paraId="74B4819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0.73</w:t>
            </w:r>
          </w:p>
        </w:tc>
        <w:tc>
          <w:tcPr>
            <w:tcW w:w="827" w:type="dxa"/>
            <w:vMerge w:val="restart"/>
            <w:vAlign w:val="center"/>
          </w:tcPr>
          <w:p w14:paraId="4BDBEA0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0.72</w:t>
            </w:r>
          </w:p>
        </w:tc>
        <w:tc>
          <w:tcPr>
            <w:tcW w:w="1122" w:type="dxa"/>
            <w:vAlign w:val="center"/>
          </w:tcPr>
          <w:p w14:paraId="4EACD6B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0.44</w:t>
            </w:r>
          </w:p>
        </w:tc>
        <w:tc>
          <w:tcPr>
            <w:tcW w:w="1063" w:type="dxa"/>
            <w:vAlign w:val="center"/>
          </w:tcPr>
          <w:p w14:paraId="57B7219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0.78</w:t>
            </w:r>
          </w:p>
        </w:tc>
      </w:tr>
      <w:tr w:rsidR="00901F2B" w:rsidRPr="005E6B7C" w14:paraId="4BC1EF9D" w14:textId="77777777" w:rsidTr="0047080C">
        <w:trPr>
          <w:jc w:val="center"/>
        </w:trPr>
        <w:tc>
          <w:tcPr>
            <w:tcW w:w="484" w:type="dxa"/>
            <w:vMerge/>
            <w:vAlign w:val="center"/>
          </w:tcPr>
          <w:p w14:paraId="513D310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338E152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6CCD996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1.0184</w:t>
            </w:r>
          </w:p>
        </w:tc>
        <w:tc>
          <w:tcPr>
            <w:tcW w:w="977" w:type="dxa"/>
            <w:vAlign w:val="center"/>
          </w:tcPr>
          <w:p w14:paraId="268325B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0.39</w:t>
            </w:r>
          </w:p>
        </w:tc>
        <w:tc>
          <w:tcPr>
            <w:tcW w:w="756" w:type="dxa"/>
            <w:vMerge/>
            <w:vAlign w:val="center"/>
          </w:tcPr>
          <w:p w14:paraId="104BA05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4053444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0.07</w:t>
            </w:r>
          </w:p>
        </w:tc>
        <w:tc>
          <w:tcPr>
            <w:tcW w:w="975" w:type="dxa"/>
            <w:vAlign w:val="center"/>
          </w:tcPr>
          <w:p w14:paraId="556E6E3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0.69</w:t>
            </w:r>
          </w:p>
        </w:tc>
        <w:tc>
          <w:tcPr>
            <w:tcW w:w="827" w:type="dxa"/>
            <w:vMerge/>
            <w:vAlign w:val="center"/>
          </w:tcPr>
          <w:p w14:paraId="088736C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464E5C3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0.35</w:t>
            </w:r>
          </w:p>
        </w:tc>
        <w:tc>
          <w:tcPr>
            <w:tcW w:w="1063" w:type="dxa"/>
            <w:vAlign w:val="center"/>
          </w:tcPr>
          <w:p w14:paraId="4734B2F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0.68</w:t>
            </w:r>
          </w:p>
        </w:tc>
      </w:tr>
      <w:tr w:rsidR="00901F2B" w:rsidRPr="005E6B7C" w14:paraId="7E77F207" w14:textId="77777777" w:rsidTr="0047080C">
        <w:trPr>
          <w:jc w:val="center"/>
        </w:trPr>
        <w:tc>
          <w:tcPr>
            <w:tcW w:w="484" w:type="dxa"/>
            <w:vMerge/>
            <w:vAlign w:val="center"/>
          </w:tcPr>
          <w:p w14:paraId="6A1243F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59C6EE3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3FAE963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1.0054</w:t>
            </w:r>
          </w:p>
        </w:tc>
        <w:tc>
          <w:tcPr>
            <w:tcW w:w="977" w:type="dxa"/>
            <w:vAlign w:val="center"/>
          </w:tcPr>
          <w:p w14:paraId="27C69A9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0.41</w:t>
            </w:r>
          </w:p>
        </w:tc>
        <w:tc>
          <w:tcPr>
            <w:tcW w:w="756" w:type="dxa"/>
            <w:vMerge/>
            <w:vAlign w:val="center"/>
          </w:tcPr>
          <w:p w14:paraId="0924A8E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5E70AC4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w:t>
            </w:r>
          </w:p>
        </w:tc>
        <w:tc>
          <w:tcPr>
            <w:tcW w:w="975" w:type="dxa"/>
            <w:vAlign w:val="center"/>
          </w:tcPr>
          <w:p w14:paraId="238D7A5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0.75</w:t>
            </w:r>
          </w:p>
        </w:tc>
        <w:tc>
          <w:tcPr>
            <w:tcW w:w="827" w:type="dxa"/>
            <w:vMerge/>
            <w:vAlign w:val="center"/>
          </w:tcPr>
          <w:p w14:paraId="059AC94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1E2762D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0.46</w:t>
            </w:r>
          </w:p>
        </w:tc>
        <w:tc>
          <w:tcPr>
            <w:tcW w:w="1063" w:type="dxa"/>
            <w:vAlign w:val="center"/>
          </w:tcPr>
          <w:p w14:paraId="6807634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0.72</w:t>
            </w:r>
          </w:p>
        </w:tc>
      </w:tr>
      <w:tr w:rsidR="00901F2B" w:rsidRPr="005E6B7C" w14:paraId="465612D4" w14:textId="77777777" w:rsidTr="0047080C">
        <w:trPr>
          <w:jc w:val="center"/>
        </w:trPr>
        <w:tc>
          <w:tcPr>
            <w:tcW w:w="484" w:type="dxa"/>
            <w:vMerge w:val="restart"/>
            <w:vAlign w:val="center"/>
          </w:tcPr>
          <w:p w14:paraId="5A8CFDF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2</w:t>
            </w:r>
          </w:p>
        </w:tc>
        <w:tc>
          <w:tcPr>
            <w:tcW w:w="968" w:type="dxa"/>
            <w:vMerge w:val="restart"/>
            <w:vAlign w:val="center"/>
          </w:tcPr>
          <w:p w14:paraId="6DF6C2B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G2</w:t>
            </w:r>
          </w:p>
        </w:tc>
        <w:tc>
          <w:tcPr>
            <w:tcW w:w="877" w:type="dxa"/>
            <w:vAlign w:val="center"/>
          </w:tcPr>
          <w:p w14:paraId="2E98E13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1.0776</w:t>
            </w:r>
          </w:p>
        </w:tc>
        <w:tc>
          <w:tcPr>
            <w:tcW w:w="977" w:type="dxa"/>
            <w:vAlign w:val="center"/>
          </w:tcPr>
          <w:p w14:paraId="3A04C2D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0.23</w:t>
            </w:r>
          </w:p>
        </w:tc>
        <w:tc>
          <w:tcPr>
            <w:tcW w:w="756" w:type="dxa"/>
            <w:vMerge w:val="restart"/>
            <w:vAlign w:val="center"/>
          </w:tcPr>
          <w:p w14:paraId="63B36CF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0.22</w:t>
            </w:r>
          </w:p>
        </w:tc>
        <w:tc>
          <w:tcPr>
            <w:tcW w:w="976" w:type="dxa"/>
            <w:vAlign w:val="center"/>
          </w:tcPr>
          <w:p w14:paraId="756969F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0.12</w:t>
            </w:r>
          </w:p>
        </w:tc>
        <w:tc>
          <w:tcPr>
            <w:tcW w:w="975" w:type="dxa"/>
            <w:vAlign w:val="center"/>
          </w:tcPr>
          <w:p w14:paraId="6814430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1.19</w:t>
            </w:r>
          </w:p>
        </w:tc>
        <w:tc>
          <w:tcPr>
            <w:tcW w:w="827" w:type="dxa"/>
            <w:vMerge w:val="restart"/>
            <w:vAlign w:val="center"/>
          </w:tcPr>
          <w:p w14:paraId="6C5CA39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1.11</w:t>
            </w:r>
          </w:p>
        </w:tc>
        <w:tc>
          <w:tcPr>
            <w:tcW w:w="1122" w:type="dxa"/>
            <w:vAlign w:val="center"/>
          </w:tcPr>
          <w:p w14:paraId="38FC79E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0.17</w:t>
            </w:r>
          </w:p>
        </w:tc>
        <w:tc>
          <w:tcPr>
            <w:tcW w:w="1063" w:type="dxa"/>
            <w:vAlign w:val="center"/>
          </w:tcPr>
          <w:p w14:paraId="48DC4BD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1.07</w:t>
            </w:r>
          </w:p>
        </w:tc>
      </w:tr>
      <w:tr w:rsidR="00901F2B" w:rsidRPr="005E6B7C" w14:paraId="193E8268" w14:textId="77777777" w:rsidTr="0047080C">
        <w:trPr>
          <w:jc w:val="center"/>
        </w:trPr>
        <w:tc>
          <w:tcPr>
            <w:tcW w:w="484" w:type="dxa"/>
            <w:vMerge/>
            <w:vAlign w:val="center"/>
          </w:tcPr>
          <w:p w14:paraId="6F1D30C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4DE5DD8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0670283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1.0363</w:t>
            </w:r>
          </w:p>
        </w:tc>
        <w:tc>
          <w:tcPr>
            <w:tcW w:w="977" w:type="dxa"/>
            <w:vAlign w:val="center"/>
          </w:tcPr>
          <w:p w14:paraId="17C4556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0.22</w:t>
            </w:r>
          </w:p>
        </w:tc>
        <w:tc>
          <w:tcPr>
            <w:tcW w:w="756" w:type="dxa"/>
            <w:vMerge/>
            <w:vAlign w:val="center"/>
          </w:tcPr>
          <w:p w14:paraId="620BF39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7F8D4FD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0.10</w:t>
            </w:r>
          </w:p>
        </w:tc>
        <w:tc>
          <w:tcPr>
            <w:tcW w:w="975" w:type="dxa"/>
            <w:vAlign w:val="center"/>
          </w:tcPr>
          <w:p w14:paraId="6B3C860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1.04</w:t>
            </w:r>
          </w:p>
        </w:tc>
        <w:tc>
          <w:tcPr>
            <w:tcW w:w="827" w:type="dxa"/>
            <w:vMerge/>
            <w:vAlign w:val="center"/>
          </w:tcPr>
          <w:p w14:paraId="0BEDB64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397744A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0.22</w:t>
            </w:r>
          </w:p>
        </w:tc>
        <w:tc>
          <w:tcPr>
            <w:tcW w:w="1063" w:type="dxa"/>
            <w:vAlign w:val="center"/>
          </w:tcPr>
          <w:p w14:paraId="2F9243C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1.26</w:t>
            </w:r>
          </w:p>
        </w:tc>
      </w:tr>
      <w:tr w:rsidR="00901F2B" w:rsidRPr="005E6B7C" w14:paraId="65567632" w14:textId="77777777" w:rsidTr="0047080C">
        <w:trPr>
          <w:jc w:val="center"/>
        </w:trPr>
        <w:tc>
          <w:tcPr>
            <w:tcW w:w="484" w:type="dxa"/>
            <w:vMerge/>
            <w:vAlign w:val="center"/>
          </w:tcPr>
          <w:p w14:paraId="0E1D9F3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21717C6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19BE9EE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1.0915</w:t>
            </w:r>
          </w:p>
        </w:tc>
        <w:tc>
          <w:tcPr>
            <w:tcW w:w="977" w:type="dxa"/>
            <w:vAlign w:val="center"/>
          </w:tcPr>
          <w:p w14:paraId="40E3378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0.21</w:t>
            </w:r>
          </w:p>
        </w:tc>
        <w:tc>
          <w:tcPr>
            <w:tcW w:w="756" w:type="dxa"/>
            <w:vMerge/>
            <w:vAlign w:val="center"/>
          </w:tcPr>
          <w:p w14:paraId="67D5D23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10EE6D3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0.11</w:t>
            </w:r>
          </w:p>
        </w:tc>
        <w:tc>
          <w:tcPr>
            <w:tcW w:w="975" w:type="dxa"/>
            <w:vAlign w:val="center"/>
          </w:tcPr>
          <w:p w14:paraId="25E0734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1.09</w:t>
            </w:r>
          </w:p>
        </w:tc>
        <w:tc>
          <w:tcPr>
            <w:tcW w:w="827" w:type="dxa"/>
            <w:vMerge/>
            <w:vAlign w:val="center"/>
          </w:tcPr>
          <w:p w14:paraId="2EB4442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54A6D38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0.18</w:t>
            </w:r>
          </w:p>
        </w:tc>
        <w:tc>
          <w:tcPr>
            <w:tcW w:w="1063" w:type="dxa"/>
            <w:vAlign w:val="center"/>
          </w:tcPr>
          <w:p w14:paraId="1F0D893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1.13</w:t>
            </w:r>
          </w:p>
        </w:tc>
      </w:tr>
      <w:tr w:rsidR="00901F2B" w:rsidRPr="005E6B7C" w14:paraId="6C2B2C26" w14:textId="77777777" w:rsidTr="0047080C">
        <w:trPr>
          <w:jc w:val="center"/>
        </w:trPr>
        <w:tc>
          <w:tcPr>
            <w:tcW w:w="484" w:type="dxa"/>
            <w:vMerge w:val="restart"/>
            <w:vAlign w:val="center"/>
          </w:tcPr>
          <w:p w14:paraId="41014D3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3</w:t>
            </w:r>
          </w:p>
        </w:tc>
        <w:tc>
          <w:tcPr>
            <w:tcW w:w="968" w:type="dxa"/>
            <w:vMerge w:val="restart"/>
            <w:vAlign w:val="center"/>
          </w:tcPr>
          <w:p w14:paraId="69FCADF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G10</w:t>
            </w:r>
          </w:p>
        </w:tc>
        <w:tc>
          <w:tcPr>
            <w:tcW w:w="877" w:type="dxa"/>
            <w:vAlign w:val="center"/>
          </w:tcPr>
          <w:p w14:paraId="1DA9EAC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1.0255</w:t>
            </w:r>
          </w:p>
        </w:tc>
        <w:tc>
          <w:tcPr>
            <w:tcW w:w="977" w:type="dxa"/>
            <w:vAlign w:val="center"/>
          </w:tcPr>
          <w:p w14:paraId="1AA0307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0.51</w:t>
            </w:r>
          </w:p>
        </w:tc>
        <w:tc>
          <w:tcPr>
            <w:tcW w:w="756" w:type="dxa"/>
            <w:vMerge w:val="restart"/>
            <w:vAlign w:val="center"/>
          </w:tcPr>
          <w:p w14:paraId="0E7098E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0.50</w:t>
            </w:r>
          </w:p>
        </w:tc>
        <w:tc>
          <w:tcPr>
            <w:tcW w:w="976" w:type="dxa"/>
            <w:vAlign w:val="center"/>
          </w:tcPr>
          <w:p w14:paraId="10A6B4E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975" w:type="dxa"/>
            <w:vAlign w:val="center"/>
          </w:tcPr>
          <w:p w14:paraId="6677CE3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0.63</w:t>
            </w:r>
          </w:p>
        </w:tc>
        <w:tc>
          <w:tcPr>
            <w:tcW w:w="827" w:type="dxa"/>
            <w:vMerge w:val="restart"/>
            <w:vAlign w:val="center"/>
          </w:tcPr>
          <w:p w14:paraId="1D2F50A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0.60</w:t>
            </w:r>
          </w:p>
        </w:tc>
        <w:tc>
          <w:tcPr>
            <w:tcW w:w="1122" w:type="dxa"/>
            <w:vAlign w:val="center"/>
          </w:tcPr>
          <w:p w14:paraId="3B35D86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0.54</w:t>
            </w:r>
          </w:p>
        </w:tc>
        <w:tc>
          <w:tcPr>
            <w:tcW w:w="1063" w:type="dxa"/>
            <w:vAlign w:val="center"/>
          </w:tcPr>
          <w:p w14:paraId="1BBAE68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0.74</w:t>
            </w:r>
          </w:p>
        </w:tc>
      </w:tr>
      <w:tr w:rsidR="00901F2B" w:rsidRPr="005E6B7C" w14:paraId="4E992AAE" w14:textId="77777777" w:rsidTr="0047080C">
        <w:trPr>
          <w:jc w:val="center"/>
        </w:trPr>
        <w:tc>
          <w:tcPr>
            <w:tcW w:w="484" w:type="dxa"/>
            <w:vMerge/>
            <w:vAlign w:val="center"/>
          </w:tcPr>
          <w:p w14:paraId="4F499CD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5613122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34ACAD3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1.0726</w:t>
            </w:r>
          </w:p>
        </w:tc>
        <w:tc>
          <w:tcPr>
            <w:tcW w:w="977" w:type="dxa"/>
            <w:vAlign w:val="center"/>
          </w:tcPr>
          <w:p w14:paraId="5F7E46F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0.48</w:t>
            </w:r>
          </w:p>
        </w:tc>
        <w:tc>
          <w:tcPr>
            <w:tcW w:w="756" w:type="dxa"/>
            <w:vMerge/>
            <w:vAlign w:val="center"/>
          </w:tcPr>
          <w:p w14:paraId="0A76253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717F5A0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975" w:type="dxa"/>
            <w:vAlign w:val="center"/>
          </w:tcPr>
          <w:p w14:paraId="3DAD48E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0.58</w:t>
            </w:r>
          </w:p>
        </w:tc>
        <w:tc>
          <w:tcPr>
            <w:tcW w:w="827" w:type="dxa"/>
            <w:vMerge/>
            <w:vAlign w:val="center"/>
          </w:tcPr>
          <w:p w14:paraId="3BD1E2A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7DF06D9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0.42</w:t>
            </w:r>
          </w:p>
        </w:tc>
        <w:tc>
          <w:tcPr>
            <w:tcW w:w="1063" w:type="dxa"/>
            <w:vAlign w:val="center"/>
          </w:tcPr>
          <w:p w14:paraId="0BA8322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0.65</w:t>
            </w:r>
          </w:p>
        </w:tc>
      </w:tr>
      <w:tr w:rsidR="00901F2B" w:rsidRPr="005E6B7C" w14:paraId="5050ACC5" w14:textId="77777777" w:rsidTr="0047080C">
        <w:trPr>
          <w:jc w:val="center"/>
        </w:trPr>
        <w:tc>
          <w:tcPr>
            <w:tcW w:w="484" w:type="dxa"/>
            <w:vMerge/>
            <w:vAlign w:val="center"/>
          </w:tcPr>
          <w:p w14:paraId="6507429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629315A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3FB20C8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1.0457</w:t>
            </w:r>
          </w:p>
        </w:tc>
        <w:tc>
          <w:tcPr>
            <w:tcW w:w="977" w:type="dxa"/>
            <w:vAlign w:val="center"/>
          </w:tcPr>
          <w:p w14:paraId="2C9813C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0.50</w:t>
            </w:r>
          </w:p>
        </w:tc>
        <w:tc>
          <w:tcPr>
            <w:tcW w:w="756" w:type="dxa"/>
            <w:vMerge/>
            <w:vAlign w:val="center"/>
          </w:tcPr>
          <w:p w14:paraId="613B869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43A8469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975" w:type="dxa"/>
            <w:vAlign w:val="center"/>
          </w:tcPr>
          <w:p w14:paraId="29AA18D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0.59</w:t>
            </w:r>
          </w:p>
        </w:tc>
        <w:tc>
          <w:tcPr>
            <w:tcW w:w="827" w:type="dxa"/>
            <w:vMerge/>
            <w:vAlign w:val="center"/>
          </w:tcPr>
          <w:p w14:paraId="7D87596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4C7D9CD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0.49</w:t>
            </w:r>
          </w:p>
        </w:tc>
        <w:tc>
          <w:tcPr>
            <w:tcW w:w="1063" w:type="dxa"/>
            <w:vAlign w:val="center"/>
          </w:tcPr>
          <w:p w14:paraId="09F67E1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0.50</w:t>
            </w:r>
          </w:p>
        </w:tc>
      </w:tr>
      <w:tr w:rsidR="00901F2B" w:rsidRPr="005E6B7C" w14:paraId="7B8E1819" w14:textId="77777777" w:rsidTr="0047080C">
        <w:trPr>
          <w:jc w:val="center"/>
        </w:trPr>
        <w:tc>
          <w:tcPr>
            <w:tcW w:w="484" w:type="dxa"/>
            <w:vMerge w:val="restart"/>
            <w:vAlign w:val="center"/>
          </w:tcPr>
          <w:p w14:paraId="4200EF0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p>
        </w:tc>
        <w:tc>
          <w:tcPr>
            <w:tcW w:w="968" w:type="dxa"/>
            <w:vMerge w:val="restart"/>
            <w:vAlign w:val="center"/>
          </w:tcPr>
          <w:p w14:paraId="38DF149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G12</w:t>
            </w:r>
          </w:p>
        </w:tc>
        <w:tc>
          <w:tcPr>
            <w:tcW w:w="877" w:type="dxa"/>
            <w:vAlign w:val="center"/>
          </w:tcPr>
          <w:p w14:paraId="6124F8E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1.0398</w:t>
            </w:r>
          </w:p>
        </w:tc>
        <w:tc>
          <w:tcPr>
            <w:tcW w:w="977" w:type="dxa"/>
            <w:vAlign w:val="center"/>
          </w:tcPr>
          <w:p w14:paraId="626CD9C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756" w:type="dxa"/>
            <w:vMerge w:val="restart"/>
            <w:vAlign w:val="center"/>
          </w:tcPr>
          <w:p w14:paraId="04EAB14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6" w:type="dxa"/>
            <w:vAlign w:val="center"/>
          </w:tcPr>
          <w:p w14:paraId="3A9FEDC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w:t>
            </w:r>
          </w:p>
        </w:tc>
        <w:tc>
          <w:tcPr>
            <w:tcW w:w="975" w:type="dxa"/>
            <w:vAlign w:val="center"/>
          </w:tcPr>
          <w:p w14:paraId="24719DD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0.10</w:t>
            </w:r>
          </w:p>
        </w:tc>
        <w:tc>
          <w:tcPr>
            <w:tcW w:w="827" w:type="dxa"/>
            <w:vMerge w:val="restart"/>
            <w:vAlign w:val="center"/>
          </w:tcPr>
          <w:p w14:paraId="35C23EC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1122" w:type="dxa"/>
            <w:vAlign w:val="center"/>
          </w:tcPr>
          <w:p w14:paraId="77EFAFD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1063" w:type="dxa"/>
            <w:vAlign w:val="center"/>
          </w:tcPr>
          <w:p w14:paraId="413A7B0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0.11</w:t>
            </w:r>
          </w:p>
        </w:tc>
      </w:tr>
      <w:tr w:rsidR="00901F2B" w:rsidRPr="005E6B7C" w14:paraId="382DAF66" w14:textId="77777777" w:rsidTr="0047080C">
        <w:trPr>
          <w:jc w:val="center"/>
        </w:trPr>
        <w:tc>
          <w:tcPr>
            <w:tcW w:w="484" w:type="dxa"/>
            <w:vMerge/>
            <w:vAlign w:val="center"/>
          </w:tcPr>
          <w:p w14:paraId="153F7A8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3F4B97C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520AA33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1.0234</w:t>
            </w:r>
          </w:p>
        </w:tc>
        <w:tc>
          <w:tcPr>
            <w:tcW w:w="977" w:type="dxa"/>
            <w:vAlign w:val="center"/>
          </w:tcPr>
          <w:p w14:paraId="7D24E48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756" w:type="dxa"/>
            <w:vMerge/>
            <w:vAlign w:val="center"/>
          </w:tcPr>
          <w:p w14:paraId="0B5FDD9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77C3EB4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w:t>
            </w:r>
          </w:p>
        </w:tc>
        <w:tc>
          <w:tcPr>
            <w:tcW w:w="975" w:type="dxa"/>
            <w:vAlign w:val="center"/>
          </w:tcPr>
          <w:p w14:paraId="3226CAD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0.10</w:t>
            </w:r>
          </w:p>
        </w:tc>
        <w:tc>
          <w:tcPr>
            <w:tcW w:w="827" w:type="dxa"/>
            <w:vMerge/>
            <w:vAlign w:val="center"/>
          </w:tcPr>
          <w:p w14:paraId="1540098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54BB143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1063" w:type="dxa"/>
            <w:vAlign w:val="center"/>
          </w:tcPr>
          <w:p w14:paraId="2803E32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r>
      <w:tr w:rsidR="00901F2B" w:rsidRPr="005E6B7C" w14:paraId="37517CB7" w14:textId="77777777" w:rsidTr="0047080C">
        <w:trPr>
          <w:jc w:val="center"/>
        </w:trPr>
        <w:tc>
          <w:tcPr>
            <w:tcW w:w="484" w:type="dxa"/>
            <w:vMerge/>
            <w:vAlign w:val="center"/>
          </w:tcPr>
          <w:p w14:paraId="4BAEB54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086DE4E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7AF31F8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1.0125</w:t>
            </w:r>
          </w:p>
        </w:tc>
        <w:tc>
          <w:tcPr>
            <w:tcW w:w="977" w:type="dxa"/>
            <w:vAlign w:val="center"/>
          </w:tcPr>
          <w:p w14:paraId="5C0E2F7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756" w:type="dxa"/>
            <w:vMerge/>
            <w:vAlign w:val="center"/>
          </w:tcPr>
          <w:p w14:paraId="273F36B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3F226EC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0.01</w:t>
            </w:r>
          </w:p>
        </w:tc>
        <w:tc>
          <w:tcPr>
            <w:tcW w:w="975" w:type="dxa"/>
            <w:vAlign w:val="center"/>
          </w:tcPr>
          <w:p w14:paraId="26FFDA6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827" w:type="dxa"/>
            <w:vMerge/>
            <w:vAlign w:val="center"/>
          </w:tcPr>
          <w:p w14:paraId="40695CC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251A331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0.08</w:t>
            </w:r>
          </w:p>
        </w:tc>
        <w:tc>
          <w:tcPr>
            <w:tcW w:w="1063" w:type="dxa"/>
            <w:vAlign w:val="center"/>
          </w:tcPr>
          <w:p w14:paraId="7925B9B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0.08</w:t>
            </w:r>
          </w:p>
        </w:tc>
      </w:tr>
      <w:tr w:rsidR="00901F2B" w:rsidRPr="005E6B7C" w14:paraId="59429970" w14:textId="77777777" w:rsidTr="0047080C">
        <w:trPr>
          <w:jc w:val="center"/>
        </w:trPr>
        <w:tc>
          <w:tcPr>
            <w:tcW w:w="484" w:type="dxa"/>
            <w:vMerge w:val="restart"/>
            <w:vAlign w:val="center"/>
          </w:tcPr>
          <w:p w14:paraId="4C2A41F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5</w:t>
            </w:r>
          </w:p>
        </w:tc>
        <w:tc>
          <w:tcPr>
            <w:tcW w:w="968" w:type="dxa"/>
            <w:vMerge w:val="restart"/>
            <w:vAlign w:val="center"/>
          </w:tcPr>
          <w:p w14:paraId="0C3241A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G13</w:t>
            </w:r>
          </w:p>
        </w:tc>
        <w:tc>
          <w:tcPr>
            <w:tcW w:w="877" w:type="dxa"/>
            <w:vAlign w:val="center"/>
          </w:tcPr>
          <w:p w14:paraId="7F0D8D1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1.0158</w:t>
            </w:r>
          </w:p>
        </w:tc>
        <w:tc>
          <w:tcPr>
            <w:tcW w:w="977" w:type="dxa"/>
            <w:vAlign w:val="center"/>
          </w:tcPr>
          <w:p w14:paraId="45EA9B0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w:t>
            </w:r>
          </w:p>
        </w:tc>
        <w:tc>
          <w:tcPr>
            <w:tcW w:w="756" w:type="dxa"/>
            <w:vMerge w:val="restart"/>
            <w:vAlign w:val="center"/>
          </w:tcPr>
          <w:p w14:paraId="54491B5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0.03</w:t>
            </w:r>
          </w:p>
        </w:tc>
        <w:tc>
          <w:tcPr>
            <w:tcW w:w="976" w:type="dxa"/>
            <w:vAlign w:val="center"/>
          </w:tcPr>
          <w:p w14:paraId="13AB290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0.02</w:t>
            </w:r>
          </w:p>
        </w:tc>
        <w:tc>
          <w:tcPr>
            <w:tcW w:w="975" w:type="dxa"/>
            <w:vAlign w:val="center"/>
          </w:tcPr>
          <w:p w14:paraId="2852E45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0.23</w:t>
            </w:r>
          </w:p>
        </w:tc>
        <w:tc>
          <w:tcPr>
            <w:tcW w:w="827" w:type="dxa"/>
            <w:vMerge w:val="restart"/>
            <w:vAlign w:val="center"/>
          </w:tcPr>
          <w:p w14:paraId="0F0F9B4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0.21</w:t>
            </w:r>
          </w:p>
        </w:tc>
        <w:tc>
          <w:tcPr>
            <w:tcW w:w="1122" w:type="dxa"/>
            <w:vAlign w:val="center"/>
          </w:tcPr>
          <w:p w14:paraId="64C5B8C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0.04</w:t>
            </w:r>
          </w:p>
        </w:tc>
        <w:tc>
          <w:tcPr>
            <w:tcW w:w="1063" w:type="dxa"/>
            <w:vAlign w:val="center"/>
          </w:tcPr>
          <w:p w14:paraId="104F9CE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0.27</w:t>
            </w:r>
          </w:p>
        </w:tc>
      </w:tr>
      <w:tr w:rsidR="00901F2B" w:rsidRPr="005E6B7C" w14:paraId="4B254A83" w14:textId="77777777" w:rsidTr="0047080C">
        <w:trPr>
          <w:jc w:val="center"/>
        </w:trPr>
        <w:tc>
          <w:tcPr>
            <w:tcW w:w="484" w:type="dxa"/>
            <w:vMerge/>
            <w:vAlign w:val="center"/>
          </w:tcPr>
          <w:p w14:paraId="6B0549E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44F0480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5108282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1.0833</w:t>
            </w:r>
          </w:p>
        </w:tc>
        <w:tc>
          <w:tcPr>
            <w:tcW w:w="977" w:type="dxa"/>
            <w:vAlign w:val="center"/>
          </w:tcPr>
          <w:p w14:paraId="40F96AC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w:t>
            </w:r>
          </w:p>
        </w:tc>
        <w:tc>
          <w:tcPr>
            <w:tcW w:w="756" w:type="dxa"/>
            <w:vMerge/>
            <w:vAlign w:val="center"/>
          </w:tcPr>
          <w:p w14:paraId="3B827C3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17E3D94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0.02</w:t>
            </w:r>
          </w:p>
        </w:tc>
        <w:tc>
          <w:tcPr>
            <w:tcW w:w="975" w:type="dxa"/>
            <w:vAlign w:val="center"/>
          </w:tcPr>
          <w:p w14:paraId="1B12E1A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0.20</w:t>
            </w:r>
          </w:p>
        </w:tc>
        <w:tc>
          <w:tcPr>
            <w:tcW w:w="827" w:type="dxa"/>
            <w:vMerge/>
            <w:vAlign w:val="center"/>
          </w:tcPr>
          <w:p w14:paraId="3E67258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161844F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w:t>
            </w:r>
          </w:p>
        </w:tc>
        <w:tc>
          <w:tcPr>
            <w:tcW w:w="1063" w:type="dxa"/>
            <w:vAlign w:val="center"/>
          </w:tcPr>
          <w:p w14:paraId="3C19F6F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0.24</w:t>
            </w:r>
          </w:p>
        </w:tc>
      </w:tr>
      <w:tr w:rsidR="00901F2B" w:rsidRPr="005E6B7C" w14:paraId="31EFA67E" w14:textId="77777777" w:rsidTr="0047080C">
        <w:trPr>
          <w:jc w:val="center"/>
        </w:trPr>
        <w:tc>
          <w:tcPr>
            <w:tcW w:w="484" w:type="dxa"/>
            <w:vMerge/>
            <w:vAlign w:val="center"/>
          </w:tcPr>
          <w:p w14:paraId="70A84E1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03C7D12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23AF52B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1.0395</w:t>
            </w:r>
          </w:p>
        </w:tc>
        <w:tc>
          <w:tcPr>
            <w:tcW w:w="977" w:type="dxa"/>
            <w:vAlign w:val="center"/>
          </w:tcPr>
          <w:p w14:paraId="1805A50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w:t>
            </w:r>
          </w:p>
        </w:tc>
        <w:tc>
          <w:tcPr>
            <w:tcW w:w="756" w:type="dxa"/>
            <w:vMerge/>
            <w:vAlign w:val="center"/>
          </w:tcPr>
          <w:p w14:paraId="2B99CAC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4603F83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0.02</w:t>
            </w:r>
          </w:p>
        </w:tc>
        <w:tc>
          <w:tcPr>
            <w:tcW w:w="975" w:type="dxa"/>
            <w:vAlign w:val="center"/>
          </w:tcPr>
          <w:p w14:paraId="21567FB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0.20</w:t>
            </w:r>
          </w:p>
        </w:tc>
        <w:tc>
          <w:tcPr>
            <w:tcW w:w="827" w:type="dxa"/>
            <w:vMerge/>
            <w:vAlign w:val="center"/>
          </w:tcPr>
          <w:p w14:paraId="0E6D931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1CB1123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w:t>
            </w:r>
          </w:p>
        </w:tc>
        <w:tc>
          <w:tcPr>
            <w:tcW w:w="1063" w:type="dxa"/>
            <w:vAlign w:val="center"/>
          </w:tcPr>
          <w:p w14:paraId="501432D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0.18</w:t>
            </w:r>
          </w:p>
        </w:tc>
      </w:tr>
      <w:tr w:rsidR="00901F2B" w:rsidRPr="005E6B7C" w14:paraId="6409EE5F" w14:textId="77777777" w:rsidTr="0047080C">
        <w:trPr>
          <w:jc w:val="center"/>
        </w:trPr>
        <w:tc>
          <w:tcPr>
            <w:tcW w:w="484" w:type="dxa"/>
            <w:vMerge w:val="restart"/>
            <w:vAlign w:val="center"/>
          </w:tcPr>
          <w:p w14:paraId="51D30CA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6</w:t>
            </w:r>
          </w:p>
        </w:tc>
        <w:tc>
          <w:tcPr>
            <w:tcW w:w="968" w:type="dxa"/>
            <w:vMerge w:val="restart"/>
            <w:vAlign w:val="center"/>
          </w:tcPr>
          <w:p w14:paraId="289A786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G19</w:t>
            </w:r>
          </w:p>
        </w:tc>
        <w:tc>
          <w:tcPr>
            <w:tcW w:w="877" w:type="dxa"/>
            <w:vAlign w:val="center"/>
          </w:tcPr>
          <w:p w14:paraId="4909F7A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1.0177</w:t>
            </w:r>
          </w:p>
        </w:tc>
        <w:tc>
          <w:tcPr>
            <w:tcW w:w="977" w:type="dxa"/>
            <w:vAlign w:val="center"/>
          </w:tcPr>
          <w:p w14:paraId="1E6EEBF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0.60</w:t>
            </w:r>
          </w:p>
        </w:tc>
        <w:tc>
          <w:tcPr>
            <w:tcW w:w="756" w:type="dxa"/>
            <w:vMerge w:val="restart"/>
            <w:vAlign w:val="center"/>
          </w:tcPr>
          <w:p w14:paraId="205FD10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0.61</w:t>
            </w:r>
          </w:p>
        </w:tc>
        <w:tc>
          <w:tcPr>
            <w:tcW w:w="976" w:type="dxa"/>
            <w:vAlign w:val="center"/>
          </w:tcPr>
          <w:p w14:paraId="16E1DE8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0.14</w:t>
            </w:r>
          </w:p>
        </w:tc>
        <w:tc>
          <w:tcPr>
            <w:tcW w:w="975" w:type="dxa"/>
            <w:vAlign w:val="center"/>
          </w:tcPr>
          <w:p w14:paraId="72224EE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1.43</w:t>
            </w:r>
          </w:p>
        </w:tc>
        <w:tc>
          <w:tcPr>
            <w:tcW w:w="827" w:type="dxa"/>
            <w:vMerge w:val="restart"/>
            <w:vAlign w:val="center"/>
          </w:tcPr>
          <w:p w14:paraId="293A1C2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1.40</w:t>
            </w:r>
          </w:p>
        </w:tc>
        <w:tc>
          <w:tcPr>
            <w:tcW w:w="1122" w:type="dxa"/>
            <w:vAlign w:val="center"/>
          </w:tcPr>
          <w:p w14:paraId="355615F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0.70</w:t>
            </w:r>
          </w:p>
        </w:tc>
        <w:tc>
          <w:tcPr>
            <w:tcW w:w="1063" w:type="dxa"/>
            <w:vAlign w:val="center"/>
          </w:tcPr>
          <w:p w14:paraId="4294DDB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1.40</w:t>
            </w:r>
          </w:p>
        </w:tc>
      </w:tr>
      <w:tr w:rsidR="00901F2B" w:rsidRPr="005E6B7C" w14:paraId="1EA99CCD" w14:textId="77777777" w:rsidTr="0047080C">
        <w:trPr>
          <w:jc w:val="center"/>
        </w:trPr>
        <w:tc>
          <w:tcPr>
            <w:tcW w:w="484" w:type="dxa"/>
            <w:vMerge/>
            <w:vAlign w:val="center"/>
          </w:tcPr>
          <w:p w14:paraId="6C0AA44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6F4C211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569F24B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1.0070</w:t>
            </w:r>
          </w:p>
        </w:tc>
        <w:tc>
          <w:tcPr>
            <w:tcW w:w="977" w:type="dxa"/>
            <w:vAlign w:val="center"/>
          </w:tcPr>
          <w:p w14:paraId="325119F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0.60</w:t>
            </w:r>
          </w:p>
        </w:tc>
        <w:tc>
          <w:tcPr>
            <w:tcW w:w="756" w:type="dxa"/>
            <w:vMerge/>
            <w:vAlign w:val="center"/>
          </w:tcPr>
          <w:p w14:paraId="6C5EC2A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0A5E159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0.14</w:t>
            </w:r>
          </w:p>
        </w:tc>
        <w:tc>
          <w:tcPr>
            <w:tcW w:w="975" w:type="dxa"/>
            <w:vAlign w:val="center"/>
          </w:tcPr>
          <w:p w14:paraId="566E75F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1.35</w:t>
            </w:r>
          </w:p>
        </w:tc>
        <w:tc>
          <w:tcPr>
            <w:tcW w:w="827" w:type="dxa"/>
            <w:vMerge/>
            <w:vAlign w:val="center"/>
          </w:tcPr>
          <w:p w14:paraId="66AFEB6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05E6BF7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0.55</w:t>
            </w:r>
          </w:p>
        </w:tc>
        <w:tc>
          <w:tcPr>
            <w:tcW w:w="1063" w:type="dxa"/>
            <w:vAlign w:val="center"/>
          </w:tcPr>
          <w:p w14:paraId="004CD59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1.28</w:t>
            </w:r>
          </w:p>
        </w:tc>
      </w:tr>
      <w:tr w:rsidR="00901F2B" w:rsidRPr="005E6B7C" w14:paraId="2AAE331C" w14:textId="77777777" w:rsidTr="0047080C">
        <w:trPr>
          <w:jc w:val="center"/>
        </w:trPr>
        <w:tc>
          <w:tcPr>
            <w:tcW w:w="484" w:type="dxa"/>
            <w:vMerge/>
            <w:vAlign w:val="center"/>
          </w:tcPr>
          <w:p w14:paraId="6BF133B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1F5B155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044F1E5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1.0240</w:t>
            </w:r>
          </w:p>
        </w:tc>
        <w:tc>
          <w:tcPr>
            <w:tcW w:w="977" w:type="dxa"/>
            <w:vAlign w:val="center"/>
          </w:tcPr>
          <w:p w14:paraId="6A4C117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0.62</w:t>
            </w:r>
          </w:p>
        </w:tc>
        <w:tc>
          <w:tcPr>
            <w:tcW w:w="756" w:type="dxa"/>
            <w:vMerge/>
            <w:vAlign w:val="center"/>
          </w:tcPr>
          <w:p w14:paraId="03464FC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3B70624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0.14</w:t>
            </w:r>
          </w:p>
        </w:tc>
        <w:tc>
          <w:tcPr>
            <w:tcW w:w="975" w:type="dxa"/>
            <w:vAlign w:val="center"/>
          </w:tcPr>
          <w:p w14:paraId="61784DB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1.41</w:t>
            </w:r>
          </w:p>
        </w:tc>
        <w:tc>
          <w:tcPr>
            <w:tcW w:w="827" w:type="dxa"/>
            <w:vMerge/>
            <w:vAlign w:val="center"/>
          </w:tcPr>
          <w:p w14:paraId="5F49336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1644CCE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0.60</w:t>
            </w:r>
          </w:p>
        </w:tc>
        <w:tc>
          <w:tcPr>
            <w:tcW w:w="1063" w:type="dxa"/>
            <w:vAlign w:val="center"/>
          </w:tcPr>
          <w:p w14:paraId="6876A53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1.29</w:t>
            </w:r>
          </w:p>
        </w:tc>
      </w:tr>
      <w:tr w:rsidR="00901F2B" w:rsidRPr="005E6B7C" w14:paraId="51E22758" w14:textId="77777777" w:rsidTr="0047080C">
        <w:trPr>
          <w:jc w:val="center"/>
        </w:trPr>
        <w:tc>
          <w:tcPr>
            <w:tcW w:w="484" w:type="dxa"/>
            <w:vMerge w:val="restart"/>
            <w:vAlign w:val="center"/>
          </w:tcPr>
          <w:p w14:paraId="77EB8F1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7</w:t>
            </w:r>
          </w:p>
        </w:tc>
        <w:tc>
          <w:tcPr>
            <w:tcW w:w="968" w:type="dxa"/>
            <w:vMerge w:val="restart"/>
            <w:vAlign w:val="center"/>
          </w:tcPr>
          <w:p w14:paraId="22DE327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G29</w:t>
            </w:r>
          </w:p>
        </w:tc>
        <w:tc>
          <w:tcPr>
            <w:tcW w:w="877" w:type="dxa"/>
            <w:vAlign w:val="center"/>
          </w:tcPr>
          <w:p w14:paraId="4143AF1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1.0135</w:t>
            </w:r>
          </w:p>
        </w:tc>
        <w:tc>
          <w:tcPr>
            <w:tcW w:w="977" w:type="dxa"/>
            <w:vAlign w:val="center"/>
          </w:tcPr>
          <w:p w14:paraId="5C9FE7D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0.10</w:t>
            </w:r>
          </w:p>
        </w:tc>
        <w:tc>
          <w:tcPr>
            <w:tcW w:w="756" w:type="dxa"/>
            <w:vMerge w:val="restart"/>
            <w:vAlign w:val="center"/>
          </w:tcPr>
          <w:p w14:paraId="7D8E9DB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6" w:type="dxa"/>
            <w:vAlign w:val="center"/>
          </w:tcPr>
          <w:p w14:paraId="63464C0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w:t>
            </w:r>
          </w:p>
        </w:tc>
        <w:tc>
          <w:tcPr>
            <w:tcW w:w="975" w:type="dxa"/>
            <w:vAlign w:val="center"/>
          </w:tcPr>
          <w:p w14:paraId="1AE07A3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0.76</w:t>
            </w:r>
          </w:p>
        </w:tc>
        <w:tc>
          <w:tcPr>
            <w:tcW w:w="827" w:type="dxa"/>
            <w:vMerge w:val="restart"/>
            <w:vAlign w:val="center"/>
          </w:tcPr>
          <w:p w14:paraId="30BE8F7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0.82</w:t>
            </w:r>
          </w:p>
        </w:tc>
        <w:tc>
          <w:tcPr>
            <w:tcW w:w="1122" w:type="dxa"/>
            <w:vAlign w:val="center"/>
          </w:tcPr>
          <w:p w14:paraId="1992942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1063" w:type="dxa"/>
            <w:vAlign w:val="center"/>
          </w:tcPr>
          <w:p w14:paraId="2749B64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0.60</w:t>
            </w:r>
          </w:p>
        </w:tc>
      </w:tr>
      <w:tr w:rsidR="00901F2B" w:rsidRPr="005E6B7C" w14:paraId="15B89252" w14:textId="77777777" w:rsidTr="0047080C">
        <w:trPr>
          <w:jc w:val="center"/>
        </w:trPr>
        <w:tc>
          <w:tcPr>
            <w:tcW w:w="484" w:type="dxa"/>
            <w:vMerge/>
            <w:vAlign w:val="center"/>
          </w:tcPr>
          <w:p w14:paraId="6C0C303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2AA362C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59109B2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1.0856</w:t>
            </w:r>
          </w:p>
        </w:tc>
        <w:tc>
          <w:tcPr>
            <w:tcW w:w="977" w:type="dxa"/>
            <w:vAlign w:val="center"/>
          </w:tcPr>
          <w:p w14:paraId="6D1CBF2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0.09</w:t>
            </w:r>
          </w:p>
        </w:tc>
        <w:tc>
          <w:tcPr>
            <w:tcW w:w="756" w:type="dxa"/>
            <w:vMerge/>
            <w:vAlign w:val="center"/>
          </w:tcPr>
          <w:p w14:paraId="02DDCD1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12113BA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0.08</w:t>
            </w:r>
          </w:p>
        </w:tc>
        <w:tc>
          <w:tcPr>
            <w:tcW w:w="975" w:type="dxa"/>
            <w:vAlign w:val="center"/>
          </w:tcPr>
          <w:p w14:paraId="3A294E4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0.83</w:t>
            </w:r>
          </w:p>
        </w:tc>
        <w:tc>
          <w:tcPr>
            <w:tcW w:w="827" w:type="dxa"/>
            <w:vMerge/>
            <w:vAlign w:val="center"/>
          </w:tcPr>
          <w:p w14:paraId="5DACF2E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4EEE699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0.07</w:t>
            </w:r>
          </w:p>
        </w:tc>
        <w:tc>
          <w:tcPr>
            <w:tcW w:w="1063" w:type="dxa"/>
            <w:vAlign w:val="center"/>
          </w:tcPr>
          <w:p w14:paraId="2B55CD7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0.80</w:t>
            </w:r>
          </w:p>
        </w:tc>
      </w:tr>
      <w:tr w:rsidR="00901F2B" w:rsidRPr="005E6B7C" w14:paraId="375BBFD7" w14:textId="77777777" w:rsidTr="0047080C">
        <w:trPr>
          <w:jc w:val="center"/>
        </w:trPr>
        <w:tc>
          <w:tcPr>
            <w:tcW w:w="484" w:type="dxa"/>
            <w:vMerge/>
            <w:vAlign w:val="center"/>
          </w:tcPr>
          <w:p w14:paraId="64D214D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6A75D5F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459E537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1.0199</w:t>
            </w:r>
          </w:p>
        </w:tc>
        <w:tc>
          <w:tcPr>
            <w:tcW w:w="977" w:type="dxa"/>
            <w:vAlign w:val="center"/>
          </w:tcPr>
          <w:p w14:paraId="65F534A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0.08</w:t>
            </w:r>
          </w:p>
        </w:tc>
        <w:tc>
          <w:tcPr>
            <w:tcW w:w="756" w:type="dxa"/>
            <w:vMerge/>
            <w:vAlign w:val="center"/>
          </w:tcPr>
          <w:p w14:paraId="0AF0DF0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55A7ED0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5" w:type="dxa"/>
            <w:vAlign w:val="center"/>
          </w:tcPr>
          <w:p w14:paraId="263CD9D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0.86</w:t>
            </w:r>
          </w:p>
        </w:tc>
        <w:tc>
          <w:tcPr>
            <w:tcW w:w="827" w:type="dxa"/>
            <w:vMerge/>
            <w:vAlign w:val="center"/>
          </w:tcPr>
          <w:p w14:paraId="077E051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08952F9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0.11</w:t>
            </w:r>
          </w:p>
        </w:tc>
        <w:tc>
          <w:tcPr>
            <w:tcW w:w="1063" w:type="dxa"/>
            <w:vAlign w:val="center"/>
          </w:tcPr>
          <w:p w14:paraId="5E4FD2E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0.84</w:t>
            </w:r>
          </w:p>
        </w:tc>
      </w:tr>
      <w:tr w:rsidR="00901F2B" w:rsidRPr="005E6B7C" w14:paraId="7810403A" w14:textId="77777777" w:rsidTr="0047080C">
        <w:trPr>
          <w:jc w:val="center"/>
        </w:trPr>
        <w:tc>
          <w:tcPr>
            <w:tcW w:w="484" w:type="dxa"/>
            <w:vMerge w:val="restart"/>
            <w:vAlign w:val="center"/>
          </w:tcPr>
          <w:p w14:paraId="55DB6A9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8</w:t>
            </w:r>
          </w:p>
        </w:tc>
        <w:tc>
          <w:tcPr>
            <w:tcW w:w="968" w:type="dxa"/>
            <w:vMerge w:val="restart"/>
            <w:vAlign w:val="center"/>
          </w:tcPr>
          <w:p w14:paraId="5D958B6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G30</w:t>
            </w:r>
          </w:p>
        </w:tc>
        <w:tc>
          <w:tcPr>
            <w:tcW w:w="877" w:type="dxa"/>
            <w:vAlign w:val="center"/>
          </w:tcPr>
          <w:p w14:paraId="4D12F3F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1.0180</w:t>
            </w:r>
          </w:p>
        </w:tc>
        <w:tc>
          <w:tcPr>
            <w:tcW w:w="977" w:type="dxa"/>
            <w:vAlign w:val="center"/>
          </w:tcPr>
          <w:p w14:paraId="6B26585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0.15</w:t>
            </w:r>
          </w:p>
        </w:tc>
        <w:tc>
          <w:tcPr>
            <w:tcW w:w="756" w:type="dxa"/>
            <w:vMerge w:val="restart"/>
            <w:vAlign w:val="center"/>
          </w:tcPr>
          <w:p w14:paraId="39180D5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0.15</w:t>
            </w:r>
          </w:p>
        </w:tc>
        <w:tc>
          <w:tcPr>
            <w:tcW w:w="976" w:type="dxa"/>
            <w:vAlign w:val="center"/>
          </w:tcPr>
          <w:p w14:paraId="6AC4E00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5" w:type="dxa"/>
            <w:vAlign w:val="center"/>
          </w:tcPr>
          <w:p w14:paraId="1DD35E7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0.86</w:t>
            </w:r>
          </w:p>
        </w:tc>
        <w:tc>
          <w:tcPr>
            <w:tcW w:w="827" w:type="dxa"/>
            <w:vMerge w:val="restart"/>
            <w:vAlign w:val="center"/>
          </w:tcPr>
          <w:p w14:paraId="50DAA5C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0.91</w:t>
            </w:r>
          </w:p>
        </w:tc>
        <w:tc>
          <w:tcPr>
            <w:tcW w:w="1122" w:type="dxa"/>
            <w:vAlign w:val="center"/>
          </w:tcPr>
          <w:p w14:paraId="6F15F0B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0.11</w:t>
            </w:r>
          </w:p>
        </w:tc>
        <w:tc>
          <w:tcPr>
            <w:tcW w:w="1063" w:type="dxa"/>
            <w:vAlign w:val="center"/>
          </w:tcPr>
          <w:p w14:paraId="37C0BC9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0.75</w:t>
            </w:r>
          </w:p>
        </w:tc>
      </w:tr>
      <w:tr w:rsidR="00901F2B" w:rsidRPr="005E6B7C" w14:paraId="0423D1FD" w14:textId="77777777" w:rsidTr="0047080C">
        <w:trPr>
          <w:jc w:val="center"/>
        </w:trPr>
        <w:tc>
          <w:tcPr>
            <w:tcW w:w="484" w:type="dxa"/>
            <w:vMerge/>
            <w:vAlign w:val="center"/>
          </w:tcPr>
          <w:p w14:paraId="227CDA9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2AD9E34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03F155F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1.0005</w:t>
            </w:r>
          </w:p>
        </w:tc>
        <w:tc>
          <w:tcPr>
            <w:tcW w:w="977" w:type="dxa"/>
            <w:vAlign w:val="center"/>
          </w:tcPr>
          <w:p w14:paraId="5C7BB48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0.15</w:t>
            </w:r>
          </w:p>
        </w:tc>
        <w:tc>
          <w:tcPr>
            <w:tcW w:w="756" w:type="dxa"/>
            <w:vMerge/>
            <w:vAlign w:val="center"/>
          </w:tcPr>
          <w:p w14:paraId="10C98A0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1EC18A2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5" w:type="dxa"/>
            <w:vAlign w:val="center"/>
          </w:tcPr>
          <w:p w14:paraId="01DE094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0.92</w:t>
            </w:r>
          </w:p>
        </w:tc>
        <w:tc>
          <w:tcPr>
            <w:tcW w:w="827" w:type="dxa"/>
            <w:vMerge/>
            <w:vAlign w:val="center"/>
          </w:tcPr>
          <w:p w14:paraId="3E16E67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0F9394B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0.11</w:t>
            </w:r>
          </w:p>
        </w:tc>
        <w:tc>
          <w:tcPr>
            <w:tcW w:w="1063" w:type="dxa"/>
            <w:vAlign w:val="center"/>
          </w:tcPr>
          <w:p w14:paraId="2BBCC6D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0.99</w:t>
            </w:r>
          </w:p>
        </w:tc>
      </w:tr>
      <w:tr w:rsidR="00901F2B" w:rsidRPr="005E6B7C" w14:paraId="1A7EF08A" w14:textId="77777777" w:rsidTr="0047080C">
        <w:trPr>
          <w:jc w:val="center"/>
        </w:trPr>
        <w:tc>
          <w:tcPr>
            <w:tcW w:w="484" w:type="dxa"/>
            <w:vMerge/>
            <w:vAlign w:val="center"/>
          </w:tcPr>
          <w:p w14:paraId="6D3B81C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1EEE388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33FABA4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1.0267</w:t>
            </w:r>
          </w:p>
        </w:tc>
        <w:tc>
          <w:tcPr>
            <w:tcW w:w="977" w:type="dxa"/>
            <w:vAlign w:val="center"/>
          </w:tcPr>
          <w:p w14:paraId="34C8201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0.15</w:t>
            </w:r>
          </w:p>
        </w:tc>
        <w:tc>
          <w:tcPr>
            <w:tcW w:w="756" w:type="dxa"/>
            <w:vMerge/>
            <w:vAlign w:val="center"/>
          </w:tcPr>
          <w:p w14:paraId="7C83C8F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66C2089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0.09</w:t>
            </w:r>
          </w:p>
        </w:tc>
        <w:tc>
          <w:tcPr>
            <w:tcW w:w="975" w:type="dxa"/>
            <w:vAlign w:val="center"/>
          </w:tcPr>
          <w:p w14:paraId="3CD1818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0.94</w:t>
            </w:r>
          </w:p>
        </w:tc>
        <w:tc>
          <w:tcPr>
            <w:tcW w:w="827" w:type="dxa"/>
            <w:vMerge/>
            <w:vAlign w:val="center"/>
          </w:tcPr>
          <w:p w14:paraId="4C62A94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0004DA1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0.10</w:t>
            </w:r>
          </w:p>
        </w:tc>
        <w:tc>
          <w:tcPr>
            <w:tcW w:w="1063" w:type="dxa"/>
            <w:vAlign w:val="center"/>
          </w:tcPr>
          <w:p w14:paraId="552F814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1.04</w:t>
            </w:r>
          </w:p>
        </w:tc>
      </w:tr>
      <w:tr w:rsidR="00901F2B" w:rsidRPr="005E6B7C" w14:paraId="5ED6DFF1" w14:textId="77777777" w:rsidTr="0047080C">
        <w:trPr>
          <w:jc w:val="center"/>
        </w:trPr>
        <w:tc>
          <w:tcPr>
            <w:tcW w:w="484" w:type="dxa"/>
            <w:vMerge w:val="restart"/>
            <w:vAlign w:val="center"/>
          </w:tcPr>
          <w:p w14:paraId="12DE8F8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w:t>
            </w:r>
          </w:p>
        </w:tc>
        <w:tc>
          <w:tcPr>
            <w:tcW w:w="968" w:type="dxa"/>
            <w:vMerge w:val="restart"/>
            <w:vAlign w:val="center"/>
          </w:tcPr>
          <w:p w14:paraId="7F3462F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G33</w:t>
            </w:r>
          </w:p>
        </w:tc>
        <w:tc>
          <w:tcPr>
            <w:tcW w:w="877" w:type="dxa"/>
            <w:vAlign w:val="center"/>
          </w:tcPr>
          <w:p w14:paraId="17C5776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1.0171</w:t>
            </w:r>
          </w:p>
        </w:tc>
        <w:tc>
          <w:tcPr>
            <w:tcW w:w="977" w:type="dxa"/>
            <w:vAlign w:val="center"/>
          </w:tcPr>
          <w:p w14:paraId="0D832E0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0.84</w:t>
            </w:r>
          </w:p>
        </w:tc>
        <w:tc>
          <w:tcPr>
            <w:tcW w:w="756" w:type="dxa"/>
            <w:vMerge w:val="restart"/>
            <w:vAlign w:val="center"/>
          </w:tcPr>
          <w:p w14:paraId="7C8A449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0.82</w:t>
            </w:r>
          </w:p>
        </w:tc>
        <w:tc>
          <w:tcPr>
            <w:tcW w:w="976" w:type="dxa"/>
            <w:vAlign w:val="center"/>
          </w:tcPr>
          <w:p w14:paraId="5F766AE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0.11</w:t>
            </w:r>
          </w:p>
        </w:tc>
        <w:tc>
          <w:tcPr>
            <w:tcW w:w="975" w:type="dxa"/>
            <w:vAlign w:val="center"/>
          </w:tcPr>
          <w:p w14:paraId="5CF14C6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w:t>
            </w:r>
          </w:p>
        </w:tc>
        <w:tc>
          <w:tcPr>
            <w:tcW w:w="827" w:type="dxa"/>
            <w:vMerge w:val="restart"/>
            <w:vAlign w:val="center"/>
          </w:tcPr>
          <w:p w14:paraId="300E109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1.18</w:t>
            </w:r>
          </w:p>
        </w:tc>
        <w:tc>
          <w:tcPr>
            <w:tcW w:w="1122" w:type="dxa"/>
            <w:vAlign w:val="center"/>
          </w:tcPr>
          <w:p w14:paraId="269F81F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0.83</w:t>
            </w:r>
          </w:p>
        </w:tc>
        <w:tc>
          <w:tcPr>
            <w:tcW w:w="1063" w:type="dxa"/>
            <w:vAlign w:val="center"/>
          </w:tcPr>
          <w:p w14:paraId="504AC0E5"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0.98</w:t>
            </w:r>
          </w:p>
        </w:tc>
      </w:tr>
      <w:tr w:rsidR="00901F2B" w:rsidRPr="005E6B7C" w14:paraId="3D20C680" w14:textId="77777777" w:rsidTr="0047080C">
        <w:trPr>
          <w:jc w:val="center"/>
        </w:trPr>
        <w:tc>
          <w:tcPr>
            <w:tcW w:w="484" w:type="dxa"/>
            <w:vMerge/>
            <w:vAlign w:val="center"/>
          </w:tcPr>
          <w:p w14:paraId="7459F6B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3A5AC65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4777B4D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1.0207</w:t>
            </w:r>
          </w:p>
        </w:tc>
        <w:tc>
          <w:tcPr>
            <w:tcW w:w="977" w:type="dxa"/>
            <w:vAlign w:val="center"/>
          </w:tcPr>
          <w:p w14:paraId="5660C57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0.80</w:t>
            </w:r>
          </w:p>
        </w:tc>
        <w:tc>
          <w:tcPr>
            <w:tcW w:w="756" w:type="dxa"/>
            <w:vMerge/>
            <w:vAlign w:val="center"/>
          </w:tcPr>
          <w:p w14:paraId="5985272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643BB55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0.12</w:t>
            </w:r>
          </w:p>
        </w:tc>
        <w:tc>
          <w:tcPr>
            <w:tcW w:w="975" w:type="dxa"/>
            <w:vAlign w:val="center"/>
          </w:tcPr>
          <w:p w14:paraId="61A9CBC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1.19</w:t>
            </w:r>
          </w:p>
        </w:tc>
        <w:tc>
          <w:tcPr>
            <w:tcW w:w="827" w:type="dxa"/>
            <w:vMerge/>
            <w:vAlign w:val="center"/>
          </w:tcPr>
          <w:p w14:paraId="49FCBD4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7FF6615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0.71</w:t>
            </w:r>
          </w:p>
        </w:tc>
        <w:tc>
          <w:tcPr>
            <w:tcW w:w="1063" w:type="dxa"/>
            <w:vAlign w:val="center"/>
          </w:tcPr>
          <w:p w14:paraId="2A02812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1.04</w:t>
            </w:r>
          </w:p>
        </w:tc>
      </w:tr>
      <w:tr w:rsidR="00901F2B" w:rsidRPr="005E6B7C" w14:paraId="0A66619C" w14:textId="77777777" w:rsidTr="0047080C">
        <w:trPr>
          <w:jc w:val="center"/>
        </w:trPr>
        <w:tc>
          <w:tcPr>
            <w:tcW w:w="484" w:type="dxa"/>
            <w:vMerge/>
            <w:vAlign w:val="center"/>
          </w:tcPr>
          <w:p w14:paraId="2D6BEB7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20356C0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3C7E380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1.0450</w:t>
            </w:r>
          </w:p>
        </w:tc>
        <w:tc>
          <w:tcPr>
            <w:tcW w:w="977" w:type="dxa"/>
            <w:vAlign w:val="center"/>
          </w:tcPr>
          <w:p w14:paraId="513895E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0.82</w:t>
            </w:r>
          </w:p>
        </w:tc>
        <w:tc>
          <w:tcPr>
            <w:tcW w:w="756" w:type="dxa"/>
            <w:vMerge/>
            <w:vAlign w:val="center"/>
          </w:tcPr>
          <w:p w14:paraId="02DB703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376D021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0.13</w:t>
            </w:r>
          </w:p>
        </w:tc>
        <w:tc>
          <w:tcPr>
            <w:tcW w:w="975" w:type="dxa"/>
            <w:vAlign w:val="center"/>
          </w:tcPr>
          <w:p w14:paraId="6BF6F05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1.28</w:t>
            </w:r>
          </w:p>
        </w:tc>
        <w:tc>
          <w:tcPr>
            <w:tcW w:w="827" w:type="dxa"/>
            <w:vMerge/>
            <w:vAlign w:val="center"/>
          </w:tcPr>
          <w:p w14:paraId="7B6F60B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7ADD68E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0.81</w:t>
            </w:r>
          </w:p>
        </w:tc>
        <w:tc>
          <w:tcPr>
            <w:tcW w:w="1063" w:type="dxa"/>
            <w:vAlign w:val="center"/>
          </w:tcPr>
          <w:p w14:paraId="1B0E307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1.11</w:t>
            </w:r>
          </w:p>
        </w:tc>
      </w:tr>
      <w:tr w:rsidR="00901F2B" w:rsidRPr="005E6B7C" w14:paraId="1B67D4F3" w14:textId="77777777" w:rsidTr="0047080C">
        <w:trPr>
          <w:jc w:val="center"/>
        </w:trPr>
        <w:tc>
          <w:tcPr>
            <w:tcW w:w="484" w:type="dxa"/>
            <w:vMerge w:val="restart"/>
            <w:vAlign w:val="center"/>
          </w:tcPr>
          <w:p w14:paraId="14BB545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c>
          <w:tcPr>
            <w:tcW w:w="968" w:type="dxa"/>
            <w:vMerge w:val="restart"/>
            <w:vAlign w:val="center"/>
          </w:tcPr>
          <w:p w14:paraId="71A08AE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G34</w:t>
            </w:r>
          </w:p>
        </w:tc>
        <w:tc>
          <w:tcPr>
            <w:tcW w:w="877" w:type="dxa"/>
            <w:vAlign w:val="center"/>
          </w:tcPr>
          <w:p w14:paraId="36FE1B02"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1.0634</w:t>
            </w:r>
          </w:p>
        </w:tc>
        <w:tc>
          <w:tcPr>
            <w:tcW w:w="977" w:type="dxa"/>
            <w:vAlign w:val="center"/>
          </w:tcPr>
          <w:p w14:paraId="4D5EFA1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0.10</w:t>
            </w:r>
          </w:p>
        </w:tc>
        <w:tc>
          <w:tcPr>
            <w:tcW w:w="756" w:type="dxa"/>
            <w:vMerge w:val="restart"/>
            <w:vAlign w:val="center"/>
          </w:tcPr>
          <w:p w14:paraId="4FAC059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0.99</w:t>
            </w:r>
          </w:p>
        </w:tc>
        <w:tc>
          <w:tcPr>
            <w:tcW w:w="976" w:type="dxa"/>
            <w:vAlign w:val="center"/>
          </w:tcPr>
          <w:p w14:paraId="155F3A2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975" w:type="dxa"/>
            <w:vAlign w:val="center"/>
          </w:tcPr>
          <w:p w14:paraId="01471B9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0.56</w:t>
            </w:r>
          </w:p>
        </w:tc>
        <w:tc>
          <w:tcPr>
            <w:tcW w:w="827" w:type="dxa"/>
            <w:vMerge w:val="restart"/>
            <w:vAlign w:val="center"/>
          </w:tcPr>
          <w:p w14:paraId="1FFA9B3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0.57</w:t>
            </w:r>
          </w:p>
        </w:tc>
        <w:tc>
          <w:tcPr>
            <w:tcW w:w="1122" w:type="dxa"/>
            <w:vAlign w:val="center"/>
          </w:tcPr>
          <w:p w14:paraId="6C2176A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1.04</w:t>
            </w:r>
          </w:p>
        </w:tc>
        <w:tc>
          <w:tcPr>
            <w:tcW w:w="1063" w:type="dxa"/>
            <w:vAlign w:val="center"/>
          </w:tcPr>
          <w:p w14:paraId="5AD0E82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0.51</w:t>
            </w:r>
          </w:p>
        </w:tc>
      </w:tr>
      <w:tr w:rsidR="00901F2B" w:rsidRPr="005E6B7C" w14:paraId="39955E47" w14:textId="77777777" w:rsidTr="0047080C">
        <w:trPr>
          <w:jc w:val="center"/>
        </w:trPr>
        <w:tc>
          <w:tcPr>
            <w:tcW w:w="484" w:type="dxa"/>
            <w:vMerge/>
            <w:vAlign w:val="center"/>
          </w:tcPr>
          <w:p w14:paraId="79613681"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2174F6F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1F331E33"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1.0264</w:t>
            </w:r>
          </w:p>
        </w:tc>
        <w:tc>
          <w:tcPr>
            <w:tcW w:w="977" w:type="dxa"/>
            <w:vAlign w:val="center"/>
          </w:tcPr>
          <w:p w14:paraId="071A546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1.01</w:t>
            </w:r>
          </w:p>
        </w:tc>
        <w:tc>
          <w:tcPr>
            <w:tcW w:w="756" w:type="dxa"/>
            <w:vMerge/>
            <w:vAlign w:val="center"/>
          </w:tcPr>
          <w:p w14:paraId="1824F75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5D32A5F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0.06</w:t>
            </w:r>
          </w:p>
        </w:tc>
        <w:tc>
          <w:tcPr>
            <w:tcW w:w="975" w:type="dxa"/>
            <w:vAlign w:val="center"/>
          </w:tcPr>
          <w:p w14:paraId="7B15E63E"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0.60</w:t>
            </w:r>
          </w:p>
        </w:tc>
        <w:tc>
          <w:tcPr>
            <w:tcW w:w="827" w:type="dxa"/>
            <w:vMerge/>
            <w:vAlign w:val="center"/>
          </w:tcPr>
          <w:p w14:paraId="122EDFD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2B4E3D1C"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1.28</w:t>
            </w:r>
          </w:p>
        </w:tc>
        <w:tc>
          <w:tcPr>
            <w:tcW w:w="1063" w:type="dxa"/>
            <w:vAlign w:val="center"/>
          </w:tcPr>
          <w:p w14:paraId="738B1444"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0.65</w:t>
            </w:r>
          </w:p>
        </w:tc>
      </w:tr>
      <w:tr w:rsidR="00901F2B" w:rsidRPr="005E6B7C" w14:paraId="5F0B2C95" w14:textId="77777777" w:rsidTr="0047080C">
        <w:trPr>
          <w:jc w:val="center"/>
        </w:trPr>
        <w:tc>
          <w:tcPr>
            <w:tcW w:w="484" w:type="dxa"/>
            <w:vMerge/>
            <w:vAlign w:val="center"/>
          </w:tcPr>
          <w:p w14:paraId="324EA116"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68" w:type="dxa"/>
            <w:vMerge/>
            <w:vAlign w:val="center"/>
          </w:tcPr>
          <w:p w14:paraId="0D8693ED"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877" w:type="dxa"/>
            <w:vAlign w:val="center"/>
          </w:tcPr>
          <w:p w14:paraId="7EE590C8"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1.0799</w:t>
            </w:r>
          </w:p>
        </w:tc>
        <w:tc>
          <w:tcPr>
            <w:tcW w:w="977" w:type="dxa"/>
            <w:vAlign w:val="center"/>
          </w:tcPr>
          <w:p w14:paraId="47F056D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0.95</w:t>
            </w:r>
          </w:p>
        </w:tc>
        <w:tc>
          <w:tcPr>
            <w:tcW w:w="756" w:type="dxa"/>
            <w:vMerge/>
            <w:vAlign w:val="center"/>
          </w:tcPr>
          <w:p w14:paraId="6A41798F"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976" w:type="dxa"/>
            <w:vAlign w:val="center"/>
          </w:tcPr>
          <w:p w14:paraId="6CE146E7"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0.05</w:t>
            </w:r>
          </w:p>
        </w:tc>
        <w:tc>
          <w:tcPr>
            <w:tcW w:w="975" w:type="dxa"/>
            <w:vAlign w:val="center"/>
          </w:tcPr>
          <w:p w14:paraId="1969F199"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0.54</w:t>
            </w:r>
          </w:p>
        </w:tc>
        <w:tc>
          <w:tcPr>
            <w:tcW w:w="827" w:type="dxa"/>
            <w:vMerge/>
            <w:vAlign w:val="center"/>
          </w:tcPr>
          <w:p w14:paraId="106640CB"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p>
        </w:tc>
        <w:tc>
          <w:tcPr>
            <w:tcW w:w="1122" w:type="dxa"/>
            <w:vAlign w:val="center"/>
          </w:tcPr>
          <w:p w14:paraId="3DD066CA"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0.91</w:t>
            </w:r>
          </w:p>
        </w:tc>
        <w:tc>
          <w:tcPr>
            <w:tcW w:w="1063" w:type="dxa"/>
            <w:vAlign w:val="center"/>
          </w:tcPr>
          <w:p w14:paraId="7F043250" w14:textId="77777777" w:rsidR="00E049CB" w:rsidRPr="005E6B7C" w:rsidRDefault="00E049CB" w:rsidP="005E65C5">
            <w:pPr>
              <w:tabs>
                <w:tab w:val="left" w:pos="270"/>
                <w:tab w:val="left" w:pos="540"/>
                <w:tab w:val="left" w:pos="9270"/>
              </w:tabs>
              <w:spacing w:line="180" w:lineRule="exact"/>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0.47</w:t>
            </w:r>
          </w:p>
        </w:tc>
      </w:tr>
    </w:tbl>
    <w:p w14:paraId="4ABA4458" w14:textId="77777777" w:rsidR="00AD6EEB" w:rsidRPr="005E6B7C" w:rsidRDefault="00AD6EE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66DCB33E" w14:textId="77777777" w:rsidR="00AD6EEB" w:rsidRPr="005E6B7C" w:rsidRDefault="00AD6EEB" w:rsidP="008C0D47">
      <w:pPr>
        <w:tabs>
          <w:tab w:val="left" w:pos="270"/>
          <w:tab w:val="left" w:pos="540"/>
          <w:tab w:val="left" w:pos="9270"/>
        </w:tabs>
        <w:ind w:right="-20"/>
        <w:jc w:val="center"/>
        <w:rPr>
          <w:rFonts w:asciiTheme="majorHAnsi" w:eastAsia="Calibri" w:hAnsiTheme="majorHAnsi" w:cstheme="majorHAnsi"/>
          <w:b/>
          <w:bCs/>
          <w:color w:val="000000" w:themeColor="text1"/>
          <w:sz w:val="18"/>
          <w:szCs w:val="18"/>
          <w:lang w:eastAsia="ja-JP"/>
        </w:rPr>
      </w:pPr>
      <w:r w:rsidRPr="005E6B7C">
        <w:rPr>
          <w:rFonts w:asciiTheme="majorHAnsi" w:eastAsia="Calibri" w:hAnsiTheme="majorHAnsi" w:cstheme="majorHAnsi"/>
          <w:b/>
          <w:bCs/>
          <w:noProof/>
          <w:color w:val="000000" w:themeColor="text1"/>
          <w:sz w:val="18"/>
          <w:szCs w:val="18"/>
        </w:rPr>
        <w:drawing>
          <wp:inline distT="0" distB="0" distL="0" distR="0" wp14:anchorId="740880AB" wp14:editId="053D2426">
            <wp:extent cx="5588758" cy="19087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596994" cy="1911534"/>
                    </a:xfrm>
                    <a:prstGeom prst="rect">
                      <a:avLst/>
                    </a:prstGeom>
                  </pic:spPr>
                </pic:pic>
              </a:graphicData>
            </a:graphic>
          </wp:inline>
        </w:drawing>
      </w:r>
    </w:p>
    <w:p w14:paraId="3BD5321B" w14:textId="77777777" w:rsidR="00E049CB" w:rsidRPr="005E6B7C" w:rsidRDefault="00517F81" w:rsidP="008C0D47">
      <w:pPr>
        <w:tabs>
          <w:tab w:val="left" w:pos="270"/>
          <w:tab w:val="left" w:pos="540"/>
          <w:tab w:val="left" w:pos="9270"/>
        </w:tabs>
        <w:spacing w:before="120"/>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b/>
          <w:bCs/>
          <w:color w:val="000000" w:themeColor="text1"/>
          <w:sz w:val="18"/>
          <w:szCs w:val="18"/>
          <w:lang w:eastAsia="ja-JP"/>
        </w:rPr>
        <w:t xml:space="preserve">Fig. </w:t>
      </w:r>
      <w:r w:rsidR="00E049CB" w:rsidRPr="005E6B7C">
        <w:rPr>
          <w:rFonts w:asciiTheme="majorHAnsi" w:eastAsia="Calibri" w:hAnsiTheme="majorHAnsi" w:cstheme="majorHAnsi"/>
          <w:b/>
          <w:bCs/>
          <w:color w:val="000000" w:themeColor="text1"/>
          <w:sz w:val="18"/>
          <w:szCs w:val="18"/>
          <w:lang w:eastAsia="ja-JP"/>
        </w:rPr>
        <w:t xml:space="preserve">6. </w:t>
      </w:r>
      <w:r w:rsidR="00E049CB" w:rsidRPr="005E6B7C">
        <w:rPr>
          <w:rFonts w:asciiTheme="majorHAnsi" w:eastAsia="Calibri" w:hAnsiTheme="majorHAnsi" w:cstheme="majorHAnsi"/>
          <w:color w:val="000000" w:themeColor="text1"/>
          <w:sz w:val="18"/>
          <w:szCs w:val="18"/>
          <w:lang w:eastAsia="ja-JP"/>
        </w:rPr>
        <w:t xml:space="preserve">Linear regression line comparing lycopene and </w:t>
      </w:r>
      <w:r w:rsidR="00E049CB" w:rsidRPr="005E6B7C">
        <w:rPr>
          <w:rFonts w:asciiTheme="majorHAnsi" w:eastAsia="Calibri" w:hAnsiTheme="majorHAnsi" w:cstheme="majorHAnsi"/>
          <w:i/>
          <w:iCs/>
          <w:color w:val="000000" w:themeColor="text1"/>
          <w:sz w:val="18"/>
          <w:szCs w:val="18"/>
          <w:lang w:eastAsia="ja-JP"/>
        </w:rPr>
        <w:t>β</w:t>
      </w:r>
      <w:r w:rsidR="00E049CB" w:rsidRPr="005E6B7C">
        <w:rPr>
          <w:rFonts w:asciiTheme="majorHAnsi" w:eastAsia="Calibri" w:hAnsiTheme="majorHAnsi" w:cstheme="majorHAnsi"/>
          <w:color w:val="000000" w:themeColor="text1"/>
          <w:sz w:val="18"/>
          <w:szCs w:val="18"/>
          <w:lang w:eastAsia="ja-JP"/>
        </w:rPr>
        <w:t>-carotene content determined by two methods</w:t>
      </w:r>
    </w:p>
    <w:p w14:paraId="7CF014D0" w14:textId="77777777" w:rsidR="0047080C" w:rsidRPr="005E6B7C" w:rsidRDefault="0047080C" w:rsidP="008C0D47">
      <w:pPr>
        <w:tabs>
          <w:tab w:val="left" w:pos="270"/>
          <w:tab w:val="left" w:pos="540"/>
          <w:tab w:val="left" w:pos="9270"/>
        </w:tabs>
        <w:ind w:right="-20"/>
        <w:jc w:val="both"/>
        <w:rPr>
          <w:rFonts w:asciiTheme="majorHAnsi" w:eastAsia="Calibri" w:hAnsiTheme="majorHAnsi" w:cstheme="majorHAnsi"/>
          <w:bCs/>
          <w:color w:val="000000" w:themeColor="text1"/>
          <w:sz w:val="22"/>
          <w:szCs w:val="22"/>
          <w:lang w:eastAsia="ja-JP"/>
        </w:rPr>
      </w:pPr>
    </w:p>
    <w:p w14:paraId="215B7C0E"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Calibri" w:hAnsiTheme="majorHAnsi" w:cstheme="majorHAnsi"/>
          <w:bCs/>
          <w:color w:val="000000" w:themeColor="text1"/>
          <w:sz w:val="22"/>
          <w:szCs w:val="22"/>
          <w:lang w:eastAsia="ja-JP"/>
        </w:rPr>
        <w:sectPr w:rsidR="000F51CE" w:rsidRPr="005E6B7C" w:rsidSect="002206BB">
          <w:type w:val="continuous"/>
          <w:pgSz w:w="10773" w:h="15309" w:code="9"/>
          <w:pgMar w:top="907" w:right="851" w:bottom="1418" w:left="851" w:header="397" w:footer="851" w:gutter="0"/>
          <w:cols w:space="284"/>
          <w:docGrid w:linePitch="360"/>
        </w:sectPr>
      </w:pPr>
    </w:p>
    <w:p w14:paraId="4DB2EEBD" w14:textId="2EC9CCB2"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Calibri" w:hAnsiTheme="majorHAnsi" w:cstheme="majorHAnsi"/>
          <w:bCs/>
          <w:color w:val="000000" w:themeColor="text1"/>
          <w:sz w:val="22"/>
          <w:szCs w:val="22"/>
          <w:lang w:eastAsia="ja-JP"/>
        </w:rPr>
        <w:t>The R</w:t>
      </w:r>
      <w:r w:rsidRPr="005E6B7C">
        <w:rPr>
          <w:rFonts w:asciiTheme="majorHAnsi" w:eastAsia="Calibri" w:hAnsiTheme="majorHAnsi" w:cstheme="majorHAnsi"/>
          <w:bCs/>
          <w:color w:val="000000" w:themeColor="text1"/>
          <w:sz w:val="22"/>
          <w:szCs w:val="22"/>
          <w:vertAlign w:val="superscript"/>
          <w:lang w:eastAsia="ja-JP"/>
        </w:rPr>
        <w:t>2</w:t>
      </w:r>
      <w:r w:rsidRPr="005E6B7C">
        <w:rPr>
          <w:rFonts w:asciiTheme="majorHAnsi" w:eastAsia="Calibri" w:hAnsiTheme="majorHAnsi" w:cstheme="majorHAnsi"/>
          <w:bCs/>
          <w:color w:val="000000" w:themeColor="text1"/>
          <w:sz w:val="22"/>
          <w:szCs w:val="22"/>
          <w:lang w:eastAsia="ja-JP"/>
        </w:rPr>
        <w:t xml:space="preserve"> between the HPTLC-scanner method and the reference HPLC-DAD method for lycopene and </w:t>
      </w:r>
      <w:r w:rsidRPr="005E6B7C">
        <w:rPr>
          <w:rFonts w:asciiTheme="majorHAnsi" w:eastAsia="Calibri" w:hAnsiTheme="majorHAnsi" w:cstheme="majorHAnsi"/>
          <w:bCs/>
          <w:i/>
          <w:color w:val="000000" w:themeColor="text1"/>
          <w:sz w:val="22"/>
          <w:szCs w:val="22"/>
          <w:lang w:eastAsia="ja-JP"/>
        </w:rPr>
        <w:t>β</w:t>
      </w:r>
      <w:r w:rsidRPr="005E6B7C">
        <w:rPr>
          <w:rFonts w:asciiTheme="majorHAnsi" w:eastAsia="Calibri" w:hAnsiTheme="majorHAnsi" w:cstheme="majorHAnsi"/>
          <w:bCs/>
          <w:color w:val="000000" w:themeColor="text1"/>
          <w:sz w:val="22"/>
          <w:szCs w:val="22"/>
          <w:lang w:eastAsia="ja-JP"/>
        </w:rPr>
        <w:t>-carotene were 96.83% and 95.10%,</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Calibri" w:hAnsiTheme="majorHAnsi" w:cstheme="majorHAnsi"/>
          <w:bCs/>
          <w:color w:val="000000" w:themeColor="text1"/>
          <w:sz w:val="22"/>
          <w:szCs w:val="22"/>
          <w:lang w:eastAsia="ja-JP"/>
        </w:rPr>
        <w:t>respectively. A paired T</w:t>
      </w:r>
      <w:r w:rsidRPr="005E6B7C">
        <w:rPr>
          <w:rFonts w:asciiTheme="majorHAnsi" w:eastAsia="Calibri" w:hAnsiTheme="majorHAnsi" w:cstheme="majorHAnsi"/>
          <w:bCs/>
          <w:color w:val="000000" w:themeColor="text1"/>
          <w:sz w:val="22"/>
          <w:szCs w:val="22"/>
          <w:vertAlign w:val="subscript"/>
          <w:lang w:eastAsia="ja-JP"/>
        </w:rPr>
        <w:t>-test</w:t>
      </w:r>
      <w:r w:rsidRPr="005E6B7C">
        <w:rPr>
          <w:rFonts w:asciiTheme="majorHAnsi" w:eastAsia="Calibri" w:hAnsiTheme="majorHAnsi" w:cstheme="majorHAnsi"/>
          <w:bCs/>
          <w:color w:val="000000" w:themeColor="text1"/>
          <w:sz w:val="22"/>
          <w:szCs w:val="22"/>
          <w:lang w:eastAsia="ja-JP"/>
        </w:rPr>
        <w:t xml:space="preserve"> indicated no statistically significant difference between the two </w:t>
      </w:r>
      <w:r w:rsidRPr="005E6B7C">
        <w:rPr>
          <w:rFonts w:asciiTheme="majorHAnsi" w:eastAsia="Calibri" w:hAnsiTheme="majorHAnsi" w:cstheme="majorHAnsi"/>
          <w:bCs/>
          <w:color w:val="000000" w:themeColor="text1"/>
          <w:sz w:val="22"/>
          <w:szCs w:val="22"/>
          <w:lang w:eastAsia="ja-JP"/>
        </w:rPr>
        <w:t xml:space="preserve">methods; the </w:t>
      </w:r>
      <w:r w:rsidR="001D5000" w:rsidRPr="005E6B7C">
        <w:rPr>
          <w:rFonts w:asciiTheme="majorHAnsi" w:eastAsia="Calibri" w:hAnsiTheme="majorHAnsi" w:cstheme="majorHAnsi"/>
          <w:bCs/>
          <w:color w:val="000000" w:themeColor="text1"/>
          <w:sz w:val="22"/>
          <w:szCs w:val="22"/>
          <w:lang w:eastAsia="ja-JP"/>
        </w:rPr>
        <w:t>p</w:t>
      </w:r>
      <w:r w:rsidRPr="005E6B7C">
        <w:rPr>
          <w:rFonts w:asciiTheme="majorHAnsi" w:eastAsia="Calibri" w:hAnsiTheme="majorHAnsi" w:cstheme="majorHAnsi"/>
          <w:bCs/>
          <w:color w:val="000000" w:themeColor="text1"/>
          <w:sz w:val="22"/>
          <w:szCs w:val="22"/>
          <w:lang w:eastAsia="ja-JP"/>
        </w:rPr>
        <w:t xml:space="preserve">-values for lycopene and </w:t>
      </w:r>
      <w:r w:rsidRPr="005E6B7C">
        <w:rPr>
          <w:rFonts w:asciiTheme="majorHAnsi" w:eastAsia="Calibri" w:hAnsiTheme="majorHAnsi" w:cstheme="majorHAnsi"/>
          <w:bCs/>
          <w:i/>
          <w:color w:val="000000" w:themeColor="text1"/>
          <w:sz w:val="22"/>
          <w:szCs w:val="22"/>
          <w:lang w:eastAsia="ja-JP"/>
        </w:rPr>
        <w:t>β</w:t>
      </w:r>
      <w:r w:rsidRPr="005E6B7C">
        <w:rPr>
          <w:rFonts w:asciiTheme="majorHAnsi" w:eastAsia="Calibri" w:hAnsiTheme="majorHAnsi" w:cstheme="majorHAnsi"/>
          <w:bCs/>
          <w:color w:val="000000" w:themeColor="text1"/>
          <w:sz w:val="22"/>
          <w:szCs w:val="22"/>
          <w:lang w:eastAsia="ja-JP"/>
        </w:rPr>
        <w:t xml:space="preserve">-carotene were above 0.05 (0.908 for lycopene and 0.260 for </w:t>
      </w:r>
      <w:r w:rsidRPr="005E6B7C">
        <w:rPr>
          <w:rFonts w:asciiTheme="majorHAnsi" w:eastAsia="Calibri" w:hAnsiTheme="majorHAnsi" w:cstheme="majorHAnsi"/>
          <w:bCs/>
          <w:i/>
          <w:color w:val="000000" w:themeColor="text1"/>
          <w:sz w:val="22"/>
          <w:szCs w:val="22"/>
          <w:lang w:eastAsia="ja-JP"/>
        </w:rPr>
        <w:t>β</w:t>
      </w:r>
      <w:r w:rsidRPr="005E6B7C">
        <w:rPr>
          <w:rFonts w:asciiTheme="majorHAnsi" w:eastAsia="Calibri" w:hAnsiTheme="majorHAnsi" w:cstheme="majorHAnsi"/>
          <w:bCs/>
          <w:color w:val="000000" w:themeColor="text1"/>
          <w:sz w:val="22"/>
          <w:szCs w:val="22"/>
          <w:lang w:eastAsia="ja-JP"/>
        </w:rPr>
        <w:t>-carotene).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Calibri" w:hAnsiTheme="majorHAnsi" w:cstheme="majorHAnsi"/>
          <w:bCs/>
          <w:color w:val="000000" w:themeColor="text1"/>
          <w:sz w:val="22"/>
          <w:szCs w:val="22"/>
          <w:lang w:eastAsia="ja-JP"/>
        </w:rPr>
        <w:t xml:space="preserve">Furthermore, the results of the method’s accuracy assessment showed high accuracy. These results showed that the HPTLC </w:t>
      </w:r>
      <w:r w:rsidRPr="005E6B7C">
        <w:rPr>
          <w:rFonts w:asciiTheme="majorHAnsi" w:eastAsia="Calibri" w:hAnsiTheme="majorHAnsi" w:cstheme="majorHAnsi"/>
          <w:bCs/>
          <w:color w:val="000000" w:themeColor="text1"/>
          <w:sz w:val="22"/>
          <w:szCs w:val="22"/>
          <w:lang w:eastAsia="ja-JP"/>
        </w:rPr>
        <w:lastRenderedPageBreak/>
        <w:t xml:space="preserve">scanner method was highly accurate and can be used to semi-quantify lycopene and </w:t>
      </w:r>
      <w:r w:rsidRPr="005E6B7C">
        <w:rPr>
          <w:rFonts w:asciiTheme="majorHAnsi" w:eastAsia="Calibri" w:hAnsiTheme="majorHAnsi" w:cstheme="majorHAnsi"/>
          <w:bCs/>
          <w:i/>
          <w:color w:val="000000" w:themeColor="text1"/>
          <w:sz w:val="22"/>
          <w:szCs w:val="22"/>
          <w:lang w:eastAsia="ja-JP"/>
        </w:rPr>
        <w:t>β</w:t>
      </w:r>
      <w:r w:rsidRPr="005E6B7C">
        <w:rPr>
          <w:rFonts w:asciiTheme="majorHAnsi" w:eastAsia="Calibri" w:hAnsiTheme="majorHAnsi" w:cstheme="majorHAnsi"/>
          <w:bCs/>
          <w:color w:val="000000" w:themeColor="text1"/>
          <w:sz w:val="22"/>
          <w:szCs w:val="22"/>
          <w:lang w:eastAsia="ja-JP"/>
        </w:rPr>
        <w:t>-carotene in Gac seed aril samples.</w:t>
      </w:r>
    </w:p>
    <w:p w14:paraId="647DB7B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3.4. Discussion</w:t>
      </w:r>
    </w:p>
    <w:p w14:paraId="45FD5593" w14:textId="79CF7A11"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Gac is a rather complicated object due to the complex nature of Gac oil and the diversity/variation of ingredients.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and lycopene </w:t>
      </w:r>
      <w:r w:rsidR="001D5000" w:rsidRPr="005E6B7C">
        <w:rPr>
          <w:rFonts w:asciiTheme="majorHAnsi" w:eastAsia="Yu Mincho" w:hAnsiTheme="majorHAnsi" w:cstheme="majorHAnsi"/>
          <w:color w:val="000000" w:themeColor="text1"/>
          <w:sz w:val="22"/>
          <w:szCs w:val="22"/>
          <w:lang w:eastAsia="ja-JP"/>
        </w:rPr>
        <w:t>vary depending on cultivar, cultivation,</w:t>
      </w:r>
      <w:r w:rsidRPr="005E6B7C">
        <w:rPr>
          <w:rFonts w:asciiTheme="majorHAnsi" w:eastAsia="Yu Mincho" w:hAnsiTheme="majorHAnsi" w:cstheme="majorHAnsi"/>
          <w:color w:val="000000" w:themeColor="text1"/>
          <w:sz w:val="22"/>
          <w:szCs w:val="22"/>
          <w:lang w:eastAsia="ja-JP"/>
        </w:rPr>
        <w:t xml:space="preserve"> and harvesting conditions. In particular, carotenoid compounds such as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and lycopene are easily decomposed by heat, light, and oxygen, causing errors during processing and analysis. Therefore, for the analysis of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and lycopene in Gac, sample processing techniques and fast and accurate analysis methods are required for quantification to ensure accurate results</w:t>
      </w:r>
      <w:r w:rsidRPr="005E6B7C">
        <w:rPr>
          <w:rFonts w:asciiTheme="majorHAnsi" w:eastAsia="Yu Mincho" w:hAnsiTheme="majorHAnsi" w:cstheme="majorHAnsi"/>
          <w:b/>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In the previous stage, the HPLC-DAD method was developed to simultaneously quantify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and lycopene in Gac seed arils to meet the above requirements. However, to contribute to expanding the application of modern methods in testing medicinal materials, research into other analytical techniques is necessary and plays an important role.</w:t>
      </w:r>
    </w:p>
    <w:p w14:paraId="22C8B26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TLC is only used as a qualitative method in testing the quality of medicinal materials. However, with the development of science and technology, the HPTLC scanner system can be applied in both qualitative and quantitative analysis. For medicinal material samples, the HPTLC scanner method has the outstanding advantage of simultaneously analyzing many samples, saving costs and time, allowing quick quantification while still ensuring high specificity and reliability. The HPTLC scanner method to </w:t>
      </w:r>
      <w:r w:rsidRPr="005E6B7C">
        <w:rPr>
          <w:rFonts w:asciiTheme="majorHAnsi" w:eastAsia="Yu Mincho" w:hAnsiTheme="majorHAnsi" w:cstheme="majorHAnsi"/>
          <w:color w:val="000000" w:themeColor="text1"/>
          <w:sz w:val="22"/>
          <w:szCs w:val="22"/>
          <w:lang w:eastAsia="ja-JP"/>
        </w:rPr>
        <w:t xml:space="preserve">simultaneously quantify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and lycopene in Gac seed arils was established and validated according to ICH guidelines on the criteria of specificity, linearity, repeatability, and recovery efficiency. The results of quantitative analysis of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-carotene and lycopene in ten samples of Gac seed arils using HPTLC scanner and HPLC-DAD were compared and showed no statistically significant difference between the two data sets. The obtained results demonstrate that this method is suitable for applying in analyzing and controlling the quality of Gac seed aril medicinal herbs.</w:t>
      </w:r>
    </w:p>
    <w:p w14:paraId="0872117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Conclusion</w:t>
      </w:r>
    </w:p>
    <w:p w14:paraId="1B158EA0" w14:textId="27177660" w:rsidR="00E049CB" w:rsidRPr="005E6B7C" w:rsidRDefault="001D5000"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This study successfully developed</w:t>
      </w:r>
      <w:r w:rsidR="00E049CB" w:rsidRPr="005E6B7C">
        <w:rPr>
          <w:rFonts w:asciiTheme="majorHAnsi" w:eastAsia="Yu Mincho" w:hAnsiTheme="majorHAnsi" w:cstheme="majorHAnsi"/>
          <w:color w:val="000000" w:themeColor="text1"/>
          <w:sz w:val="22"/>
          <w:szCs w:val="22"/>
          <w:lang w:eastAsia="ja-JP"/>
        </w:rPr>
        <w:t xml:space="preserve">and evaluated a method to simultaneously quantify lycopene and </w:t>
      </w:r>
      <w:r w:rsidR="00E049CB" w:rsidRPr="005E6B7C">
        <w:rPr>
          <w:rFonts w:asciiTheme="majorHAnsi" w:eastAsia="Yu Mincho" w:hAnsiTheme="majorHAnsi" w:cstheme="majorHAnsi"/>
          <w:i/>
          <w:color w:val="000000" w:themeColor="text1"/>
          <w:sz w:val="22"/>
          <w:szCs w:val="22"/>
          <w:lang w:eastAsia="ja-JP"/>
        </w:rPr>
        <w:t>β</w:t>
      </w:r>
      <w:r w:rsidR="00E049CB" w:rsidRPr="005E6B7C">
        <w:rPr>
          <w:rFonts w:asciiTheme="majorHAnsi" w:eastAsia="Yu Mincho" w:hAnsiTheme="majorHAnsi" w:cstheme="majorHAnsi"/>
          <w:color w:val="000000" w:themeColor="text1"/>
          <w:sz w:val="22"/>
          <w:szCs w:val="22"/>
          <w:lang w:eastAsia="ja-JP"/>
        </w:rPr>
        <w:t xml:space="preserve">-carotene in Gac seed arils using the HPTLC scanner system. The method uses the mobile phase solvent: </w:t>
      </w:r>
      <w:r w:rsidR="00E049CB" w:rsidRPr="005E6B7C">
        <w:rPr>
          <w:rFonts w:asciiTheme="majorHAnsi" w:eastAsia="Yu Mincho" w:hAnsiTheme="majorHAnsi" w:cstheme="majorHAnsi"/>
          <w:i/>
          <w:color w:val="000000" w:themeColor="text1"/>
          <w:sz w:val="22"/>
          <w:szCs w:val="22"/>
          <w:lang w:eastAsia="ja-JP"/>
        </w:rPr>
        <w:t>n</w:t>
      </w:r>
      <w:r w:rsidR="00E049CB" w:rsidRPr="005E6B7C">
        <w:rPr>
          <w:rFonts w:asciiTheme="majorHAnsi" w:eastAsia="Yu Mincho" w:hAnsiTheme="majorHAnsi" w:cstheme="majorHAnsi"/>
          <w:color w:val="000000" w:themeColor="text1"/>
          <w:sz w:val="22"/>
          <w:szCs w:val="22"/>
          <w:lang w:eastAsia="ja-JP"/>
        </w:rPr>
        <w:t xml:space="preserve">-hexane - acetone (100:1, v/v), a sample loading volume of 10 </w:t>
      </w:r>
      <w:r w:rsidR="00266B26" w:rsidRPr="005E6B7C">
        <w:rPr>
          <w:rFonts w:asciiTheme="majorHAnsi" w:eastAsia="Yu Mincho" w:hAnsiTheme="majorHAnsi" w:cstheme="majorHAnsi"/>
          <w:i/>
          <w:iCs/>
          <w:color w:val="000000" w:themeColor="text1"/>
          <w:sz w:val="22"/>
          <w:szCs w:val="22"/>
          <w:lang w:eastAsia="ja-JP"/>
        </w:rPr>
        <w:t>µ</w:t>
      </w:r>
      <w:r w:rsidR="00E049CB" w:rsidRPr="005E6B7C">
        <w:rPr>
          <w:rFonts w:asciiTheme="majorHAnsi" w:eastAsia="Yu Mincho" w:hAnsiTheme="majorHAnsi" w:cstheme="majorHAnsi"/>
          <w:color w:val="000000" w:themeColor="text1"/>
          <w:sz w:val="22"/>
          <w:szCs w:val="22"/>
          <w:lang w:eastAsia="ja-JP"/>
        </w:rPr>
        <w:t xml:space="preserve">L, observed at 475 nm, providing good separation of the two compounds to be analyzed. The method has good repeatability (RSD% &lt; 5%), the limit of detection was 1.55 </w:t>
      </w:r>
      <w:r w:rsidR="00266B26" w:rsidRPr="005E6B7C">
        <w:rPr>
          <w:rFonts w:asciiTheme="majorHAnsi" w:eastAsia="Yu Mincho" w:hAnsiTheme="majorHAnsi" w:cstheme="majorHAnsi"/>
          <w:i/>
          <w:iCs/>
          <w:color w:val="000000" w:themeColor="text1"/>
          <w:sz w:val="22"/>
          <w:szCs w:val="22"/>
          <w:lang w:eastAsia="ja-JP"/>
        </w:rPr>
        <w:t>µ</w:t>
      </w:r>
      <w:r w:rsidR="00E049CB" w:rsidRPr="005E6B7C">
        <w:rPr>
          <w:rFonts w:asciiTheme="majorHAnsi" w:eastAsia="Yu Mincho" w:hAnsiTheme="majorHAnsi" w:cstheme="majorHAnsi"/>
          <w:color w:val="000000" w:themeColor="text1"/>
          <w:sz w:val="22"/>
          <w:szCs w:val="22"/>
          <w:lang w:eastAsia="ja-JP"/>
        </w:rPr>
        <w:t xml:space="preserve">g/mL (0.008%) for lycopene and 0.985 </w:t>
      </w:r>
      <w:r w:rsidR="00266B26" w:rsidRPr="005E6B7C">
        <w:rPr>
          <w:rFonts w:asciiTheme="majorHAnsi" w:eastAsia="Yu Mincho" w:hAnsiTheme="majorHAnsi" w:cstheme="majorHAnsi"/>
          <w:i/>
          <w:iCs/>
          <w:color w:val="000000" w:themeColor="text1"/>
          <w:sz w:val="22"/>
          <w:szCs w:val="22"/>
          <w:lang w:eastAsia="ja-JP"/>
        </w:rPr>
        <w:t>µ</w:t>
      </w:r>
      <w:r w:rsidR="00E049CB" w:rsidRPr="005E6B7C">
        <w:rPr>
          <w:rFonts w:asciiTheme="majorHAnsi" w:eastAsia="Yu Mincho" w:hAnsiTheme="majorHAnsi" w:cstheme="majorHAnsi"/>
          <w:color w:val="000000" w:themeColor="text1"/>
          <w:sz w:val="22"/>
          <w:szCs w:val="22"/>
          <w:lang w:eastAsia="ja-JP"/>
        </w:rPr>
        <w:t xml:space="preserve">g/mL (0.005%) for </w:t>
      </w:r>
      <w:r w:rsidR="00E049CB" w:rsidRPr="005E6B7C">
        <w:rPr>
          <w:rFonts w:asciiTheme="majorHAnsi" w:eastAsia="Yu Mincho" w:hAnsiTheme="majorHAnsi" w:cstheme="majorHAnsi"/>
          <w:i/>
          <w:color w:val="000000" w:themeColor="text1"/>
          <w:sz w:val="22"/>
          <w:szCs w:val="22"/>
          <w:lang w:eastAsia="ja-JP"/>
        </w:rPr>
        <w:t>β</w:t>
      </w:r>
      <w:r w:rsidR="00E049CB" w:rsidRPr="005E6B7C">
        <w:rPr>
          <w:rFonts w:asciiTheme="majorHAnsi" w:eastAsia="Yu Mincho" w:hAnsiTheme="majorHAnsi" w:cstheme="majorHAnsi"/>
          <w:color w:val="000000" w:themeColor="text1"/>
          <w:sz w:val="22"/>
          <w:szCs w:val="22"/>
          <w:lang w:eastAsia="ja-JP"/>
        </w:rPr>
        <w:t>-carotene, respectively, meeting qualitative and semi-quantitative requirements with the advantages of being fast and effective.</w:t>
      </w:r>
    </w:p>
    <w:p w14:paraId="250D5C08" w14:textId="4BEEC8D1" w:rsidR="000F51CE"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Acknowledgements</w:t>
      </w:r>
      <w:r w:rsidRPr="005E6B7C">
        <w:rPr>
          <w:rFonts w:asciiTheme="majorHAnsi" w:eastAsia="Yu Mincho" w:hAnsiTheme="majorHAnsi" w:cstheme="majorHAnsi"/>
          <w:color w:val="000000" w:themeColor="text1"/>
          <w:sz w:val="20"/>
          <w:szCs w:val="20"/>
          <w:lang w:eastAsia="ja-JP"/>
        </w:rPr>
        <w:t xml:space="preserve">: </w:t>
      </w:r>
      <w:r w:rsidRPr="005E6B7C">
        <w:rPr>
          <w:rFonts w:asciiTheme="majorHAnsi" w:eastAsia="Yu Mincho" w:hAnsiTheme="majorHAnsi" w:cstheme="majorHAnsi"/>
          <w:i/>
          <w:iCs/>
          <w:color w:val="000000" w:themeColor="text1"/>
          <w:sz w:val="20"/>
          <w:szCs w:val="20"/>
          <w:lang w:eastAsia="ja-JP"/>
        </w:rPr>
        <w:t xml:space="preserve">This work was supported by the Ministry of Science and Technology (Vietnam) on the project “Evaluation of genetic diversity of Gac (Momordica </w:t>
      </w:r>
      <w:r w:rsidR="00843562" w:rsidRPr="005E6B7C">
        <w:rPr>
          <w:rFonts w:asciiTheme="majorHAnsi" w:eastAsia="Yu Mincho" w:hAnsiTheme="majorHAnsi" w:cstheme="majorHAnsi"/>
          <w:i/>
          <w:iCs/>
          <w:color w:val="000000" w:themeColor="text1"/>
          <w:sz w:val="20"/>
          <w:szCs w:val="20"/>
          <w:lang w:eastAsia="ja-JP"/>
        </w:rPr>
        <w:t>cochinchinensis</w:t>
      </w:r>
      <w:r w:rsidRPr="005E6B7C">
        <w:rPr>
          <w:rFonts w:asciiTheme="majorHAnsi" w:eastAsia="Yu Mincho" w:hAnsiTheme="majorHAnsi" w:cstheme="majorHAnsi"/>
          <w:i/>
          <w:iCs/>
          <w:color w:val="000000" w:themeColor="text1"/>
          <w:sz w:val="20"/>
          <w:szCs w:val="20"/>
          <w:lang w:eastAsia="ja-JP"/>
        </w:rPr>
        <w:t xml:space="preserve"> (</w:t>
      </w:r>
      <w:r w:rsidRPr="005E6B7C">
        <w:rPr>
          <w:rFonts w:asciiTheme="majorHAnsi" w:eastAsia="Yu Mincho" w:hAnsiTheme="majorHAnsi" w:cstheme="majorHAnsi"/>
          <w:iCs/>
          <w:color w:val="000000" w:themeColor="text1"/>
          <w:sz w:val="20"/>
          <w:szCs w:val="20"/>
          <w:lang w:eastAsia="ja-JP"/>
        </w:rPr>
        <w:t>Lour.</w:t>
      </w:r>
      <w:r w:rsidRPr="005E6B7C">
        <w:rPr>
          <w:rFonts w:asciiTheme="majorHAnsi" w:eastAsia="Yu Mincho" w:hAnsiTheme="majorHAnsi" w:cstheme="majorHAnsi"/>
          <w:i/>
          <w:iCs/>
          <w:color w:val="000000" w:themeColor="text1"/>
          <w:sz w:val="20"/>
          <w:szCs w:val="20"/>
          <w:lang w:eastAsia="ja-JP"/>
        </w:rPr>
        <w:t xml:space="preserve">) </w:t>
      </w:r>
      <w:r w:rsidRPr="005E6B7C">
        <w:rPr>
          <w:rFonts w:asciiTheme="majorHAnsi" w:eastAsia="Yu Mincho" w:hAnsiTheme="majorHAnsi" w:cstheme="majorHAnsi"/>
          <w:iCs/>
          <w:color w:val="000000" w:themeColor="text1"/>
          <w:sz w:val="20"/>
          <w:szCs w:val="20"/>
          <w:lang w:eastAsia="ja-JP"/>
        </w:rPr>
        <w:t>Spreng.</w:t>
      </w:r>
      <w:r w:rsidRPr="005E6B7C">
        <w:rPr>
          <w:rFonts w:asciiTheme="majorHAnsi" w:eastAsia="Yu Mincho" w:hAnsiTheme="majorHAnsi" w:cstheme="majorHAnsi"/>
          <w:i/>
          <w:iCs/>
          <w:color w:val="000000" w:themeColor="text1"/>
          <w:sz w:val="20"/>
          <w:szCs w:val="20"/>
          <w:lang w:eastAsia="ja-JP"/>
        </w:rPr>
        <w:t>) in Vietnam to conserve and exploit Gac for medicinal purposes”. We acknowledge the study participants for their gracious help.</w:t>
      </w:r>
    </w:p>
    <w:p w14:paraId="0C905276" w14:textId="77777777" w:rsidR="000F51CE" w:rsidRPr="005E6B7C" w:rsidRDefault="000F51CE"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0F51CE" w:rsidRPr="005E6B7C" w:rsidSect="000F51CE">
          <w:type w:val="continuous"/>
          <w:pgSz w:w="10773" w:h="15309" w:code="9"/>
          <w:pgMar w:top="907" w:right="851" w:bottom="1418" w:left="851" w:header="397" w:footer="851" w:gutter="0"/>
          <w:cols w:num="2" w:space="284"/>
          <w:docGrid w:linePitch="360"/>
        </w:sectPr>
      </w:pPr>
    </w:p>
    <w:p w14:paraId="17B82B26" w14:textId="77777777" w:rsidR="00AD6EEB" w:rsidRPr="005E6B7C" w:rsidRDefault="00AD6EEB"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bookmarkStart w:id="43" w:name="_Hlk219793788"/>
    </w:p>
    <w:p w14:paraId="0F5BFFB7" w14:textId="77777777" w:rsidR="00E049CB" w:rsidRPr="005E6B7C" w:rsidRDefault="00E049CB" w:rsidP="008C0D47">
      <w:pPr>
        <w:tabs>
          <w:tab w:val="left" w:pos="270"/>
          <w:tab w:val="left" w:pos="540"/>
          <w:tab w:val="left" w:pos="9270"/>
        </w:tabs>
        <w:spacing w:after="1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References</w:t>
      </w:r>
    </w:p>
    <w:p w14:paraId="576DB7B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ADDIN EN.REFLIST</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Rahman M. N. A., Ismail A., Azlan A., Aziz A. A., Hassim M. D., Muhammad N. H. (2024), </w:t>
      </w:r>
      <w:bookmarkStart w:id="44" w:name="_Hlk219793780"/>
      <w:r w:rsidRPr="005E6B7C">
        <w:rPr>
          <w:rFonts w:asciiTheme="majorHAnsi" w:eastAsia="Yu Mincho" w:hAnsiTheme="majorHAnsi" w:cstheme="majorHAnsi"/>
          <w:noProof/>
          <w:color w:val="000000" w:themeColor="text1"/>
          <w:sz w:val="18"/>
          <w:szCs w:val="18"/>
          <w:lang w:eastAsia="ja-JP"/>
        </w:rPr>
        <w:t xml:space="preserve">Physicochemical properties, proximate composition, and carotenoid content of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L. Spreng (Gac) fruit, </w:t>
      </w:r>
      <w:r w:rsidRPr="005E6B7C">
        <w:rPr>
          <w:rFonts w:asciiTheme="majorHAnsi" w:eastAsia="Yu Mincho" w:hAnsiTheme="majorHAnsi" w:cstheme="majorHAnsi"/>
          <w:i/>
          <w:noProof/>
          <w:color w:val="000000" w:themeColor="text1"/>
          <w:sz w:val="18"/>
          <w:szCs w:val="18"/>
          <w:lang w:eastAsia="ja-JP"/>
        </w:rPr>
        <w:t>Pertanika Journal of Tropical Agricultural Science</w:t>
      </w:r>
      <w:r w:rsidRPr="005E6B7C">
        <w:rPr>
          <w:rFonts w:asciiTheme="majorHAnsi" w:eastAsia="Yu Mincho" w:hAnsiTheme="majorHAnsi" w:cstheme="majorHAnsi"/>
          <w:noProof/>
          <w:color w:val="000000" w:themeColor="text1"/>
          <w:sz w:val="18"/>
          <w:szCs w:val="18"/>
          <w:lang w:eastAsia="ja-JP"/>
        </w:rPr>
        <w:t>, 47(2), 461-479.</w:t>
      </w:r>
    </w:p>
    <w:p w14:paraId="272DD61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Wimalasiri D. (2024), </w:t>
      </w:r>
      <w:r w:rsidRPr="005E6B7C">
        <w:rPr>
          <w:rFonts w:asciiTheme="majorHAnsi" w:eastAsia="Yu Mincho" w:hAnsiTheme="majorHAnsi" w:cstheme="majorHAnsi"/>
          <w:i/>
          <w:noProof/>
          <w:color w:val="000000" w:themeColor="text1"/>
          <w:sz w:val="18"/>
          <w:szCs w:val="18"/>
          <w:lang w:eastAsia="ja-JP"/>
        </w:rPr>
        <w:t>Genetic diversity, nutritional and biological activity of Momordica cochinchinensis (</w:t>
      </w:r>
      <w:r w:rsidRPr="005E6B7C">
        <w:rPr>
          <w:rFonts w:asciiTheme="majorHAnsi" w:eastAsia="Yu Mincho" w:hAnsiTheme="majorHAnsi" w:cstheme="majorHAnsi"/>
          <w:noProof/>
          <w:color w:val="000000" w:themeColor="text1"/>
          <w:sz w:val="18"/>
          <w:szCs w:val="18"/>
          <w:lang w:eastAsia="ja-JP"/>
        </w:rPr>
        <w:t>Cucurbitaceae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Doctoral dissertation - RMIT University.</w:t>
      </w:r>
    </w:p>
    <w:p w14:paraId="247A74A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Chuyen H. V., Nguyen M. H., Roach P. D., Golding J. B., Parks S. E. (2015), Gac fruit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Spreng.): a rich source of bioactive compounds and its potential health benefits, </w:t>
      </w:r>
      <w:r w:rsidRPr="005E6B7C">
        <w:rPr>
          <w:rFonts w:asciiTheme="majorHAnsi" w:eastAsia="Yu Mincho" w:hAnsiTheme="majorHAnsi" w:cstheme="majorHAnsi"/>
          <w:i/>
          <w:noProof/>
          <w:color w:val="000000" w:themeColor="text1"/>
          <w:sz w:val="18"/>
          <w:szCs w:val="18"/>
          <w:lang w:eastAsia="ja-JP"/>
        </w:rPr>
        <w:t>International Journal of Food Science and Technology</w:t>
      </w:r>
      <w:r w:rsidRPr="005E6B7C">
        <w:rPr>
          <w:rFonts w:asciiTheme="majorHAnsi" w:eastAsia="Yu Mincho" w:hAnsiTheme="majorHAnsi" w:cstheme="majorHAnsi"/>
          <w:noProof/>
          <w:color w:val="000000" w:themeColor="text1"/>
          <w:sz w:val="18"/>
          <w:szCs w:val="18"/>
          <w:lang w:eastAsia="ja-JP"/>
        </w:rPr>
        <w:t>, 50(3), 567-577.</w:t>
      </w:r>
    </w:p>
    <w:p w14:paraId="08D973F9" w14:textId="32F08D15"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Phan H. T., Waché Y. (2019), Behind the myth of the fruit of heaven, a critical review on </w:t>
      </w:r>
      <w:r w:rsidR="00C22C51" w:rsidRPr="005E6B7C">
        <w:rPr>
          <w:rFonts w:asciiTheme="majorHAnsi" w:eastAsia="Yu Mincho" w:hAnsiTheme="majorHAnsi" w:cstheme="majorHAnsi"/>
          <w:noProof/>
          <w:color w:val="000000" w:themeColor="text1"/>
          <w:sz w:val="18"/>
          <w:szCs w:val="18"/>
          <w:lang w:eastAsia="ja-JP"/>
        </w:rPr>
        <w:t>G</w:t>
      </w:r>
      <w:r w:rsidRPr="005E6B7C">
        <w:rPr>
          <w:rFonts w:asciiTheme="majorHAnsi" w:eastAsia="Yu Mincho" w:hAnsiTheme="majorHAnsi" w:cstheme="majorHAnsi"/>
          <w:noProof/>
          <w:color w:val="000000" w:themeColor="text1"/>
          <w:sz w:val="18"/>
          <w:szCs w:val="18"/>
          <w:lang w:eastAsia="ja-JP"/>
        </w:rPr>
        <w:t>ac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Spreng) contribution to nutrition, </w:t>
      </w:r>
      <w:r w:rsidRPr="005E6B7C">
        <w:rPr>
          <w:rFonts w:asciiTheme="majorHAnsi" w:eastAsia="Yu Mincho" w:hAnsiTheme="majorHAnsi" w:cstheme="majorHAnsi"/>
          <w:i/>
          <w:noProof/>
          <w:color w:val="000000" w:themeColor="text1"/>
          <w:sz w:val="18"/>
          <w:szCs w:val="18"/>
          <w:lang w:eastAsia="ja-JP"/>
        </w:rPr>
        <w:t>Current Medicinal Chemistry</w:t>
      </w:r>
      <w:r w:rsidRPr="005E6B7C">
        <w:rPr>
          <w:rFonts w:asciiTheme="majorHAnsi" w:eastAsia="Yu Mincho" w:hAnsiTheme="majorHAnsi" w:cstheme="majorHAnsi"/>
          <w:noProof/>
          <w:color w:val="000000" w:themeColor="text1"/>
          <w:sz w:val="18"/>
          <w:szCs w:val="18"/>
          <w:lang w:eastAsia="ja-JP"/>
        </w:rPr>
        <w:t>, 26(24), 4585-4605.</w:t>
      </w:r>
    </w:p>
    <w:p w14:paraId="1942DA5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Abdulqader A., Ali F., Ismail A., Esa N. M. (2019), Antioxidant compounds and capacities of Gac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Spreng) fruits, </w:t>
      </w:r>
      <w:r w:rsidRPr="005E6B7C">
        <w:rPr>
          <w:rFonts w:asciiTheme="majorHAnsi" w:eastAsia="Yu Mincho" w:hAnsiTheme="majorHAnsi" w:cstheme="majorHAnsi"/>
          <w:i/>
          <w:noProof/>
          <w:color w:val="000000" w:themeColor="text1"/>
          <w:sz w:val="18"/>
          <w:szCs w:val="18"/>
          <w:lang w:eastAsia="ja-JP"/>
        </w:rPr>
        <w:t>Asian Pacific Journal of Tropical Biomedicine</w:t>
      </w:r>
      <w:r w:rsidRPr="005E6B7C">
        <w:rPr>
          <w:rFonts w:asciiTheme="majorHAnsi" w:eastAsia="Yu Mincho" w:hAnsiTheme="majorHAnsi" w:cstheme="majorHAnsi"/>
          <w:noProof/>
          <w:color w:val="000000" w:themeColor="text1"/>
          <w:sz w:val="18"/>
          <w:szCs w:val="18"/>
          <w:lang w:eastAsia="ja-JP"/>
        </w:rPr>
        <w:t>, 9(4), 158-167.</w:t>
      </w:r>
    </w:p>
    <w:p w14:paraId="34C029D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Wimalasiri D., Dekiwadia C., Fong S. Y., Piva T. J., Huynh T. (2020), Anticancer activity of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(red Gac) aril and the impact of varietal diversity, </w:t>
      </w:r>
      <w:r w:rsidRPr="005E6B7C">
        <w:rPr>
          <w:rFonts w:asciiTheme="majorHAnsi" w:eastAsia="Yu Mincho" w:hAnsiTheme="majorHAnsi" w:cstheme="majorHAnsi"/>
          <w:i/>
          <w:noProof/>
          <w:color w:val="000000" w:themeColor="text1"/>
          <w:sz w:val="18"/>
          <w:szCs w:val="18"/>
          <w:lang w:eastAsia="ja-JP"/>
        </w:rPr>
        <w:t>BMC Complementary Medicine and Therapies</w:t>
      </w:r>
      <w:r w:rsidRPr="005E6B7C">
        <w:rPr>
          <w:rFonts w:asciiTheme="majorHAnsi" w:eastAsia="Yu Mincho" w:hAnsiTheme="majorHAnsi" w:cstheme="majorHAnsi"/>
          <w:noProof/>
          <w:color w:val="000000" w:themeColor="text1"/>
          <w:sz w:val="18"/>
          <w:szCs w:val="18"/>
          <w:lang w:eastAsia="ja-JP"/>
        </w:rPr>
        <w:t>, 20(1), 365.</w:t>
      </w:r>
    </w:p>
    <w:p w14:paraId="4B128B01"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Huang H. C., Chen C. J., Lai Y. H., Lin Y. C., Chiou W. C., Lu H. F., Chen Y. F., Chen Y. H., Huang C. (2021), </w:t>
      </w:r>
      <w:r w:rsidRPr="005E6B7C">
        <w:rPr>
          <w:rFonts w:asciiTheme="majorHAnsi" w:eastAsia="Yu Mincho" w:hAnsiTheme="majorHAnsi" w:cstheme="majorHAnsi"/>
          <w:i/>
          <w:noProof/>
          <w:color w:val="000000" w:themeColor="text1"/>
          <w:sz w:val="18"/>
          <w:szCs w:val="18"/>
          <w:lang w:eastAsia="ja-JP"/>
        </w:rPr>
        <w:t>Momordica cochinchinensis</w:t>
      </w:r>
      <w:r w:rsidRPr="005E6B7C">
        <w:rPr>
          <w:rFonts w:asciiTheme="majorHAnsi" w:eastAsia="Yu Mincho" w:hAnsiTheme="majorHAnsi" w:cstheme="majorHAnsi"/>
          <w:noProof/>
          <w:color w:val="000000" w:themeColor="text1"/>
          <w:sz w:val="18"/>
          <w:szCs w:val="18"/>
          <w:lang w:eastAsia="ja-JP"/>
        </w:rPr>
        <w:t xml:space="preserve"> aril ameliorates diet-induced metabolic dysfunction and non-alcoholic fatty liver by modulating gut microbiota", </w:t>
      </w:r>
      <w:r w:rsidRPr="005E6B7C">
        <w:rPr>
          <w:rFonts w:asciiTheme="majorHAnsi" w:eastAsia="Yu Mincho" w:hAnsiTheme="majorHAnsi" w:cstheme="majorHAnsi"/>
          <w:i/>
          <w:noProof/>
          <w:color w:val="000000" w:themeColor="text1"/>
          <w:sz w:val="18"/>
          <w:szCs w:val="18"/>
          <w:lang w:eastAsia="ja-JP"/>
        </w:rPr>
        <w:t>International Journal of Molecular Sciences</w:t>
      </w:r>
      <w:r w:rsidRPr="005E6B7C">
        <w:rPr>
          <w:rFonts w:asciiTheme="majorHAnsi" w:eastAsia="Yu Mincho" w:hAnsiTheme="majorHAnsi" w:cstheme="majorHAnsi"/>
          <w:noProof/>
          <w:color w:val="000000" w:themeColor="text1"/>
          <w:sz w:val="18"/>
          <w:szCs w:val="18"/>
          <w:lang w:eastAsia="ja-JP"/>
        </w:rPr>
        <w:t>, 22(5), 2640.</w:t>
      </w:r>
    </w:p>
    <w:p w14:paraId="216B740A"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Kha T. C., Nguyen M. H., Roach P. D., Parks S. E., Stathopoulos C. (2013), Gac fruit: nutrient and phytochemical composition, and options for processing, </w:t>
      </w:r>
      <w:r w:rsidRPr="005E6B7C">
        <w:rPr>
          <w:rFonts w:asciiTheme="majorHAnsi" w:eastAsia="Yu Mincho" w:hAnsiTheme="majorHAnsi" w:cstheme="majorHAnsi"/>
          <w:i/>
          <w:noProof/>
          <w:color w:val="000000" w:themeColor="text1"/>
          <w:sz w:val="18"/>
          <w:szCs w:val="18"/>
          <w:lang w:eastAsia="ja-JP"/>
        </w:rPr>
        <w:t>Food Reviews International</w:t>
      </w:r>
      <w:r w:rsidRPr="005E6B7C">
        <w:rPr>
          <w:rFonts w:asciiTheme="majorHAnsi" w:eastAsia="Yu Mincho" w:hAnsiTheme="majorHAnsi" w:cstheme="majorHAnsi"/>
          <w:noProof/>
          <w:color w:val="000000" w:themeColor="text1"/>
          <w:sz w:val="18"/>
          <w:szCs w:val="18"/>
          <w:lang w:eastAsia="ja-JP"/>
        </w:rPr>
        <w:t>, 29(1), 92-106.</w:t>
      </w:r>
    </w:p>
    <w:p w14:paraId="324F72D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lastRenderedPageBreak/>
        <w:t>9.</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Hien P. T., Hoa N. T. L., Thao T. T., Hang L. T. T., Thuong H. H., Khuyen P. T., Ly N. T. H. L. (2025), Developing HPLC-DAD methods for simultaneously determining content of lycopene and </w:t>
      </w:r>
      <w:r w:rsidRPr="005E6B7C">
        <w:rPr>
          <w:rFonts w:asciiTheme="majorHAnsi" w:eastAsia="Yu Mincho" w:hAnsiTheme="majorHAnsi" w:cstheme="majorHAnsi"/>
          <w:i/>
          <w:iCs/>
          <w:noProof/>
          <w:color w:val="000000" w:themeColor="text1"/>
          <w:sz w:val="18"/>
          <w:szCs w:val="18"/>
          <w:lang w:eastAsia="ja-JP"/>
        </w:rPr>
        <w:t>β</w:t>
      </w:r>
      <w:r w:rsidRPr="005E6B7C">
        <w:rPr>
          <w:rFonts w:asciiTheme="majorHAnsi" w:eastAsia="Yu Mincho" w:hAnsiTheme="majorHAnsi" w:cstheme="majorHAnsi"/>
          <w:noProof/>
          <w:color w:val="000000" w:themeColor="text1"/>
          <w:sz w:val="18"/>
          <w:szCs w:val="18"/>
          <w:lang w:eastAsia="ja-JP"/>
        </w:rPr>
        <w:t xml:space="preserve">-carotene in Gac seed aril using external standards and QAMS, </w:t>
      </w:r>
      <w:r w:rsidRPr="005E6B7C">
        <w:rPr>
          <w:rFonts w:asciiTheme="majorHAnsi" w:eastAsia="Yu Mincho" w:hAnsiTheme="majorHAnsi" w:cstheme="majorHAnsi"/>
          <w:i/>
          <w:iCs/>
          <w:noProof/>
          <w:color w:val="000000" w:themeColor="text1"/>
          <w:sz w:val="18"/>
          <w:szCs w:val="18"/>
          <w:lang w:eastAsia="ja-JP"/>
        </w:rPr>
        <w:t>Journal of Medicinal Materials</w:t>
      </w:r>
      <w:r w:rsidRPr="005E6B7C">
        <w:rPr>
          <w:rFonts w:asciiTheme="majorHAnsi" w:eastAsia="Yu Mincho" w:hAnsiTheme="majorHAnsi" w:cstheme="majorHAnsi"/>
          <w:noProof/>
          <w:color w:val="000000" w:themeColor="text1"/>
          <w:sz w:val="18"/>
          <w:szCs w:val="18"/>
          <w:lang w:eastAsia="ja-JP"/>
        </w:rPr>
        <w:t>, 30(3), 192-199.</w:t>
      </w:r>
    </w:p>
    <w:p w14:paraId="2CF52EFF"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ab/>
        <w:t xml:space="preserve">Nguyen Nghia Thin (2007), </w:t>
      </w:r>
      <w:r w:rsidRPr="005E6B7C">
        <w:rPr>
          <w:rFonts w:asciiTheme="majorHAnsi" w:eastAsia="Yu Mincho" w:hAnsiTheme="majorHAnsi" w:cstheme="majorHAnsi"/>
          <w:noProof/>
          <w:color w:val="000000" w:themeColor="text1"/>
          <w:sz w:val="18"/>
          <w:szCs w:val="18"/>
          <w:lang w:val="en" w:eastAsia="ja-JP"/>
        </w:rPr>
        <w:t>Plant research methods,</w:t>
      </w:r>
      <w:r w:rsidRPr="005E6B7C">
        <w:rPr>
          <w:rFonts w:asciiTheme="majorHAnsi" w:eastAsia="Yu Mincho" w:hAnsiTheme="majorHAnsi" w:cstheme="majorHAnsi"/>
          <w:i/>
          <w:noProof/>
          <w:color w:val="000000" w:themeColor="text1"/>
          <w:sz w:val="18"/>
          <w:szCs w:val="18"/>
          <w:lang w:val="en" w:eastAsia="ja-JP"/>
        </w:rPr>
        <w:t xml:space="preserve"> Hanoi National University Publishing House</w:t>
      </w:r>
      <w:r w:rsidRPr="005E6B7C">
        <w:rPr>
          <w:rFonts w:asciiTheme="majorHAnsi" w:eastAsia="Yu Mincho" w:hAnsiTheme="majorHAnsi" w:cstheme="majorHAnsi"/>
          <w:noProof/>
          <w:color w:val="000000" w:themeColor="text1"/>
          <w:sz w:val="18"/>
          <w:szCs w:val="18"/>
          <w:lang w:eastAsia="ja-JP"/>
        </w:rPr>
        <w:t>, 165.</w:t>
      </w:r>
    </w:p>
    <w:p w14:paraId="5518A967"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Guideline ICH (2023), </w:t>
      </w:r>
      <w:r w:rsidRPr="005E6B7C">
        <w:rPr>
          <w:rFonts w:asciiTheme="majorHAnsi" w:eastAsia="Yu Mincho" w:hAnsiTheme="majorHAnsi" w:cstheme="majorHAnsi"/>
          <w:i/>
          <w:iCs/>
          <w:noProof/>
          <w:color w:val="000000" w:themeColor="text1"/>
          <w:sz w:val="18"/>
          <w:szCs w:val="18"/>
          <w:lang w:eastAsia="ja-JP"/>
        </w:rPr>
        <w:t>Validation of analytical procedures: text and methodology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Q2 (R1)</w:t>
      </w:r>
      <w:r w:rsidRPr="005E6B7C">
        <w:rPr>
          <w:rFonts w:asciiTheme="majorHAnsi" w:eastAsia="Yu Mincho" w:hAnsiTheme="majorHAnsi" w:cstheme="majorHAnsi"/>
          <w:noProof/>
          <w:color w:val="000000" w:themeColor="text1"/>
          <w:sz w:val="18"/>
          <w:szCs w:val="18"/>
          <w:lang w:eastAsia="ja-JP"/>
        </w:rPr>
        <w:t>, 1(20), 05.</w:t>
      </w:r>
    </w:p>
    <w:p w14:paraId="2E27BA2C" w14:textId="77777777" w:rsidR="00E049CB" w:rsidRPr="005E6B7C" w:rsidRDefault="00E049CB" w:rsidP="008C0D47">
      <w:pPr>
        <w:tabs>
          <w:tab w:val="left" w:pos="270"/>
          <w:tab w:val="left" w:pos="360"/>
          <w:tab w:val="left" w:pos="54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ab/>
        <w:t xml:space="preserve">AOAC International (2019), </w:t>
      </w:r>
      <w:r w:rsidRPr="005E6B7C">
        <w:rPr>
          <w:rFonts w:asciiTheme="majorHAnsi" w:eastAsia="Yu Mincho" w:hAnsiTheme="majorHAnsi" w:cstheme="majorHAnsi"/>
          <w:i/>
          <w:iCs/>
          <w:noProof/>
          <w:color w:val="000000" w:themeColor="text1"/>
          <w:sz w:val="18"/>
          <w:szCs w:val="18"/>
          <w:lang w:eastAsia="ja-JP"/>
        </w:rPr>
        <w:t>Appendix K: Guidelines for Dietary Supplements and Botanicals.</w:t>
      </w:r>
      <w:r w:rsidRPr="005E6B7C">
        <w:rPr>
          <w:rFonts w:asciiTheme="majorHAnsi" w:eastAsia="Yu Mincho" w:hAnsiTheme="majorHAnsi" w:cstheme="majorHAnsi"/>
          <w:noProof/>
          <w:color w:val="000000" w:themeColor="text1"/>
          <w:sz w:val="18"/>
          <w:szCs w:val="18"/>
          <w:lang w:eastAsia="ja-JP"/>
        </w:rPr>
        <w:t xml:space="preserve">  </w:t>
      </w:r>
    </w:p>
    <w:bookmarkEnd w:id="44"/>
    <w:p w14:paraId="451DF716" w14:textId="77777777" w:rsidR="00EC45B5" w:rsidRPr="005E6B7C" w:rsidRDefault="00E049CB"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color w:val="000000" w:themeColor="text1"/>
          <w:sz w:val="18"/>
          <w:szCs w:val="18"/>
          <w:lang w:eastAsia="ja-JP"/>
        </w:rPr>
        <w:fldChar w:fldCharType="end"/>
      </w:r>
      <w:bookmarkEnd w:id="43"/>
      <w:r w:rsidRPr="005E6B7C">
        <w:rPr>
          <w:rFonts w:asciiTheme="majorHAnsi" w:eastAsia="Yu Mincho" w:hAnsiTheme="majorHAnsi" w:cstheme="majorHAnsi"/>
          <w:b/>
          <w:color w:val="000000" w:themeColor="text1"/>
          <w:sz w:val="22"/>
          <w:szCs w:val="22"/>
          <w:lang w:eastAsia="ja-JP"/>
        </w:rPr>
        <w:t xml:space="preserve"> </w:t>
      </w:r>
    </w:p>
    <w:p w14:paraId="299CDD50"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t>Journal of Medicinal Materials, 2026, Vol. 31, No. 1+2 (pp.</w:t>
      </w:r>
      <w:r w:rsidR="00243D58" w:rsidRPr="005E6B7C">
        <w:rPr>
          <w:rFonts w:asciiTheme="majorHAnsi" w:eastAsia="Yu Mincho" w:hAnsiTheme="majorHAnsi" w:cstheme="majorHAnsi"/>
          <w:b/>
          <w:bCs/>
          <w:i/>
          <w:color w:val="000000" w:themeColor="text1"/>
          <w:sz w:val="26"/>
          <w:szCs w:val="26"/>
          <w:lang w:eastAsia="ja-JP"/>
        </w:rPr>
        <w:t xml:space="preserve"> 96 - 104</w:t>
      </w:r>
      <w:r w:rsidRPr="005E6B7C">
        <w:rPr>
          <w:rFonts w:asciiTheme="majorHAnsi" w:eastAsia="Yu Mincho" w:hAnsiTheme="majorHAnsi" w:cstheme="majorHAnsi"/>
          <w:b/>
          <w:bCs/>
          <w:i/>
          <w:color w:val="000000" w:themeColor="text1"/>
          <w:sz w:val="26"/>
          <w:szCs w:val="26"/>
          <w:lang w:eastAsia="ja-JP"/>
        </w:rPr>
        <w:t>)</w:t>
      </w:r>
    </w:p>
    <w:p w14:paraId="01E30322" w14:textId="77777777" w:rsidR="00367819" w:rsidRPr="005E6B7C" w:rsidRDefault="00367819" w:rsidP="008C0D47">
      <w:pPr>
        <w:tabs>
          <w:tab w:val="left" w:pos="270"/>
          <w:tab w:val="left" w:pos="9270"/>
        </w:tabs>
        <w:ind w:right="-20"/>
        <w:jc w:val="both"/>
        <w:rPr>
          <w:rFonts w:asciiTheme="majorHAnsi" w:eastAsia="Yu Mincho" w:hAnsiTheme="majorHAnsi" w:cstheme="majorHAnsi"/>
          <w:b/>
          <w:color w:val="000000" w:themeColor="text1"/>
          <w:sz w:val="22"/>
          <w:szCs w:val="22"/>
          <w:lang w:eastAsia="ja-JP"/>
        </w:rPr>
      </w:pPr>
    </w:p>
    <w:p w14:paraId="7CFBE43F" w14:textId="77777777" w:rsidR="00E049CB" w:rsidRPr="005E6B7C" w:rsidRDefault="00E049CB" w:rsidP="008C0D47">
      <w:pPr>
        <w:tabs>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OPTIMIZATION OF THE EXTRACTION PROCESS FROM YELLOW CAMELLIA FLOWERS (</w:t>
      </w:r>
      <w:r w:rsidRPr="005E6B7C">
        <w:rPr>
          <w:rFonts w:asciiTheme="majorHAnsi" w:eastAsia="Yu Mincho" w:hAnsiTheme="majorHAnsi" w:cstheme="majorHAnsi"/>
          <w:b/>
          <w:bCs/>
          <w:i/>
          <w:iCs/>
          <w:color w:val="000000" w:themeColor="text1"/>
          <w:sz w:val="26"/>
          <w:szCs w:val="26"/>
          <w:lang w:eastAsia="ja-JP"/>
        </w:rPr>
        <w:t>CAMELLIA CUCPHUONGENSIS</w:t>
      </w:r>
      <w:r w:rsidRPr="005E6B7C">
        <w:rPr>
          <w:rFonts w:asciiTheme="majorHAnsi" w:eastAsia="Yu Mincho" w:hAnsiTheme="majorHAnsi" w:cstheme="majorHAnsi"/>
          <w:b/>
          <w:bCs/>
          <w:color w:val="000000" w:themeColor="text1"/>
          <w:sz w:val="26"/>
          <w:szCs w:val="26"/>
          <w:lang w:eastAsia="ja-JP"/>
        </w:rPr>
        <w:t xml:space="preserve"> NINH &amp; ROSMANN) COLLECTED IN PHU THO PROVINCE</w:t>
      </w:r>
      <w:r w:rsidRPr="005E6B7C">
        <w:rPr>
          <w:rFonts w:asciiTheme="majorHAnsi" w:eastAsia="Yu Mincho" w:hAnsiTheme="majorHAnsi" w:cstheme="majorHAnsi"/>
          <w:color w:val="000000" w:themeColor="text1"/>
          <w:sz w:val="26"/>
          <w:szCs w:val="26"/>
          <w:lang w:eastAsia="ja-JP"/>
        </w:rPr>
        <w:t xml:space="preserve"> </w:t>
      </w:r>
      <w:r w:rsidRPr="005E6B7C">
        <w:rPr>
          <w:rFonts w:asciiTheme="majorHAnsi" w:eastAsia="Yu Mincho" w:hAnsiTheme="majorHAnsi" w:cstheme="majorHAnsi"/>
          <w:b/>
          <w:bCs/>
          <w:color w:val="000000" w:themeColor="text1"/>
          <w:sz w:val="26"/>
          <w:szCs w:val="26"/>
          <w:lang w:eastAsia="ja-JP"/>
        </w:rPr>
        <w:t>USING RESPONSE SURFACE METHODOLOGY</w:t>
      </w:r>
    </w:p>
    <w:p w14:paraId="66704E3B" w14:textId="77777777" w:rsidR="00E049CB" w:rsidRPr="005E6B7C" w:rsidRDefault="00E049CB" w:rsidP="008C0D47">
      <w:pPr>
        <w:tabs>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Nguyen Hoang Viet</w:t>
      </w:r>
      <w:r w:rsidR="005D308C"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Nguyen Dinh </w:t>
      </w:r>
      <w:r w:rsidR="005D308C" w:rsidRPr="005E6B7C">
        <w:rPr>
          <w:rFonts w:asciiTheme="majorHAnsi" w:eastAsia="Yu Mincho" w:hAnsiTheme="majorHAnsi" w:cstheme="majorHAnsi"/>
          <w:b/>
          <w:i/>
          <w:iCs/>
          <w:color w:val="000000" w:themeColor="text1"/>
          <w:sz w:val="22"/>
          <w:szCs w:val="22"/>
          <w:lang w:eastAsia="ja-JP"/>
        </w:rPr>
        <w:t>Quan</w:t>
      </w:r>
      <w:r w:rsidR="005D308C"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Do Duc </w:t>
      </w:r>
      <w:r w:rsidR="005D308C" w:rsidRPr="005E6B7C">
        <w:rPr>
          <w:rFonts w:asciiTheme="majorHAnsi" w:eastAsia="Yu Mincho" w:hAnsiTheme="majorHAnsi" w:cstheme="majorHAnsi"/>
          <w:b/>
          <w:i/>
          <w:iCs/>
          <w:color w:val="000000" w:themeColor="text1"/>
          <w:sz w:val="22"/>
          <w:szCs w:val="22"/>
          <w:lang w:eastAsia="ja-JP"/>
        </w:rPr>
        <w:t>Nhuan</w:t>
      </w:r>
      <w:r w:rsidR="005D308C" w:rsidRPr="005E6B7C">
        <w:rPr>
          <w:rFonts w:asciiTheme="majorHAnsi" w:eastAsia="Yu Mincho" w:hAnsiTheme="majorHAnsi" w:cstheme="majorHAnsi"/>
          <w:b/>
          <w:i/>
          <w:iCs/>
          <w:color w:val="000000" w:themeColor="text1"/>
          <w:sz w:val="22"/>
          <w:szCs w:val="22"/>
          <w:vertAlign w:val="superscript"/>
          <w:lang w:eastAsia="ja-JP"/>
        </w:rPr>
        <w:t>2</w:t>
      </w:r>
      <w:r w:rsidRPr="005E6B7C">
        <w:rPr>
          <w:rFonts w:asciiTheme="majorHAnsi" w:eastAsia="Yu Mincho" w:hAnsiTheme="majorHAnsi" w:cstheme="majorHAnsi"/>
          <w:b/>
          <w:i/>
          <w:iCs/>
          <w:color w:val="000000" w:themeColor="text1"/>
          <w:sz w:val="22"/>
          <w:szCs w:val="22"/>
          <w:lang w:eastAsia="ja-JP"/>
        </w:rPr>
        <w:t xml:space="preserve">, Nguyen Duong Hong </w:t>
      </w:r>
      <w:r w:rsidR="005D308C" w:rsidRPr="005E6B7C">
        <w:rPr>
          <w:rFonts w:asciiTheme="majorHAnsi" w:eastAsia="Yu Mincho" w:hAnsiTheme="majorHAnsi" w:cstheme="majorHAnsi"/>
          <w:b/>
          <w:i/>
          <w:iCs/>
          <w:color w:val="000000" w:themeColor="text1"/>
          <w:sz w:val="22"/>
          <w:szCs w:val="22"/>
          <w:lang w:eastAsia="ja-JP"/>
        </w:rPr>
        <w:t>Anh</w:t>
      </w:r>
      <w:r w:rsidR="005D308C"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w:t>
      </w:r>
    </w:p>
    <w:p w14:paraId="7D761C40" w14:textId="77777777" w:rsidR="00E049CB" w:rsidRPr="005E6B7C" w:rsidRDefault="00E049CB" w:rsidP="008C0D47">
      <w:pPr>
        <w:tabs>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 xml:space="preserve">Tran Thi Mai </w:t>
      </w:r>
      <w:r w:rsidR="0087467D" w:rsidRPr="005E6B7C">
        <w:rPr>
          <w:rFonts w:asciiTheme="majorHAnsi" w:eastAsia="Yu Mincho" w:hAnsiTheme="majorHAnsi" w:cstheme="majorHAnsi"/>
          <w:b/>
          <w:i/>
          <w:iCs/>
          <w:color w:val="000000" w:themeColor="text1"/>
          <w:sz w:val="22"/>
          <w:szCs w:val="22"/>
          <w:lang w:eastAsia="ja-JP"/>
        </w:rPr>
        <w:t>Anh</w:t>
      </w:r>
      <w:r w:rsidR="0087467D"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Doan Van </w:t>
      </w:r>
      <w:r w:rsidR="0087467D" w:rsidRPr="005E6B7C">
        <w:rPr>
          <w:rFonts w:asciiTheme="majorHAnsi" w:eastAsia="Yu Mincho" w:hAnsiTheme="majorHAnsi" w:cstheme="majorHAnsi"/>
          <w:b/>
          <w:i/>
          <w:iCs/>
          <w:color w:val="000000" w:themeColor="text1"/>
          <w:sz w:val="22"/>
          <w:szCs w:val="22"/>
          <w:lang w:eastAsia="ja-JP"/>
        </w:rPr>
        <w:t>Nghia</w:t>
      </w:r>
      <w:r w:rsidR="0087467D"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Vu Xuan </w:t>
      </w:r>
      <w:r w:rsidR="0087467D" w:rsidRPr="005E6B7C">
        <w:rPr>
          <w:rFonts w:asciiTheme="majorHAnsi" w:eastAsia="Yu Mincho" w:hAnsiTheme="majorHAnsi" w:cstheme="majorHAnsi"/>
          <w:b/>
          <w:i/>
          <w:iCs/>
          <w:color w:val="000000" w:themeColor="text1"/>
          <w:sz w:val="22"/>
          <w:szCs w:val="22"/>
          <w:lang w:eastAsia="ja-JP"/>
        </w:rPr>
        <w:t>Hoa</w:t>
      </w:r>
      <w:r w:rsidR="0087467D"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w:t>
      </w:r>
    </w:p>
    <w:p w14:paraId="3726B5E4" w14:textId="77777777" w:rsidR="00E049CB" w:rsidRPr="005E6B7C" w:rsidRDefault="00E049CB" w:rsidP="008C0D47">
      <w:pPr>
        <w:tabs>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 xml:space="preserve">Dang Mai Thien </w:t>
      </w:r>
      <w:r w:rsidR="0087467D" w:rsidRPr="005E6B7C">
        <w:rPr>
          <w:rFonts w:asciiTheme="majorHAnsi" w:eastAsia="Yu Mincho" w:hAnsiTheme="majorHAnsi" w:cstheme="majorHAnsi"/>
          <w:b/>
          <w:i/>
          <w:iCs/>
          <w:color w:val="000000" w:themeColor="text1"/>
          <w:sz w:val="22"/>
          <w:szCs w:val="22"/>
          <w:lang w:eastAsia="ja-JP"/>
        </w:rPr>
        <w:t>Ha</w:t>
      </w:r>
      <w:r w:rsidR="0087467D"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 xml:space="preserve">, Nguyen Thanh </w:t>
      </w:r>
      <w:r w:rsidR="0087467D" w:rsidRPr="005E6B7C">
        <w:rPr>
          <w:rFonts w:asciiTheme="majorHAnsi" w:eastAsia="Yu Mincho" w:hAnsiTheme="majorHAnsi" w:cstheme="majorHAnsi"/>
          <w:b/>
          <w:i/>
          <w:iCs/>
          <w:color w:val="000000" w:themeColor="text1"/>
          <w:sz w:val="22"/>
          <w:szCs w:val="22"/>
          <w:lang w:eastAsia="ja-JP"/>
        </w:rPr>
        <w:t>Cong</w:t>
      </w:r>
      <w:r w:rsidR="0087467D"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vertAlign w:val="superscript"/>
          <w:lang w:eastAsia="ja-JP"/>
        </w:rPr>
        <w:t>,</w:t>
      </w:r>
      <w:r w:rsidRPr="005E6B7C">
        <w:rPr>
          <w:rFonts w:asciiTheme="majorHAnsi" w:eastAsia="Yu Mincho" w:hAnsiTheme="majorHAnsi" w:cstheme="majorHAnsi"/>
          <w:b/>
          <w:i/>
          <w:iCs/>
          <w:color w:val="000000" w:themeColor="text1"/>
          <w:sz w:val="22"/>
          <w:szCs w:val="22"/>
          <w:lang w:eastAsia="ja-JP"/>
        </w:rPr>
        <w:t>*</w:t>
      </w:r>
    </w:p>
    <w:p w14:paraId="631CC25E" w14:textId="77777777" w:rsidR="00E049CB" w:rsidRPr="005E6B7C" w:rsidRDefault="0087467D" w:rsidP="008C0D47">
      <w:pPr>
        <w:tabs>
          <w:tab w:val="left" w:pos="9270"/>
        </w:tabs>
        <w:ind w:right="-20"/>
        <w:jc w:val="center"/>
        <w:outlineLvl w:val="2"/>
        <w:rPr>
          <w:rFonts w:asciiTheme="majorHAnsi" w:eastAsia="Times New Roman" w:hAnsiTheme="majorHAnsi" w:cstheme="majorHAnsi"/>
          <w:i/>
          <w:iCs/>
          <w:noProof/>
          <w:color w:val="000000" w:themeColor="text1"/>
          <w:sz w:val="22"/>
          <w:szCs w:val="22"/>
          <w:lang w:eastAsia="ja-JP"/>
        </w:rPr>
      </w:pPr>
      <w:r w:rsidRPr="005E6B7C">
        <w:rPr>
          <w:rFonts w:asciiTheme="majorHAnsi" w:eastAsia="Times New Roman" w:hAnsiTheme="majorHAnsi" w:cstheme="majorHAnsi"/>
          <w:i/>
          <w:iCs/>
          <w:noProof/>
          <w:color w:val="000000" w:themeColor="text1"/>
          <w:sz w:val="22"/>
          <w:szCs w:val="22"/>
          <w:vertAlign w:val="superscript"/>
          <w:lang w:eastAsia="ja-JP"/>
        </w:rPr>
        <w:t>1</w:t>
      </w:r>
      <w:r w:rsidR="00E049CB" w:rsidRPr="005E6B7C">
        <w:rPr>
          <w:rFonts w:asciiTheme="majorHAnsi" w:eastAsia="Times New Roman" w:hAnsiTheme="majorHAnsi" w:cstheme="majorHAnsi"/>
          <w:i/>
          <w:iCs/>
          <w:noProof/>
          <w:color w:val="000000" w:themeColor="text1"/>
          <w:sz w:val="22"/>
          <w:szCs w:val="22"/>
          <w:lang w:eastAsia="ja-JP"/>
        </w:rPr>
        <w:t>Faculty of Pharmacy, Dai Nam University, Hanoi, Vietnam</w:t>
      </w:r>
      <w:r w:rsidRPr="005E6B7C">
        <w:rPr>
          <w:rFonts w:asciiTheme="majorHAnsi" w:eastAsia="Times New Roman" w:hAnsiTheme="majorHAnsi" w:cstheme="majorHAnsi"/>
          <w:i/>
          <w:iCs/>
          <w:noProof/>
          <w:color w:val="000000" w:themeColor="text1"/>
          <w:sz w:val="22"/>
          <w:szCs w:val="22"/>
          <w:lang w:eastAsia="ja-JP"/>
        </w:rPr>
        <w:t>;</w:t>
      </w:r>
    </w:p>
    <w:p w14:paraId="6159887B" w14:textId="1B72E654" w:rsidR="00E049CB" w:rsidRPr="005E6B7C" w:rsidRDefault="0087467D" w:rsidP="008C0D47">
      <w:pPr>
        <w:tabs>
          <w:tab w:val="left" w:pos="9270"/>
        </w:tabs>
        <w:autoSpaceDE w:val="0"/>
        <w:autoSpaceDN w:val="0"/>
        <w:adjustRightInd w:val="0"/>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iCs/>
          <w:color w:val="000000" w:themeColor="text1"/>
          <w:sz w:val="22"/>
          <w:szCs w:val="22"/>
          <w:lang w:eastAsia="ja-JP"/>
        </w:rPr>
        <w:t xml:space="preserve">Biopharm </w:t>
      </w:r>
      <w:r w:rsidR="00E049CB" w:rsidRPr="005E6B7C">
        <w:rPr>
          <w:rFonts w:asciiTheme="majorHAnsi" w:eastAsia="Yu Mincho" w:hAnsiTheme="majorHAnsi" w:cstheme="majorHAnsi"/>
          <w:i/>
          <w:iCs/>
          <w:color w:val="000000" w:themeColor="text1"/>
          <w:sz w:val="22"/>
          <w:szCs w:val="22"/>
          <w:lang w:eastAsia="ja-JP"/>
        </w:rPr>
        <w:t>Hoa Binh JSC, Hoa Binh, Phu Tho</w:t>
      </w:r>
      <w:r w:rsidR="00EC7B01">
        <w:rPr>
          <w:rFonts w:asciiTheme="majorHAnsi" w:eastAsia="Yu Mincho" w:hAnsiTheme="majorHAnsi" w:cstheme="majorHAnsi"/>
          <w:i/>
          <w:iCs/>
          <w:color w:val="000000" w:themeColor="text1"/>
          <w:sz w:val="22"/>
          <w:szCs w:val="22"/>
          <w:lang w:eastAsia="ja-JP"/>
        </w:rPr>
        <w:t>, Vietnam</w:t>
      </w:r>
    </w:p>
    <w:p w14:paraId="42D5CBF2" w14:textId="77777777" w:rsidR="00E049CB" w:rsidRPr="005E6B7C" w:rsidRDefault="00782F38" w:rsidP="008C0D47">
      <w:pPr>
        <w:tabs>
          <w:tab w:val="left" w:pos="9270"/>
        </w:tabs>
        <w:ind w:right="-20"/>
        <w:jc w:val="center"/>
        <w:rPr>
          <w:rFonts w:asciiTheme="majorHAnsi" w:eastAsia="Yu Mincho" w:hAnsiTheme="majorHAnsi" w:cstheme="majorHAnsi"/>
          <w:color w:val="000000" w:themeColor="text1"/>
          <w:sz w:val="22"/>
          <w:szCs w:val="22"/>
          <w:lang w:val="en-GB" w:eastAsia="ja-JP"/>
        </w:rPr>
      </w:pPr>
      <w:r w:rsidRPr="005E6B7C">
        <w:rPr>
          <w:rFonts w:asciiTheme="majorHAnsi" w:eastAsia="Yu Mincho" w:hAnsiTheme="majorHAnsi" w:cstheme="majorHAnsi"/>
          <w:color w:val="000000" w:themeColor="text1"/>
          <w:sz w:val="22"/>
          <w:szCs w:val="22"/>
          <w:lang w:eastAsia="ja-JP"/>
        </w:rPr>
        <w:t xml:space="preserve">*Corresponding author: </w:t>
      </w:r>
      <w:r w:rsidR="0087467D" w:rsidRPr="005E6B7C">
        <w:rPr>
          <w:rFonts w:asciiTheme="majorHAnsi" w:eastAsia="Yu Mincho" w:hAnsiTheme="majorHAnsi" w:cstheme="majorHAnsi"/>
          <w:color w:val="000000" w:themeColor="text1"/>
          <w:sz w:val="22"/>
          <w:szCs w:val="22"/>
          <w:lang w:val="en-GB" w:eastAsia="ja-JP"/>
        </w:rPr>
        <w:t>congnt@dainam.edu.vn</w:t>
      </w:r>
    </w:p>
    <w:p w14:paraId="1EFDE705" w14:textId="77777777" w:rsidR="00AD16CC" w:rsidRPr="005E6B7C" w:rsidRDefault="00AD16CC"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February 25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20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0D947812" w14:textId="77777777" w:rsidR="00E049CB"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13CF086F" w14:textId="77777777" w:rsidR="00E049CB" w:rsidRPr="005E6B7C" w:rsidRDefault="00E049CB" w:rsidP="008C0D47">
      <w:pPr>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This study was conducted to optimize the simultaneous extraction of total polyphenol content (TPC) and total flavonoid content (TFC) from the flowers of the yellow </w:t>
      </w:r>
      <w:r w:rsidRPr="005E6B7C">
        <w:rPr>
          <w:rFonts w:asciiTheme="majorHAnsi" w:eastAsia="Yu Mincho" w:hAnsiTheme="majorHAnsi" w:cstheme="majorHAnsi"/>
          <w:i/>
          <w:color w:val="000000" w:themeColor="text1"/>
          <w:sz w:val="18"/>
          <w:szCs w:val="18"/>
          <w:lang w:eastAsia="ja-JP"/>
        </w:rPr>
        <w:t>Camellia</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Camellia cucphuongensis</w:t>
      </w:r>
      <w:r w:rsidRPr="005E6B7C">
        <w:rPr>
          <w:rFonts w:asciiTheme="majorHAnsi" w:eastAsia="Yu Mincho" w:hAnsiTheme="majorHAnsi" w:cstheme="majorHAnsi"/>
          <w:color w:val="000000" w:themeColor="text1"/>
          <w:sz w:val="18"/>
          <w:szCs w:val="18"/>
          <w:lang w:eastAsia="ja-JP"/>
        </w:rPr>
        <w:t xml:space="preserve"> Ninh &amp; Rosmann) collected in Phu Tho province. A </w:t>
      </w:r>
      <w:bookmarkStart w:id="45" w:name="_Hlk223168198"/>
      <w:r w:rsidRPr="005E6B7C">
        <w:rPr>
          <w:rFonts w:asciiTheme="majorHAnsi" w:eastAsia="Yu Mincho" w:hAnsiTheme="majorHAnsi" w:cstheme="majorHAnsi"/>
          <w:color w:val="000000" w:themeColor="text1"/>
          <w:sz w:val="18"/>
          <w:szCs w:val="18"/>
          <w:lang w:eastAsia="ja-JP"/>
        </w:rPr>
        <w:t xml:space="preserve">Central Composite Design (CCD) </w:t>
      </w:r>
      <w:bookmarkEnd w:id="45"/>
      <w:r w:rsidRPr="005E6B7C">
        <w:rPr>
          <w:rFonts w:asciiTheme="majorHAnsi" w:eastAsia="Yu Mincho" w:hAnsiTheme="majorHAnsi" w:cstheme="majorHAnsi"/>
          <w:color w:val="000000" w:themeColor="text1"/>
          <w:sz w:val="18"/>
          <w:szCs w:val="18"/>
          <w:lang w:eastAsia="ja-JP"/>
        </w:rPr>
        <w:t xml:space="preserve">combined with Response Surface Methodology (RSM) was employed to evaluate the effects of three independent variables: ethanol concentration (EtOH, 30-70%), extraction temperature (40-80°C), and extraction time (2-8 h). The optimal extraction conditions were identified as 58% EtOH, a temperature of 60°C, and an extraction time of 8 hours. Under these optimized parameters, the experimental values for TFC and TPC were 18.09 ± 0.17% and 35.12 ± 0.28%, respectively, which showed high compatibility with the predicted values. This optimized process provides a reliable scientific basis for the standardized production of bioactive-rich extracts from </w:t>
      </w:r>
      <w:r w:rsidRPr="005E6B7C">
        <w:rPr>
          <w:rFonts w:asciiTheme="majorHAnsi" w:eastAsia="Yu Mincho" w:hAnsiTheme="majorHAnsi" w:cstheme="majorHAnsi"/>
          <w:i/>
          <w:iCs/>
          <w:color w:val="000000" w:themeColor="text1"/>
          <w:sz w:val="18"/>
          <w:szCs w:val="18"/>
          <w:lang w:eastAsia="ja-JP"/>
        </w:rPr>
        <w:t>C. cucphuongensis</w:t>
      </w:r>
      <w:r w:rsidRPr="005E6B7C">
        <w:rPr>
          <w:rFonts w:asciiTheme="majorHAnsi" w:eastAsia="Yu Mincho" w:hAnsiTheme="majorHAnsi" w:cstheme="majorHAnsi"/>
          <w:color w:val="000000" w:themeColor="text1"/>
          <w:sz w:val="18"/>
          <w:szCs w:val="18"/>
          <w:lang w:eastAsia="ja-JP"/>
        </w:rPr>
        <w:t>. These findings highlight the potential of this endemic species as a high-value raw material for the development of antioxidant-based pharmaceuticals and functional foods in the field of natural products chemistry.</w:t>
      </w:r>
    </w:p>
    <w:p w14:paraId="08833F27" w14:textId="1C5F7DB6" w:rsidR="00E049CB" w:rsidRPr="005E6B7C" w:rsidRDefault="00E049CB" w:rsidP="008C0D47">
      <w:pPr>
        <w:tabs>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Camellia cucphuongensis</w:t>
      </w:r>
      <w:r w:rsidR="0087467D"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0087467D" w:rsidRPr="005E6B7C">
        <w:rPr>
          <w:rFonts w:asciiTheme="majorHAnsi" w:eastAsia="Yu Mincho" w:hAnsiTheme="majorHAnsi" w:cstheme="majorHAnsi"/>
          <w:i/>
          <w:iCs/>
          <w:color w:val="000000" w:themeColor="text1"/>
          <w:sz w:val="18"/>
          <w:szCs w:val="18"/>
          <w:lang w:eastAsia="ja-JP"/>
        </w:rPr>
        <w:t>O</w:t>
      </w:r>
      <w:r w:rsidRPr="005E6B7C">
        <w:rPr>
          <w:rFonts w:asciiTheme="majorHAnsi" w:eastAsia="Yu Mincho" w:hAnsiTheme="majorHAnsi" w:cstheme="majorHAnsi"/>
          <w:i/>
          <w:iCs/>
          <w:color w:val="000000" w:themeColor="text1"/>
          <w:sz w:val="18"/>
          <w:szCs w:val="18"/>
          <w:lang w:eastAsia="ja-JP"/>
        </w:rPr>
        <w:t>ptimization</w:t>
      </w:r>
      <w:r w:rsidR="0087467D"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CCD</w:t>
      </w:r>
      <w:r w:rsidR="0087467D"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w:t>
      </w:r>
      <w:r w:rsidR="00460990" w:rsidRPr="005E6B7C">
        <w:rPr>
          <w:rFonts w:asciiTheme="majorHAnsi" w:eastAsia="Yu Mincho" w:hAnsiTheme="majorHAnsi" w:cstheme="majorHAnsi"/>
          <w:i/>
          <w:iCs/>
          <w:color w:val="000000" w:themeColor="text1"/>
          <w:sz w:val="18"/>
          <w:szCs w:val="18"/>
          <w:lang w:eastAsia="ja-JP"/>
        </w:rPr>
        <w:t>P</w:t>
      </w:r>
      <w:r w:rsidRPr="005E6B7C">
        <w:rPr>
          <w:rFonts w:asciiTheme="majorHAnsi" w:eastAsia="Yu Mincho" w:hAnsiTheme="majorHAnsi" w:cstheme="majorHAnsi"/>
          <w:i/>
          <w:iCs/>
          <w:color w:val="000000" w:themeColor="text1"/>
          <w:sz w:val="18"/>
          <w:szCs w:val="18"/>
          <w:lang w:eastAsia="ja-JP"/>
        </w:rPr>
        <w:t>olyphenol</w:t>
      </w:r>
      <w:r w:rsidR="0087467D"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w:t>
      </w:r>
      <w:r w:rsidR="00460990" w:rsidRPr="005E6B7C">
        <w:rPr>
          <w:rFonts w:asciiTheme="majorHAnsi" w:eastAsia="Yu Mincho" w:hAnsiTheme="majorHAnsi" w:cstheme="majorHAnsi"/>
          <w:i/>
          <w:iCs/>
          <w:color w:val="000000" w:themeColor="text1"/>
          <w:sz w:val="18"/>
          <w:szCs w:val="18"/>
          <w:lang w:eastAsia="ja-JP"/>
        </w:rPr>
        <w:t>F</w:t>
      </w:r>
      <w:r w:rsidRPr="005E6B7C">
        <w:rPr>
          <w:rFonts w:asciiTheme="majorHAnsi" w:eastAsia="Yu Mincho" w:hAnsiTheme="majorHAnsi" w:cstheme="majorHAnsi"/>
          <w:i/>
          <w:iCs/>
          <w:color w:val="000000" w:themeColor="text1"/>
          <w:sz w:val="18"/>
          <w:szCs w:val="18"/>
          <w:lang w:eastAsia="ja-JP"/>
        </w:rPr>
        <w:t>lavonoid.</w:t>
      </w:r>
    </w:p>
    <w:p w14:paraId="2E1A70D1" w14:textId="77777777" w:rsidR="0047080C" w:rsidRPr="005E6B7C" w:rsidRDefault="0047080C" w:rsidP="008C0D47">
      <w:pPr>
        <w:tabs>
          <w:tab w:val="left" w:pos="9270"/>
        </w:tabs>
        <w:ind w:right="-20"/>
        <w:jc w:val="both"/>
        <w:rPr>
          <w:rFonts w:asciiTheme="majorHAnsi" w:eastAsia="Yu Mincho" w:hAnsiTheme="majorHAnsi" w:cstheme="majorHAnsi"/>
          <w:b/>
          <w:bCs/>
          <w:color w:val="000000" w:themeColor="text1"/>
          <w:sz w:val="22"/>
          <w:szCs w:val="22"/>
          <w:lang w:eastAsia="ja-JP"/>
        </w:rPr>
      </w:pPr>
    </w:p>
    <w:p w14:paraId="4766DDDD"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505A3C41"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1. </w:t>
      </w:r>
      <w:r w:rsidR="0087467D" w:rsidRPr="005E6B7C">
        <w:rPr>
          <w:rFonts w:asciiTheme="majorHAnsi" w:eastAsia="Yu Mincho" w:hAnsiTheme="majorHAnsi" w:cstheme="majorHAnsi"/>
          <w:b/>
          <w:bCs/>
          <w:color w:val="000000" w:themeColor="text1"/>
          <w:sz w:val="22"/>
          <w:szCs w:val="22"/>
          <w:lang w:eastAsia="ja-JP"/>
        </w:rPr>
        <w:t>Introduction</w:t>
      </w:r>
    </w:p>
    <w:p w14:paraId="30C662B4" w14:textId="77AB8F13"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Yellow Camellias, commonly known as "Kim hoa Trà," refer to species within the genus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L. characterized by yellow flowers in the Theaceae family, primarily distributed in Southern China and Vietnam. Globally, the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genus comprises approximately 300 species, with 97 species found in China, of which 76 are endemic and about 30 produce yellow flowers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&lt;EndNote&gt;&lt;Cite&gt;&lt;Author&gt;Trinh&lt;/Author&gt;&lt;Year&gt;2022&lt;/Year&gt;&lt;RecNum&gt;2&lt;/RecNum&gt;&lt;DisplayText&gt;[1]&lt;/DisplayText&gt;&lt;record&gt;&lt;rec-number&gt;2&lt;/rec-number&gt;&lt;foreign-keys&gt;&lt;key app="EN" db-id="dv2pess0b9edt5et90npa0fdp9sv9xfp5r5r" timestamp="1771793675"&gt;2&lt;/key&gt;&lt;/foreign-keys&gt;&lt;ref-type name="Journal Article"&gt;17&lt;/ref-type&gt;&lt;contributors&gt;&lt;authors&gt;&lt;author&gt;Trinh, Thi Diep&lt;/author&gt;&lt;/authors&gt;&lt;/contributors&gt;&lt;titles&gt;&lt;title&gt;Yellow camellias: a review of chemical constituents and biological activities&lt;/title&gt;&lt;secondary-title&gt;Dalat University Journal of Science&lt;/secondary-title&gt;&lt;/titles&gt;&lt;periodical&gt;&lt;full-title&gt;Dalat University Journal of Science&lt;/full-title&gt;&lt;/periodical&gt;&lt;pages&gt;117-144&lt;/pages&gt;&lt;volume&gt;12&lt;/volume&gt;&lt;number&gt;3&lt;/number&gt;&lt;dates&gt;&lt;year&gt;2022&lt;/year&gt;&lt;/dates&gt;&lt;isbn&gt;0866-787X&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According to recent studies, the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genus in Vietnam consists of  95 species and 2 varieties, including 46 species specifically identified as yellow Camellias. Various research on yellow Camellias suggested that approximately 56 species have been discovered in Vietnam to date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&lt;EndNote&gt;&lt;Cite&gt;&lt;Author&gt;Manh&lt;/Author&gt;&lt;Year&gt;2019&lt;/Year&gt;&lt;RecNum&gt;3&lt;/RecNum&gt;&lt;DisplayText&gt;[2]&lt;/DisplayText&gt;&lt;record&gt;&lt;rec-number&gt;3&lt;/rec-number&gt;&lt;foreign-keys&gt;&lt;key app="EN" db-id="dv2pess0b9edt5et90npa0fdp9sv9xfp5r5r" timestamp="1771793833"&gt;3&lt;/key&gt;&lt;/foreign-keys&gt;&lt;ref-type name="Journal Article"&gt;17&lt;/ref-type&gt;&lt;contributors&gt;&lt;authors&gt;&lt;author&gt;Manh, T. D.&lt;/author&gt;&lt;author&gt;Thang, N. T.&lt;/author&gt;&lt;author&gt;Son, H. T.&lt;/author&gt;&lt;author&gt;Van, T. D.&lt;/author&gt;&lt;author&gt;Trung, P. D.&lt;/author&gt;&lt;author&gt;Tuan, N. V.&lt;/author&gt;&lt;author&gt;Duc, D. T.&lt;/author&gt;&lt;author&gt;Linh, M. T.&lt;/author&gt;&lt;author&gt;Lam, V. T.&lt;/author&gt;&lt;author&gt;Thinh, N. H.&lt;/author&gt;&lt;/authors&gt;&lt;/contributors&gt;&lt;titles&gt;&lt;title&gt;Golden camellias: A review&lt;/title&gt;&lt;secondary-title&gt;Archives of Current Research International&lt;/secondary-title&gt;&lt;/titles&gt;&lt;periodical&gt;&lt;full-title&gt;Archives of Current Research International&lt;/full-title&gt;&lt;/periodical&gt;&lt;pages&gt;1-8&lt;/pages&gt;&lt;volume&gt;16&lt;/volume&gt;&lt;number&gt;2&lt;/number&gt;&lt;dates&gt;&lt;year&gt;2019&lt;/year&gt;&lt;/dates&gt;&lt;urls&gt;&lt;/urls&gt;&lt;/record&gt;&lt;/Cite&gt;&lt;/EndNote&gt;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 chemical composition of yellow </w:t>
      </w:r>
      <w:r w:rsidRPr="005E6B7C">
        <w:rPr>
          <w:rFonts w:asciiTheme="majorHAnsi" w:eastAsia="Yu Mincho" w:hAnsiTheme="majorHAnsi" w:cstheme="majorHAnsi"/>
          <w:i/>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is similar to that of green tea (</w:t>
      </w:r>
      <w:r w:rsidRPr="005E6B7C">
        <w:rPr>
          <w:rFonts w:asciiTheme="majorHAnsi" w:eastAsia="Yu Mincho" w:hAnsiTheme="majorHAnsi" w:cstheme="majorHAnsi"/>
          <w:i/>
          <w:iCs/>
          <w:color w:val="000000" w:themeColor="text1"/>
          <w:sz w:val="22"/>
          <w:szCs w:val="22"/>
          <w:lang w:eastAsia="ja-JP"/>
        </w:rPr>
        <w:t>C. sinensis</w:t>
      </w:r>
      <w:r w:rsidRPr="005E6B7C">
        <w:rPr>
          <w:rFonts w:asciiTheme="majorHAnsi" w:eastAsia="Yu Mincho" w:hAnsiTheme="majorHAnsi" w:cstheme="majorHAnsi"/>
          <w:color w:val="000000" w:themeColor="text1"/>
          <w:sz w:val="22"/>
          <w:szCs w:val="22"/>
          <w:lang w:eastAsia="ja-JP"/>
        </w:rPr>
        <w:t xml:space="preserve">), containing numerous bioactive compounds such as phenolics, flavonoids, saponins, and essential oils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&lt;EndNote&gt;&lt;Cite&gt;&lt;Author&gt;Trinh&lt;/Author&gt;&lt;Year&gt;2022&lt;/Year&gt;&lt;RecNum&gt;2&lt;/RecNum&gt;&lt;DisplayText&gt;[1]&lt;/DisplayText&gt;&lt;record&gt;&lt;rec-number&gt;2&lt;/rec-number&gt;&lt;foreign-keys&gt;&lt;key app="EN" db-id="dv2pess0b9edt5et90npa0fdp9sv9xfp5r5r" timestamp="1771793675"&gt;2&lt;/key&gt;&lt;/foreign-keys&gt;&lt;ref-type name="Journal Article"&gt;17&lt;/ref-type&gt;&lt;contributors&gt;&lt;authors&gt;&lt;author&gt;Trinh, Thi Diep&lt;/author&gt;&lt;/authors&gt;&lt;/contributors&gt;&lt;titles&gt;&lt;title&gt;Yellow camellias: a review of chemical constituents and biological activities&lt;/title&gt;&lt;secondary-title&gt;Dalat University Journal of Science&lt;/secondary-title&gt;&lt;/titles&gt;&lt;periodical&gt;&lt;full-title&gt;Dalat University Journal of Science&lt;/full-title&gt;&lt;/periodical&gt;&lt;pages&gt;117-144&lt;/pages&gt;&lt;volume&gt;12&lt;/volume&gt;&lt;number&gt;3&lt;/number&gt;&lt;dates&gt;&lt;year&gt;2022&lt;/year&gt;&lt;/dates&gt;&lt;isbn&gt;0866-787X&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t>
      </w:r>
    </w:p>
    <w:p w14:paraId="45C56C1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Specifically, </w:t>
      </w:r>
      <w:r w:rsidRPr="005E6B7C">
        <w:rPr>
          <w:rFonts w:asciiTheme="majorHAnsi" w:eastAsia="Yu Mincho" w:hAnsiTheme="majorHAnsi" w:cstheme="majorHAnsi"/>
          <w:i/>
          <w:iCs/>
          <w:color w:val="000000" w:themeColor="text1"/>
          <w:sz w:val="22"/>
          <w:szCs w:val="22"/>
          <w:lang w:eastAsia="ja-JP"/>
        </w:rPr>
        <w:t>Camellia cucphuongensis</w:t>
      </w:r>
      <w:r w:rsidRPr="005E6B7C">
        <w:rPr>
          <w:rFonts w:asciiTheme="majorHAnsi" w:eastAsia="Yu Mincho" w:hAnsiTheme="majorHAnsi" w:cstheme="majorHAnsi"/>
          <w:color w:val="000000" w:themeColor="text1"/>
          <w:sz w:val="22"/>
          <w:szCs w:val="22"/>
          <w:lang w:eastAsia="ja-JP"/>
        </w:rPr>
        <w:t xml:space="preserve"> Ninh &amp; </w:t>
      </w:r>
      <w:r w:rsidRPr="005E6B7C">
        <w:rPr>
          <w:rFonts w:asciiTheme="majorHAnsi" w:eastAsia="Yu Mincho" w:hAnsiTheme="majorHAnsi" w:cstheme="majorHAnsi"/>
          <w:color w:val="000000" w:themeColor="text1"/>
          <w:sz w:val="22"/>
          <w:szCs w:val="22"/>
          <w:lang w:eastAsia="ja-JP"/>
        </w:rPr>
        <w:t>Rosmann</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(synonym of </w:t>
      </w:r>
      <w:r w:rsidRPr="005E6B7C">
        <w:rPr>
          <w:rFonts w:asciiTheme="majorHAnsi" w:eastAsia="Yu Mincho" w:hAnsiTheme="majorHAnsi" w:cstheme="majorHAnsi"/>
          <w:i/>
          <w:iCs/>
          <w:color w:val="000000" w:themeColor="text1"/>
          <w:sz w:val="22"/>
          <w:szCs w:val="22"/>
          <w:lang w:eastAsia="ja-JP"/>
        </w:rPr>
        <w:t>Camellia flava</w:t>
      </w:r>
      <w:r w:rsidRPr="005E6B7C">
        <w:rPr>
          <w:rFonts w:asciiTheme="majorHAnsi" w:eastAsia="Yu Mincho" w:hAnsiTheme="majorHAnsi" w:cstheme="majorHAnsi"/>
          <w:color w:val="000000" w:themeColor="text1"/>
          <w:sz w:val="22"/>
          <w:szCs w:val="22"/>
          <w:lang w:eastAsia="ja-JP"/>
        </w:rPr>
        <w:t xml:space="preserve"> (Pitard) Sealy) is a notable yellow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species primarily distributed in Ninh Binh and Phu Tho provinces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&lt;EndNote&gt;&lt;Cite&gt;&lt;Author&gt;Tran&lt;/Author&gt;&lt;Year&gt;1998&lt;/Year&gt;&lt;RecNum&gt;6&lt;/RecNum&gt;&lt;DisplayText&gt;[3]&lt;/DisplayText&gt;&lt;record&gt;&lt;rec-number&gt;6&lt;/rec-number&gt;&lt;foreign-keys&gt;&lt;key app="EN" db-id="dv2pess0b9edt5et90npa0fdp9sv9xfp5r5r" timestamp="1771794225"&gt;6&lt;/key&gt;&lt;/foreign-keys&gt;&lt;ref-type name="Journal Article"&gt;17&lt;/ref-type&gt;&lt;contributors&gt;&lt;authors&gt;&lt;author&gt;Tran, N.&lt;/author&gt;&lt;author&gt;Rosmann, J. C.&lt;/author&gt;&lt;/authors&gt;&lt;/contributors&gt;&lt;titles&gt;&lt;title&gt;Camellia cucphuongensis: A new species of yellow Camellia from Vietnam&lt;/title&gt;&lt;secondary-title&gt;International Camellia Journal&lt;/secondary-title&gt;&lt;/titles&gt;&lt;periodical&gt;&lt;full-title&gt;International Camellia Journal&lt;/full-title&gt;&lt;/periodical&gt;&lt;pages&gt;71-72&lt;/pages&gt;&lt;volume&gt;30&lt;/volume&gt;&lt;dates&gt;&lt;year&gt;1998&lt;/year&gt;&lt;/dates&gt;&lt;urls&gt;&lt;/urls&gt;&lt;/record&gt;&lt;/Cite&gt;&lt;/EndNote&gt;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Despite its potential, comprehensive research on this species remains relatively limited. Previous pharmacological investigations by Nguyen et al. have demonstrated the anti-diabetic and hypolipidemic effects of extracts derived from both the flowers and leaves of </w:t>
      </w:r>
      <w:r w:rsidRPr="005E6B7C">
        <w:rPr>
          <w:rFonts w:asciiTheme="majorHAnsi" w:eastAsia="Yu Mincho" w:hAnsiTheme="majorHAnsi" w:cstheme="majorHAnsi"/>
          <w:i/>
          <w:iCs/>
          <w:color w:val="000000" w:themeColor="text1"/>
          <w:sz w:val="22"/>
          <w:szCs w:val="22"/>
          <w:lang w:eastAsia="ja-JP"/>
        </w:rPr>
        <w:t xml:space="preserve">C. cucphuongensis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&lt;EndNote&gt;&lt;Cite&gt;&lt;Author&gt;Nguyen&lt;/Author&gt;&lt;Year&gt;2023&lt;/Year&gt;&lt;RecNum&gt;30&lt;/RecNum&gt;&lt;DisplayText&gt;[4]&lt;/DisplayText&gt;&lt;record&gt;&lt;rec-number&gt;30&lt;/rec-number&gt;&lt;foreign-keys&gt;&lt;key app="EN" db-id="dv2pess0b9edt5et90npa0fdp9sv9xfp5r5r" timestamp="1773123673"&gt;30&lt;/key&gt;&lt;/foreign-keys&gt;&lt;ref-type name="Journal Article"&gt;17&lt;/ref-type&gt;&lt;contributors&gt;&lt;authors&gt;&lt;author&gt;Nguyen, Q. T.&lt;/author&gt;&lt;author&gt;Nguyen, H. L. T.&lt;/author&gt;&lt;author&gt;Ha, T. T. P, Khuu, M. H.&lt;/author&gt;&lt;author&gt;Truong, M. N.&lt;/author&gt;&lt;author&gt;Truong V. D.&lt;/author&gt;&lt;author&gt;Mai, H. N. &lt;/author&gt;&lt;/authors&gt;&lt;/contributors&gt;&lt;titles&gt;&lt;title&gt;Evaluate acute toxicity and hypoglycemic effect of Golden Camellia flower extract (Camellia flava) on alloxan-induced diabetic model&lt;/title&gt;&lt;secondary-title&gt;Vietnam Medical Journal&lt;/secondary-title&gt;&lt;/titles&gt;&lt;periodical&gt;&lt;full-title&gt;Vietnam Medical Journal&lt;/full-title&gt;&lt;/periodical&gt;&lt;pages&gt;316-319&lt;/pages&gt;&lt;volume&gt;527&lt;/volume&gt;&lt;dates&gt;&lt;year&gt;2023&lt;/year&gt;&lt;/dates&gt;&lt;urls&gt;&lt;/urls&gt;&lt;/record&gt;&lt;/Cite&gt;&lt;/EndNote&gt;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&lt;EndNote&gt;&lt;Cite&gt;&lt;Author&gt;Nguyen&lt;/Author&gt;&lt;Year&gt;2024&lt;/Year&gt;&lt;RecNum&gt;31&lt;/RecNum&gt;&lt;DisplayText&gt;[5]&lt;/DisplayText&gt;&lt;record&gt;&lt;rec-number&gt;31&lt;/rec-number&gt;&lt;foreign-keys&gt;&lt;key app="EN" db-id="dv2pess0b9edt5et90npa0fdp9sv9xfp5r5r" timestamp="1773123733"&gt;31&lt;/key&gt;&lt;/foreign-keys&gt;&lt;ref-type name="Journal Article"&gt;17&lt;/ref-type&gt;&lt;contributors&gt;&lt;authors&gt;&lt;author&gt;Nguyen, H. L.&lt;/author&gt;&lt;author&gt;Thuy, H.&lt;/author&gt;&lt;author&gt;Phuong, T. T.&lt;/author&gt;&lt;author&gt;Nguyen, N. P.&lt;/author&gt;&lt;author&gt;Nguyen, P.&lt;/author&gt;&lt;author&gt;Linh, N. H.&lt;/author&gt;&lt;author&gt;Mai, H. N.&lt;/author&gt;&lt;/authors&gt;&lt;/contributors&gt;&lt;titles&gt;&lt;title&gt;Effect of Camellia flava (Pitard) Sealy flower extract on the degeneration of Islets of Langerhans and insulin resistance in alloxan-induced hyperglycemia model on Swiss albino mice&lt;/title&gt;&lt;secondary-title&gt;Pharmacia&lt;/secondary-title&gt;&lt;/titles&gt;&lt;periodical&gt;&lt;full-title&gt;Pharmacia&lt;/full-title&gt;&lt;/periodical&gt;&lt;pages&gt;1–15&lt;/pages&gt;&lt;volume&gt;71&lt;/volume&gt;&lt;dates&gt;&lt;year&gt;2024&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Furthermore, this research group reported significant antioxidant capacity along with high concentrations of TPC and TFC, particularly in the leaves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&lt;EndNote&gt;&lt;Cite&gt;&lt;Author&gt;Truong&lt;/Author&gt;&lt;Year&gt;2022&lt;/Year&gt;&lt;RecNum&gt;33&lt;/RecNum&gt;&lt;DisplayText&gt;[6]&lt;/DisplayText&gt;&lt;record&gt;&lt;rec-number&gt;33&lt;/rec-number&gt;&lt;foreign-keys&gt;&lt;key app="EN" db-id="dv2pess0b9edt5et90npa0fdp9sv9xfp5r5r" timestamp="1773123897"&gt;33&lt;/key&gt;&lt;/foreign-keys&gt;&lt;ref-type name="Journal Article"&gt;17&lt;/ref-type&gt;&lt;contributors&gt;&lt;authors&gt;&lt;author&gt;Truong, M. N. &lt;/author&gt;&lt;author&gt;Nguyen-Hoang, T. M.&lt;/author&gt;&lt;author&gt;Nguyen, H. L. T.&lt;/author&gt;&lt;/authors&gt;&lt;/contributors&gt;&lt;titles&gt;&lt;title&gt;Identification, chemical determination and evaluation bioactivities of Camellia flava in Tay Nguyen&lt;/title&gt;&lt;secondary-title&gt;Journal of Drug Quality Control &lt;/secondary-title&gt;&lt;/titles&gt;&lt;periodical&gt;&lt;full-title&gt;Journal of Drug Quality Control&lt;/full-title&gt;&lt;/periodical&gt;&lt;pages&gt;12–18&lt;/pages&gt;&lt;volume&gt;20&lt;/volume&gt;&lt;dates&gt;&lt;year&gt;2022&lt;/year&gt;&lt;/dates&gt;&lt;urls&gt;&lt;/urls&gt;&lt;/record&gt;&lt;/Cite&gt;&lt;/EndNote&gt;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 phytochemical profile of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xml:space="preserve"> has been significantly enriched by the findings of Do et al., who successfully isolated and identified four key phenolic markers from the flowers: kaempferol, gallic acid, astragalin, and vanillin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&lt;EndNote&gt;&lt;Cite&gt;&lt;Author&gt;Pham&lt;/Author&gt;&lt;Year&gt;2019&lt;/Year&gt;&lt;RecNum&gt;34&lt;/RecNum&gt;&lt;DisplayText&gt;[7]&lt;/DisplayText&gt;&lt;record&gt;&lt;rec-number&gt;34&lt;/rec-number&gt;&lt;foreign-keys&gt;&lt;key app="EN" db-id="dv2pess0b9edt5et90npa0fdp9sv9xfp5r5r" timestamp="1773123970"&gt;34&lt;/key&gt;&lt;/foreign-keys&gt;&lt;ref-type name="Journal Article"&gt;17&lt;/ref-type&gt;&lt;contributors&gt;&lt;authors&gt;&lt;author&gt;Pham, T. T.&lt;/author&gt;&lt;author&gt;Nguyen, D. T.&lt;/author&gt;&lt;author&gt;Nguyen, T. H.&lt;/author&gt;&lt;author&gt;Nguyen, H. T.&lt;/author&gt;&lt;author&gt;Do, T. H. &lt;/author&gt;&lt;/authors&gt;&lt;/contributors&gt;&lt;titles&gt;&lt;title&gt;&lt;style face="normal" font="default" size="100%"&gt;Các h&lt;/style&gt;&lt;style face="normal" font="default" charset="163" size="100%"&gt;ợp chất phenolic từ l&lt;/style&gt;&lt;style face="normal" font="default" size="100%"&gt;á Trà Hoa vàng Cúc Ph&lt;/style&gt;&lt;style face="normal" font="default" charset="238" size="100%"&gt;ương (Camellia cucphuongensis)&lt;/style&gt;&lt;style face="normal" font="default" size="100%"&gt; &lt;/style&gt;&lt;style face="normal" font="default" charset="238" size="100%"&gt;[Phenolic compounds from the leaves of Camellia cucphuongensis]&lt;/style&gt;&lt;/title&gt;&lt;secondary-title&gt;&lt;style face="normal" font="default" size="100%"&gt;T&lt;/style&gt;&lt;style face="normal" font="default" charset="163" size="100%"&gt;ạp ch&lt;/style&gt;&lt;style face="normal" font="default" size="100%"&gt;í Nghiên c&lt;/style&gt;&lt;style face="normal" font="default" charset="163" size="100%"&gt;ứu D&lt;/style&gt;&lt;style face="normal" font="default" charset="238" size="100%"&gt;ư&lt;/style&gt;&lt;style face="normal" font="default" charset="163" size="100%"&gt;ợc v&lt;/style&gt;&lt;style face="normal" font="default" size="100%"&gt;à Thông tin thu&lt;/style&gt;&lt;style face="normal" font="default" charset="163" size="100%"&gt;ốc&lt;/style&gt;&lt;/secondary-title&gt;&lt;/titles&gt;&lt;periodical&gt;&lt;full-title&gt;Tạp chí Nghiên cứu Dược và Thông tin thuốc&lt;/full-title&gt;&lt;/periodical&gt;&lt;pages&gt;16-20&lt;/pages&gt;&lt;volume&gt;10(4+5+6)&lt;/volume&gt;&lt;dates&gt;&lt;year&gt;2019&lt;/year&gt;&lt;/dates&gt;&lt;urls&gt;&lt;/urls&gt;&lt;/record&gt;&lt;/Cite&gt;&lt;/EndNote&gt;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These constituents are of profound pharmacological importance, as they are widely recognized for their potent antioxidant, anti-</w:t>
      </w:r>
      <w:r w:rsidRPr="005E6B7C">
        <w:rPr>
          <w:rFonts w:asciiTheme="majorHAnsi" w:eastAsia="Yu Mincho" w:hAnsiTheme="majorHAnsi" w:cstheme="majorHAnsi"/>
          <w:color w:val="000000" w:themeColor="text1"/>
          <w:sz w:val="22"/>
          <w:szCs w:val="22"/>
          <w:lang w:eastAsia="ja-JP"/>
        </w:rPr>
        <w:lastRenderedPageBreak/>
        <w:t xml:space="preserve">inflammatory, and neuroprotective properties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&lt;EndNote&gt;&lt;Cite&gt;&lt;Author&gt;Imran&lt;/Author&gt;&lt;Year&gt;2019&lt;/Year&gt;&lt;RecNum&gt;38&lt;/RecNum&gt;&lt;DisplayText&gt;[8]&lt;/DisplayText&gt;&lt;record&gt;&lt;rec-number&gt;38&lt;/rec-number&gt;&lt;foreign-keys&gt;&lt;key app="EN" db-id="dv2pess0b9edt5et90npa0fdp9sv9xfp5r5r" timestamp="1773124887"&gt;38&lt;/key&gt;&lt;/foreign-keys&gt;&lt;ref-type name="Journal Article"&gt;17&lt;/ref-type&gt;&lt;contributors&gt;&lt;authors&gt;&lt;author&gt;Imran, M.&lt;/author&gt;&lt;author&gt;Salehi, B.&lt;/author&gt;&lt;author&gt;Sharifi-Rad, J.&lt;/author&gt;&lt;author&gt;Aslam Gondal, T.&lt;/author&gt;&lt;author&gt;Saeed, F.&lt;/author&gt;&lt;author&gt;Imran, A.&lt;/author&gt;&lt;author&gt;Shahbaz, M.&lt;/author&gt;&lt;author&gt;Tsouh Fokou, P. V.&lt;/author&gt;&lt;author&gt;Umair Arshad, M.&lt;/author&gt;&lt;author&gt;Khan, H.&lt;/author&gt;&lt;/authors&gt;&lt;/contributors&gt;&lt;titles&gt;&lt;title&gt;Kaempferol: A key emphasis to its anticancer potential&lt;/title&gt;&lt;secondary-title&gt;Molecules&lt;/secondary-title&gt;&lt;/titles&gt;&lt;periodical&gt;&lt;full-title&gt;Molecules&lt;/full-title&gt;&lt;/periodical&gt;&lt;pages&gt;2277&lt;/pages&gt;&lt;volume&gt;24&lt;/volume&gt;&lt;number&gt;12&lt;/number&gt;&lt;dates&gt;&lt;year&gt;2019&lt;/year&gt;&lt;/dates&gt;&lt;isbn&gt;1420-3049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presence of these specific bioactive compounds not only corroborates the traditional medicinal use of the species but also provides a concrete scientific rationale for investigating targeted extraction processes to maximize their recovery for therapeutic applications.</w:t>
      </w:r>
    </w:p>
    <w:p w14:paraId="41D1240C"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While these findings establish a strong chemical and biological foundation,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as an endemic species, remains insufficiently investigated regarding standardized extraction processes. Studies aimed at maximizing the simultaneous recovery of major bioactive groups like TPC and TFC from the flowers are still scarce, which hinders the development of high-quality commercial products. In conventional extraction methods, parameters such as solvent concentration, temperature, and time are decisive factors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&lt;EndNote&gt;&lt;Cite&gt;&lt;Author&gt;Cao&lt;/Author&gt;&lt;Year&gt;2025&lt;/Year&gt;&lt;RecNum&gt;10&lt;/RecNum&gt;&lt;DisplayText&gt;[9]&lt;/DisplayText&gt;&lt;record&gt;&lt;rec-number&gt;10&lt;/rec-number&gt;&lt;foreign-keys&gt;&lt;key app="EN" db-id="dv2pess0b9edt5et90npa0fdp9sv9xfp5r5r" timestamp="1771795764"&gt;10&lt;/key&gt;&lt;/foreign-keys&gt;&lt;ref-type name="Journal Article"&gt;17&lt;/ref-type&gt;&lt;contributors&gt;&lt;authors&gt;&lt;author&gt;Cao, S.&lt;/author&gt;&lt;author&gt;Liang, J.&lt;/author&gt;&lt;author&gt;Chen, M.&lt;/author&gt;&lt;author&gt;Xu, C.&lt;/author&gt;&lt;author&gt;Wang, X.&lt;/author&gt;&lt;author&gt;Qiu, L.&lt;/author&gt;&lt;author&gt;Zhao, X.&lt;/author&gt;&lt;author&gt;Hu, W.&lt;/author&gt;&lt;/authors&gt;&lt;/contributors&gt;&lt;titles&gt;&lt;title&gt;Comparative analysis of extraction technologies for plant extracts and absolutes&lt;/title&gt;&lt;secondary-title&gt;Frontiers in Chemistry&lt;/secondary-title&gt;&lt;/titles&gt;&lt;periodical&gt;&lt;full-title&gt;Frontiers in Chemistry&lt;/full-title&gt;&lt;/periodical&gt;&lt;pages&gt;1536590&lt;/pages&gt;&lt;volume&gt;13&lt;/volume&gt;&lt;dates&gt;&lt;year&gt;2025&lt;/year&gt;&lt;/dates&gt;&lt;isbn&gt;2296-2646&lt;/isbn&gt;&lt;urls&gt;&lt;/urls&gt;&lt;/record&gt;&lt;/Cite&gt;&lt;/EndNote&gt;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To achieve optimal efficiency, it is essential to construct a mathematical model like Response Surface Methodology (RSM) to evaluate these interactions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&lt;EndNote&gt;&lt;Cite&gt;&lt;Author&gt;Myers&lt;/Author&gt;&lt;Year&gt;2016&lt;/Year&gt;&lt;RecNum&gt;12&lt;/RecNum&gt;&lt;DisplayText&gt;[10]&lt;/DisplayText&gt;&lt;record&gt;&lt;rec-number&gt;12&lt;/rec-number&gt;&lt;foreign-keys&gt;&lt;key app="EN" db-id="dv2pess0b9edt5et90npa0fdp9sv9xfp5r5r" timestamp="1771795895"&gt;12&lt;/key&gt;&lt;/foreign-keys&gt;&lt;ref-type name="Book"&gt;6&lt;/ref-type&gt;&lt;contributors&gt;&lt;authors&gt;&lt;author&gt;Myers, R. H.&lt;/author&gt;&lt;author&gt;Montgomery, D. C.&lt;/author&gt;&lt;author&gt;Anderson-Cook, C. M.&lt;/author&gt;&lt;/authors&gt;&lt;/contributors&gt;&lt;titles&gt;&lt;title&gt;Response surface methodology: process and product optimization using designed experiments&lt;/title&gt;&lt;/titles&gt;&lt;dates&gt;&lt;year&gt;2016&lt;/year&gt;&lt;/dates&gt;&lt;publisher&gt;John Wiley &amp;amp; Sons&lt;/publisher&gt;&lt;isbn&gt;1118916034&lt;/isbn&gt;&lt;urls&gt;&lt;/urls&gt;&lt;/record&gt;&lt;/Cite&gt;&lt;/EndNote&gt;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0F60AAD7"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Therefore, this study was conducted to optimize the extraction process of TPC and TFC from the flowers of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xml:space="preserve"> collected in Phu Tho using a CCD model. The findings of this research will provide a scientific background for standardizing the preparation of bioactive-rich extracts, supporting the development of health products from this precious endemic medicinal resource.</w:t>
      </w:r>
    </w:p>
    <w:p w14:paraId="0A86C2B7"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2. </w:t>
      </w:r>
      <w:r w:rsidR="0087467D" w:rsidRPr="005E6B7C">
        <w:rPr>
          <w:rFonts w:asciiTheme="majorHAnsi" w:eastAsia="Yu Mincho" w:hAnsiTheme="majorHAnsi" w:cstheme="majorHAnsi"/>
          <w:b/>
          <w:bCs/>
          <w:color w:val="000000" w:themeColor="text1"/>
          <w:sz w:val="22"/>
          <w:szCs w:val="22"/>
          <w:lang w:eastAsia="ja-JP"/>
        </w:rPr>
        <w:t>Materials and Methods</w:t>
      </w:r>
    </w:p>
    <w:p w14:paraId="6EE89A54"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2.1. Plant Materials</w:t>
      </w:r>
    </w:p>
    <w:p w14:paraId="6C757D07"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flowers of </w:t>
      </w:r>
      <w:r w:rsidRPr="005E6B7C">
        <w:rPr>
          <w:rFonts w:asciiTheme="majorHAnsi" w:eastAsia="Yu Mincho" w:hAnsiTheme="majorHAnsi" w:cstheme="majorHAnsi"/>
          <w:i/>
          <w:iCs/>
          <w:color w:val="000000" w:themeColor="text1"/>
          <w:sz w:val="22"/>
          <w:szCs w:val="22"/>
          <w:lang w:eastAsia="ja-JP"/>
        </w:rPr>
        <w:t>Camellia cucphuongensis</w:t>
      </w:r>
      <w:r w:rsidRPr="005E6B7C">
        <w:rPr>
          <w:rFonts w:asciiTheme="majorHAnsi" w:eastAsia="Yu Mincho" w:hAnsiTheme="majorHAnsi" w:cstheme="majorHAnsi"/>
          <w:color w:val="000000" w:themeColor="text1"/>
          <w:sz w:val="22"/>
          <w:szCs w:val="22"/>
          <w:lang w:eastAsia="ja-JP"/>
        </w:rPr>
        <w:t xml:space="preserve"> Ninh &amp; Rosmann were harvested in October 2024 from the garden of BIOPHARM Hoa Binh Joint Stock Company (Hoa Binh city, Phu Tho Province). The species was authenticated by Prof. Dr. Tran The Bach. A voucher specimen (coded "Cong21102024") was deposited at the Institute of Biology, Vietnam Academy of Science and Technology. After harvesting, the flowers were washed and dried at 60°C until the moisture content was below 12%. The material was subsequently ground into a coarse powder (particle size &lt; 2 mm) and stored in moisture-proof zip bags.</w:t>
      </w:r>
    </w:p>
    <w:p w14:paraId="724A60C3"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Chemicals and instrumentation</w:t>
      </w:r>
    </w:p>
    <w:p w14:paraId="2A6F1659" w14:textId="5CD64BA8"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hint="eastAsia"/>
          <w:color w:val="000000" w:themeColor="text1"/>
          <w:sz w:val="22"/>
          <w:szCs w:val="22"/>
          <w:lang w:eastAsia="ja-JP"/>
        </w:rPr>
        <w:t>Standard gallic acid (98.7% purity, CAS: 149-91-7, Lot: CFS202502) and rutin (98.0% purity, CAS: 153-18-4, Lot: CFS202501) were purchased from Wuhan ChemFaces Biochemical Co., Ltd. (China). Folin &amp; Ciocalteu</w:t>
      </w:r>
      <w:r w:rsidRPr="005E6B7C">
        <w:rPr>
          <w:rFonts w:asciiTheme="majorHAnsi" w:eastAsia="Yu Mincho" w:hAnsiTheme="majorHAnsi" w:cstheme="majorHAnsi" w:hint="eastAsia"/>
          <w:color w:val="000000" w:themeColor="text1"/>
          <w:sz w:val="22"/>
          <w:szCs w:val="22"/>
          <w:lang w:eastAsia="ja-JP"/>
        </w:rPr>
        <w:t>′</w:t>
      </w:r>
      <w:r w:rsidRPr="005E6B7C">
        <w:rPr>
          <w:rFonts w:asciiTheme="majorHAnsi" w:eastAsia="Yu Mincho" w:hAnsiTheme="majorHAnsi" w:cstheme="majorHAnsi" w:hint="eastAsia"/>
          <w:color w:val="000000" w:themeColor="text1"/>
          <w:sz w:val="22"/>
          <w:szCs w:val="22"/>
          <w:lang w:eastAsia="ja-JP"/>
        </w:rPr>
        <w:t>s phenol reagent 2N was purchased from Merck (Germany).</w:t>
      </w:r>
      <w:r w:rsidRPr="005E6B7C">
        <w:rPr>
          <w:rFonts w:asciiTheme="majorHAnsi" w:eastAsia="Yu Mincho" w:hAnsiTheme="majorHAnsi" w:cstheme="majorHAnsi"/>
          <w:b/>
          <w:b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All </w:t>
      </w:r>
      <w:r w:rsidRPr="005E6B7C">
        <w:rPr>
          <w:rFonts w:asciiTheme="majorHAnsi" w:eastAsia="Yu Mincho" w:hAnsiTheme="majorHAnsi" w:cstheme="majorHAnsi"/>
          <w:color w:val="000000" w:themeColor="text1"/>
          <w:sz w:val="22"/>
          <w:szCs w:val="22"/>
          <w:lang w:eastAsia="ja-JP"/>
        </w:rPr>
        <w:t>chemicals and solvents used were of analytical grade</w:t>
      </w:r>
      <w:r w:rsidR="008C0D47" w:rsidRPr="005E6B7C">
        <w:rPr>
          <w:rFonts w:asciiTheme="majorHAnsi" w:eastAsia="Yu Mincho" w:hAnsiTheme="majorHAnsi" w:cstheme="majorHAnsi"/>
          <w:color w:val="000000" w:themeColor="text1"/>
          <w:sz w:val="22"/>
          <w:szCs w:val="22"/>
          <w:lang w:eastAsia="ja-JP"/>
        </w:rPr>
        <w:t>.</w:t>
      </w:r>
    </w:p>
    <w:p w14:paraId="02B91167" w14:textId="0B9CBC00"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quantification was conducted on an </w:t>
      </w:r>
      <w:r w:rsidRPr="005E6B7C">
        <w:rPr>
          <w:rFonts w:asciiTheme="majorHAnsi" w:eastAsia="Yu Mincho" w:hAnsiTheme="majorHAnsi" w:cstheme="majorHAnsi"/>
          <w:bCs/>
          <w:iCs/>
          <w:color w:val="000000" w:themeColor="text1"/>
          <w:sz w:val="22"/>
          <w:szCs w:val="22"/>
          <w:lang w:eastAsia="ja-JP"/>
        </w:rPr>
        <w:t>AV-770 Double Beam UV-Visible/NIR Spectrophotometer (Jasco, Japan).</w:t>
      </w:r>
    </w:p>
    <w:p w14:paraId="10DD5152"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2.3. Extraction</w:t>
      </w:r>
    </w:p>
    <w:p w14:paraId="15857369" w14:textId="68A2CE94"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Approximately 20.0 g of the plant material was accurately weighed and subjected to maceration with controlled heating at a solid-to-solvent ratio of 1:30 (w/v). This specific ratio was selected based on established studies identifying 1:30 as an optimal balance to maximize the concentration gradient for polyphenol and flavonoid recovery while ensuring solvent efficiency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&lt;EndNote&gt;&lt;Cite&gt;&lt;Author&gt;Zhang&lt;/Author&gt;&lt;Year&gt;2011&lt;/Year&gt;&lt;RecNum&gt;24&lt;/RecNum&gt;&lt;DisplayText&gt;[11]&lt;/DisplayText&gt;&lt;record&gt;&lt;rec-number&gt;24&lt;/rec-number&gt;&lt;foreign-keys&gt;&lt;key app="EN" db-id="dv2pess0b9edt5et90npa0fdp9sv9xfp5r5r" timestamp="1771838652"&gt;24&lt;/key&gt;&lt;/foreign-keys&gt;&lt;ref-type name="Journal Article"&gt;17&lt;/ref-type&gt;&lt;contributors&gt;&lt;authors&gt;&lt;author&gt;Zhang, G.&lt;/author&gt;&lt;author&gt;He, L.&lt;/author&gt;&lt;author&gt;Hu, M.&lt;/author&gt;&lt;/authors&gt;&lt;/contributors&gt;&lt;titles&gt;&lt;title&gt;Optimized ultrasonic-assisted extraction of flavonoids from Prunella vulgaris L. and evaluation of antioxidant activities in vitro&lt;/title&gt;&lt;secondary-title&gt;Innovative food science emerging technologies&lt;/secondary-title&gt;&lt;/titles&gt;&lt;periodical&gt;&lt;full-title&gt;Innovative food science emerging technologies&lt;/full-title&gt;&lt;/periodical&gt;&lt;pages&gt;18-25&lt;/pages&gt;&lt;volume&gt;12&lt;/volume&gt;&lt;number&gt;1&lt;/number&gt;&lt;dates&gt;&lt;year&gt;2011&lt;/year&gt;&lt;/dates&gt;&lt;isbn&gt;1466-8564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extraction conditions, including ethanol (EtOH) concentration, temperature, and time, were e</w:t>
      </w:r>
      <w:r w:rsidRPr="005E6B7C">
        <w:rPr>
          <w:rFonts w:asciiTheme="majorHAnsi" w:eastAsia="Yu Mincho" w:hAnsiTheme="majorHAnsi" w:cstheme="majorHAnsi"/>
          <w:color w:val="000000" w:themeColor="text1"/>
          <w:spacing w:val="2"/>
          <w:sz w:val="22"/>
          <w:szCs w:val="22"/>
          <w:lang w:eastAsia="ja-JP"/>
        </w:rPr>
        <w:t>stablished according to a CCD matrix. After the extraction process, the resulting mixture was filtered and concentrated under reduced pressure using a rotary evaporator to obtain the final extract. The TFC and TPC of the extracts were quantified using the methods described in Section 2.4.</w:t>
      </w:r>
    </w:p>
    <w:p w14:paraId="3BA94B9A"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2.4. Quantitative Analysis</w:t>
      </w:r>
    </w:p>
    <w:p w14:paraId="68C61F38"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2.4.1. Determination of TFC</w:t>
      </w:r>
      <w:r w:rsidR="0087467D" w:rsidRPr="005E6B7C">
        <w:rPr>
          <w:rFonts w:asciiTheme="majorHAnsi" w:eastAsia="Yu Mincho" w:hAnsiTheme="majorHAnsi" w:cstheme="majorHAnsi"/>
          <w:color w:val="000000" w:themeColor="text1"/>
          <w:sz w:val="22"/>
          <w:szCs w:val="22"/>
          <w:lang w:eastAsia="ja-JP"/>
        </w:rPr>
        <w:t>:</w:t>
      </w:r>
    </w:p>
    <w:p w14:paraId="13A8A41A"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Principle:</w:t>
      </w:r>
      <w:r w:rsidRPr="005E6B7C">
        <w:rPr>
          <w:rFonts w:asciiTheme="majorHAnsi" w:eastAsia="Yu Mincho" w:hAnsiTheme="majorHAnsi" w:cstheme="majorHAnsi"/>
          <w:color w:val="000000" w:themeColor="text1"/>
          <w:sz w:val="22"/>
          <w:szCs w:val="22"/>
          <w:lang w:eastAsia="ja-JP"/>
        </w:rPr>
        <w:t xml:space="preserve"> The TFC was determined using the aluminum chloride (AlCl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colorimetric assay, based on the formation of a stable chelate complex between flavonoids and Al</w:t>
      </w:r>
      <w:r w:rsidRPr="005E6B7C">
        <w:rPr>
          <w:rFonts w:asciiTheme="majorHAnsi" w:eastAsia="Yu Mincho" w:hAnsiTheme="majorHAnsi" w:cstheme="majorHAnsi"/>
          <w:color w:val="000000" w:themeColor="text1"/>
          <w:sz w:val="22"/>
          <w:szCs w:val="22"/>
          <w:vertAlign w:val="superscript"/>
          <w:lang w:eastAsia="ja-JP"/>
        </w:rPr>
        <w:t>3+</w:t>
      </w:r>
      <w:r w:rsidRPr="005E6B7C">
        <w:rPr>
          <w:rFonts w:asciiTheme="majorHAnsi" w:eastAsia="Yu Mincho" w:hAnsiTheme="majorHAnsi" w:cstheme="majorHAnsi"/>
          <w:color w:val="000000" w:themeColor="text1"/>
          <w:sz w:val="22"/>
          <w:szCs w:val="22"/>
          <w:lang w:eastAsia="ja-JP"/>
        </w:rPr>
        <w:t xml:space="preserve"> ions.</w:t>
      </w:r>
    </w:p>
    <w:p w14:paraId="47AC3D7B"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Preparation of standard curve:</w:t>
      </w:r>
      <w:r w:rsidRPr="005E6B7C">
        <w:rPr>
          <w:rFonts w:asciiTheme="majorHAnsi" w:eastAsia="Yu Mincho" w:hAnsiTheme="majorHAnsi" w:cstheme="majorHAnsi"/>
          <w:color w:val="000000" w:themeColor="text1"/>
          <w:sz w:val="22"/>
          <w:szCs w:val="22"/>
          <w:lang w:eastAsia="ja-JP"/>
        </w:rPr>
        <w:t xml:space="preserve"> A series of rutin standard solutions (0.1, 0.2, 0.4, 0.6, and 0.8 mg/mL) was prepared from a 1 mg/mL stock solution.</w:t>
      </w:r>
    </w:p>
    <w:p w14:paraId="35BF6ED3"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Approximately 0.1 g of the extract was accurately weighed and dissolved in 20 mL of 50% EtOH in a 25 mL volumetric flask, followed by ultrasonication. The solution was made up to volume and filtered.</w:t>
      </w:r>
    </w:p>
    <w:p w14:paraId="0C0B7803" w14:textId="77777777" w:rsidR="00E049CB" w:rsidRPr="005E6B7C" w:rsidRDefault="00E049CB" w:rsidP="008C0D47">
      <w:pPr>
        <w:tabs>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Procedure:</w:t>
      </w:r>
      <w:r w:rsidRPr="005E6B7C">
        <w:rPr>
          <w:rFonts w:asciiTheme="majorHAnsi" w:eastAsia="Yu Mincho" w:hAnsiTheme="majorHAnsi" w:cstheme="majorHAnsi"/>
          <w:color w:val="000000" w:themeColor="text1"/>
          <w:sz w:val="22"/>
          <w:szCs w:val="22"/>
          <w:lang w:eastAsia="ja-JP"/>
        </w:rPr>
        <w:t xml:space="preserve"> 1 mL of the sample or standard solution was transferred into a 10 mL volumetric flask. Sequentially, 0.3 mL of 5% NaNO</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was added (5 min incubation), followed by 0.5 mL of 2% AlCl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(6 min incubation), and 0.5 mL of 1 M NaOH (10 min incubation). The flask was filled to the mark with distilled water. Absorbance was measured at 510 nm. TFC was calculated as rutin equivalents using the standard curve.</w:t>
      </w:r>
    </w:p>
    <w:p w14:paraId="2F07B906" w14:textId="77777777" w:rsidR="00E049CB" w:rsidRPr="005E6B7C" w:rsidRDefault="00E049CB" w:rsidP="008C0D47">
      <w:pPr>
        <w:tabs>
          <w:tab w:val="left" w:pos="9270"/>
        </w:tabs>
        <w:ind w:right="-20"/>
        <w:jc w:val="both"/>
        <w:rPr>
          <w:rFonts w:asciiTheme="majorHAnsi" w:eastAsia="Calibri" w:hAnsiTheme="majorHAnsi" w:cstheme="majorHAnsi"/>
          <w:color w:val="000000" w:themeColor="text1"/>
          <w:sz w:val="22"/>
          <w:szCs w:val="22"/>
          <w:lang w:eastAsia="ja-JP"/>
        </w:rPr>
      </w:pPr>
      <m:oMathPara>
        <m:oMath>
          <m:r>
            <m:rPr>
              <m:nor/>
            </m:rPr>
            <w:rPr>
              <w:rFonts w:asciiTheme="majorHAnsi" w:eastAsia="Calibri" w:hAnsiTheme="majorHAnsi" w:cstheme="majorHAnsi"/>
              <w:color w:val="000000" w:themeColor="text1"/>
              <w:sz w:val="22"/>
              <w:szCs w:val="22"/>
              <w:lang w:eastAsia="ja-JP"/>
            </w:rPr>
            <m:t xml:space="preserve">TFC % = </m:t>
          </m:r>
          <m:f>
            <m:fPr>
              <m:ctrlPr>
                <w:rPr>
                  <w:rFonts w:ascii="Cambria Math" w:eastAsia="Calibri" w:hAnsi="Cambria Math" w:cstheme="majorHAnsi"/>
                  <w:color w:val="000000" w:themeColor="text1"/>
                  <w:sz w:val="22"/>
                  <w:szCs w:val="22"/>
                  <w:lang w:eastAsia="ja-JP"/>
                </w:rPr>
              </m:ctrlPr>
            </m:fPr>
            <m:num>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C</m:t>
                  </m:r>
                </m:e>
                <m:sub>
                  <m:r>
                    <m:rPr>
                      <m:nor/>
                    </m:rPr>
                    <w:rPr>
                      <w:rFonts w:asciiTheme="majorHAnsi" w:eastAsia="Calibri" w:hAnsiTheme="majorHAnsi" w:cstheme="majorHAnsi"/>
                      <w:color w:val="000000" w:themeColor="text1"/>
                      <w:sz w:val="22"/>
                      <w:szCs w:val="22"/>
                      <w:lang w:eastAsia="ja-JP"/>
                    </w:rPr>
                    <m:t>tf</m:t>
                  </m:r>
                </m:sub>
              </m:sSub>
              <m:r>
                <m:rPr>
                  <m:nor/>
                </m:rPr>
                <w:rPr>
                  <w:rFonts w:asciiTheme="majorHAnsi" w:eastAsia="Calibri" w:hAnsiTheme="majorHAnsi" w:cstheme="majorHAnsi"/>
                  <w:color w:val="000000" w:themeColor="text1"/>
                  <w:sz w:val="22"/>
                  <w:szCs w:val="22"/>
                  <w:lang w:eastAsia="ja-JP"/>
                </w:rPr>
                <m:t xml:space="preserve"> x 25 x </m:t>
              </m:r>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P</m:t>
                  </m:r>
                </m:e>
                <m:sub>
                  <m:r>
                    <m:rPr>
                      <m:nor/>
                    </m:rPr>
                    <w:rPr>
                      <w:rFonts w:asciiTheme="majorHAnsi" w:eastAsia="Calibri" w:hAnsiTheme="majorHAnsi" w:cstheme="majorHAnsi"/>
                      <w:color w:val="000000" w:themeColor="text1"/>
                      <w:sz w:val="22"/>
                      <w:szCs w:val="22"/>
                      <w:lang w:eastAsia="ja-JP"/>
                    </w:rPr>
                    <m:t>f</m:t>
                  </m:r>
                </m:sub>
              </m:sSub>
              <m:r>
                <m:rPr>
                  <m:nor/>
                </m:rPr>
                <w:rPr>
                  <w:rFonts w:asciiTheme="majorHAnsi" w:eastAsia="Calibri" w:hAnsiTheme="majorHAnsi" w:cstheme="majorHAnsi"/>
                  <w:color w:val="000000" w:themeColor="text1"/>
                  <w:sz w:val="22"/>
                  <w:szCs w:val="22"/>
                  <w:lang w:eastAsia="ja-JP"/>
                </w:rPr>
                <m:t xml:space="preserve"> </m:t>
              </m:r>
            </m:num>
            <m:den>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m</m:t>
                  </m:r>
                </m:e>
                <m:sub>
                  <m:r>
                    <m:rPr>
                      <m:nor/>
                    </m:rPr>
                    <w:rPr>
                      <w:rFonts w:asciiTheme="majorHAnsi" w:eastAsia="Calibri" w:hAnsiTheme="majorHAnsi" w:cstheme="majorHAnsi"/>
                      <w:color w:val="000000" w:themeColor="text1"/>
                      <w:sz w:val="22"/>
                      <w:szCs w:val="22"/>
                      <w:lang w:eastAsia="ja-JP"/>
                    </w:rPr>
                    <m:t>tf</m:t>
                  </m:r>
                </m:sub>
              </m:sSub>
              <m:r>
                <m:rPr>
                  <m:nor/>
                </m:rPr>
                <w:rPr>
                  <w:rFonts w:asciiTheme="majorHAnsi" w:eastAsia="Calibri" w:hAnsiTheme="majorHAnsi" w:cstheme="majorHAnsi"/>
                  <w:color w:val="000000" w:themeColor="text1"/>
                  <w:sz w:val="22"/>
                  <w:szCs w:val="22"/>
                  <w:lang w:eastAsia="ja-JP"/>
                </w:rPr>
                <m:t xml:space="preserve"> x 10 x (100 - </m:t>
              </m:r>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B</m:t>
                  </m:r>
                </m:e>
                <m:sub>
                  <m:r>
                    <m:rPr>
                      <m:nor/>
                    </m:rPr>
                    <w:rPr>
                      <w:rFonts w:asciiTheme="majorHAnsi" w:eastAsia="Calibri" w:hAnsiTheme="majorHAnsi" w:cstheme="majorHAnsi"/>
                      <w:color w:val="000000" w:themeColor="text1"/>
                      <w:sz w:val="22"/>
                      <w:szCs w:val="22"/>
                      <w:lang w:eastAsia="ja-JP"/>
                    </w:rPr>
                    <m:t>f</m:t>
                  </m:r>
                </m:sub>
              </m:sSub>
              <m:r>
                <m:rPr>
                  <m:nor/>
                </m:rPr>
                <w:rPr>
                  <w:rFonts w:asciiTheme="majorHAnsi" w:eastAsia="Calibri" w:hAnsiTheme="majorHAnsi" w:cstheme="majorHAnsi"/>
                  <w:color w:val="000000" w:themeColor="text1"/>
                  <w:sz w:val="22"/>
                  <w:szCs w:val="22"/>
                  <w:lang w:eastAsia="ja-JP"/>
                </w:rPr>
                <m:t>)</m:t>
              </m:r>
            </m:den>
          </m:f>
        </m:oMath>
      </m:oMathPara>
    </w:p>
    <w:p w14:paraId="5651DBE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pacing w:val="-4"/>
          <w:sz w:val="22"/>
          <w:szCs w:val="22"/>
          <w:lang w:eastAsia="ja-JP"/>
        </w:rPr>
      </w:pPr>
      <w:r w:rsidRPr="005E6B7C">
        <w:rPr>
          <w:rFonts w:asciiTheme="majorHAnsi" w:eastAsia="Yu Mincho" w:hAnsiTheme="majorHAnsi" w:cstheme="majorHAnsi"/>
          <w:i/>
          <w:iCs/>
          <w:color w:val="000000" w:themeColor="text1"/>
          <w:spacing w:val="-4"/>
          <w:sz w:val="22"/>
          <w:szCs w:val="22"/>
          <w:lang w:eastAsia="ja-JP"/>
        </w:rPr>
        <w:t>C</w:t>
      </w:r>
      <w:r w:rsidRPr="005E6B7C">
        <w:rPr>
          <w:rFonts w:asciiTheme="majorHAnsi" w:eastAsia="Yu Mincho" w:hAnsiTheme="majorHAnsi" w:cstheme="majorHAnsi"/>
          <w:i/>
          <w:iCs/>
          <w:color w:val="000000" w:themeColor="text1"/>
          <w:spacing w:val="-4"/>
          <w:sz w:val="22"/>
          <w:szCs w:val="22"/>
          <w:vertAlign w:val="subscript"/>
          <w:lang w:eastAsia="ja-JP"/>
        </w:rPr>
        <w:t>tf</w:t>
      </w:r>
      <w:r w:rsidRPr="005E6B7C">
        <w:rPr>
          <w:rFonts w:asciiTheme="majorHAnsi" w:eastAsia="Yu Mincho" w:hAnsiTheme="majorHAnsi" w:cstheme="majorHAnsi"/>
          <w:i/>
          <w:iCs/>
          <w:color w:val="000000" w:themeColor="text1"/>
          <w:spacing w:val="-4"/>
          <w:sz w:val="22"/>
          <w:szCs w:val="22"/>
          <w:lang w:eastAsia="ja-JP"/>
        </w:rPr>
        <w:t xml:space="preserve"> (mg/mL) is the total flavonoid concentration (expressed as rutin equivalents) in the test solution, calculated from the standard curve equation; m</w:t>
      </w:r>
      <w:r w:rsidRPr="005E6B7C">
        <w:rPr>
          <w:rFonts w:asciiTheme="majorHAnsi" w:eastAsia="Yu Mincho" w:hAnsiTheme="majorHAnsi" w:cstheme="majorHAnsi"/>
          <w:i/>
          <w:iCs/>
          <w:color w:val="000000" w:themeColor="text1"/>
          <w:spacing w:val="-4"/>
          <w:sz w:val="22"/>
          <w:szCs w:val="22"/>
          <w:vertAlign w:val="subscript"/>
          <w:lang w:eastAsia="ja-JP"/>
        </w:rPr>
        <w:t>tf</w:t>
      </w:r>
      <w:r w:rsidRPr="005E6B7C">
        <w:rPr>
          <w:rFonts w:asciiTheme="majorHAnsi" w:eastAsia="Yu Mincho" w:hAnsiTheme="majorHAnsi" w:cstheme="majorHAnsi"/>
          <w:i/>
          <w:iCs/>
          <w:color w:val="000000" w:themeColor="text1"/>
          <w:spacing w:val="-4"/>
          <w:sz w:val="22"/>
          <w:szCs w:val="22"/>
          <w:lang w:eastAsia="ja-JP"/>
        </w:rPr>
        <w:t xml:space="preserve"> (g) is the mass of the test sample; P</w:t>
      </w:r>
      <w:r w:rsidRPr="005E6B7C">
        <w:rPr>
          <w:rFonts w:asciiTheme="majorHAnsi" w:eastAsia="Yu Mincho" w:hAnsiTheme="majorHAnsi" w:cstheme="majorHAnsi"/>
          <w:i/>
          <w:iCs/>
          <w:color w:val="000000" w:themeColor="text1"/>
          <w:spacing w:val="-4"/>
          <w:sz w:val="22"/>
          <w:szCs w:val="22"/>
          <w:vertAlign w:val="subscript"/>
          <w:lang w:eastAsia="ja-JP"/>
        </w:rPr>
        <w:t>f</w:t>
      </w:r>
      <w:r w:rsidRPr="005E6B7C">
        <w:rPr>
          <w:rFonts w:asciiTheme="majorHAnsi" w:eastAsia="Yu Mincho" w:hAnsiTheme="majorHAnsi" w:cstheme="majorHAnsi"/>
          <w:i/>
          <w:iCs/>
          <w:color w:val="000000" w:themeColor="text1"/>
          <w:spacing w:val="-4"/>
          <w:sz w:val="22"/>
          <w:szCs w:val="22"/>
          <w:lang w:eastAsia="ja-JP"/>
        </w:rPr>
        <w:t xml:space="preserve"> (%) is the purity of </w:t>
      </w:r>
      <w:r w:rsidRPr="005E6B7C">
        <w:rPr>
          <w:rFonts w:asciiTheme="majorHAnsi" w:eastAsia="Yu Mincho" w:hAnsiTheme="majorHAnsi" w:cstheme="majorHAnsi"/>
          <w:i/>
          <w:iCs/>
          <w:color w:val="000000" w:themeColor="text1"/>
          <w:spacing w:val="-4"/>
          <w:sz w:val="22"/>
          <w:szCs w:val="22"/>
          <w:lang w:eastAsia="ja-JP"/>
        </w:rPr>
        <w:lastRenderedPageBreak/>
        <w:t>the rutin reference standard; and B</w:t>
      </w:r>
      <w:r w:rsidRPr="005E6B7C">
        <w:rPr>
          <w:rFonts w:asciiTheme="majorHAnsi" w:eastAsia="Yu Mincho" w:hAnsiTheme="majorHAnsi" w:cstheme="majorHAnsi"/>
          <w:i/>
          <w:iCs/>
          <w:color w:val="000000" w:themeColor="text1"/>
          <w:spacing w:val="-4"/>
          <w:sz w:val="22"/>
          <w:szCs w:val="22"/>
          <w:vertAlign w:val="subscript"/>
          <w:lang w:eastAsia="ja-JP"/>
        </w:rPr>
        <w:t>f</w:t>
      </w:r>
      <w:r w:rsidRPr="005E6B7C">
        <w:rPr>
          <w:rFonts w:asciiTheme="majorHAnsi" w:eastAsia="Yu Mincho" w:hAnsiTheme="majorHAnsi" w:cstheme="majorHAnsi"/>
          <w:i/>
          <w:iCs/>
          <w:color w:val="000000" w:themeColor="text1"/>
          <w:spacing w:val="-4"/>
          <w:sz w:val="22"/>
          <w:szCs w:val="22"/>
          <w:lang w:eastAsia="ja-JP"/>
        </w:rPr>
        <w:t xml:space="preserve"> (%) is the moisture content of the test sample.</w:t>
      </w:r>
    </w:p>
    <w:p w14:paraId="1D6E9DD1"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2.4.2. Determination of TPC</w:t>
      </w:r>
      <w:r w:rsidR="0087467D"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w:t>
      </w:r>
    </w:p>
    <w:p w14:paraId="37A90D6E"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Principle:</w:t>
      </w:r>
      <w:r w:rsidRPr="005E6B7C">
        <w:rPr>
          <w:rFonts w:asciiTheme="majorHAnsi" w:eastAsia="Yu Mincho" w:hAnsiTheme="majorHAnsi" w:cstheme="majorHAnsi"/>
          <w:color w:val="000000" w:themeColor="text1"/>
          <w:sz w:val="22"/>
          <w:szCs w:val="22"/>
          <w:lang w:eastAsia="ja-JP"/>
        </w:rPr>
        <w:t xml:space="preserve"> TPC was quantified by measuring the absorbance of the colored complex formed through the reaction with Folin–Ciocalteu (FC) reagent. </w:t>
      </w:r>
    </w:p>
    <w:p w14:paraId="6B74F8C5"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Preparation of standard curve:</w:t>
      </w:r>
      <w:r w:rsidRPr="005E6B7C">
        <w:rPr>
          <w:rFonts w:asciiTheme="majorHAnsi" w:eastAsia="Yu Mincho" w:hAnsiTheme="majorHAnsi" w:cstheme="majorHAnsi"/>
          <w:color w:val="000000" w:themeColor="text1"/>
          <w:sz w:val="22"/>
          <w:szCs w:val="22"/>
          <w:lang w:eastAsia="ja-JP"/>
        </w:rPr>
        <w:t xml:space="preserve"> A series of gallic acid standard solutions (0.1, 0.2, 0.4, 0.6, and 0.8 mg/mL) was prepared from a 1 mg/mL stock solution. </w:t>
      </w:r>
    </w:p>
    <w:p w14:paraId="0178862C"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0.1 g of the extract was extracted with 10 mL of 50% EtOH via ultrasonication for 30 minutes. The extraction was repeated, and the combined filtrates were made up to 25 mL in a volumetric flask. </w:t>
      </w:r>
    </w:p>
    <w:p w14:paraId="07BFE8FB" w14:textId="0831C1B0"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Procedure:</w:t>
      </w:r>
      <w:r w:rsidRPr="005E6B7C">
        <w:rPr>
          <w:rFonts w:asciiTheme="majorHAnsi" w:eastAsia="Yu Mincho" w:hAnsiTheme="majorHAnsi" w:cstheme="majorHAnsi"/>
          <w:color w:val="000000" w:themeColor="text1"/>
          <w:sz w:val="22"/>
          <w:szCs w:val="22"/>
          <w:lang w:eastAsia="ja-JP"/>
        </w:rPr>
        <w:t xml:space="preserve"> 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of the sample or standard was added to 9.3 mL of 2% Na</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CO</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followed by 0.5 mL of FC reagent. The mixture was incubated at 40°C for 1 hour. Absorbance was recorded at 760 nm. TPC was calculated as gallic acid equivalents.</w:t>
      </w:r>
    </w:p>
    <w:p w14:paraId="685991FD" w14:textId="77777777" w:rsidR="00E049CB" w:rsidRPr="005E6B7C" w:rsidRDefault="00E049CB" w:rsidP="008C0D47">
      <w:pPr>
        <w:tabs>
          <w:tab w:val="left" w:pos="9270"/>
        </w:tabs>
        <w:ind w:right="-20"/>
        <w:jc w:val="both"/>
        <w:rPr>
          <w:rFonts w:asciiTheme="majorHAnsi" w:eastAsia="Yu Mincho" w:hAnsiTheme="majorHAnsi" w:cstheme="majorHAnsi"/>
          <w:color w:val="000000" w:themeColor="text1"/>
          <w:sz w:val="22"/>
          <w:szCs w:val="22"/>
          <w:lang w:eastAsia="ja-JP"/>
        </w:rPr>
      </w:pPr>
      <m:oMathPara>
        <m:oMath>
          <m:r>
            <m:rPr>
              <m:nor/>
            </m:rPr>
            <w:rPr>
              <w:rFonts w:asciiTheme="majorHAnsi" w:eastAsia="Calibri" w:hAnsiTheme="majorHAnsi" w:cstheme="majorHAnsi"/>
              <w:color w:val="000000" w:themeColor="text1"/>
              <w:sz w:val="22"/>
              <w:szCs w:val="22"/>
              <w:lang w:eastAsia="ja-JP"/>
            </w:rPr>
            <m:t xml:space="preserve">TPC % = </m:t>
          </m:r>
          <m:f>
            <m:fPr>
              <m:ctrlPr>
                <w:rPr>
                  <w:rFonts w:ascii="Cambria Math" w:eastAsia="Calibri" w:hAnsi="Cambria Math" w:cstheme="majorHAnsi"/>
                  <w:color w:val="000000" w:themeColor="text1"/>
                  <w:sz w:val="22"/>
                  <w:szCs w:val="22"/>
                  <w:lang w:eastAsia="ja-JP"/>
                </w:rPr>
              </m:ctrlPr>
            </m:fPr>
            <m:num>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C</m:t>
                  </m:r>
                </m:e>
                <m:sub>
                  <m:r>
                    <m:rPr>
                      <m:nor/>
                    </m:rPr>
                    <w:rPr>
                      <w:rFonts w:asciiTheme="majorHAnsi" w:eastAsia="Calibri" w:hAnsiTheme="majorHAnsi" w:cstheme="majorHAnsi"/>
                      <w:color w:val="000000" w:themeColor="text1"/>
                      <w:sz w:val="22"/>
                      <w:szCs w:val="22"/>
                      <w:lang w:eastAsia="ja-JP"/>
                    </w:rPr>
                    <m:t>tp</m:t>
                  </m:r>
                </m:sub>
              </m:sSub>
              <m:r>
                <m:rPr>
                  <m:nor/>
                </m:rPr>
                <w:rPr>
                  <w:rFonts w:asciiTheme="majorHAnsi" w:eastAsia="Calibri" w:hAnsiTheme="majorHAnsi" w:cstheme="majorHAnsi"/>
                  <w:color w:val="000000" w:themeColor="text1"/>
                  <w:sz w:val="22"/>
                  <w:szCs w:val="22"/>
                  <w:lang w:eastAsia="ja-JP"/>
                </w:rPr>
                <m:t xml:space="preserve"> x 25 x </m:t>
              </m:r>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P</m:t>
                  </m:r>
                </m:e>
                <m:sub>
                  <m:r>
                    <m:rPr>
                      <m:nor/>
                    </m:rPr>
                    <w:rPr>
                      <w:rFonts w:asciiTheme="majorHAnsi" w:eastAsia="Calibri" w:hAnsiTheme="majorHAnsi" w:cstheme="majorHAnsi"/>
                      <w:color w:val="000000" w:themeColor="text1"/>
                      <w:sz w:val="22"/>
                      <w:szCs w:val="22"/>
                      <w:lang w:eastAsia="ja-JP"/>
                    </w:rPr>
                    <m:t>p</m:t>
                  </m:r>
                </m:sub>
              </m:sSub>
            </m:num>
            <m:den>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m</m:t>
                  </m:r>
                </m:e>
                <m:sub>
                  <m:r>
                    <m:rPr>
                      <m:nor/>
                    </m:rPr>
                    <w:rPr>
                      <w:rFonts w:asciiTheme="majorHAnsi" w:eastAsia="Calibri" w:hAnsiTheme="majorHAnsi" w:cstheme="majorHAnsi"/>
                      <w:color w:val="000000" w:themeColor="text1"/>
                      <w:sz w:val="22"/>
                      <w:szCs w:val="22"/>
                      <w:lang w:eastAsia="ja-JP"/>
                    </w:rPr>
                    <m:t>tp</m:t>
                  </m:r>
                </m:sub>
              </m:sSub>
              <m:r>
                <m:rPr>
                  <m:nor/>
                </m:rPr>
                <w:rPr>
                  <w:rFonts w:asciiTheme="majorHAnsi" w:eastAsia="Calibri" w:hAnsiTheme="majorHAnsi" w:cstheme="majorHAnsi"/>
                  <w:color w:val="000000" w:themeColor="text1"/>
                  <w:sz w:val="22"/>
                  <w:szCs w:val="22"/>
                  <w:lang w:eastAsia="ja-JP"/>
                </w:rPr>
                <m:t xml:space="preserve"> x 10 x (100 - </m:t>
              </m:r>
              <m:sSub>
                <m:sSubPr>
                  <m:ctrlPr>
                    <w:rPr>
                      <w:rFonts w:ascii="Cambria Math" w:eastAsia="Calibri" w:hAnsi="Cambria Math" w:cstheme="majorHAnsi"/>
                      <w:color w:val="000000" w:themeColor="text1"/>
                      <w:sz w:val="22"/>
                      <w:szCs w:val="22"/>
                      <w:lang w:eastAsia="ja-JP"/>
                    </w:rPr>
                  </m:ctrlPr>
                </m:sSubPr>
                <m:e>
                  <m:r>
                    <m:rPr>
                      <m:nor/>
                    </m:rPr>
                    <w:rPr>
                      <w:rFonts w:asciiTheme="majorHAnsi" w:eastAsia="Calibri" w:hAnsiTheme="majorHAnsi" w:cstheme="majorHAnsi"/>
                      <w:color w:val="000000" w:themeColor="text1"/>
                      <w:sz w:val="22"/>
                      <w:szCs w:val="22"/>
                      <w:lang w:eastAsia="ja-JP"/>
                    </w:rPr>
                    <m:t>B</m:t>
                  </m:r>
                </m:e>
                <m:sub>
                  <m:r>
                    <m:rPr>
                      <m:nor/>
                    </m:rPr>
                    <w:rPr>
                      <w:rFonts w:asciiTheme="majorHAnsi" w:eastAsia="Calibri" w:hAnsiTheme="majorHAnsi" w:cstheme="majorHAnsi"/>
                      <w:color w:val="000000" w:themeColor="text1"/>
                      <w:sz w:val="22"/>
                      <w:szCs w:val="22"/>
                      <w:lang w:eastAsia="ja-JP"/>
                    </w:rPr>
                    <m:t>p</m:t>
                  </m:r>
                </m:sub>
              </m:sSub>
              <m:r>
                <m:rPr>
                  <m:nor/>
                </m:rPr>
                <w:rPr>
                  <w:rFonts w:asciiTheme="majorHAnsi" w:eastAsia="Calibri" w:hAnsiTheme="majorHAnsi" w:cstheme="majorHAnsi"/>
                  <w:color w:val="000000" w:themeColor="text1"/>
                  <w:sz w:val="22"/>
                  <w:szCs w:val="22"/>
                  <w:lang w:eastAsia="ja-JP"/>
                </w:rPr>
                <m:t>)</m:t>
              </m:r>
            </m:den>
          </m:f>
        </m:oMath>
      </m:oMathPara>
    </w:p>
    <w:p w14:paraId="4F429414"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C</w:t>
      </w:r>
      <w:r w:rsidRPr="005E6B7C">
        <w:rPr>
          <w:rFonts w:asciiTheme="majorHAnsi" w:eastAsia="Yu Mincho" w:hAnsiTheme="majorHAnsi" w:cstheme="majorHAnsi"/>
          <w:i/>
          <w:iCs/>
          <w:color w:val="000000" w:themeColor="text1"/>
          <w:sz w:val="22"/>
          <w:szCs w:val="22"/>
          <w:vertAlign w:val="subscript"/>
          <w:lang w:eastAsia="ja-JP"/>
        </w:rPr>
        <w:t>tp</w:t>
      </w:r>
      <w:r w:rsidRPr="005E6B7C">
        <w:rPr>
          <w:rFonts w:asciiTheme="majorHAnsi" w:eastAsia="Yu Mincho" w:hAnsiTheme="majorHAnsi" w:cstheme="majorHAnsi"/>
          <w:i/>
          <w:iCs/>
          <w:color w:val="000000" w:themeColor="text1"/>
          <w:sz w:val="22"/>
          <w:szCs w:val="22"/>
          <w:lang w:eastAsia="ja-JP"/>
        </w:rPr>
        <w:t xml:space="preserve"> (mg/mL) is the total polyphenol concentration (calculated as gallic acid equivalents) in the test solution, derived from the standard curve equation; m</w:t>
      </w:r>
      <w:r w:rsidRPr="005E6B7C">
        <w:rPr>
          <w:rFonts w:asciiTheme="majorHAnsi" w:eastAsia="Yu Mincho" w:hAnsiTheme="majorHAnsi" w:cstheme="majorHAnsi"/>
          <w:i/>
          <w:iCs/>
          <w:color w:val="000000" w:themeColor="text1"/>
          <w:sz w:val="22"/>
          <w:szCs w:val="22"/>
          <w:vertAlign w:val="subscript"/>
          <w:lang w:eastAsia="ja-JP"/>
        </w:rPr>
        <w:t>tp</w:t>
      </w:r>
      <w:r w:rsidRPr="005E6B7C">
        <w:rPr>
          <w:rFonts w:asciiTheme="majorHAnsi" w:eastAsia="Yu Mincho" w:hAnsiTheme="majorHAnsi" w:cstheme="majorHAnsi"/>
          <w:i/>
          <w:iCs/>
          <w:color w:val="000000" w:themeColor="text1"/>
          <w:sz w:val="22"/>
          <w:szCs w:val="22"/>
          <w:lang w:eastAsia="ja-JP"/>
        </w:rPr>
        <w:t xml:space="preserve"> (g) is the mass of the test sample; Pp (%) is the purity of the gallic acid reference standard; and B</w:t>
      </w:r>
      <w:r w:rsidRPr="005E6B7C">
        <w:rPr>
          <w:rFonts w:asciiTheme="majorHAnsi" w:eastAsia="Yu Mincho" w:hAnsiTheme="majorHAnsi" w:cstheme="majorHAnsi"/>
          <w:i/>
          <w:iCs/>
          <w:color w:val="000000" w:themeColor="text1"/>
          <w:sz w:val="22"/>
          <w:szCs w:val="22"/>
          <w:vertAlign w:val="subscript"/>
          <w:lang w:eastAsia="ja-JP"/>
        </w:rPr>
        <w:t>p</w:t>
      </w:r>
      <w:r w:rsidRPr="005E6B7C">
        <w:rPr>
          <w:rFonts w:asciiTheme="majorHAnsi" w:eastAsia="Yu Mincho" w:hAnsiTheme="majorHAnsi" w:cstheme="majorHAnsi"/>
          <w:i/>
          <w:iCs/>
          <w:color w:val="000000" w:themeColor="text1"/>
          <w:sz w:val="22"/>
          <w:szCs w:val="22"/>
          <w:lang w:eastAsia="ja-JP"/>
        </w:rPr>
        <w:t xml:space="preserve"> (%) is the moisture content of the test sample.</w:t>
      </w:r>
    </w:p>
    <w:p w14:paraId="48379A7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2.5. Experimental Design and Optimization</w:t>
      </w:r>
    </w:p>
    <w:p w14:paraId="182E4B02"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The optimization process was conducted using a CCD implemented through Design-Expert 11.0 software. Three independent input factors were selected for investigation: ethanol concentration (EtOH), extraction temperature (ND), and extraction time (TG), which were coded in the experimental matrix as A, B, and C, respectively. The specific ranges for these factors are detailed in Table 1. The software generated a total of 20 experimental runs involving these three input variables. The dependent output variables (responses) were defined as TPC and TFC, which were evaluated according to the procedures described in Section 2.3</w:t>
      </w:r>
      <w:r w:rsidR="00243D58" w:rsidRPr="005E6B7C">
        <w:rPr>
          <w:rFonts w:asciiTheme="majorHAnsi" w:eastAsia="Yu Mincho" w:hAnsiTheme="majorHAnsi" w:cstheme="majorHAnsi"/>
          <w:color w:val="000000" w:themeColor="text1"/>
          <w:spacing w:val="4"/>
          <w:sz w:val="22"/>
          <w:szCs w:val="22"/>
          <w:lang w:eastAsia="ja-JP"/>
        </w:rPr>
        <w:t>.</w:t>
      </w:r>
    </w:p>
    <w:p w14:paraId="43005BE6"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7FD26E07" w14:textId="77777777" w:rsidR="00E049CB" w:rsidRPr="005E6B7C" w:rsidRDefault="00E049CB" w:rsidP="008C0D47">
      <w:pPr>
        <w:tabs>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1.</w:t>
      </w:r>
      <w:r w:rsidRPr="005E6B7C">
        <w:rPr>
          <w:rFonts w:asciiTheme="majorHAnsi" w:eastAsia="Yu Mincho" w:hAnsiTheme="majorHAnsi" w:cstheme="majorHAnsi"/>
          <w:color w:val="000000" w:themeColor="text1"/>
          <w:sz w:val="18"/>
          <w:szCs w:val="18"/>
          <w:lang w:eastAsia="ja-JP"/>
        </w:rPr>
        <w:t xml:space="preserve"> Experimental ranges and levels of the independent variables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52"/>
        <w:gridCol w:w="1208"/>
        <w:gridCol w:w="1103"/>
        <w:gridCol w:w="1322"/>
        <w:gridCol w:w="1323"/>
        <w:gridCol w:w="1191"/>
        <w:gridCol w:w="1473"/>
      </w:tblGrid>
      <w:tr w:rsidR="00E049CB" w:rsidRPr="005E6B7C" w14:paraId="6C6DBC97" w14:textId="77777777" w:rsidTr="003A2261">
        <w:trPr>
          <w:jc w:val="center"/>
        </w:trPr>
        <w:tc>
          <w:tcPr>
            <w:tcW w:w="1471" w:type="dxa"/>
            <w:vAlign w:val="center"/>
          </w:tcPr>
          <w:p w14:paraId="46D3FCD3"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Investigated Factor</w:t>
            </w:r>
          </w:p>
        </w:tc>
        <w:tc>
          <w:tcPr>
            <w:tcW w:w="1239" w:type="dxa"/>
            <w:vAlign w:val="center"/>
          </w:tcPr>
          <w:p w14:paraId="4D971546"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Lowest</w:t>
            </w:r>
          </w:p>
          <w:p w14:paraId="38180A7A"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(-α)</w:t>
            </w:r>
          </w:p>
        </w:tc>
        <w:tc>
          <w:tcPr>
            <w:tcW w:w="1124" w:type="dxa"/>
            <w:vAlign w:val="center"/>
          </w:tcPr>
          <w:p w14:paraId="0D56C151" w14:textId="77777777" w:rsidR="00E049CB" w:rsidRPr="005E6B7C" w:rsidDel="00271B63"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Highest</w:t>
            </w:r>
            <w:r w:rsidRPr="005E6B7C">
              <w:rPr>
                <w:rFonts w:asciiTheme="majorHAnsi" w:eastAsia="Calibri" w:hAnsiTheme="majorHAnsi" w:cstheme="majorHAnsi"/>
                <w:b/>
                <w:bCs/>
                <w:color w:val="000000" w:themeColor="text1"/>
                <w:sz w:val="18"/>
                <w:szCs w:val="18"/>
              </w:rPr>
              <w:t xml:space="preserve"> </w:t>
            </w:r>
            <w:r w:rsidRPr="005E6B7C">
              <w:rPr>
                <w:rFonts w:asciiTheme="majorHAnsi" w:eastAsia="Calibri" w:hAnsiTheme="majorHAnsi" w:cstheme="majorHAnsi"/>
                <w:b/>
                <w:bCs/>
                <w:color w:val="000000" w:themeColor="text1"/>
                <w:sz w:val="18"/>
                <w:szCs w:val="18"/>
                <w:lang w:val="vi-VN"/>
              </w:rPr>
              <w:t>(</w:t>
            </w:r>
            <w:r w:rsidRPr="005E6B7C">
              <w:rPr>
                <w:rFonts w:asciiTheme="majorHAnsi" w:eastAsia="Calibri" w:hAnsiTheme="majorHAnsi" w:cstheme="majorHAnsi"/>
                <w:b/>
                <w:bCs/>
                <w:color w:val="000000" w:themeColor="text1"/>
                <w:sz w:val="18"/>
                <w:szCs w:val="18"/>
              </w:rPr>
              <w:t>+</w:t>
            </w:r>
            <w:r w:rsidRPr="005E6B7C">
              <w:rPr>
                <w:rFonts w:asciiTheme="majorHAnsi" w:eastAsia="Calibri" w:hAnsiTheme="majorHAnsi" w:cstheme="majorHAnsi"/>
                <w:b/>
                <w:bCs/>
                <w:color w:val="000000" w:themeColor="text1"/>
                <w:sz w:val="18"/>
                <w:szCs w:val="18"/>
                <w:lang w:val="vi-VN"/>
              </w:rPr>
              <w:t>α)</w:t>
            </w:r>
          </w:p>
        </w:tc>
        <w:tc>
          <w:tcPr>
            <w:tcW w:w="1370" w:type="dxa"/>
            <w:vAlign w:val="center"/>
          </w:tcPr>
          <w:p w14:paraId="5442EF7B"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Low Level (-1)</w:t>
            </w:r>
          </w:p>
        </w:tc>
        <w:tc>
          <w:tcPr>
            <w:tcW w:w="1371" w:type="dxa"/>
            <w:vAlign w:val="center"/>
          </w:tcPr>
          <w:p w14:paraId="26EA1E39"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High Level (+1)</w:t>
            </w:r>
          </w:p>
        </w:tc>
        <w:tc>
          <w:tcPr>
            <w:tcW w:w="1222" w:type="dxa"/>
            <w:vAlign w:val="center"/>
          </w:tcPr>
          <w:p w14:paraId="7E9630B1"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Center Point (0)</w:t>
            </w:r>
          </w:p>
        </w:tc>
        <w:tc>
          <w:tcPr>
            <w:tcW w:w="1509" w:type="dxa"/>
            <w:vAlign w:val="center"/>
          </w:tcPr>
          <w:p w14:paraId="62D6FB26" w14:textId="77777777" w:rsidR="00E049CB" w:rsidRPr="005E6B7C" w:rsidRDefault="00E049CB" w:rsidP="008C0D47">
            <w:pPr>
              <w:tabs>
                <w:tab w:val="left" w:pos="9270"/>
              </w:tabs>
              <w:ind w:right="-20"/>
              <w:contextualSpacing/>
              <w:jc w:val="center"/>
              <w:rPr>
                <w:rFonts w:asciiTheme="majorHAnsi" w:eastAsia="Calibri" w:hAnsiTheme="majorHAnsi" w:cstheme="majorHAnsi"/>
                <w:b/>
                <w:bCs/>
                <w:color w:val="000000" w:themeColor="text1"/>
                <w:sz w:val="18"/>
                <w:szCs w:val="18"/>
              </w:rPr>
            </w:pPr>
            <w:r w:rsidRPr="005E6B7C">
              <w:rPr>
                <w:rFonts w:asciiTheme="majorHAnsi" w:eastAsia="Calibri" w:hAnsiTheme="majorHAnsi" w:cstheme="majorHAnsi"/>
                <w:b/>
                <w:bCs/>
                <w:color w:val="000000" w:themeColor="text1"/>
                <w:sz w:val="18"/>
                <w:szCs w:val="18"/>
                <w:lang w:val="vi-VN"/>
              </w:rPr>
              <w:t>Standard Deviation</w:t>
            </w:r>
          </w:p>
        </w:tc>
      </w:tr>
      <w:tr w:rsidR="00E049CB" w:rsidRPr="005E6B7C" w14:paraId="0C5794D0" w14:textId="77777777" w:rsidTr="003A2261">
        <w:trPr>
          <w:jc w:val="center"/>
        </w:trPr>
        <w:tc>
          <w:tcPr>
            <w:tcW w:w="1471" w:type="dxa"/>
            <w:vAlign w:val="center"/>
          </w:tcPr>
          <w:p w14:paraId="48E8DA40"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EtOH (%)</w:t>
            </w:r>
          </w:p>
        </w:tc>
        <w:tc>
          <w:tcPr>
            <w:tcW w:w="1239" w:type="dxa"/>
            <w:vAlign w:val="center"/>
          </w:tcPr>
          <w:p w14:paraId="2809AA95"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16.4</w:t>
            </w:r>
          </w:p>
        </w:tc>
        <w:tc>
          <w:tcPr>
            <w:tcW w:w="1124" w:type="dxa"/>
            <w:shd w:val="clear" w:color="auto" w:fill="FFFFFF"/>
            <w:vAlign w:val="center"/>
          </w:tcPr>
          <w:p w14:paraId="15E1EE19"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83.6</w:t>
            </w:r>
          </w:p>
        </w:tc>
        <w:tc>
          <w:tcPr>
            <w:tcW w:w="1370" w:type="dxa"/>
            <w:vAlign w:val="center"/>
          </w:tcPr>
          <w:p w14:paraId="1777F200"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30</w:t>
            </w:r>
          </w:p>
        </w:tc>
        <w:tc>
          <w:tcPr>
            <w:tcW w:w="1371" w:type="dxa"/>
            <w:vAlign w:val="center"/>
          </w:tcPr>
          <w:p w14:paraId="6F8BB753"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70</w:t>
            </w:r>
          </w:p>
        </w:tc>
        <w:tc>
          <w:tcPr>
            <w:tcW w:w="1222" w:type="dxa"/>
            <w:vAlign w:val="center"/>
          </w:tcPr>
          <w:p w14:paraId="5E04D660"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50</w:t>
            </w:r>
          </w:p>
        </w:tc>
        <w:tc>
          <w:tcPr>
            <w:tcW w:w="1509" w:type="dxa"/>
            <w:vAlign w:val="center"/>
          </w:tcPr>
          <w:p w14:paraId="7AA0F803"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16.95</w:t>
            </w:r>
          </w:p>
        </w:tc>
      </w:tr>
      <w:tr w:rsidR="00E049CB" w:rsidRPr="005E6B7C" w14:paraId="3CE900C3" w14:textId="77777777" w:rsidTr="003A2261">
        <w:trPr>
          <w:jc w:val="center"/>
        </w:trPr>
        <w:tc>
          <w:tcPr>
            <w:tcW w:w="1471" w:type="dxa"/>
            <w:vAlign w:val="center"/>
          </w:tcPr>
          <w:p w14:paraId="16F49DA5"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commentRangeStart w:id="46"/>
            <w:r w:rsidRPr="005E6B7C">
              <w:rPr>
                <w:rFonts w:asciiTheme="majorHAnsi" w:eastAsia="Calibri" w:hAnsiTheme="majorHAnsi" w:cstheme="majorHAnsi"/>
                <w:color w:val="000000" w:themeColor="text1"/>
                <w:sz w:val="18"/>
                <w:szCs w:val="18"/>
              </w:rPr>
              <w:t>ND</w:t>
            </w:r>
            <w:commentRangeEnd w:id="46"/>
            <w:r w:rsidR="00843562" w:rsidRPr="005E6B7C">
              <w:rPr>
                <w:rStyle w:val="CommentReference"/>
                <w:rFonts w:ascii="VNI-Times" w:hAnsi="VNI-Times"/>
                <w:bCs/>
                <w:lang w:val="x-none" w:eastAsia="x-none"/>
              </w:rPr>
              <w:commentReference w:id="46"/>
            </w:r>
            <w:r w:rsidRPr="005E6B7C">
              <w:rPr>
                <w:rFonts w:asciiTheme="majorHAnsi" w:eastAsia="Calibri" w:hAnsiTheme="majorHAnsi" w:cstheme="majorHAnsi"/>
                <w:color w:val="000000" w:themeColor="text1"/>
                <w:sz w:val="18"/>
                <w:szCs w:val="18"/>
              </w:rPr>
              <w:t xml:space="preserve"> (</w:t>
            </w:r>
            <w:r w:rsidRPr="005E6B7C">
              <w:rPr>
                <w:rFonts w:asciiTheme="majorHAnsi" w:eastAsia="Calibri" w:hAnsiTheme="majorHAnsi" w:cstheme="majorHAnsi"/>
                <w:color w:val="000000" w:themeColor="text1"/>
                <w:sz w:val="18"/>
                <w:szCs w:val="18"/>
                <w:vertAlign w:val="superscript"/>
              </w:rPr>
              <w:t>o</w:t>
            </w:r>
            <w:r w:rsidRPr="005E6B7C">
              <w:rPr>
                <w:rFonts w:asciiTheme="majorHAnsi" w:eastAsia="Calibri" w:hAnsiTheme="majorHAnsi" w:cstheme="majorHAnsi"/>
                <w:color w:val="000000" w:themeColor="text1"/>
                <w:sz w:val="18"/>
                <w:szCs w:val="18"/>
              </w:rPr>
              <w:t>C)</w:t>
            </w:r>
          </w:p>
        </w:tc>
        <w:tc>
          <w:tcPr>
            <w:tcW w:w="1239" w:type="dxa"/>
            <w:vAlign w:val="center"/>
          </w:tcPr>
          <w:p w14:paraId="4150919E"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26.4</w:t>
            </w:r>
          </w:p>
        </w:tc>
        <w:tc>
          <w:tcPr>
            <w:tcW w:w="1124" w:type="dxa"/>
            <w:shd w:val="clear" w:color="auto" w:fill="FFFFFF"/>
            <w:vAlign w:val="center"/>
          </w:tcPr>
          <w:p w14:paraId="4AEF2999"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93.6</w:t>
            </w:r>
          </w:p>
        </w:tc>
        <w:tc>
          <w:tcPr>
            <w:tcW w:w="1370" w:type="dxa"/>
            <w:vAlign w:val="center"/>
          </w:tcPr>
          <w:p w14:paraId="541BAC32"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40</w:t>
            </w:r>
          </w:p>
        </w:tc>
        <w:tc>
          <w:tcPr>
            <w:tcW w:w="1371" w:type="dxa"/>
            <w:vAlign w:val="center"/>
          </w:tcPr>
          <w:p w14:paraId="44A9DD4B"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80</w:t>
            </w:r>
          </w:p>
        </w:tc>
        <w:tc>
          <w:tcPr>
            <w:tcW w:w="1222" w:type="dxa"/>
            <w:vAlign w:val="center"/>
          </w:tcPr>
          <w:p w14:paraId="439B6C00"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60</w:t>
            </w:r>
          </w:p>
        </w:tc>
        <w:tc>
          <w:tcPr>
            <w:tcW w:w="1509" w:type="dxa"/>
            <w:vAlign w:val="center"/>
          </w:tcPr>
          <w:p w14:paraId="3C8B091A"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16.95</w:t>
            </w:r>
          </w:p>
        </w:tc>
      </w:tr>
      <w:tr w:rsidR="00E049CB" w:rsidRPr="005E6B7C" w14:paraId="3386DDD6" w14:textId="77777777" w:rsidTr="003A2261">
        <w:trPr>
          <w:jc w:val="center"/>
        </w:trPr>
        <w:tc>
          <w:tcPr>
            <w:tcW w:w="1471" w:type="dxa"/>
            <w:vAlign w:val="center"/>
          </w:tcPr>
          <w:p w14:paraId="51CF1C45"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TG (h)</w:t>
            </w:r>
          </w:p>
        </w:tc>
        <w:tc>
          <w:tcPr>
            <w:tcW w:w="1239" w:type="dxa"/>
            <w:vAlign w:val="center"/>
          </w:tcPr>
          <w:p w14:paraId="117C5E55"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3.3</w:t>
            </w:r>
          </w:p>
        </w:tc>
        <w:tc>
          <w:tcPr>
            <w:tcW w:w="1124" w:type="dxa"/>
            <w:shd w:val="clear" w:color="auto" w:fill="FFFFFF"/>
            <w:vAlign w:val="center"/>
          </w:tcPr>
          <w:p w14:paraId="6B3B9F7E"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6.7</w:t>
            </w:r>
          </w:p>
        </w:tc>
        <w:tc>
          <w:tcPr>
            <w:tcW w:w="1370" w:type="dxa"/>
            <w:vAlign w:val="center"/>
          </w:tcPr>
          <w:p w14:paraId="6962A2F3"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4</w:t>
            </w:r>
          </w:p>
        </w:tc>
        <w:tc>
          <w:tcPr>
            <w:tcW w:w="1371" w:type="dxa"/>
            <w:vAlign w:val="center"/>
          </w:tcPr>
          <w:p w14:paraId="08123FFD"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+1 ↔ 6</w:t>
            </w:r>
          </w:p>
        </w:tc>
        <w:tc>
          <w:tcPr>
            <w:tcW w:w="1222" w:type="dxa"/>
            <w:vAlign w:val="center"/>
          </w:tcPr>
          <w:p w14:paraId="3F2D7C1E"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rPr>
            </w:pPr>
            <w:r w:rsidRPr="005E6B7C">
              <w:rPr>
                <w:rFonts w:asciiTheme="majorHAnsi" w:eastAsia="Calibri" w:hAnsiTheme="majorHAnsi" w:cstheme="majorHAnsi"/>
                <w:color w:val="000000" w:themeColor="text1"/>
                <w:sz w:val="18"/>
                <w:szCs w:val="18"/>
              </w:rPr>
              <w:t>5</w:t>
            </w:r>
          </w:p>
        </w:tc>
        <w:tc>
          <w:tcPr>
            <w:tcW w:w="1509" w:type="dxa"/>
            <w:vAlign w:val="center"/>
          </w:tcPr>
          <w:p w14:paraId="4EFF4F02" w14:textId="77777777" w:rsidR="00E049CB" w:rsidRPr="005E6B7C" w:rsidRDefault="00E049CB" w:rsidP="008C0D47">
            <w:pPr>
              <w:tabs>
                <w:tab w:val="left" w:pos="9270"/>
              </w:tabs>
              <w:ind w:right="-20"/>
              <w:contextualSpacing/>
              <w:jc w:val="center"/>
              <w:rPr>
                <w:rFonts w:asciiTheme="majorHAnsi" w:eastAsia="Calibri" w:hAnsiTheme="majorHAnsi" w:cstheme="majorHAnsi"/>
                <w:color w:val="000000" w:themeColor="text1"/>
                <w:sz w:val="18"/>
                <w:szCs w:val="18"/>
                <w:lang w:val="vi-VN"/>
              </w:rPr>
            </w:pPr>
            <w:r w:rsidRPr="005E6B7C">
              <w:rPr>
                <w:rFonts w:asciiTheme="majorHAnsi" w:eastAsia="Calibri" w:hAnsiTheme="majorHAnsi" w:cstheme="majorHAnsi"/>
                <w:color w:val="000000" w:themeColor="text1"/>
                <w:sz w:val="18"/>
                <w:szCs w:val="18"/>
              </w:rPr>
              <w:t>0.8516</w:t>
            </w:r>
          </w:p>
        </w:tc>
      </w:tr>
    </w:tbl>
    <w:p w14:paraId="57F939FA" w14:textId="77777777" w:rsidR="003A2261" w:rsidRPr="005E6B7C" w:rsidRDefault="003A2261" w:rsidP="008C0D47">
      <w:pPr>
        <w:tabs>
          <w:tab w:val="left" w:pos="9270"/>
        </w:tabs>
        <w:ind w:right="-20"/>
        <w:jc w:val="both"/>
        <w:rPr>
          <w:rFonts w:asciiTheme="majorHAnsi" w:eastAsia="Yu Mincho" w:hAnsiTheme="majorHAnsi" w:cstheme="majorHAnsi"/>
          <w:color w:val="000000" w:themeColor="text1"/>
          <w:sz w:val="22"/>
          <w:szCs w:val="22"/>
          <w:lang w:eastAsia="ja-JP"/>
        </w:rPr>
      </w:pPr>
    </w:p>
    <w:p w14:paraId="0F32007E"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0C499EFE" w14:textId="48DBF488"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eastAsia="ja-JP"/>
        </w:rPr>
        <w:t xml:space="preserve">The selection of independent variable ranges (Table </w:t>
      </w:r>
      <w:r w:rsidR="00843562" w:rsidRPr="005E6B7C">
        <w:rPr>
          <w:rFonts w:asciiTheme="majorHAnsi" w:eastAsia="Yu Mincho" w:hAnsiTheme="majorHAnsi" w:cstheme="majorHAnsi"/>
          <w:color w:val="000000" w:themeColor="text1"/>
          <w:spacing w:val="6"/>
          <w:sz w:val="22"/>
          <w:szCs w:val="22"/>
          <w:lang w:eastAsia="ja-JP"/>
        </w:rPr>
        <w:t>1</w:t>
      </w:r>
      <w:r w:rsidRPr="005E6B7C">
        <w:rPr>
          <w:rFonts w:asciiTheme="majorHAnsi" w:eastAsia="Yu Mincho" w:hAnsiTheme="majorHAnsi" w:cstheme="majorHAnsi"/>
          <w:color w:val="000000" w:themeColor="text1"/>
          <w:spacing w:val="6"/>
          <w:sz w:val="22"/>
          <w:szCs w:val="22"/>
          <w:lang w:eastAsia="ja-JP"/>
        </w:rPr>
        <w:t xml:space="preserve">) was based on preliminary single-factor experiments and established literature on the extraction of bioactive compounds from the </w:t>
      </w:r>
      <w:r w:rsidRPr="005E6B7C">
        <w:rPr>
          <w:rFonts w:asciiTheme="majorHAnsi" w:eastAsia="Yu Mincho" w:hAnsiTheme="majorHAnsi" w:cstheme="majorHAnsi"/>
          <w:i/>
          <w:color w:val="000000" w:themeColor="text1"/>
          <w:spacing w:val="6"/>
          <w:sz w:val="22"/>
          <w:szCs w:val="22"/>
          <w:lang w:eastAsia="ja-JP"/>
        </w:rPr>
        <w:t>Camellia</w:t>
      </w:r>
      <w:r w:rsidRPr="005E6B7C">
        <w:rPr>
          <w:rFonts w:asciiTheme="majorHAnsi" w:eastAsia="Yu Mincho" w:hAnsiTheme="majorHAnsi" w:cstheme="majorHAnsi"/>
          <w:color w:val="000000" w:themeColor="text1"/>
          <w:spacing w:val="6"/>
          <w:sz w:val="22"/>
          <w:szCs w:val="22"/>
          <w:lang w:eastAsia="ja-JP"/>
        </w:rPr>
        <w:t xml:space="preserve"> genus </w:t>
      </w:r>
      <w:r w:rsidRPr="005E6B7C">
        <w:rPr>
          <w:rFonts w:asciiTheme="majorHAnsi" w:eastAsia="Yu Mincho" w:hAnsiTheme="majorHAnsi" w:cstheme="majorHAnsi"/>
          <w:color w:val="000000" w:themeColor="text1"/>
          <w:spacing w:val="6"/>
          <w:sz w:val="22"/>
          <w:szCs w:val="22"/>
          <w:lang w:eastAsia="ja-JP"/>
        </w:rPr>
        <w:fldChar w:fldCharType="begin"/>
      </w:r>
      <w:r w:rsidRPr="005E6B7C">
        <w:rPr>
          <w:rFonts w:asciiTheme="majorHAnsi" w:eastAsia="Yu Mincho" w:hAnsiTheme="majorHAnsi" w:cstheme="majorHAnsi"/>
          <w:color w:val="000000" w:themeColor="text1"/>
          <w:spacing w:val="6"/>
          <w:sz w:val="22"/>
          <w:szCs w:val="22"/>
          <w:lang w:eastAsia="ja-JP"/>
        </w:rPr>
        <w:instrText xml:space="preserve"> ADDIN EN.CITE &lt;EndNote&gt;&lt;Cite&gt;&lt;Author&gt;Huynh&lt;/Author&gt;&lt;Year&gt;2019&lt;/Year&gt;&lt;RecNum&gt;35&lt;/RecNum&gt;&lt;DisplayText&gt;[12]&lt;/DisplayText&gt;&lt;record&gt;&lt;rec-number&gt;35&lt;/rec-number&gt;&lt;foreign-keys&gt;&lt;key app="EN" db-id="dv2pess0b9edt5et90npa0fdp9sv9xfp5r5r" timestamp="1773124545"&gt;35&lt;/key&gt;&lt;/foreign-keys&gt;&lt;ref-type name="Journal Article"&gt;17&lt;/ref-type&gt;&lt;contributors&gt;&lt;authors&gt;&lt;author&gt;Huynh, D. D.&lt;/author&gt;&lt;author&gt;Lu, H. T. L.&lt;/author&gt;&lt;author&gt;Luong, V. D.,&lt;/author&gt;&lt;author&gt;Nguyen, T. T. U.&lt;/author&gt;&lt;author&gt;Trinh, T. D.&lt;/author&gt;&lt;/authors&gt;&lt;/contributors&gt;&lt;titles&gt;&lt;title&gt;&lt;style face="normal" font="default" size="100%"&gt;Optimization of extraction conditions for phenolic compounds from leaves of &lt;/style&gt;&lt;style face="italic" font="default" size="100%"&gt;Camellia dalatensis&lt;/style&gt;&lt;style face="normal" font="default" size="100%"&gt; Luong, Tran &amp;amp; Hakoda&lt;/style&gt;&lt;/title&gt;&lt;secondary-title&gt;Dalat university journal of science&lt;/secondary-title&gt;&lt;/titles&gt;&lt;periodical&gt;&lt;full-title&gt;Dalat University Journal of Science&lt;/full-title&gt;&lt;/periodical&gt;&lt;pages&gt;34-48&lt;/pages&gt;&lt;volume&gt;9&lt;/volume&gt;&lt;number&gt;2&lt;/number&gt;&lt;dates&gt;&lt;year&gt;2019&lt;/year&gt;&lt;/dates&gt;&lt;urls&gt;&lt;/urls&gt;&lt;/record&gt;&lt;/Cite&gt;&lt;/EndNote&gt;</w:instrText>
      </w:r>
      <w:r w:rsidRPr="005E6B7C">
        <w:rPr>
          <w:rFonts w:asciiTheme="majorHAnsi" w:eastAsia="Yu Mincho" w:hAnsiTheme="majorHAnsi" w:cstheme="majorHAnsi"/>
          <w:color w:val="000000" w:themeColor="text1"/>
          <w:spacing w:val="6"/>
          <w:sz w:val="22"/>
          <w:szCs w:val="22"/>
          <w:lang w:eastAsia="ja-JP"/>
        </w:rPr>
        <w:fldChar w:fldCharType="separate"/>
      </w:r>
      <w:r w:rsidRPr="005E6B7C">
        <w:rPr>
          <w:rFonts w:asciiTheme="majorHAnsi" w:eastAsia="Yu Mincho" w:hAnsiTheme="majorHAnsi" w:cstheme="majorHAnsi"/>
          <w:noProof/>
          <w:color w:val="000000" w:themeColor="text1"/>
          <w:spacing w:val="6"/>
          <w:sz w:val="22"/>
          <w:szCs w:val="22"/>
          <w:lang w:eastAsia="ja-JP"/>
        </w:rPr>
        <w:t>[12]</w:t>
      </w:r>
      <w:r w:rsidRPr="005E6B7C">
        <w:rPr>
          <w:rFonts w:asciiTheme="majorHAnsi" w:eastAsia="Yu Mincho" w:hAnsiTheme="majorHAnsi" w:cstheme="majorHAnsi"/>
          <w:color w:val="000000" w:themeColor="text1"/>
          <w:spacing w:val="6"/>
          <w:sz w:val="22"/>
          <w:szCs w:val="22"/>
          <w:lang w:eastAsia="ja-JP"/>
        </w:rPr>
        <w:fldChar w:fldCharType="end"/>
      </w:r>
      <w:r w:rsidRPr="005E6B7C">
        <w:rPr>
          <w:rFonts w:asciiTheme="majorHAnsi" w:eastAsia="Yu Mincho" w:hAnsiTheme="majorHAnsi" w:cstheme="majorHAnsi"/>
          <w:color w:val="000000" w:themeColor="text1"/>
          <w:spacing w:val="6"/>
          <w:sz w:val="22"/>
          <w:szCs w:val="22"/>
          <w:lang w:eastAsia="ja-JP"/>
        </w:rPr>
        <w:t>. Specifically, ethanol concentration (30–70%) was chosen to balance solvent polarity for diverse flavonoid and polyphenol recovery. Extraction temperature (40–80°C) was set to facilitate mass transfer without causing significant thermal degradation of thermo-sensitive compounds. These boundaries ensured that the experimental design space captured the true optimal regions while maintaining the stability of the target bioactive markers.</w:t>
      </w:r>
    </w:p>
    <w:p w14:paraId="7F65391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this study, TPC and TFC were exclusively selected as the responses for the optimization model. While total extraction yield (% yield) provides information on the total mass recovery, it often includes significant amounts of non-bioactive ballast materials (such as sugars, fibers, </w:t>
      </w:r>
      <w:r w:rsidRPr="005E6B7C">
        <w:rPr>
          <w:rFonts w:asciiTheme="majorHAnsi" w:eastAsia="Yu Mincho" w:hAnsiTheme="majorHAnsi" w:cstheme="majorHAnsi"/>
          <w:color w:val="000000" w:themeColor="text1"/>
          <w:sz w:val="22"/>
          <w:szCs w:val="22"/>
          <w:lang w:eastAsia="ja-JP"/>
        </w:rPr>
        <w:t xml:space="preserve">and chlorophyll). For the development of high-quality medicinal extracts, prioritizing the concentration of specific bioactive markers is more critical for ensuring therapeutic efficacy than simply maximizing the total dry matter recovery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&lt;EndNote&gt;&lt;Cite&gt;&lt;Author&gt;Huynh&lt;/Author&gt;&lt;Year&gt;2019&lt;/Year&gt;&lt;RecNum&gt;35&lt;/RecNum&gt;&lt;DisplayText&gt;[12]&lt;/DisplayText&gt;&lt;record&gt;&lt;rec-number&gt;35&lt;/rec-number&gt;&lt;foreign-keys&gt;&lt;key app="EN" db-id="dv2pess0b9edt5et90npa0fdp9sv9xfp5r5r" timestamp="1773124545"&gt;35&lt;/key&gt;&lt;/foreign-keys&gt;&lt;ref-type name="Journal Article"&gt;17&lt;/ref-type&gt;&lt;contributors&gt;&lt;authors&gt;&lt;author&gt;Huynh, D. D.&lt;/author&gt;&lt;author&gt;Lu, H. T. L.&lt;/author&gt;&lt;author&gt;Luong, V. D.,&lt;/author&gt;&lt;author&gt;Nguyen, T. T. U.&lt;/author&gt;&lt;author&gt;Trinh, T. D.&lt;/author&gt;&lt;/authors&gt;&lt;/contributors&gt;&lt;titles&gt;&lt;title&gt;&lt;style face="normal" font="default" size="100%"&gt;Optimization of extraction conditions for phenolic compounds from leaves of &lt;/style&gt;&lt;style face="italic" font="default" size="100%"&gt;Camellia dalatensis&lt;/style&gt;&lt;style face="normal" font="default" size="100%"&gt; Luong, Tran &amp;amp; Hakoda&lt;/style&gt;&lt;/title&gt;&lt;secondary-title&gt;Dalat university journal of science&lt;/secondary-title&gt;&lt;/titles&gt;&lt;periodical&gt;&lt;full-title&gt;Dalat University Journal of Science&lt;/full-title&gt;&lt;/periodical&gt;&lt;pages&gt;34-48&lt;/pages&gt;&lt;volume&gt;9&lt;/volume&gt;&lt;number&gt;2&lt;/number&gt;&lt;dates&gt;&lt;year&gt;2019&lt;/year&gt;&lt;/dates&gt;&lt;urls&gt;&lt;/urls&gt;&lt;/record&gt;&lt;/Cite&gt;&lt;/EndNote&gt;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694CC1E8"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2.6. Experimental Model Validation</w:t>
      </w:r>
    </w:p>
    <w:p w14:paraId="40B7E049"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To verify the compatibility between the theoretical results predicted by the CCD model and the actual experimental performance, the extraction process was re-executed under the determined optimal conditions. The experimental values for TFC and TPC were considered compatible with the model if the relative error did not exceed 5% compared to the software's predicted values.</w:t>
      </w:r>
    </w:p>
    <w:p w14:paraId="692425C9"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2.7. Statistical Analysis and Data Processing</w:t>
      </w:r>
    </w:p>
    <w:p w14:paraId="2ACA84FC"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Design-Expert 11.0 software was utilized for the optimization of the extraction process input and output parameters. All experimental data were statistically processed using Microsoft Office Excel 2021.</w:t>
      </w:r>
    </w:p>
    <w:p w14:paraId="365C7FC7"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lastRenderedPageBreak/>
        <w:t>3.</w:t>
      </w:r>
      <w:r w:rsidR="0087467D" w:rsidRPr="005E6B7C">
        <w:rPr>
          <w:rFonts w:asciiTheme="majorHAnsi" w:eastAsia="Yu Mincho" w:hAnsiTheme="majorHAnsi" w:cstheme="majorHAnsi"/>
          <w:b/>
          <w:bCs/>
          <w:color w:val="000000" w:themeColor="text1"/>
          <w:sz w:val="22"/>
          <w:szCs w:val="22"/>
          <w:lang w:eastAsia="ja-JP"/>
        </w:rPr>
        <w:t xml:space="preserve"> Results and Discussion</w:t>
      </w:r>
      <w:r w:rsidRPr="005E6B7C">
        <w:rPr>
          <w:rFonts w:asciiTheme="majorHAnsi" w:eastAsia="Yu Mincho" w:hAnsiTheme="majorHAnsi" w:cstheme="majorHAnsi"/>
          <w:b/>
          <w:bCs/>
          <w:color w:val="000000" w:themeColor="text1"/>
          <w:sz w:val="22"/>
          <w:szCs w:val="22"/>
          <w:lang w:eastAsia="ja-JP"/>
        </w:rPr>
        <w:t xml:space="preserve"> </w:t>
      </w:r>
    </w:p>
    <w:p w14:paraId="159ED308"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3.1. Yields of Total Flavonoids and Total Polyphenols according to the CCD Model </w:t>
      </w:r>
    </w:p>
    <w:p w14:paraId="0912964D"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Identifying critical input factors and their optimal values is essential for developing an effective extraction method. This study utilized a CCD to evaluate the influence of ethanol concentration (A), temperature (B), and extraction time (C) on the TFC and TPC.</w:t>
      </w:r>
    </w:p>
    <w:p w14:paraId="291CCAE3"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Table </w:t>
      </w:r>
      <w:r w:rsidR="0087467D" w:rsidRPr="005E6B7C">
        <w:rPr>
          <w:rFonts w:asciiTheme="majorHAnsi" w:eastAsia="Yu Mincho" w:hAnsiTheme="majorHAnsi" w:cstheme="majorHAnsi"/>
          <w:color w:val="000000" w:themeColor="text1"/>
          <w:sz w:val="22"/>
          <w:szCs w:val="22"/>
          <w:lang w:eastAsia="ja-JP"/>
        </w:rPr>
        <w:t xml:space="preserve">2 </w:t>
      </w:r>
      <w:r w:rsidRPr="005E6B7C">
        <w:rPr>
          <w:rFonts w:asciiTheme="majorHAnsi" w:eastAsia="Yu Mincho" w:hAnsiTheme="majorHAnsi" w:cstheme="majorHAnsi"/>
          <w:color w:val="000000" w:themeColor="text1"/>
          <w:sz w:val="22"/>
          <w:szCs w:val="22"/>
          <w:lang w:eastAsia="ja-JP"/>
        </w:rPr>
        <w:t>presents the TFC and TPC results for the 20 experimental runs. The TFC was calculated based on the linear relationship between absorbance and rutin concentration, using the equation y = 1.0611x - 0.0108 with a correlation coefficient of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 0.9997. The TPC was determined via the linear regression equation between absorbance and gallic acid concentration: y = 0.6465x - 0.0137 with a correlation coefficient of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 0.9994.</w:t>
      </w:r>
    </w:p>
    <w:p w14:paraId="50A021CF" w14:textId="0AE08D1F"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br w:type="column"/>
      </w:r>
      <w:r w:rsidR="00E049CB" w:rsidRPr="005E6B7C">
        <w:rPr>
          <w:rFonts w:asciiTheme="majorHAnsi" w:eastAsia="Yu Mincho" w:hAnsiTheme="majorHAnsi" w:cstheme="majorHAnsi"/>
          <w:color w:val="000000" w:themeColor="text1"/>
          <w:sz w:val="22"/>
          <w:szCs w:val="22"/>
          <w:lang w:eastAsia="ja-JP"/>
        </w:rPr>
        <w:t xml:space="preserve">Our results in Table </w:t>
      </w:r>
      <w:r w:rsidR="00843562" w:rsidRPr="005E6B7C">
        <w:rPr>
          <w:rFonts w:asciiTheme="majorHAnsi" w:eastAsia="Yu Mincho" w:hAnsiTheme="majorHAnsi" w:cstheme="majorHAnsi"/>
          <w:color w:val="000000" w:themeColor="text1"/>
          <w:sz w:val="22"/>
          <w:szCs w:val="22"/>
          <w:lang w:eastAsia="ja-JP"/>
        </w:rPr>
        <w:t>2</w:t>
      </w:r>
      <w:r w:rsidR="00E049CB" w:rsidRPr="005E6B7C">
        <w:rPr>
          <w:rFonts w:asciiTheme="majorHAnsi" w:eastAsia="Yu Mincho" w:hAnsiTheme="majorHAnsi" w:cstheme="majorHAnsi"/>
          <w:color w:val="000000" w:themeColor="text1"/>
          <w:sz w:val="22"/>
          <w:szCs w:val="22"/>
          <w:lang w:eastAsia="ja-JP"/>
        </w:rPr>
        <w:t xml:space="preserve"> demonstrated the stability and reliability of the model through the center point replicates (Runs 15 to 20), where TFC and TPC values fluctuated within a narrow range of 14.92–15.49% and 33.07–33.61%, respectively, proving the reproducibility of the experiments.</w:t>
      </w:r>
    </w:p>
    <w:p w14:paraId="2A3DD6A5" w14:textId="77777777" w:rsidR="00E049CB" w:rsidRPr="005E6B7C" w:rsidRDefault="00E049CB" w:rsidP="008C0D47">
      <w:pPr>
        <w:tabs>
          <w:tab w:val="left" w:pos="9270"/>
        </w:tabs>
        <w:spacing w:before="120"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w:t>
      </w:r>
      <w:r w:rsidR="0087467D"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Experimental results for TFC and TPC</w:t>
      </w:r>
    </w:p>
    <w:tbl>
      <w:tblPr>
        <w:tblStyle w:val="TableGrid"/>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78"/>
        <w:gridCol w:w="1282"/>
        <w:gridCol w:w="1304"/>
        <w:gridCol w:w="1295"/>
        <w:gridCol w:w="1295"/>
        <w:gridCol w:w="1309"/>
        <w:gridCol w:w="1309"/>
      </w:tblGrid>
      <w:tr w:rsidR="00573010" w:rsidRPr="005E6B7C" w14:paraId="20A6611E" w14:textId="77777777" w:rsidTr="003A2261">
        <w:trPr>
          <w:jc w:val="center"/>
        </w:trPr>
        <w:tc>
          <w:tcPr>
            <w:tcW w:w="1335" w:type="dxa"/>
            <w:vAlign w:val="center"/>
          </w:tcPr>
          <w:p w14:paraId="2160469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Std</w:t>
            </w:r>
          </w:p>
        </w:tc>
        <w:tc>
          <w:tcPr>
            <w:tcW w:w="1335" w:type="dxa"/>
            <w:vAlign w:val="center"/>
          </w:tcPr>
          <w:p w14:paraId="0581EA9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Run</w:t>
            </w:r>
          </w:p>
        </w:tc>
        <w:tc>
          <w:tcPr>
            <w:tcW w:w="1336" w:type="dxa"/>
            <w:vAlign w:val="center"/>
          </w:tcPr>
          <w:p w14:paraId="6411C932"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Factor 1</w:t>
            </w:r>
          </w:p>
          <w:p w14:paraId="1960664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A:EtOH (%)</w:t>
            </w:r>
          </w:p>
        </w:tc>
        <w:tc>
          <w:tcPr>
            <w:tcW w:w="1336" w:type="dxa"/>
            <w:vAlign w:val="center"/>
          </w:tcPr>
          <w:p w14:paraId="22413100"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Factor 2</w:t>
            </w:r>
          </w:p>
          <w:p w14:paraId="3A019A1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B:ND (°C)</w:t>
            </w:r>
          </w:p>
        </w:tc>
        <w:tc>
          <w:tcPr>
            <w:tcW w:w="1336" w:type="dxa"/>
            <w:vAlign w:val="center"/>
          </w:tcPr>
          <w:p w14:paraId="6A81ADC3"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Factor 3</w:t>
            </w:r>
          </w:p>
          <w:p w14:paraId="0BF3F54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C:TG (h)</w:t>
            </w:r>
          </w:p>
        </w:tc>
        <w:tc>
          <w:tcPr>
            <w:tcW w:w="1336" w:type="dxa"/>
            <w:vAlign w:val="center"/>
          </w:tcPr>
          <w:p w14:paraId="29153355"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Response 1</w:t>
            </w:r>
          </w:p>
          <w:p w14:paraId="2D5F007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TFC (%)</w:t>
            </w:r>
          </w:p>
        </w:tc>
        <w:tc>
          <w:tcPr>
            <w:tcW w:w="1336" w:type="dxa"/>
            <w:vAlign w:val="center"/>
          </w:tcPr>
          <w:p w14:paraId="30A2DFF4"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Response 2</w:t>
            </w:r>
          </w:p>
          <w:p w14:paraId="737668F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TPC (%)</w:t>
            </w:r>
          </w:p>
        </w:tc>
      </w:tr>
      <w:tr w:rsidR="00573010" w:rsidRPr="005E6B7C" w14:paraId="305DA8F3" w14:textId="77777777" w:rsidTr="003A2261">
        <w:trPr>
          <w:jc w:val="center"/>
        </w:trPr>
        <w:tc>
          <w:tcPr>
            <w:tcW w:w="1335" w:type="dxa"/>
            <w:vAlign w:val="center"/>
          </w:tcPr>
          <w:p w14:paraId="29E8802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335" w:type="dxa"/>
            <w:vAlign w:val="center"/>
          </w:tcPr>
          <w:p w14:paraId="57896A9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w:t>
            </w:r>
          </w:p>
        </w:tc>
        <w:tc>
          <w:tcPr>
            <w:tcW w:w="1336" w:type="dxa"/>
            <w:vAlign w:val="center"/>
          </w:tcPr>
          <w:p w14:paraId="4DCA86C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336" w:type="dxa"/>
            <w:vAlign w:val="center"/>
          </w:tcPr>
          <w:p w14:paraId="6DA095E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w:t>
            </w:r>
          </w:p>
        </w:tc>
        <w:tc>
          <w:tcPr>
            <w:tcW w:w="1336" w:type="dxa"/>
            <w:vAlign w:val="center"/>
          </w:tcPr>
          <w:p w14:paraId="44A34EB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6" w:type="dxa"/>
            <w:vAlign w:val="center"/>
          </w:tcPr>
          <w:p w14:paraId="48101BF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11.72</w:t>
            </w:r>
          </w:p>
        </w:tc>
        <w:tc>
          <w:tcPr>
            <w:tcW w:w="1336" w:type="dxa"/>
            <w:vAlign w:val="center"/>
          </w:tcPr>
          <w:p w14:paraId="2D0EEB1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28.59</w:t>
            </w:r>
          </w:p>
        </w:tc>
      </w:tr>
      <w:tr w:rsidR="00573010" w:rsidRPr="005E6B7C" w14:paraId="18E790CF" w14:textId="77777777" w:rsidTr="003A2261">
        <w:trPr>
          <w:jc w:val="center"/>
        </w:trPr>
        <w:tc>
          <w:tcPr>
            <w:tcW w:w="1335" w:type="dxa"/>
            <w:vAlign w:val="center"/>
          </w:tcPr>
          <w:p w14:paraId="142732B8"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1335" w:type="dxa"/>
            <w:vAlign w:val="center"/>
          </w:tcPr>
          <w:p w14:paraId="3ED1786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1336" w:type="dxa"/>
            <w:vAlign w:val="center"/>
          </w:tcPr>
          <w:p w14:paraId="05053D7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w:t>
            </w:r>
          </w:p>
        </w:tc>
        <w:tc>
          <w:tcPr>
            <w:tcW w:w="1336" w:type="dxa"/>
            <w:vAlign w:val="center"/>
          </w:tcPr>
          <w:p w14:paraId="3514F37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w:t>
            </w:r>
          </w:p>
        </w:tc>
        <w:tc>
          <w:tcPr>
            <w:tcW w:w="1336" w:type="dxa"/>
            <w:vAlign w:val="center"/>
          </w:tcPr>
          <w:p w14:paraId="7FCC531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6" w:type="dxa"/>
            <w:vAlign w:val="center"/>
          </w:tcPr>
          <w:p w14:paraId="5C9CDB7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12.71</w:t>
            </w:r>
          </w:p>
        </w:tc>
        <w:tc>
          <w:tcPr>
            <w:tcW w:w="1336" w:type="dxa"/>
            <w:vAlign w:val="center"/>
          </w:tcPr>
          <w:p w14:paraId="089D62E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29.68</w:t>
            </w:r>
          </w:p>
        </w:tc>
      </w:tr>
      <w:tr w:rsidR="00573010" w:rsidRPr="005E6B7C" w14:paraId="4F8A7CAF" w14:textId="77777777" w:rsidTr="003A2261">
        <w:trPr>
          <w:jc w:val="center"/>
        </w:trPr>
        <w:tc>
          <w:tcPr>
            <w:tcW w:w="1335" w:type="dxa"/>
            <w:vAlign w:val="center"/>
          </w:tcPr>
          <w:p w14:paraId="06AB0FB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1335" w:type="dxa"/>
            <w:vAlign w:val="center"/>
          </w:tcPr>
          <w:p w14:paraId="6B86DA5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6" w:type="dxa"/>
            <w:vAlign w:val="center"/>
          </w:tcPr>
          <w:p w14:paraId="2F73F76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336" w:type="dxa"/>
            <w:vAlign w:val="center"/>
          </w:tcPr>
          <w:p w14:paraId="0EE8021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w:t>
            </w:r>
          </w:p>
        </w:tc>
        <w:tc>
          <w:tcPr>
            <w:tcW w:w="1336" w:type="dxa"/>
            <w:vAlign w:val="center"/>
          </w:tcPr>
          <w:p w14:paraId="75A5F37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6" w:type="dxa"/>
            <w:vAlign w:val="center"/>
          </w:tcPr>
          <w:p w14:paraId="7A7B044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12.71</w:t>
            </w:r>
          </w:p>
        </w:tc>
        <w:tc>
          <w:tcPr>
            <w:tcW w:w="1336" w:type="dxa"/>
            <w:vAlign w:val="center"/>
          </w:tcPr>
          <w:p w14:paraId="5C5F4FE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27.43</w:t>
            </w:r>
          </w:p>
        </w:tc>
      </w:tr>
      <w:tr w:rsidR="00573010" w:rsidRPr="005E6B7C" w14:paraId="3E412579" w14:textId="77777777" w:rsidTr="003A2261">
        <w:trPr>
          <w:jc w:val="center"/>
        </w:trPr>
        <w:tc>
          <w:tcPr>
            <w:tcW w:w="1335" w:type="dxa"/>
            <w:vAlign w:val="center"/>
          </w:tcPr>
          <w:p w14:paraId="0EDE1EE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5" w:type="dxa"/>
            <w:vAlign w:val="center"/>
          </w:tcPr>
          <w:p w14:paraId="7A53D81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336" w:type="dxa"/>
            <w:vAlign w:val="center"/>
          </w:tcPr>
          <w:p w14:paraId="7D9593D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w:t>
            </w:r>
          </w:p>
        </w:tc>
        <w:tc>
          <w:tcPr>
            <w:tcW w:w="1336" w:type="dxa"/>
            <w:vAlign w:val="center"/>
          </w:tcPr>
          <w:p w14:paraId="6E56776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w:t>
            </w:r>
          </w:p>
        </w:tc>
        <w:tc>
          <w:tcPr>
            <w:tcW w:w="1336" w:type="dxa"/>
            <w:vAlign w:val="center"/>
          </w:tcPr>
          <w:p w14:paraId="062F767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w:t>
            </w:r>
          </w:p>
        </w:tc>
        <w:tc>
          <w:tcPr>
            <w:tcW w:w="1336" w:type="dxa"/>
            <w:vAlign w:val="center"/>
          </w:tcPr>
          <w:p w14:paraId="65E0C18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14.02</w:t>
            </w:r>
          </w:p>
        </w:tc>
        <w:tc>
          <w:tcPr>
            <w:tcW w:w="1336" w:type="dxa"/>
            <w:vAlign w:val="center"/>
          </w:tcPr>
          <w:p w14:paraId="7A6CE2A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27.89</w:t>
            </w:r>
          </w:p>
        </w:tc>
      </w:tr>
      <w:tr w:rsidR="00573010" w:rsidRPr="005E6B7C" w14:paraId="6E64EAD8" w14:textId="77777777" w:rsidTr="003A2261">
        <w:trPr>
          <w:jc w:val="center"/>
        </w:trPr>
        <w:tc>
          <w:tcPr>
            <w:tcW w:w="1335" w:type="dxa"/>
            <w:vAlign w:val="center"/>
          </w:tcPr>
          <w:p w14:paraId="64475AF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5" w:type="dxa"/>
            <w:vAlign w:val="center"/>
          </w:tcPr>
          <w:p w14:paraId="20797E9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6" w:type="dxa"/>
            <w:vAlign w:val="center"/>
          </w:tcPr>
          <w:p w14:paraId="6FF9231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336" w:type="dxa"/>
            <w:vAlign w:val="center"/>
          </w:tcPr>
          <w:p w14:paraId="43C32B5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w:t>
            </w:r>
          </w:p>
        </w:tc>
        <w:tc>
          <w:tcPr>
            <w:tcW w:w="1336" w:type="dxa"/>
            <w:vAlign w:val="center"/>
          </w:tcPr>
          <w:p w14:paraId="3161FB9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6" w:type="dxa"/>
            <w:vAlign w:val="center"/>
          </w:tcPr>
          <w:p w14:paraId="16FD09E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12.45</w:t>
            </w:r>
          </w:p>
        </w:tc>
        <w:tc>
          <w:tcPr>
            <w:tcW w:w="1336" w:type="dxa"/>
            <w:vAlign w:val="center"/>
          </w:tcPr>
          <w:p w14:paraId="0470973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28.03</w:t>
            </w:r>
          </w:p>
        </w:tc>
      </w:tr>
      <w:tr w:rsidR="00573010" w:rsidRPr="005E6B7C" w14:paraId="5883634A" w14:textId="77777777" w:rsidTr="003A2261">
        <w:trPr>
          <w:jc w:val="center"/>
        </w:trPr>
        <w:tc>
          <w:tcPr>
            <w:tcW w:w="1335" w:type="dxa"/>
            <w:vAlign w:val="center"/>
          </w:tcPr>
          <w:p w14:paraId="30925B9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5" w:type="dxa"/>
            <w:vAlign w:val="center"/>
          </w:tcPr>
          <w:p w14:paraId="79D0010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w:t>
            </w:r>
          </w:p>
        </w:tc>
        <w:tc>
          <w:tcPr>
            <w:tcW w:w="1336" w:type="dxa"/>
            <w:vAlign w:val="center"/>
          </w:tcPr>
          <w:p w14:paraId="3BC42F3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w:t>
            </w:r>
          </w:p>
        </w:tc>
        <w:tc>
          <w:tcPr>
            <w:tcW w:w="1336" w:type="dxa"/>
            <w:vAlign w:val="center"/>
          </w:tcPr>
          <w:p w14:paraId="70549B3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w:t>
            </w:r>
          </w:p>
        </w:tc>
        <w:tc>
          <w:tcPr>
            <w:tcW w:w="1336" w:type="dxa"/>
            <w:vAlign w:val="center"/>
          </w:tcPr>
          <w:p w14:paraId="78D349F8"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6" w:type="dxa"/>
            <w:vAlign w:val="center"/>
          </w:tcPr>
          <w:p w14:paraId="5CC9A9E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14.14</w:t>
            </w:r>
          </w:p>
        </w:tc>
        <w:tc>
          <w:tcPr>
            <w:tcW w:w="1336" w:type="dxa"/>
            <w:vAlign w:val="center"/>
          </w:tcPr>
          <w:p w14:paraId="3F87D1A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28.82</w:t>
            </w:r>
          </w:p>
        </w:tc>
      </w:tr>
      <w:tr w:rsidR="00573010" w:rsidRPr="005E6B7C" w14:paraId="69E4B972" w14:textId="77777777" w:rsidTr="003A2261">
        <w:trPr>
          <w:jc w:val="center"/>
        </w:trPr>
        <w:tc>
          <w:tcPr>
            <w:tcW w:w="1335" w:type="dxa"/>
            <w:vAlign w:val="center"/>
          </w:tcPr>
          <w:p w14:paraId="4384E36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w:t>
            </w:r>
          </w:p>
        </w:tc>
        <w:tc>
          <w:tcPr>
            <w:tcW w:w="1335" w:type="dxa"/>
            <w:vAlign w:val="center"/>
          </w:tcPr>
          <w:p w14:paraId="5C13BD6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1336" w:type="dxa"/>
            <w:vAlign w:val="center"/>
          </w:tcPr>
          <w:p w14:paraId="7C55147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w:t>
            </w:r>
          </w:p>
        </w:tc>
        <w:tc>
          <w:tcPr>
            <w:tcW w:w="1336" w:type="dxa"/>
            <w:vAlign w:val="center"/>
          </w:tcPr>
          <w:p w14:paraId="66FF1E7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w:t>
            </w:r>
          </w:p>
        </w:tc>
        <w:tc>
          <w:tcPr>
            <w:tcW w:w="1336" w:type="dxa"/>
            <w:vAlign w:val="center"/>
          </w:tcPr>
          <w:p w14:paraId="6440207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6" w:type="dxa"/>
            <w:vAlign w:val="center"/>
          </w:tcPr>
          <w:p w14:paraId="0B2AEE7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12.61</w:t>
            </w:r>
          </w:p>
        </w:tc>
        <w:tc>
          <w:tcPr>
            <w:tcW w:w="1336" w:type="dxa"/>
            <w:vAlign w:val="center"/>
          </w:tcPr>
          <w:p w14:paraId="090A442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31.28</w:t>
            </w:r>
          </w:p>
        </w:tc>
      </w:tr>
      <w:tr w:rsidR="00573010" w:rsidRPr="005E6B7C" w14:paraId="24FD2AA7" w14:textId="77777777" w:rsidTr="003A2261">
        <w:trPr>
          <w:jc w:val="center"/>
        </w:trPr>
        <w:tc>
          <w:tcPr>
            <w:tcW w:w="1335" w:type="dxa"/>
            <w:vAlign w:val="center"/>
          </w:tcPr>
          <w:p w14:paraId="06AB363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335" w:type="dxa"/>
            <w:vAlign w:val="center"/>
          </w:tcPr>
          <w:p w14:paraId="714C843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w:t>
            </w:r>
          </w:p>
        </w:tc>
        <w:tc>
          <w:tcPr>
            <w:tcW w:w="1336" w:type="dxa"/>
            <w:vAlign w:val="center"/>
          </w:tcPr>
          <w:p w14:paraId="1F7A46A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70</w:t>
            </w:r>
          </w:p>
        </w:tc>
        <w:tc>
          <w:tcPr>
            <w:tcW w:w="1336" w:type="dxa"/>
            <w:vAlign w:val="center"/>
          </w:tcPr>
          <w:p w14:paraId="30F5E99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80</w:t>
            </w:r>
          </w:p>
        </w:tc>
        <w:tc>
          <w:tcPr>
            <w:tcW w:w="1336" w:type="dxa"/>
            <w:vAlign w:val="center"/>
          </w:tcPr>
          <w:p w14:paraId="650FD73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w:t>
            </w:r>
          </w:p>
        </w:tc>
        <w:tc>
          <w:tcPr>
            <w:tcW w:w="1336" w:type="dxa"/>
            <w:vAlign w:val="center"/>
          </w:tcPr>
          <w:p w14:paraId="2BBF649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14.46</w:t>
            </w:r>
          </w:p>
        </w:tc>
        <w:tc>
          <w:tcPr>
            <w:tcW w:w="1336" w:type="dxa"/>
            <w:vAlign w:val="center"/>
          </w:tcPr>
          <w:p w14:paraId="6883D7D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30.43</w:t>
            </w:r>
          </w:p>
        </w:tc>
      </w:tr>
      <w:tr w:rsidR="00573010" w:rsidRPr="005E6B7C" w14:paraId="2168A812" w14:textId="77777777" w:rsidTr="003A2261">
        <w:trPr>
          <w:jc w:val="center"/>
        </w:trPr>
        <w:tc>
          <w:tcPr>
            <w:tcW w:w="1335" w:type="dxa"/>
            <w:vAlign w:val="center"/>
          </w:tcPr>
          <w:p w14:paraId="1F5A1BB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1335" w:type="dxa"/>
            <w:vAlign w:val="center"/>
          </w:tcPr>
          <w:p w14:paraId="5EE512A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1336" w:type="dxa"/>
            <w:vAlign w:val="center"/>
          </w:tcPr>
          <w:p w14:paraId="1509FAE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16.4</w:t>
            </w:r>
          </w:p>
        </w:tc>
        <w:tc>
          <w:tcPr>
            <w:tcW w:w="1336" w:type="dxa"/>
            <w:vAlign w:val="center"/>
          </w:tcPr>
          <w:p w14:paraId="3AEAF5B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62E03A4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4F2796D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11.62</w:t>
            </w:r>
          </w:p>
        </w:tc>
        <w:tc>
          <w:tcPr>
            <w:tcW w:w="1336" w:type="dxa"/>
            <w:vAlign w:val="center"/>
          </w:tcPr>
          <w:p w14:paraId="3CD3B8E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26.47</w:t>
            </w:r>
          </w:p>
        </w:tc>
      </w:tr>
      <w:tr w:rsidR="00573010" w:rsidRPr="005E6B7C" w14:paraId="08E2ADE5" w14:textId="77777777" w:rsidTr="003A2261">
        <w:trPr>
          <w:jc w:val="center"/>
        </w:trPr>
        <w:tc>
          <w:tcPr>
            <w:tcW w:w="1335" w:type="dxa"/>
            <w:vAlign w:val="center"/>
          </w:tcPr>
          <w:p w14:paraId="4704789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1335" w:type="dxa"/>
            <w:vAlign w:val="center"/>
          </w:tcPr>
          <w:p w14:paraId="1192AEE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434C349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83.6</w:t>
            </w:r>
          </w:p>
        </w:tc>
        <w:tc>
          <w:tcPr>
            <w:tcW w:w="1336" w:type="dxa"/>
            <w:vAlign w:val="center"/>
          </w:tcPr>
          <w:p w14:paraId="5D8AAE4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2C4C5AF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084B988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13.65</w:t>
            </w:r>
          </w:p>
        </w:tc>
        <w:tc>
          <w:tcPr>
            <w:tcW w:w="1336" w:type="dxa"/>
            <w:vAlign w:val="center"/>
          </w:tcPr>
          <w:p w14:paraId="5726DC6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27.95</w:t>
            </w:r>
          </w:p>
        </w:tc>
      </w:tr>
      <w:tr w:rsidR="00573010" w:rsidRPr="005E6B7C" w14:paraId="6A71CC7D" w14:textId="77777777" w:rsidTr="003A2261">
        <w:trPr>
          <w:jc w:val="center"/>
        </w:trPr>
        <w:tc>
          <w:tcPr>
            <w:tcW w:w="1335" w:type="dxa"/>
            <w:vAlign w:val="center"/>
          </w:tcPr>
          <w:p w14:paraId="7B35E66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w:t>
            </w:r>
          </w:p>
        </w:tc>
        <w:tc>
          <w:tcPr>
            <w:tcW w:w="1335" w:type="dxa"/>
            <w:vAlign w:val="center"/>
          </w:tcPr>
          <w:p w14:paraId="5DD60BA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w:t>
            </w:r>
          </w:p>
        </w:tc>
        <w:tc>
          <w:tcPr>
            <w:tcW w:w="1336" w:type="dxa"/>
            <w:vAlign w:val="center"/>
          </w:tcPr>
          <w:p w14:paraId="778A3C6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0D3CAF8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26.4</w:t>
            </w:r>
          </w:p>
        </w:tc>
        <w:tc>
          <w:tcPr>
            <w:tcW w:w="1336" w:type="dxa"/>
            <w:vAlign w:val="center"/>
          </w:tcPr>
          <w:p w14:paraId="6C26EC8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2C4C645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11.63</w:t>
            </w:r>
          </w:p>
        </w:tc>
        <w:tc>
          <w:tcPr>
            <w:tcW w:w="1336" w:type="dxa"/>
            <w:vAlign w:val="center"/>
          </w:tcPr>
          <w:p w14:paraId="09B11B5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27.9</w:t>
            </w:r>
          </w:p>
        </w:tc>
      </w:tr>
      <w:tr w:rsidR="00573010" w:rsidRPr="005E6B7C" w14:paraId="4FE0D79B" w14:textId="77777777" w:rsidTr="003A2261">
        <w:trPr>
          <w:jc w:val="center"/>
        </w:trPr>
        <w:tc>
          <w:tcPr>
            <w:tcW w:w="1335" w:type="dxa"/>
            <w:vAlign w:val="center"/>
          </w:tcPr>
          <w:p w14:paraId="2ABEBDF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w:t>
            </w:r>
          </w:p>
        </w:tc>
        <w:tc>
          <w:tcPr>
            <w:tcW w:w="1335" w:type="dxa"/>
            <w:vAlign w:val="center"/>
          </w:tcPr>
          <w:p w14:paraId="728B5FE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w:t>
            </w:r>
          </w:p>
        </w:tc>
        <w:tc>
          <w:tcPr>
            <w:tcW w:w="1336" w:type="dxa"/>
            <w:vAlign w:val="center"/>
          </w:tcPr>
          <w:p w14:paraId="67EC498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6ECDF46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93.6</w:t>
            </w:r>
          </w:p>
        </w:tc>
        <w:tc>
          <w:tcPr>
            <w:tcW w:w="1336" w:type="dxa"/>
            <w:vAlign w:val="center"/>
          </w:tcPr>
          <w:p w14:paraId="6E25A88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35BFE56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11.54</w:t>
            </w:r>
          </w:p>
        </w:tc>
        <w:tc>
          <w:tcPr>
            <w:tcW w:w="1336" w:type="dxa"/>
            <w:vAlign w:val="center"/>
          </w:tcPr>
          <w:p w14:paraId="1DD001C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26.93</w:t>
            </w:r>
          </w:p>
        </w:tc>
      </w:tr>
      <w:tr w:rsidR="00573010" w:rsidRPr="005E6B7C" w14:paraId="73DE91AE" w14:textId="77777777" w:rsidTr="003A2261">
        <w:trPr>
          <w:jc w:val="center"/>
        </w:trPr>
        <w:tc>
          <w:tcPr>
            <w:tcW w:w="1335" w:type="dxa"/>
            <w:vAlign w:val="center"/>
          </w:tcPr>
          <w:p w14:paraId="7FBC248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w:t>
            </w:r>
          </w:p>
        </w:tc>
        <w:tc>
          <w:tcPr>
            <w:tcW w:w="1335" w:type="dxa"/>
            <w:vAlign w:val="center"/>
          </w:tcPr>
          <w:p w14:paraId="6FD168D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w:t>
            </w:r>
          </w:p>
        </w:tc>
        <w:tc>
          <w:tcPr>
            <w:tcW w:w="1336" w:type="dxa"/>
            <w:vAlign w:val="center"/>
          </w:tcPr>
          <w:p w14:paraId="4FAFE33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29AD5AA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7A7A803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w:t>
            </w:r>
          </w:p>
        </w:tc>
        <w:tc>
          <w:tcPr>
            <w:tcW w:w="1336" w:type="dxa"/>
            <w:vAlign w:val="center"/>
          </w:tcPr>
          <w:p w14:paraId="4894D05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14.5</w:t>
            </w:r>
          </w:p>
        </w:tc>
        <w:tc>
          <w:tcPr>
            <w:tcW w:w="1336" w:type="dxa"/>
            <w:vAlign w:val="center"/>
          </w:tcPr>
          <w:p w14:paraId="100A3D4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32.15</w:t>
            </w:r>
          </w:p>
        </w:tc>
      </w:tr>
      <w:tr w:rsidR="00573010" w:rsidRPr="005E6B7C" w14:paraId="62CECC32" w14:textId="77777777" w:rsidTr="003A2261">
        <w:trPr>
          <w:jc w:val="center"/>
        </w:trPr>
        <w:tc>
          <w:tcPr>
            <w:tcW w:w="1335" w:type="dxa"/>
            <w:vAlign w:val="center"/>
          </w:tcPr>
          <w:p w14:paraId="3C87B0D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w:t>
            </w:r>
          </w:p>
        </w:tc>
        <w:tc>
          <w:tcPr>
            <w:tcW w:w="1335" w:type="dxa"/>
            <w:vAlign w:val="center"/>
          </w:tcPr>
          <w:p w14:paraId="3C978F28"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w:t>
            </w:r>
          </w:p>
        </w:tc>
        <w:tc>
          <w:tcPr>
            <w:tcW w:w="1336" w:type="dxa"/>
            <w:vAlign w:val="center"/>
          </w:tcPr>
          <w:p w14:paraId="1D5BB8B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62CA0D6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7C705EA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6.7</w:t>
            </w:r>
          </w:p>
        </w:tc>
        <w:tc>
          <w:tcPr>
            <w:tcW w:w="1336" w:type="dxa"/>
            <w:vAlign w:val="center"/>
          </w:tcPr>
          <w:p w14:paraId="7DED69F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16.76</w:t>
            </w:r>
          </w:p>
        </w:tc>
        <w:tc>
          <w:tcPr>
            <w:tcW w:w="1336" w:type="dxa"/>
            <w:vAlign w:val="center"/>
          </w:tcPr>
          <w:p w14:paraId="1807157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34.38</w:t>
            </w:r>
          </w:p>
        </w:tc>
      </w:tr>
      <w:tr w:rsidR="00573010" w:rsidRPr="005E6B7C" w14:paraId="03917392" w14:textId="77777777" w:rsidTr="003A2261">
        <w:trPr>
          <w:jc w:val="center"/>
        </w:trPr>
        <w:tc>
          <w:tcPr>
            <w:tcW w:w="1335" w:type="dxa"/>
            <w:vAlign w:val="center"/>
          </w:tcPr>
          <w:p w14:paraId="327C77D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w:t>
            </w:r>
          </w:p>
        </w:tc>
        <w:tc>
          <w:tcPr>
            <w:tcW w:w="1335" w:type="dxa"/>
            <w:vAlign w:val="center"/>
          </w:tcPr>
          <w:p w14:paraId="6C0DB57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w:t>
            </w:r>
          </w:p>
        </w:tc>
        <w:tc>
          <w:tcPr>
            <w:tcW w:w="1336" w:type="dxa"/>
            <w:vAlign w:val="center"/>
          </w:tcPr>
          <w:p w14:paraId="64F6771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5E4341F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5546525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05D16A2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14.92</w:t>
            </w:r>
          </w:p>
        </w:tc>
        <w:tc>
          <w:tcPr>
            <w:tcW w:w="1336" w:type="dxa"/>
            <w:vAlign w:val="center"/>
          </w:tcPr>
          <w:p w14:paraId="4DE27438"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33.49</w:t>
            </w:r>
          </w:p>
        </w:tc>
      </w:tr>
      <w:tr w:rsidR="00573010" w:rsidRPr="005E6B7C" w14:paraId="073EAFFD" w14:textId="77777777" w:rsidTr="003A2261">
        <w:trPr>
          <w:jc w:val="center"/>
        </w:trPr>
        <w:tc>
          <w:tcPr>
            <w:tcW w:w="1335" w:type="dxa"/>
            <w:vAlign w:val="center"/>
          </w:tcPr>
          <w:p w14:paraId="7E0B58BD"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335" w:type="dxa"/>
            <w:vAlign w:val="center"/>
          </w:tcPr>
          <w:p w14:paraId="14584D6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w:t>
            </w:r>
          </w:p>
        </w:tc>
        <w:tc>
          <w:tcPr>
            <w:tcW w:w="1336" w:type="dxa"/>
            <w:vAlign w:val="center"/>
          </w:tcPr>
          <w:p w14:paraId="1A9E8DA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4FAC6D8C"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24F36AB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295142E0"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15.01</w:t>
            </w:r>
          </w:p>
        </w:tc>
        <w:tc>
          <w:tcPr>
            <w:tcW w:w="1336" w:type="dxa"/>
            <w:vAlign w:val="center"/>
          </w:tcPr>
          <w:p w14:paraId="2D7F49C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33.07</w:t>
            </w:r>
          </w:p>
        </w:tc>
      </w:tr>
      <w:tr w:rsidR="00573010" w:rsidRPr="005E6B7C" w14:paraId="46CA129B" w14:textId="77777777" w:rsidTr="003A2261">
        <w:trPr>
          <w:jc w:val="center"/>
        </w:trPr>
        <w:tc>
          <w:tcPr>
            <w:tcW w:w="1335" w:type="dxa"/>
            <w:vAlign w:val="center"/>
          </w:tcPr>
          <w:p w14:paraId="0AF23C1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w:t>
            </w:r>
          </w:p>
        </w:tc>
        <w:tc>
          <w:tcPr>
            <w:tcW w:w="1335" w:type="dxa"/>
            <w:vAlign w:val="center"/>
          </w:tcPr>
          <w:p w14:paraId="09F7837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1336" w:type="dxa"/>
            <w:vAlign w:val="center"/>
          </w:tcPr>
          <w:p w14:paraId="777B288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4ACF652A"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1168E21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7FB63A0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15.49</w:t>
            </w:r>
          </w:p>
        </w:tc>
        <w:tc>
          <w:tcPr>
            <w:tcW w:w="1336" w:type="dxa"/>
            <w:vAlign w:val="center"/>
          </w:tcPr>
          <w:p w14:paraId="0CDE4A0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33.1</w:t>
            </w:r>
          </w:p>
        </w:tc>
      </w:tr>
      <w:tr w:rsidR="00573010" w:rsidRPr="005E6B7C" w14:paraId="345DC887" w14:textId="77777777" w:rsidTr="003A2261">
        <w:trPr>
          <w:jc w:val="center"/>
        </w:trPr>
        <w:tc>
          <w:tcPr>
            <w:tcW w:w="1335" w:type="dxa"/>
            <w:vAlign w:val="center"/>
          </w:tcPr>
          <w:p w14:paraId="5138A304"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w:t>
            </w:r>
          </w:p>
        </w:tc>
        <w:tc>
          <w:tcPr>
            <w:tcW w:w="1335" w:type="dxa"/>
            <w:vAlign w:val="center"/>
          </w:tcPr>
          <w:p w14:paraId="04D2C11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w:t>
            </w:r>
          </w:p>
        </w:tc>
        <w:tc>
          <w:tcPr>
            <w:tcW w:w="1336" w:type="dxa"/>
            <w:vAlign w:val="center"/>
          </w:tcPr>
          <w:p w14:paraId="2445A99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1F885F86"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4DC564B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28B5431B"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15.19</w:t>
            </w:r>
          </w:p>
        </w:tc>
        <w:tc>
          <w:tcPr>
            <w:tcW w:w="1336" w:type="dxa"/>
            <w:vAlign w:val="center"/>
          </w:tcPr>
          <w:p w14:paraId="4CDC23F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33.07</w:t>
            </w:r>
          </w:p>
        </w:tc>
      </w:tr>
      <w:tr w:rsidR="00573010" w:rsidRPr="005E6B7C" w14:paraId="0260B857" w14:textId="77777777" w:rsidTr="003A2261">
        <w:trPr>
          <w:jc w:val="center"/>
        </w:trPr>
        <w:tc>
          <w:tcPr>
            <w:tcW w:w="1335" w:type="dxa"/>
            <w:vAlign w:val="center"/>
          </w:tcPr>
          <w:p w14:paraId="0CE2A32F"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w:t>
            </w:r>
          </w:p>
        </w:tc>
        <w:tc>
          <w:tcPr>
            <w:tcW w:w="1335" w:type="dxa"/>
            <w:vAlign w:val="center"/>
          </w:tcPr>
          <w:p w14:paraId="6D9B082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w:t>
            </w:r>
          </w:p>
        </w:tc>
        <w:tc>
          <w:tcPr>
            <w:tcW w:w="1336" w:type="dxa"/>
            <w:vAlign w:val="center"/>
          </w:tcPr>
          <w:p w14:paraId="6F93D3D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1532069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3B34A17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6D22D8F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15.19</w:t>
            </w:r>
          </w:p>
        </w:tc>
        <w:tc>
          <w:tcPr>
            <w:tcW w:w="1336" w:type="dxa"/>
            <w:vAlign w:val="center"/>
          </w:tcPr>
          <w:p w14:paraId="6CEAAFA2"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33.61</w:t>
            </w:r>
          </w:p>
        </w:tc>
      </w:tr>
      <w:tr w:rsidR="00573010" w:rsidRPr="005E6B7C" w14:paraId="73A627C7" w14:textId="77777777" w:rsidTr="003A2261">
        <w:trPr>
          <w:jc w:val="center"/>
        </w:trPr>
        <w:tc>
          <w:tcPr>
            <w:tcW w:w="1335" w:type="dxa"/>
            <w:vAlign w:val="center"/>
          </w:tcPr>
          <w:p w14:paraId="538C970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1335" w:type="dxa"/>
            <w:vAlign w:val="center"/>
          </w:tcPr>
          <w:p w14:paraId="538AD4F1"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w:t>
            </w:r>
          </w:p>
        </w:tc>
        <w:tc>
          <w:tcPr>
            <w:tcW w:w="1336" w:type="dxa"/>
            <w:vAlign w:val="center"/>
          </w:tcPr>
          <w:p w14:paraId="1017F387"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w:t>
            </w:r>
          </w:p>
        </w:tc>
        <w:tc>
          <w:tcPr>
            <w:tcW w:w="1336" w:type="dxa"/>
            <w:vAlign w:val="center"/>
          </w:tcPr>
          <w:p w14:paraId="01E62A95"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w:t>
            </w:r>
          </w:p>
        </w:tc>
        <w:tc>
          <w:tcPr>
            <w:tcW w:w="1336" w:type="dxa"/>
            <w:vAlign w:val="center"/>
          </w:tcPr>
          <w:p w14:paraId="75FC53DE"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w:t>
            </w:r>
          </w:p>
        </w:tc>
        <w:tc>
          <w:tcPr>
            <w:tcW w:w="1336" w:type="dxa"/>
            <w:vAlign w:val="center"/>
          </w:tcPr>
          <w:p w14:paraId="6C2A5F43"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15.05</w:t>
            </w:r>
          </w:p>
        </w:tc>
        <w:tc>
          <w:tcPr>
            <w:tcW w:w="1336" w:type="dxa"/>
            <w:vAlign w:val="center"/>
          </w:tcPr>
          <w:p w14:paraId="30958899" w14:textId="77777777" w:rsidR="0087467D" w:rsidRPr="005E6B7C" w:rsidRDefault="0087467D"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33.31</w:t>
            </w:r>
          </w:p>
        </w:tc>
      </w:tr>
    </w:tbl>
    <w:p w14:paraId="4850E119" w14:textId="77777777" w:rsidR="0047080C" w:rsidRPr="005E6B7C" w:rsidRDefault="0047080C" w:rsidP="008C0D47">
      <w:pPr>
        <w:tabs>
          <w:tab w:val="left" w:pos="9270"/>
        </w:tabs>
        <w:ind w:right="-20"/>
        <w:jc w:val="both"/>
        <w:rPr>
          <w:rFonts w:asciiTheme="majorHAnsi" w:eastAsia="Yu Mincho" w:hAnsiTheme="majorHAnsi" w:cstheme="majorHAnsi"/>
          <w:color w:val="000000" w:themeColor="text1"/>
          <w:sz w:val="22"/>
          <w:szCs w:val="22"/>
          <w:lang w:eastAsia="ja-JP"/>
        </w:rPr>
      </w:pPr>
    </w:p>
    <w:p w14:paraId="61D853D2"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43149407"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maximum levels of TFC and TPC were both obtained under the conditions of 50% EtOH, 60°C, and 6.7 hours (line 14), indicating a similar influence of extraction time on the yield of both TFC and TPC. Meanwhile, both EtOH concentration and temperature recorded a decrease in extractable active components compared to the regions surrounding the center point; this suggests the existence of quadratic parabolic effects and confirms that the optimal process region lies within the experimental design </w:t>
      </w:r>
      <w:r w:rsidRPr="005E6B7C">
        <w:rPr>
          <w:rFonts w:asciiTheme="majorHAnsi" w:eastAsia="Yu Mincho" w:hAnsiTheme="majorHAnsi" w:cstheme="majorHAnsi"/>
          <w:color w:val="000000" w:themeColor="text1"/>
          <w:sz w:val="22"/>
          <w:szCs w:val="22"/>
          <w:lang w:eastAsia="ja-JP"/>
        </w:rPr>
        <w:t>space. The consistent behavior of both TFC and TPC indices under the influence of independent variables indicated a high degree of uniformity in the diffusion and dissolution mechanisms of flavonoids and polyphenols in this solvent system, while also affirming that the harmonious coordination between solvent concentration and thermodynamic conditions is key to achieving maximum extraction efficiency.</w:t>
      </w:r>
    </w:p>
    <w:p w14:paraId="077FAA3C"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3.2. Analysis of Variance (ANOVA) of the Two Output Variables</w:t>
      </w:r>
    </w:p>
    <w:p w14:paraId="47B28388"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lastRenderedPageBreak/>
        <w:t>The ANOVA results presented in Table 3 show that the second-order quadratic regression models for both TFC and TPC response variables are highly statistically significant, with F-values of 42.80 and 97.04, respectively (P &lt; 0.0001). For the TFC, the significant components include the linear effects of EtOH concentration (A) and extraction time (C), as well as the quadratic effects of EtOH concentration (A</w:t>
      </w:r>
      <w:r w:rsidRPr="005E6B7C">
        <w:rPr>
          <w:rFonts w:asciiTheme="majorHAnsi" w:eastAsia="Yu Mincho" w:hAnsiTheme="majorHAnsi" w:cstheme="majorHAnsi"/>
          <w:color w:val="000000" w:themeColor="text1"/>
          <w:spacing w:val="4"/>
          <w:sz w:val="22"/>
          <w:szCs w:val="22"/>
          <w:vertAlign w:val="superscript"/>
          <w:lang w:eastAsia="ja-JP"/>
        </w:rPr>
        <w:t>2</w:t>
      </w:r>
      <w:r w:rsidRPr="005E6B7C">
        <w:rPr>
          <w:rFonts w:asciiTheme="majorHAnsi" w:eastAsia="Yu Mincho" w:hAnsiTheme="majorHAnsi" w:cstheme="majorHAnsi"/>
          <w:color w:val="000000" w:themeColor="text1"/>
          <w:spacing w:val="4"/>
          <w:sz w:val="22"/>
          <w:szCs w:val="22"/>
          <w:lang w:eastAsia="ja-JP"/>
        </w:rPr>
        <w:t>) and temperature (B</w:t>
      </w:r>
      <w:r w:rsidRPr="005E6B7C">
        <w:rPr>
          <w:rFonts w:asciiTheme="majorHAnsi" w:eastAsia="Yu Mincho" w:hAnsiTheme="majorHAnsi" w:cstheme="majorHAnsi"/>
          <w:color w:val="000000" w:themeColor="text1"/>
          <w:spacing w:val="4"/>
          <w:sz w:val="22"/>
          <w:szCs w:val="22"/>
          <w:vertAlign w:val="superscript"/>
          <w:lang w:eastAsia="ja-JP"/>
        </w:rPr>
        <w:t>2</w:t>
      </w:r>
      <w:r w:rsidRPr="005E6B7C">
        <w:rPr>
          <w:rFonts w:asciiTheme="majorHAnsi" w:eastAsia="Yu Mincho" w:hAnsiTheme="majorHAnsi" w:cstheme="majorHAnsi"/>
          <w:color w:val="000000" w:themeColor="text1"/>
          <w:spacing w:val="4"/>
          <w:sz w:val="22"/>
          <w:szCs w:val="22"/>
          <w:lang w:eastAsia="ja-JP"/>
        </w:rPr>
        <w:t>) (P &lt; 0.05). Based on these factors, the actual regression equation was established as follows: TFC = -3.599 + 0.211A + 0.440B - 0.813C + 0.00015AB + 0.0077 AC - 0.011BC - 0.0022A</w:t>
      </w:r>
      <w:r w:rsidRPr="005E6B7C">
        <w:rPr>
          <w:rFonts w:asciiTheme="majorHAnsi" w:eastAsia="Yu Mincho" w:hAnsiTheme="majorHAnsi" w:cstheme="majorHAnsi"/>
          <w:color w:val="000000" w:themeColor="text1"/>
          <w:spacing w:val="4"/>
          <w:sz w:val="22"/>
          <w:szCs w:val="22"/>
          <w:vertAlign w:val="superscript"/>
          <w:lang w:eastAsia="ja-JP"/>
        </w:rPr>
        <w:t>2</w:t>
      </w:r>
      <w:r w:rsidRPr="005E6B7C">
        <w:rPr>
          <w:rFonts w:asciiTheme="majorHAnsi" w:eastAsia="Yu Mincho" w:hAnsiTheme="majorHAnsi" w:cstheme="majorHAnsi"/>
          <w:color w:val="000000" w:themeColor="text1"/>
          <w:spacing w:val="4"/>
          <w:sz w:val="22"/>
          <w:szCs w:val="22"/>
          <w:lang w:eastAsia="ja-JP"/>
        </w:rPr>
        <w:t xml:space="preserve"> - 0.0032B</w:t>
      </w:r>
      <w:r w:rsidRPr="005E6B7C">
        <w:rPr>
          <w:rFonts w:asciiTheme="majorHAnsi" w:eastAsia="Yu Mincho" w:hAnsiTheme="majorHAnsi" w:cstheme="majorHAnsi"/>
          <w:color w:val="000000" w:themeColor="text1"/>
          <w:spacing w:val="4"/>
          <w:sz w:val="22"/>
          <w:szCs w:val="22"/>
          <w:vertAlign w:val="superscript"/>
          <w:lang w:eastAsia="ja-JP"/>
        </w:rPr>
        <w:t xml:space="preserve">2 </w:t>
      </w:r>
      <w:r w:rsidRPr="005E6B7C">
        <w:rPr>
          <w:rFonts w:asciiTheme="majorHAnsi" w:eastAsia="Yu Mincho" w:hAnsiTheme="majorHAnsi" w:cstheme="majorHAnsi"/>
          <w:color w:val="000000" w:themeColor="text1"/>
          <w:spacing w:val="4"/>
          <w:sz w:val="22"/>
          <w:szCs w:val="22"/>
          <w:lang w:eastAsia="ja-JP"/>
        </w:rPr>
        <w:t>+ 0.157C</w:t>
      </w:r>
      <w:r w:rsidRPr="005E6B7C">
        <w:rPr>
          <w:rFonts w:asciiTheme="majorHAnsi" w:eastAsia="Yu Mincho" w:hAnsiTheme="majorHAnsi" w:cstheme="majorHAnsi"/>
          <w:color w:val="000000" w:themeColor="text1"/>
          <w:spacing w:val="4"/>
          <w:sz w:val="22"/>
          <w:szCs w:val="22"/>
          <w:vertAlign w:val="superscript"/>
          <w:lang w:eastAsia="ja-JP"/>
        </w:rPr>
        <w:t>2</w:t>
      </w:r>
      <w:r w:rsidRPr="005E6B7C">
        <w:rPr>
          <w:rFonts w:asciiTheme="majorHAnsi" w:eastAsia="Yu Mincho" w:hAnsiTheme="majorHAnsi" w:cstheme="majorHAnsi"/>
          <w:color w:val="000000" w:themeColor="text1"/>
          <w:spacing w:val="4"/>
          <w:sz w:val="22"/>
          <w:szCs w:val="22"/>
          <w:lang w:eastAsia="ja-JP"/>
        </w:rPr>
        <w:t xml:space="preserve">. </w:t>
      </w:r>
    </w:p>
    <w:p w14:paraId="266CDA0A" w14:textId="639285AC"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Regarding the TPC, in addition to the influence of EtOH concentration (A) and time (C), the interaction between temperature and time (BC) </w:t>
      </w:r>
      <w:r w:rsidRPr="005E6B7C">
        <w:rPr>
          <w:rFonts w:asciiTheme="majorHAnsi" w:eastAsia="Yu Mincho" w:hAnsiTheme="majorHAnsi" w:cstheme="majorHAnsi"/>
          <w:color w:val="000000" w:themeColor="text1"/>
          <w:sz w:val="22"/>
          <w:szCs w:val="22"/>
          <w:lang w:eastAsia="ja-JP"/>
        </w:rPr>
        <w:t>and the quadratic variables of EtOH concentration and temperature (A</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B</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exerted </w:t>
      </w:r>
      <w:r w:rsidR="00A77E92" w:rsidRPr="005E6B7C">
        <w:rPr>
          <w:rFonts w:asciiTheme="majorHAnsi" w:eastAsia="Yu Mincho" w:hAnsiTheme="majorHAnsi" w:cstheme="majorHAnsi"/>
          <w:color w:val="000000" w:themeColor="text1"/>
          <w:sz w:val="22"/>
          <w:szCs w:val="22"/>
          <w:lang w:eastAsia="ja-JP"/>
        </w:rPr>
        <w:t>highly significant effect</w:t>
      </w:r>
      <w:r w:rsidRPr="005E6B7C">
        <w:rPr>
          <w:rFonts w:asciiTheme="majorHAnsi" w:eastAsia="Yu Mincho" w:hAnsiTheme="majorHAnsi" w:cstheme="majorHAnsi"/>
          <w:color w:val="000000" w:themeColor="text1"/>
          <w:sz w:val="22"/>
          <w:szCs w:val="22"/>
          <w:lang w:eastAsia="ja-JP"/>
        </w:rPr>
        <w:t xml:space="preserve"> on TPC levels (P &lt; 0.0001). The corresponding impact factors are expressed through the following equation:  TPC = 6.924 + 0.645A + 0.416B - 1.699C - 0.0007AB - 0.010AC + 0.049BC - 0.0054A</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- 0.0052B</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- 0.0091C</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w:t>
      </w:r>
    </w:p>
    <w:p w14:paraId="38F57F1C"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"Lack of Fit" indices for both models were not statistically significant, with values of 0.0570 for TFC and 0.0591 for TPC (both P &gt; 0.05), thereby confirming the suitability of the mathematical models with the obtained experimental data. Previous research indicated that an optimal model requires a non-significant "Lack of Fit" value to ensure that overlooked variables or random errors do not significantly impact the model's predictive capability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&lt;EndNote&gt;&lt;Cite&gt;&lt;Author&gt;Bezerra&lt;/Author&gt;&lt;Year&gt;2008&lt;/Year&gt;&lt;RecNum&gt;13&lt;/RecNum&gt;&lt;DisplayText&gt;[13]&lt;/DisplayText&gt;&lt;record&gt;&lt;rec-number&gt;13&lt;/rec-number&gt;&lt;foreign-keys&gt;&lt;key app="EN" db-id="dv2pess0b9edt5et90npa0fdp9sv9xfp5r5r" timestamp="1771796009"&gt;13&lt;/key&gt;&lt;/foreign-keys&gt;&lt;ref-type name="Journal Article"&gt;17&lt;/ref-type&gt;&lt;contributors&gt;&lt;authors&gt;&lt;author&gt;Bezerra, M. A.&lt;/author&gt;&lt;author&gt;Santelli, R. E.&lt;/author&gt;&lt;author&gt;Oliveira, E. P.&lt;/author&gt;&lt;author&gt;Villar, L. S.&lt;/author&gt;&lt;author&gt;Escaleira, L. A.&lt;/author&gt;&lt;/authors&gt;&lt;/contributors&gt;&lt;titles&gt;&lt;title&gt;Response surface methodology (RSM) as a tool for optimization in analytical chemistry&lt;/title&gt;&lt;secondary-title&gt;Talanta&lt;/secondary-title&gt;&lt;/titles&gt;&lt;periodical&gt;&lt;full-title&gt;Talanta&lt;/full-title&gt;&lt;/periodical&gt;&lt;pages&gt;965-977&lt;/pages&gt;&lt;volume&gt;76&lt;/volume&gt;&lt;number&gt;5&lt;/number&gt;&lt;dates&gt;&lt;year&gt;2008&lt;/year&gt;&lt;/dates&gt;&lt;isbn&gt;0039-9140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3D1A27F8"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2F7C23EB" w14:textId="77777777" w:rsidR="00E049CB" w:rsidRPr="005E6B7C" w:rsidRDefault="00E049CB" w:rsidP="008C0D47">
      <w:pPr>
        <w:tabs>
          <w:tab w:val="left" w:pos="9270"/>
        </w:tabs>
        <w:spacing w:before="120"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3</w:t>
      </w:r>
      <w:r w:rsidR="0087467D"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ANOVA results for the quadratic models of TFC and TPC</w:t>
      </w:r>
    </w:p>
    <w:tbl>
      <w:tblPr>
        <w:tblStyle w:val="TableGrid"/>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16"/>
        <w:gridCol w:w="1814"/>
        <w:gridCol w:w="1814"/>
        <w:gridCol w:w="1814"/>
        <w:gridCol w:w="1814"/>
      </w:tblGrid>
      <w:tr w:rsidR="00573010" w:rsidRPr="005E6B7C" w14:paraId="5E5676E1" w14:textId="77777777" w:rsidTr="003A2261">
        <w:trPr>
          <w:jc w:val="center"/>
        </w:trPr>
        <w:tc>
          <w:tcPr>
            <w:tcW w:w="1870" w:type="dxa"/>
            <w:vAlign w:val="center"/>
          </w:tcPr>
          <w:p w14:paraId="487ACB82"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Source</w:t>
            </w:r>
          </w:p>
        </w:tc>
        <w:tc>
          <w:tcPr>
            <w:tcW w:w="1870" w:type="dxa"/>
            <w:vAlign w:val="center"/>
          </w:tcPr>
          <w:p w14:paraId="29DE0B9A"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F-value (TFC)</w:t>
            </w:r>
          </w:p>
        </w:tc>
        <w:tc>
          <w:tcPr>
            <w:tcW w:w="1870" w:type="dxa"/>
            <w:vAlign w:val="center"/>
          </w:tcPr>
          <w:p w14:paraId="466FD07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p-value (TFC)</w:t>
            </w:r>
          </w:p>
        </w:tc>
        <w:tc>
          <w:tcPr>
            <w:tcW w:w="1870" w:type="dxa"/>
            <w:vAlign w:val="center"/>
          </w:tcPr>
          <w:p w14:paraId="4A9D1D94"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F-value (TPC)</w:t>
            </w:r>
          </w:p>
        </w:tc>
        <w:tc>
          <w:tcPr>
            <w:tcW w:w="1870" w:type="dxa"/>
            <w:vAlign w:val="center"/>
          </w:tcPr>
          <w:p w14:paraId="0884810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p-value (TPC)</w:t>
            </w:r>
          </w:p>
        </w:tc>
      </w:tr>
      <w:tr w:rsidR="00573010" w:rsidRPr="005E6B7C" w14:paraId="19391EEF" w14:textId="77777777" w:rsidTr="003A2261">
        <w:trPr>
          <w:jc w:val="center"/>
        </w:trPr>
        <w:tc>
          <w:tcPr>
            <w:tcW w:w="1870" w:type="dxa"/>
            <w:vAlign w:val="center"/>
          </w:tcPr>
          <w:p w14:paraId="361B7C51"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Model</w:t>
            </w:r>
          </w:p>
        </w:tc>
        <w:tc>
          <w:tcPr>
            <w:tcW w:w="1870" w:type="dxa"/>
            <w:vAlign w:val="center"/>
          </w:tcPr>
          <w:p w14:paraId="577CFC73"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42.8</w:t>
            </w:r>
          </w:p>
        </w:tc>
        <w:tc>
          <w:tcPr>
            <w:tcW w:w="1870" w:type="dxa"/>
            <w:vAlign w:val="center"/>
          </w:tcPr>
          <w:p w14:paraId="70EDBD7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c>
          <w:tcPr>
            <w:tcW w:w="1870" w:type="dxa"/>
            <w:vAlign w:val="center"/>
          </w:tcPr>
          <w:p w14:paraId="6B8B4BF5"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97.04</w:t>
            </w:r>
          </w:p>
        </w:tc>
        <w:tc>
          <w:tcPr>
            <w:tcW w:w="1870" w:type="dxa"/>
            <w:vAlign w:val="center"/>
          </w:tcPr>
          <w:p w14:paraId="59EDF767"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r>
      <w:tr w:rsidR="00573010" w:rsidRPr="005E6B7C" w14:paraId="6CFF49AD" w14:textId="77777777" w:rsidTr="003A2261">
        <w:trPr>
          <w:jc w:val="center"/>
        </w:trPr>
        <w:tc>
          <w:tcPr>
            <w:tcW w:w="1870" w:type="dxa"/>
            <w:vAlign w:val="center"/>
          </w:tcPr>
          <w:p w14:paraId="3F647B9C"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A- EtOH (%)</w:t>
            </w:r>
          </w:p>
        </w:tc>
        <w:tc>
          <w:tcPr>
            <w:tcW w:w="1870" w:type="dxa"/>
            <w:vAlign w:val="center"/>
          </w:tcPr>
          <w:p w14:paraId="0CE6DFC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54.63</w:t>
            </w:r>
          </w:p>
        </w:tc>
        <w:tc>
          <w:tcPr>
            <w:tcW w:w="1870" w:type="dxa"/>
            <w:vAlign w:val="center"/>
          </w:tcPr>
          <w:p w14:paraId="10236914"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c>
          <w:tcPr>
            <w:tcW w:w="1870" w:type="dxa"/>
            <w:vAlign w:val="center"/>
          </w:tcPr>
          <w:p w14:paraId="3982D5F2"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7.51</w:t>
            </w:r>
          </w:p>
        </w:tc>
        <w:tc>
          <w:tcPr>
            <w:tcW w:w="1870" w:type="dxa"/>
            <w:vAlign w:val="center"/>
          </w:tcPr>
          <w:p w14:paraId="6B5668CC"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0.0208</w:t>
            </w:r>
          </w:p>
        </w:tc>
      </w:tr>
      <w:tr w:rsidR="00573010" w:rsidRPr="005E6B7C" w14:paraId="08BC5233" w14:textId="77777777" w:rsidTr="003A2261">
        <w:trPr>
          <w:jc w:val="center"/>
        </w:trPr>
        <w:tc>
          <w:tcPr>
            <w:tcW w:w="1870" w:type="dxa"/>
            <w:vAlign w:val="center"/>
          </w:tcPr>
          <w:p w14:paraId="18BA5D8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B - ND</w:t>
            </w:r>
          </w:p>
        </w:tc>
        <w:tc>
          <w:tcPr>
            <w:tcW w:w="1870" w:type="dxa"/>
            <w:vAlign w:val="center"/>
          </w:tcPr>
          <w:p w14:paraId="40A291E8"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4.41</w:t>
            </w:r>
          </w:p>
        </w:tc>
        <w:tc>
          <w:tcPr>
            <w:tcW w:w="1870" w:type="dxa"/>
            <w:vAlign w:val="center"/>
          </w:tcPr>
          <w:p w14:paraId="37C43BE9"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0.062</w:t>
            </w:r>
          </w:p>
        </w:tc>
        <w:tc>
          <w:tcPr>
            <w:tcW w:w="1870" w:type="dxa"/>
            <w:vAlign w:val="center"/>
          </w:tcPr>
          <w:p w14:paraId="7E3B302F"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0.0373</w:t>
            </w:r>
          </w:p>
        </w:tc>
        <w:tc>
          <w:tcPr>
            <w:tcW w:w="1870" w:type="dxa"/>
            <w:vAlign w:val="center"/>
          </w:tcPr>
          <w:p w14:paraId="3FB47369"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0.8506</w:t>
            </w:r>
          </w:p>
        </w:tc>
      </w:tr>
      <w:tr w:rsidR="00573010" w:rsidRPr="005E6B7C" w14:paraId="7504C69C" w14:textId="77777777" w:rsidTr="003A2261">
        <w:trPr>
          <w:jc w:val="center"/>
        </w:trPr>
        <w:tc>
          <w:tcPr>
            <w:tcW w:w="1870" w:type="dxa"/>
            <w:vAlign w:val="center"/>
          </w:tcPr>
          <w:p w14:paraId="3BAA13D8"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C - TG</w:t>
            </w:r>
          </w:p>
        </w:tc>
        <w:tc>
          <w:tcPr>
            <w:tcW w:w="1870" w:type="dxa"/>
            <w:vAlign w:val="center"/>
          </w:tcPr>
          <w:p w14:paraId="06C80A7B"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25.43</w:t>
            </w:r>
          </w:p>
        </w:tc>
        <w:tc>
          <w:tcPr>
            <w:tcW w:w="1870" w:type="dxa"/>
            <w:vAlign w:val="center"/>
          </w:tcPr>
          <w:p w14:paraId="4346CF53"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0.0005</w:t>
            </w:r>
          </w:p>
        </w:tc>
        <w:tc>
          <w:tcPr>
            <w:tcW w:w="1870" w:type="dxa"/>
            <w:vAlign w:val="center"/>
          </w:tcPr>
          <w:p w14:paraId="0E8C774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36.1</w:t>
            </w:r>
          </w:p>
        </w:tc>
        <w:tc>
          <w:tcPr>
            <w:tcW w:w="1870" w:type="dxa"/>
            <w:vAlign w:val="center"/>
          </w:tcPr>
          <w:p w14:paraId="3DC977C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0.0001</w:t>
            </w:r>
          </w:p>
        </w:tc>
      </w:tr>
      <w:tr w:rsidR="00573010" w:rsidRPr="005E6B7C" w14:paraId="75252B2E" w14:textId="77777777" w:rsidTr="003A2261">
        <w:trPr>
          <w:jc w:val="center"/>
        </w:trPr>
        <w:tc>
          <w:tcPr>
            <w:tcW w:w="1870" w:type="dxa"/>
            <w:vAlign w:val="center"/>
          </w:tcPr>
          <w:p w14:paraId="53444D2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AB</w:t>
            </w:r>
          </w:p>
        </w:tc>
        <w:tc>
          <w:tcPr>
            <w:tcW w:w="1870" w:type="dxa"/>
            <w:vAlign w:val="center"/>
          </w:tcPr>
          <w:p w14:paraId="7E509C05"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0.2509</w:t>
            </w:r>
          </w:p>
        </w:tc>
        <w:tc>
          <w:tcPr>
            <w:tcW w:w="1870" w:type="dxa"/>
            <w:vAlign w:val="center"/>
          </w:tcPr>
          <w:p w14:paraId="757E5743"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0.6273</w:t>
            </w:r>
          </w:p>
        </w:tc>
        <w:tc>
          <w:tcPr>
            <w:tcW w:w="1870" w:type="dxa"/>
            <w:vAlign w:val="center"/>
          </w:tcPr>
          <w:p w14:paraId="0AE69177"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4.17</w:t>
            </w:r>
          </w:p>
        </w:tc>
        <w:tc>
          <w:tcPr>
            <w:tcW w:w="1870" w:type="dxa"/>
            <w:vAlign w:val="center"/>
          </w:tcPr>
          <w:p w14:paraId="4A6739E7"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0.0683</w:t>
            </w:r>
          </w:p>
        </w:tc>
      </w:tr>
      <w:tr w:rsidR="00573010" w:rsidRPr="005E6B7C" w14:paraId="17891B52" w14:textId="77777777" w:rsidTr="003A2261">
        <w:trPr>
          <w:jc w:val="center"/>
        </w:trPr>
        <w:tc>
          <w:tcPr>
            <w:tcW w:w="1870" w:type="dxa"/>
            <w:vAlign w:val="center"/>
          </w:tcPr>
          <w:p w14:paraId="2DF682DE"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AC</w:t>
            </w:r>
          </w:p>
        </w:tc>
        <w:tc>
          <w:tcPr>
            <w:tcW w:w="1870" w:type="dxa"/>
            <w:vAlign w:val="center"/>
          </w:tcPr>
          <w:p w14:paraId="65073B90"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1.67</w:t>
            </w:r>
          </w:p>
        </w:tc>
        <w:tc>
          <w:tcPr>
            <w:tcW w:w="1870" w:type="dxa"/>
            <w:vAlign w:val="center"/>
          </w:tcPr>
          <w:p w14:paraId="6184F700"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0.2248</w:t>
            </w:r>
          </w:p>
        </w:tc>
        <w:tc>
          <w:tcPr>
            <w:tcW w:w="1870" w:type="dxa"/>
            <w:vAlign w:val="center"/>
          </w:tcPr>
          <w:p w14:paraId="4504A639"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2.1</w:t>
            </w:r>
          </w:p>
        </w:tc>
        <w:tc>
          <w:tcPr>
            <w:tcW w:w="1870" w:type="dxa"/>
            <w:vAlign w:val="center"/>
          </w:tcPr>
          <w:p w14:paraId="5E69AFC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0.1779</w:t>
            </w:r>
          </w:p>
        </w:tc>
      </w:tr>
      <w:tr w:rsidR="00573010" w:rsidRPr="005E6B7C" w14:paraId="4548283C" w14:textId="77777777" w:rsidTr="003A2261">
        <w:trPr>
          <w:jc w:val="center"/>
        </w:trPr>
        <w:tc>
          <w:tcPr>
            <w:tcW w:w="1870" w:type="dxa"/>
            <w:vAlign w:val="center"/>
          </w:tcPr>
          <w:p w14:paraId="01E9CAD8"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BC</w:t>
            </w:r>
          </w:p>
        </w:tc>
        <w:tc>
          <w:tcPr>
            <w:tcW w:w="1870" w:type="dxa"/>
            <w:vAlign w:val="center"/>
          </w:tcPr>
          <w:p w14:paraId="011780D6"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3.61</w:t>
            </w:r>
          </w:p>
        </w:tc>
        <w:tc>
          <w:tcPr>
            <w:tcW w:w="1870" w:type="dxa"/>
            <w:vAlign w:val="center"/>
          </w:tcPr>
          <w:p w14:paraId="7DB64657"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0.0867</w:t>
            </w:r>
          </w:p>
        </w:tc>
        <w:tc>
          <w:tcPr>
            <w:tcW w:w="1870" w:type="dxa"/>
            <w:vAlign w:val="center"/>
          </w:tcPr>
          <w:p w14:paraId="54B57C12"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49.42</w:t>
            </w:r>
          </w:p>
        </w:tc>
        <w:tc>
          <w:tcPr>
            <w:tcW w:w="1870" w:type="dxa"/>
            <w:vAlign w:val="center"/>
          </w:tcPr>
          <w:p w14:paraId="5165B11B"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r>
      <w:tr w:rsidR="00573010" w:rsidRPr="005E6B7C" w14:paraId="63992564" w14:textId="77777777" w:rsidTr="003A2261">
        <w:trPr>
          <w:jc w:val="center"/>
        </w:trPr>
        <w:tc>
          <w:tcPr>
            <w:tcW w:w="1870" w:type="dxa"/>
            <w:vAlign w:val="center"/>
          </w:tcPr>
          <w:p w14:paraId="7C3C4DF3"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A</w:t>
            </w:r>
            <w:r w:rsidRPr="005E6B7C">
              <w:rPr>
                <w:rFonts w:asciiTheme="majorHAnsi" w:eastAsia="Times New Roman" w:hAnsiTheme="majorHAnsi" w:cstheme="majorHAnsi"/>
                <w:color w:val="000000" w:themeColor="text1"/>
                <w:sz w:val="18"/>
                <w:szCs w:val="18"/>
                <w:vertAlign w:val="superscript"/>
              </w:rPr>
              <w:t>2</w:t>
            </w:r>
          </w:p>
        </w:tc>
        <w:tc>
          <w:tcPr>
            <w:tcW w:w="1870" w:type="dxa"/>
            <w:vAlign w:val="center"/>
          </w:tcPr>
          <w:p w14:paraId="30876069"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101.45</w:t>
            </w:r>
          </w:p>
        </w:tc>
        <w:tc>
          <w:tcPr>
            <w:tcW w:w="1870" w:type="dxa"/>
            <w:vAlign w:val="center"/>
          </w:tcPr>
          <w:p w14:paraId="548A5CCF"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c>
          <w:tcPr>
            <w:tcW w:w="1870" w:type="dxa"/>
            <w:vAlign w:val="center"/>
          </w:tcPr>
          <w:p w14:paraId="5B1741AC"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431.84</w:t>
            </w:r>
          </w:p>
        </w:tc>
        <w:tc>
          <w:tcPr>
            <w:tcW w:w="1870" w:type="dxa"/>
            <w:vAlign w:val="center"/>
          </w:tcPr>
          <w:p w14:paraId="263F4079"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r>
      <w:tr w:rsidR="00573010" w:rsidRPr="005E6B7C" w14:paraId="34687ABF" w14:textId="77777777" w:rsidTr="003A2261">
        <w:trPr>
          <w:jc w:val="center"/>
        </w:trPr>
        <w:tc>
          <w:tcPr>
            <w:tcW w:w="1870" w:type="dxa"/>
            <w:vAlign w:val="center"/>
          </w:tcPr>
          <w:p w14:paraId="053C5974"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B</w:t>
            </w:r>
            <w:r w:rsidRPr="005E6B7C">
              <w:rPr>
                <w:rFonts w:asciiTheme="majorHAnsi" w:eastAsia="Times New Roman" w:hAnsiTheme="majorHAnsi" w:cstheme="majorHAnsi"/>
                <w:color w:val="000000" w:themeColor="text1"/>
                <w:sz w:val="18"/>
                <w:szCs w:val="18"/>
                <w:vertAlign w:val="superscript"/>
              </w:rPr>
              <w:t>2</w:t>
            </w:r>
          </w:p>
        </w:tc>
        <w:tc>
          <w:tcPr>
            <w:tcW w:w="1870" w:type="dxa"/>
            <w:vAlign w:val="center"/>
          </w:tcPr>
          <w:p w14:paraId="77406EBC"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202.55</w:t>
            </w:r>
          </w:p>
        </w:tc>
        <w:tc>
          <w:tcPr>
            <w:tcW w:w="1870" w:type="dxa"/>
            <w:vAlign w:val="center"/>
          </w:tcPr>
          <w:p w14:paraId="7DE519F4"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c>
          <w:tcPr>
            <w:tcW w:w="1870" w:type="dxa"/>
            <w:vAlign w:val="center"/>
          </w:tcPr>
          <w:p w14:paraId="5921A8F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403.22</w:t>
            </w:r>
          </w:p>
        </w:tc>
        <w:tc>
          <w:tcPr>
            <w:tcW w:w="1870" w:type="dxa"/>
            <w:vAlign w:val="center"/>
          </w:tcPr>
          <w:p w14:paraId="7B5CDBC8"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&lt; 0.0001</w:t>
            </w:r>
          </w:p>
        </w:tc>
      </w:tr>
      <w:tr w:rsidR="00573010" w:rsidRPr="005E6B7C" w14:paraId="68CE1B97" w14:textId="77777777" w:rsidTr="003A2261">
        <w:trPr>
          <w:jc w:val="center"/>
        </w:trPr>
        <w:tc>
          <w:tcPr>
            <w:tcW w:w="1870" w:type="dxa"/>
            <w:vAlign w:val="center"/>
          </w:tcPr>
          <w:p w14:paraId="2739CB3A"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C</w:t>
            </w:r>
            <w:r w:rsidRPr="005E6B7C">
              <w:rPr>
                <w:rFonts w:asciiTheme="majorHAnsi" w:eastAsia="Times New Roman" w:hAnsiTheme="majorHAnsi" w:cstheme="majorHAnsi"/>
                <w:color w:val="000000" w:themeColor="text1"/>
                <w:sz w:val="18"/>
                <w:szCs w:val="18"/>
                <w:vertAlign w:val="superscript"/>
              </w:rPr>
              <w:t>2</w:t>
            </w:r>
          </w:p>
        </w:tc>
        <w:tc>
          <w:tcPr>
            <w:tcW w:w="1870" w:type="dxa"/>
            <w:vAlign w:val="center"/>
          </w:tcPr>
          <w:p w14:paraId="6F3641B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3.2</w:t>
            </w:r>
          </w:p>
        </w:tc>
        <w:tc>
          <w:tcPr>
            <w:tcW w:w="1870" w:type="dxa"/>
            <w:vAlign w:val="center"/>
          </w:tcPr>
          <w:p w14:paraId="0F84EF6B"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0.1041</w:t>
            </w:r>
          </w:p>
        </w:tc>
        <w:tc>
          <w:tcPr>
            <w:tcW w:w="1870" w:type="dxa"/>
            <w:vAlign w:val="center"/>
          </w:tcPr>
          <w:p w14:paraId="79E183CE"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0.0079</w:t>
            </w:r>
          </w:p>
        </w:tc>
        <w:tc>
          <w:tcPr>
            <w:tcW w:w="1870" w:type="dxa"/>
            <w:vAlign w:val="center"/>
          </w:tcPr>
          <w:p w14:paraId="5B8A6EEB"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0.9307</w:t>
            </w:r>
          </w:p>
        </w:tc>
      </w:tr>
      <w:tr w:rsidR="00573010" w:rsidRPr="005E6B7C" w14:paraId="5AE7C688" w14:textId="77777777" w:rsidTr="003A2261">
        <w:trPr>
          <w:jc w:val="center"/>
        </w:trPr>
        <w:tc>
          <w:tcPr>
            <w:tcW w:w="1870" w:type="dxa"/>
            <w:vAlign w:val="center"/>
          </w:tcPr>
          <w:p w14:paraId="4605511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Lack of Fit</w:t>
            </w:r>
          </w:p>
        </w:tc>
        <w:tc>
          <w:tcPr>
            <w:tcW w:w="1870" w:type="dxa"/>
            <w:vAlign w:val="center"/>
          </w:tcPr>
          <w:p w14:paraId="55059688"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4.71</w:t>
            </w:r>
          </w:p>
        </w:tc>
        <w:tc>
          <w:tcPr>
            <w:tcW w:w="1870" w:type="dxa"/>
            <w:vAlign w:val="center"/>
          </w:tcPr>
          <w:p w14:paraId="526CC6CE"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0.0570</w:t>
            </w:r>
          </w:p>
        </w:tc>
        <w:tc>
          <w:tcPr>
            <w:tcW w:w="1870" w:type="dxa"/>
            <w:vAlign w:val="center"/>
          </w:tcPr>
          <w:p w14:paraId="3213C027"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4.62</w:t>
            </w:r>
          </w:p>
        </w:tc>
        <w:tc>
          <w:tcPr>
            <w:tcW w:w="1870" w:type="dxa"/>
            <w:vAlign w:val="center"/>
          </w:tcPr>
          <w:p w14:paraId="3ABF608D" w14:textId="77777777" w:rsidR="0087467D" w:rsidRPr="005E6B7C" w:rsidRDefault="0087467D"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Times New Roman" w:hAnsiTheme="majorHAnsi" w:cstheme="majorHAnsi"/>
                <w:color w:val="000000" w:themeColor="text1"/>
                <w:sz w:val="18"/>
                <w:szCs w:val="18"/>
              </w:rPr>
              <w:t>0.0591</w:t>
            </w:r>
          </w:p>
        </w:tc>
      </w:tr>
    </w:tbl>
    <w:p w14:paraId="08B829EC" w14:textId="77777777" w:rsidR="0087467D" w:rsidRPr="005E6B7C" w:rsidRDefault="0087467D" w:rsidP="008C0D47">
      <w:pPr>
        <w:tabs>
          <w:tab w:val="left" w:pos="9270"/>
        </w:tabs>
        <w:ind w:right="-20"/>
        <w:jc w:val="both"/>
        <w:rPr>
          <w:rFonts w:asciiTheme="majorHAnsi" w:eastAsia="Yu Mincho" w:hAnsiTheme="majorHAnsi" w:cstheme="majorHAnsi"/>
          <w:b/>
          <w:bCs/>
          <w:color w:val="000000" w:themeColor="text1"/>
          <w:sz w:val="22"/>
          <w:szCs w:val="22"/>
          <w:lang w:eastAsia="ja-JP"/>
        </w:rPr>
      </w:pPr>
    </w:p>
    <w:p w14:paraId="1C2D0666"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065B2B5C"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results presented in Table </w:t>
      </w:r>
      <w:r w:rsidR="009835F2" w:rsidRPr="005E6B7C">
        <w:rPr>
          <w:rFonts w:asciiTheme="majorHAnsi" w:eastAsia="Yu Mincho" w:hAnsiTheme="majorHAnsi" w:cstheme="majorHAnsi"/>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 xml:space="preserve"> further confirm the reliability of the model through the coefficient of determination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which reached very high values of 0.9747 and 0.9887 for the TFC and TPC models, respectively. This indicates that over 97% of the variation in active compound content can be explained by the input variables. Furthermore, the adjusted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values for the TFC and TPC models were 0.9519 and 0.9785, respectively. The small discrepancy between the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and adjusted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values demonstrates that the variables included in the model significantly contribute to the response without causing overfitting.</w:t>
      </w:r>
    </w:p>
    <w:p w14:paraId="729B13A7"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Specifically, the high degree of compatibility between the adjusted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and predicted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values indicates that the model possesses strong predictive capability for the output variables. According to the study by Mourabet, a model is considered to have good predictive power if the difference between these two values is less than 0.2. The results of this study fully satisfied this criterion, with adjusted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versus predicted R</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values of 0.9519 vs. 0.8344 for TFC and 0.9785 vs. 0.9254 for TPC. This confirmed that the model not only fits the obtained data but also accurately predicts the outcomes of new experimental trials.</w:t>
      </w:r>
    </w:p>
    <w:p w14:paraId="424DE674"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418EC27D" w14:textId="77777777" w:rsidR="00E049CB" w:rsidRPr="005E6B7C" w:rsidRDefault="00E049CB" w:rsidP="008C0D47">
      <w:pPr>
        <w:tabs>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w:t>
      </w:r>
      <w:r w:rsidR="009835F2" w:rsidRPr="005E6B7C">
        <w:rPr>
          <w:rFonts w:asciiTheme="majorHAnsi" w:eastAsia="Yu Mincho" w:hAnsiTheme="majorHAnsi" w:cstheme="majorHAnsi"/>
          <w:b/>
          <w:bCs/>
          <w:color w:val="000000" w:themeColor="text1"/>
          <w:sz w:val="18"/>
          <w:szCs w:val="18"/>
          <w:lang w:eastAsia="ja-JP"/>
        </w:rPr>
        <w:t>4</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Statistical fit parameters of the TFC and TPC regression models</w:t>
      </w:r>
    </w:p>
    <w:tbl>
      <w:tblPr>
        <w:tblStyle w:val="TableGrid"/>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32"/>
        <w:gridCol w:w="3020"/>
        <w:gridCol w:w="3020"/>
      </w:tblGrid>
      <w:tr w:rsidR="00573010" w:rsidRPr="005E6B7C" w14:paraId="473710B7" w14:textId="77777777" w:rsidTr="003A2261">
        <w:trPr>
          <w:jc w:val="center"/>
        </w:trPr>
        <w:tc>
          <w:tcPr>
            <w:tcW w:w="3116" w:type="dxa"/>
            <w:vAlign w:val="center"/>
          </w:tcPr>
          <w:p w14:paraId="1CC800CA"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Parameters</w:t>
            </w:r>
          </w:p>
        </w:tc>
        <w:tc>
          <w:tcPr>
            <w:tcW w:w="3117" w:type="dxa"/>
            <w:vAlign w:val="center"/>
          </w:tcPr>
          <w:p w14:paraId="3FD314E2"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TFC</w:t>
            </w:r>
          </w:p>
        </w:tc>
        <w:tc>
          <w:tcPr>
            <w:tcW w:w="3117" w:type="dxa"/>
            <w:vAlign w:val="center"/>
          </w:tcPr>
          <w:p w14:paraId="1FD4F13A"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b/>
                <w:bCs/>
                <w:color w:val="000000" w:themeColor="text1"/>
                <w:sz w:val="18"/>
                <w:szCs w:val="18"/>
              </w:rPr>
              <w:t>TPC</w:t>
            </w:r>
          </w:p>
        </w:tc>
      </w:tr>
      <w:tr w:rsidR="00573010" w:rsidRPr="005E6B7C" w14:paraId="3C3CCF7F" w14:textId="77777777" w:rsidTr="003A2261">
        <w:trPr>
          <w:jc w:val="center"/>
        </w:trPr>
        <w:tc>
          <w:tcPr>
            <w:tcW w:w="3116" w:type="dxa"/>
            <w:vAlign w:val="center"/>
          </w:tcPr>
          <w:p w14:paraId="268923BC"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R</w:t>
            </w:r>
            <w:r w:rsidRPr="005E6B7C">
              <w:rPr>
                <w:rFonts w:asciiTheme="majorHAnsi" w:eastAsia="Times New Roman" w:hAnsiTheme="majorHAnsi" w:cstheme="majorHAnsi"/>
                <w:color w:val="000000" w:themeColor="text1"/>
                <w:sz w:val="18"/>
                <w:szCs w:val="18"/>
                <w:vertAlign w:val="superscript"/>
                <w:lang w:val="pt-BR"/>
              </w:rPr>
              <w:t xml:space="preserve">2 </w:t>
            </w:r>
            <w:r w:rsidRPr="005E6B7C">
              <w:rPr>
                <w:rFonts w:asciiTheme="majorHAnsi" w:eastAsia="Times New Roman" w:hAnsiTheme="majorHAnsi" w:cstheme="majorHAnsi"/>
                <w:color w:val="000000" w:themeColor="text1"/>
                <w:sz w:val="18"/>
                <w:szCs w:val="18"/>
              </w:rPr>
              <w:t>value</w:t>
            </w:r>
          </w:p>
        </w:tc>
        <w:tc>
          <w:tcPr>
            <w:tcW w:w="3117" w:type="dxa"/>
            <w:vAlign w:val="center"/>
          </w:tcPr>
          <w:p w14:paraId="762CA24F"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0.9747</w:t>
            </w:r>
          </w:p>
        </w:tc>
        <w:tc>
          <w:tcPr>
            <w:tcW w:w="3117" w:type="dxa"/>
            <w:vAlign w:val="center"/>
          </w:tcPr>
          <w:p w14:paraId="295BA7B0"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0.9887</w:t>
            </w:r>
          </w:p>
        </w:tc>
      </w:tr>
      <w:tr w:rsidR="00573010" w:rsidRPr="005E6B7C" w14:paraId="1808395F" w14:textId="77777777" w:rsidTr="003A2261">
        <w:trPr>
          <w:jc w:val="center"/>
        </w:trPr>
        <w:tc>
          <w:tcPr>
            <w:tcW w:w="3116" w:type="dxa"/>
            <w:vAlign w:val="center"/>
          </w:tcPr>
          <w:p w14:paraId="03F11CB3"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Adjusted R</w:t>
            </w:r>
            <w:r w:rsidRPr="005E6B7C">
              <w:rPr>
                <w:rFonts w:asciiTheme="majorHAnsi" w:eastAsia="Times New Roman" w:hAnsiTheme="majorHAnsi" w:cstheme="majorHAnsi"/>
                <w:color w:val="000000" w:themeColor="text1"/>
                <w:sz w:val="18"/>
                <w:szCs w:val="18"/>
                <w:vertAlign w:val="superscript"/>
              </w:rPr>
              <w:t>2</w:t>
            </w:r>
          </w:p>
        </w:tc>
        <w:tc>
          <w:tcPr>
            <w:tcW w:w="3117" w:type="dxa"/>
            <w:vAlign w:val="center"/>
          </w:tcPr>
          <w:p w14:paraId="53E69F2C"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0.9519</w:t>
            </w:r>
          </w:p>
        </w:tc>
        <w:tc>
          <w:tcPr>
            <w:tcW w:w="3117" w:type="dxa"/>
            <w:vAlign w:val="center"/>
          </w:tcPr>
          <w:p w14:paraId="517531E7"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0.9785</w:t>
            </w:r>
          </w:p>
        </w:tc>
      </w:tr>
      <w:tr w:rsidR="00573010" w:rsidRPr="005E6B7C" w14:paraId="4C7E9EFE" w14:textId="77777777" w:rsidTr="003A2261">
        <w:trPr>
          <w:jc w:val="center"/>
        </w:trPr>
        <w:tc>
          <w:tcPr>
            <w:tcW w:w="3116" w:type="dxa"/>
            <w:vAlign w:val="center"/>
          </w:tcPr>
          <w:p w14:paraId="0E8DABCF"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Predicted R</w:t>
            </w:r>
            <w:r w:rsidRPr="005E6B7C">
              <w:rPr>
                <w:rFonts w:asciiTheme="majorHAnsi" w:eastAsia="Times New Roman" w:hAnsiTheme="majorHAnsi" w:cstheme="majorHAnsi"/>
                <w:color w:val="000000" w:themeColor="text1"/>
                <w:sz w:val="18"/>
                <w:szCs w:val="18"/>
                <w:vertAlign w:val="superscript"/>
              </w:rPr>
              <w:t>2</w:t>
            </w:r>
          </w:p>
        </w:tc>
        <w:tc>
          <w:tcPr>
            <w:tcW w:w="3117" w:type="dxa"/>
            <w:vAlign w:val="center"/>
          </w:tcPr>
          <w:p w14:paraId="6C04E3D0"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0.8344</w:t>
            </w:r>
          </w:p>
        </w:tc>
        <w:tc>
          <w:tcPr>
            <w:tcW w:w="3117" w:type="dxa"/>
            <w:vAlign w:val="center"/>
          </w:tcPr>
          <w:p w14:paraId="12A48492"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0.9254</w:t>
            </w:r>
          </w:p>
        </w:tc>
      </w:tr>
      <w:tr w:rsidR="00573010" w:rsidRPr="005E6B7C" w14:paraId="738B4129" w14:textId="77777777" w:rsidTr="003A2261">
        <w:trPr>
          <w:jc w:val="center"/>
        </w:trPr>
        <w:tc>
          <w:tcPr>
            <w:tcW w:w="3116" w:type="dxa"/>
            <w:vAlign w:val="center"/>
          </w:tcPr>
          <w:p w14:paraId="30A65AD4"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Adeq Precision</w:t>
            </w:r>
          </w:p>
        </w:tc>
        <w:tc>
          <w:tcPr>
            <w:tcW w:w="3117" w:type="dxa"/>
            <w:vAlign w:val="center"/>
          </w:tcPr>
          <w:p w14:paraId="78F747B6"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21.5044</w:t>
            </w:r>
          </w:p>
        </w:tc>
        <w:tc>
          <w:tcPr>
            <w:tcW w:w="3117" w:type="dxa"/>
            <w:vAlign w:val="center"/>
          </w:tcPr>
          <w:p w14:paraId="41870302"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27.4551</w:t>
            </w:r>
          </w:p>
        </w:tc>
      </w:tr>
      <w:tr w:rsidR="00573010" w:rsidRPr="005E6B7C" w14:paraId="281C1E92" w14:textId="77777777" w:rsidTr="003A2261">
        <w:trPr>
          <w:jc w:val="center"/>
        </w:trPr>
        <w:tc>
          <w:tcPr>
            <w:tcW w:w="3116" w:type="dxa"/>
            <w:vAlign w:val="center"/>
          </w:tcPr>
          <w:p w14:paraId="404FAF24"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Coefficient of Variation (C.V. %)</w:t>
            </w:r>
          </w:p>
        </w:tc>
        <w:tc>
          <w:tcPr>
            <w:tcW w:w="3117" w:type="dxa"/>
            <w:vAlign w:val="center"/>
          </w:tcPr>
          <w:p w14:paraId="4BFECB9F"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2.46</w:t>
            </w:r>
          </w:p>
        </w:tc>
        <w:tc>
          <w:tcPr>
            <w:tcW w:w="3117" w:type="dxa"/>
            <w:vAlign w:val="center"/>
          </w:tcPr>
          <w:p w14:paraId="08D680E9" w14:textId="77777777" w:rsidR="009835F2" w:rsidRPr="005E6B7C" w:rsidRDefault="009835F2"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rPr>
              <w:t>1.29</w:t>
            </w:r>
          </w:p>
        </w:tc>
      </w:tr>
    </w:tbl>
    <w:p w14:paraId="59CD9C28" w14:textId="77777777" w:rsidR="0047080C" w:rsidRPr="005E6B7C" w:rsidRDefault="0047080C" w:rsidP="008C0D47">
      <w:pPr>
        <w:tabs>
          <w:tab w:val="left" w:pos="9270"/>
        </w:tabs>
        <w:ind w:right="-20"/>
        <w:jc w:val="both"/>
        <w:rPr>
          <w:rFonts w:asciiTheme="majorHAnsi" w:eastAsia="Yu Mincho" w:hAnsiTheme="majorHAnsi" w:cstheme="majorHAnsi"/>
          <w:i/>
          <w:iCs/>
          <w:color w:val="000000" w:themeColor="text1"/>
          <w:sz w:val="22"/>
          <w:szCs w:val="22"/>
          <w:lang w:eastAsia="ja-JP"/>
        </w:rPr>
      </w:pPr>
    </w:p>
    <w:p w14:paraId="3FEC918F"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7198EB6B" w14:textId="77777777" w:rsidR="00E049CB" w:rsidRPr="005E6B7C" w:rsidRDefault="00E049CB" w:rsidP="008C0D47">
      <w:pPr>
        <w:tabs>
          <w:tab w:val="left" w:pos="9270"/>
        </w:tabs>
        <w:spacing w:line="25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3.3. Interaction Effects Analysis</w:t>
      </w:r>
    </w:p>
    <w:p w14:paraId="128C6B39" w14:textId="77777777" w:rsidR="00E049CB" w:rsidRPr="005E6B7C" w:rsidRDefault="00E049CB" w:rsidP="008C0D47">
      <w:pPr>
        <w:tabs>
          <w:tab w:val="left" w:pos="9270"/>
        </w:tabs>
        <w:spacing w:line="25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Analysis of the 2D contour plots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 xml:space="preserve">3.1 reveals complex interactions between ethanol (EtOH) concentration (A), temperature (B), and time (C) affecting the extraction efficiency of active compounds from yellow </w:t>
      </w:r>
      <w:r w:rsidRPr="005E6B7C">
        <w:rPr>
          <w:rFonts w:asciiTheme="majorHAnsi" w:eastAsia="Yu Mincho" w:hAnsiTheme="majorHAnsi" w:cstheme="majorHAnsi"/>
          <w:i/>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flowers. The influence of the input variable pairs on TPC is illustrated in Figures 3.1 (1, 2, and 3), showing that the interaction between solvent concentration and extraction temperature plays a decisive role. This is evidenced by the concentric elliptical contour lines surrounding the optimal region.</w:t>
      </w:r>
    </w:p>
    <w:p w14:paraId="2FFA2D38" w14:textId="77777777" w:rsidR="00243D58" w:rsidRPr="005E6B7C" w:rsidRDefault="00E049CB" w:rsidP="008C0D47">
      <w:pPr>
        <w:tabs>
          <w:tab w:val="left" w:pos="9270"/>
        </w:tabs>
        <w:spacing w:line="25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The TFC reached its maximum level when the EtOH concentration was maintained within the 55–60% range in combination with a </w:t>
      </w:r>
      <w:r w:rsidRPr="005E6B7C">
        <w:rPr>
          <w:rFonts w:asciiTheme="majorHAnsi" w:eastAsia="Yu Mincho" w:hAnsiTheme="majorHAnsi" w:cstheme="majorHAnsi"/>
          <w:color w:val="000000" w:themeColor="text1"/>
          <w:spacing w:val="4"/>
          <w:sz w:val="22"/>
          <w:szCs w:val="22"/>
          <w:lang w:eastAsia="ja-JP"/>
        </w:rPr>
        <w:t xml:space="preserve">temperature of 60°C. According to the study by Savić et al. on the optimization of flavonoid extraction from tea, this combination optimizes solvent polarity. Simultaneously, the appropriate temperature helps weaken the hydrogen bonds between flavonoids and the cell matrix, thereby significantly enhancing the solubility of the active compounds in the extract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&lt;EndNote&gt;&lt;Cite&gt;&lt;Author&gt;Savić&lt;/Author&gt;&lt;Year&gt;2013&lt;/Year&gt;&lt;RecNum&gt;16&lt;/RecNum&gt;&lt;DisplayText&gt;[14]&lt;/DisplayText&gt;&lt;record&gt;&lt;rec-number&gt;16&lt;/rec-number&gt;&lt;foreign-keys&gt;&lt;key app="EN" db-id="dv2pess0b9edt5et90npa0fdp9sv9xfp5r5r" timestamp="1771796525"&gt;16&lt;/key&gt;&lt;/foreign-keys&gt;&lt;ref-type name="Journal Article"&gt;17&lt;/ref-type&gt;&lt;contributors&gt;&lt;authors&gt;&lt;author&gt;Savić, I. M.&lt;/author&gt;&lt;author&gt;Nikolić, V. D.&lt;/author&gt;&lt;author&gt;Savić, I. M&lt;/author&gt;&lt;author&gt;Nikolić, L. B&lt;/author&gt;&lt;author&gt;Stanković, M. Z.&lt;/author&gt;&lt;author&gt;Moder, K.&lt;/author&gt;&lt;/authors&gt;&lt;/contributors&gt;&lt;titles&gt;&lt;title&gt;Optimization of total flavonoid compound extraction from Camellia sinesis using the artificial neural network and response surface methodology&lt;/title&gt;&lt;secondary-title&gt;Hemijska industrija&lt;/secondary-title&gt;&lt;/titles&gt;&lt;periodical&gt;&lt;full-title&gt;Hemijska industrija&lt;/full-title&gt;&lt;/periodical&gt;&lt;pages&gt;249-259&lt;/pages&gt;&lt;volume&gt;67&lt;/volume&gt;&lt;number&gt;2&lt;/number&gt;&lt;dates&gt;&lt;year&gt;2013&lt;/year&gt;&lt;/dates&gt;&lt;urls&gt;&lt;/urls&gt;&lt;/record&gt;&lt;/Cite&gt;&lt;/EndNote&gt;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[14]</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Figures</w:t>
      </w:r>
      <w:r w:rsidR="009835F2"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1 (2 and 3) show steep contour lines expanding toward the right corner of the plots, corresponding to the maximum extraction time of 6 hours. This confirms that time is a linear factor that helps the extraction system reach the highest concentration equilibrium.</w:t>
      </w:r>
    </w:p>
    <w:p w14:paraId="2BA58A12"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08AEAE62" w14:textId="77777777" w:rsidR="005408D1" w:rsidRPr="005E6B7C" w:rsidRDefault="005408D1" w:rsidP="008C0D47">
      <w:pPr>
        <w:tabs>
          <w:tab w:val="left" w:pos="9270"/>
        </w:tabs>
        <w:ind w:right="-20"/>
        <w:jc w:val="center"/>
        <w:rPr>
          <w:rFonts w:asciiTheme="majorHAnsi" w:eastAsia="Yu Mincho" w:hAnsiTheme="majorHAnsi" w:cstheme="majorHAnsi"/>
          <w:b/>
          <w:bCs/>
          <w:color w:val="000000" w:themeColor="text1"/>
          <w:sz w:val="18"/>
          <w:szCs w:val="18"/>
          <w:lang w:eastAsia="ja-JP"/>
        </w:rPr>
      </w:pPr>
    </w:p>
    <w:p w14:paraId="306490E9" w14:textId="77777777" w:rsidR="005408D1" w:rsidRPr="005E6B7C" w:rsidRDefault="005408D1" w:rsidP="008C0D47">
      <w:pPr>
        <w:tabs>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15A07B62" wp14:editId="48AA0D35">
            <wp:extent cx="5757239" cy="3193576"/>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4900" cy="3197826"/>
                    </a:xfrm>
                    <a:prstGeom prst="rect">
                      <a:avLst/>
                    </a:prstGeom>
                  </pic:spPr>
                </pic:pic>
              </a:graphicData>
            </a:graphic>
          </wp:inline>
        </w:drawing>
      </w:r>
    </w:p>
    <w:p w14:paraId="1D181409" w14:textId="77777777" w:rsidR="00E049CB" w:rsidRPr="005E6B7C" w:rsidRDefault="00517F81" w:rsidP="008C0D47">
      <w:pPr>
        <w:tabs>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 xml:space="preserve">1. </w:t>
      </w:r>
      <w:r w:rsidR="00E049CB" w:rsidRPr="005E6B7C">
        <w:rPr>
          <w:rFonts w:asciiTheme="majorHAnsi" w:eastAsia="Yu Mincho" w:hAnsiTheme="majorHAnsi" w:cstheme="majorHAnsi"/>
          <w:color w:val="000000" w:themeColor="text1"/>
          <w:sz w:val="18"/>
          <w:szCs w:val="18"/>
          <w:lang w:eastAsia="ja-JP"/>
        </w:rPr>
        <w:t>2D contour plots of the interaction effects on TFC (1, 2, 3) and TPC (1', 2', 3')</w:t>
      </w:r>
    </w:p>
    <w:p w14:paraId="3FC56B7F" w14:textId="77777777" w:rsidR="003A2261" w:rsidRPr="005E6B7C" w:rsidRDefault="003A2261" w:rsidP="008C0D47">
      <w:pPr>
        <w:tabs>
          <w:tab w:val="left" w:pos="9270"/>
        </w:tabs>
        <w:ind w:right="-20"/>
        <w:jc w:val="both"/>
        <w:rPr>
          <w:rFonts w:asciiTheme="majorHAnsi" w:eastAsia="Yu Mincho" w:hAnsiTheme="majorHAnsi" w:cstheme="majorHAnsi"/>
          <w:color w:val="000000" w:themeColor="text1"/>
          <w:sz w:val="22"/>
          <w:szCs w:val="22"/>
          <w:lang w:eastAsia="ja-JP"/>
        </w:rPr>
      </w:pPr>
    </w:p>
    <w:p w14:paraId="13B9B2E4"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5610A0CE" w14:textId="77777777" w:rsidR="00E049CB" w:rsidRPr="005E6B7C" w:rsidRDefault="00E049CB" w:rsidP="008C0D47">
      <w:pPr>
        <w:tabs>
          <w:tab w:val="left" w:pos="9270"/>
        </w:tabs>
        <w:spacing w:line="27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influence of the input variable pairs on TPC, as shown in Figures 1', 2', and 3', exhibits a higher density of contour lines compared to TFC. This indicates that the polyphenol group is more sensitive to changes in the input conditions. Notably,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 xml:space="preserve">3' reveals that the interaction between temperature and time is statistically highly significant (P &lt; 0.0001). The optimal region, indicated in dark red for concentrations exceeding 34%, converges clearly at the coordinates of 60°C and 6 hours. The increase in </w:t>
      </w:r>
      <w:r w:rsidRPr="005E6B7C">
        <w:rPr>
          <w:rFonts w:asciiTheme="majorHAnsi" w:eastAsia="Yu Mincho" w:hAnsiTheme="majorHAnsi" w:cstheme="majorHAnsi"/>
          <w:color w:val="000000" w:themeColor="text1"/>
          <w:sz w:val="22"/>
          <w:szCs w:val="22"/>
          <w:lang w:eastAsia="ja-JP"/>
        </w:rPr>
        <w:t xml:space="preserve">temperature reduces solvent viscosity, which, combined with the extended extraction time of 6 hours, allows the diffusion coefficient of phenolic compounds through the plant cell walls to reach its maximum. Research by Silva on the extraction of phenolic compounds suggested that the convergence of contour lines into a closed elliptical shape on a 2D plot serves as experimental evidence confirming the existence of an ideal interaction zone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&lt;EndNote&gt;&lt;Cite&gt;&lt;Author&gt;Silva&lt;/Author&gt;&lt;Year&gt;2007&lt;/Year&gt;&lt;RecNum&gt;17&lt;/RecNum&gt;&lt;DisplayText&gt;[15]&lt;/DisplayText&gt;&lt;record&gt;&lt;rec-number&gt;17&lt;/rec-number&gt;&lt;foreign-keys&gt;&lt;key app="EN" db-id="dv2pess0b9edt5et90npa0fdp9sv9xfp5r5r" timestamp="1771796729"&gt;17&lt;/key&gt;&lt;/foreign-keys&gt;&lt;ref-type name="Journal Article"&gt;17&lt;/ref-type&gt;&lt;contributors&gt;&lt;authors&gt;&lt;author&gt;Silva, E.M.&lt;/author&gt;&lt;author&gt;Rogez, H.&lt;/author&gt;&lt;author&gt;Larondelle, Y.&lt;/author&gt;&lt;/authors&gt;&lt;/contributors&gt;&lt;titles&gt;&lt;title&gt;Optimization of extraction of phenolics from Inga edulis leaves using response surface methodology&lt;/title&gt;&lt;secondary-title&gt;eparation purification technology&lt;/secondary-title&gt;&lt;/titles&gt;&lt;periodical&gt;&lt;full-title&gt;eparation purification technology&lt;/full-title&gt;&lt;/periodical&gt;&lt;pages&gt;381-387&lt;/pages&gt;&lt;volume&gt;55&lt;/volume&gt;&lt;number&gt;3&lt;/number&gt;&lt;dates&gt;&lt;year&gt;2007&lt;/year&gt;&lt;/dates&gt;&lt;isbn&gt;1383-5866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56F5DFB8" w14:textId="77777777" w:rsidR="00E049CB" w:rsidRPr="005E6B7C" w:rsidRDefault="00E049CB" w:rsidP="008C0D47">
      <w:pPr>
        <w:tabs>
          <w:tab w:val="left" w:pos="9270"/>
        </w:tabs>
        <w:spacing w:line="274"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3.4. Determination of Optimal Conditions</w:t>
      </w:r>
    </w:p>
    <w:p w14:paraId="31946A5D" w14:textId="77777777" w:rsidR="00243D58" w:rsidRPr="005E6B7C" w:rsidRDefault="00E049CB" w:rsidP="008C0D47">
      <w:pPr>
        <w:tabs>
          <w:tab w:val="left" w:pos="9270"/>
        </w:tabs>
        <w:spacing w:line="274"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lastRenderedPageBreak/>
        <w:t xml:space="preserve">Based on data from the CCD matrix, the study searched for optimal conditions within the established design space. The ethanol concentration (A) and extraction temperature (B) were maintained within the initial survey ranges of 30-70% and 40-80°C, respectively, as the research scope already covered the best extraction conditions. However, the extraction time (C) was extended to 8 hours, beyond the initial upper limit of 6 hours. This adjustment is supported by extraction kinetics in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species, where specific flavonoids and polyphenols with bulky </w:t>
      </w:r>
      <w:r w:rsidRPr="005E6B7C">
        <w:rPr>
          <w:rFonts w:asciiTheme="majorHAnsi" w:eastAsia="Yu Mincho" w:hAnsiTheme="majorHAnsi" w:cstheme="majorHAnsi"/>
          <w:color w:val="000000" w:themeColor="text1"/>
          <w:sz w:val="22"/>
          <w:szCs w:val="22"/>
          <w:lang w:eastAsia="ja-JP"/>
        </w:rPr>
        <w:t xml:space="preserve">molecular structures require prolonged durations to achieve complete diffusion and solubility into the solvent system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&lt;EndNote&gt;&lt;Cite&gt;&lt;Author&gt;Shiyan&lt;/Author&gt;&lt;Year&gt;2018&lt;/Year&gt;&lt;RecNum&gt;19&lt;/RecNum&gt;&lt;DisplayText&gt;[16]&lt;/DisplayText&gt;&lt;record&gt;&lt;rec-number&gt;19&lt;/rec-number&gt;&lt;foreign-keys&gt;&lt;key app="EN" db-id="dv2pess0b9edt5et90npa0fdp9sv9xfp5r5r" timestamp="1771797636"&gt;19&lt;/key&gt;&lt;/foreign-keys&gt;&lt;ref-type name="Journal Article"&gt;17&lt;/ref-type&gt;&lt;contributors&gt;&lt;authors&gt;&lt;author&gt;Shiyan, S.&lt;/author&gt;&lt;author&gt;Hertiani, T.&lt;/author&gt;&lt;author&gt;Martien, R.&lt;/author&gt;&lt;author&gt;Nugroho, A. K.&lt;/author&gt;&lt;/authors&gt;&lt;/contributors&gt;&lt;titles&gt;&lt;title&gt;Optimization of a novel kinetic-assisted infundation for rich-EGCG and polyphenols of white tea (Camellia sinensis) using central composite design&lt;/title&gt;&lt;secondary-title&gt;International Journal of Applied Pharmaceutics&lt;/secondary-title&gt;&lt;/titles&gt;&lt;periodical&gt;&lt;full-title&gt;International Journal of Applied Pharmaceutics&lt;/full-title&gt;&lt;/periodical&gt;&lt;pages&gt;259-267&lt;/pages&gt;&lt;volume&gt;10&lt;/volume&gt;&lt;number&gt;6&lt;/number&gt;&lt;dates&gt;&lt;year&gt;2018&lt;/year&gt;&lt;/dates&gt;&lt;urls&gt;&lt;/urls&gt;&lt;/record&gt;&lt;/Cite&gt;&lt;/EndNote&gt;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Furthermore, since the predicted optimal region for this variable was situated at the boundary of the initial design space, extending the range was necessary to prevent the exclusion of the actual global maximum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&lt;EndNote&gt;&lt;Cite&gt;&lt;Author&gt;Myers&lt;/Author&gt;&lt;Year&gt;2016&lt;/Year&gt;&lt;RecNum&gt;12&lt;/RecNum&gt;&lt;DisplayText&gt;[10]&lt;/DisplayText&gt;&lt;record&gt;&lt;rec-number&gt;12&lt;/rec-number&gt;&lt;foreign-keys&gt;&lt;key app="EN" db-id="dv2pess0b9edt5et90npa0fdp9sv9xfp5r5r" timestamp="1771795895"&gt;12&lt;/key&gt;&lt;/foreign-keys&gt;&lt;ref-type name="Book"&gt;6&lt;/ref-type&gt;&lt;contributors&gt;&lt;authors&gt;&lt;author&gt;Myers, R. H.&lt;/author&gt;&lt;author&gt;Montgomery, D. C.&lt;/author&gt;&lt;author&gt;Anderson-Cook, C. M.&lt;/author&gt;&lt;/authors&gt;&lt;/contributors&gt;&lt;titles&gt;&lt;title&gt;Response surface methodology: process and product optimization using designed experiments&lt;/title&gt;&lt;/titles&gt;&lt;dates&gt;&lt;year&gt;2016&lt;/year&gt;&lt;/dates&gt;&lt;publisher&gt;John Wiley &amp;amp; Sons&lt;/publisher&gt;&lt;isbn&gt;1118916034&lt;/isbn&gt;&lt;urls&gt;&lt;/urls&gt;&lt;/record&gt;&lt;/Cite&gt;&lt;/EndNote&gt;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This strategic refinement of the design space boundaries based on response surface trends ensures the mathematical model's robustness and enhances the reliability of the optimized predictions.</w:t>
      </w:r>
    </w:p>
    <w:p w14:paraId="25C1476E" w14:textId="77777777" w:rsidR="00E049CB" w:rsidRPr="005E6B7C" w:rsidRDefault="00E049CB" w:rsidP="008C0D47">
      <w:pPr>
        <w:tabs>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3EC98358" wp14:editId="53C09FAF">
            <wp:extent cx="5248275" cy="2292323"/>
            <wp:effectExtent l="0" t="0" r="0" b="0"/>
            <wp:docPr id="1416097502" name="Hình ảnh 1" descr="Ảnh có chứa biểu đồ, hàng, Song song, Bản vẽ kỹ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97502" name="Hình ảnh 1" descr="Ảnh có chứa biểu đồ, hàng, Song song, Bản vẽ kỹ thuật&#10;&#10;Nội dung do AI tạo ra có thể không chính xác."/>
                    <pic:cNvPicPr/>
                  </pic:nvPicPr>
                  <pic:blipFill>
                    <a:blip r:embed="rId102">
                      <a:extLst>
                        <a:ext uri="{BEBA8EAE-BF5A-486C-A8C5-ECC9F3942E4B}">
                          <a14:imgProps xmlns:a14="http://schemas.microsoft.com/office/drawing/2010/main">
                            <a14:imgLayer r:embed="rId103">
                              <a14:imgEffect>
                                <a14:saturation sat="0"/>
                              </a14:imgEffect>
                            </a14:imgLayer>
                          </a14:imgProps>
                        </a:ext>
                      </a:extLst>
                    </a:blip>
                    <a:stretch>
                      <a:fillRect/>
                    </a:stretch>
                  </pic:blipFill>
                  <pic:spPr>
                    <a:xfrm>
                      <a:off x="0" y="0"/>
                      <a:ext cx="5263156" cy="2298823"/>
                    </a:xfrm>
                    <a:prstGeom prst="rect">
                      <a:avLst/>
                    </a:prstGeom>
                  </pic:spPr>
                </pic:pic>
              </a:graphicData>
            </a:graphic>
          </wp:inline>
        </w:drawing>
      </w:r>
    </w:p>
    <w:p w14:paraId="02DE120B" w14:textId="77777777" w:rsidR="00E049CB" w:rsidRPr="005E6B7C" w:rsidRDefault="00517F81" w:rsidP="008C0D47">
      <w:pPr>
        <w:tabs>
          <w:tab w:val="left" w:pos="9270"/>
        </w:tabs>
        <w:spacing w:before="120"/>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 xml:space="preserve">2. </w:t>
      </w:r>
      <w:r w:rsidR="00E049CB" w:rsidRPr="005E6B7C">
        <w:rPr>
          <w:rFonts w:asciiTheme="majorHAnsi" w:eastAsia="Yu Mincho" w:hAnsiTheme="majorHAnsi" w:cstheme="majorHAnsi"/>
          <w:bCs/>
          <w:color w:val="000000" w:themeColor="text1"/>
          <w:sz w:val="18"/>
          <w:szCs w:val="18"/>
          <w:lang w:eastAsia="ja-JP"/>
        </w:rPr>
        <w:t>Optimization criteria and desirability ramps for the extraction process</w:t>
      </w:r>
    </w:p>
    <w:p w14:paraId="1C66E3A0" w14:textId="77777777" w:rsidR="0047080C" w:rsidRPr="005E6B7C" w:rsidRDefault="0047080C" w:rsidP="008C0D47">
      <w:pPr>
        <w:tabs>
          <w:tab w:val="left" w:pos="9270"/>
        </w:tabs>
        <w:ind w:right="-20"/>
        <w:jc w:val="both"/>
        <w:rPr>
          <w:rFonts w:asciiTheme="majorHAnsi" w:eastAsia="Yu Mincho" w:hAnsiTheme="majorHAnsi" w:cstheme="majorHAnsi"/>
          <w:color w:val="000000" w:themeColor="text1"/>
          <w:sz w:val="22"/>
          <w:szCs w:val="22"/>
          <w:lang w:eastAsia="ja-JP"/>
        </w:rPr>
      </w:pPr>
    </w:p>
    <w:p w14:paraId="32372A60"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096166AA"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During the optimization setup for the two output variables, TFC was selected as the primary objective, while TPC was set as a supporting objective. The prioritization of TFC stems from the fact that flavonoids are a characteristic group of active compounds playing a key role in health protection effects, such as the potent antioxidant and anti-inflammatory activities of the yellow </w:t>
      </w:r>
      <w:r w:rsidRPr="005E6B7C">
        <w:rPr>
          <w:rFonts w:asciiTheme="majorHAnsi" w:eastAsia="Yu Mincho" w:hAnsiTheme="majorHAnsi" w:cstheme="majorHAnsi"/>
          <w:i/>
          <w:iCs/>
          <w:color w:val="000000" w:themeColor="text1"/>
          <w:spacing w:val="4"/>
          <w:sz w:val="22"/>
          <w:szCs w:val="22"/>
          <w:lang w:eastAsia="ja-JP"/>
        </w:rPr>
        <w:t>Camellia</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 xml:space="preserve">species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&lt;EndNote&gt;&lt;Cite&gt;&lt;Author&gt;Trinh&lt;/Author&gt;&lt;Year&gt;2022&lt;/Year&gt;&lt;RecNum&gt;2&lt;/RecNum&gt;&lt;DisplayText&gt;[1]&lt;/DisplayText&gt;&lt;record&gt;&lt;rec-number&gt;2&lt;/rec-number&gt;&lt;foreign-keys&gt;&lt;key app="EN" db-id="dv2pess0b9edt5et90npa0fdp9sv9xfp5r5r" timestamp="1771793675"&gt;2&lt;/key&gt;&lt;/foreign-keys&gt;&lt;ref-type name="Journal Article"&gt;17&lt;/ref-type&gt;&lt;contributors&gt;&lt;authors&gt;&lt;author&gt;Trinh, Thi Diep&lt;/author&gt;&lt;/authors&gt;&lt;/contributors&gt;&lt;titles&gt;&lt;title&gt;Yellow camellias: a review of chemical constituents and biological activities&lt;/title&gt;&lt;secondary-title&gt;Dalat University Journal of Science&lt;/secondary-title&gt;&lt;/titles&gt;&lt;periodical&gt;&lt;full-title&gt;Dalat University Journal of Science&lt;/full-title&gt;&lt;/periodical&gt;&lt;pages&gt;117-144&lt;/pages&gt;&lt;volume&gt;12&lt;/volume&gt;&lt;number&gt;3&lt;/number&gt;&lt;dates&gt;&lt;year&gt;2022&lt;/year&gt;&lt;/dates&gt;&lt;isbn&gt;0866-787X&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w:t>
      </w:r>
      <w:r w:rsidRPr="005E6B7C">
        <w:rPr>
          <w:rFonts w:asciiTheme="majorHAnsi" w:eastAsia="Yu Mincho" w:hAnsiTheme="majorHAnsi" w:cstheme="majorHAnsi"/>
          <w:color w:val="000000" w:themeColor="text1"/>
          <w:spacing w:val="4"/>
          <w:sz w:val="22"/>
          <w:szCs w:val="22"/>
          <w:lang w:eastAsia="ja-JP"/>
        </w:rPr>
        <w:fldChar w:fldCharType="end"/>
      </w:r>
      <w:r w:rsidR="009835F2"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&lt;EndNote&gt;&lt;Cite&gt;&lt;Author&gt;Manh&lt;/Author&gt;&lt;Year&gt;2019&lt;/Year&gt;&lt;RecNum&gt;3&lt;/RecNum&gt;&lt;DisplayText&gt;[2]&lt;/DisplayText&gt;&lt;record&gt;&lt;rec-number&gt;3&lt;/rec-number&gt;&lt;foreign-keys&gt;&lt;key app="EN" db-id="dv2pess0b9edt5et90npa0fdp9sv9xfp5r5r" timestamp="1771793833"&gt;3&lt;/key&gt;&lt;/foreign-keys&gt;&lt;ref-type name="Journal Article"&gt;17&lt;/ref-type&gt;&lt;contributors&gt;&lt;authors&gt;&lt;author&gt;Manh, T. D.&lt;/author&gt;&lt;author&gt;Thang, N. T.&lt;/author&gt;&lt;author&gt;Son, H. T.&lt;/author&gt;&lt;author&gt;Van, T. D.&lt;/author&gt;&lt;author&gt;Trung, P. D.&lt;/author&gt;&lt;author&gt;Tuan, N. V.&lt;/author&gt;&lt;author&gt;Duc, D. T.&lt;/author&gt;&lt;author&gt;Linh, M. T.&lt;/author&gt;&lt;author&gt;Lam, V. T.&lt;/author&gt;&lt;author&gt;Thinh, N. H.&lt;/author&gt;&lt;/authors&gt;&lt;/contributors&gt;&lt;titles&gt;&lt;title&gt;Golden camellias: A review&lt;/title&gt;&lt;secondary-title&gt;Archives of Current Research International&lt;/secondary-title&gt;&lt;/titles&gt;&lt;periodical&gt;&lt;full-title&gt;Archives of Current Research International&lt;/full-title&gt;&lt;/periodical&gt;&lt;pages&gt;1-8&lt;/pages&gt;&lt;volume&gt;16&lt;/volume&gt;&lt;number&gt;2&lt;/number&gt;&lt;dates&gt;&lt;year&gt;2019&lt;/year&gt;&lt;/dates&gt;&lt;urls&gt;&lt;/urls&gt;&lt;/record&gt;&lt;/Cite&gt;&lt;/EndNote&gt;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[2]</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Assigning higher importance weights to compounds with more specific bioactivity ensures that the optimized extraction process targets the production of extracts with superior therapeutic efficacy. </w:t>
      </w:r>
      <w:r w:rsidR="00517F81" w:rsidRPr="005E6B7C">
        <w:rPr>
          <w:rFonts w:asciiTheme="majorHAnsi" w:eastAsia="Yu Mincho" w:hAnsiTheme="majorHAnsi" w:cstheme="majorHAnsi"/>
          <w:color w:val="000000" w:themeColor="text1"/>
          <w:spacing w:val="4"/>
          <w:sz w:val="22"/>
          <w:szCs w:val="22"/>
          <w:lang w:eastAsia="ja-JP"/>
        </w:rPr>
        <w:t xml:space="preserve">Fig. </w:t>
      </w:r>
      <w:r w:rsidRPr="005E6B7C">
        <w:rPr>
          <w:rFonts w:asciiTheme="majorHAnsi" w:eastAsia="Yu Mincho" w:hAnsiTheme="majorHAnsi" w:cstheme="majorHAnsi"/>
          <w:color w:val="000000" w:themeColor="text1"/>
          <w:spacing w:val="4"/>
          <w:sz w:val="22"/>
          <w:szCs w:val="22"/>
          <w:lang w:eastAsia="ja-JP"/>
        </w:rPr>
        <w:t>2 illustrates the selection of these optimal conditions.</w:t>
      </w:r>
    </w:p>
    <w:p w14:paraId="78AC4DAA"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3.5. Results of CCD Optimization and Experimental Validation</w:t>
      </w:r>
    </w:p>
    <w:p w14:paraId="052C5EA9"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12381C17" w14:textId="77777777" w:rsidR="005408D1" w:rsidRPr="005E6B7C" w:rsidRDefault="005408D1" w:rsidP="008C0D47">
      <w:pPr>
        <w:tabs>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p>
    <w:p w14:paraId="0D9A55A8" w14:textId="77777777" w:rsidR="00E049CB" w:rsidRPr="005E6B7C" w:rsidRDefault="00E049CB" w:rsidP="008C0D47">
      <w:pPr>
        <w:tabs>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lastRenderedPageBreak/>
        <w:drawing>
          <wp:inline distT="0" distB="0" distL="0" distR="0" wp14:anchorId="1FBAD8D0" wp14:editId="5E1C6E0A">
            <wp:extent cx="3996046" cy="3357276"/>
            <wp:effectExtent l="0" t="0" r="5080" b="0"/>
            <wp:docPr id="1247052492" name="Hình ảnh 1" descr="Ảnh có chứa hình vẽ, bản phác thảo, biểu đồ, thiết kế&#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52492" name="Hình ảnh 1" descr="Ảnh có chứa hình vẽ, bản phác thảo, biểu đồ, thiết kế&#10;&#10;Nội dung do AI tạo ra có thể không chính xác."/>
                    <pic:cNvPicPr/>
                  </pic:nvPicPr>
                  <pic:blipFill>
                    <a:blip r:embed="rId104">
                      <a:extLst>
                        <a:ext uri="{BEBA8EAE-BF5A-486C-A8C5-ECC9F3942E4B}">
                          <a14:imgProps xmlns:a14="http://schemas.microsoft.com/office/drawing/2010/main">
                            <a14:imgLayer r:embed="rId105">
                              <a14:imgEffect>
                                <a14:saturation sat="0"/>
                              </a14:imgEffect>
                            </a14:imgLayer>
                          </a14:imgProps>
                        </a:ext>
                      </a:extLst>
                    </a:blip>
                    <a:stretch>
                      <a:fillRect/>
                    </a:stretch>
                  </pic:blipFill>
                  <pic:spPr>
                    <a:xfrm>
                      <a:off x="0" y="0"/>
                      <a:ext cx="4062839" cy="3413392"/>
                    </a:xfrm>
                    <a:prstGeom prst="rect">
                      <a:avLst/>
                    </a:prstGeom>
                  </pic:spPr>
                </pic:pic>
              </a:graphicData>
            </a:graphic>
          </wp:inline>
        </w:drawing>
      </w:r>
    </w:p>
    <w:p w14:paraId="74D4C374" w14:textId="77777777" w:rsidR="00E049CB" w:rsidRPr="005E6B7C" w:rsidRDefault="00517F81" w:rsidP="008C0D47">
      <w:pPr>
        <w:tabs>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 xml:space="preserve">3. </w:t>
      </w:r>
      <w:r w:rsidR="00E049CB" w:rsidRPr="005E6B7C">
        <w:rPr>
          <w:rFonts w:asciiTheme="majorHAnsi" w:eastAsia="Yu Mincho" w:hAnsiTheme="majorHAnsi" w:cstheme="majorHAnsi"/>
          <w:color w:val="000000" w:themeColor="text1"/>
          <w:sz w:val="18"/>
          <w:szCs w:val="18"/>
          <w:lang w:eastAsia="ja-JP"/>
        </w:rPr>
        <w:t>Response surface and desirability plots for the optimization</w:t>
      </w:r>
      <w:r w:rsidR="009835F2" w:rsidRPr="005E6B7C">
        <w:rPr>
          <w:rFonts w:asciiTheme="majorHAnsi" w:eastAsia="Yu Mincho" w:hAnsiTheme="majorHAnsi" w:cstheme="majorHAnsi"/>
          <w:b/>
          <w:bCs/>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of TFC and TPC</w:t>
      </w:r>
    </w:p>
    <w:p w14:paraId="215B268A" w14:textId="77777777" w:rsidR="005408D1" w:rsidRPr="005E6B7C" w:rsidRDefault="005408D1"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40E2371A"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4168B869" w14:textId="77777777" w:rsidR="005408D1" w:rsidRPr="005E6B7C" w:rsidRDefault="005408D1" w:rsidP="008C0D47">
      <w:pPr>
        <w:tabs>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z w:val="22"/>
          <w:szCs w:val="22"/>
          <w:lang w:eastAsia="ja-JP"/>
        </w:rPr>
        <w:t xml:space="preserve">The results from Design-Expert 11.0 software proposed 27 optimal solutions based on the </w:t>
      </w:r>
      <w:r w:rsidRPr="005E6B7C">
        <w:rPr>
          <w:rFonts w:asciiTheme="majorHAnsi" w:eastAsia="Yu Mincho" w:hAnsiTheme="majorHAnsi" w:cstheme="majorHAnsi"/>
          <w:color w:val="000000" w:themeColor="text1"/>
          <w:spacing w:val="4"/>
          <w:sz w:val="22"/>
          <w:szCs w:val="22"/>
          <w:lang w:eastAsia="ja-JP"/>
        </w:rPr>
        <w:t xml:space="preserve">established objective constraints, among which solution number 1 was selected due to its high desirability index of 0.963. The optimal extraction conditions for yellow </w:t>
      </w:r>
      <w:r w:rsidRPr="005E6B7C">
        <w:rPr>
          <w:rFonts w:asciiTheme="majorHAnsi" w:eastAsia="Yu Mincho" w:hAnsiTheme="majorHAnsi" w:cstheme="majorHAnsi"/>
          <w:i/>
          <w:color w:val="000000" w:themeColor="text1"/>
          <w:spacing w:val="4"/>
          <w:sz w:val="22"/>
          <w:szCs w:val="22"/>
          <w:lang w:eastAsia="ja-JP"/>
        </w:rPr>
        <w:t>Camellia</w:t>
      </w:r>
      <w:r w:rsidRPr="005E6B7C">
        <w:rPr>
          <w:rFonts w:asciiTheme="majorHAnsi" w:eastAsia="Yu Mincho" w:hAnsiTheme="majorHAnsi" w:cstheme="majorHAnsi"/>
          <w:color w:val="000000" w:themeColor="text1"/>
          <w:spacing w:val="4"/>
          <w:sz w:val="22"/>
          <w:szCs w:val="22"/>
          <w:lang w:eastAsia="ja-JP"/>
        </w:rPr>
        <w:t xml:space="preserve"> flowers, as determined by the software for the input variables, include an EtOH concentration of 57.664%, an extraction temperature of 59.983°C, and an extraction time of 8 hours. Under these parameters, the mathematical model predicts a TFC of 18.242% and a TPC of 34.664%.</w:t>
      </w:r>
    </w:p>
    <w:p w14:paraId="6977776C" w14:textId="77777777" w:rsidR="00E049CB" w:rsidRPr="005E6B7C" w:rsidRDefault="00517F81"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Fig. </w:t>
      </w:r>
      <w:r w:rsidR="00E049CB" w:rsidRPr="005E6B7C">
        <w:rPr>
          <w:rFonts w:asciiTheme="majorHAnsi" w:eastAsia="Yu Mincho" w:hAnsiTheme="majorHAnsi" w:cstheme="majorHAnsi"/>
          <w:color w:val="000000" w:themeColor="text1"/>
          <w:sz w:val="22"/>
          <w:szCs w:val="22"/>
          <w:lang w:eastAsia="ja-JP"/>
        </w:rPr>
        <w:t xml:space="preserve">3 illustrates that increasing the EtOH concentration and temperature leads to a higher yield of active compounds. However, once these parameters exceed the optimal values, the active compound content tends to decrease slightly or reach a saturation point. Shiyan et al., in their research on the extraction of natural compounds from the </w:t>
      </w:r>
      <w:r w:rsidR="00E049CB" w:rsidRPr="005E6B7C">
        <w:rPr>
          <w:rFonts w:asciiTheme="majorHAnsi" w:eastAsia="Yu Mincho" w:hAnsiTheme="majorHAnsi" w:cstheme="majorHAnsi"/>
          <w:i/>
          <w:iCs/>
          <w:color w:val="000000" w:themeColor="text1"/>
          <w:sz w:val="22"/>
          <w:szCs w:val="22"/>
          <w:lang w:eastAsia="ja-JP"/>
        </w:rPr>
        <w:t>Camellia</w:t>
      </w:r>
      <w:r w:rsidR="00E049CB" w:rsidRPr="005E6B7C">
        <w:rPr>
          <w:rFonts w:asciiTheme="majorHAnsi" w:eastAsia="Yu Mincho" w:hAnsiTheme="majorHAnsi" w:cstheme="majorHAnsi"/>
          <w:color w:val="000000" w:themeColor="text1"/>
          <w:sz w:val="22"/>
          <w:szCs w:val="22"/>
          <w:lang w:eastAsia="ja-JP"/>
        </w:rPr>
        <w:t xml:space="preserve"> genus, pointed out that this </w:t>
      </w:r>
      <w:r w:rsidR="00E049CB" w:rsidRPr="005E6B7C">
        <w:rPr>
          <w:rFonts w:asciiTheme="majorHAnsi" w:eastAsia="Yu Mincho" w:hAnsiTheme="majorHAnsi" w:cstheme="majorHAnsi"/>
          <w:color w:val="000000" w:themeColor="text1"/>
          <w:sz w:val="22"/>
          <w:szCs w:val="22"/>
          <w:lang w:eastAsia="ja-JP"/>
        </w:rPr>
        <w:t xml:space="preserve">phenomenon occurs because changes in solvent polarity become unsuitable for dissolving the target solutes </w:t>
      </w:r>
      <w:r w:rsidR="00E049CB" w:rsidRPr="005E6B7C">
        <w:rPr>
          <w:rFonts w:asciiTheme="majorHAnsi" w:eastAsia="Yu Mincho" w:hAnsiTheme="majorHAnsi" w:cstheme="majorHAnsi"/>
          <w:color w:val="000000" w:themeColor="text1"/>
          <w:sz w:val="22"/>
          <w:szCs w:val="22"/>
          <w:lang w:eastAsia="ja-JP"/>
        </w:rPr>
        <w:fldChar w:fldCharType="begin"/>
      </w:r>
      <w:r w:rsidR="00E049CB" w:rsidRPr="005E6B7C">
        <w:rPr>
          <w:rFonts w:asciiTheme="majorHAnsi" w:eastAsia="Yu Mincho" w:hAnsiTheme="majorHAnsi" w:cstheme="majorHAnsi"/>
          <w:color w:val="000000" w:themeColor="text1"/>
          <w:sz w:val="22"/>
          <w:szCs w:val="22"/>
          <w:lang w:eastAsia="ja-JP"/>
        </w:rPr>
        <w:instrText xml:space="preserve"> ADDIN EN.CITE &lt;EndNote&gt;&lt;Cite&gt;&lt;Author&gt;Shiyan&lt;/Author&gt;&lt;Year&gt;2018&lt;/Year&gt;&lt;RecNum&gt;19&lt;/RecNum&gt;&lt;DisplayText&gt;[16]&lt;/DisplayText&gt;&lt;record&gt;&lt;rec-number&gt;19&lt;/rec-number&gt;&lt;foreign-keys&gt;&lt;key app="EN" db-id="dv2pess0b9edt5et90npa0fdp9sv9xfp5r5r" timestamp="1771797636"&gt;19&lt;/key&gt;&lt;/foreign-keys&gt;&lt;ref-type name="Journal Article"&gt;17&lt;/ref-type&gt;&lt;contributors&gt;&lt;authors&gt;&lt;author&gt;Shiyan, S.&lt;/author&gt;&lt;author&gt;Hertiani, T.&lt;/author&gt;&lt;author&gt;Martien, R.&lt;/author&gt;&lt;author&gt;Nugroho, A. K.&lt;/author&gt;&lt;/authors&gt;&lt;/contributors&gt;&lt;titles&gt;&lt;title&gt;Optimization of a novel kinetic-assisted infundation for rich-EGCG and polyphenols of white tea (Camellia sinensis) using central composite design&lt;/title&gt;&lt;secondary-title&gt;International Journal of Applied Pharmaceutics&lt;/secondary-title&gt;&lt;/titles&gt;&lt;periodical&gt;&lt;full-title&gt;International Journal of Applied Pharmaceutics&lt;/full-title&gt;&lt;/periodical&gt;&lt;pages&gt;259-267&lt;/pages&gt;&lt;volume&gt;10&lt;/volume&gt;&lt;number&gt;6&lt;/number&gt;&lt;dates&gt;&lt;year&gt;2018&lt;/year&gt;&lt;/dates&gt;&lt;urls&gt;&lt;/urls&gt;&lt;/record&gt;&lt;/Cite&gt;&lt;/EndNote&gt;</w:instrText>
      </w:r>
      <w:r w:rsidR="00E049CB" w:rsidRPr="005E6B7C">
        <w:rPr>
          <w:rFonts w:asciiTheme="majorHAnsi" w:eastAsia="Yu Mincho" w:hAnsiTheme="majorHAnsi" w:cstheme="majorHAnsi"/>
          <w:color w:val="000000" w:themeColor="text1"/>
          <w:sz w:val="22"/>
          <w:szCs w:val="22"/>
          <w:lang w:eastAsia="ja-JP"/>
        </w:rPr>
        <w:fldChar w:fldCharType="separate"/>
      </w:r>
      <w:r w:rsidR="00E049CB" w:rsidRPr="005E6B7C">
        <w:rPr>
          <w:rFonts w:asciiTheme="majorHAnsi" w:eastAsia="Yu Mincho" w:hAnsiTheme="majorHAnsi" w:cstheme="majorHAnsi"/>
          <w:noProof/>
          <w:color w:val="000000" w:themeColor="text1"/>
          <w:sz w:val="22"/>
          <w:szCs w:val="22"/>
          <w:lang w:eastAsia="ja-JP"/>
        </w:rPr>
        <w:t>[16]</w:t>
      </w:r>
      <w:r w:rsidR="00E049CB" w:rsidRPr="005E6B7C">
        <w:rPr>
          <w:rFonts w:asciiTheme="majorHAnsi" w:eastAsia="Yu Mincho" w:hAnsiTheme="majorHAnsi" w:cstheme="majorHAnsi"/>
          <w:color w:val="000000" w:themeColor="text1"/>
          <w:sz w:val="22"/>
          <w:szCs w:val="22"/>
          <w:lang w:eastAsia="ja-JP"/>
        </w:rPr>
        <w:fldChar w:fldCharType="end"/>
      </w:r>
      <w:r w:rsidR="00E049CB" w:rsidRPr="005E6B7C">
        <w:rPr>
          <w:rFonts w:asciiTheme="majorHAnsi" w:eastAsia="Yu Mincho" w:hAnsiTheme="majorHAnsi" w:cstheme="majorHAnsi"/>
          <w:color w:val="000000" w:themeColor="text1"/>
          <w:sz w:val="22"/>
          <w:szCs w:val="22"/>
          <w:lang w:eastAsia="ja-JP"/>
        </w:rPr>
        <w:t>. Furthermore, after reaching a certain threshold, the extraction process achieves a state of dynamic equilibrium, and efficiency no longer increases.</w:t>
      </w:r>
    </w:p>
    <w:p w14:paraId="272D5DED"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Additionally, the EtOH concentration was identified as the most significant factor affecting TFC (P &lt; 0.0001) compared to temperature (P = 0.0620). This is consistent with the findings of Savić, who confirmed that the flavonoid group in tea was most efficiently extracted in the presence of EtOH at moderate concentrations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&lt;EndNote&gt;&lt;Cite&gt;&lt;Author&gt;Savić&lt;/Author&gt;&lt;Year&gt;2013&lt;/Year&gt;&lt;RecNum&gt;16&lt;/RecNum&gt;&lt;DisplayText&gt;[14]&lt;/DisplayText&gt;&lt;record&gt;&lt;rec-number&gt;16&lt;/rec-number&gt;&lt;foreign-keys&gt;&lt;key app="EN" db-id="dv2pess0b9edt5et90npa0fdp9sv9xfp5r5r" timestamp="1771796525"&gt;16&lt;/key&gt;&lt;/foreign-keys&gt;&lt;ref-type name="Journal Article"&gt;17&lt;/ref-type&gt;&lt;contributors&gt;&lt;authors&gt;&lt;author&gt;Savić, I. M.&lt;/author&gt;&lt;author&gt;Nikolić, V. D.&lt;/author&gt;&lt;author&gt;Savić, I. M&lt;/author&gt;&lt;author&gt;Nikolić, L. B&lt;/author&gt;&lt;author&gt;Stanković, M. Z.&lt;/author&gt;&lt;author&gt;Moder, K.&lt;/author&gt;&lt;/authors&gt;&lt;/contributors&gt;&lt;titles&gt;&lt;title&gt;Optimization of total flavonoid compound extraction from Camellia sinesis using the artificial neural network and response surface methodology&lt;/title&gt;&lt;secondary-title&gt;Hemijska industrija&lt;/secondary-title&gt;&lt;/titles&gt;&lt;periodical&gt;&lt;full-title&gt;Hemijska industrija&lt;/full-title&gt;&lt;/periodical&gt;&lt;pages&gt;249-259&lt;/pages&gt;&lt;volume&gt;67&lt;/volume&gt;&lt;number&gt;2&lt;/number&gt;&lt;dates&gt;&lt;year&gt;2013&lt;/year&gt;&lt;/dates&gt;&lt;urls&gt;&lt;/urls&gt;&lt;/record&gt;&lt;/Cite&gt;&lt;/EndNote&gt;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Moreover, combining excessively high temperatures with high EtOH concentrations leads to a gradual decline in TFC. This is because high temperatures, while increasing molecular motion and disrupting plant tissues, simultaneously cause thermal decomposition or oxidation of heat labile compounds such as flavonoids and polyphenols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&lt;EndNote&gt;&lt;Cite&gt;&lt;Author&gt;Biesaga&lt;/Author&gt;&lt;Year&gt;2011&lt;/Year&gt;&lt;RecNum&gt;28&lt;/RecNum&gt;&lt;DisplayText&gt;[17]&lt;/DisplayText&gt;&lt;record&gt;&lt;rec-number&gt;28&lt;/rec-number&gt;&lt;foreign-keys&gt;&lt;key app="EN" db-id="dv2pess0b9edt5et90npa0fdp9sv9xfp5r5r" timestamp="1772906471"&gt;28&lt;/key&gt;&lt;/foreign-keys&gt;&lt;ref-type name="Journal Article"&gt;17&lt;/ref-type&gt;&lt;contributors&gt;&lt;authors&gt;&lt;author&gt;Biesaga, M.&lt;/author&gt;&lt;/authors&gt;&lt;/contributors&gt;&lt;titles&gt;&lt;title&gt;Influence of extraction methods on stability of flavonoids&lt;/title&gt;&lt;secondary-title&gt;Journal of chromatography A&lt;/secondary-title&gt;&lt;/titles&gt;&lt;periodical&gt;&lt;full-title&gt;Journal of chromatography A&lt;/full-title&gt;&lt;/periodical&gt;&lt;pages&gt;2505-2512&lt;/pages&gt;&lt;volume&gt;1218&lt;/volume&gt;&lt;number&gt;18&lt;/number&gt;&lt;dates&gt;&lt;year&gt;2011&lt;/year&gt;&lt;/dates&gt;&lt;isbn&gt;0021-9673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127911F6"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49B2BB12" w14:textId="77777777" w:rsidR="00E049CB" w:rsidRPr="005E6B7C" w:rsidRDefault="00E049CB" w:rsidP="008C0D47">
      <w:pPr>
        <w:tabs>
          <w:tab w:val="left" w:pos="9270"/>
        </w:tabs>
        <w:spacing w:before="120" w:after="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w:t>
      </w:r>
      <w:r w:rsidR="009835F2" w:rsidRPr="005E6B7C">
        <w:rPr>
          <w:rFonts w:asciiTheme="majorHAnsi" w:eastAsia="Yu Mincho" w:hAnsiTheme="majorHAnsi" w:cstheme="majorHAnsi"/>
          <w:b/>
          <w:bCs/>
          <w:color w:val="000000" w:themeColor="text1"/>
          <w:sz w:val="18"/>
          <w:szCs w:val="18"/>
          <w:lang w:eastAsia="ja-JP"/>
        </w:rPr>
        <w:t>5</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Comparison between predicted and experimental values under optimal conditions</w:t>
      </w:r>
    </w:p>
    <w:tbl>
      <w:tblPr>
        <w:tblStyle w:val="TableGrid10"/>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1237"/>
        <w:gridCol w:w="1237"/>
        <w:gridCol w:w="962"/>
        <w:gridCol w:w="1312"/>
        <w:gridCol w:w="1087"/>
        <w:gridCol w:w="1038"/>
      </w:tblGrid>
      <w:tr w:rsidR="00573010" w:rsidRPr="005E6B7C" w14:paraId="27641364" w14:textId="77777777" w:rsidTr="005408D1">
        <w:trPr>
          <w:jc w:val="center"/>
        </w:trPr>
        <w:tc>
          <w:tcPr>
            <w:tcW w:w="1212" w:type="pct"/>
            <w:vMerge w:val="restart"/>
            <w:tcBorders>
              <w:top w:val="dotted" w:sz="4" w:space="0" w:color="auto"/>
              <w:left w:val="dotted" w:sz="4" w:space="0" w:color="auto"/>
              <w:bottom w:val="dotted" w:sz="4" w:space="0" w:color="auto"/>
              <w:right w:val="dotted" w:sz="4" w:space="0" w:color="auto"/>
            </w:tcBorders>
            <w:vAlign w:val="center"/>
          </w:tcPr>
          <w:p w14:paraId="68BF7DEC"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Optimal Condition</w:t>
            </w:r>
          </w:p>
        </w:tc>
        <w:tc>
          <w:tcPr>
            <w:tcW w:w="1894" w:type="pct"/>
            <w:gridSpan w:val="3"/>
            <w:tcBorders>
              <w:top w:val="dotted" w:sz="4" w:space="0" w:color="auto"/>
              <w:left w:val="dotted" w:sz="4" w:space="0" w:color="auto"/>
              <w:bottom w:val="dotted" w:sz="4" w:space="0" w:color="auto"/>
              <w:right w:val="dotted" w:sz="4" w:space="0" w:color="auto"/>
            </w:tcBorders>
          </w:tcPr>
          <w:p w14:paraId="154EC584"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Software Parameters (Predicted)</w:t>
            </w:r>
          </w:p>
        </w:tc>
        <w:tc>
          <w:tcPr>
            <w:tcW w:w="1894" w:type="pct"/>
            <w:gridSpan w:val="3"/>
            <w:tcBorders>
              <w:top w:val="dotted" w:sz="4" w:space="0" w:color="auto"/>
              <w:left w:val="dotted" w:sz="4" w:space="0" w:color="auto"/>
              <w:bottom w:val="dotted" w:sz="4" w:space="0" w:color="auto"/>
              <w:right w:val="dotted" w:sz="4" w:space="0" w:color="auto"/>
            </w:tcBorders>
          </w:tcPr>
          <w:p w14:paraId="09FC1952"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Actual Parameters (Experimental)</w:t>
            </w:r>
          </w:p>
        </w:tc>
      </w:tr>
      <w:tr w:rsidR="00573010" w:rsidRPr="005E6B7C" w14:paraId="26791829" w14:textId="77777777" w:rsidTr="005408D1">
        <w:trPr>
          <w:jc w:val="center"/>
        </w:trPr>
        <w:tc>
          <w:tcPr>
            <w:tcW w:w="1212" w:type="pct"/>
            <w:vMerge/>
            <w:tcBorders>
              <w:top w:val="dotted" w:sz="4" w:space="0" w:color="auto"/>
              <w:left w:val="dotted" w:sz="4" w:space="0" w:color="auto"/>
              <w:bottom w:val="dotted" w:sz="4" w:space="0" w:color="auto"/>
              <w:right w:val="dotted" w:sz="4" w:space="0" w:color="auto"/>
            </w:tcBorders>
          </w:tcPr>
          <w:p w14:paraId="4548AA6F"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color w:val="000000" w:themeColor="text1"/>
                <w:sz w:val="18"/>
                <w:szCs w:val="18"/>
                <w:lang w:eastAsia="ja-JP"/>
              </w:rPr>
            </w:pPr>
          </w:p>
        </w:tc>
        <w:tc>
          <w:tcPr>
            <w:tcW w:w="682" w:type="pct"/>
            <w:tcBorders>
              <w:top w:val="dotted" w:sz="4" w:space="0" w:color="auto"/>
              <w:left w:val="dotted" w:sz="4" w:space="0" w:color="auto"/>
              <w:bottom w:val="dotted" w:sz="4" w:space="0" w:color="auto"/>
              <w:right w:val="dotted" w:sz="4" w:space="0" w:color="auto"/>
            </w:tcBorders>
          </w:tcPr>
          <w:p w14:paraId="0FBF4CA1"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EtOH (A)</w:t>
            </w:r>
          </w:p>
        </w:tc>
        <w:tc>
          <w:tcPr>
            <w:tcW w:w="682" w:type="pct"/>
            <w:tcBorders>
              <w:top w:val="dotted" w:sz="4" w:space="0" w:color="auto"/>
              <w:left w:val="dotted" w:sz="4" w:space="0" w:color="auto"/>
              <w:bottom w:val="dotted" w:sz="4" w:space="0" w:color="auto"/>
              <w:right w:val="dotted" w:sz="4" w:space="0" w:color="auto"/>
            </w:tcBorders>
          </w:tcPr>
          <w:p w14:paraId="38EB69F8"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ND (B)</w:t>
            </w:r>
          </w:p>
        </w:tc>
        <w:tc>
          <w:tcPr>
            <w:tcW w:w="530" w:type="pct"/>
            <w:tcBorders>
              <w:top w:val="dotted" w:sz="4" w:space="0" w:color="auto"/>
              <w:left w:val="dotted" w:sz="4" w:space="0" w:color="auto"/>
              <w:bottom w:val="dotted" w:sz="4" w:space="0" w:color="auto"/>
              <w:right w:val="dotted" w:sz="4" w:space="0" w:color="auto"/>
            </w:tcBorders>
          </w:tcPr>
          <w:p w14:paraId="3A4D32C0"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TG (C)</w:t>
            </w:r>
          </w:p>
        </w:tc>
        <w:tc>
          <w:tcPr>
            <w:tcW w:w="723" w:type="pct"/>
            <w:tcBorders>
              <w:top w:val="dotted" w:sz="4" w:space="0" w:color="auto"/>
              <w:left w:val="dotted" w:sz="4" w:space="0" w:color="auto"/>
              <w:bottom w:val="dotted" w:sz="4" w:space="0" w:color="auto"/>
              <w:right w:val="dotted" w:sz="4" w:space="0" w:color="auto"/>
            </w:tcBorders>
          </w:tcPr>
          <w:p w14:paraId="3EA0B98E"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EtOH (A)</w:t>
            </w:r>
          </w:p>
        </w:tc>
        <w:tc>
          <w:tcPr>
            <w:tcW w:w="599" w:type="pct"/>
            <w:tcBorders>
              <w:top w:val="dotted" w:sz="4" w:space="0" w:color="auto"/>
              <w:left w:val="dotted" w:sz="4" w:space="0" w:color="auto"/>
              <w:bottom w:val="dotted" w:sz="4" w:space="0" w:color="auto"/>
              <w:right w:val="dotted" w:sz="4" w:space="0" w:color="auto"/>
            </w:tcBorders>
          </w:tcPr>
          <w:p w14:paraId="36FB5334"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ND (B)</w:t>
            </w:r>
          </w:p>
        </w:tc>
        <w:tc>
          <w:tcPr>
            <w:tcW w:w="572" w:type="pct"/>
            <w:tcBorders>
              <w:top w:val="dotted" w:sz="4" w:space="0" w:color="auto"/>
              <w:left w:val="dotted" w:sz="4" w:space="0" w:color="auto"/>
              <w:bottom w:val="dotted" w:sz="4" w:space="0" w:color="auto"/>
              <w:right w:val="dotted" w:sz="4" w:space="0" w:color="auto"/>
            </w:tcBorders>
          </w:tcPr>
          <w:p w14:paraId="62B3CAD4"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TG (C)</w:t>
            </w:r>
          </w:p>
        </w:tc>
      </w:tr>
      <w:tr w:rsidR="00573010" w:rsidRPr="005E6B7C" w14:paraId="22DB4148" w14:textId="77777777" w:rsidTr="005408D1">
        <w:trPr>
          <w:jc w:val="center"/>
        </w:trPr>
        <w:tc>
          <w:tcPr>
            <w:tcW w:w="1212" w:type="pct"/>
            <w:vMerge/>
            <w:tcBorders>
              <w:top w:val="dotted" w:sz="4" w:space="0" w:color="auto"/>
              <w:left w:val="dotted" w:sz="4" w:space="0" w:color="auto"/>
              <w:bottom w:val="dotted" w:sz="4" w:space="0" w:color="auto"/>
              <w:right w:val="dotted" w:sz="4" w:space="0" w:color="auto"/>
            </w:tcBorders>
          </w:tcPr>
          <w:p w14:paraId="0EA09B03"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color w:val="000000" w:themeColor="text1"/>
                <w:sz w:val="18"/>
                <w:szCs w:val="18"/>
                <w:lang w:eastAsia="ja-JP"/>
              </w:rPr>
            </w:pPr>
          </w:p>
        </w:tc>
        <w:tc>
          <w:tcPr>
            <w:tcW w:w="682" w:type="pct"/>
            <w:tcBorders>
              <w:top w:val="dotted" w:sz="4" w:space="0" w:color="auto"/>
              <w:left w:val="dotted" w:sz="4" w:space="0" w:color="auto"/>
              <w:bottom w:val="dotted" w:sz="4" w:space="0" w:color="auto"/>
              <w:right w:val="dotted" w:sz="4" w:space="0" w:color="auto"/>
            </w:tcBorders>
          </w:tcPr>
          <w:p w14:paraId="42678BD2"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57.664 %</w:t>
            </w:r>
          </w:p>
        </w:tc>
        <w:tc>
          <w:tcPr>
            <w:tcW w:w="682" w:type="pct"/>
            <w:tcBorders>
              <w:top w:val="dotted" w:sz="4" w:space="0" w:color="auto"/>
              <w:left w:val="dotted" w:sz="4" w:space="0" w:color="auto"/>
              <w:bottom w:val="dotted" w:sz="4" w:space="0" w:color="auto"/>
              <w:right w:val="dotted" w:sz="4" w:space="0" w:color="auto"/>
            </w:tcBorders>
          </w:tcPr>
          <w:p w14:paraId="196BC6F1"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59.983°C</w:t>
            </w:r>
          </w:p>
        </w:tc>
        <w:tc>
          <w:tcPr>
            <w:tcW w:w="530" w:type="pct"/>
            <w:tcBorders>
              <w:top w:val="dotted" w:sz="4" w:space="0" w:color="auto"/>
              <w:left w:val="dotted" w:sz="4" w:space="0" w:color="auto"/>
              <w:bottom w:val="dotted" w:sz="4" w:space="0" w:color="auto"/>
              <w:right w:val="dotted" w:sz="4" w:space="0" w:color="auto"/>
            </w:tcBorders>
          </w:tcPr>
          <w:p w14:paraId="56BBC23F"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 h</w:t>
            </w:r>
          </w:p>
        </w:tc>
        <w:tc>
          <w:tcPr>
            <w:tcW w:w="723" w:type="pct"/>
            <w:tcBorders>
              <w:top w:val="dotted" w:sz="4" w:space="0" w:color="auto"/>
              <w:left w:val="dotted" w:sz="4" w:space="0" w:color="auto"/>
              <w:bottom w:val="dotted" w:sz="4" w:space="0" w:color="auto"/>
              <w:right w:val="dotted" w:sz="4" w:space="0" w:color="auto"/>
            </w:tcBorders>
          </w:tcPr>
          <w:p w14:paraId="7C17DBA7"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58 %</w:t>
            </w:r>
          </w:p>
        </w:tc>
        <w:tc>
          <w:tcPr>
            <w:tcW w:w="599" w:type="pct"/>
            <w:tcBorders>
              <w:top w:val="dotted" w:sz="4" w:space="0" w:color="auto"/>
              <w:left w:val="dotted" w:sz="4" w:space="0" w:color="auto"/>
              <w:bottom w:val="dotted" w:sz="4" w:space="0" w:color="auto"/>
              <w:right w:val="dotted" w:sz="4" w:space="0" w:color="auto"/>
            </w:tcBorders>
          </w:tcPr>
          <w:p w14:paraId="3A527DAB"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60°C</w:t>
            </w:r>
          </w:p>
        </w:tc>
        <w:tc>
          <w:tcPr>
            <w:tcW w:w="572" w:type="pct"/>
            <w:tcBorders>
              <w:top w:val="dotted" w:sz="4" w:space="0" w:color="auto"/>
              <w:left w:val="dotted" w:sz="4" w:space="0" w:color="auto"/>
              <w:bottom w:val="dotted" w:sz="4" w:space="0" w:color="auto"/>
              <w:right w:val="dotted" w:sz="4" w:space="0" w:color="auto"/>
            </w:tcBorders>
          </w:tcPr>
          <w:p w14:paraId="09ABE776"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 h</w:t>
            </w:r>
          </w:p>
        </w:tc>
      </w:tr>
      <w:tr w:rsidR="00573010" w:rsidRPr="005E6B7C" w14:paraId="3D556922" w14:textId="77777777" w:rsidTr="005408D1">
        <w:trPr>
          <w:jc w:val="center"/>
        </w:trPr>
        <w:tc>
          <w:tcPr>
            <w:tcW w:w="1212" w:type="pct"/>
            <w:tcBorders>
              <w:top w:val="dotted" w:sz="4" w:space="0" w:color="auto"/>
              <w:left w:val="dotted" w:sz="4" w:space="0" w:color="auto"/>
              <w:bottom w:val="dotted" w:sz="4" w:space="0" w:color="auto"/>
              <w:right w:val="dotted" w:sz="4" w:space="0" w:color="auto"/>
            </w:tcBorders>
          </w:tcPr>
          <w:p w14:paraId="50642F76"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TFC Content</w:t>
            </w:r>
            <w:r w:rsidRPr="005E6B7C">
              <w:rPr>
                <w:rFonts w:asciiTheme="majorHAnsi" w:eastAsia="Yu Mincho" w:hAnsiTheme="majorHAnsi" w:cstheme="majorHAnsi"/>
                <w:b/>
                <w:bCs/>
                <w:color w:val="000000" w:themeColor="text1"/>
                <w:sz w:val="18"/>
                <w:szCs w:val="18"/>
                <w:lang w:eastAsia="ja-JP"/>
              </w:rPr>
              <w:t xml:space="preserve"> (%)</w:t>
            </w:r>
          </w:p>
        </w:tc>
        <w:tc>
          <w:tcPr>
            <w:tcW w:w="1894" w:type="pct"/>
            <w:gridSpan w:val="3"/>
            <w:tcBorders>
              <w:top w:val="dotted" w:sz="4" w:space="0" w:color="auto"/>
              <w:left w:val="dotted" w:sz="4" w:space="0" w:color="auto"/>
              <w:bottom w:val="dotted" w:sz="4" w:space="0" w:color="auto"/>
              <w:right w:val="dotted" w:sz="4" w:space="0" w:color="auto"/>
            </w:tcBorders>
          </w:tcPr>
          <w:p w14:paraId="2E7DA692"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18.242</w:t>
            </w:r>
          </w:p>
        </w:tc>
        <w:tc>
          <w:tcPr>
            <w:tcW w:w="1894" w:type="pct"/>
            <w:gridSpan w:val="3"/>
            <w:tcBorders>
              <w:top w:val="dotted" w:sz="4" w:space="0" w:color="auto"/>
              <w:left w:val="dotted" w:sz="4" w:space="0" w:color="auto"/>
              <w:bottom w:val="dotted" w:sz="4" w:space="0" w:color="auto"/>
              <w:right w:val="dotted" w:sz="4" w:space="0" w:color="auto"/>
            </w:tcBorders>
          </w:tcPr>
          <w:p w14:paraId="256C0DAD"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18.09</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0.17</w:t>
            </w:r>
          </w:p>
        </w:tc>
      </w:tr>
      <w:tr w:rsidR="00573010" w:rsidRPr="005E6B7C" w14:paraId="1C642352" w14:textId="77777777" w:rsidTr="005408D1">
        <w:trPr>
          <w:trHeight w:val="50"/>
          <w:jc w:val="center"/>
        </w:trPr>
        <w:tc>
          <w:tcPr>
            <w:tcW w:w="1212" w:type="pct"/>
            <w:tcBorders>
              <w:top w:val="dotted" w:sz="4" w:space="0" w:color="auto"/>
              <w:left w:val="dotted" w:sz="4" w:space="0" w:color="auto"/>
              <w:bottom w:val="dotted" w:sz="4" w:space="0" w:color="auto"/>
              <w:right w:val="dotted" w:sz="4" w:space="0" w:color="auto"/>
            </w:tcBorders>
          </w:tcPr>
          <w:p w14:paraId="10AF1B8A" w14:textId="77777777" w:rsidR="00E049CB" w:rsidRPr="005E6B7C" w:rsidRDefault="00E049CB" w:rsidP="008C0D47">
            <w:pPr>
              <w:tabs>
                <w:tab w:val="left" w:pos="9270"/>
              </w:tabs>
              <w:spacing w:line="180" w:lineRule="exact"/>
              <w:ind w:right="-23"/>
              <w:jc w:val="both"/>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TPC Content</w:t>
            </w:r>
            <w:r w:rsidRPr="005E6B7C">
              <w:rPr>
                <w:rFonts w:asciiTheme="majorHAnsi" w:eastAsia="Yu Mincho" w:hAnsiTheme="majorHAnsi" w:cstheme="majorHAnsi"/>
                <w:b/>
                <w:bCs/>
                <w:color w:val="000000" w:themeColor="text1"/>
                <w:sz w:val="18"/>
                <w:szCs w:val="18"/>
                <w:lang w:eastAsia="ja-JP"/>
              </w:rPr>
              <w:t xml:space="preserve"> (%)</w:t>
            </w:r>
          </w:p>
        </w:tc>
        <w:tc>
          <w:tcPr>
            <w:tcW w:w="1894" w:type="pct"/>
            <w:gridSpan w:val="3"/>
            <w:tcBorders>
              <w:top w:val="dotted" w:sz="4" w:space="0" w:color="auto"/>
              <w:left w:val="dotted" w:sz="4" w:space="0" w:color="auto"/>
              <w:bottom w:val="dotted" w:sz="4" w:space="0" w:color="auto"/>
              <w:right w:val="dotted" w:sz="4" w:space="0" w:color="auto"/>
            </w:tcBorders>
          </w:tcPr>
          <w:p w14:paraId="28C03CF9"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34.664</w:t>
            </w:r>
          </w:p>
        </w:tc>
        <w:tc>
          <w:tcPr>
            <w:tcW w:w="1894" w:type="pct"/>
            <w:gridSpan w:val="3"/>
            <w:tcBorders>
              <w:top w:val="dotted" w:sz="4" w:space="0" w:color="auto"/>
              <w:left w:val="dotted" w:sz="4" w:space="0" w:color="auto"/>
              <w:bottom w:val="dotted" w:sz="4" w:space="0" w:color="auto"/>
              <w:right w:val="dotted" w:sz="4" w:space="0" w:color="auto"/>
            </w:tcBorders>
          </w:tcPr>
          <w:p w14:paraId="71EFED01" w14:textId="77777777" w:rsidR="00E049CB" w:rsidRPr="005E6B7C" w:rsidRDefault="00E049CB" w:rsidP="008C0D47">
            <w:pPr>
              <w:tabs>
                <w:tab w:val="left" w:pos="9270"/>
              </w:tabs>
              <w:spacing w:line="180" w:lineRule="exact"/>
              <w:ind w:right="-23"/>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35.12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0.28</w:t>
            </w:r>
          </w:p>
        </w:tc>
      </w:tr>
    </w:tbl>
    <w:p w14:paraId="48ABC041" w14:textId="77777777" w:rsidR="0047080C" w:rsidRPr="005E6B7C" w:rsidRDefault="0047080C" w:rsidP="008C0D47">
      <w:pPr>
        <w:tabs>
          <w:tab w:val="left" w:pos="9270"/>
        </w:tabs>
        <w:ind w:right="-20"/>
        <w:jc w:val="both"/>
        <w:rPr>
          <w:rFonts w:asciiTheme="majorHAnsi" w:eastAsia="Yu Mincho" w:hAnsiTheme="majorHAnsi" w:cstheme="majorHAnsi"/>
          <w:color w:val="000000" w:themeColor="text1"/>
          <w:sz w:val="22"/>
          <w:szCs w:val="22"/>
          <w:lang w:eastAsia="ja-JP"/>
        </w:rPr>
      </w:pPr>
    </w:p>
    <w:p w14:paraId="7FFB51AE"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243D58" w:rsidRPr="005E6B7C" w:rsidSect="002206BB">
          <w:type w:val="continuous"/>
          <w:pgSz w:w="10773" w:h="15309" w:code="9"/>
          <w:pgMar w:top="907" w:right="851" w:bottom="1418" w:left="851" w:header="397" w:footer="851" w:gutter="0"/>
          <w:cols w:space="284"/>
          <w:docGrid w:linePitch="360"/>
        </w:sectPr>
      </w:pPr>
    </w:p>
    <w:p w14:paraId="677978C5"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To confirm the reliability of the model, </w:t>
      </w:r>
      <w:r w:rsidRPr="005E6B7C">
        <w:rPr>
          <w:rFonts w:asciiTheme="majorHAnsi" w:eastAsia="Yu Mincho" w:hAnsiTheme="majorHAnsi" w:cstheme="majorHAnsi"/>
          <w:color w:val="000000" w:themeColor="text1"/>
          <w:sz w:val="22"/>
          <w:szCs w:val="22"/>
          <w:lang w:eastAsia="ja-JP"/>
        </w:rPr>
        <w:t xml:space="preserve">validation experiments were performed in </w:t>
      </w:r>
      <w:r w:rsidRPr="005E6B7C">
        <w:rPr>
          <w:rFonts w:asciiTheme="majorHAnsi" w:eastAsia="Yu Mincho" w:hAnsiTheme="majorHAnsi" w:cstheme="majorHAnsi"/>
          <w:color w:val="000000" w:themeColor="text1"/>
          <w:sz w:val="22"/>
          <w:szCs w:val="22"/>
          <w:lang w:eastAsia="ja-JP"/>
        </w:rPr>
        <w:lastRenderedPageBreak/>
        <w:t xml:space="preserve">triplicate (n=3) under the optimal conditions, including an EtOH concentration of 58%, a temperature of 60°C, and an extraction time of 8 hours. The experimental results yielded an average TFC of 18.09 ± 0.17% and a TPC of 35.12 ± 0.28% (Table </w:t>
      </w:r>
      <w:r w:rsidR="009835F2" w:rsidRPr="005E6B7C">
        <w:rPr>
          <w:rFonts w:asciiTheme="majorHAnsi" w:eastAsia="Yu Mincho" w:hAnsiTheme="majorHAnsi" w:cstheme="majorHAnsi"/>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The compatibility between the predicted and experimental values showed a relative error of less than 2%, which is well within the pre-established allowable limit of 5%. This high degree of similarity between the experimental data and the predicted data from the regression model is the most convincing evidence confirming the suitability of the second order quadratic model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&lt;EndNote&gt;&lt;Cite&gt;&lt;Author&gt;Odabaş&lt;/Author&gt;&lt;Year&gt;2016&lt;/Year&gt;&lt;RecNum&gt;23&lt;/RecNum&gt;&lt;DisplayText&gt;[18]&lt;/DisplayText&gt;&lt;record&gt;&lt;rec-number&gt;23&lt;/rec-number&gt;&lt;foreign-keys&gt;&lt;key app="EN" db-id="dv2pess0b9edt5et90npa0fdp9sv9xfp5r5r" timestamp="1771798197"&gt;23&lt;/key&gt;&lt;/foreign-keys&gt;&lt;ref-type name="Journal Article"&gt;17&lt;/ref-type&gt;&lt;contributors&gt;&lt;authors&gt;&lt;author&gt;Odabaş, H. İ.&lt;/author&gt;&lt;author&gt;Koca, I.&lt;/author&gt;&lt;/authors&gt;&lt;/contributors&gt;&lt;titles&gt;&lt;title&gt;Application of response surface methodology for optimizing the recovery of phenolic compounds from hazelnut skin using different extraction methods&lt;/title&gt;&lt;secondary-title&gt;Industrial Crops Products&lt;/secondary-title&gt;&lt;/titles&gt;&lt;periodical&gt;&lt;full-title&gt;Industrial Crops Products&lt;/full-title&gt;&lt;/periodical&gt;&lt;pages&gt;114-124&lt;/pages&gt;&lt;volume&gt;91&lt;/volume&gt;&lt;dates&gt;&lt;year&gt;2016&lt;/year&gt;&lt;/dates&gt;&lt;isbn&gt;0926-6690&lt;/isbn&gt;&lt;urls&gt;&lt;/urls&gt;&lt;/record&gt;&lt;/Cite&gt;&lt;/EndNote&gt;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Furthermore, the optimized yields of TFC (18.09 ± 0.17%) and TPC (35.12 ± 0.28%) obtained for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xml:space="preserve"> in this study are remarkably high compared to other species in the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genus, highlighting its superior potential as a source of bioactive compounds. For instance, a study on </w:t>
      </w:r>
      <w:r w:rsidRPr="005E6B7C">
        <w:rPr>
          <w:rFonts w:asciiTheme="majorHAnsi" w:eastAsia="Yu Mincho" w:hAnsiTheme="majorHAnsi" w:cstheme="majorHAnsi"/>
          <w:i/>
          <w:iCs/>
          <w:color w:val="000000" w:themeColor="text1"/>
          <w:sz w:val="22"/>
          <w:szCs w:val="22"/>
          <w:lang w:eastAsia="ja-JP"/>
        </w:rPr>
        <w:t>Camellia dalatensis</w:t>
      </w:r>
      <w:r w:rsidRPr="005E6B7C">
        <w:rPr>
          <w:rFonts w:asciiTheme="majorHAnsi" w:eastAsia="Yu Mincho" w:hAnsiTheme="majorHAnsi" w:cstheme="majorHAnsi"/>
          <w:color w:val="000000" w:themeColor="text1"/>
          <w:sz w:val="22"/>
          <w:szCs w:val="22"/>
          <w:lang w:eastAsia="ja-JP"/>
        </w:rPr>
        <w:t xml:space="preserve"> leaves using response surface methodology reported an optimal TPC of 29.30%, which is notably lower than the value achieved in our current research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&lt;EndNote&gt;&lt;Cite&gt;&lt;Author&gt;Huynh&lt;/Author&gt;&lt;Year&gt;2019&lt;/Year&gt;&lt;RecNum&gt;35&lt;/RecNum&gt;&lt;DisplayText&gt;[12]&lt;/DisplayText&gt;&lt;record&gt;&lt;rec-number&gt;35&lt;/rec-number&gt;&lt;foreign-keys&gt;&lt;key app="EN" db-id="dv2pess0b9edt5et90npa0fdp9sv9xfp5r5r" timestamp="1773124545"&gt;35&lt;/key&gt;&lt;/foreign-keys&gt;&lt;ref-type name="Journal Article"&gt;17&lt;/ref-type&gt;&lt;contributors&gt;&lt;authors&gt;&lt;author&gt;Huynh, D. D.&lt;/author&gt;&lt;author&gt;Lu, H. T. L.&lt;/author&gt;&lt;author&gt;Luong, V. D.,&lt;/author&gt;&lt;author&gt;Nguyen, T. T. U.&lt;/author&gt;&lt;author&gt;Trinh, T. D.&lt;/author&gt;&lt;/authors&gt;&lt;/contributors&gt;&lt;titles&gt;&lt;title&gt;&lt;style face="normal" font="default" size="100%"&gt;Optimization of extraction conditions for phenolic compounds from leaves of &lt;/style&gt;&lt;style face="italic" font="default" size="100%"&gt;Camellia dalatensis&lt;/style&gt;&lt;style face="normal" font="default" size="100%"&gt; Luong, Tran &amp;amp; Hakoda&lt;/style&gt;&lt;/title&gt;&lt;secondary-title&gt;Dalat university journal of science&lt;/secondary-title&gt;&lt;/titles&gt;&lt;periodical&gt;&lt;full-title&gt;Dalat University Journal of Science&lt;/full-title&gt;&lt;/periodical&gt;&lt;pages&gt;34-48&lt;/pages&gt;&lt;volume&gt;9&lt;/volume&gt;&lt;number&gt;2&lt;/number&gt;&lt;dates&gt;&lt;year&gt;2019&lt;/year&gt;&lt;/dates&gt;&lt;urls&gt;&lt;/urls&gt;&lt;/record&gt;&lt;/Cite&gt;&lt;/EndNote&gt;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This difference may be attributed to species-specific chemical profiles and the specific plant parts used, as flowers often accumulate higher concentrations of secondary metabolites than leaves. Compared to the well-known </w:t>
      </w:r>
      <w:r w:rsidRPr="005E6B7C">
        <w:rPr>
          <w:rFonts w:asciiTheme="majorHAnsi" w:eastAsia="Yu Mincho" w:hAnsiTheme="majorHAnsi" w:cstheme="majorHAnsi"/>
          <w:i/>
          <w:iCs/>
          <w:color w:val="000000" w:themeColor="text1"/>
          <w:sz w:val="22"/>
          <w:szCs w:val="22"/>
          <w:lang w:eastAsia="ja-JP"/>
        </w:rPr>
        <w:t>Camellia sinensis</w:t>
      </w:r>
      <w:r w:rsidRPr="005E6B7C">
        <w:rPr>
          <w:rFonts w:asciiTheme="majorHAnsi" w:eastAsia="Yu Mincho" w:hAnsiTheme="majorHAnsi" w:cstheme="majorHAnsi"/>
          <w:color w:val="000000" w:themeColor="text1"/>
          <w:sz w:val="22"/>
          <w:szCs w:val="22"/>
          <w:lang w:eastAsia="ja-JP"/>
        </w:rPr>
        <w:t xml:space="preserve">, which typically reports TPC ranges from 20% to 30%, the TPC and TFC levels of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xml:space="preserve"> remain highly competitive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&lt;EndNote&gt;&lt;Cite&gt;&lt;Author&gt;Koch&lt;/Author&gt;&lt;Year&gt;2019&lt;/Year&gt;&lt;RecNum&gt;42&lt;/RecNum&gt;&lt;DisplayText&gt;[19]&lt;/DisplayText&gt;&lt;record&gt;&lt;rec-number&gt;42&lt;/rec-number&gt;&lt;foreign-keys&gt;&lt;key app="EN" db-id="dv2pess0b9edt5et90npa0fdp9sv9xfp5r5r" timestamp="1773510126"&gt;42&lt;/key&gt;&lt;/foreign-keys&gt;&lt;ref-type name="Journal Article"&gt;17&lt;/ref-type&gt;&lt;contributors&gt;&lt;authors&gt;&lt;author&gt;Koch, W.&lt;/author&gt;&lt;author&gt;Zagórska, J.&lt;/author&gt;&lt;author&gt;Marzec, Z.&lt;/author&gt;&lt;author&gt;Kukula-Koch, W.&lt;/author&gt;&lt;/authors&gt;&lt;/contributors&gt;&lt;titles&gt;&lt;title&gt;Applications of tea (Camellia sinensis) and its active constituents in cosmetics&lt;/title&gt;&lt;secondary-title&gt;Molecules&lt;/secondary-title&gt;&lt;/titles&gt;&lt;periodical&gt;&lt;full-title&gt;Molecules&lt;/full-title&gt;&lt;/periodical&gt;&lt;pages&gt;4277&lt;/pages&gt;&lt;volume&gt;24&lt;/volume&gt;&lt;number&gt;23&lt;/number&gt;&lt;dates&gt;&lt;year&gt;2019&lt;/year&gt;&lt;/dates&gt;&lt;isbn&gt;1420-3049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another study for </w:t>
      </w:r>
      <w:r w:rsidRPr="005E6B7C">
        <w:rPr>
          <w:rFonts w:asciiTheme="majorHAnsi" w:eastAsia="Yu Mincho" w:hAnsiTheme="majorHAnsi" w:cstheme="majorHAnsi"/>
          <w:i/>
          <w:iCs/>
          <w:color w:val="000000" w:themeColor="text1"/>
          <w:sz w:val="22"/>
          <w:szCs w:val="22"/>
          <w:lang w:eastAsia="ja-JP"/>
        </w:rPr>
        <w:t>Camellia nitidissima</w:t>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 widely used yellow tea species, TFC and TPC yields were reported at approximately 10-15% and 25-28%, respectively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&lt;EndNote&gt;&lt;Cite&gt;&lt;Author&gt;He&lt;/Author&gt;&lt;Year&gt;2018&lt;/Year&gt;&lt;RecNum&gt;41&lt;/RecNum&gt;&lt;DisplayText&gt;[20]&lt;/DisplayText&gt;&lt;record&gt;&lt;rec-number&gt;41&lt;/rec-number&gt;&lt;foreign-keys&gt;&lt;key app="EN" db-id="dv2pess0b9edt5et90npa0fdp9sv9xfp5r5r" timestamp="1773509989"&gt;41&lt;/key&gt;&lt;/foreign-keys&gt;&lt;ref-type name="Journal Article"&gt;17&lt;/ref-type&gt;&lt;contributors&gt;&lt;authors&gt;&lt;author&gt;He, D.&lt;/author&gt;&lt;author&gt;Li, X.&lt;/author&gt;&lt;author&gt;Sai, X.&lt;/author&gt;&lt;author&gt;Wang, L.&lt;/author&gt;&lt;author&gt;Li, S.&lt;/author&gt;&lt;author&gt;Xu, Y.&lt;/author&gt;&lt;/authors&gt;&lt;/contributors&gt;&lt;titles&gt;&lt;title&gt;Camellia nitidissima CW Chi: a review of botany, chemistry, and pharmacology&lt;/title&gt;&lt;secondary-title&gt;Phytochemistry Reviews&lt;/secondary-title&gt;&lt;/titles&gt;&lt;periodical&gt;&lt;full-title&gt;Phytochemistry Reviews&lt;/full-title&gt;&lt;/periodical&gt;&lt;pages&gt;327-349&lt;/pages&gt;&lt;volume&gt;17&lt;/volume&gt;&lt;number&gt;2&lt;/number&gt;&lt;dates&gt;&lt;year&gt;2018&lt;/year&gt;&lt;/dates&gt;&lt;isbn&gt;1568-7767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These comparisons demonstrate that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xml:space="preserve"> flowers are an exceptionally rich source of </w:t>
      </w:r>
      <w:r w:rsidRPr="005E6B7C">
        <w:rPr>
          <w:rFonts w:asciiTheme="majorHAnsi" w:eastAsia="Yu Mincho" w:hAnsiTheme="majorHAnsi" w:cstheme="majorHAnsi"/>
          <w:color w:val="000000" w:themeColor="text1"/>
          <w:sz w:val="22"/>
          <w:szCs w:val="22"/>
          <w:lang w:eastAsia="ja-JP"/>
        </w:rPr>
        <w:t>polyphenols and flavonoids, providing strong scientific evidence for the reliability of our optimized extraction process.</w:t>
      </w:r>
    </w:p>
    <w:p w14:paraId="3A1B0172"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These validation results demonstrated that the CCD successfully established the parameters for input variables to optimize the two major bioactive groups from </w:t>
      </w:r>
      <w:r w:rsidRPr="005E6B7C">
        <w:rPr>
          <w:rFonts w:asciiTheme="majorHAnsi" w:eastAsia="Yu Mincho" w:hAnsiTheme="majorHAnsi" w:cstheme="majorHAnsi"/>
          <w:i/>
          <w:iCs/>
          <w:color w:val="000000" w:themeColor="text1"/>
          <w:sz w:val="22"/>
          <w:szCs w:val="22"/>
          <w:lang w:eastAsia="ja-JP"/>
        </w:rPr>
        <w:t>C. cucphuongensis</w:t>
      </w:r>
      <w:r w:rsidRPr="005E6B7C">
        <w:rPr>
          <w:rFonts w:asciiTheme="majorHAnsi" w:eastAsia="Yu Mincho" w:hAnsiTheme="majorHAnsi" w:cstheme="majorHAnsi"/>
          <w:color w:val="000000" w:themeColor="text1"/>
          <w:sz w:val="22"/>
          <w:szCs w:val="22"/>
          <w:lang w:eastAsia="ja-JP"/>
        </w:rPr>
        <w:t>, providing a stable extraction process with the potential for direct application in large-scale medicinal extract production.</w:t>
      </w:r>
    </w:p>
    <w:p w14:paraId="39135120"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4. Conclusion</w:t>
      </w:r>
    </w:p>
    <w:p w14:paraId="351C02E1"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Our study successfully applied a CCD to optimize the simultaneous extraction of TFC and TPC from the flowers of yellow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Camellia cucphuongensis</w:t>
      </w:r>
      <w:r w:rsidRPr="005E6B7C">
        <w:rPr>
          <w:rFonts w:asciiTheme="majorHAnsi" w:eastAsia="Yu Mincho" w:hAnsiTheme="majorHAnsi" w:cstheme="majorHAnsi"/>
          <w:color w:val="000000" w:themeColor="text1"/>
          <w:sz w:val="22"/>
          <w:szCs w:val="22"/>
          <w:lang w:eastAsia="ja-JP"/>
        </w:rPr>
        <w:t>) collected in Phu Tho. The optimal extraction condition was established as 58% EtOH, a temperature of 60°C, and a duration of 8 hours, yielding a TFC of 18.09 ± 0.17% and a TPC of 35.12 ± 0.28%. The high degree of fit between the experimental results and the mathematical model predictions confirmed the accuracy and practical applicability of the process.</w:t>
      </w:r>
    </w:p>
    <w:p w14:paraId="0EA74BCE"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Furthermore, while this study successfully maximized the concentration of key bioactive markers, future research should consider incorporating total extraction yield (% yield) as an additional response variable. Investigating the correlation between mass recovery and bioactive potency will provide a more comprehensive evaluation of extraction efficiency, particularly for scaling up the process in industrial pharmaceutical production. These findings established a crucial foundation for the development of health products from this endemic yellow </w:t>
      </w:r>
      <w:r w:rsidRPr="005E6B7C">
        <w:rPr>
          <w:rFonts w:asciiTheme="majorHAnsi" w:eastAsia="Yu Mincho" w:hAnsiTheme="majorHAnsi" w:cstheme="majorHAnsi"/>
          <w:i/>
          <w:iCs/>
          <w:color w:val="000000" w:themeColor="text1"/>
          <w:sz w:val="22"/>
          <w:szCs w:val="22"/>
          <w:lang w:eastAsia="ja-JP"/>
        </w:rPr>
        <w:t>Camellia</w:t>
      </w:r>
      <w:r w:rsidRPr="005E6B7C">
        <w:rPr>
          <w:rFonts w:asciiTheme="majorHAnsi" w:eastAsia="Yu Mincho" w:hAnsiTheme="majorHAnsi" w:cstheme="majorHAnsi"/>
          <w:color w:val="000000" w:themeColor="text1"/>
          <w:sz w:val="22"/>
          <w:szCs w:val="22"/>
          <w:lang w:eastAsia="ja-JP"/>
        </w:rPr>
        <w:t>.</w:t>
      </w:r>
    </w:p>
    <w:p w14:paraId="4313DE0D" w14:textId="77777777" w:rsidR="00243D58" w:rsidRPr="005E6B7C" w:rsidRDefault="00E049CB"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Acknowledgements</w:t>
      </w:r>
      <w:r w:rsidR="009835F2" w:rsidRPr="005E6B7C">
        <w:rPr>
          <w:rFonts w:asciiTheme="majorHAnsi" w:eastAsia="Yu Mincho" w:hAnsiTheme="majorHAnsi" w:cstheme="majorHAnsi"/>
          <w:b/>
          <w:bCs/>
          <w:color w:val="000000" w:themeColor="text1"/>
          <w:sz w:val="20"/>
          <w:szCs w:val="20"/>
          <w:lang w:eastAsia="ja-JP"/>
        </w:rPr>
        <w:t>:</w:t>
      </w:r>
      <w:r w:rsidRPr="005E6B7C">
        <w:rPr>
          <w:rFonts w:asciiTheme="majorHAnsi" w:eastAsia="Yu Mincho" w:hAnsiTheme="majorHAnsi" w:cstheme="majorHAnsi"/>
          <w:b/>
          <w:bCs/>
          <w:color w:val="000000" w:themeColor="text1"/>
          <w:sz w:val="20"/>
          <w:szCs w:val="20"/>
          <w:lang w:eastAsia="ja-JP"/>
        </w:rPr>
        <w:t xml:space="preserve"> </w:t>
      </w:r>
      <w:r w:rsidRPr="005E6B7C">
        <w:rPr>
          <w:rFonts w:asciiTheme="majorHAnsi" w:eastAsia="Yu Mincho" w:hAnsiTheme="majorHAnsi" w:cstheme="majorHAnsi"/>
          <w:bCs/>
          <w:i/>
          <w:iCs/>
          <w:color w:val="000000" w:themeColor="text1"/>
          <w:sz w:val="20"/>
          <w:szCs w:val="20"/>
          <w:lang w:eastAsia="ja-JP"/>
        </w:rPr>
        <w:t>The study was funded by Dai Nam University under project codes DT2425-22</w:t>
      </w:r>
      <w:r w:rsidRPr="005E6B7C">
        <w:rPr>
          <w:rFonts w:asciiTheme="majorHAnsi" w:eastAsia="Yu Mincho" w:hAnsiTheme="majorHAnsi" w:cstheme="majorHAnsi"/>
          <w:i/>
          <w:iCs/>
          <w:color w:val="000000" w:themeColor="text1"/>
          <w:sz w:val="20"/>
          <w:szCs w:val="20"/>
          <w:lang w:eastAsia="ja-JP"/>
        </w:rPr>
        <w:t>.</w:t>
      </w:r>
    </w:p>
    <w:p w14:paraId="6C3A65BF" w14:textId="77777777" w:rsidR="00243D58" w:rsidRPr="005E6B7C" w:rsidRDefault="00243D58" w:rsidP="008C0D47">
      <w:pPr>
        <w:tabs>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243D58" w:rsidRPr="005E6B7C" w:rsidSect="00243D58">
          <w:type w:val="continuous"/>
          <w:pgSz w:w="10773" w:h="15309" w:code="9"/>
          <w:pgMar w:top="907" w:right="851" w:bottom="1418" w:left="851" w:header="397" w:footer="851" w:gutter="0"/>
          <w:cols w:num="2" w:space="284"/>
          <w:docGrid w:linePitch="360"/>
        </w:sectPr>
      </w:pPr>
    </w:p>
    <w:p w14:paraId="175E461A" w14:textId="77777777" w:rsidR="00E049CB" w:rsidRPr="005E6B7C" w:rsidRDefault="00E049CB" w:rsidP="008C0D47">
      <w:pPr>
        <w:tabs>
          <w:tab w:val="left" w:pos="9270"/>
        </w:tabs>
        <w:spacing w:before="120" w:after="120"/>
        <w:ind w:right="-20"/>
        <w:jc w:val="center"/>
        <w:rPr>
          <w:rFonts w:asciiTheme="majorHAnsi" w:eastAsia="Yu Mincho" w:hAnsiTheme="majorHAnsi" w:cstheme="majorHAnsi"/>
          <w:b/>
          <w:color w:val="000000" w:themeColor="text1"/>
          <w:sz w:val="18"/>
          <w:szCs w:val="18"/>
          <w:lang w:eastAsia="ja-JP"/>
        </w:rPr>
      </w:pPr>
      <w:bookmarkStart w:id="47" w:name="_Hlk223099623"/>
      <w:r w:rsidRPr="005E6B7C">
        <w:rPr>
          <w:rFonts w:asciiTheme="majorHAnsi" w:eastAsia="Yu Mincho" w:hAnsiTheme="majorHAnsi" w:cstheme="majorHAnsi"/>
          <w:b/>
          <w:color w:val="000000" w:themeColor="text1"/>
          <w:sz w:val="18"/>
          <w:szCs w:val="18"/>
          <w:lang w:eastAsia="ja-JP"/>
        </w:rPr>
        <w:t>References</w:t>
      </w:r>
    </w:p>
    <w:bookmarkEnd w:id="47"/>
    <w:p w14:paraId="16B414B6"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bCs/>
          <w:noProof/>
          <w:color w:val="000000" w:themeColor="text1"/>
          <w:sz w:val="18"/>
          <w:szCs w:val="18"/>
          <w:lang w:eastAsia="ja-JP"/>
        </w:rPr>
        <w:t xml:space="preserve">1. </w:t>
      </w:r>
      <w:r w:rsidRPr="005E6B7C">
        <w:rPr>
          <w:rFonts w:asciiTheme="majorHAnsi" w:eastAsia="Yu Mincho" w:hAnsiTheme="majorHAnsi" w:cstheme="majorHAnsi"/>
          <w:noProof/>
          <w:color w:val="000000" w:themeColor="text1"/>
          <w:sz w:val="18"/>
          <w:szCs w:val="18"/>
          <w:lang w:eastAsia="ja-JP"/>
        </w:rPr>
        <w:t xml:space="preserve">Diep T. T. (2022), Yellow camellias: a review of chemical constituents and biological activities. </w:t>
      </w:r>
      <w:r w:rsidRPr="005E6B7C">
        <w:rPr>
          <w:rFonts w:asciiTheme="majorHAnsi" w:eastAsia="Yu Mincho" w:hAnsiTheme="majorHAnsi" w:cstheme="majorHAnsi"/>
          <w:i/>
          <w:noProof/>
          <w:color w:val="000000" w:themeColor="text1"/>
          <w:sz w:val="18"/>
          <w:szCs w:val="18"/>
          <w:lang w:eastAsia="ja-JP"/>
        </w:rPr>
        <w:t>Dalat University Journal of Science</w:t>
      </w:r>
      <w:r w:rsidRPr="005E6B7C">
        <w:rPr>
          <w:rFonts w:asciiTheme="majorHAnsi" w:eastAsia="Yu Mincho" w:hAnsiTheme="majorHAnsi" w:cstheme="majorHAnsi"/>
          <w:noProof/>
          <w:color w:val="000000" w:themeColor="text1"/>
          <w:sz w:val="18"/>
          <w:szCs w:val="18"/>
          <w:lang w:eastAsia="ja-JP"/>
        </w:rPr>
        <w:t xml:space="preserve">, 12(3), 117-144. </w:t>
      </w:r>
    </w:p>
    <w:p w14:paraId="158B459D"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 xml:space="preserve"> Manh T. D., Thang N. T., Son H. T., Van T. D., Trung P. D., Tuan N. V., Duc D. T., Linh M. T., Lam V. T., Thinh N. H. (2019), Golden camellias: A review. </w:t>
      </w:r>
      <w:r w:rsidRPr="005E6B7C">
        <w:rPr>
          <w:rFonts w:asciiTheme="majorHAnsi" w:eastAsia="Yu Mincho" w:hAnsiTheme="majorHAnsi" w:cstheme="majorHAnsi"/>
          <w:i/>
          <w:noProof/>
          <w:color w:val="000000" w:themeColor="text1"/>
          <w:sz w:val="18"/>
          <w:szCs w:val="18"/>
          <w:lang w:eastAsia="ja-JP"/>
        </w:rPr>
        <w:t>Archives of Current Research International</w:t>
      </w:r>
      <w:r w:rsidRPr="005E6B7C">
        <w:rPr>
          <w:rFonts w:asciiTheme="majorHAnsi" w:eastAsia="Yu Mincho" w:hAnsiTheme="majorHAnsi" w:cstheme="majorHAnsi"/>
          <w:noProof/>
          <w:color w:val="000000" w:themeColor="text1"/>
          <w:sz w:val="18"/>
          <w:szCs w:val="18"/>
          <w:lang w:eastAsia="ja-JP"/>
        </w:rPr>
        <w:t xml:space="preserve">, 16(2), 1-8. </w:t>
      </w:r>
    </w:p>
    <w:p w14:paraId="1AFA540E"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 xml:space="preserve"> Ninh T., Rosmann J. C. (1998), </w:t>
      </w:r>
      <w:r w:rsidRPr="005E6B7C">
        <w:rPr>
          <w:rFonts w:asciiTheme="majorHAnsi" w:eastAsia="Yu Mincho" w:hAnsiTheme="majorHAnsi" w:cstheme="majorHAnsi"/>
          <w:i/>
          <w:noProof/>
          <w:color w:val="000000" w:themeColor="text1"/>
          <w:sz w:val="18"/>
          <w:szCs w:val="18"/>
          <w:lang w:eastAsia="ja-JP"/>
        </w:rPr>
        <w:t>Camellia cucphuongensis</w:t>
      </w:r>
      <w:r w:rsidRPr="005E6B7C">
        <w:rPr>
          <w:rFonts w:asciiTheme="majorHAnsi" w:eastAsia="Yu Mincho" w:hAnsiTheme="majorHAnsi" w:cstheme="majorHAnsi"/>
          <w:noProof/>
          <w:color w:val="000000" w:themeColor="text1"/>
          <w:sz w:val="18"/>
          <w:szCs w:val="18"/>
          <w:lang w:eastAsia="ja-JP"/>
        </w:rPr>
        <w:t xml:space="preserve">: A new species of yellow Camellia from Vietnam. </w:t>
      </w:r>
      <w:r w:rsidRPr="005E6B7C">
        <w:rPr>
          <w:rFonts w:asciiTheme="majorHAnsi" w:eastAsia="Yu Mincho" w:hAnsiTheme="majorHAnsi" w:cstheme="majorHAnsi"/>
          <w:i/>
          <w:noProof/>
          <w:color w:val="000000" w:themeColor="text1"/>
          <w:sz w:val="18"/>
          <w:szCs w:val="18"/>
          <w:lang w:eastAsia="ja-JP"/>
        </w:rPr>
        <w:t>International Camellia Journal</w:t>
      </w:r>
      <w:r w:rsidRPr="005E6B7C">
        <w:rPr>
          <w:rFonts w:asciiTheme="majorHAnsi" w:eastAsia="Yu Mincho" w:hAnsiTheme="majorHAnsi" w:cstheme="majorHAnsi"/>
          <w:noProof/>
          <w:color w:val="000000" w:themeColor="text1"/>
          <w:sz w:val="18"/>
          <w:szCs w:val="18"/>
          <w:lang w:eastAsia="ja-JP"/>
        </w:rPr>
        <w:t xml:space="preserve">, 30, 71-72. </w:t>
      </w:r>
    </w:p>
    <w:p w14:paraId="10776386"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 xml:space="preserve"> Nguyen Q. T., Nguyen H. L. T., Ha T. T. P., Khuu M. H., Truong M. N., Mai H. N. (2023), Evaluate acute toxicity and hypoglycemic effect of Golden Camellia flower extract (</w:t>
      </w:r>
      <w:r w:rsidRPr="005E6B7C">
        <w:rPr>
          <w:rFonts w:asciiTheme="majorHAnsi" w:eastAsia="Yu Mincho" w:hAnsiTheme="majorHAnsi" w:cstheme="majorHAnsi"/>
          <w:i/>
          <w:noProof/>
          <w:color w:val="000000" w:themeColor="text1"/>
          <w:sz w:val="18"/>
          <w:szCs w:val="18"/>
          <w:lang w:eastAsia="ja-JP"/>
        </w:rPr>
        <w:t>Camellia flava</w:t>
      </w:r>
      <w:r w:rsidRPr="005E6B7C">
        <w:rPr>
          <w:rFonts w:asciiTheme="majorHAnsi" w:eastAsia="Yu Mincho" w:hAnsiTheme="majorHAnsi" w:cstheme="majorHAnsi"/>
          <w:noProof/>
          <w:color w:val="000000" w:themeColor="text1"/>
          <w:sz w:val="18"/>
          <w:szCs w:val="18"/>
          <w:lang w:eastAsia="ja-JP"/>
        </w:rPr>
        <w:t xml:space="preserve">) on alloxan-induced diabetic model. </w:t>
      </w:r>
      <w:r w:rsidRPr="005E6B7C">
        <w:rPr>
          <w:rFonts w:asciiTheme="majorHAnsi" w:eastAsia="Yu Mincho" w:hAnsiTheme="majorHAnsi" w:cstheme="majorHAnsi"/>
          <w:i/>
          <w:noProof/>
          <w:color w:val="000000" w:themeColor="text1"/>
          <w:sz w:val="18"/>
          <w:szCs w:val="18"/>
          <w:lang w:eastAsia="ja-JP"/>
        </w:rPr>
        <w:t>Vietnam Medical Journal</w:t>
      </w:r>
      <w:r w:rsidRPr="005E6B7C">
        <w:rPr>
          <w:rFonts w:asciiTheme="majorHAnsi" w:eastAsia="Yu Mincho" w:hAnsiTheme="majorHAnsi" w:cstheme="majorHAnsi"/>
          <w:noProof/>
          <w:color w:val="000000" w:themeColor="text1"/>
          <w:sz w:val="18"/>
          <w:szCs w:val="18"/>
          <w:lang w:eastAsia="ja-JP"/>
        </w:rPr>
        <w:t xml:space="preserve">, 527, 316-319. </w:t>
      </w:r>
    </w:p>
    <w:p w14:paraId="4F31B544"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 xml:space="preserve"> Nguyen H. L., Thuy H., Phuong T. T., Nguyen N. P., Nguyen P., Linh N. H., Mai H. N. (2024), Effect of </w:t>
      </w:r>
      <w:r w:rsidRPr="005E6B7C">
        <w:rPr>
          <w:rFonts w:asciiTheme="majorHAnsi" w:eastAsia="Yu Mincho" w:hAnsiTheme="majorHAnsi" w:cstheme="majorHAnsi"/>
          <w:i/>
          <w:noProof/>
          <w:color w:val="000000" w:themeColor="text1"/>
          <w:sz w:val="18"/>
          <w:szCs w:val="18"/>
          <w:lang w:eastAsia="ja-JP"/>
        </w:rPr>
        <w:t>Camellia flava</w:t>
      </w:r>
      <w:r w:rsidRPr="005E6B7C">
        <w:rPr>
          <w:rFonts w:asciiTheme="majorHAnsi" w:eastAsia="Yu Mincho" w:hAnsiTheme="majorHAnsi" w:cstheme="majorHAnsi"/>
          <w:noProof/>
          <w:color w:val="000000" w:themeColor="text1"/>
          <w:sz w:val="18"/>
          <w:szCs w:val="18"/>
          <w:lang w:eastAsia="ja-JP"/>
        </w:rPr>
        <w:t xml:space="preserve"> (Pitard) Sealy flower extract on the degeneration of islets of Langerhans and insulin resistance in alloxan-induced hyperglycemia model on </w:t>
      </w:r>
      <w:r w:rsidRPr="005E6B7C">
        <w:rPr>
          <w:rFonts w:asciiTheme="majorHAnsi" w:eastAsia="Yu Mincho" w:hAnsiTheme="majorHAnsi" w:cstheme="majorHAnsi"/>
          <w:i/>
          <w:noProof/>
          <w:color w:val="000000" w:themeColor="text1"/>
          <w:sz w:val="18"/>
          <w:szCs w:val="18"/>
          <w:lang w:eastAsia="ja-JP"/>
        </w:rPr>
        <w:t>Swiss albino</w:t>
      </w:r>
      <w:r w:rsidRPr="005E6B7C">
        <w:rPr>
          <w:rFonts w:asciiTheme="majorHAnsi" w:eastAsia="Yu Mincho" w:hAnsiTheme="majorHAnsi" w:cstheme="majorHAnsi"/>
          <w:noProof/>
          <w:color w:val="000000" w:themeColor="text1"/>
          <w:sz w:val="18"/>
          <w:szCs w:val="18"/>
          <w:lang w:eastAsia="ja-JP"/>
        </w:rPr>
        <w:t xml:space="preserve"> mice. </w:t>
      </w:r>
      <w:r w:rsidRPr="005E6B7C">
        <w:rPr>
          <w:rFonts w:asciiTheme="majorHAnsi" w:eastAsia="Yu Mincho" w:hAnsiTheme="majorHAnsi" w:cstheme="majorHAnsi"/>
          <w:i/>
          <w:noProof/>
          <w:color w:val="000000" w:themeColor="text1"/>
          <w:sz w:val="18"/>
          <w:szCs w:val="18"/>
          <w:lang w:eastAsia="ja-JP"/>
        </w:rPr>
        <w:t>Pharmacia</w:t>
      </w:r>
      <w:r w:rsidRPr="005E6B7C">
        <w:rPr>
          <w:rFonts w:asciiTheme="majorHAnsi" w:eastAsia="Yu Mincho" w:hAnsiTheme="majorHAnsi" w:cstheme="majorHAnsi"/>
          <w:noProof/>
          <w:color w:val="000000" w:themeColor="text1"/>
          <w:sz w:val="18"/>
          <w:szCs w:val="18"/>
          <w:lang w:eastAsia="ja-JP"/>
        </w:rPr>
        <w:t xml:space="preserve">, 71, 1–15. </w:t>
      </w:r>
    </w:p>
    <w:p w14:paraId="4103C446" w14:textId="779D3648"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 xml:space="preserve"> Truong M. N., Nguyen-Hoang T. M., Nguyen H. L. T. (2022), Identification, chemical determination</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and evaluation </w:t>
      </w:r>
      <w:r w:rsidR="008C0D47" w:rsidRPr="005E6B7C">
        <w:rPr>
          <w:rFonts w:asciiTheme="majorHAnsi" w:eastAsia="Yu Mincho" w:hAnsiTheme="majorHAnsi" w:cstheme="majorHAnsi"/>
          <w:noProof/>
          <w:color w:val="000000" w:themeColor="text1"/>
          <w:sz w:val="18"/>
          <w:szCs w:val="18"/>
          <w:lang w:eastAsia="ja-JP"/>
        </w:rPr>
        <w:t xml:space="preserve">of </w:t>
      </w:r>
      <w:r w:rsidRPr="005E6B7C">
        <w:rPr>
          <w:rFonts w:asciiTheme="majorHAnsi" w:eastAsia="Yu Mincho" w:hAnsiTheme="majorHAnsi" w:cstheme="majorHAnsi"/>
          <w:noProof/>
          <w:color w:val="000000" w:themeColor="text1"/>
          <w:sz w:val="18"/>
          <w:szCs w:val="18"/>
          <w:lang w:eastAsia="ja-JP"/>
        </w:rPr>
        <w:t xml:space="preserve">bioactivities of </w:t>
      </w:r>
      <w:r w:rsidRPr="005E6B7C">
        <w:rPr>
          <w:rFonts w:asciiTheme="majorHAnsi" w:eastAsia="Yu Mincho" w:hAnsiTheme="majorHAnsi" w:cstheme="majorHAnsi"/>
          <w:i/>
          <w:noProof/>
          <w:color w:val="000000" w:themeColor="text1"/>
          <w:sz w:val="18"/>
          <w:szCs w:val="18"/>
          <w:lang w:eastAsia="ja-JP"/>
        </w:rPr>
        <w:t>Camellia flava</w:t>
      </w:r>
      <w:r w:rsidRPr="005E6B7C">
        <w:rPr>
          <w:rFonts w:asciiTheme="majorHAnsi" w:eastAsia="Yu Mincho" w:hAnsiTheme="majorHAnsi" w:cstheme="majorHAnsi"/>
          <w:noProof/>
          <w:color w:val="000000" w:themeColor="text1"/>
          <w:sz w:val="18"/>
          <w:szCs w:val="18"/>
          <w:lang w:eastAsia="ja-JP"/>
        </w:rPr>
        <w:t xml:space="preserve"> in Tay Nguyen. </w:t>
      </w:r>
      <w:r w:rsidRPr="005E6B7C">
        <w:rPr>
          <w:rFonts w:asciiTheme="majorHAnsi" w:eastAsia="Yu Mincho" w:hAnsiTheme="majorHAnsi" w:cstheme="majorHAnsi"/>
          <w:i/>
          <w:noProof/>
          <w:color w:val="000000" w:themeColor="text1"/>
          <w:sz w:val="18"/>
          <w:szCs w:val="18"/>
          <w:lang w:eastAsia="ja-JP"/>
        </w:rPr>
        <w:t>Journal of Drug Quality Control</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20, 12–18. </w:t>
      </w:r>
    </w:p>
    <w:p w14:paraId="488D91B6"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 xml:space="preserve"> Pham T. T., Nguyen D. T., Nguyen T. H., Nguyen H. T., Do T. H. (2019), Các hợp chất phenolic từ lá Trà Hoa vàng Cúc Phương (C</w:t>
      </w:r>
      <w:r w:rsidRPr="005E6B7C">
        <w:rPr>
          <w:rFonts w:asciiTheme="majorHAnsi" w:eastAsia="Yu Mincho" w:hAnsiTheme="majorHAnsi" w:cstheme="majorHAnsi"/>
          <w:i/>
          <w:noProof/>
          <w:color w:val="000000" w:themeColor="text1"/>
          <w:sz w:val="18"/>
          <w:szCs w:val="18"/>
          <w:lang w:eastAsia="ja-JP"/>
        </w:rPr>
        <w:t>amellia cucphuongensis</w:t>
      </w:r>
      <w:r w:rsidRPr="005E6B7C">
        <w:rPr>
          <w:rFonts w:asciiTheme="majorHAnsi" w:eastAsia="Yu Mincho" w:hAnsiTheme="majorHAnsi" w:cstheme="majorHAnsi"/>
          <w:noProof/>
          <w:color w:val="000000" w:themeColor="text1"/>
          <w:sz w:val="18"/>
          <w:szCs w:val="18"/>
          <w:lang w:eastAsia="ja-JP"/>
        </w:rPr>
        <w:t xml:space="preserve">) [Phenolic compounds from the leaves of </w:t>
      </w:r>
      <w:r w:rsidRPr="005E6B7C">
        <w:rPr>
          <w:rFonts w:asciiTheme="majorHAnsi" w:eastAsia="Yu Mincho" w:hAnsiTheme="majorHAnsi" w:cstheme="majorHAnsi"/>
          <w:i/>
          <w:noProof/>
          <w:color w:val="000000" w:themeColor="text1"/>
          <w:sz w:val="18"/>
          <w:szCs w:val="18"/>
          <w:lang w:eastAsia="ja-JP"/>
        </w:rPr>
        <w:t>Camellia cucphuongensis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Tạp chí Nghiên cứu Dược và Thông tin thuốc</w:t>
      </w:r>
      <w:r w:rsidRPr="005E6B7C">
        <w:rPr>
          <w:rFonts w:asciiTheme="majorHAnsi" w:eastAsia="Yu Mincho" w:hAnsiTheme="majorHAnsi" w:cstheme="majorHAnsi"/>
          <w:noProof/>
          <w:color w:val="000000" w:themeColor="text1"/>
          <w:sz w:val="18"/>
          <w:szCs w:val="18"/>
          <w:lang w:eastAsia="ja-JP"/>
        </w:rPr>
        <w:t xml:space="preserve">, 10(4+5+6), 16-20. </w:t>
      </w:r>
    </w:p>
    <w:p w14:paraId="7A1BDC9D"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lastRenderedPageBreak/>
        <w:t>8.</w:t>
      </w:r>
      <w:r w:rsidRPr="005E6B7C">
        <w:rPr>
          <w:rFonts w:asciiTheme="majorHAnsi" w:eastAsia="Yu Mincho" w:hAnsiTheme="majorHAnsi" w:cstheme="majorHAnsi"/>
          <w:noProof/>
          <w:color w:val="000000" w:themeColor="text1"/>
          <w:sz w:val="18"/>
          <w:szCs w:val="18"/>
          <w:lang w:eastAsia="ja-JP"/>
        </w:rPr>
        <w:t xml:space="preserve"> Imran M., Salehi B., Sharifi-Rad J., Aslam Gondal T., Saeed F., Imran A., Shahbaz M., Tsouh Fokou P. V., Umair Arshad M., Khan H. (2019), Kaempferol: A key emphasis to its anticancer potential.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xml:space="preserve">, 24(12), 2277. </w:t>
      </w:r>
    </w:p>
    <w:p w14:paraId="19EB69A6"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 xml:space="preserve"> Cao S., Liang J., Chen M., Xu C., Wang X., Qiu L., Zhao X., Hu W. (2025), Comparative analysis of extraction technologies for plant extracts and absolutes. </w:t>
      </w:r>
      <w:r w:rsidRPr="005E6B7C">
        <w:rPr>
          <w:rFonts w:asciiTheme="majorHAnsi" w:eastAsia="Yu Mincho" w:hAnsiTheme="majorHAnsi" w:cstheme="majorHAnsi"/>
          <w:i/>
          <w:noProof/>
          <w:color w:val="000000" w:themeColor="text1"/>
          <w:sz w:val="18"/>
          <w:szCs w:val="18"/>
          <w:lang w:eastAsia="ja-JP"/>
        </w:rPr>
        <w:t>Frontiers in Chemistry</w:t>
      </w:r>
      <w:r w:rsidRPr="005E6B7C">
        <w:rPr>
          <w:rFonts w:asciiTheme="majorHAnsi" w:eastAsia="Yu Mincho" w:hAnsiTheme="majorHAnsi" w:cstheme="majorHAnsi"/>
          <w:noProof/>
          <w:color w:val="000000" w:themeColor="text1"/>
          <w:sz w:val="18"/>
          <w:szCs w:val="18"/>
          <w:lang w:eastAsia="ja-JP"/>
        </w:rPr>
        <w:t xml:space="preserve">, 13 1536590. </w:t>
      </w:r>
    </w:p>
    <w:p w14:paraId="7740CD75"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 xml:space="preserve"> Myers R. H., Montgomery D. C., Anderson-Cook C. M. (2016), </w:t>
      </w:r>
      <w:r w:rsidRPr="005E6B7C">
        <w:rPr>
          <w:rFonts w:asciiTheme="majorHAnsi" w:eastAsia="Yu Mincho" w:hAnsiTheme="majorHAnsi" w:cstheme="majorHAnsi"/>
          <w:i/>
          <w:noProof/>
          <w:color w:val="000000" w:themeColor="text1"/>
          <w:sz w:val="18"/>
          <w:szCs w:val="18"/>
          <w:lang w:eastAsia="ja-JP"/>
        </w:rPr>
        <w:t>Response surface methodology: process and product optimization using designed experiments</w:t>
      </w:r>
      <w:r w:rsidRPr="005E6B7C">
        <w:rPr>
          <w:rFonts w:asciiTheme="majorHAnsi" w:eastAsia="Yu Mincho" w:hAnsiTheme="majorHAnsi" w:cstheme="majorHAnsi"/>
          <w:noProof/>
          <w:color w:val="000000" w:themeColor="text1"/>
          <w:sz w:val="18"/>
          <w:szCs w:val="18"/>
          <w:lang w:eastAsia="ja-JP"/>
        </w:rPr>
        <w:t xml:space="preserve">, John Wiley &amp; Sons. </w:t>
      </w:r>
    </w:p>
    <w:p w14:paraId="0C16FEA3" w14:textId="071F0628"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 xml:space="preserve"> Zhang G., He L., Hu M. (2011), Optimized ultrasonic-assisted extraction of flavonoids from Prunella vulgaris L. and evaluation of antioxidant activities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Innovative Food Science</w:t>
      </w:r>
      <w:r w:rsidR="00A77E92" w:rsidRPr="005E6B7C">
        <w:rPr>
          <w:rFonts w:asciiTheme="majorHAnsi" w:eastAsia="Yu Mincho" w:hAnsiTheme="majorHAnsi" w:cstheme="majorHAnsi"/>
          <w:i/>
          <w:noProof/>
          <w:color w:val="000000" w:themeColor="text1"/>
          <w:sz w:val="18"/>
          <w:szCs w:val="18"/>
          <w:lang w:val="vi-VN" w:eastAsia="ja-JP"/>
        </w:rPr>
        <w:t xml:space="preserve"> &amp; </w:t>
      </w:r>
      <w:r w:rsidRPr="005E6B7C">
        <w:rPr>
          <w:rFonts w:asciiTheme="majorHAnsi" w:eastAsia="Yu Mincho" w:hAnsiTheme="majorHAnsi" w:cstheme="majorHAnsi"/>
          <w:i/>
          <w:noProof/>
          <w:color w:val="000000" w:themeColor="text1"/>
          <w:sz w:val="18"/>
          <w:szCs w:val="18"/>
          <w:lang w:eastAsia="ja-JP"/>
        </w:rPr>
        <w:t>Emerging Technologies</w:t>
      </w:r>
      <w:r w:rsidRPr="005E6B7C">
        <w:rPr>
          <w:rFonts w:asciiTheme="majorHAnsi" w:eastAsia="Yu Mincho" w:hAnsiTheme="majorHAnsi" w:cstheme="majorHAnsi"/>
          <w:noProof/>
          <w:color w:val="000000" w:themeColor="text1"/>
          <w:sz w:val="18"/>
          <w:szCs w:val="18"/>
          <w:lang w:eastAsia="ja-JP"/>
        </w:rPr>
        <w:t xml:space="preserve">, 12(1), 18-25. </w:t>
      </w:r>
    </w:p>
    <w:p w14:paraId="693373E0"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 xml:space="preserve"> Huynh D. D., Lu H. T. L., Luong V. D., Nguyen T. T. U., Trinh T. D. (2019), Optimization of extraction conditions for phenolic compounds from leaves of </w:t>
      </w:r>
      <w:r w:rsidRPr="005E6B7C">
        <w:rPr>
          <w:rFonts w:asciiTheme="majorHAnsi" w:eastAsia="Yu Mincho" w:hAnsiTheme="majorHAnsi" w:cstheme="majorHAnsi"/>
          <w:i/>
          <w:noProof/>
          <w:color w:val="000000" w:themeColor="text1"/>
          <w:sz w:val="18"/>
          <w:szCs w:val="18"/>
          <w:lang w:eastAsia="ja-JP"/>
        </w:rPr>
        <w:t>Camellia dalatensis</w:t>
      </w:r>
      <w:r w:rsidRPr="005E6B7C">
        <w:rPr>
          <w:rFonts w:asciiTheme="majorHAnsi" w:eastAsia="Yu Mincho" w:hAnsiTheme="majorHAnsi" w:cstheme="majorHAnsi"/>
          <w:noProof/>
          <w:color w:val="000000" w:themeColor="text1"/>
          <w:sz w:val="18"/>
          <w:szCs w:val="18"/>
          <w:lang w:eastAsia="ja-JP"/>
        </w:rPr>
        <w:t xml:space="preserve"> Luong, Tran &amp; Hakoda. </w:t>
      </w:r>
      <w:r w:rsidRPr="005E6B7C">
        <w:rPr>
          <w:rFonts w:asciiTheme="majorHAnsi" w:eastAsia="Yu Mincho" w:hAnsiTheme="majorHAnsi" w:cstheme="majorHAnsi"/>
          <w:i/>
          <w:noProof/>
          <w:color w:val="000000" w:themeColor="text1"/>
          <w:sz w:val="18"/>
          <w:szCs w:val="18"/>
          <w:lang w:eastAsia="ja-JP"/>
        </w:rPr>
        <w:t>Dalat University Journal of Science</w:t>
      </w:r>
      <w:r w:rsidRPr="005E6B7C">
        <w:rPr>
          <w:rFonts w:asciiTheme="majorHAnsi" w:eastAsia="Yu Mincho" w:hAnsiTheme="majorHAnsi" w:cstheme="majorHAnsi"/>
          <w:noProof/>
          <w:color w:val="000000" w:themeColor="text1"/>
          <w:sz w:val="18"/>
          <w:szCs w:val="18"/>
          <w:lang w:eastAsia="ja-JP"/>
        </w:rPr>
        <w:t xml:space="preserve">, 9(2), 34-48. </w:t>
      </w:r>
    </w:p>
    <w:p w14:paraId="75F14F35"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 xml:space="preserve"> Bezerra M. A., Santelli R. E., Oliveira E. P., Villar L. S., Escaleira L. A. (2008), Response surface methodology (RSM) as a tool for optimization in analytical chemistry. </w:t>
      </w:r>
      <w:r w:rsidRPr="005E6B7C">
        <w:rPr>
          <w:rFonts w:asciiTheme="majorHAnsi" w:eastAsia="Yu Mincho" w:hAnsiTheme="majorHAnsi" w:cstheme="majorHAnsi"/>
          <w:i/>
          <w:noProof/>
          <w:color w:val="000000" w:themeColor="text1"/>
          <w:sz w:val="18"/>
          <w:szCs w:val="18"/>
          <w:lang w:eastAsia="ja-JP"/>
        </w:rPr>
        <w:t>Talanta</w:t>
      </w:r>
      <w:r w:rsidRPr="005E6B7C">
        <w:rPr>
          <w:rFonts w:asciiTheme="majorHAnsi" w:eastAsia="Yu Mincho" w:hAnsiTheme="majorHAnsi" w:cstheme="majorHAnsi"/>
          <w:noProof/>
          <w:color w:val="000000" w:themeColor="text1"/>
          <w:sz w:val="18"/>
          <w:szCs w:val="18"/>
          <w:lang w:eastAsia="ja-JP"/>
        </w:rPr>
        <w:t xml:space="preserve">, 76(5), 965-977. </w:t>
      </w:r>
    </w:p>
    <w:p w14:paraId="4578A79A" w14:textId="70E91C5A"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 xml:space="preserve"> Savić I. M., Nikolić V. D., Savić I. M., Nikolić L. B., Stanković M. Z., Moder K. (2013), Optimization of total flavonoid compound extraction from </w:t>
      </w:r>
      <w:r w:rsidRPr="005E6B7C">
        <w:rPr>
          <w:rFonts w:asciiTheme="majorHAnsi" w:eastAsia="Yu Mincho" w:hAnsiTheme="majorHAnsi" w:cstheme="majorHAnsi"/>
          <w:i/>
          <w:noProof/>
          <w:color w:val="000000" w:themeColor="text1"/>
          <w:sz w:val="18"/>
          <w:szCs w:val="18"/>
          <w:lang w:eastAsia="ja-JP"/>
        </w:rPr>
        <w:t>Camellia sine</w:t>
      </w:r>
      <w:r w:rsidR="00843562" w:rsidRPr="005E6B7C">
        <w:rPr>
          <w:rFonts w:asciiTheme="majorHAnsi" w:eastAsia="Yu Mincho" w:hAnsiTheme="majorHAnsi" w:cstheme="majorHAnsi"/>
          <w:i/>
          <w:noProof/>
          <w:color w:val="000000" w:themeColor="text1"/>
          <w:sz w:val="18"/>
          <w:szCs w:val="18"/>
          <w:lang w:eastAsia="ja-JP"/>
        </w:rPr>
        <w:t>n</w:t>
      </w:r>
      <w:r w:rsidRPr="005E6B7C">
        <w:rPr>
          <w:rFonts w:asciiTheme="majorHAnsi" w:eastAsia="Yu Mincho" w:hAnsiTheme="majorHAnsi" w:cstheme="majorHAnsi"/>
          <w:i/>
          <w:noProof/>
          <w:color w:val="000000" w:themeColor="text1"/>
          <w:sz w:val="18"/>
          <w:szCs w:val="18"/>
          <w:lang w:eastAsia="ja-JP"/>
        </w:rPr>
        <w:t>sis</w:t>
      </w:r>
      <w:r w:rsidRPr="005E6B7C">
        <w:rPr>
          <w:rFonts w:asciiTheme="majorHAnsi" w:eastAsia="Yu Mincho" w:hAnsiTheme="majorHAnsi" w:cstheme="majorHAnsi"/>
          <w:noProof/>
          <w:color w:val="000000" w:themeColor="text1"/>
          <w:sz w:val="18"/>
          <w:szCs w:val="18"/>
          <w:lang w:eastAsia="ja-JP"/>
        </w:rPr>
        <w:t xml:space="preserve"> using the artificial neural network and response surface methodology. </w:t>
      </w:r>
      <w:r w:rsidRPr="005E6B7C">
        <w:rPr>
          <w:rFonts w:asciiTheme="majorHAnsi" w:eastAsia="Yu Mincho" w:hAnsiTheme="majorHAnsi" w:cstheme="majorHAnsi"/>
          <w:i/>
          <w:noProof/>
          <w:color w:val="000000" w:themeColor="text1"/>
          <w:sz w:val="18"/>
          <w:szCs w:val="18"/>
          <w:lang w:eastAsia="ja-JP"/>
        </w:rPr>
        <w:t>Hemijska Industrija</w:t>
      </w:r>
      <w:r w:rsidRPr="005E6B7C">
        <w:rPr>
          <w:rFonts w:asciiTheme="majorHAnsi" w:eastAsia="Yu Mincho" w:hAnsiTheme="majorHAnsi" w:cstheme="majorHAnsi"/>
          <w:noProof/>
          <w:color w:val="000000" w:themeColor="text1"/>
          <w:sz w:val="18"/>
          <w:szCs w:val="18"/>
          <w:lang w:eastAsia="ja-JP"/>
        </w:rPr>
        <w:t xml:space="preserve">, 67(2), 249-259. </w:t>
      </w:r>
    </w:p>
    <w:p w14:paraId="40C2A8D2" w14:textId="29B1C54E"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 xml:space="preserve"> Silva E. M., Rogez H., Larondelle Y. (2007), Optimization of extraction of phenolics from </w:t>
      </w:r>
      <w:r w:rsidRPr="005E6B7C">
        <w:rPr>
          <w:rFonts w:asciiTheme="majorHAnsi" w:eastAsia="Yu Mincho" w:hAnsiTheme="majorHAnsi" w:cstheme="majorHAnsi"/>
          <w:i/>
          <w:noProof/>
          <w:color w:val="000000" w:themeColor="text1"/>
          <w:sz w:val="18"/>
          <w:szCs w:val="18"/>
          <w:lang w:eastAsia="ja-JP"/>
        </w:rPr>
        <w:t xml:space="preserve">Inga edulis </w:t>
      </w:r>
      <w:r w:rsidRPr="005E6B7C">
        <w:rPr>
          <w:rFonts w:asciiTheme="majorHAnsi" w:eastAsia="Yu Mincho" w:hAnsiTheme="majorHAnsi" w:cstheme="majorHAnsi"/>
          <w:noProof/>
          <w:color w:val="000000" w:themeColor="text1"/>
          <w:sz w:val="18"/>
          <w:szCs w:val="18"/>
          <w:lang w:eastAsia="ja-JP"/>
        </w:rPr>
        <w:t xml:space="preserve">leaves using response surface methodology. </w:t>
      </w:r>
      <w:r w:rsidRPr="005E6B7C">
        <w:rPr>
          <w:rFonts w:asciiTheme="majorHAnsi" w:eastAsia="Yu Mincho" w:hAnsiTheme="majorHAnsi" w:cstheme="majorHAnsi"/>
          <w:i/>
          <w:noProof/>
          <w:color w:val="000000" w:themeColor="text1"/>
          <w:sz w:val="18"/>
          <w:szCs w:val="18"/>
          <w:lang w:eastAsia="ja-JP"/>
        </w:rPr>
        <w:t xml:space="preserve">Separation </w:t>
      </w:r>
      <w:r w:rsidR="00A77E92" w:rsidRPr="005E6B7C">
        <w:rPr>
          <w:rFonts w:asciiTheme="majorHAnsi" w:eastAsia="Yu Mincho" w:hAnsiTheme="majorHAnsi" w:cstheme="majorHAnsi"/>
          <w:i/>
          <w:noProof/>
          <w:color w:val="000000" w:themeColor="text1"/>
          <w:sz w:val="18"/>
          <w:szCs w:val="18"/>
          <w:lang w:eastAsia="ja-JP"/>
        </w:rPr>
        <w:t>and</w:t>
      </w:r>
      <w:r w:rsidR="00A77E92" w:rsidRPr="005E6B7C">
        <w:rPr>
          <w:rFonts w:asciiTheme="majorHAnsi" w:eastAsia="Yu Mincho" w:hAnsiTheme="majorHAnsi" w:cstheme="majorHAnsi"/>
          <w:i/>
          <w:noProof/>
          <w:color w:val="000000" w:themeColor="text1"/>
          <w:sz w:val="18"/>
          <w:szCs w:val="18"/>
          <w:lang w:val="vi-VN" w:eastAsia="ja-JP"/>
        </w:rPr>
        <w:t xml:space="preserve"> </w:t>
      </w:r>
      <w:r w:rsidRPr="005E6B7C">
        <w:rPr>
          <w:rFonts w:asciiTheme="majorHAnsi" w:eastAsia="Yu Mincho" w:hAnsiTheme="majorHAnsi" w:cstheme="majorHAnsi"/>
          <w:i/>
          <w:noProof/>
          <w:color w:val="000000" w:themeColor="text1"/>
          <w:sz w:val="18"/>
          <w:szCs w:val="18"/>
          <w:lang w:eastAsia="ja-JP"/>
        </w:rPr>
        <w:t>Purification Technology</w:t>
      </w:r>
      <w:r w:rsidRPr="005E6B7C">
        <w:rPr>
          <w:rFonts w:asciiTheme="majorHAnsi" w:eastAsia="Yu Mincho" w:hAnsiTheme="majorHAnsi" w:cstheme="majorHAnsi"/>
          <w:noProof/>
          <w:color w:val="000000" w:themeColor="text1"/>
          <w:sz w:val="18"/>
          <w:szCs w:val="18"/>
          <w:lang w:eastAsia="ja-JP"/>
        </w:rPr>
        <w:t xml:space="preserve">, 55(3), 381-387. </w:t>
      </w:r>
    </w:p>
    <w:p w14:paraId="06D34D05"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 xml:space="preserve"> Shiyan S., Hertiani T., Martien R., Nugroho A. K. (2018), Optimization of a novel kinetic-assisted infundation for rich-EGCG and polyphenols of white tea (</w:t>
      </w:r>
      <w:r w:rsidRPr="005E6B7C">
        <w:rPr>
          <w:rFonts w:asciiTheme="majorHAnsi" w:eastAsia="Yu Mincho" w:hAnsiTheme="majorHAnsi" w:cstheme="majorHAnsi"/>
          <w:i/>
          <w:noProof/>
          <w:color w:val="000000" w:themeColor="text1"/>
          <w:sz w:val="18"/>
          <w:szCs w:val="18"/>
          <w:lang w:eastAsia="ja-JP"/>
        </w:rPr>
        <w:t>Camellia sinensis</w:t>
      </w:r>
      <w:r w:rsidRPr="005E6B7C">
        <w:rPr>
          <w:rFonts w:asciiTheme="majorHAnsi" w:eastAsia="Yu Mincho" w:hAnsiTheme="majorHAnsi" w:cstheme="majorHAnsi"/>
          <w:noProof/>
          <w:color w:val="000000" w:themeColor="text1"/>
          <w:sz w:val="18"/>
          <w:szCs w:val="18"/>
          <w:lang w:eastAsia="ja-JP"/>
        </w:rPr>
        <w:t xml:space="preserve">) using central composite design. </w:t>
      </w:r>
      <w:r w:rsidRPr="005E6B7C">
        <w:rPr>
          <w:rFonts w:asciiTheme="majorHAnsi" w:eastAsia="Yu Mincho" w:hAnsiTheme="majorHAnsi" w:cstheme="majorHAnsi"/>
          <w:i/>
          <w:noProof/>
          <w:color w:val="000000" w:themeColor="text1"/>
          <w:sz w:val="18"/>
          <w:szCs w:val="18"/>
          <w:lang w:eastAsia="ja-JP"/>
        </w:rPr>
        <w:t>International Journal of Applied Pharmaceutics</w:t>
      </w:r>
      <w:r w:rsidRPr="005E6B7C">
        <w:rPr>
          <w:rFonts w:asciiTheme="majorHAnsi" w:eastAsia="Yu Mincho" w:hAnsiTheme="majorHAnsi" w:cstheme="majorHAnsi"/>
          <w:noProof/>
          <w:color w:val="000000" w:themeColor="text1"/>
          <w:sz w:val="18"/>
          <w:szCs w:val="18"/>
          <w:lang w:eastAsia="ja-JP"/>
        </w:rPr>
        <w:t xml:space="preserve">, 10(6), 259-267. </w:t>
      </w:r>
    </w:p>
    <w:p w14:paraId="733E6C4A"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 xml:space="preserve"> Biesaga M. (2011), Influence of extraction methods on stability of flavonoids. </w:t>
      </w:r>
      <w:r w:rsidRPr="005E6B7C">
        <w:rPr>
          <w:rFonts w:asciiTheme="majorHAnsi" w:eastAsia="Yu Mincho" w:hAnsiTheme="majorHAnsi" w:cstheme="majorHAnsi"/>
          <w:i/>
          <w:noProof/>
          <w:color w:val="000000" w:themeColor="text1"/>
          <w:sz w:val="18"/>
          <w:szCs w:val="18"/>
          <w:lang w:eastAsia="ja-JP"/>
        </w:rPr>
        <w:t>Journal of Chromatography A</w:t>
      </w:r>
      <w:r w:rsidRPr="005E6B7C">
        <w:rPr>
          <w:rFonts w:asciiTheme="majorHAnsi" w:eastAsia="Yu Mincho" w:hAnsiTheme="majorHAnsi" w:cstheme="majorHAnsi"/>
          <w:noProof/>
          <w:color w:val="000000" w:themeColor="text1"/>
          <w:sz w:val="18"/>
          <w:szCs w:val="18"/>
          <w:lang w:eastAsia="ja-JP"/>
        </w:rPr>
        <w:t xml:space="preserve">, 1218(18), 2505-2512. </w:t>
      </w:r>
    </w:p>
    <w:p w14:paraId="3CCD4AEB"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 xml:space="preserve"> Odabaş H. İ., Koca I. (2016), Application of response surface methodology for optimizing the recovery of phenolic compounds from hazelnut skin using different extraction methods. </w:t>
      </w:r>
      <w:r w:rsidRPr="005E6B7C">
        <w:rPr>
          <w:rFonts w:asciiTheme="majorHAnsi" w:eastAsia="Yu Mincho" w:hAnsiTheme="majorHAnsi" w:cstheme="majorHAnsi"/>
          <w:i/>
          <w:noProof/>
          <w:color w:val="000000" w:themeColor="text1"/>
          <w:sz w:val="18"/>
          <w:szCs w:val="18"/>
          <w:lang w:eastAsia="ja-JP"/>
        </w:rPr>
        <w:t>Industrial Crops Products</w:t>
      </w:r>
      <w:r w:rsidRPr="005E6B7C">
        <w:rPr>
          <w:rFonts w:asciiTheme="majorHAnsi" w:eastAsia="Yu Mincho" w:hAnsiTheme="majorHAnsi" w:cstheme="majorHAnsi"/>
          <w:noProof/>
          <w:color w:val="000000" w:themeColor="text1"/>
          <w:sz w:val="18"/>
          <w:szCs w:val="18"/>
          <w:lang w:eastAsia="ja-JP"/>
        </w:rPr>
        <w:t xml:space="preserve">, 91, 114-124. </w:t>
      </w:r>
    </w:p>
    <w:p w14:paraId="2ABFF2E9" w14:textId="77777777" w:rsidR="00E049CB" w:rsidRPr="005E6B7C" w:rsidRDefault="00E049CB" w:rsidP="008C0D47">
      <w:pPr>
        <w:tabs>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19.</w:t>
      </w:r>
      <w:r w:rsidRPr="005E6B7C">
        <w:rPr>
          <w:rFonts w:asciiTheme="majorHAnsi" w:eastAsia="Yu Mincho" w:hAnsiTheme="majorHAnsi" w:cstheme="majorHAnsi"/>
          <w:noProof/>
          <w:color w:val="000000" w:themeColor="text1"/>
          <w:sz w:val="18"/>
          <w:szCs w:val="18"/>
          <w:lang w:eastAsia="ja-JP"/>
        </w:rPr>
        <w:t xml:space="preserve"> Koch W., Zagórska J., Marzec Z., Kukula-Koch W. (2019), Applications of tea (</w:t>
      </w:r>
      <w:r w:rsidRPr="005E6B7C">
        <w:rPr>
          <w:rFonts w:asciiTheme="majorHAnsi" w:eastAsia="Yu Mincho" w:hAnsiTheme="majorHAnsi" w:cstheme="majorHAnsi"/>
          <w:i/>
          <w:noProof/>
          <w:color w:val="000000" w:themeColor="text1"/>
          <w:sz w:val="18"/>
          <w:szCs w:val="18"/>
          <w:lang w:eastAsia="ja-JP"/>
        </w:rPr>
        <w:t>Camellia sinensis</w:t>
      </w:r>
      <w:r w:rsidRPr="005E6B7C">
        <w:rPr>
          <w:rFonts w:asciiTheme="majorHAnsi" w:eastAsia="Yu Mincho" w:hAnsiTheme="majorHAnsi" w:cstheme="majorHAnsi"/>
          <w:noProof/>
          <w:color w:val="000000" w:themeColor="text1"/>
          <w:sz w:val="18"/>
          <w:szCs w:val="18"/>
          <w:lang w:eastAsia="ja-JP"/>
        </w:rPr>
        <w:t xml:space="preserve">) and its active constituents in cosmetics. </w:t>
      </w:r>
      <w:r w:rsidRPr="005E6B7C">
        <w:rPr>
          <w:rFonts w:asciiTheme="majorHAnsi" w:eastAsia="Yu Mincho" w:hAnsiTheme="majorHAnsi" w:cstheme="majorHAnsi"/>
          <w:i/>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xml:space="preserve">, 24(23), 4277. </w:t>
      </w:r>
    </w:p>
    <w:p w14:paraId="20D6B0CF" w14:textId="77777777" w:rsidR="00E049CB" w:rsidRPr="005E6B7C" w:rsidRDefault="00E049CB" w:rsidP="008C0D47">
      <w:pPr>
        <w:tabs>
          <w:tab w:val="left" w:pos="90"/>
          <w:tab w:val="left" w:pos="9270"/>
        </w:tabs>
        <w:ind w:right="-20"/>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 xml:space="preserve">20. </w:t>
      </w:r>
      <w:r w:rsidRPr="005E6B7C">
        <w:rPr>
          <w:rFonts w:asciiTheme="majorHAnsi" w:eastAsia="Yu Mincho" w:hAnsiTheme="majorHAnsi" w:cstheme="majorHAnsi"/>
          <w:noProof/>
          <w:color w:val="000000" w:themeColor="text1"/>
          <w:sz w:val="18"/>
          <w:szCs w:val="18"/>
          <w:lang w:eastAsia="ja-JP"/>
        </w:rPr>
        <w:t xml:space="preserve">He D., Li X., Sai X., Wang L., Li S., Xu Y. (2018), </w:t>
      </w:r>
      <w:r w:rsidRPr="005E6B7C">
        <w:rPr>
          <w:rFonts w:asciiTheme="majorHAnsi" w:eastAsia="Yu Mincho" w:hAnsiTheme="majorHAnsi" w:cstheme="majorHAnsi"/>
          <w:i/>
          <w:noProof/>
          <w:color w:val="000000" w:themeColor="text1"/>
          <w:sz w:val="18"/>
          <w:szCs w:val="18"/>
          <w:lang w:eastAsia="ja-JP"/>
        </w:rPr>
        <w:t>Camellia nitidissima</w:t>
      </w:r>
      <w:r w:rsidRPr="005E6B7C">
        <w:rPr>
          <w:rFonts w:asciiTheme="majorHAnsi" w:eastAsia="Yu Mincho" w:hAnsiTheme="majorHAnsi" w:cstheme="majorHAnsi"/>
          <w:noProof/>
          <w:color w:val="000000" w:themeColor="text1"/>
          <w:sz w:val="18"/>
          <w:szCs w:val="18"/>
          <w:lang w:eastAsia="ja-JP"/>
        </w:rPr>
        <w:t xml:space="preserve"> CW Chi: a review of botany, chemistry, and pharmacology. </w:t>
      </w:r>
      <w:r w:rsidRPr="005E6B7C">
        <w:rPr>
          <w:rFonts w:asciiTheme="majorHAnsi" w:eastAsia="Yu Mincho" w:hAnsiTheme="majorHAnsi" w:cstheme="majorHAnsi"/>
          <w:i/>
          <w:noProof/>
          <w:color w:val="000000" w:themeColor="text1"/>
          <w:sz w:val="18"/>
          <w:szCs w:val="18"/>
          <w:lang w:eastAsia="ja-JP"/>
        </w:rPr>
        <w:t>Phytochemistry Reviews</w:t>
      </w:r>
      <w:r w:rsidRPr="005E6B7C">
        <w:rPr>
          <w:rFonts w:asciiTheme="majorHAnsi" w:eastAsia="Yu Mincho" w:hAnsiTheme="majorHAnsi" w:cstheme="majorHAnsi"/>
          <w:noProof/>
          <w:color w:val="000000" w:themeColor="text1"/>
          <w:sz w:val="18"/>
          <w:szCs w:val="18"/>
          <w:lang w:eastAsia="ja-JP"/>
        </w:rPr>
        <w:t>, 17(2), 327-349.</w:t>
      </w:r>
    </w:p>
    <w:p w14:paraId="6749B8B5" w14:textId="77777777" w:rsidR="0047080C" w:rsidRPr="005E6B7C" w:rsidRDefault="00E049CB"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color w:val="000000" w:themeColor="text1"/>
          <w:sz w:val="18"/>
          <w:szCs w:val="18"/>
          <w:lang w:eastAsia="ja-JP"/>
        </w:rPr>
        <w:fldChar w:fldCharType="end"/>
      </w:r>
      <w:r w:rsidR="0047080C" w:rsidRPr="005E6B7C">
        <w:rPr>
          <w:rFonts w:asciiTheme="majorHAnsi" w:eastAsia="Yu Mincho" w:hAnsiTheme="majorHAnsi" w:cstheme="majorHAnsi"/>
          <w:b/>
          <w:bCs/>
          <w:i/>
          <w:color w:val="000000" w:themeColor="text1"/>
          <w:sz w:val="26"/>
          <w:szCs w:val="26"/>
          <w:lang w:eastAsia="ja-JP"/>
        </w:rPr>
        <w:br w:type="page"/>
      </w:r>
    </w:p>
    <w:p w14:paraId="7AB2D50F" w14:textId="77777777" w:rsidR="00C012FB" w:rsidRPr="005E6B7C" w:rsidRDefault="00C012FB" w:rsidP="00C012FB">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 105 - 112)</w:t>
      </w:r>
    </w:p>
    <w:p w14:paraId="39A49EB5" w14:textId="77777777" w:rsidR="00C012FB" w:rsidRPr="005E6B7C" w:rsidRDefault="00C012FB" w:rsidP="00C012FB">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7B6952B4"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ANTIOXIDANT, ANTIHYPERGLYCEMIC, AND RENAL PROTECTIVE EFFECTS OF </w:t>
      </w:r>
      <w:r w:rsidRPr="005E6B7C">
        <w:rPr>
          <w:rFonts w:asciiTheme="majorHAnsi" w:eastAsia="Yu Mincho" w:hAnsiTheme="majorHAnsi" w:cstheme="majorHAnsi"/>
          <w:b/>
          <w:i/>
          <w:color w:val="000000" w:themeColor="text1"/>
          <w:sz w:val="26"/>
          <w:szCs w:val="26"/>
          <w:lang w:eastAsia="ja-JP"/>
        </w:rPr>
        <w:t>HIBISCUS TILIACEUS</w:t>
      </w:r>
      <w:r w:rsidRPr="005E6B7C">
        <w:rPr>
          <w:rFonts w:asciiTheme="majorHAnsi" w:eastAsia="Yu Mincho" w:hAnsiTheme="majorHAnsi" w:cstheme="majorHAnsi"/>
          <w:b/>
          <w:color w:val="000000" w:themeColor="text1"/>
          <w:sz w:val="26"/>
          <w:szCs w:val="26"/>
          <w:lang w:eastAsia="ja-JP"/>
        </w:rPr>
        <w:t xml:space="preserve"> L. LEAF EXTRACT ON STREPTOZOTOCIN-INDUCED HYPERGLYCEMIA</w:t>
      </w:r>
    </w:p>
    <w:p w14:paraId="1296B223"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b/>
          <w:bCs/>
          <w:i/>
          <w:color w:val="000000" w:themeColor="text1"/>
          <w:sz w:val="22"/>
          <w:szCs w:val="22"/>
          <w:lang w:eastAsia="ja-JP"/>
        </w:rPr>
      </w:pPr>
      <w:r w:rsidRPr="005E6B7C">
        <w:rPr>
          <w:rFonts w:asciiTheme="majorHAnsi" w:eastAsia="Yu Mincho" w:hAnsiTheme="majorHAnsi" w:cstheme="majorHAnsi"/>
          <w:b/>
          <w:bCs/>
          <w:i/>
          <w:color w:val="000000" w:themeColor="text1"/>
          <w:sz w:val="22"/>
          <w:szCs w:val="22"/>
          <w:lang w:eastAsia="ja-JP"/>
        </w:rPr>
        <w:t>Nguyen Thi Thu Huong</w:t>
      </w:r>
      <w:r w:rsidRPr="005E6B7C">
        <w:rPr>
          <w:rFonts w:asciiTheme="majorHAnsi" w:eastAsia="Yu Mincho" w:hAnsiTheme="majorHAnsi" w:cstheme="majorHAnsi"/>
          <w:b/>
          <w:bCs/>
          <w:i/>
          <w:color w:val="000000" w:themeColor="text1"/>
          <w:sz w:val="22"/>
          <w:szCs w:val="22"/>
          <w:vertAlign w:val="superscript"/>
          <w:lang w:eastAsia="ja-JP"/>
        </w:rPr>
        <w:t>1,</w:t>
      </w:r>
      <w:r w:rsidRPr="005E6B7C">
        <w:rPr>
          <w:rFonts w:asciiTheme="majorHAnsi" w:eastAsia="Yu Mincho" w:hAnsiTheme="majorHAnsi" w:cstheme="majorHAnsi"/>
          <w:b/>
          <w:bCs/>
          <w:i/>
          <w:color w:val="000000" w:themeColor="text1"/>
          <w:sz w:val="22"/>
          <w:szCs w:val="22"/>
          <w:lang w:eastAsia="ja-JP"/>
        </w:rPr>
        <w:t>*, Nhieu Chinh Hoang</w:t>
      </w:r>
      <w:r w:rsidRPr="005E6B7C">
        <w:rPr>
          <w:rFonts w:asciiTheme="majorHAnsi" w:eastAsia="Yu Mincho" w:hAnsiTheme="majorHAnsi" w:cstheme="majorHAnsi"/>
          <w:b/>
          <w:bCs/>
          <w:i/>
          <w:color w:val="000000" w:themeColor="text1"/>
          <w:sz w:val="22"/>
          <w:szCs w:val="22"/>
          <w:vertAlign w:val="superscript"/>
          <w:lang w:eastAsia="ja-JP"/>
        </w:rPr>
        <w:t>2</w:t>
      </w:r>
      <w:r w:rsidRPr="005E6B7C">
        <w:rPr>
          <w:rFonts w:asciiTheme="majorHAnsi" w:eastAsia="Yu Mincho" w:hAnsiTheme="majorHAnsi" w:cstheme="majorHAnsi"/>
          <w:b/>
          <w:bCs/>
          <w:i/>
          <w:color w:val="000000" w:themeColor="text1"/>
          <w:sz w:val="22"/>
          <w:szCs w:val="22"/>
          <w:lang w:eastAsia="ja-JP"/>
        </w:rPr>
        <w:t>, Nguyen Hoang Minh</w:t>
      </w:r>
      <w:r w:rsidRPr="005E6B7C">
        <w:rPr>
          <w:rFonts w:asciiTheme="majorHAnsi" w:eastAsia="Yu Mincho" w:hAnsiTheme="majorHAnsi" w:cstheme="majorHAnsi"/>
          <w:b/>
          <w:bCs/>
          <w:i/>
          <w:color w:val="000000" w:themeColor="text1"/>
          <w:sz w:val="22"/>
          <w:szCs w:val="22"/>
          <w:vertAlign w:val="superscript"/>
          <w:lang w:eastAsia="ja-JP"/>
        </w:rPr>
        <w:t>2</w:t>
      </w:r>
    </w:p>
    <w:p w14:paraId="3A3CAE2D"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1</w:t>
      </w:r>
      <w:r w:rsidRPr="005E6B7C">
        <w:rPr>
          <w:rFonts w:asciiTheme="majorHAnsi" w:eastAsia="Yu Mincho" w:hAnsiTheme="majorHAnsi" w:cstheme="majorHAnsi"/>
          <w:i/>
          <w:color w:val="000000" w:themeColor="text1"/>
          <w:sz w:val="22"/>
          <w:szCs w:val="22"/>
          <w:lang w:eastAsia="ja-JP"/>
        </w:rPr>
        <w:t>Faculty of Pharmacy, Hong Bang International University, Ho Chi Minh City, Vietnam;</w:t>
      </w:r>
    </w:p>
    <w:p w14:paraId="44F2B66F"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 xml:space="preserve">Research Center of Ginseng and Medicinal Materials (CGMM), NIMM, </w:t>
      </w:r>
      <w:r w:rsidRPr="005E6B7C">
        <w:rPr>
          <w:rFonts w:asciiTheme="majorHAnsi" w:eastAsia="Yu Mincho" w:hAnsiTheme="majorHAnsi" w:cstheme="majorHAnsi"/>
          <w:i/>
          <w:color w:val="000000" w:themeColor="text1"/>
          <w:sz w:val="22"/>
          <w:szCs w:val="22"/>
          <w:lang w:eastAsia="ja-JP"/>
        </w:rPr>
        <w:br/>
        <w:t>Ho Chi Minh City 71016, Vietnam</w:t>
      </w:r>
    </w:p>
    <w:p w14:paraId="2E4DA21B"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huongsam@hotmail.com</w:t>
      </w:r>
    </w:p>
    <w:p w14:paraId="7350C138"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December 25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2025               Accepted February 14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7C117242"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445943FD" w14:textId="77777777" w:rsidR="00C012FB" w:rsidRPr="005E6B7C" w:rsidRDefault="00C012FB" w:rsidP="00C012FB">
      <w:pPr>
        <w:tabs>
          <w:tab w:val="left" w:pos="270"/>
          <w:tab w:val="left" w:pos="540"/>
          <w:tab w:val="left" w:pos="9270"/>
        </w:tabs>
        <w:spacing w:line="220" w:lineRule="exact"/>
        <w:ind w:right="-23"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L. (Malvaceae) plays a significant role in traditional medicine for treating various diseases. This study aimed to quantify the total polyphenolic and flavonoid contents and evaluate the antihyperglycemic and renal protective effects of </w:t>
      </w:r>
      <w:r w:rsidRPr="005E6B7C">
        <w:rPr>
          <w:rFonts w:asciiTheme="majorHAnsi" w:eastAsia="Yu Mincho" w:hAnsiTheme="majorHAnsi" w:cstheme="majorHAnsi"/>
          <w:i/>
          <w:color w:val="000000" w:themeColor="text1"/>
          <w:sz w:val="18"/>
          <w:szCs w:val="18"/>
          <w:lang w:eastAsia="ja-JP"/>
        </w:rPr>
        <w:t>H. tiliaceus</w:t>
      </w:r>
      <w:r w:rsidRPr="005E6B7C">
        <w:rPr>
          <w:rFonts w:asciiTheme="majorHAnsi" w:eastAsia="Yu Mincho" w:hAnsiTheme="majorHAnsi" w:cstheme="majorHAnsi"/>
          <w:color w:val="000000" w:themeColor="text1"/>
          <w:sz w:val="18"/>
          <w:szCs w:val="18"/>
          <w:lang w:eastAsia="ja-JP"/>
        </w:rPr>
        <w:t xml:space="preserve"> leaf extracts using </w:t>
      </w:r>
      <w:r w:rsidRPr="005E6B7C">
        <w:rPr>
          <w:rFonts w:asciiTheme="majorHAnsi" w:eastAsia="Yu Mincho" w:hAnsiTheme="majorHAnsi" w:cstheme="majorHAnsi"/>
          <w:i/>
          <w:iCs/>
          <w:color w:val="000000" w:themeColor="text1"/>
          <w:sz w:val="18"/>
          <w:szCs w:val="18"/>
          <w:lang w:eastAsia="ja-JP"/>
        </w:rPr>
        <w:t>in vitro</w:t>
      </w:r>
      <w:r w:rsidRPr="005E6B7C">
        <w:rPr>
          <w:rFonts w:asciiTheme="majorHAnsi" w:eastAsia="Yu Mincho" w:hAnsiTheme="majorHAnsi" w:cstheme="majorHAnsi"/>
          <w:color w:val="000000" w:themeColor="text1"/>
          <w:sz w:val="18"/>
          <w:szCs w:val="18"/>
          <w:lang w:eastAsia="ja-JP"/>
        </w:rPr>
        <w:t xml:space="preserve"> assays (DPPH and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-glucosidase inhibitory activity) and a streptozotocin (STZ)-induced hyperglycemic mouse model. The results showed that the total phenolic and flavonoid contents in the aqueous extract (27.67 mg GAE/g and 11.01 mg QE/g) were lower than those in the 45% ethanol extract (31.67 mg GAE/g and 15.64 mg QE/g). Furthermore, the ethanol extract demonstrated superior antioxidant activity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 of 5.75 μg/mL) and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-glucosidase inhibitory activity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 of 2.69 μg/mL) compared to the aqueous extract (IC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 of 21.05 μg/mL and 7.71 μg/mL, respectively). Oral administration of the 45% ethanol extract at 1.33 g/kg for 14 days significantly reduced fasting plasma glucose and improved glucose tolerance in STZ-induced mice. This dose also attenuated the oxidative stress marker malondialdehyde (MDA) in the kidneys while significantly enhancing endogenous glutathione (GSH) levels. These findings suggest that the </w:t>
      </w:r>
      <w:r w:rsidRPr="005E6B7C">
        <w:rPr>
          <w:rFonts w:asciiTheme="majorHAnsi" w:eastAsia="Yu Mincho" w:hAnsiTheme="majorHAnsi" w:cstheme="majorHAnsi"/>
          <w:i/>
          <w:color w:val="000000" w:themeColor="text1"/>
          <w:sz w:val="18"/>
          <w:szCs w:val="18"/>
          <w:lang w:eastAsia="ja-JP"/>
        </w:rPr>
        <w:t>H. tiliaceus</w:t>
      </w:r>
      <w:r w:rsidRPr="005E6B7C">
        <w:rPr>
          <w:rFonts w:asciiTheme="majorHAnsi" w:eastAsia="Yu Mincho" w:hAnsiTheme="majorHAnsi" w:cstheme="majorHAnsi"/>
          <w:color w:val="000000" w:themeColor="text1"/>
          <w:sz w:val="18"/>
          <w:szCs w:val="18"/>
          <w:lang w:eastAsia="ja-JP"/>
        </w:rPr>
        <w:t xml:space="preserve"> leaf 45% ethanol extract is a potential candidate for managing hyperglycemia and preventing diabetic kidney disease.</w:t>
      </w:r>
    </w:p>
    <w:p w14:paraId="2F921E0C" w14:textId="77777777" w:rsidR="00C012FB" w:rsidRPr="005E6B7C" w:rsidRDefault="00C012FB" w:rsidP="00C012FB">
      <w:pPr>
        <w:tabs>
          <w:tab w:val="left" w:pos="270"/>
          <w:tab w:val="left" w:pos="540"/>
          <w:tab w:val="left" w:pos="9270"/>
        </w:tabs>
        <w:spacing w:line="220" w:lineRule="exact"/>
        <w:ind w:right="-23"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Antihyperglycemic effect; Antioxidant activity; α-Glucosidase inhibitory activity; Hibiscus tiliaceus leaves; Streptozotocin-induced oxidative damage.</w:t>
      </w:r>
    </w:p>
    <w:p w14:paraId="139783BC"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b/>
          <w:color w:val="000000" w:themeColor="text1"/>
          <w:sz w:val="22"/>
          <w:szCs w:val="22"/>
          <w:lang w:eastAsia="ja-JP"/>
        </w:rPr>
      </w:pPr>
    </w:p>
    <w:p w14:paraId="36A580D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064B8A47"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1B0469B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Diabetes mellitus (DM) is the leading cause of kidney disease, known as diabetic nephropathy, which is characterized by the prevalence of micro- or macroalbuminuria and cardiovascular disease. Approximately 20% to 40% of type 2 diabetes patients with microalbuminuria progress to clinical diabetic kidney disease, a progression often linked to poor glycemic control or comorbid hypertension [1]. In Asia, research in Japan indicated that up to 56.7% of type 2 diabetic patients may have chronic kidney disease (CKD), while figures for China, South Korea, and Thailand were reported at 25.6%–49.3%, 24.4%–36.0%, and 25.4%, respectively [1]. Similarly, results in Vietnam are consistent with neighboring countries, ranging from 23.8% to 41.7% [2]. The normalization of both fasting plasma glucose (FPG) and postprandial plasma glucose (PPG) is essential for patients to achieve glycemic and HbA1C targets, thereby preventing diabetic nephropathy. Medicinal herbs and traditional medicines play a prominent role in maintaining long-term glycemic control due to their safety profiles and diverse bioactive compounds. However, further scientific data are required to validate the application of these medicinal herbs </w:t>
      </w:r>
      <w:r w:rsidRPr="005E6B7C">
        <w:rPr>
          <w:rFonts w:asciiTheme="majorHAnsi" w:eastAsia="Yu Mincho" w:hAnsiTheme="majorHAnsi" w:cstheme="majorHAnsi"/>
          <w:color w:val="000000" w:themeColor="text1"/>
          <w:sz w:val="22"/>
          <w:szCs w:val="22"/>
          <w:lang w:eastAsia="ja-JP"/>
        </w:rPr>
        <w:t>as alternative and complementary therapies.</w:t>
      </w:r>
    </w:p>
    <w:p w14:paraId="135738A4"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Hibiscus tiliaceus</w:t>
      </w:r>
      <w:r w:rsidRPr="005E6B7C">
        <w:rPr>
          <w:rFonts w:asciiTheme="majorHAnsi" w:eastAsia="Yu Mincho" w:hAnsiTheme="majorHAnsi" w:cstheme="majorHAnsi"/>
          <w:color w:val="000000" w:themeColor="text1"/>
          <w:sz w:val="22"/>
          <w:szCs w:val="22"/>
          <w:lang w:eastAsia="ja-JP"/>
        </w:rPr>
        <w:t xml:space="preserve"> L. (Malvaceae) is widely utilized in traditional medicine—primarily its bark and leaves—to treat fever, coughs, sore throat, infections, diarrhea, dysentery, and typhoid [3]. Various parts of the plant, including the bark, branches, flower buds, and leaves, have been reported to possess diverse pharmacological activities, such as antioxidant, antidiabetic, anti-inflammatory, analgesic, anthelmintic, antimicrobial, anticancer, and neuropharmacological effects [3]. In Indonesia,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(locally known as Waru leaves) are commonly used as natural food packaging due to their antioxidant and antimicrobial properties [4],[5]. Phytochemical screening of the leaves has identified several bioactive groups, including proteins, carbohydrates, phenols/tannins, flavonoids, terpenoids, glycosides, and steroids [4]. Sofia V. et al. (2024) demonstrated that a 70% ethanol extract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attenuated blood glucose levels in glucose-loaded normoglycemic mice [5]. Furthermore, our previous study revealed that the 70% ethanol extract reduced blood glucose levels in high-fat diet-induced obese hyperglycemic mice [6]. While the </w:t>
      </w:r>
      <w:r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antioxidant and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w:t>
      </w:r>
      <w:r w:rsidRPr="005E6B7C">
        <w:rPr>
          <w:rFonts w:asciiTheme="majorHAnsi" w:eastAsia="Yu Mincho" w:hAnsiTheme="majorHAnsi" w:cstheme="majorHAnsi"/>
          <w:color w:val="000000" w:themeColor="text1"/>
          <w:sz w:val="22"/>
          <w:szCs w:val="22"/>
          <w:lang w:eastAsia="ja-JP"/>
        </w:rPr>
        <w:lastRenderedPageBreak/>
        <w:t xml:space="preserve">inhibitory activities of isolated compounds from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have been established [7], no studies have yet investigated the application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 in managing postprandial hyperglycemia or preventing oxidative stress-induced diabetic kidney disease in hyperglycemic models. Therefore, the present study aims to evaluate the potential of a 45% ethanol extract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in monitoring plasma glucose after oral glucose overload and its anti-oxidative stress effects in the kidneys of streptozotocin (STZ)-induced hyperglycemic mice.</w:t>
      </w:r>
    </w:p>
    <w:p w14:paraId="1424ABCB"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5DDF57C5"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2.1. Plant Materials and Extraction</w:t>
      </w:r>
    </w:p>
    <w:p w14:paraId="5C371647"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i/>
          <w:color w:val="000000" w:themeColor="text1"/>
          <w:spacing w:val="4"/>
          <w:sz w:val="22"/>
          <w:szCs w:val="22"/>
          <w:lang w:eastAsia="ja-JP"/>
        </w:rPr>
        <w:t>H. tiliaceus</w:t>
      </w:r>
      <w:r w:rsidRPr="005E6B7C">
        <w:rPr>
          <w:rFonts w:asciiTheme="majorHAnsi" w:eastAsia="Yu Mincho" w:hAnsiTheme="majorHAnsi" w:cstheme="majorHAnsi"/>
          <w:color w:val="000000" w:themeColor="text1"/>
          <w:spacing w:val="4"/>
          <w:sz w:val="22"/>
          <w:szCs w:val="22"/>
          <w:lang w:eastAsia="ja-JP"/>
        </w:rPr>
        <w:t xml:space="preserve"> leaves were collected from Can Gio District, Ho Chi Minh City, Vietnam. The plant material was authenticated, and a voucher specimen was deposited at the Research Center of Ginseng and Medicinal Materials. The leaves were thoroughly washed, dried, and ground into a fine powder (passed through a 250 μm sieve). The powdered material was then subjected to extraction with either hot water or 45% ethanol using the percolation method at a solvent-to-solid ratio of 1:20 (w/v). The resulting </w:t>
      </w:r>
      <w:r w:rsidRPr="005E6B7C">
        <w:rPr>
          <w:rFonts w:asciiTheme="majorHAnsi" w:eastAsia="Yu Mincho" w:hAnsiTheme="majorHAnsi" w:cstheme="majorHAnsi"/>
          <w:i/>
          <w:color w:val="000000" w:themeColor="text1"/>
          <w:spacing w:val="4"/>
          <w:sz w:val="22"/>
          <w:szCs w:val="22"/>
          <w:lang w:eastAsia="ja-JP"/>
        </w:rPr>
        <w:t xml:space="preserve">H. tiliaceus </w:t>
      </w:r>
      <w:r w:rsidRPr="005E6B7C">
        <w:rPr>
          <w:rFonts w:asciiTheme="majorHAnsi" w:eastAsia="Yu Mincho" w:hAnsiTheme="majorHAnsi" w:cstheme="majorHAnsi"/>
          <w:color w:val="000000" w:themeColor="text1"/>
          <w:spacing w:val="4"/>
          <w:sz w:val="22"/>
          <w:szCs w:val="22"/>
          <w:lang w:eastAsia="ja-JP"/>
        </w:rPr>
        <w:t>leaf extracts were concentrated under reduced pressure to yield the aqueous extract (AE) (moisture content: 14.87%) and the 45% ethanol extract (EE) (moisture content: 8.79%), with extraction yields of 11.15% and 26.67%, respectively. The final extracts were stored at 2–8 °C and reconstituted in distilled water prior to administration in the mouse models.</w:t>
      </w:r>
    </w:p>
    <w:p w14:paraId="485E8958"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 xml:space="preserve">2.2. Animals </w:t>
      </w:r>
    </w:p>
    <w:p w14:paraId="6DC7CFDB"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Healthy male </w:t>
      </w:r>
      <w:r w:rsidRPr="005E6B7C">
        <w:rPr>
          <w:rFonts w:asciiTheme="majorHAnsi" w:eastAsia="Yu Mincho" w:hAnsiTheme="majorHAnsi" w:cstheme="majorHAnsi"/>
          <w:i/>
          <w:iCs/>
          <w:color w:val="000000" w:themeColor="text1"/>
          <w:sz w:val="22"/>
          <w:szCs w:val="22"/>
          <w:lang w:eastAsia="ja-JP"/>
        </w:rPr>
        <w:t>Swiss albino</w:t>
      </w:r>
      <w:r w:rsidRPr="005E6B7C">
        <w:rPr>
          <w:rFonts w:asciiTheme="majorHAnsi" w:eastAsia="Yu Mincho" w:hAnsiTheme="majorHAnsi" w:cstheme="majorHAnsi"/>
          <w:iCs/>
          <w:color w:val="000000" w:themeColor="text1"/>
          <w:sz w:val="22"/>
          <w:szCs w:val="22"/>
          <w:lang w:eastAsia="ja-JP"/>
        </w:rPr>
        <w:t xml:space="preserve"> mice (4–5 weeks old, weighing 18–22 g) were obtained from the Institute of Vaccines and Medical Biologicals (IVAC) in Nha Trang, Vietnam. The mice were housed in polypropylene (PP) cages under controlled conditions, including a room temperature of 25 ± 2 °C and a 12 h light-dark cycle. They were provided with standard laboratory chow and tap water </w:t>
      </w:r>
      <w:r w:rsidRPr="005E6B7C">
        <w:rPr>
          <w:rFonts w:asciiTheme="majorHAnsi" w:eastAsia="Yu Mincho" w:hAnsiTheme="majorHAnsi" w:cstheme="majorHAnsi"/>
          <w:i/>
          <w:iCs/>
          <w:color w:val="000000" w:themeColor="text1"/>
          <w:sz w:val="22"/>
          <w:szCs w:val="22"/>
          <w:lang w:eastAsia="ja-JP"/>
        </w:rPr>
        <w:t>ad libitum</w:t>
      </w:r>
      <w:r w:rsidRPr="005E6B7C">
        <w:rPr>
          <w:rFonts w:asciiTheme="majorHAnsi" w:eastAsia="Yu Mincho" w:hAnsiTheme="majorHAnsi" w:cstheme="majorHAnsi"/>
          <w:iCs/>
          <w:color w:val="000000" w:themeColor="text1"/>
          <w:sz w:val="22"/>
          <w:szCs w:val="22"/>
          <w:lang w:eastAsia="ja-JP"/>
        </w:rPr>
        <w:t>. All animals were acclimatized for at least five days prior to the commencement of the experiments. The volume for oral (p.o.) and intraperitoneal (i.p.) administrations was maintained at 10 mL/kg of body weight. All animal procedures were conducted in strict accordance with the ethical guidelines of the Ministry of Health, Vietnam [8].</w:t>
      </w:r>
    </w:p>
    <w:p w14:paraId="257DEB1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2.3. Determination of total phenolic content (TPC)</w:t>
      </w:r>
    </w:p>
    <w:p w14:paraId="6AAF8ADE" w14:textId="0FBADB34"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total phenolic content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was determined spectrophotometrically </w:t>
      </w:r>
      <w:r w:rsidRPr="005E6B7C">
        <w:rPr>
          <w:rFonts w:asciiTheme="majorHAnsi" w:eastAsia="Yu Mincho" w:hAnsiTheme="majorHAnsi" w:cstheme="majorHAnsi"/>
          <w:color w:val="000000" w:themeColor="text1"/>
          <w:sz w:val="22"/>
          <w:szCs w:val="22"/>
          <w:lang w:eastAsia="ja-JP"/>
        </w:rPr>
        <w:t xml:space="preserve">using the Folin–Ciocalteu assay [9]. Extracts were prepared in methanol at various concentrations from a 1000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stock solution. Gallic acid (Sigma-Aldrich, USA) served as the standard in the concentration range of 10–50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g/mL. Briefly, the reaction mixture was prepared by combining 0.2 mL of extract or standard with 6 mL of distilled water and 0.5 mL of Folin-Ciocalteu reagent. After shaking, the mixture was incubated for 5 min in the dark, 1.5 mL of 20% Na</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CO</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was added. The mixture was then adjusted to a final volume of 10 mL with distilled water and incubated at room temperature for 120 min in the dark. The absorbance was measured at 760 nm using a UV/Vis spectrophotometer (UV-VIS Heliosy, Unicam Limited, UK). TPC was expressed as milligrams of gallic acid equivalent (GAE) per gram of sample (mg GAE/g). All analyses were performed in triplicate.</w:t>
      </w:r>
    </w:p>
    <w:p w14:paraId="6B6F607B"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2.4. Determination of total flavonoid content (TFC)</w:t>
      </w:r>
    </w:p>
    <w:p w14:paraId="2AD535DD" w14:textId="31D8DBF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total flavonoid content was measured using the aluminum chloride (AlCl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assay [10]. Quercetin (Sigma-Aldrich, USA) was used as the standard at concentrations ranging from 10 to 60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g/mL. The reaction mixture was prepared by mixing 1.0 mL of extract or quercetin with 1.0 mL of 2% AlCl</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xml:space="preserve"> and 8 mL of methanol. After a 10-min incubation, the absorbance was measured at 415 nm. TFC was expressed as milligrams of quercetin equivalent (QE) per gram of sample (mg QE/g). All measurements were conducted in triplicate.</w:t>
      </w:r>
    </w:p>
    <w:p w14:paraId="50801768"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 xml:space="preserve">2.5. DPPH radical scavenging activity </w:t>
      </w:r>
    </w:p>
    <w:p w14:paraId="5D0ECC7E" w14:textId="7A0DD95D"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antioxidant activity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was evaluated using the DPPH (2,2-diphenyl-1-picrylhydrazyl) radical scavenging assay, as described by [11] with slight modifications. Standard ascorbic acid (Sigma-Aldrich, USA) at concentrations of 1.8, 8.8, 17.6, 44, and 88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and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at concentrations of 10, 50, 100, 250, 500, and 1000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were prepared from stock solutions. Briefly, 0.5 mL of the extract or ascorbic acid was mixed with 0.5 mL of DPPH solution (0.6 mM in methanol). The mixture was shaken thoroughly, and the total volume was adjusted to 4 mL with methanol. The reaction tubes were then kept in the dark for 30 min. Finally, the absorbance was measured at 515 nm using a spectrophotometer. The control was prepared by mixing 3.5 mL of methanol and 0.5 mL of DPPH solution. All analyses were performed in triplicate. The percentage of DPPH radical scavenging activity </w:t>
      </w:r>
      <w:r w:rsidRPr="005E6B7C">
        <w:rPr>
          <w:rFonts w:asciiTheme="majorHAnsi" w:eastAsia="Yu Mincho" w:hAnsiTheme="majorHAnsi" w:cstheme="majorHAnsi"/>
          <w:color w:val="000000" w:themeColor="text1"/>
          <w:sz w:val="22"/>
          <w:szCs w:val="22"/>
          <w:lang w:eastAsia="ja-JP"/>
        </w:rPr>
        <w:lastRenderedPageBreak/>
        <w:t>was calculated as follows:</w:t>
      </w:r>
    </w:p>
    <w:p w14:paraId="1BC7E434"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m:oMathPara>
        <m:oMath>
          <m:r>
            <w:rPr>
              <w:rFonts w:ascii="Cambria Math" w:eastAsia="Calibri" w:hAnsi="Cambria Math" w:cstheme="majorHAnsi"/>
              <w:color w:val="000000" w:themeColor="text1"/>
              <w:sz w:val="22"/>
              <w:szCs w:val="22"/>
              <w:lang w:eastAsia="vi-VN"/>
            </w:rPr>
            <m:t>I(%)=</m:t>
          </m:r>
          <m:f>
            <m:fPr>
              <m:ctrlPr>
                <w:rPr>
                  <w:rFonts w:ascii="Cambria Math" w:eastAsia="Calibri" w:hAnsi="Cambria Math" w:cstheme="majorHAnsi"/>
                  <w:i/>
                  <w:color w:val="000000" w:themeColor="text1"/>
                  <w:sz w:val="22"/>
                  <w:szCs w:val="22"/>
                  <w:lang w:eastAsia="vi-VN"/>
                </w:rPr>
              </m:ctrlPr>
            </m:fPr>
            <m:num>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c</m:t>
                  </m:r>
                </m:sub>
              </m:sSub>
              <m:r>
                <w:rPr>
                  <w:rFonts w:ascii="Cambria Math" w:eastAsia="Calibri" w:hAnsi="Cambria Math" w:cstheme="majorHAnsi"/>
                  <w:color w:val="000000" w:themeColor="text1"/>
                  <w:sz w:val="22"/>
                  <w:szCs w:val="22"/>
                  <w:lang w:eastAsia="vi-VN"/>
                </w:rPr>
                <m:t>-</m:t>
              </m:r>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0c</m:t>
                  </m:r>
                </m:sub>
              </m:sSub>
              <m:r>
                <w:rPr>
                  <w:rFonts w:ascii="Cambria Math" w:eastAsia="Calibri" w:hAnsi="Cambria Math" w:cstheme="majorHAnsi"/>
                  <w:color w:val="000000" w:themeColor="text1"/>
                  <w:sz w:val="22"/>
                  <w:szCs w:val="22"/>
                  <w:lang w:eastAsia="vi-VN"/>
                </w:rPr>
                <m:t>)-(</m:t>
              </m:r>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t</m:t>
                  </m:r>
                </m:sub>
              </m:sSub>
              <m:r>
                <w:rPr>
                  <w:rFonts w:ascii="Cambria Math" w:eastAsia="Calibri" w:hAnsi="Cambria Math" w:cstheme="majorHAnsi"/>
                  <w:color w:val="000000" w:themeColor="text1"/>
                  <w:sz w:val="22"/>
                  <w:szCs w:val="22"/>
                  <w:lang w:eastAsia="vi-VN"/>
                </w:rPr>
                <m:t>-</m:t>
              </m:r>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0t</m:t>
                  </m:r>
                </m:sub>
              </m:sSub>
              <m:r>
                <w:rPr>
                  <w:rFonts w:ascii="Cambria Math" w:eastAsia="Calibri" w:hAnsi="Cambria Math" w:cstheme="majorHAnsi"/>
                  <w:color w:val="000000" w:themeColor="text1"/>
                  <w:sz w:val="22"/>
                  <w:szCs w:val="22"/>
                  <w:lang w:eastAsia="vi-VN"/>
                </w:rPr>
                <m:t>)</m:t>
              </m:r>
            </m:num>
            <m:den>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c</m:t>
                  </m:r>
                </m:sub>
              </m:sSub>
              <m:r>
                <w:rPr>
                  <w:rFonts w:ascii="Cambria Math" w:eastAsia="Calibri" w:hAnsi="Cambria Math" w:cstheme="majorHAnsi"/>
                  <w:color w:val="000000" w:themeColor="text1"/>
                  <w:sz w:val="22"/>
                  <w:szCs w:val="22"/>
                  <w:lang w:eastAsia="vi-VN"/>
                </w:rPr>
                <m:t>-</m:t>
              </m:r>
              <m:sSub>
                <m:sSubPr>
                  <m:ctrlPr>
                    <w:rPr>
                      <w:rFonts w:ascii="Cambria Math" w:eastAsia="Calibri" w:hAnsi="Cambria Math" w:cstheme="majorHAnsi"/>
                      <w:i/>
                      <w:color w:val="000000" w:themeColor="text1"/>
                      <w:sz w:val="22"/>
                      <w:szCs w:val="22"/>
                      <w:lang w:eastAsia="vi-VN"/>
                    </w:rPr>
                  </m:ctrlPr>
                </m:sSubPr>
                <m:e>
                  <m:r>
                    <w:rPr>
                      <w:rFonts w:ascii="Cambria Math" w:eastAsia="Calibri" w:hAnsi="Cambria Math" w:cstheme="majorHAnsi"/>
                      <w:color w:val="000000" w:themeColor="text1"/>
                      <w:sz w:val="22"/>
                      <w:szCs w:val="22"/>
                      <w:lang w:eastAsia="vi-VN"/>
                    </w:rPr>
                    <m:t>A</m:t>
                  </m:r>
                </m:e>
                <m:sub>
                  <m:r>
                    <w:rPr>
                      <w:rFonts w:ascii="Cambria Math" w:eastAsia="Calibri" w:hAnsi="Cambria Math" w:cstheme="majorHAnsi"/>
                      <w:color w:val="000000" w:themeColor="text1"/>
                      <w:sz w:val="22"/>
                      <w:szCs w:val="22"/>
                      <w:lang w:eastAsia="vi-VN"/>
                    </w:rPr>
                    <m:t>0c</m:t>
                  </m:r>
                </m:sub>
              </m:sSub>
              <m:r>
                <w:rPr>
                  <w:rFonts w:ascii="Cambria Math" w:eastAsia="Calibri" w:hAnsi="Cambria Math" w:cstheme="majorHAnsi"/>
                  <w:color w:val="000000" w:themeColor="text1"/>
                  <w:sz w:val="22"/>
                  <w:szCs w:val="22"/>
                  <w:lang w:eastAsia="vi-VN"/>
                </w:rPr>
                <m:t>)</m:t>
              </m:r>
            </m:den>
          </m:f>
          <m:r>
            <w:rPr>
              <w:rFonts w:ascii="Cambria Math" w:eastAsia="Calibri" w:hAnsi="Cambria Math" w:cstheme="majorHAnsi"/>
              <w:color w:val="000000" w:themeColor="text1"/>
              <w:sz w:val="22"/>
              <w:szCs w:val="22"/>
              <w:lang w:eastAsia="vi-VN"/>
            </w:rPr>
            <m:t>×100</m:t>
          </m:r>
        </m:oMath>
      </m:oMathPara>
    </w:p>
    <w:p w14:paraId="5E8A5DFB" w14:textId="77777777" w:rsidR="00C012FB" w:rsidRPr="005E6B7C" w:rsidRDefault="00C012FB" w:rsidP="00C012FB">
      <w:pPr>
        <w:tabs>
          <w:tab w:val="left" w:pos="270"/>
          <w:tab w:val="left" w:pos="54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which: Ac: The absorbance of control (DPPH + methanol), A0c: The absorbance of blank (only methanol), At: The absorbance of test sample (DPPH +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or ascorbic acid), A0t: The absorbance of sample control (only test samples in methanol).</w:t>
      </w:r>
    </w:p>
    <w:p w14:paraId="7D443DC5" w14:textId="77777777" w:rsidR="00C012FB" w:rsidRPr="005E6B7C" w:rsidRDefault="00C012FB" w:rsidP="00C012FB">
      <w:pPr>
        <w:tabs>
          <w:tab w:val="left" w:pos="270"/>
          <w:tab w:val="left" w:pos="540"/>
          <w:tab w:val="left" w:pos="9270"/>
        </w:tabs>
        <w:spacing w:line="246"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2.6. α-Glucosidase inhibitory activity</w:t>
      </w:r>
    </w:p>
    <w:p w14:paraId="3E02BBBB" w14:textId="0E67275D" w:rsidR="00C012FB" w:rsidRPr="005E6B7C" w:rsidRDefault="00C012FB" w:rsidP="00C012FB">
      <w:pPr>
        <w:tabs>
          <w:tab w:val="left" w:pos="270"/>
          <w:tab w:val="left" w:pos="54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inhibitory activity was evaluated using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enzyme (EC 3.2.1.20, </w:t>
      </w:r>
      <w:r w:rsidRPr="005E6B7C">
        <w:rPr>
          <w:rFonts w:asciiTheme="majorHAnsi" w:eastAsia="Yu Mincho" w:hAnsiTheme="majorHAnsi" w:cstheme="majorHAnsi"/>
          <w:i/>
          <w:color w:val="000000" w:themeColor="text1"/>
          <w:sz w:val="22"/>
          <w:szCs w:val="22"/>
          <w:lang w:eastAsia="ja-JP"/>
        </w:rPr>
        <w:t>Saccharomyces cerevisiae</w:t>
      </w:r>
      <w:r w:rsidRPr="005E6B7C">
        <w:rPr>
          <w:rFonts w:asciiTheme="majorHAnsi" w:eastAsia="Yu Mincho" w:hAnsiTheme="majorHAnsi" w:cstheme="majorHAnsi"/>
          <w:color w:val="000000" w:themeColor="text1"/>
          <w:sz w:val="22"/>
          <w:szCs w:val="22"/>
          <w:lang w:eastAsia="ja-JP"/>
        </w:rPr>
        <w:t xml:space="preserve">, 20 U/mg) and </w:t>
      </w:r>
      <w:r w:rsidRPr="005E6B7C">
        <w:rPr>
          <w:rFonts w:asciiTheme="majorHAnsi" w:eastAsia="Yu Mincho" w:hAnsiTheme="majorHAnsi" w:cstheme="majorHAnsi"/>
          <w:i/>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-nitrophenyl glucopyranoside (</w:t>
      </w:r>
      <w:r w:rsidRPr="005E6B7C">
        <w:rPr>
          <w:rFonts w:asciiTheme="majorHAnsi" w:eastAsia="Yu Mincho" w:hAnsiTheme="majorHAnsi" w:cstheme="majorHAnsi"/>
          <w:i/>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NPG) as the substrate, both purchased from Sigma-Aldrich. Briefly, 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(0.2 U/mL) in potassium phosphate buffer (0.1 M, pH 6.8) was pre-incubated at 37 °C with 60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at various concentrations in DMSO. After a 20-min incubation, 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of the substrate (final concentration of 4 mM) was added to the mixture and incubated at 37 °C for an additional 10 min. The reaction was terminated by adding 160 μL of 0.2 M Na</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CO</w:t>
      </w:r>
      <w:r w:rsidRPr="005E6B7C">
        <w:rPr>
          <w:rFonts w:asciiTheme="majorHAnsi" w:eastAsia="Yu Mincho" w:hAnsiTheme="majorHAnsi" w:cstheme="majorHAnsi"/>
          <w:color w:val="000000" w:themeColor="text1"/>
          <w:sz w:val="22"/>
          <w:szCs w:val="22"/>
          <w:vertAlign w:val="subscript"/>
          <w:lang w:eastAsia="ja-JP"/>
        </w:rPr>
        <w:t>3</w:t>
      </w:r>
      <w:r w:rsidRPr="005E6B7C">
        <w:rPr>
          <w:rFonts w:asciiTheme="majorHAnsi" w:eastAsia="Yu Mincho" w:hAnsiTheme="majorHAnsi" w:cstheme="majorHAnsi"/>
          <w:color w:val="000000" w:themeColor="text1"/>
          <w:sz w:val="22"/>
          <w:szCs w:val="22"/>
          <w:lang w:eastAsia="ja-JP"/>
        </w:rPr>
        <w:t>. The absorbance was measured at 405 nm using a microplate reader (BioTek, USA). DMSO (10% final concentration) served as the control, while acarbose (Sigma-Aldrich, USA) was used as the standard inhibitor. All assays were performed in triplicate [12].</w:t>
      </w:r>
    </w:p>
    <w:p w14:paraId="09E8D6DE" w14:textId="77777777" w:rsidR="00C012FB" w:rsidRPr="005E6B7C" w:rsidRDefault="00C012FB" w:rsidP="00C012FB">
      <w:pPr>
        <w:tabs>
          <w:tab w:val="left" w:pos="270"/>
          <w:tab w:val="left" w:pos="54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2.7.</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bCs/>
          <w:i/>
          <w:iCs/>
          <w:color w:val="000000" w:themeColor="text1"/>
          <w:sz w:val="22"/>
          <w:szCs w:val="22"/>
          <w:lang w:eastAsia="ja-JP"/>
        </w:rPr>
        <w:t>Streptozotocin-induced hyperglycemia</w:t>
      </w:r>
    </w:p>
    <w:p w14:paraId="4487C5A2"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hyperglycemic model was induced in overnight-fasting mice via a single intraperitoneal (i.p.) injection of streptozotocin (STZ, 170 mg/kg) prepared in sodium citrate buffer (0.1 M, pH 4.5). Seven days post-injection, mice with fasting plasma glucose levels &gt; 200 mg/dL were selected and randomly assigned into the following groups (n = 8 per group): (1) Hyperglycemic control (STZ + distilled water); (2) Test groups (STZ +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ethanol extract at 0.67 or 1.33 g/kg); and (3) Reference group (STZ + glibenclamide at 5 mg/kg). Treatments were administered orally (p.o.) for 14 consecutive days. In parallel, normal control mice (n = 8) received only sodium citrate buffer (i.p.) and distilled water (p.o.). Additionally, separate normal groups were treated with the e</w:t>
      </w:r>
      <w:r w:rsidRPr="005E6B7C">
        <w:rPr>
          <w:rFonts w:asciiTheme="majorHAnsi" w:eastAsia="Yu Mincho" w:hAnsiTheme="majorHAnsi" w:cstheme="majorHAnsi"/>
          <w:color w:val="000000" w:themeColor="text1"/>
          <w:spacing w:val="2"/>
          <w:sz w:val="22"/>
          <w:szCs w:val="22"/>
          <w:lang w:eastAsia="ja-JP"/>
        </w:rPr>
        <w:t xml:space="preserve">thanol extract (0.67 or 1.33 g/kg) for 14 days to evaluate baseline effects. On day 14, 60 min after the final administration, tail vein blood was collected to determine fasting plasma glucose and glucose levels during the oral glucose tolerance test (OGTT). Plasma glucose concentrations were measured using a Glucose </w:t>
      </w:r>
      <w:r w:rsidRPr="005E6B7C">
        <w:rPr>
          <w:rFonts w:asciiTheme="majorHAnsi" w:eastAsia="Yu Mincho" w:hAnsiTheme="majorHAnsi" w:cstheme="majorHAnsi"/>
          <w:color w:val="000000" w:themeColor="text1"/>
          <w:spacing w:val="2"/>
          <w:sz w:val="22"/>
          <w:szCs w:val="22"/>
          <w:lang w:eastAsia="ja-JP"/>
        </w:rPr>
        <w:t>Liquicolor (GOD-PAP) kit (Human Diagnostic Ltd., Germany) [13].</w:t>
      </w:r>
    </w:p>
    <w:p w14:paraId="27B5C087"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2.8. Oral glucose tolerance test (OGTT)</w:t>
      </w:r>
    </w:p>
    <w:p w14:paraId="02A7CB5F" w14:textId="77777777" w:rsidR="00C012FB" w:rsidRPr="005E6B7C" w:rsidRDefault="00C012FB" w:rsidP="00C012FB">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Normal and hyperglycemic mice were administered a repeated dose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ethanol extract (0.67 or 1.33 g/kg) for 14 consecutive days. Following a 16-hour fast, the initial fasting plasma glucose concentration was determined. One hour after the final administration of the extract, the mice were orally challenged with a glucose solution (2 g/kg body weight). Subsequently, plasma glucose levels were measured at 30 and 120 minutes post-glucose load to evaluate glucose tolerance using the GOD-PAP kit [14]. </w:t>
      </w:r>
    </w:p>
    <w:p w14:paraId="7A31A432"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2.9. Determination of oxidative stress markers</w:t>
      </w:r>
    </w:p>
    <w:p w14:paraId="5D750435"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Oxidative stress markers, including malondialdehyde (MDA) and reduced glutathione (GSH), were estimated in kidney tissue homogenates following a previously described method [13]. Mouse kidneys were dissected, washed with ice-cold saline, and then homogenized (1:9 w/v) in a 1.15% KCl buffer for 2 min at 4 °C using a SpeedMill PLUS homogenizer (Analytik Jena, Germany). The resulting homogenate was centrifuged at 4 °C to obtain the supernatant. For the assays, 2 mL or 1 mL of the supernatant was used for MDA and GSH quantification, respectively. The final volume was adjusted to 3 mL with Tris-HCl (pH 7.4), followed by incubation at 37 °C for 60 min. The reaction was terminated by adding 10% trichloroacetic acid (TCA), and the mixture was centrifuged at 10,000 × g for 10 min at 4 °C. </w:t>
      </w:r>
    </w:p>
    <w:p w14:paraId="6D2F4157" w14:textId="7AA170C6"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To determine MDA levels, 2 mL of the resulting supernatant was mixed with 1 mL of 0.8% thiobarbituric acid (TBA). The mixture was heated at 90 °C for 15 min, cooled, and the absorbance was measured at λ = 532 nm. For GSH determination, 1 mL of the supernatant was reacted with 0.2 mL of Ellman’s reagent and adjusted to 3 mL with phosphate-EDTA buffer. The reaction was incubated in the dark at room temperature for 3 min, and the absorbance was measured at λ = 412 nm. Total protein concentration in the samples was determined using the Bradford assay with bovine serum albumin (BSA) as the standard. MDA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M/mg protein) and GSH (mmol/mg protein) contents were calculated using linear regression equations derived from malondialdehyde, tetrabutylammonium, and L-glutathione standards (Sigma-Aldrich), respectively.</w:t>
      </w:r>
    </w:p>
    <w:p w14:paraId="48EA8983"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2.10. Statistical analysis</w:t>
      </w:r>
    </w:p>
    <w:p w14:paraId="68AA376F"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pacing w:val="-2"/>
          <w:sz w:val="22"/>
          <w:szCs w:val="22"/>
          <w:lang w:eastAsia="ja-JP"/>
        </w:rPr>
        <w:lastRenderedPageBreak/>
        <w:t xml:space="preserve">Experimental data were analyzed using SigmaStat software (version 3.5, USA) and are expressed as mean ± standard error of the mean (SEM). Statistical significance was determined using One-way analysis of variance (ANOVA), followed by the Student–Newman–Keuls post-hoc </w:t>
      </w:r>
      <w:r w:rsidRPr="005E6B7C">
        <w:rPr>
          <w:rFonts w:asciiTheme="majorHAnsi" w:eastAsia="Yu Mincho" w:hAnsiTheme="majorHAnsi" w:cstheme="majorHAnsi"/>
          <w:color w:val="000000" w:themeColor="text1"/>
          <w:spacing w:val="-2"/>
          <w:sz w:val="22"/>
          <w:szCs w:val="22"/>
          <w:lang w:eastAsia="ja-JP"/>
        </w:rPr>
        <w:t xml:space="preserve">test for multiple comparisons. Differences were considered statistically significant at </w:t>
      </w:r>
      <w:r w:rsidRPr="005E6B7C">
        <w:rPr>
          <w:rFonts w:asciiTheme="majorHAnsi" w:eastAsia="Yu Mincho" w:hAnsiTheme="majorHAnsi" w:cstheme="majorHAnsi"/>
          <w:i/>
          <w:color w:val="000000" w:themeColor="text1"/>
          <w:spacing w:val="-2"/>
          <w:sz w:val="22"/>
          <w:szCs w:val="22"/>
          <w:lang w:eastAsia="ja-JP"/>
        </w:rPr>
        <w:t xml:space="preserve">p </w:t>
      </w:r>
      <w:r w:rsidRPr="005E6B7C">
        <w:rPr>
          <w:rFonts w:asciiTheme="majorHAnsi" w:eastAsia="Yu Mincho" w:hAnsiTheme="majorHAnsi" w:cstheme="majorHAnsi"/>
          <w:color w:val="000000" w:themeColor="text1"/>
          <w:spacing w:val="-2"/>
          <w:sz w:val="22"/>
          <w:szCs w:val="22"/>
          <w:lang w:eastAsia="ja-JP"/>
        </w:rPr>
        <w:t>&lt; 0.05</w:t>
      </w:r>
      <w:r w:rsidRPr="005E6B7C">
        <w:rPr>
          <w:rFonts w:asciiTheme="majorHAnsi" w:eastAsia="Yu Mincho" w:hAnsiTheme="majorHAnsi" w:cstheme="majorHAnsi"/>
          <w:color w:val="000000" w:themeColor="text1"/>
          <w:sz w:val="22"/>
          <w:szCs w:val="22"/>
          <w:lang w:eastAsia="ja-JP"/>
        </w:rPr>
        <w:t>.</w:t>
      </w:r>
    </w:p>
    <w:p w14:paraId="651D9D26"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w:t>
      </w:r>
    </w:p>
    <w:p w14:paraId="3C22B65D"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3.1. Total phenolic and total flavonoid contents in H. tiliaceus leaf extracts</w:t>
      </w:r>
    </w:p>
    <w:p w14:paraId="1ABAD56B"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p>
    <w:p w14:paraId="0C9A363A" w14:textId="77777777" w:rsidR="00C012FB" w:rsidRPr="005E6B7C" w:rsidRDefault="00C012FB" w:rsidP="00C012FB">
      <w:pPr>
        <w:tabs>
          <w:tab w:val="left" w:pos="270"/>
          <w:tab w:val="left" w:pos="540"/>
          <w:tab w:val="left" w:pos="9270"/>
        </w:tabs>
        <w:spacing w:before="120" w:after="120" w:line="240" w:lineRule="exact"/>
        <w:ind w:firstLine="284"/>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Table</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Calibri" w:hAnsiTheme="majorHAnsi" w:cstheme="majorHAnsi"/>
          <w:b/>
          <w:color w:val="000000" w:themeColor="text1"/>
          <w:sz w:val="18"/>
          <w:szCs w:val="18"/>
          <w:lang w:eastAsia="ja-JP"/>
        </w:rPr>
        <w:t xml:space="preserve">1. </w:t>
      </w:r>
      <w:r w:rsidRPr="005E6B7C">
        <w:rPr>
          <w:rFonts w:asciiTheme="majorHAnsi" w:eastAsia="Yu Mincho" w:hAnsiTheme="majorHAnsi" w:cstheme="majorHAnsi"/>
          <w:color w:val="000000" w:themeColor="text1"/>
          <w:sz w:val="18"/>
          <w:szCs w:val="18"/>
          <w:lang w:val="de-DE" w:eastAsia="ja-JP"/>
        </w:rPr>
        <w:t>The contents of total polyphenols and total flavonoids</w:t>
      </w:r>
      <w:r w:rsidRPr="005E6B7C">
        <w:rPr>
          <w:rFonts w:asciiTheme="majorHAnsi" w:eastAsia="Calibri" w:hAnsiTheme="majorHAnsi" w:cstheme="majorHAnsi"/>
          <w:color w:val="000000" w:themeColor="text1"/>
          <w:sz w:val="18"/>
          <w:szCs w:val="18"/>
          <w:lang w:eastAsia="ja-JP"/>
        </w:rPr>
        <w:t xml:space="preserve"> in the </w:t>
      </w:r>
      <w:r w:rsidRPr="005E6B7C">
        <w:rPr>
          <w:rFonts w:asciiTheme="majorHAnsi" w:eastAsia="Calibri" w:hAnsiTheme="majorHAnsi" w:cstheme="majorHAnsi"/>
          <w:i/>
          <w:color w:val="000000" w:themeColor="text1"/>
          <w:sz w:val="18"/>
          <w:szCs w:val="18"/>
          <w:lang w:eastAsia="ja-JP"/>
        </w:rPr>
        <w:t>H. tiliaceus</w:t>
      </w:r>
      <w:r w:rsidRPr="005E6B7C">
        <w:rPr>
          <w:rFonts w:asciiTheme="majorHAnsi" w:eastAsia="Calibri" w:hAnsiTheme="majorHAnsi" w:cstheme="majorHAnsi"/>
          <w:color w:val="000000" w:themeColor="text1"/>
          <w:sz w:val="18"/>
          <w:szCs w:val="18"/>
          <w:lang w:eastAsia="ja-JP"/>
        </w:rPr>
        <w:t xml:space="preserve"> leaf extracts</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02"/>
        <w:gridCol w:w="3285"/>
        <w:gridCol w:w="3285"/>
      </w:tblGrid>
      <w:tr w:rsidR="00C012FB" w:rsidRPr="005E6B7C" w14:paraId="68DE6937" w14:textId="77777777" w:rsidTr="00F15EF6">
        <w:trPr>
          <w:jc w:val="center"/>
        </w:trPr>
        <w:tc>
          <w:tcPr>
            <w:tcW w:w="2304" w:type="dxa"/>
            <w:vAlign w:val="center"/>
          </w:tcPr>
          <w:p w14:paraId="131F0612"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i/>
                <w:color w:val="000000" w:themeColor="text1"/>
                <w:sz w:val="18"/>
                <w:szCs w:val="18"/>
                <w:lang w:eastAsia="ja-JP"/>
              </w:rPr>
              <w:t>H. tiliaceus</w:t>
            </w:r>
            <w:r w:rsidRPr="005E6B7C">
              <w:rPr>
                <w:rFonts w:asciiTheme="majorHAnsi" w:eastAsia="Yu Mincho" w:hAnsiTheme="majorHAnsi" w:cstheme="majorHAnsi"/>
                <w:b/>
                <w:color w:val="000000" w:themeColor="text1"/>
                <w:sz w:val="18"/>
                <w:szCs w:val="18"/>
                <w:lang w:eastAsia="ja-JP"/>
              </w:rPr>
              <w:t xml:space="preserve"> leaf extracts</w:t>
            </w:r>
          </w:p>
        </w:tc>
        <w:tc>
          <w:tcPr>
            <w:tcW w:w="3024" w:type="dxa"/>
            <w:vAlign w:val="center"/>
          </w:tcPr>
          <w:p w14:paraId="2838A074"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val="nl-NL" w:eastAsia="ja-JP"/>
              </w:rPr>
            </w:pPr>
            <w:r w:rsidRPr="005E6B7C">
              <w:rPr>
                <w:rFonts w:asciiTheme="majorHAnsi" w:eastAsia="Calibri" w:hAnsiTheme="majorHAnsi" w:cstheme="majorHAnsi"/>
                <w:b/>
                <w:color w:val="000000" w:themeColor="text1"/>
                <w:sz w:val="18"/>
                <w:szCs w:val="18"/>
                <w:lang w:val="nl-NL" w:eastAsia="ja-JP"/>
              </w:rPr>
              <w:t>TPC</w:t>
            </w:r>
          </w:p>
          <w:p w14:paraId="1F7059A9"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val="nl-NL" w:eastAsia="ja-JP"/>
              </w:rPr>
            </w:pPr>
            <w:r w:rsidRPr="005E6B7C">
              <w:rPr>
                <w:rFonts w:asciiTheme="majorHAnsi" w:eastAsia="Calibri" w:hAnsiTheme="majorHAnsi" w:cstheme="majorHAnsi"/>
                <w:b/>
                <w:color w:val="000000" w:themeColor="text1"/>
                <w:sz w:val="18"/>
                <w:szCs w:val="18"/>
                <w:lang w:val="nl-NL" w:eastAsia="ja-JP"/>
              </w:rPr>
              <w:t>(mg GAE/g extract)</w:t>
            </w:r>
          </w:p>
        </w:tc>
        <w:tc>
          <w:tcPr>
            <w:tcW w:w="3024" w:type="dxa"/>
            <w:vAlign w:val="center"/>
          </w:tcPr>
          <w:p w14:paraId="342C61D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TFC</w:t>
            </w:r>
          </w:p>
          <w:p w14:paraId="25B3415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(mg QE/g extract)</w:t>
            </w:r>
          </w:p>
        </w:tc>
      </w:tr>
      <w:tr w:rsidR="00C012FB" w:rsidRPr="005E6B7C" w14:paraId="34243D88" w14:textId="77777777" w:rsidTr="00F15EF6">
        <w:trPr>
          <w:jc w:val="center"/>
        </w:trPr>
        <w:tc>
          <w:tcPr>
            <w:tcW w:w="2304" w:type="dxa"/>
            <w:vAlign w:val="center"/>
          </w:tcPr>
          <w:p w14:paraId="37774F2E"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Ethanol extract</w:t>
            </w:r>
          </w:p>
        </w:tc>
        <w:tc>
          <w:tcPr>
            <w:tcW w:w="3024" w:type="dxa"/>
            <w:vAlign w:val="center"/>
          </w:tcPr>
          <w:p w14:paraId="77255646"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31.67 ± 0.24</w:t>
            </w:r>
          </w:p>
        </w:tc>
        <w:tc>
          <w:tcPr>
            <w:tcW w:w="3024" w:type="dxa"/>
            <w:vAlign w:val="center"/>
          </w:tcPr>
          <w:p w14:paraId="6E6BAEF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15.64 ± 0.36</w:t>
            </w:r>
          </w:p>
        </w:tc>
      </w:tr>
      <w:tr w:rsidR="00C012FB" w:rsidRPr="005E6B7C" w14:paraId="2411357A" w14:textId="77777777" w:rsidTr="00F15EF6">
        <w:trPr>
          <w:jc w:val="center"/>
        </w:trPr>
        <w:tc>
          <w:tcPr>
            <w:tcW w:w="2304" w:type="dxa"/>
            <w:vAlign w:val="center"/>
          </w:tcPr>
          <w:p w14:paraId="6D59515C"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Aqueous extract</w:t>
            </w:r>
          </w:p>
        </w:tc>
        <w:tc>
          <w:tcPr>
            <w:tcW w:w="3024" w:type="dxa"/>
            <w:vAlign w:val="center"/>
          </w:tcPr>
          <w:p w14:paraId="1693372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27.67 ± 0.21</w:t>
            </w:r>
          </w:p>
        </w:tc>
        <w:tc>
          <w:tcPr>
            <w:tcW w:w="3024" w:type="dxa"/>
            <w:vAlign w:val="center"/>
          </w:tcPr>
          <w:p w14:paraId="28B7890B"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11.01 ± 0.11</w:t>
            </w:r>
          </w:p>
        </w:tc>
      </w:tr>
    </w:tbl>
    <w:p w14:paraId="433D51ED"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227CCB5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28908A37"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val="de-DE" w:eastAsia="ja-JP"/>
        </w:rPr>
      </w:pPr>
      <w:r w:rsidRPr="005E6B7C">
        <w:rPr>
          <w:rFonts w:asciiTheme="majorHAnsi" w:eastAsia="Yu Mincho" w:hAnsiTheme="majorHAnsi" w:cstheme="majorHAnsi"/>
          <w:color w:val="000000" w:themeColor="text1"/>
          <w:spacing w:val="4"/>
          <w:sz w:val="22"/>
          <w:szCs w:val="22"/>
          <w:lang w:eastAsia="ja-JP"/>
        </w:rPr>
        <w:t xml:space="preserve">Based on the linear regression equations for </w:t>
      </w:r>
      <w:r w:rsidRPr="005E6B7C">
        <w:rPr>
          <w:rFonts w:asciiTheme="majorHAnsi" w:eastAsia="Yu Mincho" w:hAnsiTheme="majorHAnsi" w:cstheme="majorHAnsi"/>
          <w:color w:val="000000" w:themeColor="text1"/>
          <w:spacing w:val="4"/>
          <w:sz w:val="22"/>
          <w:szCs w:val="22"/>
          <w:lang w:val="de-DE" w:eastAsia="ja-JP"/>
        </w:rPr>
        <w:t>gallic acid (y = 0.0109x + 0.0245, R</w:t>
      </w:r>
      <w:r w:rsidRPr="005E6B7C">
        <w:rPr>
          <w:rFonts w:asciiTheme="majorHAnsi" w:eastAsia="Yu Mincho" w:hAnsiTheme="majorHAnsi" w:cstheme="majorHAnsi"/>
          <w:color w:val="000000" w:themeColor="text1"/>
          <w:spacing w:val="4"/>
          <w:sz w:val="22"/>
          <w:szCs w:val="22"/>
          <w:vertAlign w:val="superscript"/>
          <w:lang w:val="de-DE" w:eastAsia="ja-JP"/>
        </w:rPr>
        <w:t>2</w:t>
      </w:r>
      <w:r w:rsidRPr="005E6B7C">
        <w:rPr>
          <w:rFonts w:asciiTheme="majorHAnsi" w:eastAsia="Yu Mincho" w:hAnsiTheme="majorHAnsi" w:cstheme="majorHAnsi"/>
          <w:color w:val="000000" w:themeColor="text1"/>
          <w:spacing w:val="4"/>
          <w:sz w:val="22"/>
          <w:szCs w:val="22"/>
          <w:lang w:val="de-DE" w:eastAsia="ja-JP"/>
        </w:rPr>
        <w:t>=0.9934) and quercetin (y = 0.0067x + 0.006, R</w:t>
      </w:r>
      <w:r w:rsidRPr="005E6B7C">
        <w:rPr>
          <w:rFonts w:asciiTheme="majorHAnsi" w:eastAsia="Yu Mincho" w:hAnsiTheme="majorHAnsi" w:cstheme="majorHAnsi"/>
          <w:color w:val="000000" w:themeColor="text1"/>
          <w:spacing w:val="4"/>
          <w:sz w:val="22"/>
          <w:szCs w:val="22"/>
          <w:vertAlign w:val="superscript"/>
          <w:lang w:val="de-DE" w:eastAsia="ja-JP"/>
        </w:rPr>
        <w:t>2</w:t>
      </w:r>
      <w:r w:rsidRPr="005E6B7C">
        <w:rPr>
          <w:rFonts w:asciiTheme="majorHAnsi" w:eastAsia="Yu Mincho" w:hAnsiTheme="majorHAnsi" w:cstheme="majorHAnsi"/>
          <w:color w:val="000000" w:themeColor="text1"/>
          <w:spacing w:val="4"/>
          <w:sz w:val="22"/>
          <w:szCs w:val="22"/>
          <w:lang w:val="de-DE" w:eastAsia="ja-JP"/>
        </w:rPr>
        <w:t xml:space="preserve">=0.9963), the total phenolic and flavonoid contents of </w:t>
      </w:r>
      <w:r w:rsidRPr="005E6B7C">
        <w:rPr>
          <w:rFonts w:asciiTheme="majorHAnsi" w:eastAsia="Yu Mincho" w:hAnsiTheme="majorHAnsi" w:cstheme="majorHAnsi"/>
          <w:i/>
          <w:color w:val="000000" w:themeColor="text1"/>
          <w:spacing w:val="4"/>
          <w:sz w:val="22"/>
          <w:szCs w:val="22"/>
          <w:lang w:val="de-DE" w:eastAsia="ja-JP"/>
        </w:rPr>
        <w:t>H. tiliaceus</w:t>
      </w:r>
      <w:r w:rsidRPr="005E6B7C">
        <w:rPr>
          <w:rFonts w:asciiTheme="majorHAnsi" w:eastAsia="Yu Mincho" w:hAnsiTheme="majorHAnsi" w:cstheme="majorHAnsi"/>
          <w:color w:val="000000" w:themeColor="text1"/>
          <w:spacing w:val="4"/>
          <w:sz w:val="22"/>
          <w:szCs w:val="22"/>
          <w:lang w:val="de-DE" w:eastAsia="ja-JP"/>
        </w:rPr>
        <w:t xml:space="preserve"> leaf extracts were calculated and are presented in Table 1. The results indicated that the total phenolic and flavonoid contents in the </w:t>
      </w:r>
      <w:r w:rsidRPr="005E6B7C">
        <w:rPr>
          <w:rFonts w:asciiTheme="majorHAnsi" w:eastAsia="Yu Mincho" w:hAnsiTheme="majorHAnsi" w:cstheme="majorHAnsi"/>
          <w:color w:val="000000" w:themeColor="text1"/>
          <w:spacing w:val="4"/>
          <w:sz w:val="22"/>
          <w:szCs w:val="22"/>
          <w:lang w:val="de-DE" w:eastAsia="ja-JP"/>
        </w:rPr>
        <w:t>aqueous extract (27.67 mg GAE/g and 11.01 mg QE/g, respectively) were significantly lower than those in the ethanol extract (31.67 mg GAE/g and 15.64 mg QE/g, respectively).</w:t>
      </w:r>
    </w:p>
    <w:p w14:paraId="4C1324C4"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Cs/>
          <w:i/>
          <w:iCs/>
          <w:color w:val="000000" w:themeColor="text1"/>
          <w:sz w:val="22"/>
          <w:szCs w:val="22"/>
          <w:lang w:eastAsia="ja-JP"/>
        </w:rPr>
        <w:t>3.2. Antioxidant activity of H. tiliaceus leaf extracts</w:t>
      </w:r>
    </w:p>
    <w:p w14:paraId="1576434E" w14:textId="77777777" w:rsidR="00C012FB" w:rsidRPr="005E6B7C" w:rsidRDefault="00C012FB" w:rsidP="00C012FB">
      <w:pPr>
        <w:tabs>
          <w:tab w:val="left" w:pos="270"/>
          <w:tab w:val="left" w:pos="540"/>
          <w:tab w:val="left" w:pos="9270"/>
        </w:tabs>
        <w:spacing w:before="120" w:after="120"/>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Table 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Calibri" w:hAnsiTheme="majorHAnsi" w:cstheme="majorHAnsi"/>
          <w:color w:val="000000" w:themeColor="text1"/>
          <w:sz w:val="18"/>
          <w:szCs w:val="18"/>
          <w:lang w:val="vi-VN" w:eastAsia="ja-JP"/>
        </w:rPr>
        <w:t>DPPH radical scavenging activity</w:t>
      </w:r>
      <w:r w:rsidRPr="005E6B7C">
        <w:rPr>
          <w:rFonts w:asciiTheme="majorHAnsi" w:eastAsia="Calibri" w:hAnsiTheme="majorHAnsi" w:cstheme="majorHAnsi"/>
          <w:color w:val="000000" w:themeColor="text1"/>
          <w:sz w:val="18"/>
          <w:szCs w:val="18"/>
          <w:lang w:eastAsia="ja-JP"/>
        </w:rPr>
        <w:t xml:space="preserve"> of</w:t>
      </w:r>
      <w:r w:rsidRPr="005E6B7C">
        <w:rPr>
          <w:rFonts w:asciiTheme="majorHAnsi" w:eastAsia="Calibri" w:hAnsiTheme="majorHAnsi" w:cstheme="majorHAnsi"/>
          <w:b/>
          <w:color w:val="000000" w:themeColor="text1"/>
          <w:sz w:val="18"/>
          <w:szCs w:val="18"/>
          <w:lang w:eastAsia="ja-JP"/>
        </w:rPr>
        <w:t xml:space="preserve"> </w:t>
      </w:r>
      <w:r w:rsidRPr="005E6B7C">
        <w:rPr>
          <w:rFonts w:asciiTheme="majorHAnsi" w:eastAsia="Calibri" w:hAnsiTheme="majorHAnsi" w:cstheme="majorHAnsi"/>
          <w:color w:val="000000" w:themeColor="text1"/>
          <w:sz w:val="18"/>
          <w:szCs w:val="18"/>
          <w:lang w:eastAsia="ja-JP"/>
        </w:rPr>
        <w:t xml:space="preserve">the </w:t>
      </w:r>
      <w:r w:rsidRPr="005E6B7C">
        <w:rPr>
          <w:rFonts w:asciiTheme="majorHAnsi" w:eastAsia="Calibri" w:hAnsiTheme="majorHAnsi" w:cstheme="majorHAnsi"/>
          <w:i/>
          <w:color w:val="000000" w:themeColor="text1"/>
          <w:sz w:val="18"/>
          <w:szCs w:val="18"/>
          <w:lang w:eastAsia="ja-JP"/>
        </w:rPr>
        <w:t>H. tiliaceus</w:t>
      </w:r>
      <w:r w:rsidRPr="005E6B7C">
        <w:rPr>
          <w:rFonts w:asciiTheme="majorHAnsi" w:eastAsia="Calibri" w:hAnsiTheme="majorHAnsi" w:cstheme="majorHAnsi"/>
          <w:color w:val="000000" w:themeColor="text1"/>
          <w:sz w:val="18"/>
          <w:szCs w:val="18"/>
          <w:lang w:eastAsia="ja-JP"/>
        </w:rPr>
        <w:t xml:space="preserve"> leaf extracts</w:t>
      </w:r>
    </w:p>
    <w:tbl>
      <w:tblPr>
        <w:tblW w:w="892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0"/>
        <w:gridCol w:w="3058"/>
        <w:gridCol w:w="1584"/>
        <w:gridCol w:w="1872"/>
      </w:tblGrid>
      <w:tr w:rsidR="00C012FB" w:rsidRPr="005E6B7C" w14:paraId="6F47CC3D" w14:textId="77777777" w:rsidTr="00F15EF6">
        <w:tc>
          <w:tcPr>
            <w:tcW w:w="2410" w:type="dxa"/>
            <w:vAlign w:val="center"/>
          </w:tcPr>
          <w:p w14:paraId="7500C17A"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Test samples</w:t>
            </w:r>
          </w:p>
        </w:tc>
        <w:tc>
          <w:tcPr>
            <w:tcW w:w="3058" w:type="dxa"/>
            <w:vAlign w:val="center"/>
          </w:tcPr>
          <w:p w14:paraId="390B63BA"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Linear/non-linear regression equation</w:t>
            </w:r>
          </w:p>
        </w:tc>
        <w:tc>
          <w:tcPr>
            <w:tcW w:w="1584" w:type="dxa"/>
            <w:vAlign w:val="center"/>
          </w:tcPr>
          <w:p w14:paraId="04FD9A89"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b/>
                <w:color w:val="000000" w:themeColor="text1"/>
                <w:sz w:val="18"/>
                <w:szCs w:val="18"/>
                <w:lang w:eastAsia="ja-JP"/>
              </w:rPr>
              <w:t>R</w:t>
            </w:r>
            <w:r w:rsidRPr="005E6B7C">
              <w:rPr>
                <w:rFonts w:asciiTheme="majorHAnsi" w:eastAsia="Calibri" w:hAnsiTheme="majorHAnsi" w:cstheme="majorHAnsi"/>
                <w:b/>
                <w:color w:val="000000" w:themeColor="text1"/>
                <w:sz w:val="18"/>
                <w:szCs w:val="18"/>
                <w:vertAlign w:val="superscript"/>
                <w:lang w:eastAsia="ja-JP"/>
              </w:rPr>
              <w:t>2</w:t>
            </w:r>
          </w:p>
        </w:tc>
        <w:tc>
          <w:tcPr>
            <w:tcW w:w="1872" w:type="dxa"/>
            <w:vAlign w:val="center"/>
          </w:tcPr>
          <w:p w14:paraId="101E2395"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IC</w:t>
            </w:r>
            <w:r w:rsidRPr="005E6B7C">
              <w:rPr>
                <w:rFonts w:asciiTheme="majorHAnsi" w:eastAsia="Calibri" w:hAnsiTheme="majorHAnsi" w:cstheme="majorHAnsi"/>
                <w:b/>
                <w:color w:val="000000" w:themeColor="text1"/>
                <w:sz w:val="18"/>
                <w:szCs w:val="18"/>
                <w:vertAlign w:val="subscript"/>
                <w:lang w:eastAsia="ja-JP"/>
              </w:rPr>
              <w:t>50</w:t>
            </w:r>
            <w:r w:rsidRPr="005E6B7C">
              <w:rPr>
                <w:rFonts w:asciiTheme="majorHAnsi" w:eastAsia="Calibri" w:hAnsiTheme="majorHAnsi" w:cstheme="majorHAnsi"/>
                <w:b/>
                <w:color w:val="000000" w:themeColor="text1"/>
                <w:sz w:val="18"/>
                <w:szCs w:val="18"/>
                <w:lang w:eastAsia="ja-JP"/>
              </w:rPr>
              <w:t xml:space="preserve"> (μg/mL)</w:t>
            </w:r>
          </w:p>
        </w:tc>
      </w:tr>
      <w:tr w:rsidR="00C012FB" w:rsidRPr="005E6B7C" w14:paraId="73CECF78" w14:textId="77777777" w:rsidTr="00F15EF6">
        <w:tc>
          <w:tcPr>
            <w:tcW w:w="2410" w:type="dxa"/>
            <w:vAlign w:val="center"/>
          </w:tcPr>
          <w:p w14:paraId="30733A72"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Ethanol extract</w:t>
            </w:r>
          </w:p>
        </w:tc>
        <w:tc>
          <w:tcPr>
            <w:tcW w:w="3058" w:type="dxa"/>
            <w:vAlign w:val="center"/>
          </w:tcPr>
          <w:p w14:paraId="4F95EBAC"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17.223ln(x) + 19.873</w:t>
            </w:r>
          </w:p>
        </w:tc>
        <w:tc>
          <w:tcPr>
            <w:tcW w:w="1584" w:type="dxa"/>
            <w:vAlign w:val="center"/>
          </w:tcPr>
          <w:p w14:paraId="457F1188"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0.9894</w:t>
            </w:r>
          </w:p>
        </w:tc>
        <w:tc>
          <w:tcPr>
            <w:tcW w:w="1872" w:type="dxa"/>
            <w:vAlign w:val="center"/>
          </w:tcPr>
          <w:p w14:paraId="36D06566"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5.75 ± 0.47</w:t>
            </w:r>
          </w:p>
        </w:tc>
      </w:tr>
      <w:tr w:rsidR="00C012FB" w:rsidRPr="005E6B7C" w14:paraId="75D330BA" w14:textId="77777777" w:rsidTr="00F15EF6">
        <w:tc>
          <w:tcPr>
            <w:tcW w:w="2410" w:type="dxa"/>
            <w:vAlign w:val="center"/>
          </w:tcPr>
          <w:p w14:paraId="5FFA317E"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Aqueous extract</w:t>
            </w:r>
          </w:p>
        </w:tc>
        <w:tc>
          <w:tcPr>
            <w:tcW w:w="3058" w:type="dxa"/>
            <w:vAlign w:val="center"/>
          </w:tcPr>
          <w:p w14:paraId="1C499534"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23.466ln(x) – 21.496</w:t>
            </w:r>
          </w:p>
        </w:tc>
        <w:tc>
          <w:tcPr>
            <w:tcW w:w="1584" w:type="dxa"/>
            <w:vAlign w:val="center"/>
          </w:tcPr>
          <w:p w14:paraId="4DEDAAFB"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0.9891</w:t>
            </w:r>
          </w:p>
        </w:tc>
        <w:tc>
          <w:tcPr>
            <w:tcW w:w="1872" w:type="dxa"/>
            <w:vAlign w:val="center"/>
          </w:tcPr>
          <w:p w14:paraId="31C536C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21.05 ± 0.76</w:t>
            </w:r>
          </w:p>
        </w:tc>
      </w:tr>
      <w:tr w:rsidR="00C012FB" w:rsidRPr="005E6B7C" w14:paraId="45664567" w14:textId="77777777" w:rsidTr="00F15EF6">
        <w:tc>
          <w:tcPr>
            <w:tcW w:w="2410" w:type="dxa"/>
            <w:vAlign w:val="center"/>
          </w:tcPr>
          <w:p w14:paraId="420157DD"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Ascorbic acid</w:t>
            </w:r>
          </w:p>
        </w:tc>
        <w:tc>
          <w:tcPr>
            <w:tcW w:w="3058" w:type="dxa"/>
            <w:vAlign w:val="center"/>
          </w:tcPr>
          <w:p w14:paraId="4894A2B6"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8.0056x + 10.181</w:t>
            </w:r>
          </w:p>
        </w:tc>
        <w:tc>
          <w:tcPr>
            <w:tcW w:w="1584" w:type="dxa"/>
            <w:vAlign w:val="center"/>
          </w:tcPr>
          <w:p w14:paraId="0932E96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0.9798</w:t>
            </w:r>
          </w:p>
        </w:tc>
        <w:tc>
          <w:tcPr>
            <w:tcW w:w="1872" w:type="dxa"/>
            <w:vAlign w:val="center"/>
          </w:tcPr>
          <w:p w14:paraId="0130BA43"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4.97 ± 0.12</w:t>
            </w:r>
          </w:p>
        </w:tc>
      </w:tr>
    </w:tbl>
    <w:p w14:paraId="7F814892"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1DCA11A3"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6C1352C9"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eastAsia="ja-JP"/>
        </w:rPr>
        <w:t xml:space="preserve">As shown in Table 2, the </w:t>
      </w:r>
      <w:r w:rsidRPr="005E6B7C">
        <w:rPr>
          <w:rFonts w:asciiTheme="majorHAnsi" w:eastAsia="Yu Mincho" w:hAnsiTheme="majorHAnsi" w:cstheme="majorHAnsi"/>
          <w:i/>
          <w:color w:val="000000" w:themeColor="text1"/>
          <w:spacing w:val="6"/>
          <w:sz w:val="22"/>
          <w:szCs w:val="22"/>
          <w:lang w:eastAsia="ja-JP"/>
        </w:rPr>
        <w:t>H. tiliaceus</w:t>
      </w:r>
      <w:r w:rsidRPr="005E6B7C">
        <w:rPr>
          <w:rFonts w:asciiTheme="majorHAnsi" w:eastAsia="Yu Mincho" w:hAnsiTheme="majorHAnsi" w:cstheme="majorHAnsi"/>
          <w:color w:val="000000" w:themeColor="text1"/>
          <w:spacing w:val="6"/>
          <w:sz w:val="22"/>
          <w:szCs w:val="22"/>
          <w:lang w:eastAsia="ja-JP"/>
        </w:rPr>
        <w:t xml:space="preserve"> ethanol extract exhibited potent DPPH radical scavenging activity with an </w:t>
      </w:r>
      <w:r w:rsidRPr="005E6B7C">
        <w:rPr>
          <w:rFonts w:asciiTheme="majorHAnsi" w:eastAsia="Calibri" w:hAnsiTheme="majorHAnsi" w:cstheme="majorHAnsi"/>
          <w:color w:val="000000" w:themeColor="text1"/>
          <w:spacing w:val="6"/>
          <w:sz w:val="22"/>
          <w:szCs w:val="22"/>
          <w:lang w:eastAsia="ja-JP"/>
        </w:rPr>
        <w:t>IC</w:t>
      </w:r>
      <w:r w:rsidRPr="005E6B7C">
        <w:rPr>
          <w:rFonts w:asciiTheme="majorHAnsi" w:eastAsia="Calibri" w:hAnsiTheme="majorHAnsi" w:cstheme="majorHAnsi"/>
          <w:color w:val="000000" w:themeColor="text1"/>
          <w:spacing w:val="6"/>
          <w:sz w:val="22"/>
          <w:szCs w:val="22"/>
          <w:vertAlign w:val="subscript"/>
          <w:lang w:eastAsia="ja-JP"/>
        </w:rPr>
        <w:t>50</w:t>
      </w:r>
      <w:r w:rsidRPr="005E6B7C">
        <w:rPr>
          <w:rFonts w:asciiTheme="majorHAnsi" w:eastAsia="Calibri" w:hAnsiTheme="majorHAnsi" w:cstheme="majorHAnsi"/>
          <w:color w:val="000000" w:themeColor="text1"/>
          <w:spacing w:val="6"/>
          <w:sz w:val="22"/>
          <w:szCs w:val="22"/>
          <w:lang w:eastAsia="ja-JP"/>
        </w:rPr>
        <w:t xml:space="preserve"> of 5.75 μg/mL, which was significantly higher than that of the </w:t>
      </w:r>
      <w:r w:rsidRPr="005E6B7C">
        <w:rPr>
          <w:rFonts w:asciiTheme="majorHAnsi" w:eastAsia="Calibri" w:hAnsiTheme="majorHAnsi" w:cstheme="majorHAnsi"/>
          <w:color w:val="000000" w:themeColor="text1"/>
          <w:spacing w:val="6"/>
          <w:sz w:val="22"/>
          <w:szCs w:val="22"/>
          <w:lang w:eastAsia="ja-JP"/>
        </w:rPr>
        <w:t>aqueous extract (IC</w:t>
      </w:r>
      <w:r w:rsidRPr="005E6B7C">
        <w:rPr>
          <w:rFonts w:asciiTheme="majorHAnsi" w:eastAsia="Calibri" w:hAnsiTheme="majorHAnsi" w:cstheme="majorHAnsi"/>
          <w:color w:val="000000" w:themeColor="text1"/>
          <w:spacing w:val="6"/>
          <w:sz w:val="22"/>
          <w:szCs w:val="22"/>
          <w:vertAlign w:val="subscript"/>
          <w:lang w:eastAsia="ja-JP"/>
        </w:rPr>
        <w:t>50</w:t>
      </w:r>
      <w:r w:rsidRPr="005E6B7C">
        <w:rPr>
          <w:rFonts w:asciiTheme="majorHAnsi" w:eastAsia="Calibri" w:hAnsiTheme="majorHAnsi" w:cstheme="majorHAnsi"/>
          <w:color w:val="000000" w:themeColor="text1"/>
          <w:spacing w:val="6"/>
          <w:sz w:val="22"/>
          <w:szCs w:val="22"/>
          <w:lang w:eastAsia="ja-JP"/>
        </w:rPr>
        <w:t xml:space="preserve"> of 21.05 μg/mL).</w:t>
      </w:r>
    </w:p>
    <w:p w14:paraId="3C5BC82E"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val="de-DE" w:eastAsia="ja-JP"/>
        </w:rPr>
        <w:t>3.3. α</w:t>
      </w:r>
      <w:r w:rsidRPr="005E6B7C">
        <w:rPr>
          <w:rFonts w:asciiTheme="majorHAnsi" w:eastAsia="Yu Mincho" w:hAnsiTheme="majorHAnsi" w:cstheme="majorHAnsi"/>
          <w:color w:val="000000" w:themeColor="text1"/>
          <w:sz w:val="22"/>
          <w:szCs w:val="22"/>
          <w:lang w:val="de-DE" w:eastAsia="ja-JP"/>
        </w:rPr>
        <w:t xml:space="preserve">-Glucosidase inhibitory activity </w:t>
      </w:r>
      <w:r w:rsidRPr="005E6B7C">
        <w:rPr>
          <w:rFonts w:asciiTheme="majorHAnsi" w:eastAsia="Yu Mincho" w:hAnsiTheme="majorHAnsi" w:cstheme="majorHAnsi"/>
          <w:color w:val="000000" w:themeColor="text1"/>
          <w:sz w:val="22"/>
          <w:szCs w:val="22"/>
          <w:lang w:eastAsia="ja-JP"/>
        </w:rPr>
        <w:t>of</w:t>
      </w:r>
      <w:r w:rsidRPr="005E6B7C">
        <w:rPr>
          <w:rFonts w:asciiTheme="majorHAnsi" w:eastAsia="Yu Mincho" w:hAnsiTheme="majorHAnsi" w:cstheme="majorHAnsi"/>
          <w:i/>
          <w:color w:val="000000" w:themeColor="text1"/>
          <w:sz w:val="22"/>
          <w:szCs w:val="22"/>
          <w:lang w:eastAsia="ja-JP"/>
        </w:rPr>
        <w:t xml:space="preserve"> H. tiliaceus</w:t>
      </w:r>
      <w:r w:rsidRPr="005E6B7C">
        <w:rPr>
          <w:rFonts w:asciiTheme="majorHAnsi" w:eastAsia="Yu Mincho" w:hAnsiTheme="majorHAnsi" w:cstheme="majorHAnsi"/>
          <w:color w:val="000000" w:themeColor="text1"/>
          <w:sz w:val="22"/>
          <w:szCs w:val="22"/>
          <w:lang w:eastAsia="ja-JP"/>
        </w:rPr>
        <w:t xml:space="preserve"> leaf extracts</w:t>
      </w:r>
    </w:p>
    <w:p w14:paraId="281B5A9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p>
    <w:p w14:paraId="3C6E1596" w14:textId="77777777" w:rsidR="00C012FB" w:rsidRPr="005E6B7C" w:rsidRDefault="00C012FB" w:rsidP="00C012FB">
      <w:pPr>
        <w:tabs>
          <w:tab w:val="left" w:pos="270"/>
          <w:tab w:val="left" w:pos="540"/>
          <w:tab w:val="left" w:pos="9270"/>
        </w:tabs>
        <w:spacing w:before="120" w:after="120"/>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Table 3</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xml:space="preserve">-Glucosidase inhibitory </w:t>
      </w:r>
      <w:r w:rsidRPr="005E6B7C">
        <w:rPr>
          <w:rFonts w:asciiTheme="majorHAnsi" w:eastAsia="Calibri" w:hAnsiTheme="majorHAnsi" w:cstheme="majorHAnsi"/>
          <w:color w:val="000000" w:themeColor="text1"/>
          <w:sz w:val="18"/>
          <w:szCs w:val="18"/>
          <w:lang w:val="vi-VN" w:eastAsia="ja-JP"/>
        </w:rPr>
        <w:t>activity</w:t>
      </w:r>
      <w:r w:rsidRPr="005E6B7C">
        <w:rPr>
          <w:rFonts w:asciiTheme="majorHAnsi" w:eastAsia="Calibri" w:hAnsiTheme="majorHAnsi" w:cstheme="majorHAnsi"/>
          <w:color w:val="000000" w:themeColor="text1"/>
          <w:sz w:val="18"/>
          <w:szCs w:val="18"/>
          <w:lang w:eastAsia="ja-JP"/>
        </w:rPr>
        <w:t xml:space="preserve"> of</w:t>
      </w:r>
      <w:r w:rsidRPr="005E6B7C">
        <w:rPr>
          <w:rFonts w:asciiTheme="majorHAnsi" w:eastAsia="Calibri" w:hAnsiTheme="majorHAnsi" w:cstheme="majorHAnsi"/>
          <w:b/>
          <w:color w:val="000000" w:themeColor="text1"/>
          <w:sz w:val="18"/>
          <w:szCs w:val="18"/>
          <w:lang w:eastAsia="ja-JP"/>
        </w:rPr>
        <w:t xml:space="preserve"> </w:t>
      </w:r>
      <w:r w:rsidRPr="005E6B7C">
        <w:rPr>
          <w:rFonts w:asciiTheme="majorHAnsi" w:eastAsia="Calibri" w:hAnsiTheme="majorHAnsi" w:cstheme="majorHAnsi"/>
          <w:color w:val="000000" w:themeColor="text1"/>
          <w:sz w:val="18"/>
          <w:szCs w:val="18"/>
          <w:lang w:eastAsia="ja-JP"/>
        </w:rPr>
        <w:t xml:space="preserve">the </w:t>
      </w:r>
      <w:r w:rsidRPr="005E6B7C">
        <w:rPr>
          <w:rFonts w:asciiTheme="majorHAnsi" w:eastAsia="Calibri" w:hAnsiTheme="majorHAnsi" w:cstheme="majorHAnsi"/>
          <w:i/>
          <w:color w:val="000000" w:themeColor="text1"/>
          <w:sz w:val="18"/>
          <w:szCs w:val="18"/>
          <w:lang w:eastAsia="ja-JP"/>
        </w:rPr>
        <w:t>H. tiliaceus</w:t>
      </w:r>
      <w:r w:rsidRPr="005E6B7C">
        <w:rPr>
          <w:rFonts w:asciiTheme="majorHAnsi" w:eastAsia="Calibri" w:hAnsiTheme="majorHAnsi" w:cstheme="majorHAnsi"/>
          <w:color w:val="000000" w:themeColor="text1"/>
          <w:sz w:val="18"/>
          <w:szCs w:val="18"/>
          <w:lang w:eastAsia="ja-JP"/>
        </w:rPr>
        <w:t xml:space="preserve"> leaf extracts</w:t>
      </w:r>
    </w:p>
    <w:tbl>
      <w:tblPr>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1"/>
        <w:gridCol w:w="2929"/>
        <w:gridCol w:w="1692"/>
        <w:gridCol w:w="2140"/>
      </w:tblGrid>
      <w:tr w:rsidR="00C012FB" w:rsidRPr="005E6B7C" w14:paraId="101B834E" w14:textId="77777777" w:rsidTr="00F15EF6">
        <w:trPr>
          <w:trHeight w:val="70"/>
        </w:trPr>
        <w:tc>
          <w:tcPr>
            <w:tcW w:w="2410" w:type="dxa"/>
            <w:vAlign w:val="center"/>
          </w:tcPr>
          <w:p w14:paraId="663EFC13"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Test samples</w:t>
            </w:r>
          </w:p>
        </w:tc>
        <w:tc>
          <w:tcPr>
            <w:tcW w:w="3058" w:type="dxa"/>
            <w:vAlign w:val="center"/>
          </w:tcPr>
          <w:p w14:paraId="195943EA"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Linear/non-linear regression equation</w:t>
            </w:r>
          </w:p>
        </w:tc>
        <w:tc>
          <w:tcPr>
            <w:tcW w:w="1762" w:type="dxa"/>
            <w:vAlign w:val="center"/>
          </w:tcPr>
          <w:p w14:paraId="108F27C6"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b/>
                <w:color w:val="000000" w:themeColor="text1"/>
                <w:sz w:val="18"/>
                <w:szCs w:val="18"/>
                <w:lang w:eastAsia="ja-JP"/>
              </w:rPr>
              <w:t>R</w:t>
            </w:r>
            <w:r w:rsidRPr="005E6B7C">
              <w:rPr>
                <w:rFonts w:asciiTheme="majorHAnsi" w:eastAsia="Calibri" w:hAnsiTheme="majorHAnsi" w:cstheme="majorHAnsi"/>
                <w:b/>
                <w:color w:val="000000" w:themeColor="text1"/>
                <w:sz w:val="18"/>
                <w:szCs w:val="18"/>
                <w:vertAlign w:val="superscript"/>
                <w:lang w:eastAsia="ja-JP"/>
              </w:rPr>
              <w:t>2</w:t>
            </w:r>
          </w:p>
        </w:tc>
        <w:tc>
          <w:tcPr>
            <w:tcW w:w="2233" w:type="dxa"/>
            <w:vAlign w:val="center"/>
          </w:tcPr>
          <w:p w14:paraId="5EF5A082"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IC</w:t>
            </w:r>
            <w:r w:rsidRPr="005E6B7C">
              <w:rPr>
                <w:rFonts w:asciiTheme="majorHAnsi" w:eastAsia="Calibri" w:hAnsiTheme="majorHAnsi" w:cstheme="majorHAnsi"/>
                <w:b/>
                <w:color w:val="000000" w:themeColor="text1"/>
                <w:sz w:val="18"/>
                <w:szCs w:val="18"/>
                <w:vertAlign w:val="subscript"/>
                <w:lang w:eastAsia="ja-JP"/>
              </w:rPr>
              <w:t>50</w:t>
            </w:r>
            <w:r w:rsidRPr="005E6B7C">
              <w:rPr>
                <w:rFonts w:asciiTheme="majorHAnsi" w:eastAsia="Calibri" w:hAnsiTheme="majorHAnsi" w:cstheme="majorHAnsi"/>
                <w:b/>
                <w:color w:val="000000" w:themeColor="text1"/>
                <w:sz w:val="18"/>
                <w:szCs w:val="18"/>
                <w:lang w:eastAsia="ja-JP"/>
              </w:rPr>
              <w:t xml:space="preserve"> (μg/mL)</w:t>
            </w:r>
          </w:p>
        </w:tc>
      </w:tr>
      <w:tr w:rsidR="00C012FB" w:rsidRPr="005E6B7C" w14:paraId="0F3379F8" w14:textId="77777777" w:rsidTr="00F15EF6">
        <w:trPr>
          <w:trHeight w:val="70"/>
        </w:trPr>
        <w:tc>
          <w:tcPr>
            <w:tcW w:w="2410" w:type="dxa"/>
            <w:vAlign w:val="center"/>
          </w:tcPr>
          <w:p w14:paraId="0A89064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Ethanol extract</w:t>
            </w:r>
          </w:p>
        </w:tc>
        <w:tc>
          <w:tcPr>
            <w:tcW w:w="3058" w:type="dxa"/>
            <w:vAlign w:val="center"/>
          </w:tcPr>
          <w:p w14:paraId="45C29B73"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13.944x + 12.459</w:t>
            </w:r>
          </w:p>
        </w:tc>
        <w:tc>
          <w:tcPr>
            <w:tcW w:w="1762" w:type="dxa"/>
            <w:vAlign w:val="center"/>
          </w:tcPr>
          <w:p w14:paraId="55D25375"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0.9900</w:t>
            </w:r>
          </w:p>
        </w:tc>
        <w:tc>
          <w:tcPr>
            <w:tcW w:w="2233" w:type="dxa"/>
            <w:vAlign w:val="center"/>
          </w:tcPr>
          <w:p w14:paraId="00D890B1"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2.69 ± 0.13</w:t>
            </w:r>
          </w:p>
        </w:tc>
      </w:tr>
      <w:tr w:rsidR="00C012FB" w:rsidRPr="005E6B7C" w14:paraId="4C586328" w14:textId="77777777" w:rsidTr="00F15EF6">
        <w:trPr>
          <w:trHeight w:val="70"/>
        </w:trPr>
        <w:tc>
          <w:tcPr>
            <w:tcW w:w="2410" w:type="dxa"/>
            <w:vAlign w:val="center"/>
          </w:tcPr>
          <w:p w14:paraId="44DAE441"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Aqueous extract</w:t>
            </w:r>
          </w:p>
        </w:tc>
        <w:tc>
          <w:tcPr>
            <w:tcW w:w="3058" w:type="dxa"/>
            <w:vAlign w:val="center"/>
          </w:tcPr>
          <w:p w14:paraId="1C7369B2"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7.1037x – 4.741</w:t>
            </w:r>
          </w:p>
        </w:tc>
        <w:tc>
          <w:tcPr>
            <w:tcW w:w="1762" w:type="dxa"/>
            <w:vAlign w:val="center"/>
          </w:tcPr>
          <w:p w14:paraId="12AA85D1"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0.9967</w:t>
            </w:r>
          </w:p>
        </w:tc>
        <w:tc>
          <w:tcPr>
            <w:tcW w:w="2233" w:type="dxa"/>
            <w:vAlign w:val="center"/>
          </w:tcPr>
          <w:p w14:paraId="32DC6696"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7.71  ± 0.27</w:t>
            </w:r>
          </w:p>
        </w:tc>
      </w:tr>
      <w:tr w:rsidR="00C012FB" w:rsidRPr="005E6B7C" w14:paraId="7A9049AA" w14:textId="77777777" w:rsidTr="00F15EF6">
        <w:trPr>
          <w:trHeight w:val="70"/>
        </w:trPr>
        <w:tc>
          <w:tcPr>
            <w:tcW w:w="2410" w:type="dxa"/>
            <w:vAlign w:val="center"/>
          </w:tcPr>
          <w:p w14:paraId="75E0C720"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b/>
                <w:color w:val="000000" w:themeColor="text1"/>
                <w:sz w:val="18"/>
                <w:szCs w:val="18"/>
                <w:lang w:eastAsia="ja-JP"/>
              </w:rPr>
            </w:pPr>
            <w:r w:rsidRPr="005E6B7C">
              <w:rPr>
                <w:rFonts w:asciiTheme="majorHAnsi" w:eastAsia="Calibri" w:hAnsiTheme="majorHAnsi" w:cstheme="majorHAnsi"/>
                <w:b/>
                <w:color w:val="000000" w:themeColor="text1"/>
                <w:sz w:val="18"/>
                <w:szCs w:val="18"/>
                <w:lang w:eastAsia="ja-JP"/>
              </w:rPr>
              <w:t>Acarbose</w:t>
            </w:r>
          </w:p>
        </w:tc>
        <w:tc>
          <w:tcPr>
            <w:tcW w:w="3058" w:type="dxa"/>
            <w:vAlign w:val="center"/>
          </w:tcPr>
          <w:p w14:paraId="4B440F69"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y = 14.974ln(x) – 11.584</w:t>
            </w:r>
          </w:p>
        </w:tc>
        <w:tc>
          <w:tcPr>
            <w:tcW w:w="1762" w:type="dxa"/>
            <w:vAlign w:val="center"/>
          </w:tcPr>
          <w:p w14:paraId="0D10017F"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lang w:eastAsia="ja-JP"/>
              </w:rPr>
            </w:pPr>
            <w:r w:rsidRPr="005E6B7C">
              <w:rPr>
                <w:rFonts w:asciiTheme="majorHAnsi" w:eastAsia="Calibri" w:hAnsiTheme="majorHAnsi" w:cstheme="majorHAnsi"/>
                <w:color w:val="000000" w:themeColor="text1"/>
                <w:sz w:val="18"/>
                <w:szCs w:val="18"/>
                <w:lang w:eastAsia="ja-JP"/>
              </w:rPr>
              <w:t>0.9960</w:t>
            </w:r>
          </w:p>
        </w:tc>
        <w:tc>
          <w:tcPr>
            <w:tcW w:w="2233" w:type="dxa"/>
            <w:vAlign w:val="center"/>
          </w:tcPr>
          <w:p w14:paraId="3A160A27" w14:textId="77777777" w:rsidR="00C012FB" w:rsidRPr="005E6B7C" w:rsidRDefault="00C012FB" w:rsidP="00F15EF6">
            <w:pPr>
              <w:tabs>
                <w:tab w:val="left" w:pos="270"/>
                <w:tab w:val="left" w:pos="540"/>
                <w:tab w:val="left" w:pos="9270"/>
              </w:tabs>
              <w:ind w:right="-20"/>
              <w:jc w:val="center"/>
              <w:rPr>
                <w:rFonts w:asciiTheme="majorHAnsi" w:eastAsia="Calibri" w:hAnsiTheme="majorHAnsi" w:cstheme="majorHAnsi"/>
                <w:color w:val="000000" w:themeColor="text1"/>
                <w:sz w:val="18"/>
                <w:szCs w:val="18"/>
                <w:vertAlign w:val="superscript"/>
                <w:lang w:eastAsia="ja-JP"/>
              </w:rPr>
            </w:pPr>
            <w:r w:rsidRPr="005E6B7C">
              <w:rPr>
                <w:rFonts w:asciiTheme="majorHAnsi" w:eastAsia="Calibri" w:hAnsiTheme="majorHAnsi" w:cstheme="majorHAnsi"/>
                <w:color w:val="000000" w:themeColor="text1"/>
                <w:sz w:val="18"/>
                <w:szCs w:val="18"/>
                <w:lang w:eastAsia="ja-JP"/>
              </w:rPr>
              <w:t>61.11 ± 0.58</w:t>
            </w:r>
          </w:p>
        </w:tc>
      </w:tr>
    </w:tbl>
    <w:p w14:paraId="0C66F440"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4B4E788"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0B2333A9" w14:textId="77777777" w:rsidR="00C012FB" w:rsidRPr="005E6B7C" w:rsidRDefault="00C012FB" w:rsidP="00C012FB">
      <w:pPr>
        <w:tabs>
          <w:tab w:val="left" w:pos="270"/>
          <w:tab w:val="left" w:pos="540"/>
          <w:tab w:val="left" w:pos="9270"/>
        </w:tabs>
        <w:spacing w:line="244" w:lineRule="exact"/>
        <w:ind w:firstLine="284"/>
        <w:jc w:val="both"/>
        <w:rPr>
          <w:rFonts w:asciiTheme="majorHAnsi" w:eastAsia="Calibri"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inhibitory </w:t>
      </w:r>
      <w:r w:rsidRPr="005E6B7C">
        <w:rPr>
          <w:rFonts w:asciiTheme="majorHAnsi" w:eastAsia="Calibri" w:hAnsiTheme="majorHAnsi" w:cstheme="majorHAnsi"/>
          <w:color w:val="000000" w:themeColor="text1"/>
          <w:sz w:val="22"/>
          <w:szCs w:val="22"/>
          <w:lang w:val="vi-VN" w:eastAsia="ja-JP"/>
        </w:rPr>
        <w:t>activity</w:t>
      </w:r>
      <w:r w:rsidRPr="005E6B7C">
        <w:rPr>
          <w:rFonts w:asciiTheme="majorHAnsi" w:eastAsia="Calibri" w:hAnsiTheme="majorHAnsi" w:cstheme="majorHAnsi"/>
          <w:color w:val="000000" w:themeColor="text1"/>
          <w:sz w:val="22"/>
          <w:szCs w:val="22"/>
          <w:lang w:eastAsia="ja-JP"/>
        </w:rPr>
        <w:t xml:space="preserve"> of the </w:t>
      </w:r>
      <w:r w:rsidRPr="005E6B7C">
        <w:rPr>
          <w:rFonts w:asciiTheme="majorHAnsi" w:eastAsia="Calibri" w:hAnsiTheme="majorHAnsi" w:cstheme="majorHAnsi"/>
          <w:i/>
          <w:color w:val="000000" w:themeColor="text1"/>
          <w:sz w:val="22"/>
          <w:szCs w:val="22"/>
          <w:lang w:eastAsia="ja-JP"/>
        </w:rPr>
        <w:t>H. tiliaceus</w:t>
      </w:r>
      <w:r w:rsidRPr="005E6B7C">
        <w:rPr>
          <w:rFonts w:asciiTheme="majorHAnsi" w:eastAsia="Calibri" w:hAnsiTheme="majorHAnsi" w:cstheme="majorHAnsi"/>
          <w:color w:val="000000" w:themeColor="text1"/>
          <w:sz w:val="22"/>
          <w:szCs w:val="22"/>
          <w:lang w:eastAsia="ja-JP"/>
        </w:rPr>
        <w:t xml:space="preserve"> ethanol extract (IC</w:t>
      </w:r>
      <w:r w:rsidRPr="005E6B7C">
        <w:rPr>
          <w:rFonts w:asciiTheme="majorHAnsi" w:eastAsia="Calibri" w:hAnsiTheme="majorHAnsi" w:cstheme="majorHAnsi"/>
          <w:color w:val="000000" w:themeColor="text1"/>
          <w:sz w:val="22"/>
          <w:szCs w:val="22"/>
          <w:vertAlign w:val="subscript"/>
          <w:lang w:eastAsia="ja-JP"/>
        </w:rPr>
        <w:t>50</w:t>
      </w:r>
      <w:r w:rsidRPr="005E6B7C">
        <w:rPr>
          <w:rFonts w:asciiTheme="majorHAnsi" w:eastAsia="Calibri" w:hAnsiTheme="majorHAnsi" w:cstheme="majorHAnsi"/>
          <w:color w:val="000000" w:themeColor="text1"/>
          <w:sz w:val="22"/>
          <w:szCs w:val="22"/>
          <w:lang w:eastAsia="ja-JP"/>
        </w:rPr>
        <w:t xml:space="preserve"> of 2.69 μg/mL) was superior to that of the aqueous extract (IC</w:t>
      </w:r>
      <w:r w:rsidRPr="005E6B7C">
        <w:rPr>
          <w:rFonts w:asciiTheme="majorHAnsi" w:eastAsia="Calibri" w:hAnsiTheme="majorHAnsi" w:cstheme="majorHAnsi"/>
          <w:color w:val="000000" w:themeColor="text1"/>
          <w:sz w:val="22"/>
          <w:szCs w:val="22"/>
          <w:vertAlign w:val="subscript"/>
          <w:lang w:eastAsia="ja-JP"/>
        </w:rPr>
        <w:t>50</w:t>
      </w:r>
      <w:r w:rsidRPr="005E6B7C">
        <w:rPr>
          <w:rFonts w:asciiTheme="majorHAnsi" w:eastAsia="Calibri" w:hAnsiTheme="majorHAnsi" w:cstheme="majorHAnsi"/>
          <w:color w:val="000000" w:themeColor="text1"/>
          <w:sz w:val="22"/>
          <w:szCs w:val="22"/>
          <w:lang w:eastAsia="ja-JP"/>
        </w:rPr>
        <w:t xml:space="preserve"> of 7.71 μg/mL). Notably, both </w:t>
      </w:r>
      <w:r w:rsidRPr="005E6B7C">
        <w:rPr>
          <w:rFonts w:asciiTheme="majorHAnsi" w:eastAsia="Calibri" w:hAnsiTheme="majorHAnsi" w:cstheme="majorHAnsi"/>
          <w:i/>
          <w:color w:val="000000" w:themeColor="text1"/>
          <w:sz w:val="22"/>
          <w:szCs w:val="22"/>
          <w:lang w:eastAsia="ja-JP"/>
        </w:rPr>
        <w:t>H. tiliaceus</w:t>
      </w:r>
      <w:r w:rsidRPr="005E6B7C">
        <w:rPr>
          <w:rFonts w:asciiTheme="majorHAnsi" w:eastAsia="Calibri" w:hAnsiTheme="majorHAnsi" w:cstheme="majorHAnsi"/>
          <w:color w:val="000000" w:themeColor="text1"/>
          <w:sz w:val="22"/>
          <w:szCs w:val="22"/>
          <w:lang w:eastAsia="ja-JP"/>
        </w:rPr>
        <w:t xml:space="preserve"> leaf extracts demonstrated IC</w:t>
      </w:r>
      <w:r w:rsidRPr="005E6B7C">
        <w:rPr>
          <w:rFonts w:asciiTheme="majorHAnsi" w:eastAsia="Calibri" w:hAnsiTheme="majorHAnsi" w:cstheme="majorHAnsi"/>
          <w:color w:val="000000" w:themeColor="text1"/>
          <w:sz w:val="22"/>
          <w:szCs w:val="22"/>
          <w:vertAlign w:val="subscript"/>
          <w:lang w:eastAsia="ja-JP"/>
        </w:rPr>
        <w:t xml:space="preserve">50 </w:t>
      </w:r>
      <w:r w:rsidRPr="005E6B7C">
        <w:rPr>
          <w:rFonts w:asciiTheme="majorHAnsi" w:eastAsia="Calibri" w:hAnsiTheme="majorHAnsi" w:cstheme="majorHAnsi"/>
          <w:color w:val="000000" w:themeColor="text1"/>
          <w:sz w:val="22"/>
          <w:szCs w:val="22"/>
          <w:lang w:eastAsia="ja-JP"/>
        </w:rPr>
        <w:t>values significantly lower than that of the positive control, acarbose (IC</w:t>
      </w:r>
      <w:r w:rsidRPr="005E6B7C">
        <w:rPr>
          <w:rFonts w:asciiTheme="majorHAnsi" w:eastAsia="Calibri" w:hAnsiTheme="majorHAnsi" w:cstheme="majorHAnsi"/>
          <w:color w:val="000000" w:themeColor="text1"/>
          <w:sz w:val="22"/>
          <w:szCs w:val="22"/>
          <w:vertAlign w:val="subscript"/>
          <w:lang w:eastAsia="ja-JP"/>
        </w:rPr>
        <w:t>50</w:t>
      </w:r>
      <w:r w:rsidRPr="005E6B7C">
        <w:rPr>
          <w:rFonts w:asciiTheme="majorHAnsi" w:eastAsia="Calibri" w:hAnsiTheme="majorHAnsi" w:cstheme="majorHAnsi"/>
          <w:color w:val="000000" w:themeColor="text1"/>
          <w:sz w:val="22"/>
          <w:szCs w:val="22"/>
          <w:lang w:eastAsia="ja-JP"/>
        </w:rPr>
        <w:t xml:space="preserve"> of 61.11 μg/mL).</w:t>
      </w:r>
    </w:p>
    <w:p w14:paraId="60819968" w14:textId="77777777" w:rsidR="00C012FB" w:rsidRPr="005E6B7C" w:rsidRDefault="00C012FB" w:rsidP="00C012FB">
      <w:pPr>
        <w:tabs>
          <w:tab w:val="left" w:pos="270"/>
          <w:tab w:val="left" w:pos="540"/>
          <w:tab w:val="left" w:pos="9270"/>
        </w:tabs>
        <w:spacing w:line="244" w:lineRule="exact"/>
        <w:ind w:firstLine="284"/>
        <w:jc w:val="both"/>
        <w:rPr>
          <w:rFonts w:asciiTheme="majorHAnsi" w:eastAsia="Yu Mincho" w:hAnsiTheme="majorHAnsi" w:cstheme="majorHAnsi"/>
          <w:i/>
          <w:iCs/>
          <w:color w:val="000000" w:themeColor="text1"/>
          <w:sz w:val="22"/>
          <w:szCs w:val="22"/>
          <w:lang w:val="de-DE" w:eastAsia="ja-JP"/>
        </w:rPr>
      </w:pPr>
      <w:r w:rsidRPr="005E6B7C">
        <w:rPr>
          <w:rFonts w:asciiTheme="majorHAnsi" w:eastAsia="Yu Mincho" w:hAnsiTheme="majorHAnsi" w:cstheme="majorHAnsi"/>
          <w:i/>
          <w:iCs/>
          <w:color w:val="000000" w:themeColor="text1"/>
          <w:sz w:val="22"/>
          <w:szCs w:val="22"/>
          <w:lang w:val="de-DE" w:eastAsia="ja-JP"/>
        </w:rPr>
        <w:t>3.4. Antihyperglycemic effect of H. tiliaceus leaf 45% ethanol extract</w:t>
      </w:r>
    </w:p>
    <w:p w14:paraId="66E721C4" w14:textId="77777777" w:rsidR="00C012FB" w:rsidRPr="005E6B7C" w:rsidRDefault="00C012FB" w:rsidP="00C012FB">
      <w:pPr>
        <w:tabs>
          <w:tab w:val="left" w:pos="270"/>
          <w:tab w:val="left" w:pos="540"/>
          <w:tab w:val="left" w:pos="9270"/>
        </w:tabs>
        <w:spacing w:line="244" w:lineRule="exact"/>
        <w:ind w:firstLine="284"/>
        <w:jc w:val="both"/>
        <w:rPr>
          <w:rFonts w:asciiTheme="majorHAnsi" w:eastAsia="Calibri" w:hAnsiTheme="majorHAnsi" w:cstheme="majorHAnsi"/>
          <w:color w:val="000000" w:themeColor="text1"/>
          <w:spacing w:val="4"/>
          <w:sz w:val="22"/>
          <w:szCs w:val="22"/>
          <w:lang w:eastAsia="ja-JP"/>
        </w:rPr>
      </w:pPr>
      <w:r w:rsidRPr="005E6B7C">
        <w:rPr>
          <w:rFonts w:asciiTheme="majorHAnsi" w:eastAsia="Calibri" w:hAnsiTheme="majorHAnsi" w:cstheme="majorHAnsi"/>
          <w:color w:val="000000" w:themeColor="text1"/>
          <w:sz w:val="22"/>
          <w:szCs w:val="22"/>
          <w:lang w:eastAsia="ja-JP"/>
        </w:rPr>
        <w:t xml:space="preserve">The </w:t>
      </w:r>
      <w:r w:rsidRPr="005E6B7C">
        <w:rPr>
          <w:rFonts w:asciiTheme="majorHAnsi" w:eastAsia="Calibri" w:hAnsiTheme="majorHAnsi" w:cstheme="majorHAnsi"/>
          <w:i/>
          <w:color w:val="000000" w:themeColor="text1"/>
          <w:sz w:val="22"/>
          <w:szCs w:val="22"/>
          <w:lang w:eastAsia="ja-JP"/>
        </w:rPr>
        <w:t>H. tiliaceus</w:t>
      </w:r>
      <w:r w:rsidRPr="005E6B7C">
        <w:rPr>
          <w:rFonts w:asciiTheme="majorHAnsi" w:eastAsia="Calibri" w:hAnsiTheme="majorHAnsi" w:cstheme="majorHAnsi"/>
          <w:color w:val="000000" w:themeColor="text1"/>
          <w:sz w:val="22"/>
          <w:szCs w:val="22"/>
          <w:lang w:eastAsia="ja-JP"/>
        </w:rPr>
        <w:t xml:space="preserve"> ethanol extract was selected for the </w:t>
      </w:r>
      <w:r w:rsidRPr="005E6B7C">
        <w:rPr>
          <w:rFonts w:asciiTheme="majorHAnsi" w:eastAsia="Calibri" w:hAnsiTheme="majorHAnsi" w:cstheme="majorHAnsi"/>
          <w:i/>
          <w:iCs/>
          <w:color w:val="000000" w:themeColor="text1"/>
          <w:sz w:val="22"/>
          <w:szCs w:val="22"/>
          <w:lang w:eastAsia="ja-JP"/>
        </w:rPr>
        <w:t>in vivo</w:t>
      </w:r>
      <w:r w:rsidRPr="005E6B7C">
        <w:rPr>
          <w:rFonts w:asciiTheme="majorHAnsi" w:eastAsia="Calibri" w:hAnsiTheme="majorHAnsi" w:cstheme="majorHAnsi"/>
          <w:color w:val="000000" w:themeColor="text1"/>
          <w:sz w:val="22"/>
          <w:szCs w:val="22"/>
          <w:lang w:eastAsia="ja-JP"/>
        </w:rPr>
        <w:t xml:space="preserve"> study in hyperglycemic mice due to its higher total phenolic and flavonoid </w:t>
      </w:r>
      <w:r w:rsidRPr="005E6B7C">
        <w:rPr>
          <w:rFonts w:asciiTheme="majorHAnsi" w:eastAsia="Calibri" w:hAnsiTheme="majorHAnsi" w:cstheme="majorHAnsi"/>
          <w:color w:val="000000" w:themeColor="text1"/>
          <w:spacing w:val="4"/>
          <w:sz w:val="22"/>
          <w:szCs w:val="22"/>
          <w:lang w:eastAsia="ja-JP"/>
        </w:rPr>
        <w:t xml:space="preserve">contents, as </w:t>
      </w:r>
      <w:r w:rsidRPr="005E6B7C">
        <w:rPr>
          <w:rFonts w:asciiTheme="majorHAnsi" w:eastAsia="Calibri" w:hAnsiTheme="majorHAnsi" w:cstheme="majorHAnsi"/>
          <w:color w:val="000000" w:themeColor="text1"/>
          <w:spacing w:val="4"/>
          <w:sz w:val="22"/>
          <w:szCs w:val="22"/>
          <w:lang w:eastAsia="ja-JP"/>
        </w:rPr>
        <w:t xml:space="preserve">well as its superior antioxidant and </w:t>
      </w:r>
      <w:r w:rsidRPr="005E6B7C">
        <w:rPr>
          <w:rFonts w:asciiTheme="majorHAnsi" w:eastAsia="Yu Mincho" w:hAnsiTheme="majorHAnsi" w:cstheme="majorHAnsi"/>
          <w:i/>
          <w:color w:val="000000" w:themeColor="text1"/>
          <w:spacing w:val="4"/>
          <w:sz w:val="22"/>
          <w:szCs w:val="22"/>
          <w:lang w:eastAsia="ja-JP"/>
        </w:rPr>
        <w:t>α</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Calibri" w:hAnsiTheme="majorHAnsi" w:cstheme="majorHAnsi"/>
          <w:color w:val="000000" w:themeColor="text1"/>
          <w:spacing w:val="4"/>
          <w:sz w:val="22"/>
          <w:szCs w:val="22"/>
          <w:lang w:eastAsia="ja-JP"/>
        </w:rPr>
        <w:t xml:space="preserve">glucosidase inhibitory activities compared to the aqueous extract. The experimental doses were determined based on the common traditional human dose (10–20 g of crude material per day). By applying the dose conversion factor between humans and mice, this range is equivalent to 2.5–5 g of crude material per kg of mouse body weight. Given the extraction yield, these values correspond to the administered test doses of 0.67 and 1.33 g/kg of the </w:t>
      </w:r>
      <w:r w:rsidRPr="005E6B7C">
        <w:rPr>
          <w:rFonts w:asciiTheme="majorHAnsi" w:eastAsia="Calibri" w:hAnsiTheme="majorHAnsi" w:cstheme="majorHAnsi"/>
          <w:i/>
          <w:color w:val="000000" w:themeColor="text1"/>
          <w:spacing w:val="4"/>
          <w:sz w:val="22"/>
          <w:szCs w:val="22"/>
          <w:lang w:eastAsia="ja-JP"/>
        </w:rPr>
        <w:t>H. tiliaceus</w:t>
      </w:r>
      <w:r w:rsidRPr="005E6B7C">
        <w:rPr>
          <w:rFonts w:asciiTheme="majorHAnsi" w:eastAsia="Calibri" w:hAnsiTheme="majorHAnsi" w:cstheme="majorHAnsi"/>
          <w:color w:val="000000" w:themeColor="text1"/>
          <w:spacing w:val="4"/>
          <w:sz w:val="22"/>
          <w:szCs w:val="22"/>
          <w:lang w:eastAsia="ja-JP"/>
        </w:rPr>
        <w:t xml:space="preserve"> ethanol extract.</w:t>
      </w:r>
    </w:p>
    <w:p w14:paraId="4C07472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pacing w:val="4"/>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p>
    <w:p w14:paraId="4E40782E" w14:textId="77777777" w:rsidR="00C012FB" w:rsidRPr="005E6B7C" w:rsidRDefault="00C012FB" w:rsidP="00C012FB">
      <w:pPr>
        <w:tabs>
          <w:tab w:val="left" w:pos="270"/>
          <w:tab w:val="left" w:pos="540"/>
          <w:tab w:val="left" w:pos="9270"/>
        </w:tabs>
        <w:spacing w:after="120"/>
        <w:ind w:right="-20"/>
        <w:jc w:val="center"/>
        <w:rPr>
          <w:rFonts w:asciiTheme="majorHAnsi" w:eastAsia="Calibri" w:hAnsiTheme="majorHAnsi" w:cstheme="majorHAnsi"/>
          <w:iCs/>
          <w:color w:val="000000" w:themeColor="text1"/>
          <w:sz w:val="18"/>
          <w:szCs w:val="18"/>
          <w:lang w:val="de-DE" w:eastAsia="ja-JP"/>
        </w:rPr>
      </w:pPr>
      <w:r w:rsidRPr="005E6B7C">
        <w:rPr>
          <w:rFonts w:asciiTheme="majorHAnsi" w:eastAsia="Calibri" w:hAnsiTheme="majorHAnsi" w:cstheme="majorHAnsi"/>
          <w:b/>
          <w:iCs/>
          <w:color w:val="000000" w:themeColor="text1"/>
          <w:sz w:val="18"/>
          <w:szCs w:val="18"/>
          <w:lang w:val="de-DE" w:eastAsia="ja-JP"/>
        </w:rPr>
        <w:t xml:space="preserve">Table 4. </w:t>
      </w:r>
      <w:r w:rsidRPr="005E6B7C">
        <w:rPr>
          <w:rFonts w:asciiTheme="majorHAnsi" w:eastAsia="Calibri" w:hAnsiTheme="majorHAnsi" w:cstheme="majorHAnsi"/>
          <w:iCs/>
          <w:color w:val="000000" w:themeColor="text1"/>
          <w:sz w:val="18"/>
          <w:szCs w:val="18"/>
          <w:lang w:val="de-DE" w:eastAsia="ja-JP"/>
        </w:rPr>
        <w:t xml:space="preserve">Effect of </w:t>
      </w:r>
      <w:r w:rsidRPr="005E6B7C">
        <w:rPr>
          <w:rFonts w:asciiTheme="majorHAnsi" w:eastAsia="Yu Mincho" w:hAnsiTheme="majorHAnsi" w:cstheme="majorHAnsi"/>
          <w:bCs/>
          <w:i/>
          <w:color w:val="000000" w:themeColor="text1"/>
          <w:sz w:val="18"/>
          <w:szCs w:val="18"/>
          <w:lang w:val="de-DE" w:eastAsia="ja-JP"/>
        </w:rPr>
        <w:t>H. tiliaceus</w:t>
      </w:r>
      <w:r w:rsidRPr="005E6B7C">
        <w:rPr>
          <w:rFonts w:asciiTheme="majorHAnsi" w:eastAsia="Yu Mincho" w:hAnsiTheme="majorHAnsi" w:cstheme="majorHAnsi"/>
          <w:bCs/>
          <w:color w:val="000000" w:themeColor="text1"/>
          <w:sz w:val="18"/>
          <w:szCs w:val="18"/>
          <w:lang w:val="de-DE" w:eastAsia="ja-JP"/>
        </w:rPr>
        <w:t xml:space="preserve"> leaf 45% ethanol extract (EE) </w:t>
      </w:r>
      <w:r w:rsidRPr="005E6B7C">
        <w:rPr>
          <w:rFonts w:asciiTheme="majorHAnsi" w:eastAsia="Yu Mincho" w:hAnsiTheme="majorHAnsi" w:cstheme="majorHAnsi"/>
          <w:bCs/>
          <w:color w:val="000000" w:themeColor="text1"/>
          <w:sz w:val="18"/>
          <w:szCs w:val="18"/>
          <w:lang w:val="de-DE" w:eastAsia="ja-JP"/>
        </w:rPr>
        <w:br/>
      </w:r>
      <w:r w:rsidRPr="005E6B7C">
        <w:rPr>
          <w:rFonts w:asciiTheme="majorHAnsi" w:eastAsia="Calibri" w:hAnsiTheme="majorHAnsi" w:cstheme="majorHAnsi"/>
          <w:iCs/>
          <w:color w:val="000000" w:themeColor="text1"/>
          <w:sz w:val="18"/>
          <w:szCs w:val="18"/>
          <w:lang w:val="de-DE" w:eastAsia="ja-JP"/>
        </w:rPr>
        <w:t>on fasting plasma glucose in normoglycemic (non-STZ) and hyperglycemic (STZ) mice</w:t>
      </w:r>
    </w:p>
    <w:tbl>
      <w:tblPr>
        <w:tblStyle w:val="TableGrid14"/>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3029"/>
        <w:gridCol w:w="2273"/>
        <w:gridCol w:w="2539"/>
      </w:tblGrid>
      <w:tr w:rsidR="00C012FB" w:rsidRPr="005E6B7C" w14:paraId="6AA54268" w14:textId="77777777" w:rsidTr="00F15EF6">
        <w:tc>
          <w:tcPr>
            <w:tcW w:w="1152" w:type="dxa"/>
            <w:vMerge w:val="restart"/>
            <w:tcBorders>
              <w:top w:val="dotted" w:sz="4" w:space="0" w:color="auto"/>
              <w:left w:val="dotted" w:sz="4" w:space="0" w:color="auto"/>
              <w:bottom w:val="dotted" w:sz="4" w:space="0" w:color="auto"/>
              <w:right w:val="dotted" w:sz="4" w:space="0" w:color="auto"/>
            </w:tcBorders>
            <w:vAlign w:val="center"/>
          </w:tcPr>
          <w:p w14:paraId="1A4F699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vMerge w:val="restart"/>
            <w:tcBorders>
              <w:top w:val="dotted" w:sz="4" w:space="0" w:color="auto"/>
              <w:left w:val="dotted" w:sz="4" w:space="0" w:color="auto"/>
              <w:bottom w:val="dotted" w:sz="4" w:space="0" w:color="auto"/>
              <w:right w:val="dotted" w:sz="4" w:space="0" w:color="auto"/>
            </w:tcBorders>
            <w:vAlign w:val="center"/>
          </w:tcPr>
          <w:p w14:paraId="7392500B"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t>Groups</w:t>
            </w:r>
          </w:p>
          <w:p w14:paraId="4F15AAC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lastRenderedPageBreak/>
              <w:t>(n = 8)</w:t>
            </w:r>
          </w:p>
        </w:tc>
        <w:tc>
          <w:tcPr>
            <w:tcW w:w="4503" w:type="dxa"/>
            <w:gridSpan w:val="2"/>
            <w:tcBorders>
              <w:top w:val="dotted" w:sz="4" w:space="0" w:color="auto"/>
              <w:left w:val="dotted" w:sz="4" w:space="0" w:color="auto"/>
              <w:bottom w:val="dotted" w:sz="4" w:space="0" w:color="auto"/>
              <w:right w:val="dotted" w:sz="4" w:space="0" w:color="auto"/>
            </w:tcBorders>
            <w:vAlign w:val="center"/>
          </w:tcPr>
          <w:p w14:paraId="0D46A7E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lastRenderedPageBreak/>
              <w:t>Fasting plasma glucose (mg/dL)</w:t>
            </w:r>
          </w:p>
        </w:tc>
      </w:tr>
      <w:tr w:rsidR="00C012FB" w:rsidRPr="005E6B7C" w14:paraId="3837F06F"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60F16DAA"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vMerge/>
            <w:tcBorders>
              <w:top w:val="dotted" w:sz="4" w:space="0" w:color="auto"/>
              <w:left w:val="dotted" w:sz="4" w:space="0" w:color="auto"/>
              <w:bottom w:val="dotted" w:sz="4" w:space="0" w:color="auto"/>
              <w:right w:val="dotted" w:sz="4" w:space="0" w:color="auto"/>
            </w:tcBorders>
            <w:vAlign w:val="center"/>
          </w:tcPr>
          <w:p w14:paraId="29090374"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127" w:type="dxa"/>
            <w:tcBorders>
              <w:top w:val="dotted" w:sz="4" w:space="0" w:color="auto"/>
              <w:left w:val="dotted" w:sz="4" w:space="0" w:color="auto"/>
              <w:bottom w:val="dotted" w:sz="4" w:space="0" w:color="auto"/>
              <w:right w:val="dotted" w:sz="4" w:space="0" w:color="auto"/>
            </w:tcBorders>
            <w:vAlign w:val="center"/>
          </w:tcPr>
          <w:p w14:paraId="59D633C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val="de-DE" w:eastAsia="ja-JP"/>
              </w:rPr>
            </w:pPr>
            <w:r w:rsidRPr="005E6B7C">
              <w:rPr>
                <w:rFonts w:asciiTheme="majorHAnsi" w:eastAsia="Yu Mincho" w:hAnsiTheme="majorHAnsi" w:cstheme="majorHAnsi"/>
                <w:color w:val="000000" w:themeColor="text1"/>
                <w:sz w:val="18"/>
                <w:szCs w:val="18"/>
                <w:lang w:val="de-DE" w:eastAsia="ja-JP"/>
              </w:rPr>
              <w:t>Before treatment</w:t>
            </w:r>
          </w:p>
        </w:tc>
        <w:tc>
          <w:tcPr>
            <w:tcW w:w="2376" w:type="dxa"/>
            <w:tcBorders>
              <w:top w:val="dotted" w:sz="4" w:space="0" w:color="auto"/>
              <w:left w:val="dotted" w:sz="4" w:space="0" w:color="auto"/>
              <w:bottom w:val="dotted" w:sz="4" w:space="0" w:color="auto"/>
              <w:right w:val="dotted" w:sz="4" w:space="0" w:color="auto"/>
            </w:tcBorders>
            <w:vAlign w:val="center"/>
          </w:tcPr>
          <w:p w14:paraId="098E6EA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val="de-DE" w:eastAsia="ja-JP"/>
              </w:rPr>
            </w:pPr>
            <w:r w:rsidRPr="005E6B7C">
              <w:rPr>
                <w:rFonts w:asciiTheme="majorHAnsi" w:eastAsia="Yu Mincho" w:hAnsiTheme="majorHAnsi" w:cstheme="majorHAnsi"/>
                <w:color w:val="000000" w:themeColor="text1"/>
                <w:sz w:val="18"/>
                <w:szCs w:val="18"/>
                <w:lang w:val="de-DE" w:eastAsia="ja-JP"/>
              </w:rPr>
              <w:t>After 14-day administration</w:t>
            </w:r>
          </w:p>
        </w:tc>
      </w:tr>
      <w:tr w:rsidR="00C012FB" w:rsidRPr="005E6B7C" w14:paraId="132770FD" w14:textId="77777777" w:rsidTr="00F15EF6">
        <w:tc>
          <w:tcPr>
            <w:tcW w:w="1152" w:type="dxa"/>
            <w:vMerge w:val="restart"/>
            <w:tcBorders>
              <w:top w:val="dotted" w:sz="4" w:space="0" w:color="auto"/>
              <w:left w:val="dotted" w:sz="4" w:space="0" w:color="auto"/>
              <w:bottom w:val="dotted" w:sz="4" w:space="0" w:color="auto"/>
              <w:right w:val="dotted" w:sz="4" w:space="0" w:color="auto"/>
            </w:tcBorders>
            <w:vAlign w:val="center"/>
          </w:tcPr>
          <w:p w14:paraId="550F9E2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t>STZ (-)</w:t>
            </w:r>
          </w:p>
        </w:tc>
        <w:tc>
          <w:tcPr>
            <w:tcW w:w="2835" w:type="dxa"/>
            <w:tcBorders>
              <w:top w:val="dotted" w:sz="4" w:space="0" w:color="auto"/>
              <w:left w:val="dotted" w:sz="4" w:space="0" w:color="auto"/>
              <w:bottom w:val="dotted" w:sz="4" w:space="0" w:color="auto"/>
              <w:right w:val="dotted" w:sz="4" w:space="0" w:color="auto"/>
            </w:tcBorders>
            <w:vAlign w:val="center"/>
          </w:tcPr>
          <w:p w14:paraId="5333111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Normoglycemic control</w:t>
            </w:r>
          </w:p>
        </w:tc>
        <w:tc>
          <w:tcPr>
            <w:tcW w:w="2127" w:type="dxa"/>
            <w:tcBorders>
              <w:top w:val="dotted" w:sz="4" w:space="0" w:color="auto"/>
              <w:left w:val="dotted" w:sz="4" w:space="0" w:color="auto"/>
              <w:bottom w:val="dotted" w:sz="4" w:space="0" w:color="auto"/>
              <w:right w:val="dotted" w:sz="4" w:space="0" w:color="auto"/>
            </w:tcBorders>
            <w:vAlign w:val="center"/>
          </w:tcPr>
          <w:p w14:paraId="6924624B"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90.00 ± 2.78</w:t>
            </w:r>
          </w:p>
        </w:tc>
        <w:tc>
          <w:tcPr>
            <w:tcW w:w="2376" w:type="dxa"/>
            <w:tcBorders>
              <w:top w:val="dotted" w:sz="4" w:space="0" w:color="auto"/>
              <w:left w:val="dotted" w:sz="4" w:space="0" w:color="auto"/>
              <w:bottom w:val="dotted" w:sz="4" w:space="0" w:color="auto"/>
              <w:right w:val="dotted" w:sz="4" w:space="0" w:color="auto"/>
            </w:tcBorders>
            <w:vAlign w:val="center"/>
          </w:tcPr>
          <w:p w14:paraId="33DBD281"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93.50 ± 2.68</w:t>
            </w:r>
          </w:p>
        </w:tc>
      </w:tr>
      <w:tr w:rsidR="00C012FB" w:rsidRPr="005E6B7C" w14:paraId="0F4ACC11"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6B265061"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tcBorders>
              <w:top w:val="dotted" w:sz="4" w:space="0" w:color="auto"/>
              <w:left w:val="dotted" w:sz="4" w:space="0" w:color="auto"/>
              <w:bottom w:val="dotted" w:sz="4" w:space="0" w:color="auto"/>
              <w:right w:val="dotted" w:sz="4" w:space="0" w:color="auto"/>
            </w:tcBorders>
            <w:vAlign w:val="center"/>
          </w:tcPr>
          <w:p w14:paraId="37E69B7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0.67 g/kg</w:t>
            </w:r>
          </w:p>
        </w:tc>
        <w:tc>
          <w:tcPr>
            <w:tcW w:w="2127" w:type="dxa"/>
            <w:tcBorders>
              <w:top w:val="dotted" w:sz="4" w:space="0" w:color="auto"/>
              <w:left w:val="dotted" w:sz="4" w:space="0" w:color="auto"/>
              <w:bottom w:val="dotted" w:sz="4" w:space="0" w:color="auto"/>
              <w:right w:val="dotted" w:sz="4" w:space="0" w:color="auto"/>
            </w:tcBorders>
            <w:vAlign w:val="center"/>
          </w:tcPr>
          <w:p w14:paraId="24E6F262"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86.75 ± 3.21</w:t>
            </w:r>
          </w:p>
        </w:tc>
        <w:tc>
          <w:tcPr>
            <w:tcW w:w="2376" w:type="dxa"/>
            <w:tcBorders>
              <w:top w:val="dotted" w:sz="4" w:space="0" w:color="auto"/>
              <w:left w:val="dotted" w:sz="4" w:space="0" w:color="auto"/>
              <w:bottom w:val="dotted" w:sz="4" w:space="0" w:color="auto"/>
              <w:right w:val="dotted" w:sz="4" w:space="0" w:color="auto"/>
            </w:tcBorders>
            <w:vAlign w:val="center"/>
          </w:tcPr>
          <w:p w14:paraId="4AED5E63"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98.63 ± 1.18</w:t>
            </w:r>
          </w:p>
        </w:tc>
      </w:tr>
      <w:tr w:rsidR="00C012FB" w:rsidRPr="005E6B7C" w14:paraId="56BD32E1"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43836252"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tcBorders>
              <w:top w:val="dotted" w:sz="4" w:space="0" w:color="auto"/>
              <w:left w:val="dotted" w:sz="4" w:space="0" w:color="auto"/>
              <w:bottom w:val="dotted" w:sz="4" w:space="0" w:color="auto"/>
              <w:right w:val="dotted" w:sz="4" w:space="0" w:color="auto"/>
            </w:tcBorders>
            <w:vAlign w:val="center"/>
          </w:tcPr>
          <w:p w14:paraId="225FBBD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1.33 g/kg</w:t>
            </w:r>
          </w:p>
        </w:tc>
        <w:tc>
          <w:tcPr>
            <w:tcW w:w="2127" w:type="dxa"/>
            <w:tcBorders>
              <w:top w:val="dotted" w:sz="4" w:space="0" w:color="auto"/>
              <w:left w:val="dotted" w:sz="4" w:space="0" w:color="auto"/>
              <w:bottom w:val="dotted" w:sz="4" w:space="0" w:color="auto"/>
              <w:right w:val="dotted" w:sz="4" w:space="0" w:color="auto"/>
            </w:tcBorders>
            <w:vAlign w:val="center"/>
          </w:tcPr>
          <w:p w14:paraId="4DB59E43"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87.13 ± 1.67</w:t>
            </w:r>
          </w:p>
        </w:tc>
        <w:tc>
          <w:tcPr>
            <w:tcW w:w="2376" w:type="dxa"/>
            <w:tcBorders>
              <w:top w:val="dotted" w:sz="4" w:space="0" w:color="auto"/>
              <w:left w:val="dotted" w:sz="4" w:space="0" w:color="auto"/>
              <w:bottom w:val="dotted" w:sz="4" w:space="0" w:color="auto"/>
              <w:right w:val="dotted" w:sz="4" w:space="0" w:color="auto"/>
            </w:tcBorders>
            <w:vAlign w:val="center"/>
          </w:tcPr>
          <w:p w14:paraId="4B855FE8"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98.75 ± 2.17</w:t>
            </w:r>
          </w:p>
        </w:tc>
      </w:tr>
      <w:tr w:rsidR="00C012FB" w:rsidRPr="005E6B7C" w14:paraId="5BFBDD00" w14:textId="77777777" w:rsidTr="00F15EF6">
        <w:tc>
          <w:tcPr>
            <w:tcW w:w="1152" w:type="dxa"/>
            <w:vMerge w:val="restart"/>
            <w:tcBorders>
              <w:top w:val="dotted" w:sz="4" w:space="0" w:color="auto"/>
              <w:left w:val="dotted" w:sz="4" w:space="0" w:color="auto"/>
              <w:bottom w:val="dotted" w:sz="4" w:space="0" w:color="auto"/>
              <w:right w:val="dotted" w:sz="4" w:space="0" w:color="auto"/>
            </w:tcBorders>
            <w:vAlign w:val="center"/>
          </w:tcPr>
          <w:p w14:paraId="3355B54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t>STZ (+)</w:t>
            </w:r>
          </w:p>
        </w:tc>
        <w:tc>
          <w:tcPr>
            <w:tcW w:w="2835" w:type="dxa"/>
            <w:tcBorders>
              <w:top w:val="dotted" w:sz="4" w:space="0" w:color="auto"/>
              <w:left w:val="dotted" w:sz="4" w:space="0" w:color="auto"/>
              <w:bottom w:val="dotted" w:sz="4" w:space="0" w:color="auto"/>
              <w:right w:val="dotted" w:sz="4" w:space="0" w:color="auto"/>
            </w:tcBorders>
            <w:vAlign w:val="center"/>
          </w:tcPr>
          <w:p w14:paraId="7A18794C"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Hyperglycemic control</w:t>
            </w:r>
          </w:p>
        </w:tc>
        <w:tc>
          <w:tcPr>
            <w:tcW w:w="2127" w:type="dxa"/>
            <w:tcBorders>
              <w:top w:val="dotted" w:sz="4" w:space="0" w:color="auto"/>
              <w:left w:val="dotted" w:sz="4" w:space="0" w:color="auto"/>
              <w:bottom w:val="dotted" w:sz="4" w:space="0" w:color="auto"/>
              <w:right w:val="dotted" w:sz="4" w:space="0" w:color="auto"/>
            </w:tcBorders>
            <w:vAlign w:val="center"/>
          </w:tcPr>
          <w:p w14:paraId="17F25944"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177.50±14.20</w:t>
            </w:r>
            <w:r w:rsidRPr="005E6B7C">
              <w:rPr>
                <w:rFonts w:asciiTheme="majorHAnsi" w:eastAsia="Yu Mincho" w:hAnsiTheme="majorHAnsi" w:cstheme="majorHAnsi"/>
                <w:color w:val="000000" w:themeColor="text1"/>
                <w:sz w:val="18"/>
                <w:szCs w:val="18"/>
                <w:vertAlign w:val="superscript"/>
                <w:lang w:eastAsia="ja-JP"/>
              </w:rPr>
              <w:t>*</w:t>
            </w:r>
          </w:p>
          <w:p w14:paraId="47573488"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97%)</w:t>
            </w:r>
          </w:p>
        </w:tc>
        <w:tc>
          <w:tcPr>
            <w:tcW w:w="2376" w:type="dxa"/>
            <w:tcBorders>
              <w:top w:val="dotted" w:sz="4" w:space="0" w:color="auto"/>
              <w:left w:val="dotted" w:sz="4" w:space="0" w:color="auto"/>
              <w:bottom w:val="dotted" w:sz="4" w:space="0" w:color="auto"/>
              <w:right w:val="dotted" w:sz="4" w:space="0" w:color="auto"/>
            </w:tcBorders>
            <w:vAlign w:val="center"/>
          </w:tcPr>
          <w:p w14:paraId="7787336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163.50±8.81</w:t>
            </w:r>
            <w:r w:rsidRPr="005E6B7C">
              <w:rPr>
                <w:rFonts w:asciiTheme="majorHAnsi" w:eastAsia="Yu Mincho" w:hAnsiTheme="majorHAnsi" w:cstheme="majorHAnsi"/>
                <w:color w:val="000000" w:themeColor="text1"/>
                <w:sz w:val="18"/>
                <w:szCs w:val="18"/>
                <w:vertAlign w:val="superscript"/>
                <w:lang w:eastAsia="ja-JP"/>
              </w:rPr>
              <w:t>*</w:t>
            </w:r>
          </w:p>
          <w:p w14:paraId="18CBC2C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75%)</w:t>
            </w:r>
          </w:p>
        </w:tc>
      </w:tr>
      <w:tr w:rsidR="00C012FB" w:rsidRPr="005E6B7C" w14:paraId="0CA646FE"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685A363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tcBorders>
              <w:top w:val="dotted" w:sz="4" w:space="0" w:color="auto"/>
              <w:left w:val="dotted" w:sz="4" w:space="0" w:color="auto"/>
              <w:bottom w:val="dotted" w:sz="4" w:space="0" w:color="auto"/>
              <w:right w:val="dotted" w:sz="4" w:space="0" w:color="auto"/>
            </w:tcBorders>
            <w:vAlign w:val="center"/>
          </w:tcPr>
          <w:p w14:paraId="67DFE248"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0.67 g/kg</w:t>
            </w:r>
          </w:p>
        </w:tc>
        <w:tc>
          <w:tcPr>
            <w:tcW w:w="2127" w:type="dxa"/>
            <w:tcBorders>
              <w:top w:val="dotted" w:sz="4" w:space="0" w:color="auto"/>
              <w:left w:val="dotted" w:sz="4" w:space="0" w:color="auto"/>
              <w:bottom w:val="dotted" w:sz="4" w:space="0" w:color="auto"/>
              <w:right w:val="dotted" w:sz="4" w:space="0" w:color="auto"/>
            </w:tcBorders>
            <w:vAlign w:val="center"/>
          </w:tcPr>
          <w:p w14:paraId="12F8C45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169.75±14.31</w:t>
            </w:r>
            <w:r w:rsidRPr="005E6B7C">
              <w:rPr>
                <w:rFonts w:asciiTheme="majorHAnsi" w:eastAsia="Yu Mincho" w:hAnsiTheme="majorHAnsi" w:cstheme="majorHAnsi"/>
                <w:color w:val="000000" w:themeColor="text1"/>
                <w:sz w:val="18"/>
                <w:szCs w:val="18"/>
                <w:vertAlign w:val="superscript"/>
                <w:lang w:eastAsia="ja-JP"/>
              </w:rPr>
              <w:t>*</w:t>
            </w:r>
          </w:p>
          <w:p w14:paraId="6C920650"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89%)</w:t>
            </w:r>
          </w:p>
        </w:tc>
        <w:tc>
          <w:tcPr>
            <w:tcW w:w="2376" w:type="dxa"/>
            <w:tcBorders>
              <w:top w:val="dotted" w:sz="4" w:space="0" w:color="auto"/>
              <w:left w:val="dotted" w:sz="4" w:space="0" w:color="auto"/>
              <w:bottom w:val="dotted" w:sz="4" w:space="0" w:color="auto"/>
              <w:right w:val="dotted" w:sz="4" w:space="0" w:color="auto"/>
            </w:tcBorders>
            <w:vAlign w:val="center"/>
          </w:tcPr>
          <w:p w14:paraId="390925CC"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137.63±19.44</w:t>
            </w:r>
          </w:p>
          <w:p w14:paraId="2EFBCAF8"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16%)</w:t>
            </w:r>
          </w:p>
        </w:tc>
      </w:tr>
      <w:tr w:rsidR="00C012FB" w:rsidRPr="005E6B7C" w14:paraId="54D40C03"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61FE28E8"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tcBorders>
              <w:top w:val="dotted" w:sz="4" w:space="0" w:color="auto"/>
              <w:left w:val="dotted" w:sz="4" w:space="0" w:color="auto"/>
              <w:bottom w:val="dotted" w:sz="4" w:space="0" w:color="auto"/>
              <w:right w:val="dotted" w:sz="4" w:space="0" w:color="auto"/>
            </w:tcBorders>
            <w:vAlign w:val="center"/>
          </w:tcPr>
          <w:p w14:paraId="6E7433A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1.33 g/kg</w:t>
            </w:r>
          </w:p>
        </w:tc>
        <w:tc>
          <w:tcPr>
            <w:tcW w:w="2127" w:type="dxa"/>
            <w:tcBorders>
              <w:top w:val="dotted" w:sz="4" w:space="0" w:color="auto"/>
              <w:left w:val="dotted" w:sz="4" w:space="0" w:color="auto"/>
              <w:bottom w:val="dotted" w:sz="4" w:space="0" w:color="auto"/>
              <w:right w:val="dotted" w:sz="4" w:space="0" w:color="auto"/>
            </w:tcBorders>
            <w:vAlign w:val="center"/>
          </w:tcPr>
          <w:p w14:paraId="7AEF8D8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165.63±16.79</w:t>
            </w:r>
            <w:r w:rsidRPr="005E6B7C">
              <w:rPr>
                <w:rFonts w:asciiTheme="majorHAnsi" w:eastAsia="Yu Mincho" w:hAnsiTheme="majorHAnsi" w:cstheme="majorHAnsi"/>
                <w:color w:val="000000" w:themeColor="text1"/>
                <w:sz w:val="18"/>
                <w:szCs w:val="18"/>
                <w:vertAlign w:val="superscript"/>
                <w:lang w:eastAsia="ja-JP"/>
              </w:rPr>
              <w:t>*</w:t>
            </w:r>
          </w:p>
          <w:p w14:paraId="53153C7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84%)</w:t>
            </w:r>
          </w:p>
        </w:tc>
        <w:tc>
          <w:tcPr>
            <w:tcW w:w="2376" w:type="dxa"/>
            <w:tcBorders>
              <w:top w:val="dotted" w:sz="4" w:space="0" w:color="auto"/>
              <w:left w:val="dotted" w:sz="4" w:space="0" w:color="auto"/>
              <w:bottom w:val="dotted" w:sz="4" w:space="0" w:color="auto"/>
              <w:right w:val="dotted" w:sz="4" w:space="0" w:color="auto"/>
            </w:tcBorders>
            <w:vAlign w:val="center"/>
          </w:tcPr>
          <w:p w14:paraId="70BEC6D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120.50±8.52</w:t>
            </w:r>
            <w:r w:rsidRPr="005E6B7C">
              <w:rPr>
                <w:rFonts w:asciiTheme="majorHAnsi" w:eastAsia="Yu Mincho" w:hAnsiTheme="majorHAnsi" w:cstheme="majorHAnsi"/>
                <w:color w:val="000000" w:themeColor="text1"/>
                <w:sz w:val="18"/>
                <w:szCs w:val="18"/>
                <w:vertAlign w:val="superscript"/>
                <w:lang w:eastAsia="ja-JP"/>
              </w:rPr>
              <w:t>#</w:t>
            </w:r>
          </w:p>
          <w:p w14:paraId="61DF768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26%)</w:t>
            </w:r>
          </w:p>
        </w:tc>
      </w:tr>
      <w:tr w:rsidR="00C012FB" w:rsidRPr="005E6B7C" w14:paraId="1736A952" w14:textId="77777777" w:rsidTr="00F15EF6">
        <w:tc>
          <w:tcPr>
            <w:tcW w:w="1152" w:type="dxa"/>
            <w:vMerge/>
            <w:tcBorders>
              <w:top w:val="dotted" w:sz="4" w:space="0" w:color="auto"/>
              <w:left w:val="dotted" w:sz="4" w:space="0" w:color="auto"/>
              <w:bottom w:val="dotted" w:sz="4" w:space="0" w:color="auto"/>
              <w:right w:val="dotted" w:sz="4" w:space="0" w:color="auto"/>
            </w:tcBorders>
            <w:vAlign w:val="center"/>
          </w:tcPr>
          <w:p w14:paraId="65DDB48A"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p>
        </w:tc>
        <w:tc>
          <w:tcPr>
            <w:tcW w:w="2835" w:type="dxa"/>
            <w:tcBorders>
              <w:top w:val="dotted" w:sz="4" w:space="0" w:color="auto"/>
              <w:left w:val="dotted" w:sz="4" w:space="0" w:color="auto"/>
              <w:bottom w:val="dotted" w:sz="4" w:space="0" w:color="auto"/>
              <w:right w:val="dotted" w:sz="4" w:space="0" w:color="auto"/>
            </w:tcBorders>
            <w:vAlign w:val="center"/>
          </w:tcPr>
          <w:p w14:paraId="0564101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Glibenclamide 5 mg/kg</w:t>
            </w:r>
          </w:p>
        </w:tc>
        <w:tc>
          <w:tcPr>
            <w:tcW w:w="2127" w:type="dxa"/>
            <w:tcBorders>
              <w:top w:val="dotted" w:sz="4" w:space="0" w:color="auto"/>
              <w:left w:val="dotted" w:sz="4" w:space="0" w:color="auto"/>
              <w:bottom w:val="dotted" w:sz="4" w:space="0" w:color="auto"/>
              <w:right w:val="dotted" w:sz="4" w:space="0" w:color="auto"/>
            </w:tcBorders>
            <w:vAlign w:val="center"/>
          </w:tcPr>
          <w:p w14:paraId="6ACA02CB"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172.63±16.79</w:t>
            </w:r>
            <w:r w:rsidRPr="005E6B7C">
              <w:rPr>
                <w:rFonts w:asciiTheme="majorHAnsi" w:eastAsia="Yu Mincho" w:hAnsiTheme="majorHAnsi" w:cstheme="majorHAnsi"/>
                <w:color w:val="000000" w:themeColor="text1"/>
                <w:sz w:val="18"/>
                <w:szCs w:val="18"/>
                <w:vertAlign w:val="superscript"/>
                <w:lang w:eastAsia="ja-JP"/>
              </w:rPr>
              <w:t>*</w:t>
            </w:r>
          </w:p>
          <w:p w14:paraId="62DA07A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92%)</w:t>
            </w:r>
          </w:p>
        </w:tc>
        <w:tc>
          <w:tcPr>
            <w:tcW w:w="2376" w:type="dxa"/>
            <w:tcBorders>
              <w:top w:val="dotted" w:sz="4" w:space="0" w:color="auto"/>
              <w:left w:val="dotted" w:sz="4" w:space="0" w:color="auto"/>
              <w:bottom w:val="dotted" w:sz="4" w:space="0" w:color="auto"/>
              <w:right w:val="dotted" w:sz="4" w:space="0" w:color="auto"/>
            </w:tcBorders>
            <w:vAlign w:val="center"/>
          </w:tcPr>
          <w:p w14:paraId="6165614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107.25±5.56</w:t>
            </w:r>
            <w:r w:rsidRPr="005E6B7C">
              <w:rPr>
                <w:rFonts w:asciiTheme="majorHAnsi" w:eastAsia="Yu Mincho" w:hAnsiTheme="majorHAnsi" w:cstheme="majorHAnsi"/>
                <w:color w:val="000000" w:themeColor="text1"/>
                <w:sz w:val="18"/>
                <w:szCs w:val="18"/>
                <w:vertAlign w:val="superscript"/>
                <w:lang w:eastAsia="ja-JP"/>
              </w:rPr>
              <w:t>#</w:t>
            </w:r>
          </w:p>
          <w:p w14:paraId="095183B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 xml:space="preserve"> 34%)</w:t>
            </w:r>
          </w:p>
        </w:tc>
      </w:tr>
    </w:tbl>
    <w:p w14:paraId="270A7E37" w14:textId="77777777" w:rsidR="00C012FB" w:rsidRPr="005E6B7C" w:rsidRDefault="00C012FB" w:rsidP="00C012FB">
      <w:pPr>
        <w:tabs>
          <w:tab w:val="left" w:pos="270"/>
          <w:tab w:val="left" w:pos="540"/>
          <w:tab w:val="left" w:pos="9270"/>
        </w:tabs>
        <w:spacing w:before="120"/>
        <w:ind w:firstLine="284"/>
        <w:jc w:val="center"/>
        <w:rPr>
          <w:rFonts w:asciiTheme="majorHAnsi" w:eastAsia="Calibri" w:hAnsiTheme="majorHAnsi" w:cstheme="majorHAnsi"/>
          <w:color w:val="000000" w:themeColor="text1"/>
          <w:sz w:val="18"/>
          <w:szCs w:val="18"/>
          <w:lang w:val="de-DE" w:eastAsia="ja-JP"/>
        </w:rPr>
      </w:pPr>
      <w:r w:rsidRPr="005E6B7C">
        <w:rPr>
          <w:rFonts w:asciiTheme="majorHAnsi" w:eastAsia="Calibri" w:hAnsiTheme="majorHAnsi" w:cstheme="majorHAnsi"/>
          <w:i/>
          <w:color w:val="000000" w:themeColor="text1"/>
          <w:sz w:val="18"/>
          <w:szCs w:val="18"/>
          <w:vertAlign w:val="superscript"/>
          <w:lang w:val="de-DE" w:eastAsia="ja-JP"/>
        </w:rPr>
        <w:t>*</w:t>
      </w:r>
      <w:r w:rsidRPr="005E6B7C">
        <w:rPr>
          <w:rFonts w:asciiTheme="majorHAnsi" w:eastAsia="Calibri" w:hAnsiTheme="majorHAnsi" w:cstheme="majorHAnsi"/>
          <w:i/>
          <w:color w:val="000000" w:themeColor="text1"/>
          <w:sz w:val="18"/>
          <w:szCs w:val="18"/>
          <w:lang w:val="de-DE" w:eastAsia="ja-JP"/>
        </w:rPr>
        <w:t xml:space="preserve">: p &lt; 0.05 vs Normoglycemic control; </w:t>
      </w:r>
      <w:r w:rsidRPr="005E6B7C">
        <w:rPr>
          <w:rFonts w:asciiTheme="majorHAnsi" w:eastAsia="Calibri" w:hAnsiTheme="majorHAnsi" w:cstheme="majorHAnsi"/>
          <w:i/>
          <w:color w:val="000000" w:themeColor="text1"/>
          <w:sz w:val="18"/>
          <w:szCs w:val="18"/>
          <w:vertAlign w:val="superscript"/>
          <w:lang w:val="de-DE" w:eastAsia="ja-JP"/>
        </w:rPr>
        <w:t>#</w:t>
      </w:r>
      <w:r w:rsidRPr="005E6B7C">
        <w:rPr>
          <w:rFonts w:asciiTheme="majorHAnsi" w:eastAsia="Calibri" w:hAnsiTheme="majorHAnsi" w:cstheme="majorHAnsi"/>
          <w:i/>
          <w:color w:val="000000" w:themeColor="text1"/>
          <w:sz w:val="18"/>
          <w:szCs w:val="18"/>
          <w:lang w:val="de-DE" w:eastAsia="ja-JP"/>
        </w:rPr>
        <w:t>: p &lt; 0.05 vs Hyperglycemic control; (...): The percentage of increase/decrease.</w:t>
      </w:r>
    </w:p>
    <w:p w14:paraId="5898CC23"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78DC317B"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32632290"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normoglycemic mice, the results showed that the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ethanol extract administered at the tested doses for 14 consecutive days had no significant effect on plasma glucose levels compared to the control group. However, in STZ-induced hyperglycemic mice, both the extract at a dose of 1.33 g/kg and glibenclamide (5 mg/kg) </w:t>
      </w:r>
      <w:r w:rsidRPr="005E6B7C">
        <w:rPr>
          <w:rFonts w:asciiTheme="majorHAnsi" w:eastAsia="Yu Mincho" w:hAnsiTheme="majorHAnsi" w:cstheme="majorHAnsi"/>
          <w:color w:val="000000" w:themeColor="text1"/>
          <w:sz w:val="22"/>
          <w:szCs w:val="22"/>
          <w:lang w:eastAsia="ja-JP"/>
        </w:rPr>
        <w:t xml:space="preserve">significantly reduced plasma glucose levels compared to the hyperglycemic control, with reductions of 26% and 34%, respectively (Table 4). In contrast, the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ethanol extract at the lower dose of 0.67 g/kg did not exert a statistically significant hypoglycemic effect in the STZ-induced diabetic model.</w:t>
      </w:r>
    </w:p>
    <w:p w14:paraId="2031B0ED"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p>
    <w:p w14:paraId="2D5D39EF"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z w:val="22"/>
          <w:szCs w:val="22"/>
          <w:lang w:eastAsia="ja-JP"/>
        </w:rPr>
      </w:pPr>
    </w:p>
    <w:p w14:paraId="6C844463" w14:textId="77777777" w:rsidR="00C012FB" w:rsidRPr="005E6B7C" w:rsidRDefault="00C012FB" w:rsidP="00C012FB">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3BBE2AAD" wp14:editId="0977FB0E">
            <wp:extent cx="5513695" cy="2948214"/>
            <wp:effectExtent l="0" t="0" r="0" b="5080"/>
            <wp:docPr id="712501201" name="Picture 71250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557476" cy="2971624"/>
                    </a:xfrm>
                    <a:prstGeom prst="rect">
                      <a:avLst/>
                    </a:prstGeom>
                    <a:noFill/>
                  </pic:spPr>
                </pic:pic>
              </a:graphicData>
            </a:graphic>
          </wp:inline>
        </w:drawing>
      </w:r>
    </w:p>
    <w:p w14:paraId="29407D82" w14:textId="77777777" w:rsidR="00C012FB" w:rsidRPr="005E6B7C" w:rsidRDefault="00C012FB" w:rsidP="00C012FB">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Calibri" w:hAnsiTheme="majorHAnsi" w:cstheme="majorHAnsi"/>
          <w:b/>
          <w:iCs/>
          <w:color w:val="000000" w:themeColor="text1"/>
          <w:sz w:val="18"/>
          <w:szCs w:val="18"/>
          <w:lang w:val="de-DE" w:eastAsia="ja-JP"/>
        </w:rPr>
        <w:t xml:space="preserve">Fig. 1. </w:t>
      </w:r>
      <w:r w:rsidRPr="005E6B7C">
        <w:rPr>
          <w:rFonts w:asciiTheme="majorHAnsi" w:eastAsia="Calibri" w:hAnsiTheme="majorHAnsi" w:cstheme="majorHAnsi"/>
          <w:iCs/>
          <w:color w:val="000000" w:themeColor="text1"/>
          <w:sz w:val="18"/>
          <w:szCs w:val="18"/>
          <w:lang w:val="de-DE" w:eastAsia="ja-JP"/>
        </w:rPr>
        <w:t xml:space="preserve">Effect of </w:t>
      </w:r>
      <w:r w:rsidRPr="005E6B7C">
        <w:rPr>
          <w:rFonts w:asciiTheme="majorHAnsi" w:eastAsia="Yu Mincho" w:hAnsiTheme="majorHAnsi" w:cstheme="majorHAnsi"/>
          <w:bCs/>
          <w:i/>
          <w:color w:val="000000" w:themeColor="text1"/>
          <w:sz w:val="18"/>
          <w:szCs w:val="18"/>
          <w:lang w:val="de-DE" w:eastAsia="ja-JP"/>
        </w:rPr>
        <w:t>H. tiliaceus</w:t>
      </w:r>
      <w:r w:rsidRPr="005E6B7C">
        <w:rPr>
          <w:rFonts w:asciiTheme="majorHAnsi" w:eastAsia="Yu Mincho" w:hAnsiTheme="majorHAnsi" w:cstheme="majorHAnsi"/>
          <w:bCs/>
          <w:color w:val="000000" w:themeColor="text1"/>
          <w:sz w:val="18"/>
          <w:szCs w:val="18"/>
          <w:lang w:val="de-DE" w:eastAsia="ja-JP"/>
        </w:rPr>
        <w:t xml:space="preserve"> leaf 45% ethanol extract </w:t>
      </w:r>
      <w:r w:rsidRPr="005E6B7C">
        <w:rPr>
          <w:rFonts w:asciiTheme="majorHAnsi" w:eastAsia="Calibri" w:hAnsiTheme="majorHAnsi" w:cstheme="majorHAnsi"/>
          <w:iCs/>
          <w:color w:val="000000" w:themeColor="text1"/>
          <w:sz w:val="18"/>
          <w:szCs w:val="18"/>
          <w:lang w:val="de-DE" w:eastAsia="ja-JP"/>
        </w:rPr>
        <w:t xml:space="preserve">on plasma glucose in </w:t>
      </w:r>
      <w:r w:rsidRPr="005E6B7C">
        <w:rPr>
          <w:rFonts w:asciiTheme="majorHAnsi" w:eastAsia="Yu Mincho" w:hAnsiTheme="majorHAnsi" w:cstheme="majorHAnsi"/>
          <w:color w:val="000000" w:themeColor="text1"/>
          <w:sz w:val="18"/>
          <w:szCs w:val="18"/>
          <w:lang w:eastAsia="ja-JP"/>
        </w:rPr>
        <w:t xml:space="preserve">oral glucose tolerance test (OGTT). All bars </w:t>
      </w:r>
      <w:r w:rsidRPr="005E6B7C">
        <w:rPr>
          <w:rFonts w:asciiTheme="majorHAnsi" w:eastAsia="Yu Mincho" w:hAnsiTheme="majorHAnsi" w:cstheme="majorHAnsi"/>
          <w:color w:val="000000" w:themeColor="text1"/>
          <w:sz w:val="18"/>
          <w:szCs w:val="18"/>
          <w:lang w:eastAsia="ja-JP"/>
        </w:rPr>
        <w:br/>
        <w:t xml:space="preserve">are expressed as the mean ± SEM (n = 8). </w:t>
      </w:r>
      <w:r w:rsidRPr="005E6B7C">
        <w:rPr>
          <w:rFonts w:asciiTheme="majorHAnsi" w:eastAsia="Calibri" w:hAnsiTheme="majorHAnsi" w:cstheme="majorHAnsi"/>
          <w:i/>
          <w:color w:val="000000" w:themeColor="text1"/>
          <w:sz w:val="18"/>
          <w:szCs w:val="18"/>
          <w:vertAlign w:val="superscript"/>
          <w:lang w:val="de-DE" w:eastAsia="ja-JP"/>
        </w:rPr>
        <w:t>*</w:t>
      </w:r>
      <w:r w:rsidRPr="005E6B7C">
        <w:rPr>
          <w:rFonts w:asciiTheme="majorHAnsi" w:eastAsia="Calibri" w:hAnsiTheme="majorHAnsi" w:cstheme="majorHAnsi"/>
          <w:i/>
          <w:color w:val="000000" w:themeColor="text1"/>
          <w:sz w:val="18"/>
          <w:szCs w:val="18"/>
          <w:lang w:val="de-DE" w:eastAsia="ja-JP"/>
        </w:rPr>
        <w:t xml:space="preserve">: p &lt; 0.05 vs Normoglycemic control; </w:t>
      </w:r>
      <w:r w:rsidRPr="005E6B7C">
        <w:rPr>
          <w:rFonts w:asciiTheme="majorHAnsi" w:eastAsia="Calibri" w:hAnsiTheme="majorHAnsi" w:cstheme="majorHAnsi"/>
          <w:i/>
          <w:color w:val="000000" w:themeColor="text1"/>
          <w:sz w:val="18"/>
          <w:szCs w:val="18"/>
          <w:vertAlign w:val="superscript"/>
          <w:lang w:val="de-DE" w:eastAsia="ja-JP"/>
        </w:rPr>
        <w:t>#</w:t>
      </w:r>
      <w:r w:rsidRPr="005E6B7C">
        <w:rPr>
          <w:rFonts w:asciiTheme="majorHAnsi" w:eastAsia="Calibri" w:hAnsiTheme="majorHAnsi" w:cstheme="majorHAnsi"/>
          <w:i/>
          <w:color w:val="000000" w:themeColor="text1"/>
          <w:sz w:val="18"/>
          <w:szCs w:val="18"/>
          <w:lang w:val="de-DE" w:eastAsia="ja-JP"/>
        </w:rPr>
        <w:t>: p &lt; 0.05 vs Hyperglycemic control</w:t>
      </w:r>
    </w:p>
    <w:p w14:paraId="2A1B9B4D" w14:textId="77777777" w:rsidR="00C012FB" w:rsidRPr="005E6B7C" w:rsidRDefault="00C012FB" w:rsidP="00C012FB">
      <w:pPr>
        <w:tabs>
          <w:tab w:val="left" w:pos="270"/>
          <w:tab w:val="left" w:pos="540"/>
          <w:tab w:val="left" w:pos="9270"/>
        </w:tabs>
        <w:ind w:right="-20"/>
        <w:jc w:val="both"/>
        <w:rPr>
          <w:rFonts w:asciiTheme="majorHAnsi" w:eastAsia="Calibri" w:hAnsiTheme="majorHAnsi" w:cstheme="majorHAnsi"/>
          <w:color w:val="000000" w:themeColor="text1"/>
          <w:sz w:val="22"/>
          <w:szCs w:val="22"/>
          <w:lang w:eastAsia="ja-JP"/>
        </w:rPr>
      </w:pPr>
    </w:p>
    <w:p w14:paraId="00219FDC"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Calibri"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24FE67F5" w14:textId="77777777" w:rsidR="00C012FB" w:rsidRPr="005E6B7C" w:rsidRDefault="00C012FB" w:rsidP="00C012FB">
      <w:pPr>
        <w:tabs>
          <w:tab w:val="left" w:pos="270"/>
          <w:tab w:val="left" w:pos="540"/>
          <w:tab w:val="left" w:pos="9270"/>
        </w:tabs>
        <w:spacing w:line="260" w:lineRule="exact"/>
        <w:ind w:firstLine="284"/>
        <w:jc w:val="both"/>
        <w:rPr>
          <w:rFonts w:asciiTheme="majorHAnsi" w:eastAsia="Calibri" w:hAnsiTheme="majorHAnsi" w:cstheme="majorHAnsi"/>
          <w:color w:val="000000" w:themeColor="text1"/>
          <w:sz w:val="22"/>
          <w:szCs w:val="22"/>
          <w:lang w:eastAsia="ja-JP"/>
        </w:rPr>
      </w:pPr>
      <w:r w:rsidRPr="005E6B7C">
        <w:rPr>
          <w:rFonts w:asciiTheme="majorHAnsi" w:eastAsia="Calibri" w:hAnsiTheme="majorHAnsi" w:cstheme="majorHAnsi"/>
          <w:color w:val="000000" w:themeColor="text1"/>
          <w:sz w:val="22"/>
          <w:szCs w:val="22"/>
          <w:lang w:eastAsia="ja-JP"/>
        </w:rPr>
        <w:t xml:space="preserve">In normoglycemic mice, plasma glucose levels in all groups rose markedly 30 min after the glucose challenge and returned to baseline within 120 min. Administration of the </w:t>
      </w:r>
      <w:r w:rsidRPr="005E6B7C">
        <w:rPr>
          <w:rFonts w:asciiTheme="majorHAnsi" w:eastAsia="Calibri" w:hAnsiTheme="majorHAnsi" w:cstheme="majorHAnsi"/>
          <w:i/>
          <w:color w:val="000000" w:themeColor="text1"/>
          <w:sz w:val="22"/>
          <w:szCs w:val="22"/>
          <w:lang w:eastAsia="ja-JP"/>
        </w:rPr>
        <w:t>H. tiliaceus</w:t>
      </w:r>
      <w:r w:rsidRPr="005E6B7C">
        <w:rPr>
          <w:rFonts w:asciiTheme="majorHAnsi" w:eastAsia="Calibri" w:hAnsiTheme="majorHAnsi" w:cstheme="majorHAnsi"/>
          <w:color w:val="000000" w:themeColor="text1"/>
          <w:sz w:val="22"/>
          <w:szCs w:val="22"/>
          <w:lang w:eastAsia="ja-JP"/>
        </w:rPr>
        <w:t xml:space="preserve"> ethanol extract for 14 days at the tested doses did not significantly attenuate the glucose peak at 30 min compared to the control. In contrast, glibenclamide (5 mg/kg) significantly reduced </w:t>
      </w:r>
      <w:r w:rsidRPr="005E6B7C">
        <w:rPr>
          <w:rFonts w:asciiTheme="majorHAnsi" w:eastAsia="Calibri" w:hAnsiTheme="majorHAnsi" w:cstheme="majorHAnsi"/>
          <w:color w:val="000000" w:themeColor="text1"/>
          <w:sz w:val="22"/>
          <w:szCs w:val="22"/>
          <w:lang w:eastAsia="ja-JP"/>
        </w:rPr>
        <w:t>plasma glucose levels at all time points (0, 30, and 120 min) with reductions of 14%, 36%, and 19%, respectively (Fig. 1A).</w:t>
      </w:r>
    </w:p>
    <w:p w14:paraId="4EE6DBD9" w14:textId="77777777" w:rsidR="00C012FB" w:rsidRPr="005E6B7C" w:rsidRDefault="00C012FB" w:rsidP="00C012FB">
      <w:pPr>
        <w:tabs>
          <w:tab w:val="left" w:pos="270"/>
          <w:tab w:val="left" w:pos="540"/>
          <w:tab w:val="left" w:pos="9270"/>
        </w:tabs>
        <w:spacing w:line="260" w:lineRule="exact"/>
        <w:ind w:firstLine="284"/>
        <w:jc w:val="both"/>
        <w:rPr>
          <w:rFonts w:asciiTheme="majorHAnsi" w:eastAsia="Calibri" w:hAnsiTheme="majorHAnsi" w:cstheme="majorHAnsi"/>
          <w:color w:val="000000" w:themeColor="text1"/>
          <w:sz w:val="22"/>
          <w:szCs w:val="22"/>
          <w:lang w:eastAsia="ja-JP"/>
        </w:rPr>
      </w:pPr>
      <w:r w:rsidRPr="005E6B7C">
        <w:rPr>
          <w:rFonts w:asciiTheme="majorHAnsi" w:eastAsia="Calibri" w:hAnsiTheme="majorHAnsi" w:cstheme="majorHAnsi"/>
          <w:color w:val="000000" w:themeColor="text1"/>
          <w:sz w:val="22"/>
          <w:szCs w:val="22"/>
          <w:lang w:eastAsia="ja-JP"/>
        </w:rPr>
        <w:t xml:space="preserve">STZ-treated mice exhibited significantly higher glucose levels at 30 and 120 min compared to their respective normoglycemic controls, confirming impaired glucose tolerance. Glibenclamide treatment (5 mg/kg) effectively </w:t>
      </w:r>
      <w:r w:rsidRPr="005E6B7C">
        <w:rPr>
          <w:rFonts w:asciiTheme="majorHAnsi" w:eastAsia="Calibri" w:hAnsiTheme="majorHAnsi" w:cstheme="majorHAnsi"/>
          <w:color w:val="000000" w:themeColor="text1"/>
          <w:sz w:val="22"/>
          <w:szCs w:val="22"/>
          <w:lang w:eastAsia="ja-JP"/>
        </w:rPr>
        <w:lastRenderedPageBreak/>
        <w:t xml:space="preserve">lowered plasma glucose levels at 30 and 120 min </w:t>
      </w:r>
      <w:r w:rsidRPr="005E6B7C">
        <w:rPr>
          <w:rFonts w:asciiTheme="majorHAnsi" w:eastAsia="Calibri" w:hAnsiTheme="majorHAnsi" w:cstheme="majorHAnsi"/>
          <w:color w:val="000000" w:themeColor="text1"/>
          <w:spacing w:val="-6"/>
          <w:sz w:val="22"/>
          <w:szCs w:val="22"/>
          <w:lang w:eastAsia="ja-JP"/>
        </w:rPr>
        <w:t xml:space="preserve">by 34% and 49%, respectively, relative to the hyperglycemic control. Interestingly, the </w:t>
      </w:r>
      <w:r w:rsidRPr="005E6B7C">
        <w:rPr>
          <w:rFonts w:asciiTheme="majorHAnsi" w:eastAsia="Calibri" w:hAnsiTheme="majorHAnsi" w:cstheme="majorHAnsi"/>
          <w:i/>
          <w:color w:val="000000" w:themeColor="text1"/>
          <w:spacing w:val="-6"/>
          <w:sz w:val="22"/>
          <w:szCs w:val="22"/>
          <w:lang w:eastAsia="ja-JP"/>
        </w:rPr>
        <w:t>H. tiliaceus</w:t>
      </w:r>
      <w:r w:rsidRPr="005E6B7C">
        <w:rPr>
          <w:rFonts w:asciiTheme="majorHAnsi" w:eastAsia="Calibri" w:hAnsiTheme="majorHAnsi" w:cstheme="majorHAnsi"/>
          <w:color w:val="000000" w:themeColor="text1"/>
          <w:spacing w:val="-6"/>
          <w:sz w:val="22"/>
          <w:szCs w:val="22"/>
          <w:lang w:eastAsia="ja-JP"/>
        </w:rPr>
        <w:t xml:space="preserve"> ethanol extract at 1.33 g/kg significantly blunted the rise in plasma glucose at both 30 and 120 min post-challenge, achieving reductions of 22% and 38%, </w:t>
      </w:r>
      <w:r w:rsidRPr="005E6B7C">
        <w:rPr>
          <w:rFonts w:asciiTheme="majorHAnsi" w:eastAsia="Calibri" w:hAnsiTheme="majorHAnsi" w:cstheme="majorHAnsi"/>
          <w:color w:val="000000" w:themeColor="text1"/>
          <w:spacing w:val="-6"/>
          <w:sz w:val="22"/>
          <w:szCs w:val="22"/>
          <w:lang w:eastAsia="ja-JP"/>
        </w:rPr>
        <w:t>respectively (Fig. 1B). However, the extract at 0.67 g/kg did not demonstrate a statistically significant hypoglycemic effect following the glucose bolus in the STZ-induced model.</w:t>
      </w:r>
    </w:p>
    <w:p w14:paraId="098D04C1" w14:textId="77777777" w:rsidR="00C012FB" w:rsidRPr="005E6B7C" w:rsidRDefault="00C012FB" w:rsidP="00C012FB">
      <w:pPr>
        <w:tabs>
          <w:tab w:val="left" w:pos="270"/>
          <w:tab w:val="left" w:pos="540"/>
          <w:tab w:val="left" w:pos="9270"/>
        </w:tabs>
        <w:spacing w:line="260" w:lineRule="exact"/>
        <w:ind w:firstLine="284"/>
        <w:jc w:val="both"/>
        <w:rPr>
          <w:rFonts w:asciiTheme="majorHAnsi" w:eastAsia="Yu Mincho" w:hAnsiTheme="majorHAnsi" w:cstheme="majorHAnsi"/>
          <w:i/>
          <w:iCs/>
          <w:color w:val="000000" w:themeColor="text1"/>
          <w:sz w:val="22"/>
          <w:szCs w:val="22"/>
          <w:lang w:val="de-DE" w:eastAsia="ja-JP"/>
        </w:rPr>
      </w:pPr>
      <w:r w:rsidRPr="005E6B7C">
        <w:rPr>
          <w:rFonts w:asciiTheme="majorHAnsi" w:eastAsia="Yu Mincho" w:hAnsiTheme="majorHAnsi" w:cstheme="majorHAnsi"/>
          <w:i/>
          <w:iCs/>
          <w:color w:val="000000" w:themeColor="text1"/>
          <w:sz w:val="22"/>
          <w:szCs w:val="22"/>
          <w:lang w:val="de-DE" w:eastAsia="ja-JP"/>
        </w:rPr>
        <w:t>3.5. Renal protective effects of H. tiliaceus leaf 45% ethanol extract</w:t>
      </w:r>
    </w:p>
    <w:p w14:paraId="01FC0954" w14:textId="77777777" w:rsidR="00C012FB" w:rsidRPr="005E6B7C" w:rsidRDefault="00C012FB" w:rsidP="00C012FB">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val="de-DE" w:eastAsia="ja-JP"/>
        </w:rPr>
        <w:sectPr w:rsidR="00C012FB" w:rsidRPr="005E6B7C" w:rsidSect="00C012FB">
          <w:type w:val="continuous"/>
          <w:pgSz w:w="10773" w:h="15309" w:code="9"/>
          <w:pgMar w:top="907" w:right="851" w:bottom="1418" w:left="851" w:header="397" w:footer="851" w:gutter="0"/>
          <w:cols w:num="2" w:space="284"/>
          <w:docGrid w:linePitch="360"/>
        </w:sectPr>
      </w:pPr>
    </w:p>
    <w:p w14:paraId="3CFE8B3F" w14:textId="77777777" w:rsidR="00C012FB" w:rsidRPr="005E6B7C" w:rsidRDefault="00C012FB" w:rsidP="00C012FB">
      <w:pPr>
        <w:tabs>
          <w:tab w:val="left" w:pos="270"/>
          <w:tab w:val="left" w:pos="540"/>
          <w:tab w:val="left" w:pos="9270"/>
        </w:tabs>
        <w:spacing w:before="120" w:after="120"/>
        <w:jc w:val="center"/>
        <w:rPr>
          <w:rFonts w:asciiTheme="majorHAnsi" w:eastAsia="Calibri" w:hAnsiTheme="majorHAnsi" w:cstheme="majorHAnsi"/>
          <w:iCs/>
          <w:color w:val="000000" w:themeColor="text1"/>
          <w:sz w:val="18"/>
          <w:szCs w:val="18"/>
          <w:lang w:val="de-DE" w:eastAsia="ja-JP"/>
        </w:rPr>
      </w:pPr>
      <w:r w:rsidRPr="005E6B7C">
        <w:rPr>
          <w:rFonts w:asciiTheme="majorHAnsi" w:eastAsia="Calibri" w:hAnsiTheme="majorHAnsi" w:cstheme="majorHAnsi"/>
          <w:b/>
          <w:color w:val="000000" w:themeColor="text1"/>
          <w:sz w:val="18"/>
          <w:szCs w:val="18"/>
          <w:lang w:val="de-DE" w:eastAsia="ja-JP"/>
        </w:rPr>
        <w:t xml:space="preserve">Table 5.  </w:t>
      </w:r>
      <w:r w:rsidRPr="005E6B7C">
        <w:rPr>
          <w:rFonts w:asciiTheme="majorHAnsi" w:eastAsia="Calibri" w:hAnsiTheme="majorHAnsi" w:cstheme="majorHAnsi"/>
          <w:iCs/>
          <w:color w:val="000000" w:themeColor="text1"/>
          <w:sz w:val="18"/>
          <w:szCs w:val="18"/>
          <w:lang w:val="de-DE" w:eastAsia="ja-JP"/>
        </w:rPr>
        <w:t xml:space="preserve">Effect of </w:t>
      </w:r>
      <w:r w:rsidRPr="005E6B7C">
        <w:rPr>
          <w:rFonts w:asciiTheme="majorHAnsi" w:eastAsia="Yu Mincho" w:hAnsiTheme="majorHAnsi" w:cstheme="majorHAnsi"/>
          <w:bCs/>
          <w:i/>
          <w:color w:val="000000" w:themeColor="text1"/>
          <w:sz w:val="18"/>
          <w:szCs w:val="18"/>
          <w:lang w:val="de-DE" w:eastAsia="ja-JP"/>
        </w:rPr>
        <w:t>H. tiliaceus</w:t>
      </w:r>
      <w:r w:rsidRPr="005E6B7C">
        <w:rPr>
          <w:rFonts w:asciiTheme="majorHAnsi" w:eastAsia="Yu Mincho" w:hAnsiTheme="majorHAnsi" w:cstheme="majorHAnsi"/>
          <w:bCs/>
          <w:color w:val="000000" w:themeColor="text1"/>
          <w:sz w:val="18"/>
          <w:szCs w:val="18"/>
          <w:lang w:val="de-DE" w:eastAsia="ja-JP"/>
        </w:rPr>
        <w:t xml:space="preserve"> leaf 45% ethanol extract (EE) </w:t>
      </w:r>
      <w:r w:rsidRPr="005E6B7C">
        <w:rPr>
          <w:rFonts w:asciiTheme="majorHAnsi" w:eastAsia="Calibri" w:hAnsiTheme="majorHAnsi" w:cstheme="majorHAnsi"/>
          <w:iCs/>
          <w:color w:val="000000" w:themeColor="text1"/>
          <w:sz w:val="18"/>
          <w:szCs w:val="18"/>
          <w:lang w:val="de-DE" w:eastAsia="ja-JP"/>
        </w:rPr>
        <w:t xml:space="preserve">on MDA and GSH levels </w:t>
      </w:r>
      <w:r w:rsidRPr="005E6B7C">
        <w:rPr>
          <w:rFonts w:asciiTheme="majorHAnsi" w:eastAsia="Calibri" w:hAnsiTheme="majorHAnsi" w:cstheme="majorHAnsi"/>
          <w:iCs/>
          <w:color w:val="000000" w:themeColor="text1"/>
          <w:sz w:val="18"/>
          <w:szCs w:val="18"/>
          <w:lang w:val="de-DE" w:eastAsia="ja-JP"/>
        </w:rPr>
        <w:br/>
        <w:t>in the kidneys of normoglycemic and hyperglycemic mice</w:t>
      </w:r>
    </w:p>
    <w:tbl>
      <w:tblPr>
        <w:tblStyle w:val="TableGrid21"/>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71"/>
        <w:gridCol w:w="2547"/>
        <w:gridCol w:w="2527"/>
        <w:gridCol w:w="2527"/>
      </w:tblGrid>
      <w:tr w:rsidR="00C012FB" w:rsidRPr="005E6B7C" w14:paraId="511AF995" w14:textId="77777777" w:rsidTr="00F15EF6">
        <w:trPr>
          <w:jc w:val="center"/>
        </w:trPr>
        <w:tc>
          <w:tcPr>
            <w:tcW w:w="1507" w:type="dxa"/>
            <w:vAlign w:val="center"/>
          </w:tcPr>
          <w:p w14:paraId="0C30BE6B"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92" w:type="dxa"/>
            <w:vAlign w:val="center"/>
          </w:tcPr>
          <w:p w14:paraId="4505C0C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iCs/>
                <w:color w:val="000000" w:themeColor="text1"/>
                <w:sz w:val="18"/>
                <w:szCs w:val="18"/>
                <w:lang w:val="de-DE" w:eastAsia="ja-JP"/>
              </w:rPr>
            </w:pPr>
            <w:r w:rsidRPr="005E6B7C">
              <w:rPr>
                <w:rFonts w:asciiTheme="majorHAnsi" w:eastAsia="Yu Mincho" w:hAnsiTheme="majorHAnsi" w:cstheme="majorHAnsi"/>
                <w:b/>
                <w:iCs/>
                <w:color w:val="000000" w:themeColor="text1"/>
                <w:sz w:val="18"/>
                <w:szCs w:val="18"/>
                <w:lang w:val="de-DE" w:eastAsia="ja-JP"/>
              </w:rPr>
              <w:t>Groups</w:t>
            </w:r>
          </w:p>
          <w:p w14:paraId="08C144B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iCs/>
                <w:color w:val="000000" w:themeColor="text1"/>
                <w:sz w:val="18"/>
                <w:szCs w:val="18"/>
                <w:lang w:val="de-DE" w:eastAsia="ja-JP"/>
              </w:rPr>
              <w:t>(n = 8)</w:t>
            </w:r>
          </w:p>
        </w:tc>
        <w:tc>
          <w:tcPr>
            <w:tcW w:w="2592" w:type="dxa"/>
            <w:vAlign w:val="center"/>
          </w:tcPr>
          <w:p w14:paraId="79762A0C" w14:textId="77777777" w:rsidR="00C012FB" w:rsidRPr="005E6B7C" w:rsidRDefault="00C012FB" w:rsidP="00F15EF6">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MDA levels in kidneys</w:t>
            </w:r>
          </w:p>
          <w:p w14:paraId="4537FB15" w14:textId="53FC1F2B" w:rsidR="00C012FB" w:rsidRPr="005E6B7C" w:rsidRDefault="00C012FB" w:rsidP="00F15EF6">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w:t>
            </w:r>
            <w:r w:rsidR="00266B26" w:rsidRPr="005E6B7C">
              <w:rPr>
                <w:rFonts w:asciiTheme="majorHAnsi" w:eastAsia="Times New Roman" w:hAnsiTheme="majorHAnsi" w:cstheme="majorHAnsi"/>
                <w:b/>
                <w:bCs/>
                <w:i/>
                <w:iCs/>
                <w:color w:val="000000" w:themeColor="text1"/>
                <w:sz w:val="18"/>
                <w:szCs w:val="18"/>
                <w:lang w:eastAsia="ja-JP"/>
              </w:rPr>
              <w:t>µ</w:t>
            </w:r>
            <w:r w:rsidRPr="005E6B7C">
              <w:rPr>
                <w:rFonts w:asciiTheme="majorHAnsi" w:eastAsia="Times New Roman" w:hAnsiTheme="majorHAnsi" w:cstheme="majorHAnsi"/>
                <w:b/>
                <w:bCs/>
                <w:color w:val="000000" w:themeColor="text1"/>
                <w:sz w:val="18"/>
                <w:szCs w:val="18"/>
                <w:lang w:eastAsia="ja-JP"/>
              </w:rPr>
              <w:t>M/g protein)</w:t>
            </w:r>
          </w:p>
        </w:tc>
        <w:tc>
          <w:tcPr>
            <w:tcW w:w="2592" w:type="dxa"/>
          </w:tcPr>
          <w:p w14:paraId="0FA81DB0" w14:textId="77777777" w:rsidR="00C012FB" w:rsidRPr="005E6B7C" w:rsidRDefault="00C012FB" w:rsidP="00F15EF6">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GSH levels in kidneys</w:t>
            </w:r>
          </w:p>
          <w:p w14:paraId="3F87A03C" w14:textId="77777777" w:rsidR="00C012FB" w:rsidRPr="005E6B7C" w:rsidRDefault="00C012FB" w:rsidP="00F15EF6">
            <w:pPr>
              <w:tabs>
                <w:tab w:val="left" w:pos="270"/>
                <w:tab w:val="left" w:pos="540"/>
                <w:tab w:val="left" w:pos="9270"/>
              </w:tabs>
              <w:ind w:right="-20"/>
              <w:jc w:val="center"/>
              <w:rPr>
                <w:rFonts w:asciiTheme="majorHAnsi" w:eastAsia="Times New Roman" w:hAnsiTheme="majorHAnsi" w:cstheme="majorHAnsi"/>
                <w:b/>
                <w:bCs/>
                <w:color w:val="000000" w:themeColor="text1"/>
                <w:sz w:val="18"/>
                <w:szCs w:val="18"/>
                <w:lang w:eastAsia="ja-JP"/>
              </w:rPr>
            </w:pPr>
            <w:r w:rsidRPr="005E6B7C">
              <w:rPr>
                <w:rFonts w:asciiTheme="majorHAnsi" w:eastAsia="Times New Roman" w:hAnsiTheme="majorHAnsi" w:cstheme="majorHAnsi"/>
                <w:b/>
                <w:bCs/>
                <w:color w:val="000000" w:themeColor="text1"/>
                <w:sz w:val="18"/>
                <w:szCs w:val="18"/>
                <w:lang w:eastAsia="ja-JP"/>
              </w:rPr>
              <w:t>(nM/g protein)</w:t>
            </w:r>
          </w:p>
        </w:tc>
      </w:tr>
      <w:tr w:rsidR="00C012FB" w:rsidRPr="005E6B7C" w14:paraId="4F5BB679" w14:textId="77777777" w:rsidTr="00F15EF6">
        <w:trPr>
          <w:jc w:val="center"/>
        </w:trPr>
        <w:tc>
          <w:tcPr>
            <w:tcW w:w="1507" w:type="dxa"/>
            <w:vAlign w:val="center"/>
          </w:tcPr>
          <w:p w14:paraId="12E5B68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STZ (-)</w:t>
            </w:r>
          </w:p>
        </w:tc>
        <w:tc>
          <w:tcPr>
            <w:tcW w:w="2592" w:type="dxa"/>
            <w:vAlign w:val="center"/>
          </w:tcPr>
          <w:p w14:paraId="11981404"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Normoglycemic</w:t>
            </w:r>
            <w:r w:rsidRPr="005E6B7C">
              <w:rPr>
                <w:rFonts w:asciiTheme="majorHAnsi" w:eastAsia="Yu Mincho" w:hAnsiTheme="majorHAnsi" w:cstheme="majorHAnsi"/>
                <w:iCs/>
                <w:color w:val="000000" w:themeColor="text1"/>
                <w:sz w:val="18"/>
                <w:szCs w:val="18"/>
                <w:lang w:val="de-DE" w:eastAsia="ja-JP"/>
              </w:rPr>
              <w:t xml:space="preserve"> control</w:t>
            </w:r>
          </w:p>
        </w:tc>
        <w:tc>
          <w:tcPr>
            <w:tcW w:w="2592" w:type="dxa"/>
            <w:vAlign w:val="center"/>
          </w:tcPr>
          <w:p w14:paraId="12448F0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205.85 ± 8.54</w:t>
            </w:r>
          </w:p>
        </w:tc>
        <w:tc>
          <w:tcPr>
            <w:tcW w:w="2592" w:type="dxa"/>
            <w:vAlign w:val="center"/>
          </w:tcPr>
          <w:p w14:paraId="6B30EF5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240.04 ± 21.65</w:t>
            </w:r>
          </w:p>
        </w:tc>
      </w:tr>
      <w:tr w:rsidR="00C012FB" w:rsidRPr="005E6B7C" w14:paraId="39E97101" w14:textId="77777777" w:rsidTr="00F15EF6">
        <w:trPr>
          <w:jc w:val="center"/>
        </w:trPr>
        <w:tc>
          <w:tcPr>
            <w:tcW w:w="1507" w:type="dxa"/>
            <w:vMerge w:val="restart"/>
            <w:vAlign w:val="center"/>
          </w:tcPr>
          <w:p w14:paraId="0C742B2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STZ (+)</w:t>
            </w:r>
          </w:p>
        </w:tc>
        <w:tc>
          <w:tcPr>
            <w:tcW w:w="2592" w:type="dxa"/>
            <w:vAlign w:val="center"/>
          </w:tcPr>
          <w:p w14:paraId="5FA95AC7"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iCs/>
                <w:color w:val="000000" w:themeColor="text1"/>
                <w:sz w:val="18"/>
                <w:szCs w:val="18"/>
                <w:lang w:val="de-DE" w:eastAsia="ja-JP"/>
              </w:rPr>
              <w:t>Hyperglycemic control</w:t>
            </w:r>
          </w:p>
        </w:tc>
        <w:tc>
          <w:tcPr>
            <w:tcW w:w="2592" w:type="dxa"/>
            <w:vAlign w:val="center"/>
          </w:tcPr>
          <w:p w14:paraId="7F0C60A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269.48 ± 8.81</w:t>
            </w:r>
            <w:r w:rsidRPr="005E6B7C">
              <w:rPr>
                <w:rFonts w:asciiTheme="majorHAnsi" w:eastAsia="Yu Mincho" w:hAnsiTheme="majorHAnsi" w:cstheme="majorHAnsi"/>
                <w:color w:val="000000" w:themeColor="text1"/>
                <w:sz w:val="18"/>
                <w:szCs w:val="18"/>
                <w:vertAlign w:val="superscript"/>
                <w:lang w:eastAsia="ja-JP"/>
              </w:rPr>
              <w:t>*</w:t>
            </w:r>
          </w:p>
          <w:p w14:paraId="18E5CBA1"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31%)</w:t>
            </w:r>
          </w:p>
        </w:tc>
        <w:tc>
          <w:tcPr>
            <w:tcW w:w="2592" w:type="dxa"/>
            <w:vAlign w:val="center"/>
          </w:tcPr>
          <w:p w14:paraId="42C19FDA"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170.18 ± 12.90</w:t>
            </w:r>
            <w:r w:rsidRPr="005E6B7C">
              <w:rPr>
                <w:rFonts w:asciiTheme="majorHAnsi" w:eastAsia="Yu Mincho" w:hAnsiTheme="majorHAnsi" w:cstheme="majorHAnsi"/>
                <w:color w:val="000000" w:themeColor="text1"/>
                <w:sz w:val="18"/>
                <w:szCs w:val="18"/>
                <w:vertAlign w:val="superscript"/>
                <w:lang w:eastAsia="ja-JP"/>
              </w:rPr>
              <w:t>*</w:t>
            </w:r>
          </w:p>
          <w:p w14:paraId="191E492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29%)</w:t>
            </w:r>
          </w:p>
        </w:tc>
      </w:tr>
      <w:tr w:rsidR="00C012FB" w:rsidRPr="005E6B7C" w14:paraId="09396330" w14:textId="77777777" w:rsidTr="00F15EF6">
        <w:trPr>
          <w:jc w:val="center"/>
        </w:trPr>
        <w:tc>
          <w:tcPr>
            <w:tcW w:w="1507" w:type="dxa"/>
            <w:vMerge/>
            <w:vAlign w:val="center"/>
          </w:tcPr>
          <w:p w14:paraId="4BA0F54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92" w:type="dxa"/>
            <w:vAlign w:val="center"/>
          </w:tcPr>
          <w:p w14:paraId="78EF5ED0"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0.67 g/kg</w:t>
            </w:r>
          </w:p>
        </w:tc>
        <w:tc>
          <w:tcPr>
            <w:tcW w:w="2592" w:type="dxa"/>
            <w:vAlign w:val="center"/>
          </w:tcPr>
          <w:p w14:paraId="12155B9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243.54 ± 9.60</w:t>
            </w:r>
          </w:p>
        </w:tc>
        <w:tc>
          <w:tcPr>
            <w:tcW w:w="2592" w:type="dxa"/>
            <w:vAlign w:val="center"/>
          </w:tcPr>
          <w:p w14:paraId="58672D1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186.93 ± 9.95</w:t>
            </w:r>
          </w:p>
        </w:tc>
      </w:tr>
      <w:tr w:rsidR="00C012FB" w:rsidRPr="005E6B7C" w14:paraId="2FB5EF20" w14:textId="77777777" w:rsidTr="00F15EF6">
        <w:trPr>
          <w:jc w:val="center"/>
        </w:trPr>
        <w:tc>
          <w:tcPr>
            <w:tcW w:w="1507" w:type="dxa"/>
            <w:vMerge/>
            <w:vAlign w:val="center"/>
          </w:tcPr>
          <w:p w14:paraId="799ED2C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92" w:type="dxa"/>
            <w:vAlign w:val="center"/>
          </w:tcPr>
          <w:p w14:paraId="5D08C175"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EE 1.33 g/kg</w:t>
            </w:r>
          </w:p>
        </w:tc>
        <w:tc>
          <w:tcPr>
            <w:tcW w:w="2592" w:type="dxa"/>
            <w:vAlign w:val="center"/>
          </w:tcPr>
          <w:p w14:paraId="33F282F1"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230.40 ± 6.21</w:t>
            </w:r>
            <w:r w:rsidRPr="005E6B7C">
              <w:rPr>
                <w:rFonts w:asciiTheme="majorHAnsi" w:eastAsia="Yu Mincho" w:hAnsiTheme="majorHAnsi" w:cstheme="majorHAnsi"/>
                <w:color w:val="000000" w:themeColor="text1"/>
                <w:sz w:val="18"/>
                <w:szCs w:val="18"/>
                <w:vertAlign w:val="superscript"/>
                <w:lang w:eastAsia="ja-JP"/>
              </w:rPr>
              <w:t>#</w:t>
            </w:r>
          </w:p>
          <w:p w14:paraId="79961E6E"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15%)</w:t>
            </w:r>
          </w:p>
        </w:tc>
        <w:tc>
          <w:tcPr>
            <w:tcW w:w="2592" w:type="dxa"/>
            <w:vAlign w:val="center"/>
          </w:tcPr>
          <w:p w14:paraId="0F1A5BB9"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235.05 ± 9.19</w:t>
            </w:r>
            <w:r w:rsidRPr="005E6B7C">
              <w:rPr>
                <w:rFonts w:asciiTheme="majorHAnsi" w:eastAsia="Yu Mincho" w:hAnsiTheme="majorHAnsi" w:cstheme="majorHAnsi"/>
                <w:color w:val="000000" w:themeColor="text1"/>
                <w:sz w:val="18"/>
                <w:szCs w:val="18"/>
                <w:vertAlign w:val="superscript"/>
                <w:lang w:eastAsia="ja-JP"/>
              </w:rPr>
              <w:t>#</w:t>
            </w:r>
          </w:p>
          <w:p w14:paraId="013D8221"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38%)</w:t>
            </w:r>
          </w:p>
        </w:tc>
      </w:tr>
      <w:tr w:rsidR="00C012FB" w:rsidRPr="005E6B7C" w14:paraId="62BEF1EB" w14:textId="77777777" w:rsidTr="00F15EF6">
        <w:trPr>
          <w:jc w:val="center"/>
        </w:trPr>
        <w:tc>
          <w:tcPr>
            <w:tcW w:w="1507" w:type="dxa"/>
            <w:vMerge/>
            <w:vAlign w:val="center"/>
          </w:tcPr>
          <w:p w14:paraId="71A36EDF"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p>
        </w:tc>
        <w:tc>
          <w:tcPr>
            <w:tcW w:w="2592" w:type="dxa"/>
            <w:vAlign w:val="center"/>
          </w:tcPr>
          <w:p w14:paraId="25E15AF6"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iCs/>
                <w:color w:val="000000" w:themeColor="text1"/>
                <w:sz w:val="18"/>
                <w:szCs w:val="18"/>
                <w:lang w:val="de-DE" w:eastAsia="ja-JP"/>
              </w:rPr>
            </w:pPr>
            <w:r w:rsidRPr="005E6B7C">
              <w:rPr>
                <w:rFonts w:asciiTheme="majorHAnsi" w:eastAsia="Yu Mincho" w:hAnsiTheme="majorHAnsi" w:cstheme="majorHAnsi"/>
                <w:iCs/>
                <w:color w:val="000000" w:themeColor="text1"/>
                <w:sz w:val="18"/>
                <w:szCs w:val="18"/>
                <w:lang w:val="de-DE" w:eastAsia="ja-JP"/>
              </w:rPr>
              <w:t>Glibenclamide 5 mg/kg</w:t>
            </w:r>
          </w:p>
        </w:tc>
        <w:tc>
          <w:tcPr>
            <w:tcW w:w="2592" w:type="dxa"/>
            <w:vAlign w:val="center"/>
          </w:tcPr>
          <w:p w14:paraId="516B477D"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204.63 ± 8.49</w:t>
            </w:r>
            <w:r w:rsidRPr="005E6B7C">
              <w:rPr>
                <w:rFonts w:asciiTheme="majorHAnsi" w:eastAsia="Yu Mincho" w:hAnsiTheme="majorHAnsi" w:cstheme="majorHAnsi"/>
                <w:color w:val="000000" w:themeColor="text1"/>
                <w:sz w:val="18"/>
                <w:szCs w:val="18"/>
                <w:vertAlign w:val="superscript"/>
                <w:lang w:eastAsia="ja-JP"/>
              </w:rPr>
              <w:t>#</w:t>
            </w:r>
          </w:p>
          <w:p w14:paraId="1BA26220"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24%)</w:t>
            </w:r>
          </w:p>
        </w:tc>
        <w:tc>
          <w:tcPr>
            <w:tcW w:w="2592" w:type="dxa"/>
            <w:vAlign w:val="center"/>
          </w:tcPr>
          <w:p w14:paraId="3F9B25B0"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238.80 ± 26.94</w:t>
            </w:r>
            <w:r w:rsidRPr="005E6B7C">
              <w:rPr>
                <w:rFonts w:asciiTheme="majorHAnsi" w:eastAsia="Yu Mincho" w:hAnsiTheme="majorHAnsi" w:cstheme="majorHAnsi"/>
                <w:color w:val="000000" w:themeColor="text1"/>
                <w:sz w:val="18"/>
                <w:szCs w:val="18"/>
                <w:vertAlign w:val="superscript"/>
                <w:lang w:eastAsia="ja-JP"/>
              </w:rPr>
              <w:t>#</w:t>
            </w:r>
          </w:p>
          <w:p w14:paraId="3E01B664" w14:textId="77777777" w:rsidR="00C012FB" w:rsidRPr="005E6B7C" w:rsidRDefault="00C012FB" w:rsidP="00F15EF6">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w:t>
            </w:r>
            <w:r w:rsidRPr="005E6B7C">
              <w:rPr>
                <w:rFonts w:asciiTheme="majorHAnsi" w:eastAsia="Yu Mincho" w:hAnsiTheme="majorHAnsi" w:cstheme="majorHAnsi" w:hint="eastAsia"/>
                <w:color w:val="000000" w:themeColor="text1"/>
                <w:sz w:val="18"/>
                <w:szCs w:val="18"/>
                <w:lang w:val="de-DE" w:eastAsia="ja-JP"/>
              </w:rPr>
              <w:t xml:space="preserve"> 40%)</w:t>
            </w:r>
          </w:p>
        </w:tc>
      </w:tr>
    </w:tbl>
    <w:p w14:paraId="5253AB2C" w14:textId="77777777" w:rsidR="00C012FB" w:rsidRPr="005E6B7C" w:rsidRDefault="00C012FB" w:rsidP="00C012FB">
      <w:pPr>
        <w:tabs>
          <w:tab w:val="left" w:pos="270"/>
          <w:tab w:val="left" w:pos="540"/>
          <w:tab w:val="left" w:pos="9270"/>
        </w:tabs>
        <w:spacing w:before="80"/>
        <w:jc w:val="center"/>
        <w:rPr>
          <w:rFonts w:asciiTheme="majorHAnsi" w:eastAsia="Calibri" w:hAnsiTheme="majorHAnsi" w:cstheme="majorHAnsi"/>
          <w:i/>
          <w:color w:val="000000" w:themeColor="text1"/>
          <w:sz w:val="18"/>
          <w:szCs w:val="18"/>
          <w:lang w:val="de-DE" w:eastAsia="ja-JP"/>
        </w:rPr>
      </w:pPr>
      <w:bookmarkStart w:id="48" w:name="_Hlk153051934"/>
      <w:r w:rsidRPr="005E6B7C">
        <w:rPr>
          <w:rFonts w:asciiTheme="majorHAnsi" w:eastAsia="Calibri" w:hAnsiTheme="majorHAnsi" w:cstheme="majorHAnsi"/>
          <w:i/>
          <w:color w:val="000000" w:themeColor="text1"/>
          <w:sz w:val="18"/>
          <w:szCs w:val="18"/>
          <w:vertAlign w:val="superscript"/>
          <w:lang w:eastAsia="ja-JP"/>
        </w:rPr>
        <w:t>*</w:t>
      </w:r>
      <w:r w:rsidRPr="005E6B7C">
        <w:rPr>
          <w:rFonts w:asciiTheme="majorHAnsi" w:eastAsia="Calibri" w:hAnsiTheme="majorHAnsi" w:cstheme="majorHAnsi"/>
          <w:i/>
          <w:color w:val="000000" w:themeColor="text1"/>
          <w:sz w:val="18"/>
          <w:szCs w:val="18"/>
          <w:lang w:eastAsia="ja-JP"/>
        </w:rPr>
        <w:t xml:space="preserve">: p &lt; 0.05 </w:t>
      </w:r>
      <w:r w:rsidRPr="005E6B7C">
        <w:rPr>
          <w:rFonts w:asciiTheme="majorHAnsi" w:eastAsia="Calibri" w:hAnsiTheme="majorHAnsi" w:cstheme="majorHAnsi"/>
          <w:i/>
          <w:color w:val="000000" w:themeColor="text1"/>
          <w:sz w:val="18"/>
          <w:szCs w:val="18"/>
          <w:lang w:val="de-DE" w:eastAsia="ja-JP"/>
        </w:rPr>
        <w:t>vs Normoglycemic control</w:t>
      </w:r>
      <w:r w:rsidRPr="005E6B7C">
        <w:rPr>
          <w:rFonts w:asciiTheme="majorHAnsi" w:eastAsia="Calibri" w:hAnsiTheme="majorHAnsi" w:cstheme="majorHAnsi"/>
          <w:i/>
          <w:color w:val="000000" w:themeColor="text1"/>
          <w:sz w:val="18"/>
          <w:szCs w:val="18"/>
          <w:lang w:eastAsia="ja-JP"/>
        </w:rPr>
        <w:t xml:space="preserve">; </w:t>
      </w:r>
      <w:r w:rsidRPr="005E6B7C">
        <w:rPr>
          <w:rFonts w:asciiTheme="majorHAnsi" w:eastAsia="Calibri" w:hAnsiTheme="majorHAnsi" w:cstheme="majorHAnsi"/>
          <w:i/>
          <w:color w:val="000000" w:themeColor="text1"/>
          <w:sz w:val="18"/>
          <w:szCs w:val="18"/>
          <w:vertAlign w:val="superscript"/>
          <w:lang w:eastAsia="ja-JP"/>
        </w:rPr>
        <w:t>#</w:t>
      </w:r>
      <w:r w:rsidRPr="005E6B7C">
        <w:rPr>
          <w:rFonts w:asciiTheme="majorHAnsi" w:eastAsia="Calibri" w:hAnsiTheme="majorHAnsi" w:cstheme="majorHAnsi"/>
          <w:i/>
          <w:color w:val="000000" w:themeColor="text1"/>
          <w:sz w:val="18"/>
          <w:szCs w:val="18"/>
          <w:lang w:eastAsia="ja-JP"/>
        </w:rPr>
        <w:t xml:space="preserve"> :p &lt; 0.001 </w:t>
      </w:r>
      <w:bookmarkEnd w:id="48"/>
      <w:r w:rsidRPr="005E6B7C">
        <w:rPr>
          <w:rFonts w:asciiTheme="majorHAnsi" w:eastAsia="Calibri" w:hAnsiTheme="majorHAnsi" w:cstheme="majorHAnsi"/>
          <w:i/>
          <w:color w:val="000000" w:themeColor="text1"/>
          <w:sz w:val="18"/>
          <w:szCs w:val="18"/>
          <w:lang w:val="de-DE" w:eastAsia="ja-JP"/>
        </w:rPr>
        <w:t>vs Hyperglycemic control; (...): The percentage of increase/decrease.</w:t>
      </w:r>
    </w:p>
    <w:p w14:paraId="6EDA98EA" w14:textId="77777777" w:rsidR="00C012FB" w:rsidRPr="005E6B7C" w:rsidRDefault="00C012FB" w:rsidP="00C012FB">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p>
    <w:p w14:paraId="5329325B" w14:textId="77777777" w:rsidR="00C012FB" w:rsidRPr="005E6B7C" w:rsidRDefault="00C012FB" w:rsidP="00C012FB">
      <w:pPr>
        <w:tabs>
          <w:tab w:val="left" w:pos="9270"/>
        </w:tabs>
        <w:spacing w:line="26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space="284"/>
          <w:docGrid w:linePitch="360"/>
        </w:sectPr>
      </w:pPr>
    </w:p>
    <w:p w14:paraId="6E7DB5E1"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results presented in Table 5 show that the MDA content in the kidneys of the hyperglycemic control group significantly increased compared to the normoglycemic control, indicating lipid peroxidative damage induced by streptozotocin. Conversely, the renal GSH content in the hyperglycemic control group was markedly lower than that of the normoglycemic control group. Treatment with the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ethanol extract (1.33 g/kg) or glibenclamide (5 mg/kg) for 14 consecutive days significantly reduced renal MDA levels and elevated GSH levels compared to the hyperglycemic control. Notably, the levels of MDA and GSH in these treatment groups showed no statistically significant difference when compared to the normal control group. </w:t>
      </w:r>
    </w:p>
    <w:p w14:paraId="67B77D5C"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Discussion</w:t>
      </w:r>
    </w:p>
    <w:p w14:paraId="05511FBF"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eastAsia="ja-JP"/>
        </w:rPr>
        <w:t xml:space="preserve">The results demonstrated that the </w:t>
      </w:r>
      <w:r w:rsidRPr="005E6B7C">
        <w:rPr>
          <w:rFonts w:asciiTheme="majorHAnsi" w:eastAsia="Yu Mincho" w:hAnsiTheme="majorHAnsi" w:cstheme="majorHAnsi"/>
          <w:i/>
          <w:color w:val="000000" w:themeColor="text1"/>
          <w:spacing w:val="-6"/>
          <w:sz w:val="22"/>
          <w:szCs w:val="22"/>
          <w:lang w:eastAsia="ja-JP"/>
        </w:rPr>
        <w:t>H. tiliaceus</w:t>
      </w:r>
      <w:r w:rsidRPr="005E6B7C">
        <w:rPr>
          <w:rFonts w:asciiTheme="majorHAnsi" w:eastAsia="Yu Mincho" w:hAnsiTheme="majorHAnsi" w:cstheme="majorHAnsi"/>
          <w:color w:val="000000" w:themeColor="text1"/>
          <w:spacing w:val="-6"/>
          <w:sz w:val="22"/>
          <w:szCs w:val="22"/>
          <w:lang w:eastAsia="ja-JP"/>
        </w:rPr>
        <w:t xml:space="preserve"> ethanol extract, characterized by higher total polyphenol and flavonoid contents, exerted more potent DPPH radical scavenging and </w:t>
      </w:r>
      <w:r w:rsidRPr="005E6B7C">
        <w:rPr>
          <w:rFonts w:asciiTheme="majorHAnsi" w:eastAsia="Yu Mincho" w:hAnsiTheme="majorHAnsi" w:cstheme="majorHAnsi"/>
          <w:i/>
          <w:color w:val="000000" w:themeColor="text1"/>
          <w:spacing w:val="-6"/>
          <w:sz w:val="22"/>
          <w:szCs w:val="22"/>
          <w:lang w:eastAsia="ja-JP"/>
        </w:rPr>
        <w:t>α</w:t>
      </w:r>
      <w:r w:rsidRPr="005E6B7C">
        <w:rPr>
          <w:rFonts w:asciiTheme="majorHAnsi" w:eastAsia="Yu Mincho" w:hAnsiTheme="majorHAnsi" w:cstheme="majorHAnsi"/>
          <w:color w:val="000000" w:themeColor="text1"/>
          <w:spacing w:val="-6"/>
          <w:sz w:val="22"/>
          <w:szCs w:val="22"/>
          <w:lang w:eastAsia="ja-JP"/>
        </w:rPr>
        <w:t xml:space="preserve">-glucosidase inhibitory activities compared to the aqueous extract. Furthermore, the ethanol extract exhibited significant antihyperglycemic effects by lowering both fasting plasma glucose and postprandial glucose levels during the OGTT. Notably, it simultaneously mitigated oxidative stress-induced kidney damage in STZ-induced hyperglycemic mice. </w:t>
      </w:r>
    </w:p>
    <w:p w14:paraId="143B9664"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Postprandial blood glucose is a critical indicator of metabolic health and is a </w:t>
      </w:r>
      <w:r w:rsidRPr="005E6B7C">
        <w:rPr>
          <w:rFonts w:asciiTheme="majorHAnsi" w:eastAsia="Yu Mincho" w:hAnsiTheme="majorHAnsi" w:cstheme="majorHAnsi"/>
          <w:color w:val="000000" w:themeColor="text1"/>
          <w:sz w:val="22"/>
          <w:szCs w:val="22"/>
          <w:lang w:eastAsia="ja-JP"/>
        </w:rPr>
        <w:t xml:space="preserve">recommended glycemic target in diabetic management. In this study, the glucose-lowering effect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45% ethanol extract was not observed in normoglycemic mice following glucose overload. This stands in contrast to the findings of Sofia V. et al. (2024), who reported that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 reduced blood glucose levels during OGTT at doses of 200–800 mg/kg [5]. Notably, Sofia V. et al. employed a 70% ethanol solvent via maceration; this higher ethanol concentration may have resulted in a different phytochemical profile, potentially accounting for the varying pharmacological outcomes. </w:t>
      </w:r>
    </w:p>
    <w:p w14:paraId="4D05300D"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Our previous study revealed that the 70% ethanol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 at </w:t>
      </w:r>
      <w:r w:rsidRPr="005E6B7C">
        <w:rPr>
          <w:rFonts w:asciiTheme="majorHAnsi" w:eastAsia="Calibri" w:hAnsiTheme="majorHAnsi" w:cstheme="majorHAnsi"/>
          <w:color w:val="000000" w:themeColor="text1"/>
          <w:sz w:val="22"/>
          <w:szCs w:val="22"/>
          <w:lang w:eastAsia="ja-JP"/>
        </w:rPr>
        <w:t>1.04 g/kg</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Calibri" w:hAnsiTheme="majorHAnsi" w:cstheme="majorHAnsi"/>
          <w:color w:val="000000" w:themeColor="text1"/>
          <w:sz w:val="22"/>
          <w:szCs w:val="22"/>
          <w:lang w:eastAsia="ja-JP"/>
        </w:rPr>
        <w:t xml:space="preserve">equivalent to 5 g of crude material/kg) </w:t>
      </w:r>
      <w:r w:rsidRPr="005E6B7C">
        <w:rPr>
          <w:rFonts w:asciiTheme="majorHAnsi" w:eastAsia="Yu Mincho" w:hAnsiTheme="majorHAnsi" w:cstheme="majorHAnsi"/>
          <w:color w:val="000000" w:themeColor="text1"/>
          <w:sz w:val="22"/>
          <w:szCs w:val="22"/>
          <w:lang w:eastAsia="ja-JP"/>
        </w:rPr>
        <w:t xml:space="preserve">reduced blood glucose levels in high-fat diet-induced obese hyperglycemic mice [6]. Similarly, the present study demonstrated that the 45% ethanol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 administered at 1.33 g/kg (also equivalent to 5 g of crude material/kg), significantly reduced fasting plasma glucose levels in hyperglycemic mice. Furthermore, it effectively blunted the rise in plasma glucose at both 30 and 120 min post-glucose challenge in STZ-induced hyperglycemic mice. </w:t>
      </w:r>
    </w:p>
    <w:p w14:paraId="5B1145A0"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STZ injection induced diabetic symptoms similar to those observed in humans, particularly hyperglycemia, resulting from the partial or complete destruction of pancreatic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-cells in the </w:t>
      </w:r>
      <w:r w:rsidRPr="005E6B7C">
        <w:rPr>
          <w:rFonts w:asciiTheme="majorHAnsi" w:eastAsia="Yu Mincho" w:hAnsiTheme="majorHAnsi" w:cstheme="majorHAnsi"/>
          <w:color w:val="000000" w:themeColor="text1"/>
          <w:sz w:val="22"/>
          <w:szCs w:val="22"/>
          <w:lang w:eastAsia="ja-JP"/>
        </w:rPr>
        <w:lastRenderedPageBreak/>
        <w:t xml:space="preserve">islets of Langerhans [15]. Additionally, the OGTT is a standard procedure for diagnosing diabetes mellitus, insulin resistance, and impaired pancreatic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 function in clinical settings [14]. Collectively, these data suggest that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 exerts its antihyperglycemic effect and improves oral glucose tolerance through multifaceted mechanisms. Based on the pathways of glucose uptake and metabolism, the antihyperglycemic effect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extracts in STZ-induced hyperglycemic mice may involve: (1) inhibition of intestinal glucose absorption via transporter modulation (e.g., SGLT1/GLUT2); (2) enhancement of insulin secretion by improving pancreatic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 function; (3) protection or regeneration of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-cells; (4) augmentation of insulin sensitivity in target tissues; (5) suppression of gluconeogenesis and glycogenolysis; and (6) inhibition of carbohydrate-metabolizing enzymes such as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and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-amylase. Consequently, further studies are warranted to elucidate the specific molecular pathways underlying these effects.</w:t>
      </w:r>
    </w:p>
    <w:p w14:paraId="40A90256"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Chronic hyperglycemia leads to severe complications, such as diabetic nephropathy, driven largely by the overproduction of reactive oxygen species (ROS). Pancreatic </w:t>
      </w:r>
      <w:r w:rsidRPr="005E6B7C">
        <w:rPr>
          <w:rFonts w:asciiTheme="majorHAnsi" w:eastAsia="Yu Mincho" w:hAnsiTheme="majorHAnsi" w:cstheme="majorHAnsi"/>
          <w:i/>
          <w:color w:val="000000" w:themeColor="text1"/>
          <w:spacing w:val="-4"/>
          <w:sz w:val="22"/>
          <w:szCs w:val="22"/>
          <w:lang w:eastAsia="ja-JP"/>
        </w:rPr>
        <w:t>β</w:t>
      </w:r>
      <w:r w:rsidRPr="005E6B7C">
        <w:rPr>
          <w:rFonts w:asciiTheme="majorHAnsi" w:eastAsia="Yu Mincho" w:hAnsiTheme="majorHAnsi" w:cstheme="majorHAnsi"/>
          <w:color w:val="000000" w:themeColor="text1"/>
          <w:spacing w:val="-4"/>
          <w:sz w:val="22"/>
          <w:szCs w:val="22"/>
          <w:lang w:eastAsia="ja-JP"/>
        </w:rPr>
        <w:t xml:space="preserve">-cells are particularly vulnerable to oxidative stress due to their inherently low antioxidant capacity, which is further compromised under hyperglycemic conditions [16]. STZ also promotes oxidative damage to other cells by generating ROS and nitrogen free radicals, leading to mitochondrial dysfunction and lipid peroxidation [15]. In this study, the </w:t>
      </w:r>
      <w:r w:rsidRPr="005E6B7C">
        <w:rPr>
          <w:rFonts w:asciiTheme="majorHAnsi" w:eastAsia="Yu Mincho" w:hAnsiTheme="majorHAnsi" w:cstheme="majorHAnsi"/>
          <w:i/>
          <w:color w:val="000000" w:themeColor="text1"/>
          <w:spacing w:val="-4"/>
          <w:sz w:val="22"/>
          <w:szCs w:val="22"/>
          <w:lang w:eastAsia="ja-JP"/>
        </w:rPr>
        <w:t>H. tiliaceus</w:t>
      </w:r>
      <w:r w:rsidRPr="005E6B7C">
        <w:rPr>
          <w:rFonts w:asciiTheme="majorHAnsi" w:eastAsia="Yu Mincho" w:hAnsiTheme="majorHAnsi" w:cstheme="majorHAnsi"/>
          <w:color w:val="000000" w:themeColor="text1"/>
          <w:spacing w:val="-4"/>
          <w:sz w:val="22"/>
          <w:szCs w:val="22"/>
          <w:lang w:eastAsia="ja-JP"/>
        </w:rPr>
        <w:t xml:space="preserve"> ethanol extract effectively attenuated MDA levels, a key lipid peroxidation marker, and enhanced endogenous GSH levels in the kidneys of hyperglycemic mice. These findings are consistent with the extract's robust </w:t>
      </w:r>
      <w:r w:rsidRPr="005E6B7C">
        <w:rPr>
          <w:rFonts w:asciiTheme="majorHAnsi" w:eastAsia="Yu Mincho" w:hAnsiTheme="majorHAnsi" w:cstheme="majorHAnsi"/>
          <w:i/>
          <w:iCs/>
          <w:color w:val="000000" w:themeColor="text1"/>
          <w:spacing w:val="-4"/>
          <w:sz w:val="22"/>
          <w:szCs w:val="22"/>
          <w:lang w:eastAsia="ja-JP"/>
        </w:rPr>
        <w:t>in vitro</w:t>
      </w:r>
      <w:r w:rsidRPr="005E6B7C">
        <w:rPr>
          <w:rFonts w:asciiTheme="majorHAnsi" w:eastAsia="Yu Mincho" w:hAnsiTheme="majorHAnsi" w:cstheme="majorHAnsi"/>
          <w:color w:val="000000" w:themeColor="text1"/>
          <w:spacing w:val="-4"/>
          <w:sz w:val="22"/>
          <w:szCs w:val="22"/>
          <w:lang w:eastAsia="ja-JP"/>
        </w:rPr>
        <w:t xml:space="preserve"> antioxidant activity and align with previous reports identifying high phenolic content and antioxidant potency in crude ethanol extract and ethyl acetate fractions of this species [17],[18],[19]. </w:t>
      </w:r>
    </w:p>
    <w:p w14:paraId="2ECB76B5"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Phytochemical profiles have identified several bioactive compounds in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including quercetin, kaempferol,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-sitosterol, catechin, rutin hydrate, and ellagic acid [17],[19]. Natural antioxidants, such as polyphenols and flavonoids, play a vital role in antidiabetic therapy by targeting mechanisms related to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 </w:t>
      </w:r>
      <w:r w:rsidRPr="005E6B7C">
        <w:rPr>
          <w:rFonts w:asciiTheme="majorHAnsi" w:eastAsia="Yu Mincho" w:hAnsiTheme="majorHAnsi" w:cstheme="majorHAnsi"/>
          <w:color w:val="000000" w:themeColor="text1"/>
          <w:sz w:val="22"/>
          <w:szCs w:val="22"/>
          <w:lang w:eastAsia="ja-JP"/>
        </w:rPr>
        <w:t xml:space="preserve">dysfunction, apoptosis, pro-inflammatory cytokines, mitochondrial dysfunction, and endoplasmic reticulum stress [20]. Specifically, polyphenols have been reported to enhance hepatic and pancreatic antioxidant enzyme activities, thereby reducing oxidative stress in organ-specific oxidative stress—an effect most pronounced in diabetic models when combined with standard antidiabetic drugs [20]. Similarly, flavonoids—a major class of polyphenols—exhibit potent inhibitory effects against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and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-amylase, contributing to both hypoglycemic and antioxidant outcomes in diabetic models [21]. Both quercetin and kaempferol have been documented as potent inhibitors of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-glucosidase and </w:t>
      </w:r>
      <w:r w:rsidRPr="005E6B7C">
        <w:rPr>
          <w:rFonts w:asciiTheme="majorHAnsi" w:eastAsia="Yu Mincho" w:hAnsiTheme="majorHAnsi" w:cstheme="majorHAnsi"/>
          <w:i/>
          <w:color w:val="000000" w:themeColor="text1"/>
          <w:sz w:val="22"/>
          <w:szCs w:val="22"/>
          <w:lang w:eastAsia="ja-JP"/>
        </w:rPr>
        <w:t>α</w:t>
      </w:r>
      <w:r w:rsidRPr="005E6B7C">
        <w:rPr>
          <w:rFonts w:asciiTheme="majorHAnsi" w:eastAsia="Yu Mincho" w:hAnsiTheme="majorHAnsi" w:cstheme="majorHAnsi"/>
          <w:color w:val="000000" w:themeColor="text1"/>
          <w:sz w:val="22"/>
          <w:szCs w:val="22"/>
          <w:lang w:eastAsia="ja-JP"/>
        </w:rPr>
        <w:t xml:space="preserve">-amylase, playing a crucial role in the management of postprandial hyperglycemia. This suggests a protective role for the extract in reducing oxidative tissue damage and mitigating the risk of diabetic kidney complications. However, as this study did not specifically investigate the protective mechanisms against pancreatic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-cell damage, further research is required to elucidate these specific protective mechanisms. </w:t>
      </w:r>
    </w:p>
    <w:p w14:paraId="4E95D2F2"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Additionally, both young and mature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contain essential oils, primarily linoleic acid, linolenic acid, and volatile compounds such as cis-vaccenic acid and glycidyl palmitate [18]. Essential oils have been reported to possess antidiabetic properties by modulating gluconeogenesis, upregulating insulin secretion, and enhancing insulin sensitivity [22]. Given these diverse bioactive components, further chemical and pharmacological investigations focusing on the essential oil fraction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are warranted to fully elucidate its therapeutic potential.</w:t>
      </w:r>
    </w:p>
    <w:p w14:paraId="64CA7BE8" w14:textId="77777777" w:rsidR="00C012FB" w:rsidRPr="005E6B7C" w:rsidRDefault="00C012FB" w:rsidP="00C012FB">
      <w:pPr>
        <w:tabs>
          <w:tab w:val="left" w:pos="9270"/>
        </w:tabs>
        <w:spacing w:line="258"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5. Conclusion</w:t>
      </w:r>
    </w:p>
    <w:p w14:paraId="470065FF" w14:textId="77777777" w:rsidR="00C012FB" w:rsidRPr="005E6B7C" w:rsidRDefault="00C012FB" w:rsidP="00C012FB">
      <w:pPr>
        <w:tabs>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conclusion, oral administration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leaf 45% ethanol extract (1.33 g/kg for 14 days) effectively reduced fasting plasma glucose and improved glucose tolerance in hyperglycemic mice. Furthermore, the extract ameliorated hyperglycemia-induced oxidative damage by significantly attenuating malondialdehyde levels and elevating glutathione content in the kidneys. These findings suggest that the 45% ethanol extract of </w:t>
      </w:r>
      <w:r w:rsidRPr="005E6B7C">
        <w:rPr>
          <w:rFonts w:asciiTheme="majorHAnsi" w:eastAsia="Yu Mincho" w:hAnsiTheme="majorHAnsi" w:cstheme="majorHAnsi"/>
          <w:i/>
          <w:color w:val="000000" w:themeColor="text1"/>
          <w:sz w:val="22"/>
          <w:szCs w:val="22"/>
          <w:lang w:eastAsia="ja-JP"/>
        </w:rPr>
        <w:t>H. tiliaceus</w:t>
      </w:r>
      <w:r w:rsidRPr="005E6B7C">
        <w:rPr>
          <w:rFonts w:asciiTheme="majorHAnsi" w:eastAsia="Yu Mincho" w:hAnsiTheme="majorHAnsi" w:cstheme="majorHAnsi"/>
          <w:color w:val="000000" w:themeColor="text1"/>
          <w:sz w:val="22"/>
          <w:szCs w:val="22"/>
          <w:lang w:eastAsia="ja-JP"/>
        </w:rPr>
        <w:t xml:space="preserve"> leaves is a promising natural candidate for glycemic management and the </w:t>
      </w:r>
      <w:r w:rsidRPr="005E6B7C">
        <w:rPr>
          <w:rFonts w:asciiTheme="majorHAnsi" w:eastAsia="Yu Mincho" w:hAnsiTheme="majorHAnsi" w:cstheme="majorHAnsi"/>
          <w:color w:val="000000" w:themeColor="text1"/>
          <w:sz w:val="22"/>
          <w:szCs w:val="22"/>
          <w:lang w:eastAsia="ja-JP"/>
        </w:rPr>
        <w:lastRenderedPageBreak/>
        <w:t>prevention of diabetic kidney complications.</w:t>
      </w:r>
    </w:p>
    <w:p w14:paraId="7555C4FF" w14:textId="77777777" w:rsidR="00C012FB" w:rsidRPr="005E6B7C" w:rsidRDefault="00C012FB" w:rsidP="00C012FB">
      <w:pPr>
        <w:tabs>
          <w:tab w:val="left" w:pos="9270"/>
        </w:tabs>
        <w:spacing w:line="260" w:lineRule="exact"/>
        <w:ind w:firstLine="284"/>
        <w:jc w:val="both"/>
        <w:rPr>
          <w:rFonts w:asciiTheme="majorHAnsi" w:eastAsia="Yu Mincho" w:hAnsiTheme="majorHAnsi" w:cstheme="majorHAnsi"/>
          <w:color w:val="000000" w:themeColor="text1"/>
          <w:sz w:val="22"/>
          <w:szCs w:val="22"/>
          <w:lang w:eastAsia="ja-JP"/>
        </w:rPr>
        <w:sectPr w:rsidR="00C012FB" w:rsidRPr="005E6B7C" w:rsidSect="00C012FB">
          <w:type w:val="continuous"/>
          <w:pgSz w:w="10773" w:h="15309" w:code="9"/>
          <w:pgMar w:top="907" w:right="851" w:bottom="1418" w:left="851" w:header="397" w:footer="851" w:gutter="0"/>
          <w:cols w:num="2" w:space="284"/>
          <w:docGrid w:linePitch="360"/>
        </w:sectPr>
      </w:pPr>
    </w:p>
    <w:p w14:paraId="767350E9" w14:textId="77777777" w:rsidR="00C012FB" w:rsidRPr="005E6B7C" w:rsidRDefault="00C012FB" w:rsidP="00C012FB">
      <w:pPr>
        <w:tabs>
          <w:tab w:val="left" w:pos="270"/>
          <w:tab w:val="left" w:pos="540"/>
          <w:tab w:val="left" w:pos="9270"/>
        </w:tabs>
        <w:spacing w:before="120" w:after="1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40F3F899"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Ganjia M. F., Ansari-Moghaddam A., Amanollahid A., Fallahie R., Abdolmohammadi N. (2024), The prevalence of kidney failure in diabetic patients with and without anemia: A systematic review and meta-analysis, </w:t>
      </w:r>
      <w:r w:rsidRPr="005E6B7C">
        <w:rPr>
          <w:rFonts w:asciiTheme="majorHAnsi" w:eastAsia="Yu Mincho" w:hAnsiTheme="majorHAnsi" w:cstheme="majorHAnsi"/>
          <w:i/>
          <w:color w:val="000000" w:themeColor="text1"/>
          <w:sz w:val="18"/>
          <w:szCs w:val="18"/>
          <w:lang w:eastAsia="ja-JP"/>
        </w:rPr>
        <w:t>Clinical Epidemiology and Global Health</w:t>
      </w:r>
      <w:r w:rsidRPr="005E6B7C">
        <w:rPr>
          <w:rFonts w:asciiTheme="majorHAnsi" w:eastAsia="Yu Mincho" w:hAnsiTheme="majorHAnsi" w:cstheme="majorHAnsi"/>
          <w:color w:val="000000" w:themeColor="text1"/>
          <w:sz w:val="18"/>
          <w:szCs w:val="18"/>
          <w:lang w:eastAsia="ja-JP"/>
        </w:rPr>
        <w:t>, vol. 28, 101641.</w:t>
      </w:r>
    </w:p>
    <w:p w14:paraId="6A94EC75"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Từ Kim Thanh, Võ Trần Minh Trí, Liêu Thị Trúc Thanh, Phan Trung Nguyên, H-Oan ByĂ (2025), Khảo sát tỷ lệ bệnh thận mạn và các yếu tố liên quan ở bệnh nhân đái tháo đường típ 2 điều trị ngoại trú tại Bệnh viện Lê Văn Thịnh năm 2025, </w:t>
      </w:r>
      <w:r w:rsidRPr="005E6B7C">
        <w:rPr>
          <w:rFonts w:asciiTheme="majorHAnsi" w:eastAsia="Yu Mincho" w:hAnsiTheme="majorHAnsi" w:cstheme="majorHAnsi"/>
          <w:i/>
          <w:color w:val="000000" w:themeColor="text1"/>
          <w:sz w:val="18"/>
          <w:szCs w:val="18"/>
          <w:lang w:eastAsia="ja-JP"/>
        </w:rPr>
        <w:t>Tạp chí Y học Thành phố Hồ Chí Minh</w:t>
      </w:r>
      <w:r w:rsidRPr="005E6B7C">
        <w:rPr>
          <w:rFonts w:asciiTheme="majorHAnsi" w:eastAsia="Yu Mincho" w:hAnsiTheme="majorHAnsi" w:cstheme="majorHAnsi"/>
          <w:color w:val="000000" w:themeColor="text1"/>
          <w:sz w:val="18"/>
          <w:szCs w:val="18"/>
          <w:lang w:eastAsia="ja-JP"/>
        </w:rPr>
        <w:t>, 28(11),172-177.</w:t>
      </w:r>
    </w:p>
    <w:p w14:paraId="6E402D67"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Abdul-Awal S. M., Nazmir S., Nasrin S., Nurunnabi T. R., Uddin S. J. (2016), Evaluation of pharmacological activity of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SpringerPlus</w:t>
      </w:r>
      <w:r w:rsidRPr="005E6B7C">
        <w:rPr>
          <w:rFonts w:asciiTheme="majorHAnsi" w:eastAsia="Yu Mincho" w:hAnsiTheme="majorHAnsi" w:cstheme="majorHAnsi"/>
          <w:color w:val="000000" w:themeColor="text1"/>
          <w:sz w:val="18"/>
          <w:szCs w:val="18"/>
          <w:lang w:eastAsia="ja-JP"/>
        </w:rPr>
        <w:t xml:space="preserve">, 5, 1209. </w:t>
      </w:r>
    </w:p>
    <w:p w14:paraId="2F1AADA6"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Iskandar A. F. A., Santoso U., Supriyadi S. (2023), Chemical characteristics of Waru leaf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as food packaging material, </w:t>
      </w:r>
      <w:r w:rsidRPr="005E6B7C">
        <w:rPr>
          <w:rFonts w:asciiTheme="majorHAnsi" w:eastAsia="Yu Mincho" w:hAnsiTheme="majorHAnsi" w:cstheme="majorHAnsi"/>
          <w:i/>
          <w:color w:val="000000" w:themeColor="text1"/>
          <w:sz w:val="18"/>
          <w:szCs w:val="18"/>
          <w:lang w:eastAsia="ja-JP"/>
        </w:rPr>
        <w:t>Journal of Indonesian Food and Nutrition Progress</w:t>
      </w:r>
      <w:r w:rsidRPr="005E6B7C">
        <w:rPr>
          <w:rFonts w:asciiTheme="majorHAnsi" w:eastAsia="Yu Mincho" w:hAnsiTheme="majorHAnsi" w:cstheme="majorHAnsi"/>
          <w:color w:val="000000" w:themeColor="text1"/>
          <w:sz w:val="18"/>
          <w:szCs w:val="18"/>
          <w:lang w:eastAsia="ja-JP"/>
        </w:rPr>
        <w:t xml:space="preserve">, 20(2), 72–78. </w:t>
      </w:r>
    </w:p>
    <w:p w14:paraId="2D847C11"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Sofia V., Firdaus T. N., Saputri M. (2024), Phytochemical screening and anti-hyperglycemic effect test of ethanol extract of Waru leaf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on glucose-loaded mice, </w:t>
      </w:r>
      <w:r w:rsidRPr="005E6B7C">
        <w:rPr>
          <w:rFonts w:asciiTheme="majorHAnsi" w:eastAsia="Yu Mincho" w:hAnsiTheme="majorHAnsi" w:cstheme="majorHAnsi"/>
          <w:i/>
          <w:color w:val="000000" w:themeColor="text1"/>
          <w:sz w:val="18"/>
          <w:szCs w:val="18"/>
          <w:lang w:eastAsia="ja-JP"/>
        </w:rPr>
        <w:t>Jurnal Farmasi dan Ilmu Kefarmasian Indonesia</w:t>
      </w:r>
      <w:r w:rsidRPr="005E6B7C">
        <w:rPr>
          <w:rFonts w:asciiTheme="majorHAnsi" w:eastAsia="Yu Mincho" w:hAnsiTheme="majorHAnsi" w:cstheme="majorHAnsi"/>
          <w:color w:val="000000" w:themeColor="text1"/>
          <w:sz w:val="18"/>
          <w:szCs w:val="18"/>
          <w:lang w:eastAsia="ja-JP"/>
        </w:rPr>
        <w:t xml:space="preserve">, 11(3), 345–355. </w:t>
      </w:r>
    </w:p>
    <w:p w14:paraId="4E986BF2"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Nguyen D. T., Pham H. T. V., Nguyen Q. N., Dinh T. V. V., Nguyen T. T. H., Cao N. G., Nguyen H. M. (2023), Study on the anti-hyperglycemic effect of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L. leaves in obese/diabetic (+DB/+DB) mice, </w:t>
      </w:r>
      <w:r w:rsidRPr="005E6B7C">
        <w:rPr>
          <w:rFonts w:asciiTheme="majorHAnsi" w:eastAsia="Yu Mincho" w:hAnsiTheme="majorHAnsi" w:cstheme="majorHAnsi"/>
          <w:i/>
          <w:color w:val="000000" w:themeColor="text1"/>
          <w:sz w:val="18"/>
          <w:szCs w:val="18"/>
          <w:lang w:eastAsia="ja-JP"/>
        </w:rPr>
        <w:t>Journal of Medicinal Materials</w:t>
      </w:r>
      <w:r w:rsidRPr="005E6B7C">
        <w:rPr>
          <w:rFonts w:asciiTheme="majorHAnsi" w:eastAsia="Yu Mincho" w:hAnsiTheme="majorHAnsi" w:cstheme="majorHAnsi"/>
          <w:color w:val="000000" w:themeColor="text1"/>
          <w:sz w:val="18"/>
          <w:szCs w:val="18"/>
          <w:lang w:eastAsia="ja-JP"/>
        </w:rPr>
        <w:t>, 28(6), 379-384.</w:t>
      </w:r>
    </w:p>
    <w:p w14:paraId="4871FF9A"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Le B. V., Nguyen  T. M. N., Chu D. T., Tran T. H., Le H. T., Nguyen V. T., Nguyen H. M., Nguyen P. T., Hwang I., Yang S. Y., Kim Y. H. (2019), Chemical constituents of Vietnamese mangrove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with antioxidant and alpha-glucosidase inhibitory activity, </w:t>
      </w:r>
      <w:r w:rsidRPr="005E6B7C">
        <w:rPr>
          <w:rFonts w:asciiTheme="majorHAnsi" w:eastAsia="Yu Mincho" w:hAnsiTheme="majorHAnsi" w:cstheme="majorHAnsi"/>
          <w:i/>
          <w:color w:val="000000" w:themeColor="text1"/>
          <w:sz w:val="18"/>
          <w:szCs w:val="18"/>
          <w:lang w:eastAsia="ja-JP"/>
        </w:rPr>
        <w:t>Natural Product Research</w:t>
      </w:r>
      <w:r w:rsidRPr="005E6B7C">
        <w:rPr>
          <w:rFonts w:asciiTheme="majorHAnsi" w:eastAsia="Yu Mincho" w:hAnsiTheme="majorHAnsi" w:cstheme="majorHAnsi"/>
          <w:color w:val="000000" w:themeColor="text1"/>
          <w:sz w:val="18"/>
          <w:szCs w:val="18"/>
          <w:lang w:eastAsia="ja-JP"/>
        </w:rPr>
        <w:t xml:space="preserve">, 35(17), 2899–2904. </w:t>
      </w:r>
    </w:p>
    <w:p w14:paraId="586784DF"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Ministry of Health-Vietnam (2015), “Guidelines for the Care and Use of Laboratory Animals”, Decision of No. 141/QĐ-K2ĐT, dated on 27/10/2015. </w:t>
      </w:r>
    </w:p>
    <w:p w14:paraId="16613542"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 Mohsen M. S., Ammar S. M. A. (2008), Total phenolic contents and antioxidant activity of corn tassel extracts, </w:t>
      </w:r>
      <w:r w:rsidRPr="005E6B7C">
        <w:rPr>
          <w:rFonts w:asciiTheme="majorHAnsi" w:eastAsia="Yu Mincho" w:hAnsiTheme="majorHAnsi" w:cstheme="majorHAnsi"/>
          <w:i/>
          <w:color w:val="000000" w:themeColor="text1"/>
          <w:sz w:val="18"/>
          <w:szCs w:val="18"/>
          <w:lang w:eastAsia="ja-JP"/>
        </w:rPr>
        <w:t>Food Chemistry</w:t>
      </w:r>
      <w:r w:rsidRPr="005E6B7C">
        <w:rPr>
          <w:rFonts w:asciiTheme="majorHAnsi" w:eastAsia="Yu Mincho" w:hAnsiTheme="majorHAnsi" w:cstheme="majorHAnsi"/>
          <w:color w:val="000000" w:themeColor="text1"/>
          <w:sz w:val="18"/>
          <w:szCs w:val="18"/>
          <w:lang w:eastAsia="ja-JP"/>
        </w:rPr>
        <w:t xml:space="preserve">, 112(3), 595–598. </w:t>
      </w:r>
    </w:p>
    <w:p w14:paraId="2A44DB14"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Chang C. C., Yang M. H., Wen H. M., Chern J. C. (2002), Estimation of total flavonoid content in propolis by two complementary colorimetric methods, </w:t>
      </w:r>
      <w:r w:rsidRPr="005E6B7C">
        <w:rPr>
          <w:rFonts w:asciiTheme="majorHAnsi" w:eastAsia="Yu Mincho" w:hAnsiTheme="majorHAnsi" w:cstheme="majorHAnsi"/>
          <w:i/>
          <w:color w:val="000000" w:themeColor="text1"/>
          <w:sz w:val="18"/>
          <w:szCs w:val="18"/>
          <w:lang w:eastAsia="ja-JP"/>
        </w:rPr>
        <w:t>Journal of Food and Drug Analysis</w:t>
      </w:r>
      <w:r w:rsidRPr="005E6B7C">
        <w:rPr>
          <w:rFonts w:asciiTheme="majorHAnsi" w:eastAsia="Yu Mincho" w:hAnsiTheme="majorHAnsi" w:cstheme="majorHAnsi"/>
          <w:color w:val="000000" w:themeColor="text1"/>
          <w:sz w:val="18"/>
          <w:szCs w:val="18"/>
          <w:lang w:eastAsia="ja-JP"/>
        </w:rPr>
        <w:t xml:space="preserve">, 10(3), 178–182. </w:t>
      </w:r>
    </w:p>
    <w:p w14:paraId="2E95474A"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Amarowicz R., Pegg R., Rahimi-Moghaddam P., Barl B., Weil J. (2004), Free-radical scavenging capacity and antioxidant activity of selected plant species from the Canadian prairies, </w:t>
      </w:r>
      <w:r w:rsidRPr="005E6B7C">
        <w:rPr>
          <w:rFonts w:asciiTheme="majorHAnsi" w:eastAsia="Yu Mincho" w:hAnsiTheme="majorHAnsi" w:cstheme="majorHAnsi"/>
          <w:i/>
          <w:color w:val="000000" w:themeColor="text1"/>
          <w:sz w:val="18"/>
          <w:szCs w:val="18"/>
          <w:lang w:eastAsia="ja-JP"/>
        </w:rPr>
        <w:t>Food Chemistry</w:t>
      </w:r>
      <w:r w:rsidRPr="005E6B7C">
        <w:rPr>
          <w:rFonts w:asciiTheme="majorHAnsi" w:eastAsia="Yu Mincho" w:hAnsiTheme="majorHAnsi" w:cstheme="majorHAnsi"/>
          <w:color w:val="000000" w:themeColor="text1"/>
          <w:sz w:val="18"/>
          <w:szCs w:val="18"/>
          <w:lang w:eastAsia="ja-JP"/>
        </w:rPr>
        <w:t xml:space="preserve">, 84(4), 551–562. </w:t>
      </w:r>
    </w:p>
    <w:p w14:paraId="2FDC9E20"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Qaisar M. N., Chaudhary B. A., Sajid M. U., Hussain N. (2014), Evaluation of </w:t>
      </w:r>
      <w:r w:rsidRPr="005E6B7C">
        <w:rPr>
          <w:rFonts w:asciiTheme="majorHAnsi" w:eastAsia="Yu Mincho" w:hAnsiTheme="majorHAnsi" w:cstheme="majorHAnsi"/>
          <w:i/>
          <w:color w:val="000000" w:themeColor="text1"/>
          <w:sz w:val="18"/>
          <w:szCs w:val="18"/>
          <w:lang w:eastAsia="ja-JP"/>
        </w:rPr>
        <w:t>α</w:t>
      </w:r>
      <w:r w:rsidRPr="005E6B7C">
        <w:rPr>
          <w:rFonts w:asciiTheme="majorHAnsi" w:eastAsia="Yu Mincho" w:hAnsiTheme="majorHAnsi" w:cstheme="majorHAnsi"/>
          <w:color w:val="000000" w:themeColor="text1"/>
          <w:sz w:val="18"/>
          <w:szCs w:val="18"/>
          <w:lang w:eastAsia="ja-JP"/>
        </w:rPr>
        <w:t xml:space="preserve">-glucosidase inhibitory activity of dichloromethane and methanol extracts of </w:t>
      </w:r>
      <w:r w:rsidRPr="005E6B7C">
        <w:rPr>
          <w:rFonts w:asciiTheme="majorHAnsi" w:eastAsia="Yu Mincho" w:hAnsiTheme="majorHAnsi" w:cstheme="majorHAnsi"/>
          <w:i/>
          <w:color w:val="000000" w:themeColor="text1"/>
          <w:sz w:val="18"/>
          <w:szCs w:val="18"/>
          <w:lang w:eastAsia="ja-JP"/>
        </w:rPr>
        <w:t>Croton bonplandianum</w:t>
      </w:r>
      <w:r w:rsidRPr="005E6B7C">
        <w:rPr>
          <w:rFonts w:asciiTheme="majorHAnsi" w:eastAsia="Yu Mincho" w:hAnsiTheme="majorHAnsi" w:cstheme="majorHAnsi"/>
          <w:color w:val="000000" w:themeColor="text1"/>
          <w:sz w:val="18"/>
          <w:szCs w:val="18"/>
          <w:lang w:eastAsia="ja-JP"/>
        </w:rPr>
        <w:t xml:space="preserve"> Baill, </w:t>
      </w:r>
      <w:r w:rsidRPr="005E6B7C">
        <w:rPr>
          <w:rFonts w:asciiTheme="majorHAnsi" w:eastAsia="Yu Mincho" w:hAnsiTheme="majorHAnsi" w:cstheme="majorHAnsi"/>
          <w:i/>
          <w:color w:val="000000" w:themeColor="text1"/>
          <w:sz w:val="18"/>
          <w:szCs w:val="18"/>
          <w:lang w:eastAsia="ja-JP"/>
        </w:rPr>
        <w:t>Tropical Journal of Pharmaceutical Research</w:t>
      </w:r>
      <w:r w:rsidRPr="005E6B7C">
        <w:rPr>
          <w:rFonts w:asciiTheme="majorHAnsi" w:eastAsia="Yu Mincho" w:hAnsiTheme="majorHAnsi" w:cstheme="majorHAnsi"/>
          <w:color w:val="000000" w:themeColor="text1"/>
          <w:sz w:val="18"/>
          <w:szCs w:val="18"/>
          <w:lang w:eastAsia="ja-JP"/>
        </w:rPr>
        <w:t xml:space="preserve">, 13(11), 1833. </w:t>
      </w:r>
    </w:p>
    <w:p w14:paraId="3DAB0CF7"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Nguyen T. T. H., Tran T. T. H., Nguyen T. N. Y., Tran T. D. (2023), Renal protective effect of </w:t>
      </w:r>
      <w:r w:rsidRPr="005E6B7C">
        <w:rPr>
          <w:rFonts w:asciiTheme="majorHAnsi" w:eastAsia="Yu Mincho" w:hAnsiTheme="majorHAnsi" w:cstheme="majorHAnsi"/>
          <w:i/>
          <w:color w:val="000000" w:themeColor="text1"/>
          <w:sz w:val="18"/>
          <w:szCs w:val="18"/>
          <w:lang w:eastAsia="ja-JP"/>
        </w:rPr>
        <w:t>Ocimum basilicum</w:t>
      </w:r>
      <w:r w:rsidRPr="005E6B7C">
        <w:rPr>
          <w:rFonts w:asciiTheme="majorHAnsi" w:eastAsia="Yu Mincho" w:hAnsiTheme="majorHAnsi" w:cstheme="majorHAnsi"/>
          <w:color w:val="000000" w:themeColor="text1"/>
          <w:sz w:val="18"/>
          <w:szCs w:val="18"/>
          <w:lang w:eastAsia="ja-JP"/>
        </w:rPr>
        <w:t xml:space="preserve"> L. leaf extract in diabetic mice, </w:t>
      </w:r>
      <w:r w:rsidRPr="005E6B7C">
        <w:rPr>
          <w:rFonts w:asciiTheme="majorHAnsi" w:eastAsia="Yu Mincho" w:hAnsiTheme="majorHAnsi" w:cstheme="majorHAnsi"/>
          <w:i/>
          <w:color w:val="000000" w:themeColor="text1"/>
          <w:sz w:val="18"/>
          <w:szCs w:val="18"/>
          <w:lang w:eastAsia="ja-JP"/>
        </w:rPr>
        <w:t>Hong Bang International University Journal of Science</w:t>
      </w:r>
      <w:r w:rsidRPr="005E6B7C">
        <w:rPr>
          <w:rFonts w:asciiTheme="majorHAnsi" w:eastAsia="Yu Mincho" w:hAnsiTheme="majorHAnsi" w:cstheme="majorHAnsi"/>
          <w:color w:val="000000" w:themeColor="text1"/>
          <w:sz w:val="18"/>
          <w:szCs w:val="18"/>
          <w:lang w:eastAsia="ja-JP"/>
        </w:rPr>
        <w:t xml:space="preserve">, 26, 11/2023, 35–42. </w:t>
      </w:r>
    </w:p>
    <w:p w14:paraId="661D2350"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Andrikopoulos S., Blair A.R., Deluca N., Fam B.C., Proietto J. (2008), Evaluating the glucose tolerance test in mice, </w:t>
      </w:r>
      <w:r w:rsidRPr="005E6B7C">
        <w:rPr>
          <w:rFonts w:asciiTheme="majorHAnsi" w:eastAsia="Yu Mincho" w:hAnsiTheme="majorHAnsi" w:cstheme="majorHAnsi"/>
          <w:i/>
          <w:color w:val="000000" w:themeColor="text1"/>
          <w:sz w:val="18"/>
          <w:szCs w:val="18"/>
          <w:lang w:eastAsia="ja-JP"/>
        </w:rPr>
        <w:t>American Journal of Physiology-Endocrinology and Metabolism</w:t>
      </w:r>
      <w:r w:rsidRPr="005E6B7C">
        <w:rPr>
          <w:rFonts w:asciiTheme="majorHAnsi" w:eastAsia="Yu Mincho" w:hAnsiTheme="majorHAnsi" w:cstheme="majorHAnsi"/>
          <w:color w:val="000000" w:themeColor="text1"/>
          <w:sz w:val="18"/>
          <w:szCs w:val="18"/>
          <w:lang w:eastAsia="ja-JP"/>
        </w:rPr>
        <w:t xml:space="preserve">, 295, E1323–E1332. </w:t>
      </w:r>
    </w:p>
    <w:p w14:paraId="06E0AE20"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Goyal S.N., Reddy N.M., Patil K.R., Nakhate K.T., Ojha S., Patil C.R., et al. (2016), Challenges and issues with streptozotocin-induced diabetes - A clinically relevant animal model to understand the diabetes pathogenesis and evaluate therapeutics, </w:t>
      </w:r>
      <w:r w:rsidRPr="005E6B7C">
        <w:rPr>
          <w:rFonts w:asciiTheme="majorHAnsi" w:eastAsia="Yu Mincho" w:hAnsiTheme="majorHAnsi" w:cstheme="majorHAnsi"/>
          <w:i/>
          <w:color w:val="000000" w:themeColor="text1"/>
          <w:sz w:val="18"/>
          <w:szCs w:val="18"/>
          <w:lang w:eastAsia="ja-JP"/>
        </w:rPr>
        <w:t>Chemico-Biological Interactions</w:t>
      </w:r>
      <w:r w:rsidRPr="005E6B7C">
        <w:rPr>
          <w:rFonts w:asciiTheme="majorHAnsi" w:eastAsia="Yu Mincho" w:hAnsiTheme="majorHAnsi" w:cstheme="majorHAnsi"/>
          <w:color w:val="000000" w:themeColor="text1"/>
          <w:sz w:val="18"/>
          <w:szCs w:val="18"/>
          <w:lang w:eastAsia="ja-JP"/>
        </w:rPr>
        <w:t>, 244</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49-63.</w:t>
      </w:r>
    </w:p>
    <w:p w14:paraId="7484B0FA"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Dinic´ S</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Arambašić Jovanovic´ J</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Uskokovic´ A</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Mihailovic´ M</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Grdovic´ N</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Tolic´ A</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Rajic´ J</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Đorđevic´ M</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Vidakovic´ M</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xml:space="preserve"> (2022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Oxidative stress-mediated beta cell death and dysfunction as a target for diabetes management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Frontiers in Endocrinology</w:t>
      </w:r>
      <w:r w:rsidRPr="005E6B7C">
        <w:rPr>
          <w:rFonts w:asciiTheme="majorHAnsi" w:eastAsia="Yu Mincho" w:hAnsiTheme="majorHAnsi" w:cstheme="majorHAnsi"/>
          <w:color w:val="000000" w:themeColor="text1"/>
          <w:sz w:val="18"/>
          <w:szCs w:val="18"/>
          <w:lang w:eastAsia="ja-JP"/>
        </w:rPr>
        <w:t xml:space="preserve">, 13, 1006376. </w:t>
      </w:r>
    </w:p>
    <w:p w14:paraId="21865F3B"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pacing w:val="-2"/>
          <w:kern w:val="36"/>
          <w:sz w:val="18"/>
          <w:szCs w:val="18"/>
          <w:lang w:eastAsia="ja-JP"/>
        </w:rPr>
        <w:t xml:space="preserve">Hossain H., Akbar P. N., Rahman S. E., Yeasmin S., Khan T. A., Rahman M., Jahan I. A. (2015), HPLC profiling and antioxidant properties of the ethanol extract of </w:t>
      </w:r>
      <w:r w:rsidRPr="005E6B7C">
        <w:rPr>
          <w:rFonts w:asciiTheme="majorHAnsi" w:eastAsia="Times New Roman" w:hAnsiTheme="majorHAnsi" w:cstheme="majorHAnsi"/>
          <w:i/>
          <w:color w:val="000000" w:themeColor="text1"/>
          <w:spacing w:val="-2"/>
          <w:kern w:val="36"/>
          <w:sz w:val="18"/>
          <w:szCs w:val="18"/>
          <w:lang w:eastAsia="ja-JP"/>
        </w:rPr>
        <w:t>Hibiscus tiliaceus</w:t>
      </w:r>
      <w:r w:rsidRPr="005E6B7C">
        <w:rPr>
          <w:rFonts w:asciiTheme="majorHAnsi" w:eastAsia="Times New Roman" w:hAnsiTheme="majorHAnsi" w:cstheme="majorHAnsi"/>
          <w:color w:val="000000" w:themeColor="text1"/>
          <w:spacing w:val="-2"/>
          <w:kern w:val="36"/>
          <w:sz w:val="18"/>
          <w:szCs w:val="18"/>
          <w:lang w:eastAsia="ja-JP"/>
        </w:rPr>
        <w:t xml:space="preserve"> leaf available in Bangladesh, </w:t>
      </w:r>
      <w:r w:rsidRPr="005E6B7C">
        <w:rPr>
          <w:rFonts w:asciiTheme="majorHAnsi" w:eastAsia="Times New Roman" w:hAnsiTheme="majorHAnsi" w:cstheme="majorHAnsi"/>
          <w:i/>
          <w:color w:val="000000" w:themeColor="text1"/>
          <w:spacing w:val="-2"/>
          <w:kern w:val="36"/>
          <w:sz w:val="18"/>
          <w:szCs w:val="18"/>
          <w:lang w:eastAsia="ja-JP"/>
        </w:rPr>
        <w:t>European Journal of Medicinal Plants</w:t>
      </w:r>
      <w:r w:rsidRPr="005E6B7C">
        <w:rPr>
          <w:rFonts w:asciiTheme="majorHAnsi" w:eastAsia="Times New Roman" w:hAnsiTheme="majorHAnsi" w:cstheme="majorHAnsi"/>
          <w:color w:val="000000" w:themeColor="text1"/>
          <w:spacing w:val="-2"/>
          <w:kern w:val="36"/>
          <w:sz w:val="18"/>
          <w:szCs w:val="18"/>
          <w:lang w:eastAsia="ja-JP"/>
        </w:rPr>
        <w:t>, 7(1), 7</w:t>
      </w:r>
      <w:r w:rsidRPr="005E6B7C">
        <w:rPr>
          <w:rFonts w:asciiTheme="majorHAnsi" w:eastAsia="Yu Mincho"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pacing w:val="-2"/>
          <w:kern w:val="36"/>
          <w:sz w:val="18"/>
          <w:szCs w:val="18"/>
          <w:lang w:eastAsia="ja-JP"/>
        </w:rPr>
        <w:t xml:space="preserve">15. </w:t>
      </w:r>
    </w:p>
    <w:p w14:paraId="3B003061"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pacing w:val="-2"/>
          <w:kern w:val="36"/>
          <w:sz w:val="18"/>
          <w:szCs w:val="18"/>
          <w:lang w:eastAsia="ja-JP"/>
        </w:rPr>
        <w:t xml:space="preserve">Samsudin M. S., Andriani Y., Sarjono P., Fitrya D. (2019), Study on </w:t>
      </w:r>
      <w:r w:rsidRPr="005E6B7C">
        <w:rPr>
          <w:rFonts w:asciiTheme="majorHAnsi" w:eastAsia="Times New Roman" w:hAnsiTheme="majorHAnsi" w:cstheme="majorHAnsi"/>
          <w:i/>
          <w:color w:val="000000" w:themeColor="text1"/>
          <w:spacing w:val="-2"/>
          <w:kern w:val="36"/>
          <w:sz w:val="18"/>
          <w:szCs w:val="18"/>
          <w:lang w:eastAsia="ja-JP"/>
        </w:rPr>
        <w:t>Hibiscus tiliaceus</w:t>
      </w:r>
      <w:r w:rsidRPr="005E6B7C">
        <w:rPr>
          <w:rFonts w:asciiTheme="majorHAnsi" w:eastAsia="Times New Roman" w:hAnsiTheme="majorHAnsi" w:cstheme="majorHAnsi"/>
          <w:color w:val="000000" w:themeColor="text1"/>
          <w:spacing w:val="-2"/>
          <w:kern w:val="36"/>
          <w:sz w:val="18"/>
          <w:szCs w:val="18"/>
          <w:lang w:eastAsia="ja-JP"/>
        </w:rPr>
        <w:t xml:space="preserve"> leaves as antibacterial and antioxidant agents, </w:t>
      </w:r>
      <w:r w:rsidRPr="005E6B7C">
        <w:rPr>
          <w:rFonts w:asciiTheme="majorHAnsi" w:eastAsia="Times New Roman" w:hAnsiTheme="majorHAnsi" w:cstheme="majorHAnsi"/>
          <w:i/>
          <w:color w:val="000000" w:themeColor="text1"/>
          <w:spacing w:val="-2"/>
          <w:kern w:val="36"/>
          <w:sz w:val="18"/>
          <w:szCs w:val="18"/>
          <w:lang w:eastAsia="ja-JP"/>
        </w:rPr>
        <w:t>Jurnal Pendidikan Dan Ilmu Kimia</w:t>
      </w:r>
      <w:r w:rsidRPr="005E6B7C">
        <w:rPr>
          <w:rFonts w:asciiTheme="majorHAnsi" w:eastAsia="Times New Roman" w:hAnsiTheme="majorHAnsi" w:cstheme="majorHAnsi"/>
          <w:color w:val="000000" w:themeColor="text1"/>
          <w:spacing w:val="-2"/>
          <w:kern w:val="36"/>
          <w:sz w:val="18"/>
          <w:szCs w:val="18"/>
          <w:lang w:eastAsia="ja-JP"/>
        </w:rPr>
        <w:t>, 3(2), 123</w:t>
      </w:r>
      <w:r w:rsidRPr="005E6B7C">
        <w:rPr>
          <w:rFonts w:asciiTheme="majorHAnsi" w:eastAsia="Yu Mincho" w:hAnsiTheme="majorHAnsi" w:cstheme="majorHAnsi"/>
          <w:color w:val="000000" w:themeColor="text1"/>
          <w:sz w:val="18"/>
          <w:szCs w:val="18"/>
          <w:lang w:eastAsia="ja-JP"/>
        </w:rPr>
        <w:t>–</w:t>
      </w:r>
      <w:r w:rsidRPr="005E6B7C">
        <w:rPr>
          <w:rFonts w:asciiTheme="majorHAnsi" w:eastAsia="Times New Roman" w:hAnsiTheme="majorHAnsi" w:cstheme="majorHAnsi"/>
          <w:color w:val="000000" w:themeColor="text1"/>
          <w:spacing w:val="-2"/>
          <w:kern w:val="36"/>
          <w:sz w:val="18"/>
          <w:szCs w:val="18"/>
          <w:lang w:eastAsia="ja-JP"/>
        </w:rPr>
        <w:t>131.</w:t>
      </w:r>
      <w:r w:rsidRPr="005E6B7C">
        <w:rPr>
          <w:rFonts w:asciiTheme="majorHAnsi" w:eastAsia="Yu Mincho" w:hAnsiTheme="majorHAnsi" w:cstheme="majorHAnsi"/>
          <w:color w:val="000000" w:themeColor="text1"/>
          <w:sz w:val="18"/>
          <w:szCs w:val="18"/>
          <w:lang w:eastAsia="ja-JP"/>
        </w:rPr>
        <w:t xml:space="preserve"> </w:t>
      </w:r>
    </w:p>
    <w:p w14:paraId="114CB9D4"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Aaykumar R. S., Manoj R. K., Akshay R. G., Sonam S. G., Dipali M. G. (2022), Chemical characterization, thrombolytic and antioxidant activity of </w:t>
      </w:r>
      <w:r w:rsidRPr="005E6B7C">
        <w:rPr>
          <w:rFonts w:asciiTheme="majorHAnsi" w:eastAsia="Yu Mincho" w:hAnsiTheme="majorHAnsi" w:cstheme="majorHAnsi"/>
          <w:i/>
          <w:color w:val="000000" w:themeColor="text1"/>
          <w:sz w:val="18"/>
          <w:szCs w:val="18"/>
          <w:lang w:eastAsia="ja-JP"/>
        </w:rPr>
        <w:t>Hibiscus tiliaceus</w:t>
      </w:r>
      <w:r w:rsidRPr="005E6B7C">
        <w:rPr>
          <w:rFonts w:asciiTheme="majorHAnsi" w:eastAsia="Yu Mincho" w:hAnsiTheme="majorHAnsi" w:cstheme="majorHAnsi"/>
          <w:color w:val="000000" w:themeColor="text1"/>
          <w:sz w:val="18"/>
          <w:szCs w:val="18"/>
          <w:lang w:eastAsia="ja-JP"/>
        </w:rPr>
        <w:t xml:space="preserve"> L. leaves, </w:t>
      </w:r>
      <w:r w:rsidRPr="005E6B7C">
        <w:rPr>
          <w:rFonts w:asciiTheme="majorHAnsi" w:eastAsia="Yu Mincho" w:hAnsiTheme="majorHAnsi" w:cstheme="majorHAnsi"/>
          <w:i/>
          <w:color w:val="000000" w:themeColor="text1"/>
          <w:sz w:val="18"/>
          <w:szCs w:val="18"/>
          <w:lang w:eastAsia="ja-JP"/>
        </w:rPr>
        <w:t>Natural Product Research</w:t>
      </w:r>
      <w:r w:rsidRPr="005E6B7C">
        <w:rPr>
          <w:rFonts w:asciiTheme="majorHAnsi" w:eastAsia="Yu Mincho" w:hAnsiTheme="majorHAnsi" w:cstheme="majorHAnsi"/>
          <w:color w:val="000000" w:themeColor="text1"/>
          <w:sz w:val="18"/>
          <w:szCs w:val="18"/>
          <w:lang w:eastAsia="ja-JP"/>
        </w:rPr>
        <w:t>, 36(23), 6106-6110.</w:t>
      </w:r>
    </w:p>
    <w:p w14:paraId="4781C385"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Nie T., Cooper G. J. S. (2021), Mechanisms underlying the antidiabetic activities of polyphenolic compounds: A review, </w:t>
      </w:r>
      <w:r w:rsidRPr="005E6B7C">
        <w:rPr>
          <w:rFonts w:asciiTheme="majorHAnsi" w:eastAsia="Yu Mincho" w:hAnsiTheme="majorHAnsi" w:cstheme="majorHAnsi"/>
          <w:i/>
          <w:color w:val="000000" w:themeColor="text1"/>
          <w:sz w:val="18"/>
          <w:szCs w:val="18"/>
          <w:lang w:eastAsia="ja-JP"/>
        </w:rPr>
        <w:t>Frontiers in Pharmacology</w:t>
      </w:r>
      <w:r w:rsidRPr="005E6B7C">
        <w:rPr>
          <w:rFonts w:asciiTheme="majorHAnsi" w:eastAsia="Yu Mincho" w:hAnsiTheme="majorHAnsi" w:cstheme="majorHAnsi"/>
          <w:color w:val="000000" w:themeColor="text1"/>
          <w:sz w:val="18"/>
          <w:szCs w:val="18"/>
          <w:lang w:eastAsia="ja-JP"/>
        </w:rPr>
        <w:t>, 12, 798329</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Times New Roman" w:hAnsiTheme="majorHAnsi" w:cstheme="majorHAnsi"/>
          <w:color w:val="000000" w:themeColor="text1"/>
          <w:spacing w:val="-2"/>
          <w:kern w:val="36"/>
          <w:sz w:val="18"/>
          <w:szCs w:val="18"/>
          <w:lang w:eastAsia="ja-JP"/>
        </w:rPr>
        <w:t xml:space="preserve"> </w:t>
      </w:r>
    </w:p>
    <w:p w14:paraId="5836A66C"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AL-Ishaq R</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K</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Abotaleb M</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Kubatka P</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Kajo K</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Büsselberg</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D</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(2019), </w:t>
      </w:r>
      <w:r w:rsidRPr="005E6B7C">
        <w:rPr>
          <w:rFonts w:asciiTheme="majorHAnsi" w:eastAsia="Yu Mincho" w:hAnsiTheme="majorHAnsi" w:cstheme="majorHAnsi"/>
          <w:color w:val="000000" w:themeColor="text1"/>
          <w:sz w:val="18"/>
          <w:szCs w:val="18"/>
          <w:lang w:val="vi-VN" w:eastAsia="ja-JP"/>
        </w:rPr>
        <w:t xml:space="preserve">Flavonoids and their anti-diabetic effects: </w:t>
      </w:r>
      <w:r w:rsidRPr="005E6B7C">
        <w:rPr>
          <w:rFonts w:asciiTheme="majorHAnsi" w:eastAsia="Yu Mincho" w:hAnsiTheme="majorHAnsi" w:cstheme="majorHAnsi"/>
          <w:color w:val="000000" w:themeColor="text1"/>
          <w:sz w:val="18"/>
          <w:szCs w:val="18"/>
          <w:lang w:eastAsia="ja-JP"/>
        </w:rPr>
        <w:t>C</w:t>
      </w:r>
      <w:r w:rsidRPr="005E6B7C">
        <w:rPr>
          <w:rFonts w:asciiTheme="majorHAnsi" w:eastAsia="Yu Mincho" w:hAnsiTheme="majorHAnsi" w:cstheme="majorHAnsi"/>
          <w:color w:val="000000" w:themeColor="text1"/>
          <w:sz w:val="18"/>
          <w:szCs w:val="18"/>
          <w:lang w:val="vi-VN" w:eastAsia="ja-JP"/>
        </w:rPr>
        <w:t>ellular mechanisms and effects to improve blood sugar levels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Biomolecules</w:t>
      </w:r>
      <w:r w:rsidRPr="005E6B7C">
        <w:rPr>
          <w:rFonts w:asciiTheme="majorHAnsi" w:eastAsia="Yu Mincho" w:hAnsiTheme="majorHAnsi" w:cstheme="majorHAnsi"/>
          <w:color w:val="000000" w:themeColor="text1"/>
          <w:sz w:val="18"/>
          <w:szCs w:val="18"/>
          <w:lang w:eastAsia="ja-JP"/>
        </w:rPr>
        <w:t>, 9(9), 430.</w:t>
      </w:r>
      <w:r w:rsidRPr="005E6B7C">
        <w:rPr>
          <w:rFonts w:asciiTheme="majorHAnsi" w:eastAsia="Times New Roman" w:hAnsiTheme="majorHAnsi" w:cstheme="majorHAnsi"/>
          <w:color w:val="000000" w:themeColor="text1"/>
          <w:spacing w:val="-2"/>
          <w:kern w:val="36"/>
          <w:sz w:val="18"/>
          <w:szCs w:val="18"/>
          <w:lang w:eastAsia="ja-JP"/>
        </w:rPr>
        <w:t xml:space="preserve"> </w:t>
      </w:r>
    </w:p>
    <w:p w14:paraId="439B66A9" w14:textId="77777777" w:rsidR="00C012FB" w:rsidRPr="005E6B7C" w:rsidRDefault="00C012FB" w:rsidP="00C012FB">
      <w:pPr>
        <w:numPr>
          <w:ilvl w:val="0"/>
          <w:numId w:val="21"/>
        </w:numPr>
        <w:tabs>
          <w:tab w:val="left" w:pos="90"/>
          <w:tab w:val="left" w:pos="180"/>
          <w:tab w:val="left" w:pos="270"/>
          <w:tab w:val="left" w:pos="450"/>
          <w:tab w:val="left" w:pos="540"/>
          <w:tab w:val="left" w:pos="9270"/>
        </w:tabs>
        <w:ind w:left="0" w:firstLine="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Bungau S</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xml:space="preserve"> G</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Vesa</w:t>
      </w:r>
      <w:r w:rsidRPr="005E6B7C">
        <w:rPr>
          <w:rFonts w:asciiTheme="majorHAnsi" w:eastAsia="Yu Mincho" w:hAnsiTheme="majorHAnsi" w:cstheme="majorHAnsi"/>
          <w:color w:val="000000" w:themeColor="text1"/>
          <w:sz w:val="18"/>
          <w:szCs w:val="18"/>
          <w:lang w:eastAsia="ja-JP"/>
        </w:rPr>
        <w:t>m</w:t>
      </w:r>
      <w:r w:rsidRPr="005E6B7C">
        <w:rPr>
          <w:rFonts w:asciiTheme="majorHAnsi" w:eastAsia="Yu Mincho" w:hAnsiTheme="majorHAnsi" w:cstheme="majorHAnsi"/>
          <w:color w:val="000000" w:themeColor="text1"/>
          <w:sz w:val="18"/>
          <w:szCs w:val="18"/>
          <w:lang w:val="vi-VN" w:eastAsia="ja-JP"/>
        </w:rPr>
        <w:t xml:space="preserve"> C</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xml:space="preserve"> M</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vi-VN" w:eastAsia="ja-JP"/>
        </w:rPr>
        <w:t xml:space="preserve"> Bustea </w:t>
      </w:r>
      <w:r w:rsidRPr="005E6B7C">
        <w:rPr>
          <w:rFonts w:asciiTheme="majorHAnsi" w:eastAsia="Yu Mincho" w:hAnsiTheme="majorHAnsi" w:cstheme="majorHAnsi"/>
          <w:color w:val="000000" w:themeColor="text1"/>
          <w:sz w:val="18"/>
          <w:szCs w:val="18"/>
          <w:lang w:eastAsia="ja-JP"/>
        </w:rPr>
        <w:t xml:space="preserve">C., Purza A. L., Tit D. M., Brisc M. C., Radu A. F. (2023), </w:t>
      </w:r>
      <w:r w:rsidRPr="005E6B7C">
        <w:rPr>
          <w:rFonts w:asciiTheme="majorHAnsi" w:eastAsia="Yu Mincho" w:hAnsiTheme="majorHAnsi" w:cstheme="majorHAnsi"/>
          <w:color w:val="000000" w:themeColor="text1"/>
          <w:sz w:val="18"/>
          <w:szCs w:val="18"/>
          <w:lang w:val="vi-VN" w:eastAsia="ja-JP"/>
        </w:rPr>
        <w:t>Antioxidant and hypoglycemic potential of essential oils in diabetes mellitus and its complications</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eastAsia="ja-JP"/>
        </w:rPr>
        <w:t>International Journal of Molecular Sciences</w:t>
      </w:r>
      <w:r w:rsidRPr="005E6B7C">
        <w:rPr>
          <w:rFonts w:asciiTheme="majorHAnsi" w:eastAsia="Yu Mincho" w:hAnsiTheme="majorHAnsi" w:cstheme="majorHAnsi"/>
          <w:color w:val="000000" w:themeColor="text1"/>
          <w:sz w:val="18"/>
          <w:szCs w:val="18"/>
          <w:lang w:eastAsia="ja-JP"/>
        </w:rPr>
        <w:t>, 24(22), 16501.</w:t>
      </w:r>
    </w:p>
    <w:p w14:paraId="07B9C01A" w14:textId="77777777" w:rsidR="007A051F" w:rsidRPr="005E6B7C" w:rsidRDefault="007A051F">
      <w:pPr>
        <w:widowControl/>
        <w:spacing w:after="200" w:line="276" w:lineRule="auto"/>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br w:type="page"/>
      </w:r>
    </w:p>
    <w:p w14:paraId="552AD2D0" w14:textId="562FED91"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955D94" w:rsidRPr="005E6B7C">
        <w:rPr>
          <w:rFonts w:asciiTheme="majorHAnsi" w:eastAsia="Yu Mincho" w:hAnsiTheme="majorHAnsi" w:cstheme="majorHAnsi"/>
          <w:b/>
          <w:bCs/>
          <w:i/>
          <w:color w:val="000000" w:themeColor="text1"/>
          <w:sz w:val="26"/>
          <w:szCs w:val="26"/>
          <w:lang w:eastAsia="ja-JP"/>
        </w:rPr>
        <w:t xml:space="preserve"> 113 - 122</w:t>
      </w:r>
      <w:r w:rsidRPr="005E6B7C">
        <w:rPr>
          <w:rFonts w:asciiTheme="majorHAnsi" w:eastAsia="Yu Mincho" w:hAnsiTheme="majorHAnsi" w:cstheme="majorHAnsi"/>
          <w:b/>
          <w:bCs/>
          <w:i/>
          <w:color w:val="000000" w:themeColor="text1"/>
          <w:sz w:val="26"/>
          <w:szCs w:val="26"/>
          <w:lang w:eastAsia="ja-JP"/>
        </w:rPr>
        <w:t>)</w:t>
      </w:r>
    </w:p>
    <w:p w14:paraId="66E657A4" w14:textId="77777777" w:rsidR="00367819" w:rsidRPr="005E6B7C" w:rsidRDefault="00367819" w:rsidP="008C0D47">
      <w:pPr>
        <w:tabs>
          <w:tab w:val="left" w:pos="270"/>
          <w:tab w:val="left" w:pos="9270"/>
        </w:tabs>
        <w:ind w:right="-20"/>
        <w:jc w:val="both"/>
        <w:rPr>
          <w:rFonts w:asciiTheme="majorHAnsi" w:eastAsia="Yu Mincho" w:hAnsiTheme="majorHAnsi" w:cstheme="majorHAnsi"/>
          <w:b/>
          <w:bCs/>
          <w:color w:val="000000" w:themeColor="text1"/>
          <w:sz w:val="22"/>
          <w:szCs w:val="22"/>
          <w:lang w:eastAsia="ja-JP"/>
        </w:rPr>
      </w:pPr>
    </w:p>
    <w:p w14:paraId="2DBD25DE" w14:textId="32620D0A" w:rsidR="00E049CB" w:rsidRPr="005E6B7C" w:rsidRDefault="00E049CB" w:rsidP="008C0D47">
      <w:pPr>
        <w:tabs>
          <w:tab w:val="left" w:pos="270"/>
          <w:tab w:val="left" w:pos="9270"/>
        </w:tabs>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ACUTE ORAL TOXICITY AND LAXATIVE EFFECT</w:t>
      </w:r>
      <w:r w:rsidR="0007417F" w:rsidRPr="005E6B7C">
        <w:rPr>
          <w:rFonts w:asciiTheme="majorHAnsi" w:eastAsia="Yu Mincho" w:hAnsiTheme="majorHAnsi" w:cstheme="majorHAnsi"/>
          <w:b/>
          <w:bCs/>
          <w:color w:val="000000" w:themeColor="text1"/>
          <w:sz w:val="26"/>
          <w:szCs w:val="26"/>
          <w:lang w:eastAsia="ja-JP"/>
        </w:rPr>
        <w:t>S</w:t>
      </w:r>
      <w:r w:rsidRPr="005E6B7C">
        <w:rPr>
          <w:rFonts w:asciiTheme="majorHAnsi" w:eastAsia="Yu Mincho" w:hAnsiTheme="majorHAnsi" w:cstheme="majorHAnsi"/>
          <w:b/>
          <w:bCs/>
          <w:color w:val="000000" w:themeColor="text1"/>
          <w:sz w:val="26"/>
          <w:szCs w:val="26"/>
          <w:lang w:eastAsia="ja-JP"/>
        </w:rPr>
        <w:t xml:space="preserve"> OF </w:t>
      </w:r>
      <w:r w:rsidRPr="005E6B7C">
        <w:rPr>
          <w:rFonts w:asciiTheme="majorHAnsi" w:eastAsia="Yu Mincho" w:hAnsiTheme="majorHAnsi" w:cstheme="majorHAnsi"/>
          <w:b/>
          <w:bCs/>
          <w:i/>
          <w:iCs/>
          <w:color w:val="000000" w:themeColor="text1"/>
          <w:sz w:val="26"/>
          <w:szCs w:val="26"/>
          <w:lang w:eastAsia="ja-JP"/>
        </w:rPr>
        <w:t>PHARBITIS NIL</w:t>
      </w:r>
      <w:r w:rsidRPr="005E6B7C">
        <w:rPr>
          <w:rFonts w:asciiTheme="majorHAnsi" w:eastAsia="Yu Mincho" w:hAnsiTheme="majorHAnsi" w:cstheme="majorHAnsi"/>
          <w:b/>
          <w:bCs/>
          <w:color w:val="000000" w:themeColor="text1"/>
          <w:sz w:val="26"/>
          <w:szCs w:val="26"/>
          <w:lang w:eastAsia="ja-JP"/>
        </w:rPr>
        <w:t xml:space="preserve"> (L.) CHOISY SEED EXTRACT</w:t>
      </w:r>
    </w:p>
    <w:p w14:paraId="4C626FB8" w14:textId="77777777" w:rsidR="009835F2" w:rsidRPr="005E6B7C" w:rsidRDefault="00E049CB" w:rsidP="008C0D47">
      <w:pPr>
        <w:tabs>
          <w:tab w:val="left" w:pos="270"/>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Nguyen Thi Kim Oanh</w:t>
      </w:r>
      <w:r w:rsidRPr="005E6B7C">
        <w:rPr>
          <w:rFonts w:asciiTheme="majorHAnsi" w:eastAsia="Yu Mincho" w:hAnsiTheme="majorHAnsi" w:cstheme="majorHAnsi"/>
          <w:b/>
          <w:i/>
          <w:iCs/>
          <w:color w:val="000000" w:themeColor="text1"/>
          <w:sz w:val="22"/>
          <w:szCs w:val="22"/>
          <w:vertAlign w:val="superscript"/>
          <w:lang w:eastAsia="ja-JP"/>
        </w:rPr>
        <w:t>1,2</w:t>
      </w:r>
      <w:r w:rsidRPr="005E6B7C">
        <w:rPr>
          <w:rFonts w:asciiTheme="majorHAnsi" w:eastAsia="Yu Mincho" w:hAnsiTheme="majorHAnsi" w:cstheme="majorHAnsi"/>
          <w:b/>
          <w:i/>
          <w:iCs/>
          <w:color w:val="000000" w:themeColor="text1"/>
          <w:sz w:val="22"/>
          <w:szCs w:val="22"/>
          <w:lang w:eastAsia="ja-JP"/>
        </w:rPr>
        <w:t>, Tran Vien Thong</w:t>
      </w:r>
      <w:r w:rsidRPr="005E6B7C">
        <w:rPr>
          <w:rFonts w:asciiTheme="majorHAnsi" w:eastAsia="Yu Mincho" w:hAnsiTheme="majorHAnsi" w:cstheme="majorHAnsi"/>
          <w:b/>
          <w:i/>
          <w:iCs/>
          <w:color w:val="000000" w:themeColor="text1"/>
          <w:sz w:val="22"/>
          <w:szCs w:val="22"/>
          <w:vertAlign w:val="superscript"/>
          <w:lang w:eastAsia="ja-JP"/>
        </w:rPr>
        <w:t>1,3</w:t>
      </w:r>
      <w:r w:rsidRPr="005E6B7C">
        <w:rPr>
          <w:rFonts w:asciiTheme="majorHAnsi" w:eastAsia="Yu Mincho" w:hAnsiTheme="majorHAnsi" w:cstheme="majorHAnsi"/>
          <w:b/>
          <w:i/>
          <w:iCs/>
          <w:color w:val="000000" w:themeColor="text1"/>
          <w:sz w:val="22"/>
          <w:szCs w:val="22"/>
          <w:lang w:eastAsia="ja-JP"/>
        </w:rPr>
        <w:t>, Truong Huy Hieu</w:t>
      </w:r>
      <w:r w:rsidRPr="005E6B7C">
        <w:rPr>
          <w:rFonts w:asciiTheme="majorHAnsi" w:eastAsia="Yu Mincho" w:hAnsiTheme="majorHAnsi" w:cstheme="majorHAnsi"/>
          <w:b/>
          <w:i/>
          <w:iCs/>
          <w:color w:val="000000" w:themeColor="text1"/>
          <w:sz w:val="22"/>
          <w:szCs w:val="22"/>
          <w:vertAlign w:val="superscript"/>
          <w:lang w:eastAsia="ja-JP"/>
        </w:rPr>
        <w:t>3</w:t>
      </w:r>
      <w:r w:rsidRPr="005E6B7C">
        <w:rPr>
          <w:rFonts w:asciiTheme="majorHAnsi" w:eastAsia="Yu Mincho" w:hAnsiTheme="majorHAnsi" w:cstheme="majorHAnsi"/>
          <w:b/>
          <w:i/>
          <w:iCs/>
          <w:color w:val="000000" w:themeColor="text1"/>
          <w:sz w:val="22"/>
          <w:szCs w:val="22"/>
          <w:lang w:eastAsia="ja-JP"/>
        </w:rPr>
        <w:t>, Ly Hai Trieu</w:t>
      </w:r>
      <w:r w:rsidRPr="005E6B7C">
        <w:rPr>
          <w:rFonts w:asciiTheme="majorHAnsi" w:eastAsia="Yu Mincho" w:hAnsiTheme="majorHAnsi" w:cstheme="majorHAnsi"/>
          <w:b/>
          <w:i/>
          <w:iCs/>
          <w:color w:val="000000" w:themeColor="text1"/>
          <w:sz w:val="22"/>
          <w:szCs w:val="22"/>
          <w:vertAlign w:val="superscript"/>
          <w:lang w:eastAsia="ja-JP"/>
        </w:rPr>
        <w:t>1,3</w:t>
      </w:r>
      <w:r w:rsidRPr="005E6B7C">
        <w:rPr>
          <w:rFonts w:asciiTheme="majorHAnsi" w:eastAsia="Yu Mincho" w:hAnsiTheme="majorHAnsi" w:cstheme="majorHAnsi"/>
          <w:b/>
          <w:i/>
          <w:iCs/>
          <w:color w:val="000000" w:themeColor="text1"/>
          <w:sz w:val="22"/>
          <w:szCs w:val="22"/>
          <w:lang w:eastAsia="ja-JP"/>
        </w:rPr>
        <w:t xml:space="preserve">, </w:t>
      </w:r>
    </w:p>
    <w:p w14:paraId="7764B6EA" w14:textId="17D7A143" w:rsidR="00E049CB" w:rsidRPr="005E6B7C" w:rsidRDefault="00E049CB" w:rsidP="008C0D47">
      <w:pPr>
        <w:tabs>
          <w:tab w:val="left" w:pos="270"/>
          <w:tab w:val="left" w:pos="9270"/>
        </w:tabs>
        <w:ind w:right="-20"/>
        <w:jc w:val="center"/>
        <w:rPr>
          <w:rFonts w:asciiTheme="majorHAnsi" w:eastAsia="Yu Mincho" w:hAnsiTheme="majorHAnsi" w:cstheme="majorHAnsi"/>
          <w:b/>
          <w:i/>
          <w:iCs/>
          <w:color w:val="000000" w:themeColor="text1"/>
          <w:sz w:val="22"/>
          <w:szCs w:val="22"/>
          <w:lang w:eastAsia="ja-JP"/>
        </w:rPr>
      </w:pPr>
      <w:r w:rsidRPr="005E6B7C">
        <w:rPr>
          <w:rFonts w:asciiTheme="majorHAnsi" w:eastAsia="Yu Mincho" w:hAnsiTheme="majorHAnsi" w:cstheme="majorHAnsi"/>
          <w:b/>
          <w:i/>
          <w:iCs/>
          <w:color w:val="000000" w:themeColor="text1"/>
          <w:sz w:val="22"/>
          <w:szCs w:val="22"/>
          <w:lang w:eastAsia="ja-JP"/>
        </w:rPr>
        <w:t>Ph</w:t>
      </w:r>
      <w:r w:rsidR="008C0D47" w:rsidRPr="005E6B7C">
        <w:rPr>
          <w:rFonts w:asciiTheme="majorHAnsi" w:eastAsia="Yu Mincho" w:hAnsiTheme="majorHAnsi" w:cstheme="majorHAnsi"/>
          <w:b/>
          <w:i/>
          <w:iCs/>
          <w:color w:val="000000" w:themeColor="text1"/>
          <w:sz w:val="22"/>
          <w:szCs w:val="22"/>
          <w:lang w:eastAsia="ja-JP"/>
        </w:rPr>
        <w:t>am Thi Nguyet Hang</w:t>
      </w:r>
      <w:r w:rsidRPr="005E6B7C">
        <w:rPr>
          <w:rFonts w:asciiTheme="majorHAnsi" w:eastAsia="Yu Mincho" w:hAnsiTheme="majorHAnsi" w:cstheme="majorHAnsi"/>
          <w:b/>
          <w:i/>
          <w:iCs/>
          <w:caps/>
          <w:color w:val="000000" w:themeColor="text1"/>
          <w:sz w:val="22"/>
          <w:szCs w:val="22"/>
          <w:vertAlign w:val="superscript"/>
          <w:lang w:eastAsia="ja-JP"/>
        </w:rPr>
        <w:t>1</w:t>
      </w:r>
      <w:r w:rsidRPr="005E6B7C">
        <w:rPr>
          <w:rFonts w:asciiTheme="majorHAnsi" w:eastAsia="Yu Mincho" w:hAnsiTheme="majorHAnsi" w:cstheme="majorHAnsi"/>
          <w:b/>
          <w:i/>
          <w:iCs/>
          <w:caps/>
          <w:color w:val="000000" w:themeColor="text1"/>
          <w:sz w:val="22"/>
          <w:szCs w:val="22"/>
          <w:lang w:eastAsia="ja-JP"/>
        </w:rPr>
        <w:t>,</w:t>
      </w:r>
      <w:r w:rsidRPr="005E6B7C">
        <w:rPr>
          <w:rFonts w:asciiTheme="majorHAnsi" w:eastAsia="Yu Mincho" w:hAnsiTheme="majorHAnsi" w:cstheme="majorHAnsi"/>
          <w:b/>
          <w:i/>
          <w:iCs/>
          <w:color w:val="000000" w:themeColor="text1"/>
          <w:sz w:val="22"/>
          <w:szCs w:val="22"/>
          <w:lang w:eastAsia="ja-JP"/>
        </w:rPr>
        <w:t xml:space="preserve"> </w:t>
      </w:r>
      <w:r w:rsidRPr="005E6B7C">
        <w:rPr>
          <w:rFonts w:asciiTheme="majorHAnsi" w:eastAsia="Yu Mincho" w:hAnsiTheme="majorHAnsi" w:cstheme="majorHAnsi"/>
          <w:b/>
          <w:i/>
          <w:color w:val="000000" w:themeColor="text1"/>
          <w:sz w:val="22"/>
          <w:szCs w:val="22"/>
          <w:lang w:eastAsia="ja-JP"/>
        </w:rPr>
        <w:t>Nguyen Thi Vinh Hue</w:t>
      </w:r>
      <w:r w:rsidRPr="005E6B7C">
        <w:rPr>
          <w:rFonts w:asciiTheme="majorHAnsi" w:eastAsia="Yu Mincho" w:hAnsiTheme="majorHAnsi" w:cstheme="majorHAnsi"/>
          <w:b/>
          <w:i/>
          <w:color w:val="000000" w:themeColor="text1"/>
          <w:sz w:val="22"/>
          <w:szCs w:val="22"/>
          <w:vertAlign w:val="superscript"/>
          <w:lang w:eastAsia="ja-JP"/>
        </w:rPr>
        <w:t>4,5</w:t>
      </w:r>
      <w:r w:rsidRPr="005E6B7C">
        <w:rPr>
          <w:rFonts w:asciiTheme="majorHAnsi" w:eastAsia="Yu Mincho" w:hAnsiTheme="majorHAnsi" w:cstheme="majorHAnsi"/>
          <w:b/>
          <w:i/>
          <w:color w:val="000000" w:themeColor="text1"/>
          <w:sz w:val="22"/>
          <w:szCs w:val="22"/>
          <w:lang w:eastAsia="ja-JP"/>
        </w:rPr>
        <w:t xml:space="preserve">, </w:t>
      </w:r>
      <w:r w:rsidRPr="005E6B7C">
        <w:rPr>
          <w:rFonts w:asciiTheme="majorHAnsi" w:eastAsia="Yu Mincho" w:hAnsiTheme="majorHAnsi" w:cstheme="majorHAnsi"/>
          <w:b/>
          <w:i/>
          <w:iCs/>
          <w:color w:val="000000" w:themeColor="text1"/>
          <w:sz w:val="22"/>
          <w:szCs w:val="22"/>
          <w:lang w:eastAsia="ja-JP"/>
        </w:rPr>
        <w:t>Do Thi Ha</w:t>
      </w:r>
      <w:r w:rsidRPr="005E6B7C">
        <w:rPr>
          <w:rFonts w:asciiTheme="majorHAnsi" w:eastAsia="Yu Mincho" w:hAnsiTheme="majorHAnsi" w:cstheme="majorHAnsi"/>
          <w:b/>
          <w:i/>
          <w:iCs/>
          <w:color w:val="000000" w:themeColor="text1"/>
          <w:sz w:val="22"/>
          <w:szCs w:val="22"/>
          <w:vertAlign w:val="superscript"/>
          <w:lang w:eastAsia="ja-JP"/>
        </w:rPr>
        <w:t>1,</w:t>
      </w:r>
      <w:r w:rsidRPr="005E6B7C">
        <w:rPr>
          <w:rFonts w:asciiTheme="majorHAnsi" w:eastAsia="Yu Mincho" w:hAnsiTheme="majorHAnsi" w:cstheme="majorHAnsi"/>
          <w:b/>
          <w:i/>
          <w:iCs/>
          <w:color w:val="000000" w:themeColor="text1"/>
          <w:sz w:val="22"/>
          <w:szCs w:val="22"/>
          <w:lang w:eastAsia="ja-JP"/>
        </w:rPr>
        <w:t>*</w:t>
      </w:r>
    </w:p>
    <w:p w14:paraId="6DCA1D60" w14:textId="77777777" w:rsidR="00E049CB" w:rsidRPr="005E6B7C" w:rsidRDefault="00E049CB" w:rsidP="008C0D47">
      <w:pPr>
        <w:pBdr>
          <w:top w:val="nil"/>
          <w:left w:val="nil"/>
          <w:bottom w:val="nil"/>
          <w:right w:val="nil"/>
          <w:between w:val="nil"/>
        </w:pBdr>
        <w:tabs>
          <w:tab w:val="left" w:pos="270"/>
          <w:tab w:val="left" w:pos="360"/>
          <w:tab w:val="left" w:pos="450"/>
          <w:tab w:val="left" w:pos="1170"/>
          <w:tab w:val="left" w:pos="9270"/>
          <w:tab w:val="left" w:pos="9900"/>
        </w:tabs>
        <w:ind w:right="-20"/>
        <w:jc w:val="center"/>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vertAlign w:val="superscript"/>
          <w:lang w:eastAsia="ja-JP"/>
        </w:rPr>
        <w:t>1</w:t>
      </w:r>
      <w:r w:rsidRPr="005E6B7C">
        <w:rPr>
          <w:rFonts w:asciiTheme="majorHAnsi" w:eastAsia="Yu Mincho" w:hAnsiTheme="majorHAnsi" w:cstheme="majorHAnsi"/>
          <w:bCs/>
          <w:i/>
          <w:color w:val="000000" w:themeColor="text1"/>
          <w:sz w:val="22"/>
          <w:szCs w:val="22"/>
          <w:lang w:eastAsia="ja-JP"/>
        </w:rPr>
        <w:t>National Institute of Medicinal Materials (NIMM), Hanoi 11018, Vietnam;</w:t>
      </w:r>
    </w:p>
    <w:p w14:paraId="7DD5DB24" w14:textId="77777777" w:rsidR="00E049CB" w:rsidRPr="005E6B7C" w:rsidRDefault="00E049CB" w:rsidP="008C0D47">
      <w:pPr>
        <w:pBdr>
          <w:top w:val="nil"/>
          <w:left w:val="nil"/>
          <w:bottom w:val="nil"/>
          <w:right w:val="nil"/>
          <w:between w:val="nil"/>
        </w:pBdr>
        <w:tabs>
          <w:tab w:val="left" w:pos="270"/>
          <w:tab w:val="left" w:pos="360"/>
          <w:tab w:val="left" w:pos="450"/>
          <w:tab w:val="left" w:pos="1170"/>
          <w:tab w:val="left" w:pos="9270"/>
          <w:tab w:val="left" w:pos="9900"/>
        </w:tabs>
        <w:ind w:right="-20"/>
        <w:jc w:val="center"/>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Thai Binh University of Medicine and Pharmacy, Hung Yen 06122, Vietnam</w:t>
      </w:r>
      <w:r w:rsidRPr="005E6B7C">
        <w:rPr>
          <w:rFonts w:asciiTheme="majorHAnsi" w:eastAsia="Yu Mincho" w:hAnsiTheme="majorHAnsi" w:cstheme="majorHAnsi"/>
          <w:bCs/>
          <w:i/>
          <w:color w:val="000000" w:themeColor="text1"/>
          <w:sz w:val="22"/>
          <w:szCs w:val="22"/>
          <w:lang w:eastAsia="ja-JP"/>
        </w:rPr>
        <w:t>;</w:t>
      </w:r>
    </w:p>
    <w:p w14:paraId="1044EA3E" w14:textId="77777777" w:rsidR="00E049CB" w:rsidRPr="005E6B7C" w:rsidRDefault="00E049CB" w:rsidP="008C0D47">
      <w:pPr>
        <w:tabs>
          <w:tab w:val="left" w:pos="270"/>
          <w:tab w:val="left" w:pos="360"/>
          <w:tab w:val="left" w:pos="450"/>
          <w:tab w:val="left" w:pos="9270"/>
        </w:tabs>
        <w:ind w:right="-20"/>
        <w:jc w:val="center"/>
        <w:rPr>
          <w:rFonts w:asciiTheme="majorHAnsi" w:eastAsia="Yu Mincho" w:hAnsiTheme="majorHAnsi" w:cstheme="majorHAnsi"/>
          <w:i/>
          <w:color w:val="000000" w:themeColor="text1"/>
          <w:sz w:val="22"/>
          <w:szCs w:val="22"/>
          <w:lang w:eastAsia="ja-JP"/>
        </w:rPr>
      </w:pPr>
      <w:bookmarkStart w:id="49" w:name="_Hlk225272613"/>
      <w:r w:rsidRPr="005E6B7C">
        <w:rPr>
          <w:rFonts w:asciiTheme="majorHAnsi" w:eastAsia="Yu Mincho" w:hAnsiTheme="majorHAnsi" w:cstheme="majorHAnsi"/>
          <w:i/>
          <w:color w:val="000000" w:themeColor="text1"/>
          <w:sz w:val="22"/>
          <w:szCs w:val="22"/>
          <w:vertAlign w:val="superscript"/>
          <w:lang w:eastAsia="ja-JP"/>
        </w:rPr>
        <w:t>3</w:t>
      </w:r>
      <w:r w:rsidRPr="005E6B7C">
        <w:rPr>
          <w:rFonts w:asciiTheme="majorHAnsi" w:eastAsia="Yu Mincho" w:hAnsiTheme="majorHAnsi" w:cstheme="majorHAnsi"/>
          <w:i/>
          <w:color w:val="000000" w:themeColor="text1"/>
          <w:sz w:val="22"/>
          <w:szCs w:val="22"/>
          <w:lang w:eastAsia="ja-JP"/>
        </w:rPr>
        <w:t xml:space="preserve">Research Center of Ginseng and Medicinal Materials (CGMM), NIMM, </w:t>
      </w:r>
      <w:r w:rsidR="00EB24CB" w:rsidRPr="005E6B7C">
        <w:rPr>
          <w:rFonts w:asciiTheme="majorHAnsi" w:eastAsia="Yu Mincho" w:hAnsiTheme="majorHAnsi" w:cstheme="majorHAnsi"/>
          <w:i/>
          <w:color w:val="000000" w:themeColor="text1"/>
          <w:sz w:val="22"/>
          <w:szCs w:val="22"/>
          <w:lang w:eastAsia="ja-JP"/>
        </w:rPr>
        <w:br/>
      </w:r>
      <w:r w:rsidRPr="005E6B7C">
        <w:rPr>
          <w:rFonts w:asciiTheme="majorHAnsi" w:eastAsia="Yu Mincho" w:hAnsiTheme="majorHAnsi" w:cstheme="majorHAnsi"/>
          <w:i/>
          <w:color w:val="000000" w:themeColor="text1"/>
          <w:sz w:val="22"/>
          <w:szCs w:val="22"/>
          <w:lang w:eastAsia="ja-JP"/>
        </w:rPr>
        <w:t>Ho Chi Minh City 71016, Vietnam</w:t>
      </w:r>
      <w:bookmarkEnd w:id="49"/>
      <w:r w:rsidRPr="005E6B7C">
        <w:rPr>
          <w:rFonts w:asciiTheme="majorHAnsi" w:eastAsia="Yu Mincho" w:hAnsiTheme="majorHAnsi" w:cstheme="majorHAnsi"/>
          <w:i/>
          <w:color w:val="000000" w:themeColor="text1"/>
          <w:sz w:val="22"/>
          <w:szCs w:val="22"/>
          <w:lang w:eastAsia="ja-JP"/>
        </w:rPr>
        <w:t>;</w:t>
      </w:r>
    </w:p>
    <w:p w14:paraId="3EDB113C" w14:textId="77777777" w:rsidR="00E049CB" w:rsidRPr="005E6B7C" w:rsidRDefault="00E049CB" w:rsidP="008C0D47">
      <w:pPr>
        <w:tabs>
          <w:tab w:val="left" w:pos="270"/>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Cs/>
          <w:i/>
          <w:color w:val="000000" w:themeColor="text1"/>
          <w:sz w:val="22"/>
          <w:szCs w:val="22"/>
          <w:vertAlign w:val="superscript"/>
          <w:lang w:eastAsia="ja-JP"/>
        </w:rPr>
        <w:t>4</w:t>
      </w:r>
      <w:r w:rsidRPr="005E6B7C">
        <w:rPr>
          <w:rFonts w:asciiTheme="majorHAnsi" w:eastAsia="Yu Mincho" w:hAnsiTheme="majorHAnsi" w:cstheme="majorHAnsi"/>
          <w:i/>
          <w:iCs/>
          <w:color w:val="000000" w:themeColor="text1"/>
          <w:sz w:val="22"/>
          <w:szCs w:val="22"/>
          <w:lang w:eastAsia="ja-JP"/>
        </w:rPr>
        <w:t xml:space="preserve">Traphaco Joint Stock Company, Hanoi </w:t>
      </w:r>
      <w:r w:rsidRPr="005E6B7C">
        <w:rPr>
          <w:rFonts w:asciiTheme="majorHAnsi" w:eastAsia="Yu Mincho" w:hAnsiTheme="majorHAnsi" w:cstheme="majorHAnsi"/>
          <w:bCs/>
          <w:i/>
          <w:color w:val="000000" w:themeColor="text1"/>
          <w:sz w:val="22"/>
          <w:szCs w:val="22"/>
          <w:lang w:eastAsia="ja-JP"/>
        </w:rPr>
        <w:t>11719</w:t>
      </w:r>
      <w:r w:rsidRPr="005E6B7C">
        <w:rPr>
          <w:rFonts w:asciiTheme="majorHAnsi" w:eastAsia="Yu Mincho" w:hAnsiTheme="majorHAnsi" w:cstheme="majorHAnsi"/>
          <w:i/>
          <w:iCs/>
          <w:color w:val="000000" w:themeColor="text1"/>
          <w:sz w:val="22"/>
          <w:szCs w:val="22"/>
          <w:lang w:eastAsia="ja-JP"/>
        </w:rPr>
        <w:t>, Vietnam</w:t>
      </w:r>
    </w:p>
    <w:p w14:paraId="7530F3ED" w14:textId="77777777" w:rsidR="00E049CB" w:rsidRPr="005E6B7C" w:rsidRDefault="00E049CB" w:rsidP="008C0D47">
      <w:pPr>
        <w:tabs>
          <w:tab w:val="left" w:pos="270"/>
          <w:tab w:val="left" w:pos="9270"/>
        </w:tabs>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vertAlign w:val="superscript"/>
          <w:lang w:eastAsia="ja-JP"/>
        </w:rPr>
        <w:t>5</w:t>
      </w:r>
      <w:r w:rsidRPr="005E6B7C">
        <w:rPr>
          <w:rFonts w:asciiTheme="majorHAnsi" w:eastAsia="Yu Mincho" w:hAnsiTheme="majorHAnsi" w:cstheme="majorHAnsi"/>
          <w:bCs/>
          <w:i/>
          <w:iCs/>
          <w:color w:val="000000" w:themeColor="text1"/>
          <w:sz w:val="22"/>
          <w:szCs w:val="22"/>
          <w:lang w:eastAsia="ja-JP"/>
        </w:rPr>
        <w:t>Faculty of Medicine and Pharmacy, Dainam University, Ha Dong, Ha Noi 12119, Vietnam</w:t>
      </w:r>
    </w:p>
    <w:p w14:paraId="720AAFB9" w14:textId="77777777" w:rsidR="00E049CB" w:rsidRPr="005E6B7C" w:rsidRDefault="00E049CB" w:rsidP="008C0D47">
      <w:pPr>
        <w:tabs>
          <w:tab w:val="left" w:pos="270"/>
          <w:tab w:val="left" w:pos="360"/>
          <w:tab w:val="left" w:pos="450"/>
          <w:tab w:val="left" w:pos="9270"/>
        </w:tabs>
        <w:ind w:right="-20"/>
        <w:jc w:val="center"/>
        <w:rPr>
          <w:rFonts w:asciiTheme="majorHAnsi" w:eastAsia="Yu Mincho" w:hAnsiTheme="majorHAnsi" w:cstheme="majorHAnsi"/>
          <w:iCs/>
          <w:color w:val="000000" w:themeColor="text1"/>
          <w:sz w:val="22"/>
          <w:szCs w:val="22"/>
          <w:lang w:eastAsia="ja-JP"/>
        </w:rPr>
      </w:pPr>
      <w:r w:rsidRPr="005E6B7C">
        <w:rPr>
          <w:rFonts w:asciiTheme="majorHAnsi" w:eastAsia="Calibri" w:hAnsiTheme="majorHAnsi" w:cstheme="majorHAnsi"/>
          <w:color w:val="000000" w:themeColor="text1"/>
          <w:sz w:val="22"/>
          <w:szCs w:val="22"/>
          <w:lang w:eastAsia="ja-JP"/>
        </w:rPr>
        <w:t xml:space="preserve">*Corresponding author: </w:t>
      </w:r>
      <w:r w:rsidRPr="005E6B7C">
        <w:rPr>
          <w:rFonts w:asciiTheme="majorHAnsi" w:eastAsia="Yu Mincho" w:hAnsiTheme="majorHAnsi" w:cstheme="majorHAnsi"/>
          <w:iCs/>
          <w:color w:val="000000" w:themeColor="text1"/>
          <w:sz w:val="22"/>
          <w:szCs w:val="22"/>
          <w:lang w:eastAsia="ja-JP"/>
        </w:rPr>
        <w:t>hado.vdl@nimm.org.vn</w:t>
      </w:r>
    </w:p>
    <w:p w14:paraId="1F044A50" w14:textId="77777777" w:rsidR="00A0756D" w:rsidRPr="005E6B7C" w:rsidRDefault="00A0756D"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March 05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20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02A3AD84" w14:textId="77777777" w:rsidR="00E049CB" w:rsidRPr="005E6B7C" w:rsidRDefault="00E049CB" w:rsidP="008C0D47">
      <w:pPr>
        <w:tabs>
          <w:tab w:val="left" w:pos="27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5C445B3F" w14:textId="10EDCC45" w:rsidR="00E049CB" w:rsidRPr="005E6B7C" w:rsidRDefault="00E049CB" w:rsidP="008C0D47">
      <w:pPr>
        <w:tabs>
          <w:tab w:val="left" w:pos="270"/>
          <w:tab w:val="left" w:pos="9270"/>
        </w:tabs>
        <w:ind w:firstLine="284"/>
        <w:jc w:val="both"/>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iCs/>
          <w:color w:val="000000" w:themeColor="text1"/>
          <w:sz w:val="18"/>
          <w:szCs w:val="18"/>
          <w:lang w:eastAsia="ja-JP"/>
        </w:rPr>
        <w:t xml:space="preserve">The present study aimed to investigate the acute oral toxicity and evaluate the laxative effect of </w:t>
      </w:r>
      <w:r w:rsidRPr="005E6B7C">
        <w:rPr>
          <w:rFonts w:asciiTheme="majorHAnsi" w:eastAsia="Yu Mincho" w:hAnsiTheme="majorHAnsi" w:cstheme="majorHAnsi"/>
          <w:i/>
          <w:iCs/>
          <w:color w:val="000000" w:themeColor="text1"/>
          <w:sz w:val="18"/>
          <w:szCs w:val="18"/>
          <w:lang w:eastAsia="ja-JP"/>
        </w:rPr>
        <w:t>Pharbitis nil</w:t>
      </w:r>
      <w:r w:rsidRPr="005E6B7C">
        <w:rPr>
          <w:rFonts w:asciiTheme="majorHAnsi" w:eastAsia="Yu Mincho" w:hAnsiTheme="majorHAnsi" w:cstheme="majorHAnsi"/>
          <w:iCs/>
          <w:color w:val="000000" w:themeColor="text1"/>
          <w:sz w:val="18"/>
          <w:szCs w:val="18"/>
          <w:lang w:eastAsia="ja-JP"/>
        </w:rPr>
        <w:t xml:space="preserve"> (L.) Choisy seed extract in mice. Acute oral toxicity of the extract was assessed in </w:t>
      </w:r>
      <w:r w:rsidRPr="005E6B7C">
        <w:rPr>
          <w:rFonts w:asciiTheme="majorHAnsi" w:eastAsia="Yu Mincho" w:hAnsiTheme="majorHAnsi" w:cstheme="majorHAnsi"/>
          <w:i/>
          <w:iCs/>
          <w:color w:val="000000" w:themeColor="text1"/>
          <w:sz w:val="18"/>
          <w:szCs w:val="18"/>
          <w:lang w:eastAsia="ja-JP"/>
        </w:rPr>
        <w:t>Swiss albino</w:t>
      </w:r>
      <w:r w:rsidRPr="005E6B7C">
        <w:rPr>
          <w:rFonts w:asciiTheme="majorHAnsi" w:eastAsia="Yu Mincho" w:hAnsiTheme="majorHAnsi" w:cstheme="majorHAnsi"/>
          <w:iCs/>
          <w:color w:val="000000" w:themeColor="text1"/>
          <w:sz w:val="18"/>
          <w:szCs w:val="18"/>
          <w:lang w:eastAsia="ja-JP"/>
        </w:rPr>
        <w:t xml:space="preserve"> mice using the Karber-Behrens method to determine the LD</w:t>
      </w:r>
      <w:r w:rsidRPr="005E6B7C">
        <w:rPr>
          <w:rFonts w:asciiTheme="majorHAnsi" w:eastAsia="Yu Mincho" w:hAnsiTheme="majorHAnsi" w:cstheme="majorHAnsi"/>
          <w:iCs/>
          <w:color w:val="000000" w:themeColor="text1"/>
          <w:sz w:val="18"/>
          <w:szCs w:val="18"/>
          <w:vertAlign w:val="subscript"/>
          <w:lang w:eastAsia="ja-JP"/>
        </w:rPr>
        <w:t>50</w:t>
      </w:r>
      <w:r w:rsidRPr="005E6B7C">
        <w:rPr>
          <w:rFonts w:asciiTheme="majorHAnsi" w:eastAsia="Yu Mincho" w:hAnsiTheme="majorHAnsi" w:cstheme="majorHAnsi"/>
          <w:iCs/>
          <w:color w:val="000000" w:themeColor="text1"/>
          <w:sz w:val="18"/>
          <w:szCs w:val="18"/>
          <w:lang w:eastAsia="ja-JP"/>
        </w:rPr>
        <w:t xml:space="preserve"> value. The laxative effect was evaluated in loperamide-induced constipation and normal mice through fecal water content, number and morphology of fecal pellets, intestinal charcoal transit ratio, amount of retained feces in the colon, and gastrointestinal fluid secretion. The result</w:t>
      </w:r>
      <w:r w:rsidR="000A3733" w:rsidRPr="005E6B7C">
        <w:rPr>
          <w:rFonts w:asciiTheme="majorHAnsi" w:eastAsia="Yu Mincho" w:hAnsiTheme="majorHAnsi" w:cstheme="majorHAnsi"/>
          <w:iCs/>
          <w:color w:val="000000" w:themeColor="text1"/>
          <w:sz w:val="18"/>
          <w:szCs w:val="18"/>
          <w:lang w:eastAsia="ja-JP"/>
        </w:rPr>
        <w:t>s</w:t>
      </w:r>
      <w:r w:rsidRPr="005E6B7C">
        <w:rPr>
          <w:rFonts w:asciiTheme="majorHAnsi" w:eastAsia="Yu Mincho" w:hAnsiTheme="majorHAnsi" w:cstheme="majorHAnsi"/>
          <w:iCs/>
          <w:color w:val="000000" w:themeColor="text1"/>
          <w:sz w:val="18"/>
          <w:szCs w:val="18"/>
          <w:lang w:eastAsia="ja-JP"/>
        </w:rPr>
        <w:t xml:space="preserve"> showed that the </w:t>
      </w:r>
      <w:r w:rsidRPr="005E6B7C">
        <w:rPr>
          <w:rFonts w:asciiTheme="majorHAnsi" w:eastAsia="Yu Mincho" w:hAnsiTheme="majorHAnsi" w:cstheme="majorHAnsi"/>
          <w:i/>
          <w:iCs/>
          <w:color w:val="000000" w:themeColor="text1"/>
          <w:sz w:val="18"/>
          <w:szCs w:val="18"/>
          <w:lang w:eastAsia="ja-JP"/>
        </w:rPr>
        <w:t xml:space="preserve">P. nil </w:t>
      </w:r>
      <w:r w:rsidRPr="005E6B7C">
        <w:rPr>
          <w:rFonts w:asciiTheme="majorHAnsi" w:eastAsia="Yu Mincho" w:hAnsiTheme="majorHAnsi" w:cstheme="majorHAnsi"/>
          <w:iCs/>
          <w:color w:val="000000" w:themeColor="text1"/>
          <w:sz w:val="18"/>
          <w:szCs w:val="18"/>
          <w:lang w:eastAsia="ja-JP"/>
        </w:rPr>
        <w:t xml:space="preserve">seed extract </w:t>
      </w:r>
      <w:r w:rsidR="000A3733" w:rsidRPr="005E6B7C">
        <w:rPr>
          <w:rFonts w:asciiTheme="majorHAnsi" w:eastAsia="Yu Mincho" w:hAnsiTheme="majorHAnsi" w:cstheme="majorHAnsi"/>
          <w:iCs/>
          <w:color w:val="000000" w:themeColor="text1"/>
          <w:sz w:val="18"/>
          <w:szCs w:val="18"/>
          <w:lang w:eastAsia="ja-JP"/>
        </w:rPr>
        <w:t>exhibited low acute oral toxicity (LD50 = 3.96 g/kg)</w:t>
      </w:r>
      <w:r w:rsidRPr="005E6B7C">
        <w:rPr>
          <w:rFonts w:asciiTheme="majorHAnsi" w:eastAsia="Yu Mincho" w:hAnsiTheme="majorHAnsi" w:cstheme="majorHAnsi"/>
          <w:iCs/>
          <w:color w:val="000000" w:themeColor="text1"/>
          <w:sz w:val="18"/>
          <w:szCs w:val="18"/>
          <w:lang w:eastAsia="ja-JP"/>
        </w:rPr>
        <w:t>. In the loperamide-induced constipation model, the extract at doses of 150 and 300 mg/kg significantly increased fecal water content compared with the constipation model group, exhibiting effect comparable to the reference drug bisacodyl (1 mg/kg). At a dose of 300 mg/kg, this extract significantly enhanced intestinal motility, comparable to bisacodyl (1 mg/kg), by increasing the intestinal charcoal transit ratio. The extract at doses of 150 and 300 mg/kg also reduced fecal retention in the colon. In normal mice, the extract at both doses, 150 and 300 mg/kg</w:t>
      </w:r>
      <w:r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iCs/>
          <w:color w:val="000000" w:themeColor="text1"/>
          <w:sz w:val="18"/>
          <w:szCs w:val="18"/>
          <w:lang w:eastAsia="ja-JP"/>
        </w:rPr>
        <w:t xml:space="preserve"> increased fecal water content and the weight of intestinal contents, indicating stimulation of fluid secretion into the intestinal lumen. In conclusion, the </w:t>
      </w:r>
      <w:r w:rsidRPr="005E6B7C">
        <w:rPr>
          <w:rFonts w:asciiTheme="majorHAnsi" w:eastAsia="Yu Mincho" w:hAnsiTheme="majorHAnsi" w:cstheme="majorHAnsi"/>
          <w:color w:val="000000" w:themeColor="text1"/>
          <w:sz w:val="18"/>
          <w:szCs w:val="18"/>
          <w:lang w:eastAsia="ja-JP"/>
        </w:rPr>
        <w:t>P</w:t>
      </w:r>
      <w:r w:rsidRPr="005E6B7C">
        <w:rPr>
          <w:rFonts w:asciiTheme="majorHAnsi" w:eastAsia="Yu Mincho" w:hAnsiTheme="majorHAnsi" w:cstheme="majorHAnsi"/>
          <w:i/>
          <w:iCs/>
          <w:color w:val="000000" w:themeColor="text1"/>
          <w:sz w:val="18"/>
          <w:szCs w:val="18"/>
          <w:lang w:eastAsia="ja-JP"/>
        </w:rPr>
        <w:t>. nil</w:t>
      </w:r>
      <w:r w:rsidRPr="005E6B7C">
        <w:rPr>
          <w:rFonts w:asciiTheme="majorHAnsi" w:eastAsia="Yu Mincho" w:hAnsiTheme="majorHAnsi" w:cstheme="majorHAnsi"/>
          <w:iCs/>
          <w:color w:val="000000" w:themeColor="text1"/>
          <w:sz w:val="18"/>
          <w:szCs w:val="18"/>
          <w:lang w:eastAsia="ja-JP"/>
        </w:rPr>
        <w:t xml:space="preserve"> seed extract exhibited significant laxative properties in a loperamide-induced constipation mouse model, providing scientific evidence supporting the use of this medicinal plant in the management of constipation.</w:t>
      </w:r>
    </w:p>
    <w:p w14:paraId="456D65DE" w14:textId="0DC22845" w:rsidR="00E049CB" w:rsidRPr="005E6B7C" w:rsidRDefault="00E049CB" w:rsidP="008C0D47">
      <w:pPr>
        <w:tabs>
          <w:tab w:val="left" w:pos="270"/>
          <w:tab w:val="left" w:pos="9270"/>
        </w:tabs>
        <w:ind w:firstLine="284"/>
        <w:jc w:val="both"/>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eastAsia="ja-JP"/>
        </w:rPr>
        <w:t>Keywords:</w:t>
      </w:r>
      <w:r w:rsidRPr="005E6B7C">
        <w:rPr>
          <w:rFonts w:asciiTheme="majorHAnsi" w:eastAsia="Yu Mincho" w:hAnsiTheme="majorHAnsi" w:cstheme="majorHAnsi"/>
          <w:b/>
          <w:bCs/>
          <w:color w:val="000000" w:themeColor="text1"/>
          <w:sz w:val="18"/>
          <w:szCs w:val="18"/>
          <w:lang w:eastAsia="ja-JP"/>
        </w:rPr>
        <w:t xml:space="preserve"> </w:t>
      </w:r>
      <w:r w:rsidR="000A3733" w:rsidRPr="005E6B7C">
        <w:rPr>
          <w:rFonts w:asciiTheme="majorHAnsi" w:eastAsia="Yu Mincho" w:hAnsiTheme="majorHAnsi" w:cstheme="majorHAnsi"/>
          <w:i/>
          <w:iCs/>
          <w:color w:val="000000" w:themeColor="text1"/>
          <w:sz w:val="18"/>
          <w:szCs w:val="18"/>
          <w:lang w:eastAsia="ja-JP"/>
        </w:rPr>
        <w:t>Pharbitis nil (L.) Choisy seed extract</w:t>
      </w:r>
      <w:r w:rsidRPr="005E6B7C">
        <w:rPr>
          <w:rFonts w:asciiTheme="majorHAnsi" w:eastAsia="Yu Mincho" w:hAnsiTheme="majorHAnsi" w:cstheme="majorHAnsi"/>
          <w:i/>
          <w:iCs/>
          <w:color w:val="000000" w:themeColor="text1"/>
          <w:sz w:val="18"/>
          <w:szCs w:val="18"/>
          <w:lang w:eastAsia="ja-JP"/>
        </w:rPr>
        <w:t>; Acute oral toxicity; Laxative effect; Constipation; Loperamide.</w:t>
      </w:r>
    </w:p>
    <w:p w14:paraId="10E9C84C" w14:textId="77777777" w:rsidR="0047080C" w:rsidRPr="005E6B7C" w:rsidRDefault="0047080C" w:rsidP="008C0D47">
      <w:pPr>
        <w:tabs>
          <w:tab w:val="left" w:pos="270"/>
          <w:tab w:val="left" w:pos="9270"/>
        </w:tabs>
        <w:ind w:right="-20"/>
        <w:jc w:val="both"/>
        <w:rPr>
          <w:rFonts w:asciiTheme="majorHAnsi" w:eastAsia="Yu Mincho" w:hAnsiTheme="majorHAnsi" w:cstheme="majorHAnsi"/>
          <w:b/>
          <w:bCs/>
          <w:i/>
          <w:iCs/>
          <w:color w:val="000000" w:themeColor="text1"/>
          <w:sz w:val="22"/>
          <w:szCs w:val="22"/>
          <w:lang w:eastAsia="ja-JP"/>
        </w:rPr>
      </w:pPr>
    </w:p>
    <w:p w14:paraId="73B5CC7F"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4F04F4" w:rsidRPr="005E6B7C" w:rsidSect="002206BB">
          <w:type w:val="continuous"/>
          <w:pgSz w:w="10773" w:h="15309" w:code="9"/>
          <w:pgMar w:top="907" w:right="851" w:bottom="1418" w:left="851" w:header="397" w:footer="851" w:gutter="0"/>
          <w:cols w:space="284"/>
          <w:docGrid w:linePitch="360"/>
        </w:sectPr>
      </w:pPr>
    </w:p>
    <w:p w14:paraId="20730984" w14:textId="77777777"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1. Introduction</w:t>
      </w:r>
    </w:p>
    <w:p w14:paraId="7840DDA6" w14:textId="6C8F9131"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Pharbitis nil</w:t>
      </w:r>
      <w:r w:rsidRPr="005E6B7C">
        <w:rPr>
          <w:rFonts w:asciiTheme="majorHAnsi" w:eastAsia="Yu Mincho" w:hAnsiTheme="majorHAnsi" w:cstheme="majorHAnsi"/>
          <w:color w:val="000000" w:themeColor="text1"/>
          <w:sz w:val="22"/>
          <w:szCs w:val="22"/>
          <w:lang w:eastAsia="ja-JP"/>
        </w:rPr>
        <w:t xml:space="preserve"> (L.) Choisy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belonging to the family Convolvulaceae, is a plant widely used in traditional medicine in many Asian countries. The seeds of this plant, also known as </w:t>
      </w:r>
      <w:r w:rsidRPr="005E6B7C">
        <w:rPr>
          <w:rFonts w:asciiTheme="majorHAnsi" w:eastAsia="Yu Mincho" w:hAnsiTheme="majorHAnsi" w:cstheme="majorHAnsi"/>
          <w:i/>
          <w:iCs/>
          <w:color w:val="000000" w:themeColor="text1"/>
          <w:sz w:val="22"/>
          <w:szCs w:val="22"/>
          <w:lang w:eastAsia="ja-JP"/>
        </w:rPr>
        <w:t>Pharbitidis Semen</w:t>
      </w:r>
      <w:r w:rsidRPr="005E6B7C">
        <w:rPr>
          <w:rFonts w:asciiTheme="majorHAnsi" w:eastAsia="Yu Mincho" w:hAnsiTheme="majorHAnsi" w:cstheme="majorHAnsi"/>
          <w:color w:val="000000" w:themeColor="text1"/>
          <w:sz w:val="22"/>
          <w:szCs w:val="22"/>
          <w:lang w:eastAsia="ja-JP"/>
        </w:rPr>
        <w:t xml:space="preserve"> (Khiên ngưu tử), have been reported to possess purgative, laxative, diuretic, and anti-edematous effects, and are commonly used </w:t>
      </w:r>
      <w:r w:rsidRPr="005E6B7C">
        <w:rPr>
          <w:rFonts w:asciiTheme="majorHAnsi" w:eastAsia="Yu Mincho" w:hAnsiTheme="majorHAnsi" w:cstheme="majorHAnsi"/>
          <w:iCs/>
          <w:color w:val="000000" w:themeColor="text1"/>
          <w:sz w:val="22"/>
          <w:szCs w:val="22"/>
          <w:lang w:eastAsia="ja-JP"/>
        </w:rPr>
        <w:t>in herbal medicine for relief</w:t>
      </w:r>
      <w:r w:rsidR="000A3733" w:rsidRPr="005E6B7C">
        <w:rPr>
          <w:rFonts w:asciiTheme="majorHAnsi" w:eastAsia="Yu Mincho" w:hAnsiTheme="majorHAnsi" w:cstheme="majorHAnsi"/>
          <w:iCs/>
          <w:color w:val="000000" w:themeColor="text1"/>
          <w:sz w:val="22"/>
          <w:szCs w:val="22"/>
          <w:lang w:val="vi-VN" w:eastAsia="ja-JP"/>
        </w:rPr>
        <w:t xml:space="preserve"> and </w:t>
      </w:r>
      <w:r w:rsidRPr="005E6B7C">
        <w:rPr>
          <w:rFonts w:asciiTheme="majorHAnsi" w:eastAsia="Yu Mincho" w:hAnsiTheme="majorHAnsi" w:cstheme="majorHAnsi"/>
          <w:color w:val="000000" w:themeColor="text1"/>
          <w:sz w:val="22"/>
          <w:szCs w:val="22"/>
          <w:lang w:eastAsia="ja-JP"/>
        </w:rPr>
        <w:t xml:space="preserve">management of constipation and certain gastrointestinal disorders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 ExcludeAuth="1" ExcludeYear="1"&gt;&lt;RecNum&gt;13&lt;/RecNum&gt;&lt;DisplayText&gt;[1],[2]&lt;/DisplayText&gt;&lt;record&gt;&lt;rec-number&gt;13&lt;/rec-number&gt;&lt;foreign-keys&gt;&lt;key app="EN" db-id="9awsf9p0s2zpssez0eop5vvrsx25ezw5pets" timestamp="1772982709"&gt;13&lt;/key&gt;&lt;/foreign-keys&gt;&lt;ref-type name="Book"&gt;6&lt;/ref-type&gt;&lt;contributors&gt;&lt;authors&gt;&lt;author&gt;Do Huy Ich&lt;/author&gt;&lt;/authors&gt;&lt;/contributors&gt;&lt;titles&gt;&lt;title&gt;&lt;style face="normal" font="default" charset="163" size="100%"&gt;Medicinal Plants and Animals Used as Medicines in Vietnam. Volume 1. &lt;/style&gt;&lt;style face="italic" font="default" charset="163" size="100%"&gt;Science and Technology Publishing House, Hanoi&lt;/style&gt;&lt;/title&gt;&lt;secondary-title&gt;Bim Bim biec&lt;/secondary-title&gt;&lt;/titles&gt;&lt;pages&gt;207-208&lt;/pages&gt;&lt;dates&gt;&lt;year&gt;2016&lt;/year&gt;&lt;/dates&gt;&lt;urls&gt;&lt;/urls&gt;&lt;/record&gt;&lt;/Cite&gt;&lt;Cite ExcludeAuth="1" ExcludeYear="1"&gt;&lt;RecNum&gt;12&lt;/RecNum&gt;&lt;record&gt;&lt;rec-number&gt;12&lt;/rec-number&gt;&lt;foreign-keys&gt;&lt;key app="EN" db-id="9awsf9p0s2zpssez0eop5vvrsx25ezw5pets" timestamp="1772982603"&gt;12&lt;/key&gt;&lt;/foreign-keys&gt;&lt;ref-type name="Journal Article"&gt;17&lt;/ref-type&gt;&lt;contributors&gt;&lt;authors&gt;&lt;author&gt;Ministry of Health (Vietnam),&lt;/author&gt;&lt;/authors&gt;&lt;/contributors&gt;&lt;titles&gt;&lt;title&gt;&lt;style face="normal" font="default" charset="163" size="100%"&gt;Vietnamese Pharmacopoeia V. &lt;/style&gt;&lt;style face="italic" font="default" charset="163" size="100%"&gt;Hanoi: Medical Publishing House&lt;/style&gt;&lt;/title&gt;&lt;/titles&gt;&lt;dates&gt;&lt;year&gt;2017&lt;/year&gt;&lt;/dates&gt;&lt;urls&gt;&lt;/urls&gt;&lt;/record&gt;&lt;/Cite&gt;&lt;/EndNote&gt;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According to the Vietnamese Pharmacopoeia V, the recommended dose of </w:t>
      </w:r>
      <w:r w:rsidRPr="005E6B7C">
        <w:rPr>
          <w:rFonts w:asciiTheme="majorHAnsi" w:eastAsia="Yu Mincho" w:hAnsiTheme="majorHAnsi" w:cstheme="majorHAnsi"/>
          <w:i/>
          <w:iCs/>
          <w:color w:val="000000" w:themeColor="text1"/>
          <w:sz w:val="22"/>
          <w:szCs w:val="22"/>
          <w:lang w:eastAsia="ja-JP"/>
        </w:rPr>
        <w:t xml:space="preserve">P. nil </w:t>
      </w:r>
      <w:r w:rsidRPr="005E6B7C">
        <w:rPr>
          <w:rFonts w:asciiTheme="majorHAnsi" w:eastAsia="Yu Mincho" w:hAnsiTheme="majorHAnsi" w:cstheme="majorHAnsi"/>
          <w:color w:val="000000" w:themeColor="text1"/>
          <w:sz w:val="22"/>
          <w:szCs w:val="22"/>
          <w:lang w:eastAsia="ja-JP"/>
        </w:rPr>
        <w:t xml:space="preserve">seeds is 4 </w:t>
      </w:r>
      <w:r w:rsidRPr="005E6B7C">
        <w:rPr>
          <w:rFonts w:asciiTheme="majorHAnsi" w:eastAsia="Yu Mincho" w:hAnsiTheme="majorHAnsi" w:cstheme="majorHAnsi"/>
          <w:iCs/>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 8 g of crude drug per day in herbal formulations used to support the management of constipation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&lt;EndNote&gt;&lt;Cite&gt;&lt;RecNum&gt;12&lt;/RecNum&gt;&lt;DisplayText&gt;[2]&lt;/DisplayText&gt;&lt;record&gt;&lt;rec-number&gt;12&lt;/rec-number&gt;&lt;foreign-keys&gt;&lt;key app="EN" db-id="9awsf9p0s2zpssez0eop5vvrsx25ezw5pets" timestamp="1772982603"&gt;12&lt;/key&gt;&lt;/foreign-keys&gt;&lt;ref-type name="Journal Article"&gt;17&lt;/ref-type&gt;&lt;contributors&gt;&lt;authors&gt;&lt;author&gt;Ministry of Health (Vietnam),&lt;/author&gt;&lt;/authors&gt;&lt;/contributors&gt;&lt;titles&gt;&lt;title&gt;&lt;style face="normal" font="default" charset="163" size="100%"&gt;Vietnamese Pharmacopoeia V. &lt;/style&gt;&lt;style face="italic" font="default" charset="163" size="100%"&gt;Hanoi: Medical Publishing House&lt;/style&gt;&lt;/title&gt;&lt;/titles&gt;&lt;dates&gt;&lt;year&gt;2017&lt;/year&gt;&lt;/dates&gt;&lt;urls&gt;&lt;/urls&gt;&lt;/record&gt;&lt;/Cite&gt;&lt;/EndNote&gt;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6B841B31" w14:textId="77777777"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Phytochemical studies have shown that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contain various bioactive compounds, among which resin glycosides (Pharbitin) are considered the main constituents responsible for the laxative activity of the plant. These compounds are capable of stimulating intestinal motility and increasing fluid secretion into the intestinal lumen, thereby facilitating fecal excretion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L1llYXI+PFJlY051bT4xNTwvUmVjTnVtPjxEaXNwbGF5VGV4dD5bM10sWzRdPC9EaXNwbGF5VGV4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L1llYXI+PFJlY051bT4xNTwvUmVjTnVtPjxEaXNwbGF5VGV4dD5bM10sWzRdPC9EaXNwbGF5VGV4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addition, several studies have </w:t>
      </w:r>
      <w:r w:rsidRPr="005E6B7C">
        <w:rPr>
          <w:rFonts w:asciiTheme="majorHAnsi" w:eastAsia="Yu Mincho" w:hAnsiTheme="majorHAnsi" w:cstheme="majorHAnsi"/>
          <w:color w:val="000000" w:themeColor="text1"/>
          <w:sz w:val="22"/>
          <w:szCs w:val="22"/>
          <w:lang w:eastAsia="ja-JP"/>
        </w:rPr>
        <w:t xml:space="preserve">reported other biological activities of this medicinal plant, including anti-inflammatory, antioxidant, and other pharmacological effects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PEVuZE5vdGU+PENpdGU+PEF1dGhvcj5RaXVob25nIFdhbmc8L0F1dGhvcj48WWVhcj4yMDE0PC9Z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==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PEVuZE5vdGU+PENpdGU+PEF1dGhvcj5RaXVob25nIFdhbmc8L0F1dGhvcj48WWVhcj4yMDE0PC9Z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==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[5],[6]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46142A99" w14:textId="77777777"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have long been used in traditional medicine. To provide further scientific evidence regarding the safety and pharmacological effects of their extract, the present study investigated the acute oral toxicity and laxative activities of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in experimental models. The study results might provide scientific evidence to support the use and development of medicinal products derived from this medicinal material for the management of constipation.</w:t>
      </w:r>
    </w:p>
    <w:p w14:paraId="0EB31CE8" w14:textId="77777777"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0868A449" w14:textId="77777777"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 xml:space="preserve">2.1. Materials </w:t>
      </w:r>
    </w:p>
    <w:p w14:paraId="31733A3F" w14:textId="5AC1F27F" w:rsidR="00E049CB" w:rsidRPr="005E6B7C" w:rsidRDefault="00E049CB" w:rsidP="008C0D47">
      <w:pPr>
        <w:tabs>
          <w:tab w:val="left" w:pos="270"/>
          <w:tab w:val="left" w:pos="9270"/>
        </w:tabs>
        <w:spacing w:line="246"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
          <w:iCs/>
          <w:color w:val="000000" w:themeColor="text1"/>
          <w:sz w:val="22"/>
          <w:szCs w:val="22"/>
          <w:lang w:eastAsia="ja-JP"/>
        </w:rPr>
        <w:t xml:space="preserve">P. nil </w:t>
      </w:r>
      <w:r w:rsidRPr="005E6B7C">
        <w:rPr>
          <w:rFonts w:asciiTheme="majorHAnsi" w:eastAsia="Yu Mincho" w:hAnsiTheme="majorHAnsi" w:cstheme="majorHAnsi"/>
          <w:iCs/>
          <w:color w:val="000000" w:themeColor="text1"/>
          <w:sz w:val="22"/>
          <w:szCs w:val="22"/>
          <w:lang w:eastAsia="ja-JP"/>
        </w:rPr>
        <w:t xml:space="preserve">seed </w:t>
      </w:r>
      <w:r w:rsidRPr="005E6B7C">
        <w:rPr>
          <w:rFonts w:asciiTheme="majorHAnsi" w:eastAsia="Yu Mincho" w:hAnsiTheme="majorHAnsi" w:cstheme="majorHAnsi"/>
          <w:color w:val="000000" w:themeColor="text1"/>
          <w:sz w:val="22"/>
          <w:szCs w:val="22"/>
          <w:lang w:eastAsia="ja-JP"/>
        </w:rPr>
        <w:t xml:space="preserve">extract is derived from our previous report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&lt;EndNote&gt;&lt;Cite&gt;&lt;Author&gt;Oanh&lt;/Author&gt;&lt;Year&gt;2025&lt;/Year&gt;&lt;RecNum&gt;22&lt;/RecNum&gt;&lt;DisplayText&gt;[7]&lt;/DisplayText&gt;&lt;record&gt;&lt;rec-number&gt;22&lt;/rec-number&gt;&lt;foreign-keys&gt;&lt;key app="EN" db-id="9awsf9p0s2zpssez0eop5vvrsx25ezw5pets" timestamp="1773329066"&gt;22&lt;/key&gt;&lt;/foreign-keys&gt;&lt;ref-type name="Journal Article"&gt;17&lt;/ref-type&gt;&lt;contributors&gt;&lt;authors&gt;&lt;author&gt;Nguyen Thi Kim Oanh&lt;/author&gt;&lt;author&gt;Ly Hai Trieu&lt;/author&gt;&lt;author&gt;Le Van Minh&lt;/author&gt;&lt;author&gt;Nguyen Manh Khoa&lt;/author&gt;&lt;author&gt;Nguyen Thi Hang&lt;/author&gt;&lt;author&gt;Vu Huong Thuy&lt;/author&gt;&lt;author&gt;Nguyen Huy Van&lt;/author&gt;&lt;author&gt;Tran Quang Luc&lt;/author&gt;&lt;author&gt;Nguyen Thi Vinh Hue &lt;/author&gt;&lt;author&gt;Do Thi Ha&lt;/author&gt;&lt;/authors&gt;&lt;/contributors&gt;&lt;titles&gt;&lt;title&gt;&lt;style face="italic" font="default" size="100%"&gt;Pharbitis nil &lt;/style&gt;&lt;style face="normal" font="default" size="100%"&gt;(L.) Choisy seed extract attenuates cyclophosphamide-induced immunosuppression via regulation of Th2-type immune and humoral immune responses&lt;/style&gt;&lt;/title&gt;&lt;secondary-title&gt;Advances in Traditional Medicine&lt;/secondary-title&gt;&lt;/titles&gt;&lt;periodical&gt;&lt;full-title&gt;Advances in Traditional Medicine&lt;/full-title&gt;&lt;/periodical&gt;&lt;dates&gt;&lt;year&gt;2025&lt;/year&gt;&lt;/dates&gt;&lt;urls&gt;&lt;/urls&gt;&lt;electronic-resource-num&gt;https://doi.org/10.1007/s13596-025-00859-1&lt;/electronic-resource-num&gt;&lt;/record&gt;&lt;/Cite&gt;&lt;/EndNote&gt;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Briefly, </w:t>
      </w:r>
      <w:r w:rsidRPr="005E6B7C">
        <w:rPr>
          <w:rFonts w:asciiTheme="majorHAnsi" w:eastAsia="Yu Mincho" w:hAnsiTheme="majorHAnsi" w:cstheme="majorHAnsi"/>
          <w:i/>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powder was extracted with 70% ethanol (1:2, </w:t>
      </w:r>
      <w:r w:rsidRPr="005E6B7C">
        <w:rPr>
          <w:rFonts w:asciiTheme="majorHAnsi" w:eastAsia="Yu Mincho" w:hAnsiTheme="majorHAnsi" w:cstheme="majorHAnsi"/>
          <w:i/>
          <w:color w:val="000000" w:themeColor="text1"/>
          <w:sz w:val="22"/>
          <w:szCs w:val="22"/>
          <w:lang w:eastAsia="ja-JP"/>
        </w:rPr>
        <w:t>w/v</w:t>
      </w:r>
      <w:r w:rsidRPr="005E6B7C">
        <w:rPr>
          <w:rFonts w:asciiTheme="majorHAnsi" w:eastAsia="Yu Mincho" w:hAnsiTheme="majorHAnsi" w:cstheme="majorHAnsi"/>
          <w:color w:val="000000" w:themeColor="text1"/>
          <w:sz w:val="22"/>
          <w:szCs w:val="22"/>
          <w:lang w:eastAsia="ja-JP"/>
        </w:rPr>
        <w:t xml:space="preserve">) for 48 </w:t>
      </w:r>
      <w:r w:rsidR="000A3733" w:rsidRPr="005E6B7C">
        <w:rPr>
          <w:rFonts w:asciiTheme="majorHAnsi" w:eastAsia="Yu Mincho" w:hAnsiTheme="majorHAnsi" w:cstheme="majorHAnsi"/>
          <w:color w:val="000000" w:themeColor="text1"/>
          <w:sz w:val="22"/>
          <w:szCs w:val="22"/>
          <w:lang w:eastAsia="ja-JP"/>
        </w:rPr>
        <w:t>h</w:t>
      </w:r>
      <w:r w:rsidRPr="005E6B7C">
        <w:rPr>
          <w:rFonts w:asciiTheme="majorHAnsi" w:eastAsia="Yu Mincho" w:hAnsiTheme="majorHAnsi" w:cstheme="majorHAnsi"/>
          <w:color w:val="000000" w:themeColor="text1"/>
          <w:sz w:val="22"/>
          <w:szCs w:val="22"/>
          <w:lang w:eastAsia="ja-JP"/>
        </w:rPr>
        <w:t xml:space="preserve"> at room temperature to get the</w:t>
      </w:r>
      <w:r w:rsidRPr="005E6B7C">
        <w:rPr>
          <w:rFonts w:asciiTheme="majorHAnsi" w:eastAsia="Yu Mincho" w:hAnsiTheme="majorHAnsi" w:cstheme="majorHAnsi"/>
          <w:i/>
          <w:color w:val="000000" w:themeColor="text1"/>
          <w:sz w:val="22"/>
          <w:szCs w:val="22"/>
          <w:lang w:eastAsia="ja-JP"/>
        </w:rPr>
        <w:t xml:space="preserve"> P. nil</w:t>
      </w:r>
      <w:r w:rsidRPr="005E6B7C">
        <w:rPr>
          <w:rFonts w:asciiTheme="majorHAnsi" w:eastAsia="Yu Mincho" w:hAnsiTheme="majorHAnsi" w:cstheme="majorHAnsi"/>
          <w:color w:val="000000" w:themeColor="text1"/>
          <w:sz w:val="22"/>
          <w:szCs w:val="22"/>
          <w:lang w:eastAsia="ja-JP"/>
        </w:rPr>
        <w:t xml:space="preserve"> seed extract. The extract has a moisture content of 11.45% and an extraction yield of 13.18%. The extract was stored at 2-8°C and dissolved in distilled water for dose preparation. </w:t>
      </w:r>
    </w:p>
    <w:p w14:paraId="2C8E3F6E"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lastRenderedPageBreak/>
        <w:t xml:space="preserve">The tested doses of the extract (75, 150, and 300 mg/kg) were selected based on our previous report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&lt;EndNote&gt;&lt;Cite&gt;&lt;Author&gt;Oanh&lt;/Author&gt;&lt;Year&gt;2025&lt;/Year&gt;&lt;RecNum&gt;22&lt;/RecNum&gt;&lt;DisplayText&gt;[7]&lt;/DisplayText&gt;&lt;record&gt;&lt;rec-number&gt;22&lt;/rec-number&gt;&lt;foreign-keys&gt;&lt;key app="EN" db-id="9awsf9p0s2zpssez0eop5vvrsx25ezw5pets" timestamp="1773329066"&gt;22&lt;/key&gt;&lt;/foreign-keys&gt;&lt;ref-type name="Journal Article"&gt;17&lt;/ref-type&gt;&lt;contributors&gt;&lt;authors&gt;&lt;author&gt;Nguyen Thi Kim Oanh&lt;/author&gt;&lt;author&gt;Ly Hai Trieu&lt;/author&gt;&lt;author&gt;Le Van Minh&lt;/author&gt;&lt;author&gt;Nguyen Manh Khoa&lt;/author&gt;&lt;author&gt;Nguyen Thi Hang&lt;/author&gt;&lt;author&gt;Vu Huong Thuy&lt;/author&gt;&lt;author&gt;Nguyen Huy Van&lt;/author&gt;&lt;author&gt;Tran Quang Luc&lt;/author&gt;&lt;author&gt;Nguyen Thi Vinh Hue &lt;/author&gt;&lt;author&gt;Do Thi Ha&lt;/author&gt;&lt;/authors&gt;&lt;/contributors&gt;&lt;titles&gt;&lt;title&gt;&lt;style face="italic" font="default" size="100%"&gt;Pharbitis nil &lt;/style&gt;&lt;style face="normal" font="default" size="100%"&gt;(L.) Choisy seed extract attenuates cyclophosphamide-induced immunosuppression via regulation of Th2-type immune and humoral immune responses&lt;/style&gt;&lt;/title&gt;&lt;secondary-title&gt;Advances in Traditional Medicine&lt;/secondary-title&gt;&lt;/titles&gt;&lt;periodical&gt;&lt;full-title&gt;Advances in Traditional Medicine&lt;/full-title&gt;&lt;/periodical&gt;&lt;dates&gt;&lt;year&gt;2025&lt;/year&gt;&lt;/dates&gt;&lt;urls&gt;&lt;/urls&gt;&lt;electronic-resource-num&gt;https://doi.org/10.1007/s13596-025-00859-1&lt;/electronic-resource-num&gt;&lt;/record&gt;&lt;/Cite&gt;&lt;/EndNote&gt;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which were converted from the recommended human herbal dosage according to the monograph on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in the Vietnamese Pharmacopoeia V.</w:t>
      </w:r>
    </w:p>
    <w:p w14:paraId="68242FCE"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2.2. Animals</w:t>
      </w:r>
    </w:p>
    <w:p w14:paraId="4F4AF1AA" w14:textId="1C2DFF60"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Swiss albino </w:t>
      </w:r>
      <w:r w:rsidRPr="005E6B7C">
        <w:rPr>
          <w:rFonts w:asciiTheme="majorHAnsi" w:eastAsia="Yu Mincho" w:hAnsiTheme="majorHAnsi" w:cstheme="majorHAnsi"/>
          <w:iCs/>
          <w:color w:val="000000" w:themeColor="text1"/>
          <w:sz w:val="22"/>
          <w:szCs w:val="22"/>
          <w:lang w:eastAsia="ja-JP"/>
        </w:rPr>
        <w:t>mice of</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both sexes (18 </w:t>
      </w:r>
      <w:r w:rsidRPr="005E6B7C">
        <w:rPr>
          <w:rFonts w:asciiTheme="majorHAnsi" w:eastAsia="Yu Mincho" w:hAnsiTheme="majorHAnsi" w:cstheme="majorHAnsi"/>
          <w:iCs/>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24 g), collected from the National Institute of Hygiene and Epidemiology, were used to study acute oral toxicity.</w:t>
      </w:r>
      <w:r w:rsidRPr="005E6B7C">
        <w:rPr>
          <w:rFonts w:asciiTheme="majorHAnsi" w:eastAsia="Yu Mincho" w:hAnsiTheme="majorHAnsi" w:cstheme="majorHAnsi"/>
          <w:i/>
          <w:iCs/>
          <w:color w:val="000000" w:themeColor="text1"/>
          <w:sz w:val="22"/>
          <w:szCs w:val="22"/>
          <w:lang w:eastAsia="ja-JP"/>
        </w:rPr>
        <w:t xml:space="preserve"> ICR</w:t>
      </w:r>
      <w:r w:rsidRPr="005E6B7C">
        <w:rPr>
          <w:rFonts w:asciiTheme="majorHAnsi" w:eastAsia="Yu Mincho" w:hAnsiTheme="majorHAnsi" w:cstheme="majorHAnsi"/>
          <w:color w:val="000000" w:themeColor="text1"/>
          <w:sz w:val="22"/>
          <w:szCs w:val="22"/>
          <w:lang w:eastAsia="ja-JP"/>
        </w:rPr>
        <w:t xml:space="preserve"> male mice (22 </w:t>
      </w:r>
      <w:r w:rsidRPr="005E6B7C">
        <w:rPr>
          <w:rFonts w:asciiTheme="majorHAnsi" w:eastAsia="Yu Mincho" w:hAnsiTheme="majorHAnsi" w:cstheme="majorHAnsi"/>
          <w:iCs/>
          <w:color w:val="000000" w:themeColor="text1"/>
          <w:sz w:val="22"/>
          <w:szCs w:val="22"/>
          <w:lang w:eastAsia="ja-JP"/>
        </w:rPr>
        <w:sym w:font="Symbol" w:char="F02D"/>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25 g), collected from the Biotechnology Center of Ho Chi Minh City, were used to study the laxative effect. The animals were acclimatized under laboratory conditions </w:t>
      </w:r>
      <w:r w:rsidRPr="005E6B7C">
        <w:rPr>
          <w:rFonts w:asciiTheme="majorHAnsi" w:eastAsia="Yu Mincho" w:hAnsiTheme="majorHAnsi" w:cstheme="majorHAnsi"/>
          <w:iCs/>
          <w:color w:val="000000" w:themeColor="text1"/>
          <w:sz w:val="22"/>
          <w:szCs w:val="22"/>
          <w:lang w:eastAsia="ja-JP"/>
        </w:rPr>
        <w:t>(</w:t>
      </w:r>
      <w:r w:rsidR="000A3733" w:rsidRPr="005E6B7C">
        <w:rPr>
          <w:rFonts w:asciiTheme="majorHAnsi" w:eastAsia="Yu Mincho" w:hAnsiTheme="majorHAnsi" w:cstheme="majorHAnsi"/>
          <w:iCs/>
          <w:color w:val="000000" w:themeColor="text1"/>
          <w:sz w:val="22"/>
          <w:szCs w:val="22"/>
          <w:lang w:eastAsia="ja-JP"/>
        </w:rPr>
        <w:t>relative humidity of 50–60%</w:t>
      </w:r>
      <w:r w:rsidRPr="005E6B7C">
        <w:rPr>
          <w:rFonts w:asciiTheme="majorHAnsi" w:eastAsia="Yu Mincho" w:hAnsiTheme="majorHAnsi" w:cstheme="majorHAnsi"/>
          <w:iCs/>
          <w:color w:val="000000" w:themeColor="text1"/>
          <w:sz w:val="22"/>
          <w:szCs w:val="22"/>
          <w:lang w:eastAsia="ja-JP"/>
        </w:rPr>
        <w:t>, temperature 25°C, and 12</w:t>
      </w:r>
      <w:r w:rsidR="000A3733" w:rsidRPr="005E6B7C">
        <w:rPr>
          <w:rFonts w:asciiTheme="majorHAnsi" w:eastAsia="Yu Mincho" w:hAnsiTheme="majorHAnsi" w:cstheme="majorHAnsi"/>
          <w:iCs/>
          <w:color w:val="000000" w:themeColor="text1"/>
          <w:sz w:val="22"/>
          <w:szCs w:val="22"/>
          <w:lang w:val="vi-VN" w:eastAsia="ja-JP"/>
        </w:rPr>
        <w:t>-</w:t>
      </w:r>
      <w:r w:rsidRPr="005E6B7C">
        <w:rPr>
          <w:rFonts w:asciiTheme="majorHAnsi" w:eastAsia="Yu Mincho" w:hAnsiTheme="majorHAnsi" w:cstheme="majorHAnsi"/>
          <w:iCs/>
          <w:color w:val="000000" w:themeColor="text1"/>
          <w:sz w:val="22"/>
          <w:szCs w:val="22"/>
          <w:lang w:eastAsia="ja-JP"/>
        </w:rPr>
        <w:t xml:space="preserve">h light-dark cycles) </w:t>
      </w:r>
      <w:r w:rsidRPr="005E6B7C">
        <w:rPr>
          <w:rFonts w:asciiTheme="majorHAnsi" w:eastAsia="Yu Mincho" w:hAnsiTheme="majorHAnsi" w:cstheme="majorHAnsi"/>
          <w:color w:val="000000" w:themeColor="text1"/>
          <w:sz w:val="22"/>
          <w:szCs w:val="22"/>
          <w:lang w:eastAsia="ja-JP"/>
        </w:rPr>
        <w:t xml:space="preserve">with free access to food and water for 7 days prior to the experiments. </w:t>
      </w:r>
      <w:r w:rsidRPr="005E6B7C">
        <w:rPr>
          <w:rFonts w:asciiTheme="majorHAnsi" w:eastAsia="Yu Mincho" w:hAnsiTheme="majorHAnsi" w:cstheme="majorHAnsi"/>
          <w:bCs/>
          <w:color w:val="000000" w:themeColor="text1"/>
          <w:sz w:val="22"/>
          <w:szCs w:val="22"/>
          <w:lang w:eastAsia="ja-JP"/>
        </w:rPr>
        <w:t xml:space="preserve">All experimental procedures involving animals were reviewed and approved by the Institutional Animal Ethics Committee </w:t>
      </w:r>
      <w:r w:rsidRPr="005E6B7C">
        <w:rPr>
          <w:rFonts w:asciiTheme="majorHAnsi" w:eastAsia="Yu Mincho" w:hAnsiTheme="majorHAnsi" w:cstheme="majorHAnsi"/>
          <w:color w:val="000000" w:themeColor="text1"/>
          <w:sz w:val="22"/>
          <w:szCs w:val="22"/>
          <w:lang w:eastAsia="ja-JP"/>
        </w:rPr>
        <w:t>of the National Institute of Medicinal Materials, Hanoi, Vietnam (Ref: 03/2024-HĐTVĐĐTĐV).</w:t>
      </w:r>
    </w:p>
    <w:p w14:paraId="0925DBF4"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2.3. Acute oral toxicity test</w:t>
      </w:r>
    </w:p>
    <w:p w14:paraId="0C73E747"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Mice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=10) were fasted overnight prior to oral administration of the extract at different concentrations via a blunt-tipped gavage needle. After administration of the extract, the animals were provided with food and water ad libitum. The mice were observed for behavioral changes, physical activity, food and water intake, excretion, and mortality for 10 days. If any animals died, a necropsy was performed to assess gross pathological changes </w:t>
      </w:r>
      <w:r w:rsidRPr="005E6B7C">
        <w:rPr>
          <w:rFonts w:asciiTheme="majorHAnsi" w:eastAsia="Yu Mincho" w:hAnsiTheme="majorHAnsi" w:cstheme="majorHAnsi"/>
          <w:color w:val="000000" w:themeColor="text1"/>
          <w:sz w:val="22"/>
          <w:szCs w:val="22"/>
          <w:lang w:eastAsia="ja-JP"/>
        </w:rPr>
        <w:fldChar w:fldCharType="begin">
          <w:fldData xml:space="preserve">PEVuZE5vdGU+PENpdGUgRXhjbHVkZUF1dGg9IjEiIEV4Y2x1ZGVZZWFyPSIxIj48UmVjTnVtPjE8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==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PEVuZE5vdGU+PENpdGUgRXhjbHVkZUF1dGg9IjEiIEV4Y2x1ZGVZZWFyPSIxIj48UmVjTnVtPjE8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==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 was subsequently calculated using the Karber-Behrens formula:</w:t>
      </w:r>
    </w:p>
    <w:p w14:paraId="557C34C8" w14:textId="77777777" w:rsidR="00E049CB" w:rsidRPr="005E6B7C" w:rsidRDefault="00E049CB" w:rsidP="008C0D47">
      <w:pPr>
        <w:tabs>
          <w:tab w:val="left" w:pos="270"/>
          <w:tab w:val="left" w:pos="9270"/>
        </w:tabs>
        <w:ind w:right="-20" w:firstLine="284"/>
        <w:jc w:val="both"/>
        <w:rPr>
          <w:rFonts w:asciiTheme="majorHAnsi" w:eastAsia="Yu Mincho" w:hAnsiTheme="majorHAnsi" w:cstheme="majorHAnsi"/>
          <w:color w:val="000000" w:themeColor="text1"/>
          <w:sz w:val="22"/>
          <w:szCs w:val="22"/>
          <w:lang w:val="da-DK" w:eastAsia="ja-JP"/>
        </w:rPr>
      </w:pPr>
      <w:r w:rsidRPr="005E6B7C">
        <w:rPr>
          <w:rFonts w:asciiTheme="majorHAnsi" w:eastAsia="Yu Mincho" w:hAnsiTheme="majorHAnsi" w:cstheme="majorHAnsi"/>
          <w:color w:val="000000" w:themeColor="text1"/>
          <w:sz w:val="22"/>
          <w:szCs w:val="22"/>
          <w:lang w:val="da-DK" w:eastAsia="ja-JP"/>
        </w:rPr>
        <w:t>Log(LD</w:t>
      </w:r>
      <w:r w:rsidRPr="005E6B7C">
        <w:rPr>
          <w:rFonts w:asciiTheme="majorHAnsi" w:eastAsia="Yu Mincho" w:hAnsiTheme="majorHAnsi" w:cstheme="majorHAnsi"/>
          <w:color w:val="000000" w:themeColor="text1"/>
          <w:sz w:val="22"/>
          <w:szCs w:val="22"/>
          <w:vertAlign w:val="subscript"/>
          <w:lang w:val="da-DK" w:eastAsia="ja-JP"/>
        </w:rPr>
        <w:t>50</w:t>
      </w:r>
      <w:r w:rsidRPr="005E6B7C">
        <w:rPr>
          <w:rFonts w:asciiTheme="majorHAnsi" w:eastAsia="Yu Mincho" w:hAnsiTheme="majorHAnsi" w:cstheme="majorHAnsi"/>
          <w:color w:val="000000" w:themeColor="text1"/>
          <w:sz w:val="22"/>
          <w:szCs w:val="22"/>
          <w:lang w:val="da-DK" w:eastAsia="ja-JP"/>
        </w:rPr>
        <w:t>) = Log(LD</w:t>
      </w:r>
      <w:r w:rsidRPr="005E6B7C">
        <w:rPr>
          <w:rFonts w:asciiTheme="majorHAnsi" w:eastAsia="Yu Mincho" w:hAnsiTheme="majorHAnsi" w:cstheme="majorHAnsi"/>
          <w:color w:val="000000" w:themeColor="text1"/>
          <w:sz w:val="22"/>
          <w:szCs w:val="22"/>
          <w:vertAlign w:val="subscript"/>
          <w:lang w:val="da-DK" w:eastAsia="ja-JP"/>
        </w:rPr>
        <w:t>100</w:t>
      </w:r>
      <w:r w:rsidRPr="005E6B7C">
        <w:rPr>
          <w:rFonts w:asciiTheme="majorHAnsi" w:eastAsia="Yu Mincho" w:hAnsiTheme="majorHAnsi" w:cstheme="majorHAnsi"/>
          <w:color w:val="000000" w:themeColor="text1"/>
          <w:sz w:val="22"/>
          <w:szCs w:val="22"/>
          <w:lang w:val="da-DK" w:eastAsia="ja-JP"/>
        </w:rPr>
        <w:t xml:space="preserve">) - </w:t>
      </w:r>
      <w:r w:rsidRPr="005E6B7C">
        <w:rPr>
          <w:rFonts w:asciiTheme="majorHAnsi" w:eastAsia="Yu Mincho" w:hAnsiTheme="majorHAnsi" w:cstheme="majorHAnsi"/>
          <w:i/>
          <w:color w:val="000000" w:themeColor="text1"/>
          <w:sz w:val="22"/>
          <w:szCs w:val="22"/>
          <w:lang w:val="da-DK" w:eastAsia="ja-JP"/>
        </w:rPr>
        <w:t xml:space="preserve"> </w:t>
      </w:r>
      <m:oMath>
        <m:f>
          <m:fPr>
            <m:ctrlPr>
              <w:rPr>
                <w:rFonts w:ascii="Cambria Math" w:eastAsia="Yu Mincho" w:hAnsi="Cambria Math" w:cstheme="majorHAnsi"/>
                <w:i/>
                <w:color w:val="000000" w:themeColor="text1"/>
                <w:sz w:val="22"/>
                <w:szCs w:val="22"/>
                <w:lang w:eastAsia="ja-JP"/>
              </w:rPr>
            </m:ctrlPr>
          </m:fPr>
          <m:num>
            <m:r>
              <w:rPr>
                <w:rFonts w:ascii="Cambria Math" w:eastAsia="Yu Mincho" w:hAnsi="Cambria Math" w:cstheme="majorHAnsi"/>
                <w:color w:val="000000" w:themeColor="text1"/>
                <w:sz w:val="22"/>
                <w:szCs w:val="22"/>
                <w:lang w:val="da-DK" w:eastAsia="ja-JP"/>
              </w:rPr>
              <m:t>∑ (</m:t>
            </m:r>
            <m:r>
              <w:rPr>
                <w:rFonts w:ascii="Cambria Math" w:eastAsia="Yu Mincho" w:hAnsi="Cambria Math" w:cstheme="majorHAnsi"/>
                <w:color w:val="000000" w:themeColor="text1"/>
                <w:sz w:val="22"/>
                <w:szCs w:val="22"/>
                <w:lang w:eastAsia="ja-JP"/>
              </w:rPr>
              <m:t>d</m:t>
            </m:r>
            <m:r>
              <w:rPr>
                <w:rFonts w:ascii="Cambria Math" w:eastAsia="Yu Mincho" w:hAnsi="Cambria Math" w:cstheme="majorHAnsi"/>
                <w:color w:val="000000" w:themeColor="text1"/>
                <w:sz w:val="22"/>
                <w:szCs w:val="22"/>
                <w:lang w:val="da-DK" w:eastAsia="ja-JP"/>
              </w:rPr>
              <m:t xml:space="preserve"> </m:t>
            </m:r>
            <m:r>
              <w:rPr>
                <w:rFonts w:ascii="Cambria Math" w:eastAsia="Yu Mincho" w:hAnsi="Cambria Math" w:cstheme="majorHAnsi"/>
                <w:color w:val="000000" w:themeColor="text1"/>
                <w:sz w:val="22"/>
                <w:szCs w:val="22"/>
                <w:lang w:eastAsia="ja-JP"/>
              </w:rPr>
              <m:t>x</m:t>
            </m:r>
            <m:r>
              <w:rPr>
                <w:rFonts w:ascii="Cambria Math" w:eastAsia="Yu Mincho" w:hAnsi="Cambria Math" w:cstheme="majorHAnsi"/>
                <w:color w:val="000000" w:themeColor="text1"/>
                <w:sz w:val="22"/>
                <w:szCs w:val="22"/>
                <w:lang w:val="da-DK" w:eastAsia="ja-JP"/>
              </w:rPr>
              <m:t xml:space="preserve"> </m:t>
            </m:r>
            <m:r>
              <w:rPr>
                <w:rFonts w:ascii="Cambria Math" w:eastAsia="Yu Mincho" w:hAnsi="Cambria Math" w:cstheme="majorHAnsi"/>
                <w:color w:val="000000" w:themeColor="text1"/>
                <w:sz w:val="22"/>
                <w:szCs w:val="22"/>
                <w:lang w:eastAsia="ja-JP"/>
              </w:rPr>
              <m:t>z</m:t>
            </m:r>
            <m:r>
              <w:rPr>
                <w:rFonts w:ascii="Cambria Math" w:eastAsia="Yu Mincho" w:hAnsi="Cambria Math" w:cstheme="majorHAnsi"/>
                <w:color w:val="000000" w:themeColor="text1"/>
                <w:sz w:val="22"/>
                <w:szCs w:val="22"/>
                <w:lang w:val="da-DK" w:eastAsia="ja-JP"/>
              </w:rPr>
              <m:t>)</m:t>
            </m:r>
          </m:num>
          <m:den>
            <m:r>
              <w:rPr>
                <w:rFonts w:ascii="Cambria Math" w:eastAsia="Yu Mincho" w:hAnsi="Cambria Math" w:cstheme="majorHAnsi"/>
                <w:color w:val="000000" w:themeColor="text1"/>
                <w:sz w:val="22"/>
                <w:szCs w:val="22"/>
                <w:lang w:eastAsia="ja-JP"/>
              </w:rPr>
              <m:t>n</m:t>
            </m:r>
          </m:den>
        </m:f>
      </m:oMath>
    </w:p>
    <w:p w14:paraId="1901BA05"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Where: Log(LD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Dose causing death in 50% of experimental animals, Log(LD</w:t>
      </w:r>
      <w:r w:rsidRPr="005E6B7C">
        <w:rPr>
          <w:rFonts w:asciiTheme="majorHAnsi" w:eastAsia="Yu Mincho" w:hAnsiTheme="majorHAnsi" w:cstheme="majorHAnsi"/>
          <w:color w:val="000000" w:themeColor="text1"/>
          <w:sz w:val="22"/>
          <w:szCs w:val="22"/>
          <w:vertAlign w:val="subscript"/>
          <w:lang w:eastAsia="ja-JP"/>
        </w:rPr>
        <w:t>100</w:t>
      </w:r>
      <w:r w:rsidRPr="005E6B7C">
        <w:rPr>
          <w:rFonts w:asciiTheme="majorHAnsi" w:eastAsia="Yu Mincho" w:hAnsiTheme="majorHAnsi" w:cstheme="majorHAnsi"/>
          <w:color w:val="000000" w:themeColor="text1"/>
          <w:sz w:val="22"/>
          <w:szCs w:val="22"/>
          <w:lang w:eastAsia="ja-JP"/>
        </w:rPr>
        <w:t>): Dose causing death in 100% of experimental animals, d: Difference between two consecutive doses ((Log(D</w:t>
      </w:r>
      <w:r w:rsidRPr="005E6B7C">
        <w:rPr>
          <w:rFonts w:asciiTheme="majorHAnsi" w:eastAsia="Yu Mincho" w:hAnsiTheme="majorHAnsi" w:cstheme="majorHAnsi"/>
          <w:color w:val="000000" w:themeColor="text1"/>
          <w:sz w:val="22"/>
          <w:szCs w:val="22"/>
          <w:vertAlign w:val="subscript"/>
          <w:lang w:eastAsia="ja-JP"/>
        </w:rPr>
        <w:t>i+1</w:t>
      </w:r>
      <w:r w:rsidRPr="005E6B7C">
        <w:rPr>
          <w:rFonts w:asciiTheme="majorHAnsi" w:eastAsia="Yu Mincho" w:hAnsiTheme="majorHAnsi" w:cstheme="majorHAnsi"/>
          <w:color w:val="000000" w:themeColor="text1"/>
          <w:sz w:val="22"/>
          <w:szCs w:val="22"/>
          <w:lang w:eastAsia="ja-JP"/>
        </w:rPr>
        <w:t>) - Log(D</w:t>
      </w:r>
      <w:r w:rsidRPr="005E6B7C">
        <w:rPr>
          <w:rFonts w:asciiTheme="majorHAnsi" w:eastAsia="Yu Mincho" w:hAnsiTheme="majorHAnsi" w:cstheme="majorHAnsi"/>
          <w:color w:val="000000" w:themeColor="text1"/>
          <w:sz w:val="22"/>
          <w:szCs w:val="22"/>
          <w:vertAlign w:val="subscript"/>
          <w:lang w:eastAsia="ja-JP"/>
        </w:rPr>
        <w:t>i</w:t>
      </w:r>
      <w:r w:rsidRPr="005E6B7C">
        <w:rPr>
          <w:rFonts w:asciiTheme="majorHAnsi" w:eastAsia="Yu Mincho" w:hAnsiTheme="majorHAnsi" w:cstheme="majorHAnsi"/>
          <w:color w:val="000000" w:themeColor="text1"/>
          <w:sz w:val="22"/>
          <w:szCs w:val="22"/>
          <w:lang w:eastAsia="ja-JP"/>
        </w:rPr>
        <w:t>)), z: Mean number of dead animals between two consecutive doses, n: Number of animals per group.</w:t>
      </w:r>
    </w:p>
    <w:p w14:paraId="724A11BA"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2.4. Evaluating the laxative effect of the extract in loperamide-induced constipated mice</w:t>
      </w:r>
    </w:p>
    <w:p w14:paraId="1E970A74" w14:textId="056D1BC6"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z w:val="22"/>
          <w:szCs w:val="22"/>
          <w:lang w:eastAsia="ja-JP"/>
        </w:rPr>
        <w:t xml:space="preserve">The experiment was conducted for 5 days. On the day before the experiment, mice were fasted overnight with free access to water to determine their baseline body weight. To establish a reliable </w:t>
      </w:r>
      <w:r w:rsidRPr="005E6B7C">
        <w:rPr>
          <w:rFonts w:asciiTheme="majorHAnsi" w:eastAsia="Yu Mincho" w:hAnsiTheme="majorHAnsi" w:cstheme="majorHAnsi"/>
          <w:color w:val="000000" w:themeColor="text1"/>
          <w:sz w:val="22"/>
          <w:szCs w:val="22"/>
          <w:lang w:eastAsia="ja-JP"/>
        </w:rPr>
        <w:t xml:space="preserve">experimental constipation model, mice were orally administered loperamide (Nadyphar Pharmaceutical Joint Stock Company, Vietnam) at a dose of 10 mg/kg once daily for 5 days (except for the normal control group). This specific dose and duration were selected based on </w:t>
      </w:r>
      <w:r w:rsidRPr="005E6B7C">
        <w:rPr>
          <w:rFonts w:asciiTheme="majorHAnsi" w:eastAsia="Yu Mincho" w:hAnsiTheme="majorHAnsi" w:cstheme="majorHAnsi"/>
          <w:color w:val="000000" w:themeColor="text1"/>
          <w:spacing w:val="4"/>
          <w:sz w:val="22"/>
          <w:szCs w:val="22"/>
          <w:lang w:eastAsia="ja-JP"/>
        </w:rPr>
        <w:t xml:space="preserve">established protocols from previous pharmacological studies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&lt;EndNote&gt;&lt;Cite&gt;&lt;Author&gt;Wang&lt;/Author&gt;&lt;Year&gt;2023&lt;/Year&gt;&lt;RecNum&gt;5&lt;/RecNum&gt;&lt;DisplayText&gt;[11]&lt;/DisplayText&gt;&lt;record&gt;&lt;rec-number&gt;5&lt;/rec-number&gt;&lt;foreign-keys&gt;&lt;key app="EN" db-id="9awsf9p0s2zpssez0eop5vvrsx25ezw5pets" timestamp="1772701415"&gt;5&lt;/key&gt;&lt;/foreign-keys&gt;&lt;ref-type name="Journal Article"&gt;17&lt;/ref-type&gt;&lt;contributors&gt;&lt;authors&gt;&lt;author&gt;Liuping Wang&lt;/author&gt;&lt;author&gt;Shiyuan Xie&lt;/author&gt;&lt;author&gt;Xuan Jiang&lt;/author&gt;&lt;author&gt;Caini Xu&lt;/author&gt;&lt;author&gt;Youqiong Wang&lt;/author&gt;&lt;author&gt;Jianfang Feng&lt;/author&gt;&lt;author&gt;Bin Yang&lt;/author&gt;&lt;/authors&gt;&lt;/contributors&gt;&lt;titles&gt;&lt;title&gt;&lt;style face="normal" font="default" size="100%"&gt;Therapeutic effects of &lt;/style&gt;&lt;style face="italic" font="default" size="100%"&gt;Bombax ceiba&lt;/style&gt;&lt;style face="normal" font="default" size="100%"&gt; flower aqueous extracts against loperamide-induced constipation in mice&lt;/style&gt;&lt;/title&gt;&lt;secondary-title&gt;Pharmaceutical Biology&lt;/secondary-title&gt;&lt;/titles&gt;&lt;periodical&gt;&lt;full-title&gt;Pharmaceutical Biology&lt;/full-title&gt;&lt;/periodical&gt;&lt;pages&gt;125-134&lt;/pages&gt;&lt;volume&gt;61&lt;/volume&gt;&lt;number&gt;1&lt;/number&gt;&lt;dates&gt;&lt;year&gt;2023&lt;/year&gt;&lt;pub-dates&gt;&lt;date&gt;2023/12/31&lt;/date&gt;&lt;/pub-dates&gt;&lt;/dates&gt;&lt;publisher&gt;Taylor &amp;amp; Francis&lt;/publisher&gt;&lt;isbn&gt;1388-0209&lt;/isbn&gt;&lt;urls&gt;&lt;related-urls&gt;&lt;url&gt;https://doi.org/10.1080/13880209.2022.2157841&lt;/url&gt;&lt;/related-urls&gt;&lt;/urls&gt;&lt;electronic-resource-num&gt;10.1080/13880209.2022.2157841&lt;/electronic-resource-num&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[11]</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At this regimen, loperamide effectively binds to peripheral </w:t>
      </w:r>
      <w:r w:rsidR="00266B26" w:rsidRPr="005E6B7C">
        <w:rPr>
          <w:rFonts w:asciiTheme="majorHAnsi" w:eastAsia="Yu Mincho" w:hAnsiTheme="majorHAnsi" w:cstheme="majorHAnsi"/>
          <w:i/>
          <w:iCs/>
          <w:color w:val="000000" w:themeColor="text1"/>
          <w:spacing w:val="4"/>
          <w:sz w:val="22"/>
          <w:szCs w:val="22"/>
          <w:lang w:eastAsia="ja-JP"/>
        </w:rPr>
        <w:t>µ</w:t>
      </w:r>
      <w:r w:rsidRPr="005E6B7C">
        <w:rPr>
          <w:rFonts w:asciiTheme="majorHAnsi" w:eastAsia="Yu Mincho" w:hAnsiTheme="majorHAnsi" w:cstheme="majorHAnsi"/>
          <w:color w:val="000000" w:themeColor="text1"/>
          <w:spacing w:val="4"/>
          <w:sz w:val="22"/>
          <w:szCs w:val="22"/>
          <w:lang w:eastAsia="ja-JP"/>
        </w:rPr>
        <w:t xml:space="preserve">-opioid receptors to inhibit intestinal peristalsis and reduce fluid secretion, thereby inducing a stable and reproducible constipated state without causing severe systemic toxicity. One hour later, the mice were orally given the reference drug </w: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PEVuZE5vdGU+PENpdGU+PEF1dGhvcj5BeWVsZTwvQXV0aG9yPjxZZWFyPjIwMjM8L1llYXI+PFJl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</w:fldData>
        </w:fldChar>
      </w:r>
      <w:r w:rsidRPr="005E6B7C">
        <w:rPr>
          <w:rFonts w:asciiTheme="majorHAnsi" w:eastAsia="Yu Mincho" w:hAnsiTheme="majorHAnsi" w:cstheme="majorHAnsi"/>
          <w:color w:val="000000" w:themeColor="text1"/>
          <w:spacing w:val="4"/>
          <w:sz w:val="22"/>
          <w:szCs w:val="22"/>
          <w:lang w:eastAsia="ja-JP"/>
        </w:rPr>
        <w:instrText xml:space="preserve"> ADDIN EN.CITE </w:instrTex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PEVuZE5vdGU+PENpdGU+PEF1dGhvcj5BeWVsZTwvQXV0aG9yPjxZZWFyPjIwMjM8L1llYXI+PFJl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</w:fldData>
        </w:fldChar>
      </w:r>
      <w:r w:rsidRPr="005E6B7C">
        <w:rPr>
          <w:rFonts w:asciiTheme="majorHAnsi" w:eastAsia="Yu Mincho" w:hAnsiTheme="majorHAnsi" w:cstheme="majorHAnsi"/>
          <w:color w:val="000000" w:themeColor="text1"/>
          <w:spacing w:val="4"/>
          <w:sz w:val="22"/>
          <w:szCs w:val="22"/>
          <w:lang w:eastAsia="ja-JP"/>
        </w:rPr>
        <w:instrText xml:space="preserve"> ADDIN EN.CITE.DATA </w:instrText>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[12],[13]</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or the extract at doses of 75, 150, and 300 mg/kg. Before drug administration on day 5, mice were individually placed in metabolic cages and fasted overnight with free access to water. Fecal samples were collected during the first 12 hours (every 2 h) and during the following 12 hrs (mice were allowed normal feeding during the first 12 hours of fecal collection) </w: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PEVuZE5vdGU+PENpdGU+PEF1dGhvcj5MaW08L0F1dGhvcj48WWVhcj4yMDE5PC9ZZWFyPjxSZWNO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=
</w:fldData>
        </w:fldChar>
      </w:r>
      <w:r w:rsidRPr="005E6B7C">
        <w:rPr>
          <w:rFonts w:asciiTheme="majorHAnsi" w:eastAsia="Yu Mincho" w:hAnsiTheme="majorHAnsi" w:cstheme="majorHAnsi"/>
          <w:color w:val="000000" w:themeColor="text1"/>
          <w:spacing w:val="4"/>
          <w:sz w:val="22"/>
          <w:szCs w:val="22"/>
          <w:lang w:eastAsia="ja-JP"/>
        </w:rPr>
        <w:instrText xml:space="preserve"> ADDIN EN.CITE </w:instrText>
      </w:r>
      <w:r w:rsidRPr="005E6B7C">
        <w:rPr>
          <w:rFonts w:asciiTheme="majorHAnsi" w:eastAsia="Yu Mincho" w:hAnsiTheme="majorHAnsi" w:cstheme="majorHAnsi"/>
          <w:color w:val="000000" w:themeColor="text1"/>
          <w:spacing w:val="4"/>
          <w:sz w:val="22"/>
          <w:szCs w:val="22"/>
          <w:lang w:eastAsia="ja-JP"/>
        </w:rPr>
        <w:fldChar w:fldCharType="begin">
          <w:fldData xml:space="preserve">PEVuZE5vdGU+PENpdGU+PEF1dGhvcj5MaW08L0F1dGhvcj48WWVhcj4yMDE5PC9ZZWFyPjxSZWNO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=
</w:fldData>
        </w:fldChar>
      </w:r>
      <w:r w:rsidRPr="005E6B7C">
        <w:rPr>
          <w:rFonts w:asciiTheme="majorHAnsi" w:eastAsia="Yu Mincho" w:hAnsiTheme="majorHAnsi" w:cstheme="majorHAnsi"/>
          <w:color w:val="000000" w:themeColor="text1"/>
          <w:spacing w:val="4"/>
          <w:sz w:val="22"/>
          <w:szCs w:val="22"/>
          <w:lang w:eastAsia="ja-JP"/>
        </w:rPr>
        <w:instrText xml:space="preserve"> ADDIN EN.CITE.DATA </w:instrText>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[14]</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The feces collected during the first 12 hrs were weighed and then dried in an oven at 50°C for 60 min. The body weight of the mice was recorded daily throughout the experiment. The mice were randomly divided into the following experimental groups (</w:t>
      </w:r>
      <w:r w:rsidRPr="005E6B7C">
        <w:rPr>
          <w:rFonts w:asciiTheme="majorHAnsi" w:eastAsia="Yu Mincho" w:hAnsiTheme="majorHAnsi" w:cstheme="majorHAnsi"/>
          <w:i/>
          <w:color w:val="000000" w:themeColor="text1"/>
          <w:spacing w:val="4"/>
          <w:sz w:val="22"/>
          <w:szCs w:val="22"/>
          <w:lang w:eastAsia="ja-JP"/>
        </w:rPr>
        <w:t>n</w:t>
      </w:r>
      <w:r w:rsidRPr="005E6B7C">
        <w:rPr>
          <w:rFonts w:asciiTheme="majorHAnsi" w:eastAsia="Yu Mincho" w:hAnsiTheme="majorHAnsi" w:cstheme="majorHAnsi"/>
          <w:color w:val="000000" w:themeColor="text1"/>
          <w:spacing w:val="4"/>
          <w:sz w:val="22"/>
          <w:szCs w:val="22"/>
          <w:lang w:eastAsia="ja-JP"/>
        </w:rPr>
        <w:t xml:space="preserve"> = 8): </w:t>
      </w:r>
    </w:p>
    <w:p w14:paraId="2378BD9D"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Control group (Control): Distilled water.</w:t>
      </w:r>
    </w:p>
    <w:p w14:paraId="6A0EEFB9"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Constipation model group (Lope): Loperamide 10 mg/kg.</w:t>
      </w:r>
    </w:p>
    <w:p w14:paraId="5A0F752E"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Reference group (Bisa): Loperamide 10 mg/kg + Bisacodyl (DHG Pharmaceutical Joint Stock Company, Vietnam) 1 mg/kg.</w:t>
      </w:r>
    </w:p>
    <w:p w14:paraId="1E0F51E9"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1 (BB75): Loperamide 10 mg/kg + Extract 75 mg/kg.</w:t>
      </w:r>
    </w:p>
    <w:p w14:paraId="4CC61636"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2 (BB150): Loperamide 10 mg/kg + Extract 150 mg/kg.</w:t>
      </w:r>
    </w:p>
    <w:p w14:paraId="664EE2CB" w14:textId="77777777" w:rsidR="00E049CB" w:rsidRPr="005E6B7C" w:rsidRDefault="00E049CB" w:rsidP="008C0D47">
      <w:pPr>
        <w:numPr>
          <w:ilvl w:val="0"/>
          <w:numId w:val="26"/>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3 (BB300): Loperamide 10 mg/kg + Extract 300 mg/kg.</w:t>
      </w:r>
    </w:p>
    <w:p w14:paraId="7B5F6307" w14:textId="77777777" w:rsidR="004F04F4"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evaluated parameters included daily body weight changes, food intake over 12 hrs and water consumption over 24 hrs. In addition, fecal parameters were recorded, including the number of fecal pellets, fecal morphology score (0: normal; 1: soft; 2: unformed), wet fecal weight, dry fecal weight, and fecal water content. Fecal water content (%) was calculated using the following formula:</w:t>
      </w:r>
    </w:p>
    <w:p w14:paraId="15670938"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4F04F4" w:rsidRPr="005E6B7C" w:rsidSect="004F04F4">
          <w:type w:val="continuous"/>
          <w:pgSz w:w="10773" w:h="15309" w:code="9"/>
          <w:pgMar w:top="907" w:right="851" w:bottom="1418" w:left="851" w:header="397" w:footer="851" w:gutter="0"/>
          <w:cols w:num="2" w:space="284"/>
          <w:docGrid w:linePitch="360"/>
        </w:sectPr>
      </w:pPr>
    </w:p>
    <w:p w14:paraId="2CD95E9F"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p>
    <w:p w14:paraId="2A0FB2DC" w14:textId="77777777" w:rsidR="00E049CB" w:rsidRPr="005E6B7C" w:rsidRDefault="00E049CB" w:rsidP="008C0D47">
      <w:pPr>
        <w:tabs>
          <w:tab w:val="left" w:pos="270"/>
          <w:tab w:val="left" w:pos="9270"/>
        </w:tabs>
        <w:ind w:right="-20"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Fecal water content (%) = </w:t>
      </w:r>
      <m:oMath>
        <m:f>
          <m:fPr>
            <m:ctrlPr>
              <w:rPr>
                <w:rFonts w:ascii="Cambria Math" w:eastAsia="Yu Mincho" w:hAnsi="Cambria Math" w:cstheme="majorHAnsi"/>
                <w:color w:val="000000" w:themeColor="text1"/>
                <w:sz w:val="22"/>
                <w:szCs w:val="22"/>
                <w:lang w:eastAsia="ja-JP"/>
              </w:rPr>
            </m:ctrlPr>
          </m:fPr>
          <m:num>
            <m:r>
              <m:rPr>
                <m:sty m:val="p"/>
              </m:rPr>
              <w:rPr>
                <w:rFonts w:ascii="Cambria Math" w:eastAsia="Yu Mincho" w:hAnsi="Cambria Math" w:cstheme="majorHAnsi"/>
                <w:color w:val="000000" w:themeColor="text1"/>
                <w:sz w:val="22"/>
                <w:szCs w:val="22"/>
                <w:lang w:eastAsia="ja-JP"/>
              </w:rPr>
              <m:t>Wet fecal weight- Dry fecal weight</m:t>
            </m:r>
          </m:num>
          <m:den>
            <m:r>
              <m:rPr>
                <m:sty m:val="p"/>
              </m:rPr>
              <w:rPr>
                <w:rFonts w:ascii="Cambria Math" w:eastAsia="Yu Mincho" w:hAnsi="Cambria Math" w:cstheme="majorHAnsi"/>
                <w:color w:val="000000" w:themeColor="text1"/>
                <w:sz w:val="22"/>
                <w:szCs w:val="22"/>
                <w:lang w:eastAsia="ja-JP"/>
              </w:rPr>
              <m:t>Wet fecal weight</m:t>
            </m:r>
          </m:den>
        </m:f>
      </m:oMath>
      <w:r w:rsidRPr="005E6B7C">
        <w:rPr>
          <w:rFonts w:asciiTheme="majorHAnsi" w:eastAsia="Yu Mincho" w:hAnsiTheme="majorHAnsi" w:cstheme="majorHAnsi"/>
          <w:color w:val="000000" w:themeColor="text1"/>
          <w:sz w:val="22"/>
          <w:szCs w:val="22"/>
          <w:lang w:eastAsia="ja-JP"/>
        </w:rPr>
        <w:t xml:space="preserve"> ×100.</w:t>
      </w:r>
    </w:p>
    <w:p w14:paraId="374D6522"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sectPr w:rsidR="004F04F4" w:rsidRPr="005E6B7C" w:rsidSect="002206BB">
          <w:type w:val="continuous"/>
          <w:pgSz w:w="10773" w:h="15309" w:code="9"/>
          <w:pgMar w:top="907" w:right="851" w:bottom="1418" w:left="851" w:header="397" w:footer="851" w:gutter="0"/>
          <w:cols w:space="284"/>
          <w:docGrid w:linePitch="360"/>
        </w:sectPr>
      </w:pPr>
    </w:p>
    <w:p w14:paraId="2F2DA092"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 xml:space="preserve">2.5. Evaluating the effect of the extract on </w:t>
      </w:r>
      <w:r w:rsidRPr="005E6B7C">
        <w:rPr>
          <w:rFonts w:asciiTheme="majorHAnsi" w:eastAsia="Yu Mincho" w:hAnsiTheme="majorHAnsi" w:cstheme="majorHAnsi"/>
          <w:bCs/>
          <w:i/>
          <w:color w:val="000000" w:themeColor="text1"/>
          <w:sz w:val="22"/>
          <w:szCs w:val="22"/>
          <w:lang w:eastAsia="ja-JP"/>
        </w:rPr>
        <w:t xml:space="preserve">gastrointestinal motility in loperamide-induced </w:t>
      </w:r>
      <w:r w:rsidRPr="005E6B7C">
        <w:rPr>
          <w:rFonts w:asciiTheme="majorHAnsi" w:eastAsia="Yu Mincho" w:hAnsiTheme="majorHAnsi" w:cstheme="majorHAnsi"/>
          <w:bCs/>
          <w:i/>
          <w:color w:val="000000" w:themeColor="text1"/>
          <w:sz w:val="22"/>
          <w:szCs w:val="22"/>
          <w:lang w:eastAsia="ja-JP"/>
        </w:rPr>
        <w:lastRenderedPageBreak/>
        <w:t>constipated mice</w:t>
      </w:r>
    </w:p>
    <w:p w14:paraId="0475C501" w14:textId="77777777" w:rsidR="004F04F4"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experiment was conducted for 6 days. Mice were orally administered the reference drug or the extract once daily, 1 hr after receiving loperamide at a dose of 10 mg/kg. On day 5, the mice were fasted overnight with free access to water. Ten minutes after the final dose on day 6, mice in each group were orally administered activated charcoal (Nam Viet Pharmaceutical Co., Ltd., Vietnam) at a dose of 300 mg/kg with an administration volume of 10 mL/kg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PEVuZE5vdGU+PENpdGU+PEF1dGhvcj5DaG9pPC9BdXRob3I+PFllYXI+MjAxNDwvWWVhcj48UmVj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PEVuZE5vdGU+PENpdGU+PEF1dGhvcj5DaG9pPC9BdXRob3I+PFllYXI+MjAxNDwvWWVhcj48UmVj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Twenty minutes after charcoal administration, the mice were sacrificed, and the small intestine from the pylorus to the cecum was removed. Simultaneously, the entire colon was carefully </w:t>
      </w:r>
      <w:r w:rsidRPr="005E6B7C">
        <w:rPr>
          <w:rFonts w:asciiTheme="majorHAnsi" w:eastAsia="Yu Mincho" w:hAnsiTheme="majorHAnsi" w:cstheme="majorHAnsi"/>
          <w:color w:val="000000" w:themeColor="text1"/>
          <w:sz w:val="22"/>
          <w:szCs w:val="22"/>
          <w:lang w:eastAsia="ja-JP"/>
        </w:rPr>
        <w:t>excised and opened longitudinally. To evaluate fecal retention, the number of formed fecal pellets remaining inside the colon was manually counted. Subsequently, all fecal contents within the colon were gently scraped, collected, and immediately weighed using an analytical balance to determine the total amount of retained feces (expressed in mg). The mice were divided into experimental groups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 = 8) similar to those described in the experiment above. The evaluated parameters included the distance traveled by activated charcoal in the intestine, the total amount of feces remaining in the colon, and the intestinal charcoal transit ratio, calculated as follows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PEVuZE5vdGU+PENpdGU+PEF1dGhvcj5BeWVsZTwvQXV0aG9yPjxZZWFyPjIwMjQ8L1llYXI+PFJl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PEVuZE5vdGU+PENpdGU+PEF1dGhvcj5BeWVsZTwvQXV0aG9yPjxZZWFyPjIwMjQ8L1llYXI+PFJl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[15],[16]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3513612D"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4F04F4" w:rsidRPr="005E6B7C" w:rsidSect="004F04F4">
          <w:type w:val="continuous"/>
          <w:pgSz w:w="10773" w:h="15309" w:code="9"/>
          <w:pgMar w:top="907" w:right="851" w:bottom="1418" w:left="851" w:header="397" w:footer="851" w:gutter="0"/>
          <w:cols w:num="2" w:space="284"/>
          <w:docGrid w:linePitch="360"/>
        </w:sectPr>
      </w:pPr>
    </w:p>
    <w:p w14:paraId="4383BC76"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p>
    <w:p w14:paraId="2FE1CECA" w14:textId="77777777" w:rsidR="00E049CB" w:rsidRPr="005E6B7C" w:rsidRDefault="00E049CB" w:rsidP="008C0D47">
      <w:pPr>
        <w:tabs>
          <w:tab w:val="left" w:pos="270"/>
          <w:tab w:val="left" w:pos="9270"/>
        </w:tabs>
        <w:ind w:right="-20"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Charcoal transit ratio (%) = </w:t>
      </w:r>
      <m:oMath>
        <m:f>
          <m:fPr>
            <m:ctrlPr>
              <w:rPr>
                <w:rFonts w:ascii="Cambria Math" w:eastAsia="Yu Mincho" w:hAnsi="Cambria Math" w:cstheme="majorHAnsi"/>
                <w:color w:val="000000" w:themeColor="text1"/>
                <w:sz w:val="22"/>
                <w:szCs w:val="22"/>
                <w:lang w:eastAsia="ja-JP"/>
              </w:rPr>
            </m:ctrlPr>
          </m:fPr>
          <m:num>
            <m:r>
              <m:rPr>
                <m:sty m:val="p"/>
              </m:rPr>
              <w:rPr>
                <w:rFonts w:ascii="Cambria Math" w:eastAsia="Yu Mincho" w:hAnsi="Cambria Math" w:cstheme="majorHAnsi"/>
                <w:color w:val="000000" w:themeColor="text1"/>
                <w:sz w:val="22"/>
                <w:szCs w:val="22"/>
                <w:lang w:eastAsia="ja-JP"/>
              </w:rPr>
              <m:t xml:space="preserve"> Distance traveled by charcoal</m:t>
            </m:r>
          </m:num>
          <m:den>
            <m:r>
              <m:rPr>
                <m:sty m:val="p"/>
              </m:rPr>
              <w:rPr>
                <w:rFonts w:ascii="Cambria Math" w:eastAsia="Yu Mincho" w:hAnsi="Cambria Math" w:cstheme="majorHAnsi"/>
                <w:color w:val="000000" w:themeColor="text1"/>
                <w:sz w:val="22"/>
                <w:szCs w:val="22"/>
                <w:lang w:eastAsia="ja-JP"/>
              </w:rPr>
              <m:t>Total length of the small intestine</m:t>
            </m:r>
          </m:den>
        </m:f>
      </m:oMath>
      <w:r w:rsidRPr="005E6B7C">
        <w:rPr>
          <w:rFonts w:asciiTheme="majorHAnsi" w:eastAsia="Yu Mincho" w:hAnsiTheme="majorHAnsi" w:cstheme="majorHAnsi"/>
          <w:color w:val="000000" w:themeColor="text1"/>
          <w:sz w:val="22"/>
          <w:szCs w:val="22"/>
          <w:lang w:eastAsia="ja-JP"/>
        </w:rPr>
        <w:t xml:space="preserve"> ×100.</w:t>
      </w:r>
    </w:p>
    <w:p w14:paraId="04C6DFA5"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p>
    <w:p w14:paraId="5C7E82A0"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sectPr w:rsidR="004F04F4" w:rsidRPr="005E6B7C" w:rsidSect="002206BB">
          <w:type w:val="continuous"/>
          <w:pgSz w:w="10773" w:h="15309" w:code="9"/>
          <w:pgMar w:top="907" w:right="851" w:bottom="1418" w:left="851" w:header="397" w:footer="851" w:gutter="0"/>
          <w:cols w:space="284"/>
          <w:docGrid w:linePitch="360"/>
        </w:sectPr>
      </w:pPr>
    </w:p>
    <w:p w14:paraId="7C660B1D"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2.6. Evaluating the effect of the extract on gastrointestinal fluid secretion in normal mice</w:t>
      </w:r>
    </w:p>
    <w:p w14:paraId="71C55350"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Before the experiment, mice were individually placed in metabolic cages and fasted overnight </w:t>
      </w:r>
      <w:r w:rsidRPr="005E6B7C">
        <w:rPr>
          <w:rFonts w:asciiTheme="majorHAnsi" w:eastAsia="Yu Mincho" w:hAnsiTheme="majorHAnsi" w:cstheme="majorHAnsi"/>
          <w:color w:val="000000" w:themeColor="text1"/>
          <w:sz w:val="22"/>
          <w:szCs w:val="22"/>
          <w:lang w:eastAsia="ja-JP"/>
        </w:rPr>
        <w:br/>
        <w:t>with free access to water. The mice were orally administered the corresponding treatments according to their respective groups. Fecal samples were collected within 4 hrs after administration of castor oil (SVA Naturals, India) or the extract and then dried at 50°C for 60 mins. The mice were subsequently sacrificed, and the intestine from the pylorus to the cecum was removed. The mice were divided into experimental groups (</w:t>
      </w:r>
      <w:r w:rsidRPr="005E6B7C">
        <w:rPr>
          <w:rFonts w:asciiTheme="majorHAnsi" w:eastAsia="Yu Mincho" w:hAnsiTheme="majorHAnsi" w:cstheme="majorHAnsi"/>
          <w:i/>
          <w:color w:val="000000" w:themeColor="text1"/>
          <w:sz w:val="22"/>
          <w:szCs w:val="22"/>
          <w:lang w:eastAsia="ja-JP"/>
        </w:rPr>
        <w:t xml:space="preserve">n </w:t>
      </w:r>
      <w:r w:rsidRPr="005E6B7C">
        <w:rPr>
          <w:rFonts w:asciiTheme="majorHAnsi" w:eastAsia="Yu Mincho" w:hAnsiTheme="majorHAnsi" w:cstheme="majorHAnsi"/>
          <w:color w:val="000000" w:themeColor="text1"/>
          <w:sz w:val="22"/>
          <w:szCs w:val="22"/>
          <w:lang w:eastAsia="ja-JP"/>
        </w:rPr>
        <w:t xml:space="preserve">= 8) as follows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PEVuZE5vdGU+PENpdGU+PEF1dGhvcj5BeWVsZTwvQXV0aG9yPjxZZWFyPjIwMjQ8L1llYXI+PFJl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=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PEVuZE5vdGU+PENpdGU+PEF1dGhvcj5BeWVsZTwvQXV0aG9yPjxZZWFyPjIwMjQ8L1llYXI+PFJl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=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[16],[17]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3A1A26F7" w14:textId="77777777" w:rsidR="00E049CB" w:rsidRPr="005E6B7C" w:rsidRDefault="00E049CB" w:rsidP="008C0D47">
      <w:pPr>
        <w:numPr>
          <w:ilvl w:val="0"/>
          <w:numId w:val="28"/>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Control group (Control): Distilled water.</w:t>
      </w:r>
    </w:p>
    <w:p w14:paraId="185591CC" w14:textId="77777777" w:rsidR="00E049CB" w:rsidRPr="005E6B7C" w:rsidRDefault="00E049CB" w:rsidP="008C0D47">
      <w:pPr>
        <w:numPr>
          <w:ilvl w:val="0"/>
          <w:numId w:val="27"/>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Reference group (CastO): Castor oil 10 mL/kg.</w:t>
      </w:r>
    </w:p>
    <w:p w14:paraId="25C6FE33" w14:textId="77777777" w:rsidR="00E049CB" w:rsidRPr="005E6B7C" w:rsidRDefault="00E049CB" w:rsidP="008C0D47">
      <w:pPr>
        <w:numPr>
          <w:ilvl w:val="0"/>
          <w:numId w:val="27"/>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1 (BB75): Extract 75 mg/kg.</w:t>
      </w:r>
    </w:p>
    <w:p w14:paraId="5E12C21E" w14:textId="77777777" w:rsidR="00E049CB" w:rsidRPr="005E6B7C" w:rsidRDefault="00E049CB" w:rsidP="008C0D47">
      <w:pPr>
        <w:numPr>
          <w:ilvl w:val="0"/>
          <w:numId w:val="27"/>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2 (BB150): Extract 150 mg/kg.</w:t>
      </w:r>
    </w:p>
    <w:p w14:paraId="10ADDFB4" w14:textId="77777777" w:rsidR="00E049CB" w:rsidRPr="005E6B7C" w:rsidRDefault="00E049CB" w:rsidP="008C0D47">
      <w:pPr>
        <w:numPr>
          <w:ilvl w:val="0"/>
          <w:numId w:val="27"/>
        </w:numPr>
        <w:tabs>
          <w:tab w:val="left" w:pos="426"/>
          <w:tab w:val="left" w:pos="9270"/>
        </w:tabs>
        <w:spacing w:line="240" w:lineRule="exact"/>
        <w:ind w:left="0"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Test group 3 (BB300): Extract 300 mg/kg.</w:t>
      </w:r>
    </w:p>
    <w:p w14:paraId="796BB7F5" w14:textId="77777777" w:rsidR="004F04F4"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evaluated parameters included the number of fecal pellets; fecal morphology (0 - normal; 1 - soft; 2 - unformed); intestinal weight before squeezing; intestinal weight after squeezing; weight of intestinal contents = (intestinal weight before squeezing - intestinal weight after squeezing); and fecal water content (%), calculated as:</w:t>
      </w:r>
    </w:p>
    <w:p w14:paraId="347D1B5B"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4F04F4" w:rsidRPr="005E6B7C" w:rsidSect="004F04F4">
          <w:type w:val="continuous"/>
          <w:pgSz w:w="10773" w:h="15309" w:code="9"/>
          <w:pgMar w:top="907" w:right="851" w:bottom="1418" w:left="851" w:header="397" w:footer="851" w:gutter="0"/>
          <w:cols w:num="2" w:space="284"/>
          <w:docGrid w:linePitch="360"/>
        </w:sectPr>
      </w:pPr>
    </w:p>
    <w:p w14:paraId="3E8F3485"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16DEB094" w14:textId="77777777" w:rsidR="00E049CB" w:rsidRPr="005E6B7C" w:rsidRDefault="00E049CB" w:rsidP="008C0D47">
      <w:pPr>
        <w:tabs>
          <w:tab w:val="left" w:pos="270"/>
          <w:tab w:val="left" w:pos="9270"/>
        </w:tabs>
        <w:ind w:right="-20"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Fecal water content</w:t>
      </w:r>
      <w:r w:rsidRPr="005E6B7C">
        <w:rPr>
          <w:rFonts w:asciiTheme="majorHAnsi" w:eastAsia="Times New Roman" w:hAnsiTheme="majorHAnsi" w:cstheme="majorHAnsi"/>
          <w:color w:val="000000" w:themeColor="text1"/>
          <w:sz w:val="22"/>
          <w:szCs w:val="22"/>
          <w:lang w:eastAsia="ja-JP"/>
        </w:rPr>
        <w:t xml:space="preserve"> (%) = </w:t>
      </w:r>
      <m:oMath>
        <m:f>
          <m:fPr>
            <m:ctrlPr>
              <w:rPr>
                <w:rFonts w:ascii="Cambria Math" w:eastAsia="Times New Roman" w:hAnsi="Cambria Math" w:cstheme="majorHAnsi"/>
                <w:i/>
                <w:color w:val="000000" w:themeColor="text1"/>
                <w:sz w:val="22"/>
                <w:szCs w:val="22"/>
                <w:lang w:eastAsia="ja-JP"/>
              </w:rPr>
            </m:ctrlPr>
          </m:fPr>
          <m:num>
            <m:r>
              <m:rPr>
                <m:sty m:val="p"/>
              </m:rPr>
              <w:rPr>
                <w:rFonts w:ascii="Cambria Math" w:eastAsia="Times New Roman" w:hAnsi="Cambria Math" w:cstheme="majorHAnsi"/>
                <w:color w:val="000000" w:themeColor="text1"/>
                <w:sz w:val="22"/>
                <w:szCs w:val="22"/>
                <w:lang w:eastAsia="ja-JP"/>
              </w:rPr>
              <m:t>Wet fecal weight - Dry fecal weight​</m:t>
            </m:r>
          </m:num>
          <m:den>
            <m:r>
              <m:rPr>
                <m:sty m:val="p"/>
              </m:rPr>
              <w:rPr>
                <w:rFonts w:ascii="Cambria Math" w:eastAsia="Times New Roman" w:hAnsi="Cambria Math" w:cstheme="majorHAnsi"/>
                <w:color w:val="000000" w:themeColor="text1"/>
                <w:sz w:val="22"/>
                <w:szCs w:val="22"/>
                <w:lang w:eastAsia="ja-JP"/>
              </w:rPr>
              <m:t>Wet fecal weight</m:t>
            </m:r>
          </m:den>
        </m:f>
      </m:oMath>
      <w:r w:rsidRPr="005E6B7C">
        <w:rPr>
          <w:rFonts w:asciiTheme="majorHAnsi" w:eastAsia="Times New Roman" w:hAnsiTheme="majorHAnsi" w:cstheme="majorHAnsi"/>
          <w:color w:val="000000" w:themeColor="text1"/>
          <w:sz w:val="22"/>
          <w:szCs w:val="22"/>
          <w:lang w:eastAsia="ja-JP"/>
        </w:rPr>
        <w:t xml:space="preserve"> ×100.</w:t>
      </w:r>
    </w:p>
    <w:p w14:paraId="7828E492"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p>
    <w:p w14:paraId="53D5A7D4"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sectPr w:rsidR="004F04F4" w:rsidRPr="005E6B7C" w:rsidSect="002206BB">
          <w:type w:val="continuous"/>
          <w:pgSz w:w="10773" w:h="15309" w:code="9"/>
          <w:pgMar w:top="907" w:right="851" w:bottom="1418" w:left="851" w:header="397" w:footer="851" w:gutter="0"/>
          <w:cols w:space="284"/>
          <w:docGrid w:linePitch="360"/>
        </w:sectPr>
      </w:pPr>
    </w:p>
    <w:p w14:paraId="46945458" w14:textId="77777777"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2.7. Data analysis</w:t>
      </w:r>
    </w:p>
    <w:p w14:paraId="43749620" w14:textId="77777777"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Data were compiled and processed using Microsoft Excel 2016. Statistical analysis was performed using GraphPad Prism (8.0.2, Inc., La Jolla, CA, USA). Data were checked for normality using Anderson-Darling and Shapiro-Wilk tests. Data were compared using one-way ANOVA, followed by Tukey’s post-test for variance homogeneity and Dunnett’s post-test for variance heterogeneity. Results are presented as Mean ± SD (Standard Deviation) in the case of a normal distribution. Data were compared using Kruskal-Wallis followed by Dunn’s post-test, and results are presented as Median ± Interquartile Range in the case of a non-normal distribution. Differences </w:t>
      </w:r>
      <w:r w:rsidRPr="005E6B7C">
        <w:rPr>
          <w:rFonts w:asciiTheme="majorHAnsi" w:eastAsia="Yu Mincho" w:hAnsiTheme="majorHAnsi" w:cstheme="majorHAnsi"/>
          <w:color w:val="000000" w:themeColor="text1"/>
          <w:sz w:val="22"/>
          <w:szCs w:val="22"/>
          <w:lang w:eastAsia="ja-JP"/>
        </w:rPr>
        <w:t xml:space="preserve">were considered statistically significant when </w:t>
      </w:r>
      <w:r w:rsidRPr="005E6B7C">
        <w:rPr>
          <w:rFonts w:asciiTheme="majorHAnsi" w:eastAsia="Yu Mincho" w:hAnsiTheme="majorHAnsi" w:cstheme="majorHAnsi"/>
          <w:i/>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 ≤ 0.05. Express statistical differences as follows: ns with </w:t>
      </w:r>
      <w:r w:rsidRPr="005E6B7C">
        <w:rPr>
          <w:rFonts w:asciiTheme="majorHAnsi" w:eastAsia="Yu Mincho" w:hAnsiTheme="majorHAnsi" w:cstheme="majorHAnsi"/>
          <w:i/>
          <w:color w:val="000000" w:themeColor="text1"/>
          <w:sz w:val="22"/>
          <w:szCs w:val="22"/>
          <w:lang w:eastAsia="ja-JP"/>
        </w:rPr>
        <w:t xml:space="preserve">p </w:t>
      </w:r>
      <w:r w:rsidRPr="005E6B7C">
        <w:rPr>
          <w:rFonts w:asciiTheme="majorHAnsi" w:eastAsia="Yu Mincho" w:hAnsiTheme="majorHAnsi" w:cstheme="majorHAnsi"/>
          <w:color w:val="000000" w:themeColor="text1"/>
          <w:sz w:val="22"/>
          <w:szCs w:val="22"/>
          <w:lang w:eastAsia="ja-JP"/>
        </w:rPr>
        <w:t xml:space="preserve">&gt; 0.05, </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with</w:t>
      </w:r>
      <w:r w:rsidRPr="005E6B7C">
        <w:rPr>
          <w:rFonts w:asciiTheme="majorHAnsi" w:eastAsia="Yu Mincho" w:hAnsiTheme="majorHAnsi" w:cstheme="majorHAnsi"/>
          <w:i/>
          <w:color w:val="000000" w:themeColor="text1"/>
          <w:sz w:val="22"/>
          <w:szCs w:val="22"/>
          <w:lang w:eastAsia="ja-JP"/>
        </w:rPr>
        <w:t xml:space="preserve"> p</w:t>
      </w:r>
      <w:r w:rsidRPr="005E6B7C">
        <w:rPr>
          <w:rFonts w:asciiTheme="majorHAnsi" w:eastAsia="Yu Mincho" w:hAnsiTheme="majorHAnsi" w:cstheme="majorHAnsi"/>
          <w:color w:val="000000" w:themeColor="text1"/>
          <w:sz w:val="22"/>
          <w:szCs w:val="22"/>
          <w:lang w:eastAsia="ja-JP"/>
        </w:rPr>
        <w:t xml:space="preserve"> &lt; 0.05, </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with </w:t>
      </w:r>
      <w:r w:rsidRPr="005E6B7C">
        <w:rPr>
          <w:rFonts w:asciiTheme="majorHAnsi" w:eastAsia="Yu Mincho" w:hAnsiTheme="majorHAnsi" w:cstheme="majorHAnsi"/>
          <w:i/>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 &lt; 0.01, </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with </w:t>
      </w:r>
      <w:r w:rsidRPr="005E6B7C">
        <w:rPr>
          <w:rFonts w:asciiTheme="majorHAnsi" w:eastAsia="Yu Mincho" w:hAnsiTheme="majorHAnsi" w:cstheme="majorHAnsi"/>
          <w:i/>
          <w:color w:val="000000" w:themeColor="text1"/>
          <w:sz w:val="22"/>
          <w:szCs w:val="22"/>
          <w:lang w:eastAsia="ja-JP"/>
        </w:rPr>
        <w:t xml:space="preserve">p </w:t>
      </w:r>
      <w:r w:rsidRPr="005E6B7C">
        <w:rPr>
          <w:rFonts w:asciiTheme="majorHAnsi" w:eastAsia="Yu Mincho" w:hAnsiTheme="majorHAnsi" w:cstheme="majorHAnsi"/>
          <w:color w:val="000000" w:themeColor="text1"/>
          <w:sz w:val="22"/>
          <w:szCs w:val="22"/>
          <w:lang w:eastAsia="ja-JP"/>
        </w:rPr>
        <w:t xml:space="preserve">&lt; 0.001, and </w:t>
      </w:r>
      <w:r w:rsidRPr="005E6B7C">
        <w:rPr>
          <w:rFonts w:asciiTheme="majorHAnsi" w:eastAsia="Yu Mincho" w:hAnsiTheme="majorHAnsi" w:cstheme="majorHAnsi"/>
          <w:color w:val="000000" w:themeColor="text1"/>
          <w:sz w:val="22"/>
          <w:szCs w:val="22"/>
          <w:vertAlign w:val="superscript"/>
          <w:lang w:eastAsia="ja-JP"/>
        </w:rPr>
        <w:t xml:space="preserve">**** </w:t>
      </w:r>
      <w:r w:rsidRPr="005E6B7C">
        <w:rPr>
          <w:rFonts w:asciiTheme="majorHAnsi" w:eastAsia="Yu Mincho" w:hAnsiTheme="majorHAnsi" w:cstheme="majorHAnsi"/>
          <w:color w:val="000000" w:themeColor="text1"/>
          <w:sz w:val="22"/>
          <w:szCs w:val="22"/>
          <w:lang w:eastAsia="ja-JP"/>
        </w:rPr>
        <w:t xml:space="preserve">with </w:t>
      </w:r>
      <w:r w:rsidRPr="005E6B7C">
        <w:rPr>
          <w:rFonts w:asciiTheme="majorHAnsi" w:eastAsia="Yu Mincho" w:hAnsiTheme="majorHAnsi" w:cstheme="majorHAnsi"/>
          <w:i/>
          <w:color w:val="000000" w:themeColor="text1"/>
          <w:sz w:val="22"/>
          <w:szCs w:val="22"/>
          <w:lang w:eastAsia="ja-JP"/>
        </w:rPr>
        <w:t>p</w:t>
      </w:r>
      <w:r w:rsidRPr="005E6B7C">
        <w:rPr>
          <w:rFonts w:asciiTheme="majorHAnsi" w:eastAsia="Yu Mincho" w:hAnsiTheme="majorHAnsi" w:cstheme="majorHAnsi"/>
          <w:color w:val="000000" w:themeColor="text1"/>
          <w:sz w:val="22"/>
          <w:szCs w:val="22"/>
          <w:lang w:eastAsia="ja-JP"/>
        </w:rPr>
        <w:t xml:space="preserve"> &lt; 0.0001.</w:t>
      </w:r>
    </w:p>
    <w:p w14:paraId="6AB02183" w14:textId="77777777" w:rsidR="00E049CB" w:rsidRPr="005E6B7C" w:rsidRDefault="00E049CB" w:rsidP="008C0D47">
      <w:pPr>
        <w:tabs>
          <w:tab w:val="left" w:pos="270"/>
          <w:tab w:val="left" w:pos="9270"/>
        </w:tabs>
        <w:spacing w:line="26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3. Results</w:t>
      </w:r>
    </w:p>
    <w:p w14:paraId="0202A145" w14:textId="77777777" w:rsidR="004F04F4" w:rsidRPr="005E6B7C" w:rsidRDefault="00E049CB" w:rsidP="008C0D47">
      <w:pPr>
        <w:tabs>
          <w:tab w:val="left" w:pos="270"/>
          <w:tab w:val="left" w:pos="9270"/>
        </w:tabs>
        <w:spacing w:line="26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3.1. Acute oral toxicity of P. nil seed extract</w:t>
      </w:r>
    </w:p>
    <w:p w14:paraId="39F17F27" w14:textId="77777777" w:rsidR="004F04F4" w:rsidRPr="005E6B7C" w:rsidRDefault="004F04F4" w:rsidP="008C0D47">
      <w:pPr>
        <w:tabs>
          <w:tab w:val="left" w:pos="270"/>
          <w:tab w:val="left" w:pos="9270"/>
        </w:tabs>
        <w:spacing w:line="260" w:lineRule="exact"/>
        <w:ind w:firstLine="284"/>
        <w:jc w:val="both"/>
        <w:rPr>
          <w:rFonts w:asciiTheme="majorHAnsi" w:eastAsia="Yu Mincho" w:hAnsiTheme="majorHAnsi" w:cstheme="majorHAnsi"/>
          <w:bCs/>
          <w: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After the preliminary test, a total of six dose levels were used in the main experiment. The minimum dose causing 100% mortality (LD</w:t>
      </w:r>
      <w:r w:rsidRPr="005E6B7C">
        <w:rPr>
          <w:rFonts w:asciiTheme="majorHAnsi" w:eastAsia="Yu Mincho" w:hAnsiTheme="majorHAnsi" w:cstheme="majorHAnsi"/>
          <w:color w:val="000000" w:themeColor="text1"/>
          <w:spacing w:val="-4"/>
          <w:sz w:val="22"/>
          <w:szCs w:val="22"/>
          <w:vertAlign w:val="subscript"/>
          <w:lang w:eastAsia="ja-JP"/>
        </w:rPr>
        <w:t>100</w:t>
      </w:r>
      <w:r w:rsidRPr="005E6B7C">
        <w:rPr>
          <w:rFonts w:asciiTheme="majorHAnsi" w:eastAsia="Yu Mincho" w:hAnsiTheme="majorHAnsi" w:cstheme="majorHAnsi"/>
          <w:color w:val="000000" w:themeColor="text1"/>
          <w:spacing w:val="-4"/>
          <w:sz w:val="22"/>
          <w:szCs w:val="22"/>
          <w:lang w:eastAsia="ja-JP"/>
        </w:rPr>
        <w:t>) was determined to be 6.1 g/kg, while the maximum dose that caused no mortality (LD</w:t>
      </w:r>
      <w:r w:rsidRPr="005E6B7C">
        <w:rPr>
          <w:rFonts w:asciiTheme="majorHAnsi" w:eastAsia="Yu Mincho" w:hAnsiTheme="majorHAnsi" w:cstheme="majorHAnsi"/>
          <w:color w:val="000000" w:themeColor="text1"/>
          <w:spacing w:val="-4"/>
          <w:sz w:val="22"/>
          <w:szCs w:val="22"/>
          <w:vertAlign w:val="subscript"/>
          <w:lang w:eastAsia="ja-JP"/>
        </w:rPr>
        <w:t>0</w:t>
      </w:r>
      <w:r w:rsidRPr="005E6B7C">
        <w:rPr>
          <w:rFonts w:asciiTheme="majorHAnsi" w:eastAsia="Yu Mincho" w:hAnsiTheme="majorHAnsi" w:cstheme="majorHAnsi"/>
          <w:color w:val="000000" w:themeColor="text1"/>
          <w:spacing w:val="-4"/>
          <w:sz w:val="22"/>
          <w:szCs w:val="22"/>
          <w:lang w:eastAsia="ja-JP"/>
        </w:rPr>
        <w:t>) was 2.0 g/kg. Based on the determined LD</w:t>
      </w:r>
      <w:r w:rsidRPr="005E6B7C">
        <w:rPr>
          <w:rFonts w:asciiTheme="majorHAnsi" w:eastAsia="Yu Mincho" w:hAnsiTheme="majorHAnsi" w:cstheme="majorHAnsi"/>
          <w:color w:val="000000" w:themeColor="text1"/>
          <w:spacing w:val="-4"/>
          <w:sz w:val="22"/>
          <w:szCs w:val="22"/>
          <w:vertAlign w:val="subscript"/>
          <w:lang w:eastAsia="ja-JP"/>
        </w:rPr>
        <w:t>0</w:t>
      </w:r>
      <w:r w:rsidRPr="005E6B7C">
        <w:rPr>
          <w:rFonts w:asciiTheme="majorHAnsi" w:eastAsia="Yu Mincho" w:hAnsiTheme="majorHAnsi" w:cstheme="majorHAnsi"/>
          <w:color w:val="000000" w:themeColor="text1"/>
          <w:spacing w:val="-4"/>
          <w:sz w:val="22"/>
          <w:szCs w:val="22"/>
          <w:lang w:eastAsia="ja-JP"/>
        </w:rPr>
        <w:t xml:space="preserve"> and LD</w:t>
      </w:r>
      <w:r w:rsidRPr="005E6B7C">
        <w:rPr>
          <w:rFonts w:asciiTheme="majorHAnsi" w:eastAsia="Yu Mincho" w:hAnsiTheme="majorHAnsi" w:cstheme="majorHAnsi"/>
          <w:color w:val="000000" w:themeColor="text1"/>
          <w:spacing w:val="-4"/>
          <w:sz w:val="22"/>
          <w:szCs w:val="22"/>
          <w:vertAlign w:val="subscript"/>
          <w:lang w:eastAsia="ja-JP"/>
        </w:rPr>
        <w:t>100</w:t>
      </w:r>
      <w:r w:rsidRPr="005E6B7C">
        <w:rPr>
          <w:rFonts w:asciiTheme="majorHAnsi" w:eastAsia="Yu Mincho" w:hAnsiTheme="majorHAnsi" w:cstheme="majorHAnsi"/>
          <w:color w:val="000000" w:themeColor="text1"/>
          <w:spacing w:val="-4"/>
          <w:sz w:val="22"/>
          <w:szCs w:val="22"/>
          <w:lang w:eastAsia="ja-JP"/>
        </w:rPr>
        <w:t xml:space="preserve"> values, the LD</w:t>
      </w:r>
      <w:r w:rsidRPr="005E6B7C">
        <w:rPr>
          <w:rFonts w:asciiTheme="majorHAnsi" w:eastAsia="Yu Mincho" w:hAnsiTheme="majorHAnsi" w:cstheme="majorHAnsi"/>
          <w:color w:val="000000" w:themeColor="text1"/>
          <w:spacing w:val="-4"/>
          <w:sz w:val="22"/>
          <w:szCs w:val="22"/>
          <w:vertAlign w:val="subscript"/>
          <w:lang w:eastAsia="ja-JP"/>
        </w:rPr>
        <w:t>50</w:t>
      </w:r>
      <w:r w:rsidRPr="005E6B7C">
        <w:rPr>
          <w:rFonts w:asciiTheme="majorHAnsi" w:eastAsia="Yu Mincho" w:hAnsiTheme="majorHAnsi" w:cstheme="majorHAnsi"/>
          <w:color w:val="000000" w:themeColor="text1"/>
          <w:spacing w:val="-4"/>
          <w:sz w:val="22"/>
          <w:szCs w:val="22"/>
          <w:lang w:eastAsia="ja-JP"/>
        </w:rPr>
        <w:t xml:space="preserve"> was calculated using the Karber-Behrens formula, yielding a value of 3.96 g/kg.</w:t>
      </w:r>
    </w:p>
    <w:p w14:paraId="00A7BFA9" w14:textId="77777777" w:rsidR="004F04F4" w:rsidRPr="005E6B7C" w:rsidRDefault="004F04F4"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sectPr w:rsidR="004F04F4" w:rsidRPr="005E6B7C" w:rsidSect="004F04F4">
          <w:type w:val="continuous"/>
          <w:pgSz w:w="10773" w:h="15309" w:code="9"/>
          <w:pgMar w:top="907" w:right="851" w:bottom="1418" w:left="851" w:header="397" w:footer="851" w:gutter="0"/>
          <w:cols w:num="2" w:space="284"/>
          <w:docGrid w:linePitch="360"/>
        </w:sectPr>
      </w:pPr>
    </w:p>
    <w:p w14:paraId="3E705B42" w14:textId="77777777" w:rsidR="00E049CB" w:rsidRPr="005E6B7C" w:rsidRDefault="00E049CB" w:rsidP="008C0D47">
      <w:pPr>
        <w:tabs>
          <w:tab w:val="left" w:pos="270"/>
          <w:tab w:val="left" w:pos="9270"/>
        </w:tabs>
        <w:spacing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1. </w:t>
      </w:r>
      <w:r w:rsidRPr="005E6B7C">
        <w:rPr>
          <w:rFonts w:asciiTheme="majorHAnsi" w:eastAsia="Yu Mincho" w:hAnsiTheme="majorHAnsi" w:cstheme="majorHAnsi"/>
          <w:color w:val="000000" w:themeColor="text1"/>
          <w:sz w:val="18"/>
          <w:szCs w:val="18"/>
          <w:lang w:eastAsia="ja-JP"/>
        </w:rPr>
        <w:t xml:space="preserve">Results of the acute oral toxicity test of the </w:t>
      </w:r>
      <w:r w:rsidRPr="005E6B7C">
        <w:rPr>
          <w:rFonts w:asciiTheme="majorHAnsi" w:eastAsia="Yu Mincho" w:hAnsiTheme="majorHAnsi" w:cstheme="majorHAnsi"/>
          <w:i/>
          <w:iCs/>
          <w:color w:val="000000" w:themeColor="text1"/>
          <w:sz w:val="18"/>
          <w:szCs w:val="18"/>
          <w:lang w:eastAsia="ja-JP"/>
        </w:rPr>
        <w:t>P. nil</w:t>
      </w:r>
      <w:r w:rsidRPr="005E6B7C">
        <w:rPr>
          <w:rFonts w:asciiTheme="majorHAnsi" w:eastAsia="Yu Mincho" w:hAnsiTheme="majorHAnsi" w:cstheme="majorHAnsi"/>
          <w:color w:val="000000" w:themeColor="text1"/>
          <w:sz w:val="18"/>
          <w:szCs w:val="18"/>
          <w:lang w:eastAsia="ja-JP"/>
        </w:rPr>
        <w:t xml:space="preserve"> seed extract</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078"/>
        <w:gridCol w:w="1686"/>
        <w:gridCol w:w="1076"/>
        <w:gridCol w:w="2770"/>
        <w:gridCol w:w="2462"/>
      </w:tblGrid>
      <w:tr w:rsidR="00E049CB" w:rsidRPr="005E6B7C" w14:paraId="084C3891" w14:textId="77777777" w:rsidTr="00044996">
        <w:trPr>
          <w:jc w:val="center"/>
        </w:trPr>
        <w:tc>
          <w:tcPr>
            <w:tcW w:w="988" w:type="dxa"/>
            <w:vAlign w:val="center"/>
          </w:tcPr>
          <w:p w14:paraId="7769DAE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lastRenderedPageBreak/>
              <w:t>Group</w:t>
            </w:r>
          </w:p>
        </w:tc>
        <w:tc>
          <w:tcPr>
            <w:tcW w:w="1546" w:type="dxa"/>
            <w:vAlign w:val="center"/>
          </w:tcPr>
          <w:p w14:paraId="32FFB2C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Dose (g/kg)</w:t>
            </w:r>
          </w:p>
        </w:tc>
        <w:tc>
          <w:tcPr>
            <w:tcW w:w="987" w:type="dxa"/>
            <w:vAlign w:val="center"/>
          </w:tcPr>
          <w:p w14:paraId="167939B5"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w:t>
            </w:r>
          </w:p>
        </w:tc>
        <w:tc>
          <w:tcPr>
            <w:tcW w:w="2540" w:type="dxa"/>
            <w:vAlign w:val="center"/>
          </w:tcPr>
          <w:p w14:paraId="43A792F2"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Number of dead mice</w:t>
            </w:r>
          </w:p>
        </w:tc>
        <w:tc>
          <w:tcPr>
            <w:tcW w:w="2257" w:type="dxa"/>
            <w:vAlign w:val="center"/>
          </w:tcPr>
          <w:p w14:paraId="0EBD1E9D"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Mortality rate (%)</w:t>
            </w:r>
          </w:p>
        </w:tc>
      </w:tr>
      <w:tr w:rsidR="00E049CB" w:rsidRPr="005E6B7C" w14:paraId="79593719" w14:textId="77777777" w:rsidTr="00044996">
        <w:trPr>
          <w:jc w:val="center"/>
        </w:trPr>
        <w:tc>
          <w:tcPr>
            <w:tcW w:w="988" w:type="dxa"/>
            <w:vAlign w:val="center"/>
          </w:tcPr>
          <w:p w14:paraId="6F22C9BF"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I</w:t>
            </w:r>
          </w:p>
        </w:tc>
        <w:tc>
          <w:tcPr>
            <w:tcW w:w="1546" w:type="dxa"/>
            <w:vAlign w:val="center"/>
          </w:tcPr>
          <w:p w14:paraId="24A291A2"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w:t>
            </w:r>
          </w:p>
        </w:tc>
        <w:tc>
          <w:tcPr>
            <w:tcW w:w="987" w:type="dxa"/>
          </w:tcPr>
          <w:p w14:paraId="0BB9C76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c>
          <w:tcPr>
            <w:tcW w:w="2540" w:type="dxa"/>
            <w:vAlign w:val="center"/>
          </w:tcPr>
          <w:p w14:paraId="71235BD5"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w:t>
            </w:r>
          </w:p>
        </w:tc>
        <w:tc>
          <w:tcPr>
            <w:tcW w:w="2257" w:type="dxa"/>
            <w:vAlign w:val="center"/>
          </w:tcPr>
          <w:p w14:paraId="7486FB07"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0</w:t>
            </w:r>
          </w:p>
        </w:tc>
      </w:tr>
      <w:tr w:rsidR="00E049CB" w:rsidRPr="005E6B7C" w14:paraId="479CEECD" w14:textId="77777777" w:rsidTr="00044996">
        <w:trPr>
          <w:jc w:val="center"/>
        </w:trPr>
        <w:tc>
          <w:tcPr>
            <w:tcW w:w="988" w:type="dxa"/>
            <w:vAlign w:val="center"/>
          </w:tcPr>
          <w:p w14:paraId="6EA3A82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II</w:t>
            </w:r>
          </w:p>
        </w:tc>
        <w:tc>
          <w:tcPr>
            <w:tcW w:w="1546" w:type="dxa"/>
            <w:vAlign w:val="center"/>
          </w:tcPr>
          <w:p w14:paraId="1776B391"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w:t>
            </w:r>
          </w:p>
        </w:tc>
        <w:tc>
          <w:tcPr>
            <w:tcW w:w="987" w:type="dxa"/>
          </w:tcPr>
          <w:p w14:paraId="3FD37B98"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2540" w:type="dxa"/>
            <w:vAlign w:val="center"/>
          </w:tcPr>
          <w:p w14:paraId="2F395FB8"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p>
        </w:tc>
        <w:tc>
          <w:tcPr>
            <w:tcW w:w="2257" w:type="dxa"/>
            <w:vAlign w:val="center"/>
          </w:tcPr>
          <w:p w14:paraId="4719E618"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r>
      <w:tr w:rsidR="00E049CB" w:rsidRPr="005E6B7C" w14:paraId="06B16D12" w14:textId="77777777" w:rsidTr="00044996">
        <w:trPr>
          <w:jc w:val="center"/>
        </w:trPr>
        <w:tc>
          <w:tcPr>
            <w:tcW w:w="988" w:type="dxa"/>
            <w:vAlign w:val="center"/>
          </w:tcPr>
          <w:p w14:paraId="6A81FE45"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III</w:t>
            </w:r>
          </w:p>
        </w:tc>
        <w:tc>
          <w:tcPr>
            <w:tcW w:w="1546" w:type="dxa"/>
            <w:vAlign w:val="center"/>
          </w:tcPr>
          <w:p w14:paraId="18048811"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w:t>
            </w:r>
          </w:p>
        </w:tc>
        <w:tc>
          <w:tcPr>
            <w:tcW w:w="987" w:type="dxa"/>
          </w:tcPr>
          <w:p w14:paraId="00E4B657"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2540" w:type="dxa"/>
            <w:vAlign w:val="center"/>
          </w:tcPr>
          <w:p w14:paraId="6133E9FE"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w:t>
            </w:r>
          </w:p>
        </w:tc>
        <w:tc>
          <w:tcPr>
            <w:tcW w:w="2257" w:type="dxa"/>
            <w:vAlign w:val="center"/>
          </w:tcPr>
          <w:p w14:paraId="1FA48C92"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r>
      <w:tr w:rsidR="00E049CB" w:rsidRPr="005E6B7C" w14:paraId="056E9DFB" w14:textId="77777777" w:rsidTr="00044996">
        <w:trPr>
          <w:jc w:val="center"/>
        </w:trPr>
        <w:tc>
          <w:tcPr>
            <w:tcW w:w="988" w:type="dxa"/>
            <w:vAlign w:val="center"/>
          </w:tcPr>
          <w:p w14:paraId="5FB20F93"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IV</w:t>
            </w:r>
          </w:p>
        </w:tc>
        <w:tc>
          <w:tcPr>
            <w:tcW w:w="1546" w:type="dxa"/>
            <w:vAlign w:val="center"/>
          </w:tcPr>
          <w:p w14:paraId="4D0C518B"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w:t>
            </w:r>
          </w:p>
        </w:tc>
        <w:tc>
          <w:tcPr>
            <w:tcW w:w="987" w:type="dxa"/>
          </w:tcPr>
          <w:p w14:paraId="6CA124D9"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2540" w:type="dxa"/>
            <w:vAlign w:val="center"/>
          </w:tcPr>
          <w:p w14:paraId="7D0F937C"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w:t>
            </w:r>
          </w:p>
        </w:tc>
        <w:tc>
          <w:tcPr>
            <w:tcW w:w="2257" w:type="dxa"/>
            <w:vAlign w:val="center"/>
          </w:tcPr>
          <w:p w14:paraId="599A099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40</w:t>
            </w:r>
          </w:p>
        </w:tc>
      </w:tr>
      <w:tr w:rsidR="00E049CB" w:rsidRPr="005E6B7C" w14:paraId="47B10254" w14:textId="77777777" w:rsidTr="00044996">
        <w:trPr>
          <w:jc w:val="center"/>
        </w:trPr>
        <w:tc>
          <w:tcPr>
            <w:tcW w:w="988" w:type="dxa"/>
            <w:vAlign w:val="center"/>
          </w:tcPr>
          <w:p w14:paraId="7FAF5B87"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V</w:t>
            </w:r>
          </w:p>
        </w:tc>
        <w:tc>
          <w:tcPr>
            <w:tcW w:w="1546" w:type="dxa"/>
            <w:vAlign w:val="center"/>
          </w:tcPr>
          <w:p w14:paraId="055756D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w:t>
            </w:r>
          </w:p>
        </w:tc>
        <w:tc>
          <w:tcPr>
            <w:tcW w:w="987" w:type="dxa"/>
          </w:tcPr>
          <w:p w14:paraId="02AB0EE9"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2540" w:type="dxa"/>
            <w:vAlign w:val="center"/>
          </w:tcPr>
          <w:p w14:paraId="7767B8D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w:t>
            </w:r>
          </w:p>
        </w:tc>
        <w:tc>
          <w:tcPr>
            <w:tcW w:w="2257" w:type="dxa"/>
            <w:vAlign w:val="center"/>
          </w:tcPr>
          <w:p w14:paraId="612AF2C9"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90</w:t>
            </w:r>
          </w:p>
        </w:tc>
      </w:tr>
      <w:tr w:rsidR="00E049CB" w:rsidRPr="005E6B7C" w14:paraId="020F80CF" w14:textId="77777777" w:rsidTr="00044996">
        <w:trPr>
          <w:jc w:val="center"/>
        </w:trPr>
        <w:tc>
          <w:tcPr>
            <w:tcW w:w="988" w:type="dxa"/>
            <w:vAlign w:val="center"/>
          </w:tcPr>
          <w:p w14:paraId="6CB32D46"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bCs/>
                <w:color w:val="000000" w:themeColor="text1"/>
                <w:sz w:val="18"/>
                <w:szCs w:val="18"/>
                <w:lang w:eastAsia="ja-JP"/>
              </w:rPr>
            </w:pPr>
            <w:r w:rsidRPr="005E6B7C">
              <w:rPr>
                <w:rFonts w:asciiTheme="majorHAnsi" w:eastAsia="Times New Roman" w:hAnsiTheme="majorHAnsi" w:cstheme="majorHAnsi"/>
                <w:bCs/>
                <w:color w:val="000000" w:themeColor="text1"/>
                <w:sz w:val="18"/>
                <w:szCs w:val="18"/>
                <w:lang w:eastAsia="ja-JP"/>
              </w:rPr>
              <w:t>VI</w:t>
            </w:r>
          </w:p>
        </w:tc>
        <w:tc>
          <w:tcPr>
            <w:tcW w:w="1546" w:type="dxa"/>
            <w:vAlign w:val="center"/>
          </w:tcPr>
          <w:p w14:paraId="30DCD1B0"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6.1</w:t>
            </w:r>
          </w:p>
        </w:tc>
        <w:tc>
          <w:tcPr>
            <w:tcW w:w="987" w:type="dxa"/>
          </w:tcPr>
          <w:p w14:paraId="22651F23"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w:t>
            </w:r>
          </w:p>
        </w:tc>
        <w:tc>
          <w:tcPr>
            <w:tcW w:w="2540" w:type="dxa"/>
            <w:vAlign w:val="center"/>
          </w:tcPr>
          <w:p w14:paraId="1C683F29"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w:t>
            </w:r>
          </w:p>
        </w:tc>
        <w:tc>
          <w:tcPr>
            <w:tcW w:w="2257" w:type="dxa"/>
            <w:vAlign w:val="center"/>
          </w:tcPr>
          <w:p w14:paraId="664BB945" w14:textId="77777777" w:rsidR="00E049CB" w:rsidRPr="005E6B7C" w:rsidRDefault="00E049CB" w:rsidP="008C0D47">
            <w:pPr>
              <w:tabs>
                <w:tab w:val="left" w:pos="270"/>
                <w:tab w:val="left" w:pos="9270"/>
              </w:tabs>
              <w:ind w:right="-20"/>
              <w:jc w:val="center"/>
              <w:rPr>
                <w:rFonts w:asciiTheme="majorHAnsi" w:eastAsia="Times New Roman" w:hAnsiTheme="majorHAnsi" w:cstheme="majorHAnsi"/>
                <w:color w:val="000000" w:themeColor="text1"/>
                <w:sz w:val="18"/>
                <w:szCs w:val="18"/>
                <w:lang w:eastAsia="ja-JP"/>
              </w:rPr>
            </w:pPr>
            <w:r w:rsidRPr="005E6B7C">
              <w:rPr>
                <w:rFonts w:asciiTheme="majorHAnsi" w:eastAsia="Times New Roman" w:hAnsiTheme="majorHAnsi" w:cstheme="majorHAnsi"/>
                <w:color w:val="000000" w:themeColor="text1"/>
                <w:sz w:val="18"/>
                <w:szCs w:val="18"/>
                <w:lang w:eastAsia="ja-JP"/>
              </w:rPr>
              <w:t>100</w:t>
            </w:r>
          </w:p>
        </w:tc>
      </w:tr>
    </w:tbl>
    <w:p w14:paraId="27CD3887"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06FE56C9" w14:textId="77777777" w:rsidR="001701EA" w:rsidRPr="005E6B7C" w:rsidRDefault="001701EA"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665408ED"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Abnormal signs observed after administration of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extract included loose or watery stools occurring approximately 1.5 to 4 hours after dosing. These symptoms usually resolved within 24 hrs at all tested dose levels. No gross </w:t>
      </w:r>
      <w:r w:rsidRPr="005E6B7C">
        <w:rPr>
          <w:rFonts w:asciiTheme="majorHAnsi" w:eastAsia="Yu Mincho" w:hAnsiTheme="majorHAnsi" w:cstheme="majorHAnsi"/>
          <w:color w:val="000000" w:themeColor="text1"/>
          <w:sz w:val="22"/>
          <w:szCs w:val="22"/>
          <w:lang w:eastAsia="ja-JP"/>
        </w:rPr>
        <w:t>abnormalities were observed in internal organs, including the heart, liver, kidneys, lungs, spleen, and intestines.</w:t>
      </w:r>
    </w:p>
    <w:p w14:paraId="40E756DF" w14:textId="77777777" w:rsidR="001701EA" w:rsidRPr="005E6B7C" w:rsidRDefault="00E049CB"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 xml:space="preserve">3.2. Laxative effect of </w:t>
      </w:r>
      <w:r w:rsidRPr="005E6B7C">
        <w:rPr>
          <w:rFonts w:asciiTheme="majorHAnsi" w:eastAsia="Yu Mincho" w:hAnsiTheme="majorHAnsi" w:cstheme="majorHAnsi"/>
          <w:bCs/>
          <w:i/>
          <w:iCs/>
          <w:color w:val="000000" w:themeColor="text1"/>
          <w:sz w:val="22"/>
          <w:szCs w:val="22"/>
          <w:lang w:eastAsia="ja-JP"/>
        </w:rPr>
        <w:t>P. nil</w:t>
      </w:r>
      <w:r w:rsidRPr="005E6B7C">
        <w:rPr>
          <w:rFonts w:asciiTheme="majorHAnsi" w:eastAsia="Yu Mincho" w:hAnsiTheme="majorHAnsi" w:cstheme="majorHAnsi"/>
          <w:bCs/>
          <w:i/>
          <w:color w:val="000000" w:themeColor="text1"/>
          <w:sz w:val="22"/>
          <w:szCs w:val="22"/>
          <w:lang w:eastAsia="ja-JP"/>
        </w:rPr>
        <w:t xml:space="preserve"> seed extract in loperamide-induced constipated mice</w:t>
      </w:r>
    </w:p>
    <w:p w14:paraId="05FC7CA3" w14:textId="77777777" w:rsidR="001701EA" w:rsidRPr="005E6B7C" w:rsidRDefault="001701EA" w:rsidP="008C0D47">
      <w:pPr>
        <w:tabs>
          <w:tab w:val="left" w:pos="270"/>
          <w:tab w:val="left" w:pos="9270"/>
        </w:tabs>
        <w:spacing w:line="240" w:lineRule="exact"/>
        <w:ind w:firstLine="284"/>
        <w:jc w:val="both"/>
        <w:rPr>
          <w:rFonts w:asciiTheme="majorHAnsi" w:eastAsia="Yu Mincho" w:hAnsiTheme="majorHAnsi" w:cstheme="majorHAnsi"/>
          <w:bCs/>
          <w:i/>
          <w:color w:val="000000" w:themeColor="text1"/>
          <w:sz w:val="22"/>
          <w:szCs w:val="22"/>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4246219A" w14:textId="77777777" w:rsidR="00E049CB" w:rsidRPr="005E6B7C" w:rsidRDefault="00E049CB" w:rsidP="008C0D47">
      <w:pPr>
        <w:tabs>
          <w:tab w:val="left" w:pos="270"/>
          <w:tab w:val="left" w:pos="9270"/>
        </w:tabs>
        <w:spacing w:before="120" w:after="120"/>
        <w:jc w:val="center"/>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 xml:space="preserve">Table 2. </w:t>
      </w:r>
      <w:r w:rsidRPr="005E6B7C">
        <w:rPr>
          <w:rFonts w:asciiTheme="majorHAnsi" w:eastAsia="Times New Roman" w:hAnsiTheme="majorHAnsi" w:cstheme="majorHAnsi"/>
          <w:bCs/>
          <w:color w:val="000000" w:themeColor="text1"/>
          <w:sz w:val="18"/>
          <w:szCs w:val="18"/>
          <w:lang w:eastAsia="ja-JP"/>
        </w:rPr>
        <w:t xml:space="preserve">Effects of </w:t>
      </w:r>
      <w:r w:rsidRPr="005E6B7C">
        <w:rPr>
          <w:rFonts w:asciiTheme="majorHAnsi" w:eastAsia="Times New Roman" w:hAnsiTheme="majorHAnsi" w:cstheme="majorHAnsi"/>
          <w:bCs/>
          <w:i/>
          <w:iCs/>
          <w:color w:val="000000" w:themeColor="text1"/>
          <w:sz w:val="18"/>
          <w:szCs w:val="18"/>
          <w:lang w:eastAsia="ja-JP"/>
        </w:rPr>
        <w:t>P. nil</w:t>
      </w:r>
      <w:r w:rsidRPr="005E6B7C">
        <w:rPr>
          <w:rFonts w:asciiTheme="majorHAnsi" w:eastAsia="Times New Roman" w:hAnsiTheme="majorHAnsi" w:cstheme="majorHAnsi"/>
          <w:bCs/>
          <w:color w:val="000000" w:themeColor="text1"/>
          <w:sz w:val="18"/>
          <w:szCs w:val="18"/>
          <w:lang w:eastAsia="ja-JP"/>
        </w:rPr>
        <w:t xml:space="preserve"> seed extract on body weight, water intake, and food consumption in mice</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5"/>
        <w:gridCol w:w="1636"/>
        <w:gridCol w:w="1637"/>
        <w:gridCol w:w="1769"/>
        <w:gridCol w:w="1539"/>
        <w:gridCol w:w="1496"/>
      </w:tblGrid>
      <w:tr w:rsidR="00573010" w:rsidRPr="005E6B7C" w14:paraId="3DEC7E4E" w14:textId="77777777" w:rsidTr="00044996">
        <w:trPr>
          <w:jc w:val="center"/>
        </w:trPr>
        <w:tc>
          <w:tcPr>
            <w:tcW w:w="1016" w:type="dxa"/>
            <w:vAlign w:val="center"/>
          </w:tcPr>
          <w:p w14:paraId="1783E71E"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val="vi-VN" w:eastAsia="ja-JP"/>
              </w:rPr>
              <w:t>Group</w:t>
            </w:r>
          </w:p>
        </w:tc>
        <w:tc>
          <w:tcPr>
            <w:tcW w:w="1746" w:type="dxa"/>
            <w:vAlign w:val="center"/>
          </w:tcPr>
          <w:p w14:paraId="3A46190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val="vi-VN" w:eastAsia="ja-JP"/>
              </w:rPr>
              <w:t>Body weight Day 1 [</w:t>
            </w:r>
            <w:r w:rsidRPr="005E6B7C">
              <w:rPr>
                <w:rFonts w:asciiTheme="majorHAnsi" w:eastAsia="Yu Mincho" w:hAnsiTheme="majorHAnsi" w:cstheme="majorHAnsi"/>
                <w:b/>
                <w:color w:val="000000" w:themeColor="text1"/>
                <w:sz w:val="18"/>
                <w:szCs w:val="18"/>
                <w:lang w:eastAsia="ja-JP"/>
              </w:rPr>
              <w:t>A]</w:t>
            </w:r>
            <w:r w:rsidRPr="005E6B7C">
              <w:rPr>
                <w:rFonts w:asciiTheme="majorHAnsi" w:eastAsia="Yu Mincho" w:hAnsiTheme="majorHAnsi" w:cstheme="majorHAnsi"/>
                <w:b/>
                <w:color w:val="000000" w:themeColor="text1"/>
                <w:sz w:val="18"/>
                <w:szCs w:val="18"/>
                <w:lang w:val="vi-VN" w:eastAsia="ja-JP"/>
              </w:rPr>
              <w:t xml:space="preserve"> (g)</w:t>
            </w:r>
          </w:p>
        </w:tc>
        <w:tc>
          <w:tcPr>
            <w:tcW w:w="1747" w:type="dxa"/>
            <w:vAlign w:val="center"/>
          </w:tcPr>
          <w:p w14:paraId="2E3B050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val="vi-VN" w:eastAsia="ja-JP"/>
              </w:rPr>
              <w:t>Body weight Day 6 [B] (g)</w:t>
            </w:r>
          </w:p>
        </w:tc>
        <w:tc>
          <w:tcPr>
            <w:tcW w:w="1889" w:type="dxa"/>
            <w:vAlign w:val="center"/>
          </w:tcPr>
          <w:p w14:paraId="293D7F9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val="vi-VN" w:eastAsia="ja-JP"/>
              </w:rPr>
              <w:t>Weight change [B</w:t>
            </w:r>
            <w:r w:rsidRPr="005E6B7C">
              <w:rPr>
                <w:rFonts w:asciiTheme="majorHAnsi" w:eastAsia="Yu Mincho" w:hAnsiTheme="majorHAnsi" w:cstheme="majorHAnsi"/>
                <w:b/>
                <w:color w:val="000000" w:themeColor="text1"/>
                <w:sz w:val="18"/>
                <w:szCs w:val="18"/>
                <w:lang w:eastAsia="ja-JP"/>
              </w:rPr>
              <w:t xml:space="preserve"> - </w:t>
            </w:r>
            <w:r w:rsidRPr="005E6B7C">
              <w:rPr>
                <w:rFonts w:asciiTheme="majorHAnsi" w:eastAsia="Yu Mincho" w:hAnsiTheme="majorHAnsi" w:cstheme="majorHAnsi"/>
                <w:b/>
                <w:color w:val="000000" w:themeColor="text1"/>
                <w:sz w:val="18"/>
                <w:szCs w:val="18"/>
                <w:lang w:val="vi-VN" w:eastAsia="ja-JP"/>
              </w:rPr>
              <w:t>A]</w:t>
            </w:r>
            <w:r w:rsidRPr="005E6B7C">
              <w:rPr>
                <w:rFonts w:asciiTheme="majorHAnsi" w:eastAsia="Yu Mincho" w:hAnsiTheme="majorHAnsi" w:cstheme="majorHAnsi"/>
                <w:b/>
                <w:color w:val="000000" w:themeColor="text1"/>
                <w:sz w:val="18"/>
                <w:szCs w:val="18"/>
                <w:lang w:eastAsia="ja-JP"/>
              </w:rPr>
              <w:t xml:space="preserve"> </w:t>
            </w:r>
            <w:r w:rsidRPr="005E6B7C">
              <w:rPr>
                <w:rFonts w:asciiTheme="majorHAnsi" w:eastAsia="Yu Mincho" w:hAnsiTheme="majorHAnsi" w:cstheme="majorHAnsi"/>
                <w:b/>
                <w:color w:val="000000" w:themeColor="text1"/>
                <w:sz w:val="18"/>
                <w:szCs w:val="18"/>
                <w:lang w:val="vi-VN" w:eastAsia="ja-JP"/>
              </w:rPr>
              <w:t>(g)</w:t>
            </w:r>
          </w:p>
        </w:tc>
        <w:tc>
          <w:tcPr>
            <w:tcW w:w="1639" w:type="dxa"/>
            <w:vAlign w:val="center"/>
          </w:tcPr>
          <w:p w14:paraId="3754A2B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Water intake (24h, mL)</w:t>
            </w:r>
          </w:p>
        </w:tc>
        <w:tc>
          <w:tcPr>
            <w:tcW w:w="1591" w:type="dxa"/>
            <w:vAlign w:val="center"/>
          </w:tcPr>
          <w:p w14:paraId="44F31EA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Food intake (12h, g)</w:t>
            </w:r>
          </w:p>
        </w:tc>
      </w:tr>
      <w:tr w:rsidR="00573010" w:rsidRPr="005E6B7C" w14:paraId="00BD8873" w14:textId="77777777" w:rsidTr="00044996">
        <w:trPr>
          <w:jc w:val="center"/>
        </w:trPr>
        <w:tc>
          <w:tcPr>
            <w:tcW w:w="1016" w:type="dxa"/>
            <w:vAlign w:val="center"/>
          </w:tcPr>
          <w:p w14:paraId="34B65DAA"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Control</w:t>
            </w:r>
          </w:p>
        </w:tc>
        <w:tc>
          <w:tcPr>
            <w:tcW w:w="1746" w:type="dxa"/>
            <w:vAlign w:val="center"/>
          </w:tcPr>
          <w:p w14:paraId="533408B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22.46 ± 1.26</w:t>
            </w:r>
          </w:p>
        </w:tc>
        <w:tc>
          <w:tcPr>
            <w:tcW w:w="1747" w:type="dxa"/>
            <w:vAlign w:val="center"/>
          </w:tcPr>
          <w:p w14:paraId="0E402D8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20.29 ± 0.75</w:t>
            </w:r>
            <w:r w:rsidRPr="005E6B7C">
              <w:rPr>
                <w:rFonts w:asciiTheme="majorHAnsi" w:eastAsia="Yu Mincho" w:hAnsiTheme="majorHAnsi" w:cstheme="majorHAnsi"/>
                <w:color w:val="000000" w:themeColor="text1"/>
                <w:sz w:val="18"/>
                <w:szCs w:val="18"/>
                <w:vertAlign w:val="superscript"/>
                <w:lang w:eastAsia="ja-JP"/>
              </w:rPr>
              <w:t>ns</w:t>
            </w:r>
          </w:p>
        </w:tc>
        <w:tc>
          <w:tcPr>
            <w:tcW w:w="1889" w:type="dxa"/>
            <w:vAlign w:val="center"/>
          </w:tcPr>
          <w:p w14:paraId="4F1F58F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-2.18 ± 0.77</w:t>
            </w:r>
            <w:r w:rsidRPr="005E6B7C">
              <w:rPr>
                <w:rFonts w:asciiTheme="majorHAnsi" w:eastAsia="Yu Mincho" w:hAnsiTheme="majorHAnsi" w:cstheme="majorHAnsi"/>
                <w:color w:val="000000" w:themeColor="text1"/>
                <w:sz w:val="18"/>
                <w:szCs w:val="18"/>
                <w:vertAlign w:val="superscript"/>
                <w:lang w:eastAsia="ja-JP"/>
              </w:rPr>
              <w:t>ns</w:t>
            </w:r>
          </w:p>
        </w:tc>
        <w:tc>
          <w:tcPr>
            <w:tcW w:w="1639" w:type="dxa"/>
            <w:vAlign w:val="center"/>
          </w:tcPr>
          <w:p w14:paraId="00A54CD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6.31 ± 1.03</w:t>
            </w:r>
            <w:r w:rsidRPr="005E6B7C">
              <w:rPr>
                <w:rFonts w:asciiTheme="majorHAnsi" w:eastAsia="Yu Mincho" w:hAnsiTheme="majorHAnsi" w:cstheme="majorHAnsi"/>
                <w:color w:val="000000" w:themeColor="text1"/>
                <w:sz w:val="18"/>
                <w:szCs w:val="18"/>
                <w:vertAlign w:val="superscript"/>
                <w:lang w:eastAsia="ja-JP"/>
              </w:rPr>
              <w:t>*</w:t>
            </w:r>
          </w:p>
        </w:tc>
        <w:tc>
          <w:tcPr>
            <w:tcW w:w="1591" w:type="dxa"/>
            <w:vAlign w:val="center"/>
          </w:tcPr>
          <w:p w14:paraId="608245D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2.22 ± 0.51</w:t>
            </w:r>
            <w:r w:rsidRPr="005E6B7C">
              <w:rPr>
                <w:rFonts w:asciiTheme="majorHAnsi" w:eastAsia="Yu Mincho" w:hAnsiTheme="majorHAnsi" w:cstheme="majorHAnsi"/>
                <w:color w:val="000000" w:themeColor="text1"/>
                <w:sz w:val="18"/>
                <w:szCs w:val="18"/>
                <w:vertAlign w:val="superscript"/>
                <w:lang w:eastAsia="ja-JP"/>
              </w:rPr>
              <w:t>ns</w:t>
            </w:r>
          </w:p>
        </w:tc>
      </w:tr>
      <w:tr w:rsidR="00573010" w:rsidRPr="005E6B7C" w14:paraId="0F08D672" w14:textId="77777777" w:rsidTr="00044996">
        <w:trPr>
          <w:jc w:val="center"/>
        </w:trPr>
        <w:tc>
          <w:tcPr>
            <w:tcW w:w="1016" w:type="dxa"/>
            <w:vAlign w:val="center"/>
          </w:tcPr>
          <w:p w14:paraId="022845B9"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Lope</w:t>
            </w:r>
          </w:p>
        </w:tc>
        <w:tc>
          <w:tcPr>
            <w:tcW w:w="1746" w:type="dxa"/>
            <w:vAlign w:val="center"/>
          </w:tcPr>
          <w:p w14:paraId="5E07888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22.85 ± 2.37</w:t>
            </w:r>
          </w:p>
        </w:tc>
        <w:tc>
          <w:tcPr>
            <w:tcW w:w="1747" w:type="dxa"/>
            <w:vAlign w:val="center"/>
          </w:tcPr>
          <w:p w14:paraId="620E4CF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21.05 ± 2.43</w:t>
            </w:r>
          </w:p>
        </w:tc>
        <w:tc>
          <w:tcPr>
            <w:tcW w:w="1889" w:type="dxa"/>
            <w:vAlign w:val="center"/>
          </w:tcPr>
          <w:p w14:paraId="59AC8D9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-1.80 ± 1.05</w:t>
            </w:r>
          </w:p>
        </w:tc>
        <w:tc>
          <w:tcPr>
            <w:tcW w:w="1639" w:type="dxa"/>
            <w:vAlign w:val="center"/>
          </w:tcPr>
          <w:p w14:paraId="4BC14B4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8.78 ± 1.70</w:t>
            </w:r>
          </w:p>
        </w:tc>
        <w:tc>
          <w:tcPr>
            <w:tcW w:w="1591" w:type="dxa"/>
            <w:vAlign w:val="center"/>
          </w:tcPr>
          <w:p w14:paraId="51719FB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2.82 ± 0.58</w:t>
            </w:r>
          </w:p>
        </w:tc>
      </w:tr>
      <w:tr w:rsidR="00573010" w:rsidRPr="005E6B7C" w14:paraId="13FD7838" w14:textId="77777777" w:rsidTr="00044996">
        <w:trPr>
          <w:jc w:val="center"/>
        </w:trPr>
        <w:tc>
          <w:tcPr>
            <w:tcW w:w="1016" w:type="dxa"/>
            <w:vAlign w:val="center"/>
          </w:tcPr>
          <w:p w14:paraId="61179845"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Bisa</w:t>
            </w:r>
          </w:p>
        </w:tc>
        <w:tc>
          <w:tcPr>
            <w:tcW w:w="1746" w:type="dxa"/>
            <w:vAlign w:val="center"/>
          </w:tcPr>
          <w:p w14:paraId="61398C7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22.70 ± 2.54</w:t>
            </w:r>
          </w:p>
        </w:tc>
        <w:tc>
          <w:tcPr>
            <w:tcW w:w="1747" w:type="dxa"/>
            <w:vAlign w:val="center"/>
          </w:tcPr>
          <w:p w14:paraId="77CFC08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20.16 ± 1.49</w:t>
            </w:r>
            <w:r w:rsidRPr="005E6B7C">
              <w:rPr>
                <w:rFonts w:asciiTheme="majorHAnsi" w:eastAsia="Yu Mincho" w:hAnsiTheme="majorHAnsi" w:cstheme="majorHAnsi"/>
                <w:color w:val="000000" w:themeColor="text1"/>
                <w:sz w:val="18"/>
                <w:szCs w:val="18"/>
                <w:vertAlign w:val="superscript"/>
                <w:lang w:eastAsia="ja-JP"/>
              </w:rPr>
              <w:t>ns</w:t>
            </w:r>
          </w:p>
        </w:tc>
        <w:tc>
          <w:tcPr>
            <w:tcW w:w="1889" w:type="dxa"/>
            <w:vAlign w:val="center"/>
          </w:tcPr>
          <w:p w14:paraId="7819AD1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-2.54 ± 1.64</w:t>
            </w:r>
            <w:r w:rsidRPr="005E6B7C">
              <w:rPr>
                <w:rFonts w:asciiTheme="majorHAnsi" w:eastAsia="Yu Mincho" w:hAnsiTheme="majorHAnsi" w:cstheme="majorHAnsi"/>
                <w:color w:val="000000" w:themeColor="text1"/>
                <w:sz w:val="18"/>
                <w:szCs w:val="18"/>
                <w:vertAlign w:val="superscript"/>
                <w:lang w:eastAsia="ja-JP"/>
              </w:rPr>
              <w:t>ns</w:t>
            </w:r>
          </w:p>
        </w:tc>
        <w:tc>
          <w:tcPr>
            <w:tcW w:w="1639" w:type="dxa"/>
            <w:vAlign w:val="center"/>
          </w:tcPr>
          <w:p w14:paraId="0C12587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6.25 ± 1.85</w:t>
            </w:r>
            <w:r w:rsidRPr="005E6B7C">
              <w:rPr>
                <w:rFonts w:asciiTheme="majorHAnsi" w:eastAsia="Yu Mincho" w:hAnsiTheme="majorHAnsi" w:cstheme="majorHAnsi"/>
                <w:color w:val="000000" w:themeColor="text1"/>
                <w:sz w:val="18"/>
                <w:szCs w:val="18"/>
                <w:vertAlign w:val="superscript"/>
                <w:lang w:eastAsia="ja-JP"/>
              </w:rPr>
              <w:t>*</w:t>
            </w:r>
          </w:p>
        </w:tc>
        <w:tc>
          <w:tcPr>
            <w:tcW w:w="1591" w:type="dxa"/>
            <w:vAlign w:val="center"/>
          </w:tcPr>
          <w:p w14:paraId="36D7E87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2.03 ± 0.64</w:t>
            </w:r>
            <w:r w:rsidRPr="005E6B7C">
              <w:rPr>
                <w:rFonts w:asciiTheme="majorHAnsi" w:eastAsia="Yu Mincho" w:hAnsiTheme="majorHAnsi" w:cstheme="majorHAnsi"/>
                <w:color w:val="000000" w:themeColor="text1"/>
                <w:sz w:val="18"/>
                <w:szCs w:val="18"/>
                <w:vertAlign w:val="superscript"/>
                <w:lang w:eastAsia="ja-JP"/>
              </w:rPr>
              <w:t>ns</w:t>
            </w:r>
          </w:p>
        </w:tc>
      </w:tr>
      <w:tr w:rsidR="00573010" w:rsidRPr="005E6B7C" w14:paraId="64A5B945" w14:textId="77777777" w:rsidTr="00044996">
        <w:trPr>
          <w:jc w:val="center"/>
        </w:trPr>
        <w:tc>
          <w:tcPr>
            <w:tcW w:w="1016" w:type="dxa"/>
            <w:vAlign w:val="center"/>
          </w:tcPr>
          <w:p w14:paraId="7DF9BA28"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BB75</w:t>
            </w:r>
          </w:p>
        </w:tc>
        <w:tc>
          <w:tcPr>
            <w:tcW w:w="1746" w:type="dxa"/>
            <w:vAlign w:val="center"/>
          </w:tcPr>
          <w:p w14:paraId="70678B1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18.94 ± 6.33</w:t>
            </w:r>
          </w:p>
        </w:tc>
        <w:tc>
          <w:tcPr>
            <w:tcW w:w="1747" w:type="dxa"/>
            <w:vAlign w:val="center"/>
          </w:tcPr>
          <w:p w14:paraId="4F50B7A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16.94 ± 6.51</w:t>
            </w:r>
            <w:r w:rsidRPr="005E6B7C">
              <w:rPr>
                <w:rFonts w:asciiTheme="majorHAnsi" w:eastAsia="Yu Mincho" w:hAnsiTheme="majorHAnsi" w:cstheme="majorHAnsi"/>
                <w:color w:val="000000" w:themeColor="text1"/>
                <w:sz w:val="18"/>
                <w:szCs w:val="18"/>
                <w:vertAlign w:val="superscript"/>
                <w:lang w:eastAsia="ja-JP"/>
              </w:rPr>
              <w:t>ns</w:t>
            </w:r>
          </w:p>
        </w:tc>
        <w:tc>
          <w:tcPr>
            <w:tcW w:w="1889" w:type="dxa"/>
            <w:vAlign w:val="center"/>
          </w:tcPr>
          <w:p w14:paraId="66A2F6C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-1.79 ± 0.52</w:t>
            </w:r>
            <w:r w:rsidRPr="005E6B7C">
              <w:rPr>
                <w:rFonts w:asciiTheme="majorHAnsi" w:eastAsia="Yu Mincho" w:hAnsiTheme="majorHAnsi" w:cstheme="majorHAnsi"/>
                <w:color w:val="000000" w:themeColor="text1"/>
                <w:sz w:val="18"/>
                <w:szCs w:val="18"/>
                <w:vertAlign w:val="superscript"/>
                <w:lang w:eastAsia="ja-JP"/>
              </w:rPr>
              <w:t>ns</w:t>
            </w:r>
          </w:p>
        </w:tc>
        <w:tc>
          <w:tcPr>
            <w:tcW w:w="1639" w:type="dxa"/>
            <w:vAlign w:val="center"/>
          </w:tcPr>
          <w:p w14:paraId="14E14FF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5.06 ± 0.91</w:t>
            </w:r>
            <w:r w:rsidRPr="005E6B7C">
              <w:rPr>
                <w:rFonts w:asciiTheme="majorHAnsi" w:eastAsia="Yu Mincho" w:hAnsiTheme="majorHAnsi" w:cstheme="majorHAnsi"/>
                <w:color w:val="000000" w:themeColor="text1"/>
                <w:sz w:val="18"/>
                <w:szCs w:val="18"/>
                <w:vertAlign w:val="superscript"/>
                <w:lang w:eastAsia="ja-JP"/>
              </w:rPr>
              <w:t>***</w:t>
            </w:r>
          </w:p>
        </w:tc>
        <w:tc>
          <w:tcPr>
            <w:tcW w:w="1591" w:type="dxa"/>
            <w:vAlign w:val="center"/>
          </w:tcPr>
          <w:p w14:paraId="22C46D6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1.51 ± 0.55</w:t>
            </w:r>
            <w:r w:rsidRPr="005E6B7C">
              <w:rPr>
                <w:rFonts w:asciiTheme="majorHAnsi" w:eastAsia="Yu Mincho" w:hAnsiTheme="majorHAnsi" w:cstheme="majorHAnsi"/>
                <w:color w:val="000000" w:themeColor="text1"/>
                <w:sz w:val="18"/>
                <w:szCs w:val="18"/>
                <w:vertAlign w:val="superscript"/>
                <w:lang w:eastAsia="ja-JP"/>
              </w:rPr>
              <w:t>***</w:t>
            </w:r>
          </w:p>
        </w:tc>
      </w:tr>
      <w:tr w:rsidR="00573010" w:rsidRPr="005E6B7C" w14:paraId="1CE27DC1" w14:textId="77777777" w:rsidTr="00044996">
        <w:trPr>
          <w:jc w:val="center"/>
        </w:trPr>
        <w:tc>
          <w:tcPr>
            <w:tcW w:w="1016" w:type="dxa"/>
            <w:vAlign w:val="center"/>
          </w:tcPr>
          <w:p w14:paraId="44C17664"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BB150</w:t>
            </w:r>
          </w:p>
        </w:tc>
        <w:tc>
          <w:tcPr>
            <w:tcW w:w="1746" w:type="dxa"/>
            <w:vAlign w:val="center"/>
          </w:tcPr>
          <w:p w14:paraId="4CE7AA8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20.56 ± 1.59</w:t>
            </w:r>
          </w:p>
        </w:tc>
        <w:tc>
          <w:tcPr>
            <w:tcW w:w="1747" w:type="dxa"/>
            <w:vAlign w:val="center"/>
          </w:tcPr>
          <w:p w14:paraId="6E84D7F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18.59 ± 1.57</w:t>
            </w:r>
            <w:r w:rsidRPr="005E6B7C">
              <w:rPr>
                <w:rFonts w:asciiTheme="majorHAnsi" w:eastAsia="Yu Mincho" w:hAnsiTheme="majorHAnsi" w:cstheme="majorHAnsi"/>
                <w:color w:val="000000" w:themeColor="text1"/>
                <w:sz w:val="18"/>
                <w:szCs w:val="18"/>
                <w:vertAlign w:val="superscript"/>
                <w:lang w:eastAsia="ja-JP"/>
              </w:rPr>
              <w:t>ns</w:t>
            </w:r>
          </w:p>
        </w:tc>
        <w:tc>
          <w:tcPr>
            <w:tcW w:w="1889" w:type="dxa"/>
            <w:vAlign w:val="center"/>
          </w:tcPr>
          <w:p w14:paraId="795E65B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-1.98 ± 0.45</w:t>
            </w:r>
            <w:r w:rsidRPr="005E6B7C">
              <w:rPr>
                <w:rFonts w:asciiTheme="majorHAnsi" w:eastAsia="Yu Mincho" w:hAnsiTheme="majorHAnsi" w:cstheme="majorHAnsi"/>
                <w:color w:val="000000" w:themeColor="text1"/>
                <w:sz w:val="18"/>
                <w:szCs w:val="18"/>
                <w:vertAlign w:val="superscript"/>
                <w:lang w:eastAsia="ja-JP"/>
              </w:rPr>
              <w:t>ns</w:t>
            </w:r>
          </w:p>
        </w:tc>
        <w:tc>
          <w:tcPr>
            <w:tcW w:w="1639" w:type="dxa"/>
            <w:vAlign w:val="center"/>
          </w:tcPr>
          <w:p w14:paraId="3571EE4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5.66 ± 1.81</w:t>
            </w:r>
            <w:r w:rsidRPr="005E6B7C">
              <w:rPr>
                <w:rFonts w:asciiTheme="majorHAnsi" w:eastAsia="Yu Mincho" w:hAnsiTheme="majorHAnsi" w:cstheme="majorHAnsi"/>
                <w:color w:val="000000" w:themeColor="text1"/>
                <w:sz w:val="18"/>
                <w:szCs w:val="18"/>
                <w:vertAlign w:val="superscript"/>
                <w:lang w:eastAsia="ja-JP"/>
              </w:rPr>
              <w:t>**</w:t>
            </w:r>
          </w:p>
        </w:tc>
        <w:tc>
          <w:tcPr>
            <w:tcW w:w="1591" w:type="dxa"/>
            <w:vAlign w:val="center"/>
          </w:tcPr>
          <w:p w14:paraId="6ECF2C4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1.99 ± 0.45</w:t>
            </w:r>
            <w:r w:rsidRPr="005E6B7C">
              <w:rPr>
                <w:rFonts w:asciiTheme="majorHAnsi" w:eastAsia="Yu Mincho" w:hAnsiTheme="majorHAnsi" w:cstheme="majorHAnsi"/>
                <w:color w:val="000000" w:themeColor="text1"/>
                <w:sz w:val="18"/>
                <w:szCs w:val="18"/>
                <w:vertAlign w:val="superscript"/>
                <w:lang w:eastAsia="ja-JP"/>
              </w:rPr>
              <w:t>ns</w:t>
            </w:r>
          </w:p>
        </w:tc>
      </w:tr>
      <w:tr w:rsidR="00573010" w:rsidRPr="005E6B7C" w14:paraId="7597ACA4" w14:textId="77777777" w:rsidTr="00044996">
        <w:trPr>
          <w:jc w:val="center"/>
        </w:trPr>
        <w:tc>
          <w:tcPr>
            <w:tcW w:w="1016" w:type="dxa"/>
            <w:vAlign w:val="center"/>
          </w:tcPr>
          <w:p w14:paraId="37FF2690" w14:textId="77777777" w:rsidR="00E049CB" w:rsidRPr="005E6B7C" w:rsidRDefault="00E049CB" w:rsidP="008C0D47">
            <w:pPr>
              <w:tabs>
                <w:tab w:val="left" w:pos="27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BB300</w:t>
            </w:r>
          </w:p>
        </w:tc>
        <w:tc>
          <w:tcPr>
            <w:tcW w:w="1746" w:type="dxa"/>
            <w:vAlign w:val="center"/>
          </w:tcPr>
          <w:p w14:paraId="527726C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22.01 ± 1.82</w:t>
            </w:r>
          </w:p>
        </w:tc>
        <w:tc>
          <w:tcPr>
            <w:tcW w:w="1747" w:type="dxa"/>
            <w:vAlign w:val="center"/>
          </w:tcPr>
          <w:p w14:paraId="40183AB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19.64 ± 1.52</w:t>
            </w:r>
            <w:r w:rsidRPr="005E6B7C">
              <w:rPr>
                <w:rFonts w:asciiTheme="majorHAnsi" w:eastAsia="Yu Mincho" w:hAnsiTheme="majorHAnsi" w:cstheme="majorHAnsi"/>
                <w:color w:val="000000" w:themeColor="text1"/>
                <w:sz w:val="18"/>
                <w:szCs w:val="18"/>
                <w:vertAlign w:val="superscript"/>
                <w:lang w:eastAsia="ja-JP"/>
              </w:rPr>
              <w:t>ns</w:t>
            </w:r>
          </w:p>
        </w:tc>
        <w:tc>
          <w:tcPr>
            <w:tcW w:w="1889" w:type="dxa"/>
            <w:vAlign w:val="center"/>
          </w:tcPr>
          <w:p w14:paraId="7C90AFA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-2.38 ± 1.37</w:t>
            </w:r>
            <w:r w:rsidRPr="005E6B7C">
              <w:rPr>
                <w:rFonts w:asciiTheme="majorHAnsi" w:eastAsia="Yu Mincho" w:hAnsiTheme="majorHAnsi" w:cstheme="majorHAnsi"/>
                <w:color w:val="000000" w:themeColor="text1"/>
                <w:sz w:val="18"/>
                <w:szCs w:val="18"/>
                <w:vertAlign w:val="superscript"/>
                <w:lang w:eastAsia="ja-JP"/>
              </w:rPr>
              <w:t>ns</w:t>
            </w:r>
          </w:p>
        </w:tc>
        <w:tc>
          <w:tcPr>
            <w:tcW w:w="1639" w:type="dxa"/>
            <w:vAlign w:val="center"/>
          </w:tcPr>
          <w:p w14:paraId="55AF969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5.75 ± 1.73</w:t>
            </w:r>
            <w:r w:rsidRPr="005E6B7C">
              <w:rPr>
                <w:rFonts w:asciiTheme="majorHAnsi" w:eastAsia="Yu Mincho" w:hAnsiTheme="majorHAnsi" w:cstheme="majorHAnsi"/>
                <w:color w:val="000000" w:themeColor="text1"/>
                <w:sz w:val="18"/>
                <w:szCs w:val="18"/>
                <w:vertAlign w:val="superscript"/>
                <w:lang w:eastAsia="ja-JP"/>
              </w:rPr>
              <w:t>**</w:t>
            </w:r>
          </w:p>
        </w:tc>
        <w:tc>
          <w:tcPr>
            <w:tcW w:w="1591" w:type="dxa"/>
            <w:vAlign w:val="center"/>
          </w:tcPr>
          <w:p w14:paraId="4C30577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2.12 ± 0.73</w:t>
            </w:r>
            <w:r w:rsidRPr="005E6B7C">
              <w:rPr>
                <w:rFonts w:asciiTheme="majorHAnsi" w:eastAsia="Yu Mincho" w:hAnsiTheme="majorHAnsi" w:cstheme="majorHAnsi"/>
                <w:color w:val="000000" w:themeColor="text1"/>
                <w:sz w:val="18"/>
                <w:szCs w:val="18"/>
                <w:vertAlign w:val="superscript"/>
                <w:lang w:eastAsia="ja-JP"/>
              </w:rPr>
              <w:t>ns</w:t>
            </w:r>
          </w:p>
        </w:tc>
      </w:tr>
    </w:tbl>
    <w:p w14:paraId="56C715EC" w14:textId="77777777" w:rsidR="00E049CB" w:rsidRPr="005E6B7C" w:rsidRDefault="00E049CB" w:rsidP="008C0D47">
      <w:pPr>
        <w:tabs>
          <w:tab w:val="left" w:pos="270"/>
          <w:tab w:val="left" w:pos="9270"/>
        </w:tabs>
        <w:spacing w:before="120"/>
        <w:ind w:firstLine="284"/>
        <w:jc w:val="both"/>
        <w:rPr>
          <w:rFonts w:asciiTheme="majorHAnsi" w:eastAsia="Times New Roman" w:hAnsiTheme="majorHAnsi" w:cstheme="majorHAnsi"/>
          <w:i/>
          <w:color w:val="000000" w:themeColor="text1"/>
          <w:sz w:val="18"/>
          <w:szCs w:val="18"/>
          <w:lang w:eastAsia="ja-JP"/>
        </w:rPr>
      </w:pPr>
      <w:r w:rsidRPr="005E6B7C">
        <w:rPr>
          <w:rFonts w:asciiTheme="majorHAnsi" w:eastAsia="Times New Roman" w:hAnsiTheme="majorHAnsi" w:cstheme="majorHAnsi"/>
          <w:i/>
          <w:color w:val="000000" w:themeColor="text1"/>
          <w:sz w:val="18"/>
          <w:szCs w:val="18"/>
          <w:lang w:eastAsia="ja-JP"/>
        </w:rPr>
        <w:t>Statistical symbols indicate comparisons with the constipation model group (Lope) using Tukey’s test.</w:t>
      </w:r>
    </w:p>
    <w:p w14:paraId="2EA0F2CD" w14:textId="77777777" w:rsidR="0047080C" w:rsidRPr="005E6B7C" w:rsidRDefault="0047080C" w:rsidP="008C0D47">
      <w:pPr>
        <w:tabs>
          <w:tab w:val="left" w:pos="270"/>
          <w:tab w:val="left" w:pos="9270"/>
        </w:tabs>
        <w:ind w:right="-20"/>
        <w:jc w:val="both"/>
        <w:rPr>
          <w:rFonts w:asciiTheme="majorHAnsi" w:eastAsia="Times New Roman" w:hAnsiTheme="majorHAnsi" w:cstheme="majorHAnsi"/>
          <w:iCs/>
          <w:color w:val="000000" w:themeColor="text1"/>
          <w:sz w:val="22"/>
          <w:szCs w:val="22"/>
          <w:lang w:eastAsia="ja-JP"/>
        </w:rPr>
      </w:pPr>
    </w:p>
    <w:p w14:paraId="6F8F63CF" w14:textId="77777777" w:rsidR="001701EA" w:rsidRPr="005E6B7C" w:rsidRDefault="001701EA" w:rsidP="008C0D47">
      <w:pPr>
        <w:tabs>
          <w:tab w:val="left" w:pos="270"/>
          <w:tab w:val="left" w:pos="9270"/>
        </w:tabs>
        <w:spacing w:line="240" w:lineRule="exact"/>
        <w:ind w:firstLine="284"/>
        <w:jc w:val="both"/>
        <w:rPr>
          <w:rFonts w:asciiTheme="majorHAnsi" w:eastAsia="Times New Roman" w:hAnsiTheme="majorHAnsi" w:cstheme="majorHAnsi"/>
          <w:iCs/>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6AF4E506" w14:textId="77777777" w:rsidR="001701EA" w:rsidRPr="005E6B7C" w:rsidRDefault="00E049CB" w:rsidP="008C0D47">
      <w:pPr>
        <w:tabs>
          <w:tab w:val="left" w:pos="270"/>
          <w:tab w:val="left" w:pos="9270"/>
        </w:tabs>
        <w:spacing w:line="240" w:lineRule="exact"/>
        <w:ind w:firstLine="284"/>
        <w:jc w:val="both"/>
        <w:rPr>
          <w:rFonts w:asciiTheme="majorHAnsi" w:eastAsia="Times New Roman" w:hAnsiTheme="majorHAnsi" w:cstheme="majorHAnsi"/>
          <w:iCs/>
          <w:color w:val="000000" w:themeColor="text1"/>
          <w:spacing w:val="-2"/>
          <w:sz w:val="22"/>
          <w:szCs w:val="22"/>
          <w:lang w:eastAsia="ja-JP"/>
        </w:rPr>
      </w:pPr>
      <w:r w:rsidRPr="005E6B7C">
        <w:rPr>
          <w:rFonts w:asciiTheme="majorHAnsi" w:eastAsia="Times New Roman" w:hAnsiTheme="majorHAnsi" w:cstheme="majorHAnsi"/>
          <w:iCs/>
          <w:color w:val="000000" w:themeColor="text1"/>
          <w:sz w:val="22"/>
          <w:szCs w:val="22"/>
          <w:lang w:eastAsia="ja-JP"/>
        </w:rPr>
        <w:t xml:space="preserve">The results in </w:t>
      </w:r>
      <w:r w:rsidRPr="005E6B7C">
        <w:rPr>
          <w:rFonts w:asciiTheme="majorHAnsi" w:eastAsia="Times New Roman" w:hAnsiTheme="majorHAnsi" w:cstheme="majorHAnsi"/>
          <w:b/>
          <w:bCs/>
          <w:iCs/>
          <w:color w:val="000000" w:themeColor="text1"/>
          <w:sz w:val="22"/>
          <w:szCs w:val="22"/>
          <w:lang w:eastAsia="ja-JP"/>
        </w:rPr>
        <w:t>Table 2</w:t>
      </w:r>
      <w:r w:rsidRPr="005E6B7C">
        <w:rPr>
          <w:rFonts w:asciiTheme="majorHAnsi" w:eastAsia="Times New Roman" w:hAnsiTheme="majorHAnsi" w:cstheme="majorHAnsi"/>
          <w:iCs/>
          <w:color w:val="000000" w:themeColor="text1"/>
          <w:sz w:val="22"/>
          <w:szCs w:val="22"/>
          <w:lang w:eastAsia="ja-JP"/>
        </w:rPr>
        <w:t xml:space="preserve"> showed no statistically significant differences in the initial body weight of mice (Day 1) among the experimental groups (</w:t>
      </w:r>
      <w:r w:rsidRPr="005E6B7C">
        <w:rPr>
          <w:rFonts w:asciiTheme="majorHAnsi" w:eastAsia="Times New Roman" w:hAnsiTheme="majorHAnsi" w:cstheme="majorHAnsi"/>
          <w:i/>
          <w:iCs/>
          <w:color w:val="000000" w:themeColor="text1"/>
          <w:sz w:val="22"/>
          <w:szCs w:val="22"/>
          <w:lang w:eastAsia="ja-JP"/>
        </w:rPr>
        <w:t>p</w:t>
      </w:r>
      <w:r w:rsidRPr="005E6B7C">
        <w:rPr>
          <w:rFonts w:asciiTheme="majorHAnsi" w:eastAsia="Times New Roman" w:hAnsiTheme="majorHAnsi" w:cstheme="majorHAnsi"/>
          <w:iCs/>
          <w:color w:val="000000" w:themeColor="text1"/>
          <w:sz w:val="22"/>
          <w:szCs w:val="22"/>
          <w:lang w:eastAsia="ja-JP"/>
        </w:rPr>
        <w:t xml:space="preserve"> &gt; 0.05). After 6 days of treatment, there were also no statistically significant differences in body weight between the constipation model group and the groups treated with </w:t>
      </w:r>
      <w:r w:rsidRPr="005E6B7C">
        <w:rPr>
          <w:rFonts w:asciiTheme="majorHAnsi" w:eastAsia="Times New Roman" w:hAnsiTheme="majorHAnsi" w:cstheme="majorHAnsi"/>
          <w:i/>
          <w:color w:val="000000" w:themeColor="text1"/>
          <w:sz w:val="22"/>
          <w:szCs w:val="22"/>
          <w:lang w:eastAsia="ja-JP"/>
        </w:rPr>
        <w:t>P. nil</w:t>
      </w:r>
      <w:r w:rsidRPr="005E6B7C">
        <w:rPr>
          <w:rFonts w:asciiTheme="majorHAnsi" w:eastAsia="Times New Roman" w:hAnsiTheme="majorHAnsi" w:cstheme="majorHAnsi"/>
          <w:iCs/>
          <w:color w:val="000000" w:themeColor="text1"/>
          <w:sz w:val="22"/>
          <w:szCs w:val="22"/>
          <w:lang w:eastAsia="ja-JP"/>
        </w:rPr>
        <w:t xml:space="preserve"> seed extract at different doses or the reference drug group (</w:t>
      </w:r>
      <w:r w:rsidRPr="005E6B7C">
        <w:rPr>
          <w:rFonts w:asciiTheme="majorHAnsi" w:eastAsia="Times New Roman" w:hAnsiTheme="majorHAnsi" w:cstheme="majorHAnsi"/>
          <w:i/>
          <w:iCs/>
          <w:color w:val="000000" w:themeColor="text1"/>
          <w:sz w:val="22"/>
          <w:szCs w:val="22"/>
          <w:lang w:eastAsia="ja-JP"/>
        </w:rPr>
        <w:t>p</w:t>
      </w:r>
      <w:r w:rsidRPr="005E6B7C">
        <w:rPr>
          <w:rFonts w:asciiTheme="majorHAnsi" w:eastAsia="Times New Roman" w:hAnsiTheme="majorHAnsi" w:cstheme="majorHAnsi"/>
          <w:iCs/>
          <w:color w:val="000000" w:themeColor="text1"/>
          <w:sz w:val="22"/>
          <w:szCs w:val="22"/>
          <w:lang w:eastAsia="ja-JP"/>
        </w:rPr>
        <w:t xml:space="preserve"> &gt; 0.05). Similarly, the changes in body weight during the experimental period did not differ significantly among the groups (</w:t>
      </w:r>
      <w:r w:rsidRPr="005E6B7C">
        <w:rPr>
          <w:rFonts w:asciiTheme="majorHAnsi" w:eastAsia="Times New Roman" w:hAnsiTheme="majorHAnsi" w:cstheme="majorHAnsi"/>
          <w:i/>
          <w:iCs/>
          <w:color w:val="000000" w:themeColor="text1"/>
          <w:sz w:val="22"/>
          <w:szCs w:val="22"/>
          <w:lang w:eastAsia="ja-JP"/>
        </w:rPr>
        <w:t>p</w:t>
      </w:r>
      <w:r w:rsidRPr="005E6B7C">
        <w:rPr>
          <w:rFonts w:asciiTheme="majorHAnsi" w:eastAsia="Times New Roman" w:hAnsiTheme="majorHAnsi" w:cstheme="majorHAnsi"/>
          <w:iCs/>
          <w:color w:val="000000" w:themeColor="text1"/>
          <w:sz w:val="22"/>
          <w:szCs w:val="22"/>
          <w:lang w:eastAsia="ja-JP"/>
        </w:rPr>
        <w:t xml:space="preserve"> &gt; 0.05). However, the 24-hour water intake in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Times New Roman" w:hAnsiTheme="majorHAnsi" w:cstheme="majorHAnsi"/>
          <w:iCs/>
          <w:color w:val="000000" w:themeColor="text1"/>
          <w:sz w:val="22"/>
          <w:szCs w:val="22"/>
          <w:lang w:eastAsia="ja-JP"/>
        </w:rPr>
        <w:t xml:space="preserve"> was significantly higher </w:t>
      </w:r>
      <w:r w:rsidRPr="005E6B7C">
        <w:rPr>
          <w:rFonts w:asciiTheme="majorHAnsi" w:eastAsia="Times New Roman" w:hAnsiTheme="majorHAnsi" w:cstheme="majorHAnsi"/>
          <w:iCs/>
          <w:color w:val="000000" w:themeColor="text1"/>
          <w:sz w:val="22"/>
          <w:szCs w:val="22"/>
          <w:lang w:eastAsia="ja-JP"/>
        </w:rPr>
        <w:t>than that in the control group (</w:t>
      </w:r>
      <w:r w:rsidRPr="005E6B7C">
        <w:rPr>
          <w:rFonts w:asciiTheme="majorHAnsi" w:eastAsia="Times New Roman" w:hAnsiTheme="majorHAnsi" w:cstheme="majorHAnsi"/>
          <w:i/>
          <w:iCs/>
          <w:color w:val="000000" w:themeColor="text1"/>
          <w:sz w:val="22"/>
          <w:szCs w:val="22"/>
          <w:lang w:eastAsia="ja-JP"/>
        </w:rPr>
        <w:t>p</w:t>
      </w:r>
      <w:r w:rsidRPr="005E6B7C">
        <w:rPr>
          <w:rFonts w:asciiTheme="majorHAnsi" w:eastAsia="Times New Roman" w:hAnsiTheme="majorHAnsi" w:cstheme="majorHAnsi"/>
          <w:iCs/>
          <w:color w:val="000000" w:themeColor="text1"/>
          <w:sz w:val="22"/>
          <w:szCs w:val="22"/>
          <w:lang w:eastAsia="ja-JP"/>
        </w:rPr>
        <w:t xml:space="preserve"> &lt; 0.05). In contrast, mice treated with </w:t>
      </w:r>
      <w:r w:rsidRPr="005E6B7C">
        <w:rPr>
          <w:rFonts w:asciiTheme="majorHAnsi" w:eastAsia="Times New Roman" w:hAnsiTheme="majorHAnsi" w:cstheme="majorHAnsi"/>
          <w:i/>
          <w:color w:val="000000" w:themeColor="text1"/>
          <w:sz w:val="22"/>
          <w:szCs w:val="22"/>
          <w:lang w:eastAsia="ja-JP"/>
        </w:rPr>
        <w:t>P. nil</w:t>
      </w:r>
      <w:r w:rsidRPr="005E6B7C">
        <w:rPr>
          <w:rFonts w:asciiTheme="majorHAnsi" w:eastAsia="Times New Roman" w:hAnsiTheme="majorHAnsi" w:cstheme="majorHAnsi"/>
          <w:iCs/>
          <w:color w:val="000000" w:themeColor="text1"/>
          <w:sz w:val="22"/>
          <w:szCs w:val="22"/>
          <w:lang w:eastAsia="ja-JP"/>
        </w:rPr>
        <w:t xml:space="preserve"> seed extract (75, 150, and 300 mg/kg) and the reference drug showed significantly lower water intake c</w:t>
      </w:r>
      <w:r w:rsidRPr="005E6B7C">
        <w:rPr>
          <w:rFonts w:asciiTheme="majorHAnsi" w:eastAsia="Times New Roman" w:hAnsiTheme="majorHAnsi" w:cstheme="majorHAnsi"/>
          <w:iCs/>
          <w:color w:val="000000" w:themeColor="text1"/>
          <w:spacing w:val="-2"/>
          <w:sz w:val="22"/>
          <w:szCs w:val="22"/>
          <w:lang w:eastAsia="ja-JP"/>
        </w:rPr>
        <w:t>ompared with the constipation model group (</w:t>
      </w:r>
      <w:r w:rsidRPr="005E6B7C">
        <w:rPr>
          <w:rFonts w:asciiTheme="majorHAnsi" w:eastAsia="Times New Roman" w:hAnsiTheme="majorHAnsi" w:cstheme="majorHAnsi"/>
          <w:i/>
          <w:iCs/>
          <w:color w:val="000000" w:themeColor="text1"/>
          <w:spacing w:val="-2"/>
          <w:sz w:val="22"/>
          <w:szCs w:val="22"/>
          <w:lang w:eastAsia="ja-JP"/>
        </w:rPr>
        <w:t>p</w:t>
      </w:r>
      <w:r w:rsidRPr="005E6B7C">
        <w:rPr>
          <w:rFonts w:asciiTheme="majorHAnsi" w:eastAsia="Times New Roman" w:hAnsiTheme="majorHAnsi" w:cstheme="majorHAnsi"/>
          <w:iCs/>
          <w:color w:val="000000" w:themeColor="text1"/>
          <w:spacing w:val="-2"/>
          <w:sz w:val="22"/>
          <w:szCs w:val="22"/>
          <w:lang w:eastAsia="ja-JP"/>
        </w:rPr>
        <w:t xml:space="preserve"> &lt; 0.05). Regarding food intake over 12 hrs, no statistically significant differences were observed between the </w:t>
      </w:r>
      <w:r w:rsidRPr="005E6B7C">
        <w:rPr>
          <w:rFonts w:asciiTheme="majorHAnsi" w:eastAsia="Yu Mincho" w:hAnsiTheme="majorHAnsi" w:cstheme="majorHAnsi"/>
          <w:color w:val="000000" w:themeColor="text1"/>
          <w:spacing w:val="-2"/>
          <w:sz w:val="22"/>
          <w:szCs w:val="22"/>
          <w:lang w:eastAsia="ja-JP"/>
        </w:rPr>
        <w:t>constipation model group</w:t>
      </w:r>
      <w:r w:rsidRPr="005E6B7C">
        <w:rPr>
          <w:rFonts w:asciiTheme="majorHAnsi" w:eastAsia="Times New Roman" w:hAnsiTheme="majorHAnsi" w:cstheme="majorHAnsi"/>
          <w:iCs/>
          <w:color w:val="000000" w:themeColor="text1"/>
          <w:spacing w:val="-2"/>
          <w:sz w:val="22"/>
          <w:szCs w:val="22"/>
          <w:lang w:eastAsia="ja-JP"/>
        </w:rPr>
        <w:t xml:space="preserve"> and the groups treated with the extract at doses of 150 and 300 mg/kg or the reference drug (</w:t>
      </w:r>
      <w:r w:rsidRPr="005E6B7C">
        <w:rPr>
          <w:rFonts w:asciiTheme="majorHAnsi" w:eastAsia="Times New Roman" w:hAnsiTheme="majorHAnsi" w:cstheme="majorHAnsi"/>
          <w:i/>
          <w:iCs/>
          <w:color w:val="000000" w:themeColor="text1"/>
          <w:spacing w:val="-2"/>
          <w:sz w:val="22"/>
          <w:szCs w:val="22"/>
          <w:lang w:eastAsia="ja-JP"/>
        </w:rPr>
        <w:t>p</w:t>
      </w:r>
      <w:r w:rsidRPr="005E6B7C">
        <w:rPr>
          <w:rFonts w:asciiTheme="majorHAnsi" w:eastAsia="Times New Roman" w:hAnsiTheme="majorHAnsi" w:cstheme="majorHAnsi"/>
          <w:iCs/>
          <w:color w:val="000000" w:themeColor="text1"/>
          <w:spacing w:val="-2"/>
          <w:sz w:val="22"/>
          <w:szCs w:val="22"/>
          <w:lang w:eastAsia="ja-JP"/>
        </w:rPr>
        <w:t xml:space="preserve"> &gt; 0.05). However, the group treated with 75 mg/kg extract showed significantly lower food intake compared with the constipation model group (</w:t>
      </w:r>
      <w:r w:rsidRPr="005E6B7C">
        <w:rPr>
          <w:rFonts w:asciiTheme="majorHAnsi" w:eastAsia="Times New Roman" w:hAnsiTheme="majorHAnsi" w:cstheme="majorHAnsi"/>
          <w:i/>
          <w:iCs/>
          <w:color w:val="000000" w:themeColor="text1"/>
          <w:spacing w:val="-2"/>
          <w:sz w:val="22"/>
          <w:szCs w:val="22"/>
          <w:lang w:eastAsia="ja-JP"/>
        </w:rPr>
        <w:t>p</w:t>
      </w:r>
      <w:r w:rsidRPr="005E6B7C">
        <w:rPr>
          <w:rFonts w:asciiTheme="majorHAnsi" w:eastAsia="Times New Roman" w:hAnsiTheme="majorHAnsi" w:cstheme="majorHAnsi"/>
          <w:iCs/>
          <w:color w:val="000000" w:themeColor="text1"/>
          <w:spacing w:val="-2"/>
          <w:sz w:val="22"/>
          <w:szCs w:val="22"/>
          <w:lang w:eastAsia="ja-JP"/>
        </w:rPr>
        <w:t xml:space="preserve"> &lt; 0.001).</w:t>
      </w:r>
    </w:p>
    <w:p w14:paraId="5002F584" w14:textId="77777777" w:rsidR="001701EA" w:rsidRPr="005E6B7C" w:rsidRDefault="001701EA" w:rsidP="008C0D47">
      <w:pPr>
        <w:tabs>
          <w:tab w:val="left" w:pos="270"/>
          <w:tab w:val="left" w:pos="9270"/>
        </w:tabs>
        <w:spacing w:line="240" w:lineRule="exact"/>
        <w:ind w:firstLine="284"/>
        <w:jc w:val="both"/>
        <w:rPr>
          <w:rFonts w:asciiTheme="majorHAnsi" w:eastAsia="Times New Roman" w:hAnsiTheme="majorHAnsi" w:cstheme="majorHAnsi"/>
          <w:iCs/>
          <w:color w:val="000000" w:themeColor="text1"/>
          <w:sz w:val="22"/>
          <w:szCs w:val="22"/>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1C9196CE" w14:textId="77777777" w:rsidR="00E049CB" w:rsidRPr="005E6B7C" w:rsidRDefault="00E049CB" w:rsidP="008C0D47">
      <w:pPr>
        <w:tabs>
          <w:tab w:val="left" w:pos="270"/>
          <w:tab w:val="left" w:pos="9270"/>
        </w:tabs>
        <w:spacing w:before="120" w:after="120" w:line="240" w:lineRule="exact"/>
        <w:jc w:val="center"/>
        <w:rPr>
          <w:rFonts w:asciiTheme="majorHAnsi" w:eastAsia="MS Mincho" w:hAnsiTheme="majorHAnsi" w:cstheme="majorHAnsi"/>
          <w:bCs/>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 xml:space="preserve">Table 3. </w:t>
      </w:r>
      <w:r w:rsidRPr="005E6B7C">
        <w:rPr>
          <w:rFonts w:asciiTheme="majorHAnsi" w:eastAsia="MS Mincho" w:hAnsiTheme="majorHAnsi" w:cstheme="majorHAnsi"/>
          <w:bCs/>
          <w:color w:val="000000" w:themeColor="text1"/>
          <w:sz w:val="18"/>
          <w:szCs w:val="18"/>
          <w:lang w:eastAsia="ja-JP"/>
        </w:rPr>
        <w:t xml:space="preserve">Effects of </w:t>
      </w:r>
      <w:r w:rsidRPr="005E6B7C">
        <w:rPr>
          <w:rFonts w:asciiTheme="majorHAnsi" w:eastAsia="MS Mincho" w:hAnsiTheme="majorHAnsi" w:cstheme="majorHAnsi"/>
          <w:bCs/>
          <w:i/>
          <w:iCs/>
          <w:color w:val="000000" w:themeColor="text1"/>
          <w:sz w:val="18"/>
          <w:szCs w:val="18"/>
          <w:lang w:eastAsia="ja-JP"/>
        </w:rPr>
        <w:t>P. nil</w:t>
      </w:r>
      <w:r w:rsidRPr="005E6B7C">
        <w:rPr>
          <w:rFonts w:asciiTheme="majorHAnsi" w:eastAsia="MS Mincho" w:hAnsiTheme="majorHAnsi" w:cstheme="majorHAnsi"/>
          <w:bCs/>
          <w:color w:val="000000" w:themeColor="text1"/>
          <w:sz w:val="18"/>
          <w:szCs w:val="18"/>
          <w:lang w:eastAsia="ja-JP"/>
        </w:rPr>
        <w:t xml:space="preserve"> seed extract on fecal parameters</w:t>
      </w:r>
    </w:p>
    <w:tbl>
      <w:tblPr>
        <w:tblStyle w:val="TableGrid14"/>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43"/>
        <w:gridCol w:w="1690"/>
        <w:gridCol w:w="1717"/>
        <w:gridCol w:w="1679"/>
        <w:gridCol w:w="1576"/>
        <w:gridCol w:w="1367"/>
      </w:tblGrid>
      <w:tr w:rsidR="00E049CB" w:rsidRPr="005E6B7C" w14:paraId="21D3195D" w14:textId="77777777" w:rsidTr="00044996">
        <w:trPr>
          <w:jc w:val="center"/>
        </w:trPr>
        <w:tc>
          <w:tcPr>
            <w:tcW w:w="1111" w:type="dxa"/>
            <w:vAlign w:val="center"/>
          </w:tcPr>
          <w:p w14:paraId="18532C1D"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Group</w:t>
            </w:r>
          </w:p>
        </w:tc>
        <w:tc>
          <w:tcPr>
            <w:tcW w:w="1814" w:type="dxa"/>
            <w:vAlign w:val="center"/>
          </w:tcPr>
          <w:p w14:paraId="49D00EC1"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Wet fecal weight (12h, g)</w:t>
            </w:r>
          </w:p>
        </w:tc>
        <w:tc>
          <w:tcPr>
            <w:tcW w:w="1843" w:type="dxa"/>
            <w:vAlign w:val="center"/>
          </w:tcPr>
          <w:p w14:paraId="4DD2E11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Dry fecal weight (12h, g)</w:t>
            </w:r>
          </w:p>
        </w:tc>
        <w:tc>
          <w:tcPr>
            <w:tcW w:w="1802" w:type="dxa"/>
            <w:vAlign w:val="center"/>
          </w:tcPr>
          <w:p w14:paraId="2E13486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Fecal water content (%)</w:t>
            </w:r>
          </w:p>
        </w:tc>
        <w:tc>
          <w:tcPr>
            <w:tcW w:w="1690" w:type="dxa"/>
            <w:vAlign w:val="center"/>
          </w:tcPr>
          <w:p w14:paraId="34CCEDE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Fecal pellets numbers (12h)</w:t>
            </w:r>
          </w:p>
        </w:tc>
        <w:tc>
          <w:tcPr>
            <w:tcW w:w="1463" w:type="dxa"/>
            <w:vAlign w:val="center"/>
          </w:tcPr>
          <w:p w14:paraId="34CFC55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Fecal morphology score (12h)</w:t>
            </w:r>
          </w:p>
        </w:tc>
      </w:tr>
      <w:tr w:rsidR="00E049CB" w:rsidRPr="005E6B7C" w14:paraId="6A34F4B5" w14:textId="77777777" w:rsidTr="00044996">
        <w:trPr>
          <w:jc w:val="center"/>
        </w:trPr>
        <w:tc>
          <w:tcPr>
            <w:tcW w:w="1111" w:type="dxa"/>
            <w:vAlign w:val="center"/>
            <w:hideMark/>
          </w:tcPr>
          <w:p w14:paraId="3A80CE71"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Control</w:t>
            </w:r>
          </w:p>
        </w:tc>
        <w:tc>
          <w:tcPr>
            <w:tcW w:w="1814" w:type="dxa"/>
            <w:vAlign w:val="center"/>
            <w:hideMark/>
          </w:tcPr>
          <w:p w14:paraId="7A7C8DB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1.35 ± 0.87</w:t>
            </w:r>
            <w:r w:rsidRPr="005E6B7C">
              <w:rPr>
                <w:rFonts w:asciiTheme="majorHAnsi" w:eastAsia="Yu Mincho" w:hAnsiTheme="majorHAnsi" w:cstheme="majorHAnsi"/>
                <w:color w:val="000000" w:themeColor="text1"/>
                <w:sz w:val="18"/>
                <w:szCs w:val="18"/>
                <w:vertAlign w:val="superscript"/>
                <w:lang w:eastAsia="ja-JP"/>
              </w:rPr>
              <w:t>ns</w:t>
            </w:r>
          </w:p>
        </w:tc>
        <w:tc>
          <w:tcPr>
            <w:tcW w:w="1843" w:type="dxa"/>
            <w:vAlign w:val="center"/>
            <w:hideMark/>
          </w:tcPr>
          <w:p w14:paraId="1756201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0.66 ± 0.43</w:t>
            </w:r>
            <w:r w:rsidRPr="005E6B7C">
              <w:rPr>
                <w:rFonts w:asciiTheme="majorHAnsi" w:eastAsia="Yu Mincho" w:hAnsiTheme="majorHAnsi" w:cstheme="majorHAnsi"/>
                <w:color w:val="000000" w:themeColor="text1"/>
                <w:sz w:val="18"/>
                <w:szCs w:val="18"/>
                <w:vertAlign w:val="superscript"/>
                <w:lang w:eastAsia="ja-JP"/>
              </w:rPr>
              <w:t>ns</w:t>
            </w:r>
          </w:p>
        </w:tc>
        <w:tc>
          <w:tcPr>
            <w:tcW w:w="1802" w:type="dxa"/>
            <w:vAlign w:val="center"/>
            <w:hideMark/>
          </w:tcPr>
          <w:p w14:paraId="5E1AE90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50.71 ± 6.43</w:t>
            </w:r>
            <w:r w:rsidRPr="005E6B7C">
              <w:rPr>
                <w:rFonts w:asciiTheme="majorHAnsi" w:eastAsia="Yu Mincho" w:hAnsiTheme="majorHAnsi" w:cstheme="majorHAnsi"/>
                <w:color w:val="000000" w:themeColor="text1"/>
                <w:sz w:val="18"/>
                <w:szCs w:val="18"/>
                <w:vertAlign w:val="superscript"/>
                <w:lang w:eastAsia="ja-JP"/>
              </w:rPr>
              <w:t>*</w:t>
            </w:r>
          </w:p>
        </w:tc>
        <w:tc>
          <w:tcPr>
            <w:tcW w:w="1690" w:type="dxa"/>
            <w:vAlign w:val="center"/>
            <w:hideMark/>
          </w:tcPr>
          <w:p w14:paraId="4969977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47.25 ± 7.05</w:t>
            </w:r>
            <w:r w:rsidRPr="005E6B7C">
              <w:rPr>
                <w:rFonts w:asciiTheme="majorHAnsi" w:eastAsia="Yu Mincho" w:hAnsiTheme="majorHAnsi" w:cstheme="majorHAnsi"/>
                <w:color w:val="000000" w:themeColor="text1"/>
                <w:sz w:val="18"/>
                <w:szCs w:val="18"/>
                <w:vertAlign w:val="superscript"/>
                <w:lang w:eastAsia="ja-JP"/>
              </w:rPr>
              <w:t>*</w:t>
            </w:r>
          </w:p>
        </w:tc>
        <w:tc>
          <w:tcPr>
            <w:tcW w:w="1463" w:type="dxa"/>
            <w:vAlign w:val="center"/>
            <w:hideMark/>
          </w:tcPr>
          <w:p w14:paraId="72E5853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 (1; 1)</w:t>
            </w:r>
            <w:r w:rsidRPr="005E6B7C">
              <w:rPr>
                <w:rFonts w:asciiTheme="majorHAnsi" w:eastAsia="Yu Mincho" w:hAnsiTheme="majorHAnsi" w:cstheme="majorHAnsi"/>
                <w:color w:val="000000" w:themeColor="text1"/>
                <w:sz w:val="18"/>
                <w:szCs w:val="18"/>
                <w:vertAlign w:val="superscript"/>
                <w:lang w:eastAsia="ja-JP"/>
              </w:rPr>
              <w:t>ns</w:t>
            </w:r>
          </w:p>
        </w:tc>
      </w:tr>
      <w:tr w:rsidR="00E049CB" w:rsidRPr="005E6B7C" w14:paraId="2FD2DCBF" w14:textId="77777777" w:rsidTr="00044996">
        <w:trPr>
          <w:jc w:val="center"/>
        </w:trPr>
        <w:tc>
          <w:tcPr>
            <w:tcW w:w="1111" w:type="dxa"/>
            <w:vAlign w:val="center"/>
            <w:hideMark/>
          </w:tcPr>
          <w:p w14:paraId="0C9CC0AA"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Lope</w:t>
            </w:r>
          </w:p>
        </w:tc>
        <w:tc>
          <w:tcPr>
            <w:tcW w:w="1814" w:type="dxa"/>
            <w:vAlign w:val="center"/>
            <w:hideMark/>
          </w:tcPr>
          <w:p w14:paraId="7497E55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1.14 ± 0.71</w:t>
            </w:r>
          </w:p>
        </w:tc>
        <w:tc>
          <w:tcPr>
            <w:tcW w:w="1843" w:type="dxa"/>
            <w:vAlign w:val="center"/>
            <w:hideMark/>
          </w:tcPr>
          <w:p w14:paraId="0247160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0.66 ± 0.39</w:t>
            </w:r>
          </w:p>
        </w:tc>
        <w:tc>
          <w:tcPr>
            <w:tcW w:w="1802" w:type="dxa"/>
            <w:vAlign w:val="center"/>
            <w:hideMark/>
          </w:tcPr>
          <w:p w14:paraId="7C25AE8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40.81 ± 4.89</w:t>
            </w:r>
          </w:p>
        </w:tc>
        <w:tc>
          <w:tcPr>
            <w:tcW w:w="1690" w:type="dxa"/>
            <w:vAlign w:val="center"/>
            <w:hideMark/>
          </w:tcPr>
          <w:p w14:paraId="4CA5B85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35.25 ± 6.36</w:t>
            </w:r>
          </w:p>
        </w:tc>
        <w:tc>
          <w:tcPr>
            <w:tcW w:w="1463" w:type="dxa"/>
            <w:vAlign w:val="center"/>
            <w:hideMark/>
          </w:tcPr>
          <w:p w14:paraId="0C9E4BE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0.5 (0; 1)</w:t>
            </w:r>
          </w:p>
        </w:tc>
      </w:tr>
      <w:tr w:rsidR="00E049CB" w:rsidRPr="005E6B7C" w14:paraId="6AFC9146" w14:textId="77777777" w:rsidTr="00044996">
        <w:trPr>
          <w:jc w:val="center"/>
        </w:trPr>
        <w:tc>
          <w:tcPr>
            <w:tcW w:w="1111" w:type="dxa"/>
            <w:vAlign w:val="center"/>
            <w:hideMark/>
          </w:tcPr>
          <w:p w14:paraId="476B6094"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Bisa</w:t>
            </w:r>
          </w:p>
        </w:tc>
        <w:tc>
          <w:tcPr>
            <w:tcW w:w="1814" w:type="dxa"/>
            <w:vAlign w:val="center"/>
            <w:hideMark/>
          </w:tcPr>
          <w:p w14:paraId="7D64FBC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0.77 ± 0.57</w:t>
            </w:r>
            <w:r w:rsidRPr="005E6B7C">
              <w:rPr>
                <w:rFonts w:asciiTheme="majorHAnsi" w:eastAsia="Yu Mincho" w:hAnsiTheme="majorHAnsi" w:cstheme="majorHAnsi"/>
                <w:color w:val="000000" w:themeColor="text1"/>
                <w:sz w:val="18"/>
                <w:szCs w:val="18"/>
                <w:vertAlign w:val="superscript"/>
                <w:lang w:eastAsia="ja-JP"/>
              </w:rPr>
              <w:t>ns</w:t>
            </w:r>
          </w:p>
        </w:tc>
        <w:tc>
          <w:tcPr>
            <w:tcW w:w="1843" w:type="dxa"/>
            <w:vAlign w:val="center"/>
            <w:hideMark/>
          </w:tcPr>
          <w:p w14:paraId="261B343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0.36 ± 0.28</w:t>
            </w:r>
            <w:r w:rsidRPr="005E6B7C">
              <w:rPr>
                <w:rFonts w:asciiTheme="majorHAnsi" w:eastAsia="Yu Mincho" w:hAnsiTheme="majorHAnsi" w:cstheme="majorHAnsi"/>
                <w:color w:val="000000" w:themeColor="text1"/>
                <w:sz w:val="18"/>
                <w:szCs w:val="18"/>
                <w:vertAlign w:val="superscript"/>
                <w:lang w:eastAsia="ja-JP"/>
              </w:rPr>
              <w:t>ns</w:t>
            </w:r>
          </w:p>
        </w:tc>
        <w:tc>
          <w:tcPr>
            <w:tcW w:w="1802" w:type="dxa"/>
            <w:vAlign w:val="center"/>
            <w:hideMark/>
          </w:tcPr>
          <w:p w14:paraId="7CAE193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53.81 ± 5.31</w:t>
            </w:r>
            <w:r w:rsidRPr="005E6B7C">
              <w:rPr>
                <w:rFonts w:asciiTheme="majorHAnsi" w:eastAsia="Yu Mincho" w:hAnsiTheme="majorHAnsi" w:cstheme="majorHAnsi"/>
                <w:color w:val="000000" w:themeColor="text1"/>
                <w:sz w:val="18"/>
                <w:szCs w:val="18"/>
                <w:vertAlign w:val="superscript"/>
                <w:lang w:eastAsia="ja-JP"/>
              </w:rPr>
              <w:t>**</w:t>
            </w:r>
          </w:p>
        </w:tc>
        <w:tc>
          <w:tcPr>
            <w:tcW w:w="1690" w:type="dxa"/>
            <w:vAlign w:val="center"/>
            <w:hideMark/>
          </w:tcPr>
          <w:p w14:paraId="3E0B000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32.88 ± 8.36</w:t>
            </w:r>
            <w:r w:rsidRPr="005E6B7C">
              <w:rPr>
                <w:rFonts w:asciiTheme="majorHAnsi" w:eastAsia="Yu Mincho" w:hAnsiTheme="majorHAnsi" w:cstheme="majorHAnsi"/>
                <w:color w:val="000000" w:themeColor="text1"/>
                <w:sz w:val="18"/>
                <w:szCs w:val="18"/>
                <w:vertAlign w:val="superscript"/>
                <w:lang w:eastAsia="ja-JP"/>
              </w:rPr>
              <w:t>ns</w:t>
            </w:r>
          </w:p>
        </w:tc>
        <w:tc>
          <w:tcPr>
            <w:tcW w:w="1463" w:type="dxa"/>
            <w:vAlign w:val="center"/>
            <w:hideMark/>
          </w:tcPr>
          <w:p w14:paraId="470D798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 (0; 1)</w:t>
            </w:r>
            <w:r w:rsidRPr="005E6B7C">
              <w:rPr>
                <w:rFonts w:asciiTheme="majorHAnsi" w:eastAsia="Yu Mincho" w:hAnsiTheme="majorHAnsi" w:cstheme="majorHAnsi"/>
                <w:color w:val="000000" w:themeColor="text1"/>
                <w:sz w:val="18"/>
                <w:szCs w:val="18"/>
                <w:vertAlign w:val="superscript"/>
                <w:lang w:eastAsia="ja-JP"/>
              </w:rPr>
              <w:t>ns</w:t>
            </w:r>
          </w:p>
        </w:tc>
      </w:tr>
      <w:tr w:rsidR="00E049CB" w:rsidRPr="005E6B7C" w14:paraId="2D594D24" w14:textId="77777777" w:rsidTr="00044996">
        <w:trPr>
          <w:jc w:val="center"/>
        </w:trPr>
        <w:tc>
          <w:tcPr>
            <w:tcW w:w="1111" w:type="dxa"/>
            <w:vAlign w:val="center"/>
            <w:hideMark/>
          </w:tcPr>
          <w:p w14:paraId="765E2B14"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BB75</w:t>
            </w:r>
          </w:p>
        </w:tc>
        <w:tc>
          <w:tcPr>
            <w:tcW w:w="1814" w:type="dxa"/>
            <w:vAlign w:val="center"/>
            <w:hideMark/>
          </w:tcPr>
          <w:p w14:paraId="15A799D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0.44 ± 0.30</w:t>
            </w:r>
            <w:r w:rsidRPr="005E6B7C">
              <w:rPr>
                <w:rFonts w:asciiTheme="majorHAnsi" w:eastAsia="Yu Mincho" w:hAnsiTheme="majorHAnsi" w:cstheme="majorHAnsi"/>
                <w:color w:val="000000" w:themeColor="text1"/>
                <w:sz w:val="18"/>
                <w:szCs w:val="18"/>
                <w:vertAlign w:val="superscript"/>
                <w:lang w:eastAsia="ja-JP"/>
              </w:rPr>
              <w:t>ns</w:t>
            </w:r>
          </w:p>
        </w:tc>
        <w:tc>
          <w:tcPr>
            <w:tcW w:w="1843" w:type="dxa"/>
            <w:vAlign w:val="center"/>
            <w:hideMark/>
          </w:tcPr>
          <w:p w14:paraId="59C4FB5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0.23 ± 0.16</w:t>
            </w:r>
            <w:r w:rsidRPr="005E6B7C">
              <w:rPr>
                <w:rFonts w:asciiTheme="majorHAnsi" w:eastAsia="Yu Mincho" w:hAnsiTheme="majorHAnsi" w:cstheme="majorHAnsi"/>
                <w:color w:val="000000" w:themeColor="text1"/>
                <w:sz w:val="18"/>
                <w:szCs w:val="18"/>
                <w:vertAlign w:val="superscript"/>
                <w:lang w:eastAsia="ja-JP"/>
              </w:rPr>
              <w:t>ns</w:t>
            </w:r>
          </w:p>
        </w:tc>
        <w:tc>
          <w:tcPr>
            <w:tcW w:w="1802" w:type="dxa"/>
            <w:vAlign w:val="center"/>
            <w:hideMark/>
          </w:tcPr>
          <w:p w14:paraId="74EBCBB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45.19 ± 7.57</w:t>
            </w:r>
            <w:r w:rsidRPr="005E6B7C">
              <w:rPr>
                <w:rFonts w:asciiTheme="majorHAnsi" w:eastAsia="Yu Mincho" w:hAnsiTheme="majorHAnsi" w:cstheme="majorHAnsi"/>
                <w:color w:val="000000" w:themeColor="text1"/>
                <w:sz w:val="18"/>
                <w:szCs w:val="18"/>
                <w:vertAlign w:val="superscript"/>
                <w:lang w:eastAsia="ja-JP"/>
              </w:rPr>
              <w:t>ns</w:t>
            </w:r>
          </w:p>
        </w:tc>
        <w:tc>
          <w:tcPr>
            <w:tcW w:w="1690" w:type="dxa"/>
            <w:vAlign w:val="center"/>
            <w:hideMark/>
          </w:tcPr>
          <w:p w14:paraId="14F4114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22.38 ± 5.42</w:t>
            </w:r>
            <w:r w:rsidRPr="005E6B7C">
              <w:rPr>
                <w:rFonts w:asciiTheme="majorHAnsi" w:eastAsia="Yu Mincho" w:hAnsiTheme="majorHAnsi" w:cstheme="majorHAnsi"/>
                <w:color w:val="000000" w:themeColor="text1"/>
                <w:sz w:val="18"/>
                <w:szCs w:val="18"/>
                <w:vertAlign w:val="superscript"/>
                <w:lang w:eastAsia="ja-JP"/>
              </w:rPr>
              <w:t>*</w:t>
            </w:r>
          </w:p>
        </w:tc>
        <w:tc>
          <w:tcPr>
            <w:tcW w:w="1463" w:type="dxa"/>
            <w:vAlign w:val="center"/>
            <w:hideMark/>
          </w:tcPr>
          <w:p w14:paraId="72471E1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 (0; 1)</w:t>
            </w:r>
            <w:r w:rsidRPr="005E6B7C">
              <w:rPr>
                <w:rFonts w:asciiTheme="majorHAnsi" w:eastAsia="Yu Mincho" w:hAnsiTheme="majorHAnsi" w:cstheme="majorHAnsi"/>
                <w:color w:val="000000" w:themeColor="text1"/>
                <w:sz w:val="18"/>
                <w:szCs w:val="18"/>
                <w:vertAlign w:val="superscript"/>
                <w:lang w:eastAsia="ja-JP"/>
              </w:rPr>
              <w:t>ns</w:t>
            </w:r>
          </w:p>
        </w:tc>
      </w:tr>
      <w:tr w:rsidR="00E049CB" w:rsidRPr="005E6B7C" w14:paraId="22CD47E4" w14:textId="77777777" w:rsidTr="00044996">
        <w:trPr>
          <w:jc w:val="center"/>
        </w:trPr>
        <w:tc>
          <w:tcPr>
            <w:tcW w:w="1111" w:type="dxa"/>
            <w:vAlign w:val="center"/>
            <w:hideMark/>
          </w:tcPr>
          <w:p w14:paraId="55F12555"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BB150</w:t>
            </w:r>
          </w:p>
        </w:tc>
        <w:tc>
          <w:tcPr>
            <w:tcW w:w="1814" w:type="dxa"/>
            <w:vAlign w:val="center"/>
            <w:hideMark/>
          </w:tcPr>
          <w:p w14:paraId="1F32241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1.10 ± 0.76</w:t>
            </w:r>
            <w:r w:rsidRPr="005E6B7C">
              <w:rPr>
                <w:rFonts w:asciiTheme="majorHAnsi" w:eastAsia="Yu Mincho" w:hAnsiTheme="majorHAnsi" w:cstheme="majorHAnsi"/>
                <w:color w:val="000000" w:themeColor="text1"/>
                <w:sz w:val="18"/>
                <w:szCs w:val="18"/>
                <w:vertAlign w:val="superscript"/>
                <w:lang w:eastAsia="ja-JP"/>
              </w:rPr>
              <w:t>ns</w:t>
            </w:r>
          </w:p>
        </w:tc>
        <w:tc>
          <w:tcPr>
            <w:tcW w:w="1843" w:type="dxa"/>
            <w:vAlign w:val="center"/>
            <w:hideMark/>
          </w:tcPr>
          <w:p w14:paraId="61A05E8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0.45 ± 0.31</w:t>
            </w:r>
            <w:r w:rsidRPr="005E6B7C">
              <w:rPr>
                <w:rFonts w:asciiTheme="majorHAnsi" w:eastAsia="Yu Mincho" w:hAnsiTheme="majorHAnsi" w:cstheme="majorHAnsi"/>
                <w:color w:val="000000" w:themeColor="text1"/>
                <w:sz w:val="18"/>
                <w:szCs w:val="18"/>
                <w:vertAlign w:val="superscript"/>
                <w:lang w:eastAsia="ja-JP"/>
              </w:rPr>
              <w:t>ns</w:t>
            </w:r>
          </w:p>
        </w:tc>
        <w:tc>
          <w:tcPr>
            <w:tcW w:w="1802" w:type="dxa"/>
            <w:vAlign w:val="center"/>
            <w:hideMark/>
          </w:tcPr>
          <w:p w14:paraId="605638E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58.05 ± 8.16</w:t>
            </w:r>
            <w:r w:rsidRPr="005E6B7C">
              <w:rPr>
                <w:rFonts w:asciiTheme="majorHAnsi" w:eastAsia="Yu Mincho" w:hAnsiTheme="majorHAnsi" w:cstheme="majorHAnsi"/>
                <w:color w:val="000000" w:themeColor="text1"/>
                <w:sz w:val="18"/>
                <w:szCs w:val="18"/>
                <w:vertAlign w:val="superscript"/>
                <w:lang w:eastAsia="ja-JP"/>
              </w:rPr>
              <w:t>****</w:t>
            </w:r>
          </w:p>
        </w:tc>
        <w:tc>
          <w:tcPr>
            <w:tcW w:w="1690" w:type="dxa"/>
            <w:vAlign w:val="center"/>
            <w:hideMark/>
          </w:tcPr>
          <w:p w14:paraId="66D1DF0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30.88 ± 9.31</w:t>
            </w:r>
            <w:r w:rsidRPr="005E6B7C">
              <w:rPr>
                <w:rFonts w:asciiTheme="majorHAnsi" w:eastAsia="Yu Mincho" w:hAnsiTheme="majorHAnsi" w:cstheme="majorHAnsi"/>
                <w:color w:val="000000" w:themeColor="text1"/>
                <w:sz w:val="18"/>
                <w:szCs w:val="18"/>
                <w:vertAlign w:val="superscript"/>
                <w:lang w:eastAsia="ja-JP"/>
              </w:rPr>
              <w:t>ns</w:t>
            </w:r>
          </w:p>
        </w:tc>
        <w:tc>
          <w:tcPr>
            <w:tcW w:w="1463" w:type="dxa"/>
            <w:vAlign w:val="center"/>
            <w:hideMark/>
          </w:tcPr>
          <w:p w14:paraId="1C667CC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 (0; 1)</w:t>
            </w:r>
            <w:r w:rsidRPr="005E6B7C">
              <w:rPr>
                <w:rFonts w:asciiTheme="majorHAnsi" w:eastAsia="Yu Mincho" w:hAnsiTheme="majorHAnsi" w:cstheme="majorHAnsi"/>
                <w:color w:val="000000" w:themeColor="text1"/>
                <w:sz w:val="18"/>
                <w:szCs w:val="18"/>
                <w:vertAlign w:val="superscript"/>
                <w:lang w:eastAsia="ja-JP"/>
              </w:rPr>
              <w:t>ns</w:t>
            </w:r>
          </w:p>
        </w:tc>
      </w:tr>
      <w:tr w:rsidR="00E049CB" w:rsidRPr="005E6B7C" w14:paraId="79E8E762" w14:textId="77777777" w:rsidTr="00044996">
        <w:trPr>
          <w:jc w:val="center"/>
        </w:trPr>
        <w:tc>
          <w:tcPr>
            <w:tcW w:w="1111" w:type="dxa"/>
            <w:vAlign w:val="center"/>
            <w:hideMark/>
          </w:tcPr>
          <w:p w14:paraId="384BC3C1"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BB300</w:t>
            </w:r>
          </w:p>
        </w:tc>
        <w:tc>
          <w:tcPr>
            <w:tcW w:w="1814" w:type="dxa"/>
            <w:vAlign w:val="center"/>
            <w:hideMark/>
          </w:tcPr>
          <w:p w14:paraId="4DA1995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1.04 ± 0.85</w:t>
            </w:r>
            <w:r w:rsidRPr="005E6B7C">
              <w:rPr>
                <w:rFonts w:asciiTheme="majorHAnsi" w:eastAsia="Yu Mincho" w:hAnsiTheme="majorHAnsi" w:cstheme="majorHAnsi"/>
                <w:color w:val="000000" w:themeColor="text1"/>
                <w:sz w:val="18"/>
                <w:szCs w:val="18"/>
                <w:vertAlign w:val="superscript"/>
                <w:lang w:eastAsia="ja-JP"/>
              </w:rPr>
              <w:t>ns</w:t>
            </w:r>
          </w:p>
        </w:tc>
        <w:tc>
          <w:tcPr>
            <w:tcW w:w="1843" w:type="dxa"/>
            <w:vAlign w:val="center"/>
            <w:hideMark/>
          </w:tcPr>
          <w:p w14:paraId="4B85148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0.49 ± 0.41</w:t>
            </w:r>
            <w:r w:rsidRPr="005E6B7C">
              <w:rPr>
                <w:rFonts w:asciiTheme="majorHAnsi" w:eastAsia="Yu Mincho" w:hAnsiTheme="majorHAnsi" w:cstheme="majorHAnsi"/>
                <w:color w:val="000000" w:themeColor="text1"/>
                <w:sz w:val="18"/>
                <w:szCs w:val="18"/>
                <w:vertAlign w:val="superscript"/>
                <w:lang w:eastAsia="ja-JP"/>
              </w:rPr>
              <w:t>ns</w:t>
            </w:r>
          </w:p>
        </w:tc>
        <w:tc>
          <w:tcPr>
            <w:tcW w:w="1802" w:type="dxa"/>
            <w:vAlign w:val="center"/>
            <w:hideMark/>
          </w:tcPr>
          <w:p w14:paraId="4B7111B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52.62 ± 6.41</w:t>
            </w:r>
            <w:r w:rsidRPr="005E6B7C">
              <w:rPr>
                <w:rFonts w:asciiTheme="majorHAnsi" w:eastAsia="Yu Mincho" w:hAnsiTheme="majorHAnsi" w:cstheme="majorHAnsi"/>
                <w:color w:val="000000" w:themeColor="text1"/>
                <w:sz w:val="18"/>
                <w:szCs w:val="18"/>
                <w:vertAlign w:val="superscript"/>
                <w:lang w:eastAsia="ja-JP"/>
              </w:rPr>
              <w:t>*</w:t>
            </w:r>
          </w:p>
        </w:tc>
        <w:tc>
          <w:tcPr>
            <w:tcW w:w="1690" w:type="dxa"/>
            <w:vAlign w:val="center"/>
            <w:hideMark/>
          </w:tcPr>
          <w:p w14:paraId="4BC0E2A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40.50 ± 9.67</w:t>
            </w:r>
            <w:r w:rsidRPr="005E6B7C">
              <w:rPr>
                <w:rFonts w:asciiTheme="majorHAnsi" w:eastAsia="Yu Mincho" w:hAnsiTheme="majorHAnsi" w:cstheme="majorHAnsi"/>
                <w:color w:val="000000" w:themeColor="text1"/>
                <w:sz w:val="18"/>
                <w:szCs w:val="18"/>
                <w:vertAlign w:val="superscript"/>
                <w:lang w:eastAsia="ja-JP"/>
              </w:rPr>
              <w:t>ns</w:t>
            </w:r>
          </w:p>
        </w:tc>
        <w:tc>
          <w:tcPr>
            <w:tcW w:w="1463" w:type="dxa"/>
            <w:vAlign w:val="center"/>
            <w:hideMark/>
          </w:tcPr>
          <w:p w14:paraId="41C33C3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 (1; 1.75)</w:t>
            </w:r>
            <w:r w:rsidRPr="005E6B7C">
              <w:rPr>
                <w:rFonts w:asciiTheme="majorHAnsi" w:eastAsia="Yu Mincho" w:hAnsiTheme="majorHAnsi" w:cstheme="majorHAnsi"/>
                <w:color w:val="000000" w:themeColor="text1"/>
                <w:sz w:val="18"/>
                <w:szCs w:val="18"/>
                <w:vertAlign w:val="superscript"/>
                <w:lang w:eastAsia="ja-JP"/>
              </w:rPr>
              <w:t>ns</w:t>
            </w:r>
          </w:p>
        </w:tc>
      </w:tr>
    </w:tbl>
    <w:p w14:paraId="770194A8" w14:textId="77777777" w:rsidR="00E049CB" w:rsidRPr="005E6B7C" w:rsidRDefault="00E049CB" w:rsidP="008C0D47">
      <w:pPr>
        <w:tabs>
          <w:tab w:val="left" w:pos="270"/>
          <w:tab w:val="left" w:pos="9270"/>
        </w:tabs>
        <w:spacing w:before="120"/>
        <w:ind w:firstLine="284"/>
        <w:jc w:val="both"/>
        <w:rPr>
          <w:rFonts w:asciiTheme="majorHAnsi" w:eastAsia="MS Mincho" w:hAnsiTheme="majorHAnsi" w:cstheme="majorHAnsi"/>
          <w:i/>
          <w:color w:val="000000" w:themeColor="text1"/>
          <w:sz w:val="18"/>
          <w:szCs w:val="18"/>
          <w:lang w:eastAsia="ja-JP"/>
        </w:rPr>
      </w:pPr>
      <w:r w:rsidRPr="005E6B7C">
        <w:rPr>
          <w:rFonts w:asciiTheme="majorHAnsi" w:eastAsia="MS Mincho" w:hAnsiTheme="majorHAnsi" w:cstheme="majorHAnsi"/>
          <w:i/>
          <w:color w:val="000000" w:themeColor="text1"/>
          <w:sz w:val="18"/>
          <w:szCs w:val="18"/>
          <w:lang w:eastAsia="ja-JP"/>
        </w:rPr>
        <w:t>Statistical symbols indicate comparisons with the constipation model group (Lope) using Tukey’s test, while the Dunn’s test was used for fecal morphology score.</w:t>
      </w:r>
    </w:p>
    <w:p w14:paraId="12B0ED31" w14:textId="77777777" w:rsidR="0047080C" w:rsidRPr="005E6B7C" w:rsidRDefault="0047080C" w:rsidP="008C0D47">
      <w:pPr>
        <w:tabs>
          <w:tab w:val="left" w:pos="270"/>
          <w:tab w:val="left" w:pos="9270"/>
        </w:tabs>
        <w:ind w:right="-20"/>
        <w:jc w:val="both"/>
        <w:rPr>
          <w:rFonts w:asciiTheme="majorHAnsi" w:eastAsia="MS Mincho" w:hAnsiTheme="majorHAnsi" w:cstheme="majorHAnsi"/>
          <w:iCs/>
          <w:color w:val="000000" w:themeColor="text1"/>
          <w:sz w:val="22"/>
          <w:szCs w:val="22"/>
          <w:lang w:eastAsia="ja-JP"/>
        </w:rPr>
      </w:pPr>
    </w:p>
    <w:p w14:paraId="28882387" w14:textId="77777777" w:rsidR="001701EA" w:rsidRPr="005E6B7C" w:rsidRDefault="001701EA" w:rsidP="008C0D47">
      <w:pPr>
        <w:tabs>
          <w:tab w:val="left" w:pos="270"/>
          <w:tab w:val="left" w:pos="9270"/>
        </w:tabs>
        <w:spacing w:line="240" w:lineRule="exact"/>
        <w:ind w:firstLine="284"/>
        <w:jc w:val="both"/>
        <w:rPr>
          <w:rFonts w:asciiTheme="majorHAnsi" w:eastAsia="MS Mincho" w:hAnsiTheme="majorHAnsi" w:cstheme="majorHAnsi"/>
          <w:iCs/>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09C7CAC3" w14:textId="77777777" w:rsidR="001701EA" w:rsidRPr="005E6B7C" w:rsidRDefault="00E049CB" w:rsidP="008C0D47">
      <w:pPr>
        <w:tabs>
          <w:tab w:val="left" w:pos="270"/>
          <w:tab w:val="left" w:pos="9270"/>
        </w:tabs>
        <w:spacing w:line="240" w:lineRule="exact"/>
        <w:ind w:firstLine="284"/>
        <w:jc w:val="both"/>
        <w:rPr>
          <w:rFonts w:asciiTheme="majorHAnsi" w:eastAsia="MS Mincho" w:hAnsiTheme="majorHAnsi" w:cstheme="majorHAnsi"/>
          <w:iCs/>
          <w:color w:val="000000" w:themeColor="text1"/>
          <w:sz w:val="22"/>
          <w:szCs w:val="22"/>
          <w:lang w:eastAsia="ja-JP"/>
        </w:rPr>
      </w:pPr>
      <w:r w:rsidRPr="005E6B7C">
        <w:rPr>
          <w:rFonts w:asciiTheme="majorHAnsi" w:eastAsia="MS Mincho" w:hAnsiTheme="majorHAnsi" w:cstheme="majorHAnsi"/>
          <w:iCs/>
          <w:color w:val="000000" w:themeColor="text1"/>
          <w:sz w:val="22"/>
          <w:szCs w:val="22"/>
          <w:lang w:eastAsia="ja-JP"/>
        </w:rPr>
        <w:t xml:space="preserve">The results in </w:t>
      </w:r>
      <w:r w:rsidRPr="005E6B7C">
        <w:rPr>
          <w:rFonts w:asciiTheme="majorHAnsi" w:eastAsia="MS Mincho" w:hAnsiTheme="majorHAnsi" w:cstheme="majorHAnsi"/>
          <w:b/>
          <w:bCs/>
          <w:iCs/>
          <w:color w:val="000000" w:themeColor="text1"/>
          <w:sz w:val="22"/>
          <w:szCs w:val="22"/>
          <w:lang w:eastAsia="ja-JP"/>
        </w:rPr>
        <w:t>Table 3</w:t>
      </w:r>
      <w:r w:rsidRPr="005E6B7C">
        <w:rPr>
          <w:rFonts w:asciiTheme="majorHAnsi" w:eastAsia="MS Mincho" w:hAnsiTheme="majorHAnsi" w:cstheme="majorHAnsi"/>
          <w:iCs/>
          <w:color w:val="000000" w:themeColor="text1"/>
          <w:sz w:val="22"/>
          <w:szCs w:val="22"/>
          <w:lang w:eastAsia="ja-JP"/>
        </w:rPr>
        <w:t xml:space="preserve"> showed that there were no statistically significant differences in wet or dry fecal weight after 12 hrs between the control group </w:t>
      </w:r>
      <w:r w:rsidRPr="005E6B7C">
        <w:rPr>
          <w:rFonts w:asciiTheme="majorHAnsi" w:eastAsia="MS Mincho" w:hAnsiTheme="majorHAnsi" w:cstheme="majorHAnsi"/>
          <w:iCs/>
          <w:color w:val="000000" w:themeColor="text1"/>
          <w:sz w:val="22"/>
          <w:szCs w:val="22"/>
          <w:lang w:eastAsia="ja-JP"/>
        </w:rPr>
        <w:t xml:space="preserve">and the constipation model group, as well as between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and the groups treated with </w:t>
      </w:r>
      <w:r w:rsidRPr="005E6B7C">
        <w:rPr>
          <w:rFonts w:asciiTheme="majorHAnsi" w:eastAsia="MS Mincho" w:hAnsiTheme="majorHAnsi" w:cstheme="majorHAnsi"/>
          <w:i/>
          <w:color w:val="000000" w:themeColor="text1"/>
          <w:sz w:val="22"/>
          <w:szCs w:val="22"/>
          <w:lang w:eastAsia="ja-JP"/>
        </w:rPr>
        <w:t>P. nil</w:t>
      </w:r>
      <w:r w:rsidRPr="005E6B7C">
        <w:rPr>
          <w:rFonts w:asciiTheme="majorHAnsi" w:eastAsia="MS Mincho" w:hAnsiTheme="majorHAnsi" w:cstheme="majorHAnsi"/>
          <w:iCs/>
          <w:color w:val="000000" w:themeColor="text1"/>
          <w:sz w:val="22"/>
          <w:szCs w:val="22"/>
          <w:lang w:eastAsia="ja-JP"/>
        </w:rPr>
        <w:t xml:space="preserve"> seed extract at different </w:t>
      </w:r>
      <w:r w:rsidRPr="005E6B7C">
        <w:rPr>
          <w:rFonts w:asciiTheme="majorHAnsi" w:eastAsia="MS Mincho" w:hAnsiTheme="majorHAnsi" w:cstheme="majorHAnsi"/>
          <w:iCs/>
          <w:color w:val="000000" w:themeColor="text1"/>
          <w:sz w:val="22"/>
          <w:szCs w:val="22"/>
          <w:lang w:eastAsia="ja-JP"/>
        </w:rPr>
        <w:lastRenderedPageBreak/>
        <w:t>doses or the reference drug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The fecal water content in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was significantly lower than that in the control group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In contrast, the groups treated with the extract at doses of 150 and 300 mg/kg, as well as the bisacodyl group, showed significantly higher fecal water content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 xml:space="preserve">&lt; 0.05), while the 75 mg/kg extract group showed no significant difference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The extract at doses of 150 and 300 mg/kg increased fecal water content by approximately 12 </w:t>
      </w:r>
      <w:r w:rsidRPr="005E6B7C">
        <w:rPr>
          <w:rFonts w:asciiTheme="majorHAnsi" w:eastAsia="MS Mincho" w:hAnsiTheme="majorHAnsi" w:cstheme="majorHAnsi"/>
          <w:iCs/>
          <w:color w:val="000000" w:themeColor="text1"/>
          <w:sz w:val="22"/>
          <w:szCs w:val="22"/>
          <w:lang w:eastAsia="ja-JP"/>
        </w:rPr>
        <w:sym w:font="Symbol" w:char="F02D"/>
      </w:r>
      <w:r w:rsidRPr="005E6B7C">
        <w:rPr>
          <w:rFonts w:asciiTheme="majorHAnsi" w:eastAsia="MS Mincho" w:hAnsiTheme="majorHAnsi" w:cstheme="majorHAnsi"/>
          <w:iCs/>
          <w:color w:val="000000" w:themeColor="text1"/>
          <w:sz w:val="22"/>
          <w:szCs w:val="22"/>
          <w:lang w:eastAsia="ja-JP"/>
        </w:rPr>
        <w:t xml:space="preserve"> 18%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showing an effect comparable to that of bisacodyl (1 mg/kg). The total number of fecal pellets within 12 hrs in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was significantly lower </w:t>
      </w:r>
      <w:r w:rsidRPr="005E6B7C">
        <w:rPr>
          <w:rFonts w:asciiTheme="majorHAnsi" w:eastAsia="MS Mincho" w:hAnsiTheme="majorHAnsi" w:cstheme="majorHAnsi"/>
          <w:iCs/>
          <w:color w:val="000000" w:themeColor="text1"/>
          <w:sz w:val="22"/>
          <w:szCs w:val="22"/>
          <w:lang w:eastAsia="ja-JP"/>
        </w:rPr>
        <w:t>than that in the control group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No statistically significant differences were observed between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and the groups treated with 150 and 300 mg/kg extract or the reference drug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However, the BB75 group showed a significantly lower number of fecal pellets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w:t>
      </w:r>
      <w:r w:rsidRPr="005E6B7C">
        <w:rPr>
          <w:rFonts w:asciiTheme="majorHAnsi" w:eastAsia="MS Mincho" w:hAnsiTheme="majorHAnsi" w:cstheme="majorHAnsi"/>
          <w:b/>
          <w:bCs/>
          <w:iCs/>
          <w:color w:val="000000" w:themeColor="text1"/>
          <w:sz w:val="22"/>
          <w:szCs w:val="22"/>
          <w:lang w:eastAsia="ja-JP"/>
        </w:rPr>
        <w:t>Fig. 1</w:t>
      </w:r>
      <w:r w:rsidRPr="005E6B7C">
        <w:rPr>
          <w:rFonts w:asciiTheme="majorHAnsi" w:eastAsia="MS Mincho" w:hAnsiTheme="majorHAnsi" w:cstheme="majorHAnsi"/>
          <w:iCs/>
          <w:color w:val="000000" w:themeColor="text1"/>
          <w:sz w:val="22"/>
          <w:szCs w:val="22"/>
          <w:lang w:eastAsia="ja-JP"/>
        </w:rPr>
        <w:t xml:space="preserve">). The fecal morphology score after 12 hrs showed no statistically significant differences between the control group and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nor between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and the treated groups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although a trend toward higher scores was observed in the normal control and treatment groups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w:t>
      </w:r>
    </w:p>
    <w:p w14:paraId="50BA50B6" w14:textId="77777777" w:rsidR="001701EA" w:rsidRPr="005E6B7C" w:rsidRDefault="001701EA" w:rsidP="008C0D47">
      <w:pPr>
        <w:tabs>
          <w:tab w:val="left" w:pos="270"/>
          <w:tab w:val="left" w:pos="9270"/>
        </w:tabs>
        <w:spacing w:line="240" w:lineRule="exact"/>
        <w:ind w:firstLine="284"/>
        <w:jc w:val="both"/>
        <w:rPr>
          <w:rFonts w:asciiTheme="majorHAnsi" w:eastAsia="MS Mincho" w:hAnsiTheme="majorHAnsi" w:cstheme="majorHAnsi"/>
          <w:iCs/>
          <w:color w:val="000000" w:themeColor="text1"/>
          <w:sz w:val="22"/>
          <w:szCs w:val="22"/>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16B746F6" w14:textId="77777777" w:rsidR="0047080C" w:rsidRPr="005E6B7C" w:rsidRDefault="0047080C" w:rsidP="008C0D47">
      <w:pPr>
        <w:tabs>
          <w:tab w:val="left" w:pos="270"/>
          <w:tab w:val="left" w:pos="9270"/>
        </w:tabs>
        <w:ind w:right="-20"/>
        <w:jc w:val="both"/>
        <w:rPr>
          <w:rFonts w:asciiTheme="majorHAnsi" w:eastAsia="MS Mincho" w:hAnsiTheme="majorHAnsi" w:cstheme="majorHAnsi"/>
          <w:iCs/>
          <w:color w:val="000000" w:themeColor="text1"/>
          <w:sz w:val="22"/>
          <w:szCs w:val="22"/>
          <w:lang w:eastAsia="ja-JP"/>
        </w:rPr>
      </w:pPr>
    </w:p>
    <w:p w14:paraId="102A13FA" w14:textId="77777777" w:rsidR="00044996" w:rsidRPr="005E6B7C" w:rsidRDefault="00044996" w:rsidP="008C0D47">
      <w:pPr>
        <w:tabs>
          <w:tab w:val="left" w:pos="270"/>
          <w:tab w:val="left" w:pos="9270"/>
        </w:tabs>
        <w:ind w:right="-20"/>
        <w:jc w:val="center"/>
        <w:rPr>
          <w:rFonts w:asciiTheme="majorHAnsi" w:eastAsia="MS Mincho" w:hAnsiTheme="majorHAnsi" w:cstheme="majorHAnsi"/>
          <w:iCs/>
          <w:color w:val="000000" w:themeColor="text1"/>
          <w:sz w:val="22"/>
          <w:szCs w:val="22"/>
          <w:lang w:eastAsia="ja-JP"/>
        </w:rPr>
      </w:pPr>
      <w:r w:rsidRPr="005E6B7C">
        <w:rPr>
          <w:rFonts w:asciiTheme="majorHAnsi" w:eastAsia="MS Mincho" w:hAnsiTheme="majorHAnsi" w:cstheme="majorHAnsi"/>
          <w:iCs/>
          <w:noProof/>
          <w:color w:val="000000" w:themeColor="text1"/>
          <w:sz w:val="22"/>
          <w:szCs w:val="22"/>
        </w:rPr>
        <w:drawing>
          <wp:inline distT="0" distB="0" distL="0" distR="0" wp14:anchorId="7A7CED0B" wp14:editId="259EAA25">
            <wp:extent cx="4544705" cy="2458521"/>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545912" cy="2459174"/>
                    </a:xfrm>
                    <a:prstGeom prst="rect">
                      <a:avLst/>
                    </a:prstGeom>
                  </pic:spPr>
                </pic:pic>
              </a:graphicData>
            </a:graphic>
          </wp:inline>
        </w:drawing>
      </w:r>
    </w:p>
    <w:p w14:paraId="394D11AC" w14:textId="77777777" w:rsidR="00044996" w:rsidRPr="005E6B7C" w:rsidRDefault="00044996" w:rsidP="008C0D47">
      <w:pPr>
        <w:tabs>
          <w:tab w:val="left" w:pos="270"/>
          <w:tab w:val="left" w:pos="9270"/>
        </w:tabs>
        <w:ind w:right="-20"/>
        <w:jc w:val="center"/>
        <w:rPr>
          <w:rFonts w:asciiTheme="majorHAnsi" w:eastAsia="Yu Mincho" w:hAnsiTheme="majorHAnsi" w:cstheme="majorHAnsi"/>
          <w:b/>
          <w:bCs/>
          <w:color w:val="000000" w:themeColor="text1"/>
          <w:sz w:val="18"/>
          <w:szCs w:val="18"/>
          <w:lang w:eastAsia="ja-JP"/>
        </w:rPr>
      </w:pPr>
    </w:p>
    <w:p w14:paraId="5CABC1A2" w14:textId="77777777" w:rsidR="00E049CB" w:rsidRPr="005E6B7C" w:rsidRDefault="00E049CB" w:rsidP="008C0D47">
      <w:pPr>
        <w:tabs>
          <w:tab w:val="left" w:pos="270"/>
          <w:tab w:val="left" w:pos="9270"/>
        </w:tabs>
        <w:ind w:right="-20"/>
        <w:jc w:val="center"/>
        <w:rPr>
          <w:rFonts w:asciiTheme="majorHAnsi" w:eastAsia="MS Mincho" w:hAnsiTheme="majorHAnsi" w:cstheme="majorHAns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1</w:t>
      </w:r>
      <w:r w:rsidRPr="005E6B7C">
        <w:rPr>
          <w:rFonts w:asciiTheme="majorHAnsi" w:eastAsia="Yu Mincho" w:hAnsiTheme="majorHAnsi" w:cstheme="majorHAnsi"/>
          <w:color w:val="000000" w:themeColor="text1"/>
          <w:sz w:val="18"/>
          <w:szCs w:val="18"/>
          <w:lang w:eastAsia="ja-JP"/>
        </w:rPr>
        <w:t>. Number of fecal pellets in mice after 12 hours</w:t>
      </w:r>
    </w:p>
    <w:p w14:paraId="44304F00" w14:textId="77777777" w:rsidR="00044996" w:rsidRPr="005E6B7C" w:rsidRDefault="00044996" w:rsidP="008C0D47">
      <w:pPr>
        <w:tabs>
          <w:tab w:val="left" w:pos="270"/>
          <w:tab w:val="left" w:pos="9270"/>
        </w:tabs>
        <w:ind w:right="-20"/>
        <w:jc w:val="both"/>
        <w:rPr>
          <w:rFonts w:asciiTheme="majorHAnsi" w:eastAsia="Yu Mincho" w:hAnsiTheme="majorHAnsi" w:cstheme="majorHAnsi"/>
          <w:bCs/>
          <w:i/>
          <w:iCs/>
          <w:color w:val="000000" w:themeColor="text1"/>
          <w:sz w:val="18"/>
          <w:szCs w:val="18"/>
          <w:lang w:eastAsia="ja-JP"/>
        </w:rPr>
      </w:pPr>
    </w:p>
    <w:p w14:paraId="0C53831A" w14:textId="77777777" w:rsidR="00E049CB" w:rsidRPr="005E6B7C" w:rsidRDefault="00E049CB" w:rsidP="008C0D47">
      <w:pPr>
        <w:tabs>
          <w:tab w:val="left" w:pos="270"/>
          <w:tab w:val="left" w:pos="9270"/>
        </w:tabs>
        <w:ind w:right="-20" w:firstLine="284"/>
        <w:jc w:val="both"/>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lang w:eastAsia="ja-JP"/>
        </w:rPr>
        <w:t xml:space="preserve">3.3. Effects of </w:t>
      </w:r>
      <w:r w:rsidRPr="005E6B7C">
        <w:rPr>
          <w:rFonts w:asciiTheme="majorHAnsi" w:eastAsia="Yu Mincho" w:hAnsiTheme="majorHAnsi" w:cstheme="majorHAnsi"/>
          <w:bCs/>
          <w:i/>
          <w:color w:val="000000" w:themeColor="text1"/>
          <w:sz w:val="22"/>
          <w:szCs w:val="22"/>
          <w:lang w:eastAsia="ja-JP"/>
        </w:rPr>
        <w:t>P. nil</w:t>
      </w:r>
      <w:r w:rsidRPr="005E6B7C">
        <w:rPr>
          <w:rFonts w:asciiTheme="majorHAnsi" w:eastAsia="Yu Mincho" w:hAnsiTheme="majorHAnsi" w:cstheme="majorHAnsi"/>
          <w:bCs/>
          <w:i/>
          <w:iCs/>
          <w:color w:val="000000" w:themeColor="text1"/>
          <w:sz w:val="22"/>
          <w:szCs w:val="22"/>
          <w:lang w:eastAsia="ja-JP"/>
        </w:rPr>
        <w:t xml:space="preserve"> seed extract on gastrointestinal motility in loperamide-induced constipated mice</w:t>
      </w:r>
    </w:p>
    <w:p w14:paraId="7AD93696" w14:textId="77777777" w:rsidR="00E049CB" w:rsidRPr="005E6B7C" w:rsidRDefault="00E049CB" w:rsidP="008C0D47">
      <w:pPr>
        <w:tabs>
          <w:tab w:val="left" w:pos="270"/>
          <w:tab w:val="left" w:pos="9270"/>
        </w:tabs>
        <w:spacing w:after="1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 xml:space="preserve">Table 4. </w:t>
      </w:r>
      <w:r w:rsidRPr="005E6B7C">
        <w:rPr>
          <w:rFonts w:asciiTheme="majorHAnsi" w:eastAsia="MS Mincho" w:hAnsiTheme="majorHAnsi" w:cstheme="majorHAnsi"/>
          <w:bCs/>
          <w:color w:val="000000" w:themeColor="text1"/>
          <w:sz w:val="18"/>
          <w:szCs w:val="18"/>
          <w:lang w:eastAsia="ja-JP"/>
        </w:rPr>
        <w:t xml:space="preserve">Effects of </w:t>
      </w:r>
      <w:r w:rsidRPr="005E6B7C">
        <w:rPr>
          <w:rFonts w:asciiTheme="majorHAnsi" w:eastAsia="MS Mincho" w:hAnsiTheme="majorHAnsi" w:cstheme="majorHAnsi"/>
          <w:bCs/>
          <w:i/>
          <w:iCs/>
          <w:color w:val="000000" w:themeColor="text1"/>
          <w:sz w:val="18"/>
          <w:szCs w:val="18"/>
          <w:lang w:eastAsia="ja-JP"/>
        </w:rPr>
        <w:t>P. nil</w:t>
      </w:r>
      <w:r w:rsidRPr="005E6B7C">
        <w:rPr>
          <w:rFonts w:asciiTheme="majorHAnsi" w:eastAsia="MS Mincho" w:hAnsiTheme="majorHAnsi" w:cstheme="majorHAnsi"/>
          <w:bCs/>
          <w:color w:val="000000" w:themeColor="text1"/>
          <w:sz w:val="18"/>
          <w:szCs w:val="18"/>
          <w:lang w:eastAsia="ja-JP"/>
        </w:rPr>
        <w:t xml:space="preserve"> seed extract on gastrointestinal motility</w:t>
      </w:r>
    </w:p>
    <w:tbl>
      <w:tblPr>
        <w:tblStyle w:val="TableGrid21"/>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971"/>
        <w:gridCol w:w="1389"/>
        <w:gridCol w:w="1498"/>
        <w:gridCol w:w="1693"/>
        <w:gridCol w:w="1693"/>
        <w:gridCol w:w="1828"/>
      </w:tblGrid>
      <w:tr w:rsidR="00E049CB" w:rsidRPr="005E6B7C" w14:paraId="1D052833" w14:textId="77777777" w:rsidTr="0047080C">
        <w:trPr>
          <w:jc w:val="center"/>
        </w:trPr>
        <w:tc>
          <w:tcPr>
            <w:tcW w:w="1016" w:type="dxa"/>
            <w:vAlign w:val="center"/>
          </w:tcPr>
          <w:p w14:paraId="7A1016E5"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Group</w:t>
            </w:r>
          </w:p>
        </w:tc>
        <w:tc>
          <w:tcPr>
            <w:tcW w:w="1456" w:type="dxa"/>
            <w:vAlign w:val="center"/>
          </w:tcPr>
          <w:p w14:paraId="564B398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Small intestine length (cm)</w:t>
            </w:r>
          </w:p>
        </w:tc>
        <w:tc>
          <w:tcPr>
            <w:tcW w:w="1571" w:type="dxa"/>
            <w:vAlign w:val="center"/>
          </w:tcPr>
          <w:p w14:paraId="1EEA4D3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Charcoal transit distance (cm)</w:t>
            </w:r>
          </w:p>
        </w:tc>
        <w:tc>
          <w:tcPr>
            <w:tcW w:w="1776" w:type="dxa"/>
            <w:vAlign w:val="center"/>
          </w:tcPr>
          <w:p w14:paraId="1DA08BF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Charcoal transit ratio (%)</w:t>
            </w:r>
          </w:p>
        </w:tc>
        <w:tc>
          <w:tcPr>
            <w:tcW w:w="1776" w:type="dxa"/>
            <w:vAlign w:val="center"/>
          </w:tcPr>
          <w:p w14:paraId="33269F4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Number of fecal pellets remaining in colon</w:t>
            </w:r>
          </w:p>
        </w:tc>
        <w:tc>
          <w:tcPr>
            <w:tcW w:w="1917" w:type="dxa"/>
            <w:vAlign w:val="center"/>
          </w:tcPr>
          <w:p w14:paraId="6BB86B9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Amount of feces remaining in colon (mg)</w:t>
            </w:r>
          </w:p>
        </w:tc>
      </w:tr>
      <w:tr w:rsidR="00E049CB" w:rsidRPr="005E6B7C" w14:paraId="01424F89" w14:textId="77777777" w:rsidTr="0047080C">
        <w:trPr>
          <w:jc w:val="center"/>
        </w:trPr>
        <w:tc>
          <w:tcPr>
            <w:tcW w:w="1016" w:type="dxa"/>
            <w:vAlign w:val="center"/>
            <w:hideMark/>
          </w:tcPr>
          <w:p w14:paraId="69E3EEFD"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Control</w:t>
            </w:r>
          </w:p>
        </w:tc>
        <w:tc>
          <w:tcPr>
            <w:tcW w:w="1456" w:type="dxa"/>
            <w:vAlign w:val="center"/>
            <w:hideMark/>
          </w:tcPr>
          <w:p w14:paraId="68543E2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45.31 ± 7.26</w:t>
            </w:r>
          </w:p>
        </w:tc>
        <w:tc>
          <w:tcPr>
            <w:tcW w:w="1571" w:type="dxa"/>
            <w:vAlign w:val="center"/>
            <w:hideMark/>
          </w:tcPr>
          <w:p w14:paraId="02E1E4C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29.88 ± 5.98</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2F130C2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65.86 ± 6.47</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08C6D85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3.75 ± 0.89</w:t>
            </w:r>
            <w:r w:rsidRPr="005E6B7C">
              <w:rPr>
                <w:rFonts w:asciiTheme="majorHAnsi" w:eastAsia="Yu Mincho" w:hAnsiTheme="majorHAnsi" w:cstheme="majorHAnsi"/>
                <w:color w:val="000000" w:themeColor="text1"/>
                <w:sz w:val="18"/>
                <w:szCs w:val="18"/>
                <w:vertAlign w:val="superscript"/>
                <w:lang w:eastAsia="ja-JP"/>
              </w:rPr>
              <w:t>*</w:t>
            </w:r>
          </w:p>
        </w:tc>
        <w:tc>
          <w:tcPr>
            <w:tcW w:w="1917" w:type="dxa"/>
            <w:vAlign w:val="center"/>
            <w:hideMark/>
          </w:tcPr>
          <w:p w14:paraId="4F656E3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73.66 ± 13.28</w:t>
            </w:r>
            <w:r w:rsidRPr="005E6B7C">
              <w:rPr>
                <w:rFonts w:asciiTheme="majorHAnsi" w:eastAsia="Yu Mincho" w:hAnsiTheme="majorHAnsi" w:cstheme="majorHAnsi"/>
                <w:color w:val="000000" w:themeColor="text1"/>
                <w:sz w:val="18"/>
                <w:szCs w:val="18"/>
                <w:vertAlign w:val="superscript"/>
                <w:lang w:eastAsia="ja-JP"/>
              </w:rPr>
              <w:t>*</w:t>
            </w:r>
          </w:p>
        </w:tc>
      </w:tr>
      <w:tr w:rsidR="00E049CB" w:rsidRPr="005E6B7C" w14:paraId="6AB9A48A" w14:textId="77777777" w:rsidTr="0047080C">
        <w:trPr>
          <w:jc w:val="center"/>
        </w:trPr>
        <w:tc>
          <w:tcPr>
            <w:tcW w:w="1016" w:type="dxa"/>
            <w:vAlign w:val="center"/>
            <w:hideMark/>
          </w:tcPr>
          <w:p w14:paraId="67F1F18A"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Lope</w:t>
            </w:r>
          </w:p>
        </w:tc>
        <w:tc>
          <w:tcPr>
            <w:tcW w:w="1456" w:type="dxa"/>
            <w:vAlign w:val="center"/>
            <w:hideMark/>
          </w:tcPr>
          <w:p w14:paraId="47CC32D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49.63 ± 5.07</w:t>
            </w:r>
          </w:p>
        </w:tc>
        <w:tc>
          <w:tcPr>
            <w:tcW w:w="1571" w:type="dxa"/>
            <w:vAlign w:val="center"/>
            <w:hideMark/>
          </w:tcPr>
          <w:p w14:paraId="7FC85DF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14.81 ± 4.60</w:t>
            </w:r>
          </w:p>
        </w:tc>
        <w:tc>
          <w:tcPr>
            <w:tcW w:w="1776" w:type="dxa"/>
            <w:vAlign w:val="center"/>
            <w:hideMark/>
          </w:tcPr>
          <w:p w14:paraId="44CAAFF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29.37 ± 6.38</w:t>
            </w:r>
          </w:p>
        </w:tc>
        <w:tc>
          <w:tcPr>
            <w:tcW w:w="1776" w:type="dxa"/>
            <w:vAlign w:val="center"/>
            <w:hideMark/>
          </w:tcPr>
          <w:p w14:paraId="2ECD76B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5.13 ± 0.83</w:t>
            </w:r>
          </w:p>
        </w:tc>
        <w:tc>
          <w:tcPr>
            <w:tcW w:w="1917" w:type="dxa"/>
            <w:vAlign w:val="center"/>
            <w:hideMark/>
          </w:tcPr>
          <w:p w14:paraId="1B50181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100.83 ± 13.57</w:t>
            </w:r>
          </w:p>
        </w:tc>
      </w:tr>
      <w:tr w:rsidR="00E049CB" w:rsidRPr="005E6B7C" w14:paraId="4C135251" w14:textId="77777777" w:rsidTr="0047080C">
        <w:trPr>
          <w:jc w:val="center"/>
        </w:trPr>
        <w:tc>
          <w:tcPr>
            <w:tcW w:w="1016" w:type="dxa"/>
            <w:vAlign w:val="center"/>
            <w:hideMark/>
          </w:tcPr>
          <w:p w14:paraId="6EEA2F13"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Bisa</w:t>
            </w:r>
          </w:p>
        </w:tc>
        <w:tc>
          <w:tcPr>
            <w:tcW w:w="1456" w:type="dxa"/>
            <w:vAlign w:val="center"/>
            <w:hideMark/>
          </w:tcPr>
          <w:p w14:paraId="291CF02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49.81 ± 6.41</w:t>
            </w:r>
          </w:p>
        </w:tc>
        <w:tc>
          <w:tcPr>
            <w:tcW w:w="1571" w:type="dxa"/>
            <w:vAlign w:val="center"/>
            <w:hideMark/>
          </w:tcPr>
          <w:p w14:paraId="5635D29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21.13 ± 5.22</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69DC130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42.55 ± 10.17</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3AD344F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3.75 ± 0.71</w:t>
            </w:r>
            <w:r w:rsidRPr="005E6B7C">
              <w:rPr>
                <w:rFonts w:asciiTheme="majorHAnsi" w:eastAsia="Yu Mincho" w:hAnsiTheme="majorHAnsi" w:cstheme="majorHAnsi"/>
                <w:color w:val="000000" w:themeColor="text1"/>
                <w:sz w:val="18"/>
                <w:szCs w:val="18"/>
                <w:vertAlign w:val="superscript"/>
                <w:lang w:eastAsia="ja-JP"/>
              </w:rPr>
              <w:t>*</w:t>
            </w:r>
          </w:p>
        </w:tc>
        <w:tc>
          <w:tcPr>
            <w:tcW w:w="1917" w:type="dxa"/>
            <w:vAlign w:val="center"/>
            <w:hideMark/>
          </w:tcPr>
          <w:p w14:paraId="5609ABD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69.78 ± 21.67</w:t>
            </w:r>
            <w:r w:rsidRPr="005E6B7C">
              <w:rPr>
                <w:rFonts w:asciiTheme="majorHAnsi" w:eastAsia="Yu Mincho" w:hAnsiTheme="majorHAnsi" w:cstheme="majorHAnsi"/>
                <w:color w:val="000000" w:themeColor="text1"/>
                <w:sz w:val="18"/>
                <w:szCs w:val="18"/>
                <w:vertAlign w:val="superscript"/>
                <w:lang w:eastAsia="ja-JP"/>
              </w:rPr>
              <w:t>**</w:t>
            </w:r>
          </w:p>
        </w:tc>
      </w:tr>
      <w:tr w:rsidR="00E049CB" w:rsidRPr="005E6B7C" w14:paraId="3C49FE2C" w14:textId="77777777" w:rsidTr="0047080C">
        <w:trPr>
          <w:jc w:val="center"/>
        </w:trPr>
        <w:tc>
          <w:tcPr>
            <w:tcW w:w="1016" w:type="dxa"/>
            <w:vAlign w:val="center"/>
            <w:hideMark/>
          </w:tcPr>
          <w:p w14:paraId="1C49D222"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BB75</w:t>
            </w:r>
          </w:p>
        </w:tc>
        <w:tc>
          <w:tcPr>
            <w:tcW w:w="1456" w:type="dxa"/>
            <w:vAlign w:val="center"/>
            <w:hideMark/>
          </w:tcPr>
          <w:p w14:paraId="570F1A9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49.81 ± 4.88</w:t>
            </w:r>
          </w:p>
        </w:tc>
        <w:tc>
          <w:tcPr>
            <w:tcW w:w="1571" w:type="dxa"/>
            <w:vAlign w:val="center"/>
            <w:hideMark/>
          </w:tcPr>
          <w:p w14:paraId="797D2F6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14.75 ± 3.75</w:t>
            </w:r>
            <w:r w:rsidRPr="005E6B7C">
              <w:rPr>
                <w:rFonts w:asciiTheme="majorHAnsi" w:eastAsia="Yu Mincho" w:hAnsiTheme="majorHAnsi" w:cstheme="majorHAnsi"/>
                <w:color w:val="000000" w:themeColor="text1"/>
                <w:sz w:val="18"/>
                <w:szCs w:val="18"/>
                <w:vertAlign w:val="superscript"/>
                <w:lang w:eastAsia="ja-JP"/>
              </w:rPr>
              <w:t>ns</w:t>
            </w:r>
          </w:p>
        </w:tc>
        <w:tc>
          <w:tcPr>
            <w:tcW w:w="1776" w:type="dxa"/>
            <w:vAlign w:val="center"/>
            <w:hideMark/>
          </w:tcPr>
          <w:p w14:paraId="5290AD5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29.74 ± 7.22</w:t>
            </w:r>
            <w:r w:rsidRPr="005E6B7C">
              <w:rPr>
                <w:rFonts w:asciiTheme="majorHAnsi" w:eastAsia="Yu Mincho" w:hAnsiTheme="majorHAnsi" w:cstheme="majorHAnsi"/>
                <w:color w:val="000000" w:themeColor="text1"/>
                <w:sz w:val="18"/>
                <w:szCs w:val="18"/>
                <w:vertAlign w:val="superscript"/>
                <w:lang w:eastAsia="ja-JP"/>
              </w:rPr>
              <w:t>ns</w:t>
            </w:r>
          </w:p>
        </w:tc>
        <w:tc>
          <w:tcPr>
            <w:tcW w:w="1776" w:type="dxa"/>
            <w:vAlign w:val="center"/>
            <w:hideMark/>
          </w:tcPr>
          <w:p w14:paraId="135655C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3.63 ± 0.52</w:t>
            </w:r>
            <w:r w:rsidRPr="005E6B7C">
              <w:rPr>
                <w:rFonts w:asciiTheme="majorHAnsi" w:eastAsia="Yu Mincho" w:hAnsiTheme="majorHAnsi" w:cstheme="majorHAnsi"/>
                <w:color w:val="000000" w:themeColor="text1"/>
                <w:sz w:val="18"/>
                <w:szCs w:val="18"/>
                <w:vertAlign w:val="superscript"/>
                <w:lang w:eastAsia="ja-JP"/>
              </w:rPr>
              <w:t>**</w:t>
            </w:r>
          </w:p>
        </w:tc>
        <w:tc>
          <w:tcPr>
            <w:tcW w:w="1917" w:type="dxa"/>
            <w:vAlign w:val="center"/>
            <w:hideMark/>
          </w:tcPr>
          <w:p w14:paraId="7226244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53.35 ± 14.83</w:t>
            </w:r>
            <w:r w:rsidRPr="005E6B7C">
              <w:rPr>
                <w:rFonts w:asciiTheme="majorHAnsi" w:eastAsia="Yu Mincho" w:hAnsiTheme="majorHAnsi" w:cstheme="majorHAnsi"/>
                <w:color w:val="000000" w:themeColor="text1"/>
                <w:sz w:val="18"/>
                <w:szCs w:val="18"/>
                <w:vertAlign w:val="superscript"/>
                <w:lang w:eastAsia="ja-JP"/>
              </w:rPr>
              <w:t>****</w:t>
            </w:r>
          </w:p>
        </w:tc>
      </w:tr>
      <w:tr w:rsidR="00E049CB" w:rsidRPr="005E6B7C" w14:paraId="6E6107B3" w14:textId="77777777" w:rsidTr="0047080C">
        <w:trPr>
          <w:jc w:val="center"/>
        </w:trPr>
        <w:tc>
          <w:tcPr>
            <w:tcW w:w="1016" w:type="dxa"/>
            <w:vAlign w:val="center"/>
            <w:hideMark/>
          </w:tcPr>
          <w:p w14:paraId="7DA8C41C"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BB150</w:t>
            </w:r>
          </w:p>
        </w:tc>
        <w:tc>
          <w:tcPr>
            <w:tcW w:w="1456" w:type="dxa"/>
            <w:vAlign w:val="center"/>
            <w:hideMark/>
          </w:tcPr>
          <w:p w14:paraId="4E78561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45.06 ± 3.95</w:t>
            </w:r>
          </w:p>
        </w:tc>
        <w:tc>
          <w:tcPr>
            <w:tcW w:w="1571" w:type="dxa"/>
            <w:vAlign w:val="center"/>
            <w:hideMark/>
          </w:tcPr>
          <w:p w14:paraId="798C7EC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16.25 ± 3.37</w:t>
            </w:r>
            <w:r w:rsidRPr="005E6B7C">
              <w:rPr>
                <w:rFonts w:asciiTheme="majorHAnsi" w:eastAsia="Yu Mincho" w:hAnsiTheme="majorHAnsi" w:cstheme="majorHAnsi"/>
                <w:color w:val="000000" w:themeColor="text1"/>
                <w:sz w:val="18"/>
                <w:szCs w:val="18"/>
                <w:vertAlign w:val="superscript"/>
                <w:lang w:eastAsia="ja-JP"/>
              </w:rPr>
              <w:t>ns</w:t>
            </w:r>
          </w:p>
        </w:tc>
        <w:tc>
          <w:tcPr>
            <w:tcW w:w="1776" w:type="dxa"/>
            <w:vAlign w:val="center"/>
            <w:hideMark/>
          </w:tcPr>
          <w:p w14:paraId="1DE7CBB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36.10 ± 7.06</w:t>
            </w:r>
            <w:r w:rsidRPr="005E6B7C">
              <w:rPr>
                <w:rFonts w:asciiTheme="majorHAnsi" w:eastAsia="Yu Mincho" w:hAnsiTheme="majorHAnsi" w:cstheme="majorHAnsi"/>
                <w:color w:val="000000" w:themeColor="text1"/>
                <w:sz w:val="18"/>
                <w:szCs w:val="18"/>
                <w:vertAlign w:val="superscript"/>
                <w:lang w:eastAsia="ja-JP"/>
              </w:rPr>
              <w:t>ns</w:t>
            </w:r>
          </w:p>
        </w:tc>
        <w:tc>
          <w:tcPr>
            <w:tcW w:w="1776" w:type="dxa"/>
            <w:vAlign w:val="center"/>
            <w:hideMark/>
          </w:tcPr>
          <w:p w14:paraId="607F136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2.38 ± 0.92</w:t>
            </w:r>
            <w:r w:rsidRPr="005E6B7C">
              <w:rPr>
                <w:rFonts w:asciiTheme="majorHAnsi" w:eastAsia="Yu Mincho" w:hAnsiTheme="majorHAnsi" w:cstheme="majorHAnsi"/>
                <w:color w:val="000000" w:themeColor="text1"/>
                <w:sz w:val="18"/>
                <w:szCs w:val="18"/>
                <w:vertAlign w:val="superscript"/>
                <w:lang w:eastAsia="ja-JP"/>
              </w:rPr>
              <w:t>****</w:t>
            </w:r>
          </w:p>
        </w:tc>
        <w:tc>
          <w:tcPr>
            <w:tcW w:w="1917" w:type="dxa"/>
            <w:vAlign w:val="center"/>
            <w:hideMark/>
          </w:tcPr>
          <w:p w14:paraId="0618542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37.83 ± 13.11</w:t>
            </w:r>
            <w:r w:rsidRPr="005E6B7C">
              <w:rPr>
                <w:rFonts w:asciiTheme="majorHAnsi" w:eastAsia="Yu Mincho" w:hAnsiTheme="majorHAnsi" w:cstheme="majorHAnsi"/>
                <w:color w:val="000000" w:themeColor="text1"/>
                <w:sz w:val="18"/>
                <w:szCs w:val="18"/>
                <w:vertAlign w:val="superscript"/>
                <w:lang w:eastAsia="ja-JP"/>
              </w:rPr>
              <w:t>****</w:t>
            </w:r>
          </w:p>
        </w:tc>
      </w:tr>
      <w:tr w:rsidR="00E049CB" w:rsidRPr="005E6B7C" w14:paraId="06BCC719" w14:textId="77777777" w:rsidTr="0047080C">
        <w:trPr>
          <w:jc w:val="center"/>
        </w:trPr>
        <w:tc>
          <w:tcPr>
            <w:tcW w:w="1016" w:type="dxa"/>
            <w:vAlign w:val="center"/>
            <w:hideMark/>
          </w:tcPr>
          <w:p w14:paraId="1B714C53"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BB300</w:t>
            </w:r>
          </w:p>
        </w:tc>
        <w:tc>
          <w:tcPr>
            <w:tcW w:w="1456" w:type="dxa"/>
            <w:vAlign w:val="center"/>
            <w:hideMark/>
          </w:tcPr>
          <w:p w14:paraId="6489CE0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46.81 ± 5.58</w:t>
            </w:r>
          </w:p>
        </w:tc>
        <w:tc>
          <w:tcPr>
            <w:tcW w:w="1571" w:type="dxa"/>
            <w:vAlign w:val="center"/>
            <w:hideMark/>
          </w:tcPr>
          <w:p w14:paraId="15B13C5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19.63 ± 4.33</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4B644A4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41.90 ± 7.38</w:t>
            </w:r>
            <w:r w:rsidRPr="005E6B7C">
              <w:rPr>
                <w:rFonts w:asciiTheme="majorHAnsi" w:eastAsia="Yu Mincho" w:hAnsiTheme="majorHAnsi" w:cstheme="majorHAnsi"/>
                <w:color w:val="000000" w:themeColor="text1"/>
                <w:sz w:val="18"/>
                <w:szCs w:val="18"/>
                <w:vertAlign w:val="superscript"/>
                <w:lang w:eastAsia="ja-JP"/>
              </w:rPr>
              <w:t>*</w:t>
            </w:r>
          </w:p>
        </w:tc>
        <w:tc>
          <w:tcPr>
            <w:tcW w:w="1776" w:type="dxa"/>
            <w:vAlign w:val="center"/>
            <w:hideMark/>
          </w:tcPr>
          <w:p w14:paraId="6182E8A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2.13 ± 0.99</w:t>
            </w:r>
            <w:r w:rsidRPr="005E6B7C">
              <w:rPr>
                <w:rFonts w:asciiTheme="majorHAnsi" w:eastAsia="Yu Mincho" w:hAnsiTheme="majorHAnsi" w:cstheme="majorHAnsi"/>
                <w:color w:val="000000" w:themeColor="text1"/>
                <w:sz w:val="18"/>
                <w:szCs w:val="18"/>
                <w:vertAlign w:val="superscript"/>
                <w:lang w:eastAsia="ja-JP"/>
              </w:rPr>
              <w:t>****</w:t>
            </w:r>
          </w:p>
        </w:tc>
        <w:tc>
          <w:tcPr>
            <w:tcW w:w="1917" w:type="dxa"/>
            <w:vAlign w:val="center"/>
            <w:hideMark/>
          </w:tcPr>
          <w:p w14:paraId="76250EFC"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35.09 ± 23.56</w:t>
            </w:r>
            <w:r w:rsidRPr="005E6B7C">
              <w:rPr>
                <w:rFonts w:asciiTheme="majorHAnsi" w:eastAsia="Yu Mincho" w:hAnsiTheme="majorHAnsi" w:cstheme="majorHAnsi"/>
                <w:color w:val="000000" w:themeColor="text1"/>
                <w:sz w:val="18"/>
                <w:szCs w:val="18"/>
                <w:vertAlign w:val="superscript"/>
                <w:lang w:eastAsia="ja-JP"/>
              </w:rPr>
              <w:t>****</w:t>
            </w:r>
          </w:p>
        </w:tc>
      </w:tr>
    </w:tbl>
    <w:p w14:paraId="132EACC7" w14:textId="77777777" w:rsidR="00E049CB" w:rsidRPr="005E6B7C" w:rsidRDefault="00E049CB" w:rsidP="008C0D47">
      <w:pPr>
        <w:tabs>
          <w:tab w:val="left" w:pos="270"/>
          <w:tab w:val="left" w:pos="9270"/>
        </w:tabs>
        <w:spacing w:before="120"/>
        <w:ind w:firstLine="284"/>
        <w:jc w:val="both"/>
        <w:rPr>
          <w:rFonts w:asciiTheme="majorHAnsi" w:eastAsia="MS Mincho" w:hAnsiTheme="majorHAnsi" w:cstheme="majorHAnsi"/>
          <w:i/>
          <w:color w:val="000000" w:themeColor="text1"/>
          <w:sz w:val="18"/>
          <w:szCs w:val="18"/>
          <w:lang w:eastAsia="ja-JP"/>
        </w:rPr>
      </w:pPr>
      <w:r w:rsidRPr="005E6B7C">
        <w:rPr>
          <w:rFonts w:asciiTheme="majorHAnsi" w:eastAsia="MS Mincho" w:hAnsiTheme="majorHAnsi" w:cstheme="majorHAnsi"/>
          <w:i/>
          <w:color w:val="000000" w:themeColor="text1"/>
          <w:sz w:val="18"/>
          <w:szCs w:val="18"/>
          <w:lang w:eastAsia="ja-JP"/>
        </w:rPr>
        <w:t xml:space="preserve">Statistical symbols indicate comparisons with the </w:t>
      </w:r>
      <w:r w:rsidRPr="005E6B7C">
        <w:rPr>
          <w:rFonts w:asciiTheme="majorHAnsi" w:eastAsia="Yu Mincho" w:hAnsiTheme="majorHAnsi" w:cstheme="majorHAnsi"/>
          <w:i/>
          <w:iCs/>
          <w:color w:val="000000" w:themeColor="text1"/>
          <w:sz w:val="18"/>
          <w:szCs w:val="18"/>
          <w:lang w:eastAsia="ja-JP"/>
        </w:rPr>
        <w:t>constipation model group</w:t>
      </w:r>
      <w:r w:rsidRPr="005E6B7C">
        <w:rPr>
          <w:rFonts w:asciiTheme="majorHAnsi" w:eastAsia="MS Mincho" w:hAnsiTheme="majorHAnsi" w:cstheme="majorHAnsi"/>
          <w:i/>
          <w:color w:val="000000" w:themeColor="text1"/>
          <w:sz w:val="18"/>
          <w:szCs w:val="18"/>
          <w:lang w:eastAsia="ja-JP"/>
        </w:rPr>
        <w:t xml:space="preserve"> (Lope) using Tukey’s test. </w:t>
      </w:r>
    </w:p>
    <w:p w14:paraId="00A70598" w14:textId="77777777" w:rsidR="0047080C" w:rsidRPr="005E6B7C" w:rsidRDefault="0047080C" w:rsidP="008C0D47">
      <w:pPr>
        <w:tabs>
          <w:tab w:val="left" w:pos="270"/>
          <w:tab w:val="left" w:pos="9270"/>
        </w:tabs>
        <w:ind w:right="-20"/>
        <w:contextualSpacing/>
        <w:jc w:val="both"/>
        <w:rPr>
          <w:rFonts w:asciiTheme="majorHAnsi" w:eastAsia="MS Mincho" w:hAnsiTheme="majorHAnsi" w:cstheme="majorHAnsi"/>
          <w:iCs/>
          <w:color w:val="000000" w:themeColor="text1"/>
          <w:sz w:val="22"/>
          <w:szCs w:val="22"/>
          <w:lang w:eastAsia="ja-JP"/>
        </w:rPr>
      </w:pPr>
    </w:p>
    <w:p w14:paraId="228E4DA5" w14:textId="77777777" w:rsidR="001701EA" w:rsidRPr="005E6B7C" w:rsidRDefault="001701EA"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484579F9" w14:textId="745662DA" w:rsidR="001701EA" w:rsidRPr="005E6B7C" w:rsidRDefault="00E049CB"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pPr>
      <w:r w:rsidRPr="005E6B7C">
        <w:rPr>
          <w:rFonts w:asciiTheme="majorHAnsi" w:eastAsia="MS Mincho" w:hAnsiTheme="majorHAnsi" w:cstheme="majorHAnsi"/>
          <w:iCs/>
          <w:color w:val="000000" w:themeColor="text1"/>
          <w:sz w:val="22"/>
          <w:szCs w:val="22"/>
          <w:lang w:eastAsia="ja-JP"/>
        </w:rPr>
        <w:t xml:space="preserve">The results in </w:t>
      </w:r>
      <w:r w:rsidRPr="005E6B7C">
        <w:rPr>
          <w:rFonts w:asciiTheme="majorHAnsi" w:eastAsia="MS Mincho" w:hAnsiTheme="majorHAnsi" w:cstheme="majorHAnsi"/>
          <w:b/>
          <w:bCs/>
          <w:iCs/>
          <w:color w:val="000000" w:themeColor="text1"/>
          <w:sz w:val="22"/>
          <w:szCs w:val="22"/>
          <w:lang w:eastAsia="ja-JP"/>
        </w:rPr>
        <w:t>Table 4</w:t>
      </w:r>
      <w:r w:rsidRPr="005E6B7C">
        <w:rPr>
          <w:rFonts w:asciiTheme="majorHAnsi" w:eastAsia="MS Mincho" w:hAnsiTheme="majorHAnsi" w:cstheme="majorHAnsi"/>
          <w:iCs/>
          <w:color w:val="000000" w:themeColor="text1"/>
          <w:sz w:val="22"/>
          <w:szCs w:val="22"/>
          <w:lang w:eastAsia="ja-JP"/>
        </w:rPr>
        <w:t xml:space="preserve"> showed that there were no statistically significant differences in the length of the small intestine among the experimental groups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 xml:space="preserve">&gt; 0.05). The charcoal transit distance in </w:t>
      </w:r>
      <w:r w:rsidRPr="005E6B7C">
        <w:rPr>
          <w:rFonts w:asciiTheme="majorHAnsi" w:eastAsia="MS Mincho" w:hAnsiTheme="majorHAnsi" w:cstheme="majorHAnsi"/>
          <w:iCs/>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was significantly lower than that in the control group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In contrast, the BB300 group and the bisacodyl group showed significantly higher charcoal transit </w:t>
      </w:r>
      <w:r w:rsidRPr="005E6B7C">
        <w:rPr>
          <w:rFonts w:asciiTheme="majorHAnsi" w:eastAsia="MS Mincho" w:hAnsiTheme="majorHAnsi" w:cstheme="majorHAnsi"/>
          <w:iCs/>
          <w:color w:val="000000" w:themeColor="text1"/>
          <w:sz w:val="22"/>
          <w:szCs w:val="22"/>
          <w:lang w:eastAsia="ja-JP"/>
        </w:rPr>
        <w:lastRenderedPageBreak/>
        <w:t xml:space="preserve">distances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whereas the groups treated with 75 and 150 mg/kg extract did not show significant differences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Similarly, the charcoal transit ratio in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was significantly lower than that in the control group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 xml:space="preserve">&lt; 0.05). At the dose of 300 mg/kg, the extract enhanced intestinal motility by approximately 11% compared with the </w:t>
      </w:r>
      <w:r w:rsidRPr="005E6B7C">
        <w:rPr>
          <w:rFonts w:asciiTheme="majorHAnsi" w:eastAsia="Yu Mincho" w:hAnsiTheme="majorHAnsi" w:cstheme="majorHAnsi"/>
          <w:color w:val="000000" w:themeColor="text1"/>
          <w:sz w:val="22"/>
          <w:szCs w:val="22"/>
          <w:lang w:eastAsia="ja-JP"/>
        </w:rPr>
        <w:t>constipation model group</w:t>
      </w:r>
      <w:r w:rsidRPr="005E6B7C">
        <w:rPr>
          <w:rFonts w:asciiTheme="majorHAnsi" w:eastAsia="MS Mincho" w:hAnsiTheme="majorHAnsi" w:cstheme="majorHAnsi"/>
          <w:iCs/>
          <w:color w:val="000000" w:themeColor="text1"/>
          <w:sz w:val="22"/>
          <w:szCs w:val="22"/>
          <w:lang w:eastAsia="ja-JP"/>
        </w:rPr>
        <w:t xml:space="preserve">, an effect comparable to bisacodyl (1 mg/kg); correspondingly, the BB300 and bisacodyl groups exhibited significantly higher charcoal </w:t>
      </w:r>
      <w:r w:rsidRPr="005E6B7C">
        <w:rPr>
          <w:rFonts w:asciiTheme="majorHAnsi" w:eastAsia="MS Mincho" w:hAnsiTheme="majorHAnsi" w:cstheme="majorHAnsi"/>
          <w:iCs/>
          <w:color w:val="EE0000"/>
          <w:spacing w:val="4"/>
          <w:sz w:val="22"/>
          <w:szCs w:val="22"/>
          <w:lang w:eastAsia="ja-JP"/>
        </w:rPr>
        <w:t>transit</w:t>
      </w:r>
      <w:r w:rsidR="000A3733" w:rsidRPr="005E6B7C">
        <w:rPr>
          <w:rFonts w:asciiTheme="majorHAnsi" w:eastAsia="MS Mincho" w:hAnsiTheme="majorHAnsi" w:cstheme="majorHAnsi"/>
          <w:iCs/>
          <w:color w:val="EE0000"/>
          <w:spacing w:val="4"/>
          <w:sz w:val="22"/>
          <w:szCs w:val="22"/>
          <w:lang w:val="vi-VN" w:eastAsia="ja-JP"/>
        </w:rPr>
        <w:t xml:space="preserve"> </w:t>
      </w:r>
      <w:r w:rsidRPr="005E6B7C">
        <w:rPr>
          <w:rFonts w:asciiTheme="majorHAnsi" w:eastAsia="MS Mincho" w:hAnsiTheme="majorHAnsi" w:cstheme="majorHAnsi"/>
          <w:iCs/>
          <w:color w:val="EE0000"/>
          <w:spacing w:val="4"/>
          <w:sz w:val="22"/>
          <w:szCs w:val="22"/>
          <w:lang w:eastAsia="ja-JP"/>
        </w:rPr>
        <w:t>ratios</w:t>
      </w:r>
      <w:r w:rsidRPr="005E6B7C">
        <w:rPr>
          <w:rFonts w:asciiTheme="majorHAnsi" w:eastAsia="MS Mincho" w:hAnsiTheme="majorHAnsi" w:cstheme="majorHAnsi"/>
          <w:iCs/>
          <w:color w:val="000000" w:themeColor="text1"/>
          <w:spacing w:val="4"/>
          <w:sz w:val="22"/>
          <w:szCs w:val="22"/>
          <w:lang w:eastAsia="ja-JP"/>
        </w:rPr>
        <w:t xml:space="preserve"> than the constipation model group</w:t>
      </w:r>
      <w:r w:rsidR="000A3733" w:rsidRPr="005E6B7C">
        <w:rPr>
          <w:rFonts w:asciiTheme="majorHAnsi" w:eastAsia="MS Mincho" w:hAnsiTheme="majorHAnsi" w:cstheme="majorHAnsi"/>
          <w:iCs/>
          <w:color w:val="000000" w:themeColor="text1"/>
          <w:spacing w:val="4"/>
          <w:sz w:val="22"/>
          <w:szCs w:val="22"/>
          <w:lang w:val="vi-VN" w:eastAsia="ja-JP"/>
        </w:rPr>
        <w:t xml:space="preserve"> </w:t>
      </w:r>
      <w:r w:rsidRPr="005E6B7C">
        <w:rPr>
          <w:rFonts w:asciiTheme="majorHAnsi" w:eastAsia="MS Mincho" w:hAnsiTheme="majorHAnsi" w:cstheme="majorHAnsi"/>
          <w:iCs/>
          <w:color w:val="000000" w:themeColor="text1"/>
          <w:spacing w:val="4"/>
          <w:sz w:val="22"/>
          <w:szCs w:val="22"/>
          <w:lang w:eastAsia="ja-JP"/>
        </w:rPr>
        <w:t>(</w:t>
      </w:r>
      <w:r w:rsidRPr="005E6B7C">
        <w:rPr>
          <w:rFonts w:asciiTheme="majorHAnsi" w:eastAsia="MS Mincho" w:hAnsiTheme="majorHAnsi" w:cstheme="majorHAnsi"/>
          <w:i/>
          <w:iCs/>
          <w:color w:val="000000" w:themeColor="text1"/>
          <w:spacing w:val="4"/>
          <w:sz w:val="22"/>
          <w:szCs w:val="22"/>
          <w:lang w:eastAsia="ja-JP"/>
        </w:rPr>
        <w:t>p</w:t>
      </w:r>
      <w:r w:rsidRPr="005E6B7C">
        <w:rPr>
          <w:rFonts w:asciiTheme="majorHAnsi" w:eastAsia="MS Mincho" w:hAnsiTheme="majorHAnsi" w:cstheme="majorHAnsi"/>
          <w:iCs/>
          <w:color w:val="000000" w:themeColor="text1"/>
          <w:spacing w:val="4"/>
          <w:sz w:val="22"/>
          <w:szCs w:val="22"/>
          <w:lang w:eastAsia="ja-JP"/>
        </w:rPr>
        <w:t xml:space="preserve"> &lt; 0.05), whereas the BB75 and BB150 groups </w:t>
      </w:r>
      <w:r w:rsidRPr="005E6B7C">
        <w:rPr>
          <w:rFonts w:asciiTheme="majorHAnsi" w:eastAsia="MS Mincho" w:hAnsiTheme="majorHAnsi" w:cstheme="majorHAnsi"/>
          <w:iCs/>
          <w:color w:val="000000" w:themeColor="text1"/>
          <w:spacing w:val="4"/>
          <w:sz w:val="22"/>
          <w:szCs w:val="22"/>
          <w:lang w:eastAsia="ja-JP"/>
        </w:rPr>
        <w:t>showed no statistically significant differences (</w:t>
      </w:r>
      <w:r w:rsidRPr="005E6B7C">
        <w:rPr>
          <w:rFonts w:asciiTheme="majorHAnsi" w:eastAsia="MS Mincho" w:hAnsiTheme="majorHAnsi" w:cstheme="majorHAnsi"/>
          <w:i/>
          <w:iCs/>
          <w:color w:val="000000" w:themeColor="text1"/>
          <w:spacing w:val="4"/>
          <w:sz w:val="22"/>
          <w:szCs w:val="22"/>
          <w:lang w:eastAsia="ja-JP"/>
        </w:rPr>
        <w:t>p</w:t>
      </w:r>
      <w:r w:rsidRPr="005E6B7C">
        <w:rPr>
          <w:rFonts w:asciiTheme="majorHAnsi" w:eastAsia="MS Mincho" w:hAnsiTheme="majorHAnsi" w:cstheme="majorHAnsi"/>
          <w:iCs/>
          <w:color w:val="000000" w:themeColor="text1"/>
          <w:spacing w:val="4"/>
          <w:sz w:val="22"/>
          <w:szCs w:val="22"/>
          <w:lang w:eastAsia="ja-JP"/>
        </w:rPr>
        <w:t xml:space="preserve"> &gt; 0.05) (</w:t>
      </w:r>
      <w:r w:rsidRPr="005E6B7C">
        <w:rPr>
          <w:rFonts w:asciiTheme="majorHAnsi" w:eastAsia="MS Mincho" w:hAnsiTheme="majorHAnsi" w:cstheme="majorHAnsi"/>
          <w:b/>
          <w:iCs/>
          <w:color w:val="000000" w:themeColor="text1"/>
          <w:spacing w:val="4"/>
          <w:sz w:val="22"/>
          <w:szCs w:val="22"/>
          <w:lang w:eastAsia="ja-JP"/>
        </w:rPr>
        <w:t>Fig. 2</w:t>
      </w:r>
      <w:r w:rsidRPr="005E6B7C">
        <w:rPr>
          <w:rFonts w:asciiTheme="majorHAnsi" w:eastAsia="MS Mincho" w:hAnsiTheme="majorHAnsi" w:cstheme="majorHAnsi"/>
          <w:iCs/>
          <w:color w:val="000000" w:themeColor="text1"/>
          <w:spacing w:val="4"/>
          <w:sz w:val="22"/>
          <w:szCs w:val="22"/>
          <w:lang w:eastAsia="ja-JP"/>
        </w:rPr>
        <w:t>). The number of fecal pellets and the fecal content remaining in the colon were significantly higher in the constipation model group than in the control group (</w:t>
      </w:r>
      <w:r w:rsidRPr="005E6B7C">
        <w:rPr>
          <w:rFonts w:asciiTheme="majorHAnsi" w:eastAsia="MS Mincho" w:hAnsiTheme="majorHAnsi" w:cstheme="majorHAnsi"/>
          <w:i/>
          <w:iCs/>
          <w:color w:val="000000" w:themeColor="text1"/>
          <w:spacing w:val="4"/>
          <w:sz w:val="22"/>
          <w:szCs w:val="22"/>
          <w:lang w:eastAsia="ja-JP"/>
        </w:rPr>
        <w:t>p</w:t>
      </w:r>
      <w:r w:rsidRPr="005E6B7C">
        <w:rPr>
          <w:rFonts w:asciiTheme="majorHAnsi" w:eastAsia="MS Mincho" w:hAnsiTheme="majorHAnsi" w:cstheme="majorHAnsi"/>
          <w:iCs/>
          <w:color w:val="000000" w:themeColor="text1"/>
          <w:spacing w:val="4"/>
          <w:sz w:val="22"/>
          <w:szCs w:val="22"/>
          <w:lang w:eastAsia="ja-JP"/>
        </w:rPr>
        <w:t xml:space="preserve"> &lt; 0.05). Treatment with </w:t>
      </w:r>
      <w:r w:rsidRPr="005E6B7C">
        <w:rPr>
          <w:rFonts w:asciiTheme="majorHAnsi" w:eastAsia="MS Mincho" w:hAnsiTheme="majorHAnsi" w:cstheme="majorHAnsi"/>
          <w:i/>
          <w:color w:val="000000" w:themeColor="text1"/>
          <w:spacing w:val="4"/>
          <w:sz w:val="22"/>
          <w:szCs w:val="22"/>
          <w:lang w:eastAsia="ja-JP"/>
        </w:rPr>
        <w:t xml:space="preserve">P. nil </w:t>
      </w:r>
      <w:r w:rsidRPr="005E6B7C">
        <w:rPr>
          <w:rFonts w:asciiTheme="majorHAnsi" w:eastAsia="MS Mincho" w:hAnsiTheme="majorHAnsi" w:cstheme="majorHAnsi"/>
          <w:iCs/>
          <w:color w:val="000000" w:themeColor="text1"/>
          <w:spacing w:val="4"/>
          <w:sz w:val="22"/>
          <w:szCs w:val="22"/>
          <w:lang w:eastAsia="ja-JP"/>
        </w:rPr>
        <w:t xml:space="preserve">seed extract at different doses and bisacodyl significantly reduced these parameters compared with the </w:t>
      </w:r>
      <w:r w:rsidRPr="005E6B7C">
        <w:rPr>
          <w:rFonts w:asciiTheme="majorHAnsi" w:eastAsia="Yu Mincho" w:hAnsiTheme="majorHAnsi" w:cstheme="majorHAnsi"/>
          <w:color w:val="000000" w:themeColor="text1"/>
          <w:spacing w:val="4"/>
          <w:sz w:val="22"/>
          <w:szCs w:val="22"/>
          <w:lang w:eastAsia="ja-JP"/>
        </w:rPr>
        <w:t>constipation model group</w:t>
      </w:r>
      <w:r w:rsidRPr="005E6B7C">
        <w:rPr>
          <w:rFonts w:asciiTheme="majorHAnsi" w:eastAsia="MS Mincho" w:hAnsiTheme="majorHAnsi" w:cstheme="majorHAnsi"/>
          <w:iCs/>
          <w:color w:val="000000" w:themeColor="text1"/>
          <w:spacing w:val="4"/>
          <w:sz w:val="22"/>
          <w:szCs w:val="22"/>
          <w:lang w:eastAsia="ja-JP"/>
        </w:rPr>
        <w:t xml:space="preserve"> (</w:t>
      </w:r>
      <w:r w:rsidRPr="005E6B7C">
        <w:rPr>
          <w:rFonts w:asciiTheme="majorHAnsi" w:eastAsia="MS Mincho" w:hAnsiTheme="majorHAnsi" w:cstheme="majorHAnsi"/>
          <w:i/>
          <w:iCs/>
          <w:color w:val="000000" w:themeColor="text1"/>
          <w:spacing w:val="4"/>
          <w:sz w:val="22"/>
          <w:szCs w:val="22"/>
          <w:lang w:eastAsia="ja-JP"/>
        </w:rPr>
        <w:t>p</w:t>
      </w:r>
      <w:r w:rsidRPr="005E6B7C">
        <w:rPr>
          <w:rFonts w:asciiTheme="majorHAnsi" w:eastAsia="MS Mincho" w:hAnsiTheme="majorHAnsi" w:cstheme="majorHAnsi"/>
          <w:iCs/>
          <w:color w:val="000000" w:themeColor="text1"/>
          <w:spacing w:val="4"/>
          <w:sz w:val="22"/>
          <w:szCs w:val="22"/>
          <w:lang w:eastAsia="ja-JP"/>
        </w:rPr>
        <w:t xml:space="preserve"> &lt; 0.05). Notably, the extract at doses of 150 and 300 mg/kg increased defecation frequency by approximately 62 </w:t>
      </w:r>
      <w:r w:rsidRPr="005E6B7C">
        <w:rPr>
          <w:rFonts w:asciiTheme="majorHAnsi" w:eastAsia="MS Mincho" w:hAnsiTheme="majorHAnsi" w:cstheme="majorHAnsi"/>
          <w:iCs/>
          <w:color w:val="000000" w:themeColor="text1"/>
          <w:spacing w:val="4"/>
          <w:sz w:val="22"/>
          <w:szCs w:val="22"/>
          <w:lang w:eastAsia="ja-JP"/>
        </w:rPr>
        <w:sym w:font="Symbol" w:char="F02D"/>
      </w:r>
      <w:r w:rsidRPr="005E6B7C">
        <w:rPr>
          <w:rFonts w:asciiTheme="majorHAnsi" w:eastAsia="MS Mincho" w:hAnsiTheme="majorHAnsi" w:cstheme="majorHAnsi"/>
          <w:iCs/>
          <w:color w:val="000000" w:themeColor="text1"/>
          <w:spacing w:val="4"/>
          <w:sz w:val="22"/>
          <w:szCs w:val="22"/>
          <w:lang w:eastAsia="ja-JP"/>
        </w:rPr>
        <w:t xml:space="preserve"> 65% relative to the </w:t>
      </w:r>
      <w:r w:rsidRPr="005E6B7C">
        <w:rPr>
          <w:rFonts w:asciiTheme="majorHAnsi" w:eastAsia="Yu Mincho" w:hAnsiTheme="majorHAnsi" w:cstheme="majorHAnsi"/>
          <w:color w:val="000000" w:themeColor="text1"/>
          <w:spacing w:val="4"/>
          <w:sz w:val="22"/>
          <w:szCs w:val="22"/>
          <w:lang w:eastAsia="ja-JP"/>
        </w:rPr>
        <w:t>constipation model group</w:t>
      </w:r>
      <w:r w:rsidRPr="005E6B7C">
        <w:rPr>
          <w:rFonts w:asciiTheme="majorHAnsi" w:eastAsia="MS Mincho" w:hAnsiTheme="majorHAnsi" w:cstheme="majorHAnsi"/>
          <w:iCs/>
          <w:color w:val="000000" w:themeColor="text1"/>
          <w:spacing w:val="4"/>
          <w:sz w:val="22"/>
          <w:szCs w:val="22"/>
          <w:lang w:eastAsia="ja-JP"/>
        </w:rPr>
        <w:t>, showing a stronger effect than bisacodyl (1 mg/kg)</w:t>
      </w:r>
      <w:r w:rsidRPr="005E6B7C">
        <w:rPr>
          <w:rFonts w:asciiTheme="majorHAnsi" w:eastAsia="MS Mincho" w:hAnsiTheme="majorHAnsi" w:cstheme="majorHAnsi"/>
          <w:iCs/>
          <w:color w:val="000000" w:themeColor="text1"/>
          <w:sz w:val="22"/>
          <w:szCs w:val="22"/>
          <w:lang w:eastAsia="ja-JP"/>
        </w:rPr>
        <w:t>.</w:t>
      </w:r>
    </w:p>
    <w:p w14:paraId="2C65324B" w14:textId="77777777" w:rsidR="001701EA" w:rsidRPr="005E6B7C" w:rsidRDefault="001701EA"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41472789" w14:textId="77777777" w:rsidR="00F418B0" w:rsidRPr="005E6B7C" w:rsidRDefault="00F418B0"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pPr>
    </w:p>
    <w:p w14:paraId="61C486C3" w14:textId="77777777" w:rsidR="0018773C" w:rsidRPr="005E6B7C" w:rsidRDefault="0018773C" w:rsidP="008C0D47">
      <w:pPr>
        <w:tabs>
          <w:tab w:val="left" w:pos="270"/>
          <w:tab w:val="left" w:pos="9270"/>
        </w:tabs>
        <w:ind w:right="-20"/>
        <w:contextualSpacing/>
        <w:jc w:val="center"/>
        <w:rPr>
          <w:rFonts w:asciiTheme="majorHAnsi" w:eastAsia="MS Mincho" w:hAnsiTheme="majorHAnsi" w:cstheme="majorHAnsi"/>
          <w:b/>
          <w:bCs/>
          <w:iCs/>
          <w:color w:val="000000" w:themeColor="text1"/>
          <w:sz w:val="18"/>
          <w:szCs w:val="18"/>
          <w:lang w:eastAsia="ja-JP"/>
        </w:rPr>
      </w:pPr>
      <w:r w:rsidRPr="005E6B7C">
        <w:rPr>
          <w:rFonts w:asciiTheme="majorHAnsi" w:eastAsia="MS Mincho" w:hAnsiTheme="majorHAnsi" w:cstheme="majorHAnsi"/>
          <w:b/>
          <w:bCs/>
          <w:iCs/>
          <w:noProof/>
          <w:color w:val="000000" w:themeColor="text1"/>
          <w:sz w:val="18"/>
          <w:szCs w:val="18"/>
        </w:rPr>
        <w:drawing>
          <wp:inline distT="0" distB="0" distL="0" distR="0" wp14:anchorId="52F21DB0" wp14:editId="2D69D762">
            <wp:extent cx="4898571" cy="253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08" cstate="print">
                      <a:extLst>
                        <a:ext uri="{BEBA8EAE-BF5A-486C-A8C5-ECC9F3942E4B}">
                          <a14:imgProps xmlns:a14="http://schemas.microsoft.com/office/drawing/2010/main">
                            <a14:imgLayer r:embed="rId10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00948" cy="2538551"/>
                    </a:xfrm>
                    <a:prstGeom prst="rect">
                      <a:avLst/>
                    </a:prstGeom>
                  </pic:spPr>
                </pic:pic>
              </a:graphicData>
            </a:graphic>
          </wp:inline>
        </w:drawing>
      </w:r>
    </w:p>
    <w:p w14:paraId="4B72D86E" w14:textId="77777777" w:rsidR="00E049CB" w:rsidRPr="005E6B7C" w:rsidRDefault="00E049CB" w:rsidP="008C0D47">
      <w:pPr>
        <w:tabs>
          <w:tab w:val="left" w:pos="270"/>
          <w:tab w:val="left" w:pos="9270"/>
        </w:tabs>
        <w:spacing w:before="120"/>
        <w:ind w:right="-20"/>
        <w:contextualSpacing/>
        <w:jc w:val="center"/>
        <w:rPr>
          <w:rFonts w:asciiTheme="majorHAnsi" w:eastAsia="MS Mincho" w:hAnsiTheme="majorHAnsi" w:cstheme="majorHAnsi"/>
          <w:iCs/>
          <w:color w:val="000000" w:themeColor="text1"/>
          <w:sz w:val="18"/>
          <w:szCs w:val="18"/>
          <w:lang w:eastAsia="ja-JP"/>
        </w:rPr>
      </w:pPr>
      <w:r w:rsidRPr="005E6B7C">
        <w:rPr>
          <w:rFonts w:asciiTheme="majorHAnsi" w:eastAsia="MS Mincho" w:hAnsiTheme="majorHAnsi" w:cstheme="majorHAnsi"/>
          <w:b/>
          <w:bCs/>
          <w:iCs/>
          <w:color w:val="000000" w:themeColor="text1"/>
          <w:sz w:val="18"/>
          <w:szCs w:val="18"/>
          <w:lang w:eastAsia="ja-JP"/>
        </w:rPr>
        <w:t>Fig. 2.</w:t>
      </w:r>
      <w:r w:rsidRPr="005E6B7C">
        <w:rPr>
          <w:rFonts w:asciiTheme="majorHAnsi" w:eastAsia="MS Mincho" w:hAnsiTheme="majorHAnsi" w:cstheme="majorHAnsi"/>
          <w:iCs/>
          <w:color w:val="000000" w:themeColor="text1"/>
          <w:sz w:val="18"/>
          <w:szCs w:val="18"/>
          <w:lang w:eastAsia="ja-JP"/>
        </w:rPr>
        <w:t xml:space="preserve"> Representative image showing the gastrointestinal transit of activated charcoal along the small intestine used to determine the charcoal transit distance and transit ratio in mice</w:t>
      </w:r>
    </w:p>
    <w:p w14:paraId="0FE5DBE4" w14:textId="77777777" w:rsidR="0018773C" w:rsidRPr="005E6B7C" w:rsidRDefault="0018773C" w:rsidP="008C0D47">
      <w:pPr>
        <w:tabs>
          <w:tab w:val="left" w:pos="270"/>
          <w:tab w:val="left" w:pos="9270"/>
        </w:tabs>
        <w:ind w:right="-20"/>
        <w:jc w:val="both"/>
        <w:rPr>
          <w:rFonts w:asciiTheme="majorHAnsi" w:eastAsia="MS Mincho" w:hAnsiTheme="majorHAnsi" w:cstheme="majorHAnsi"/>
          <w:b/>
          <w:bCs/>
          <w:iCs/>
          <w:color w:val="000000" w:themeColor="text1"/>
          <w:sz w:val="18"/>
          <w:szCs w:val="18"/>
          <w:lang w:eastAsia="ja-JP"/>
        </w:rPr>
      </w:pPr>
    </w:p>
    <w:p w14:paraId="00316AD6" w14:textId="77777777" w:rsidR="00E049CB" w:rsidRPr="005E6B7C" w:rsidRDefault="00E049CB" w:rsidP="008C0D47">
      <w:pPr>
        <w:tabs>
          <w:tab w:val="left" w:pos="270"/>
          <w:tab w:val="left" w:pos="9270"/>
        </w:tabs>
        <w:ind w:right="-20" w:firstLine="284"/>
        <w:jc w:val="both"/>
        <w:rPr>
          <w:rFonts w:asciiTheme="majorHAnsi" w:eastAsia="MS Mincho" w:hAnsiTheme="majorHAnsi" w:cstheme="majorHAnsi"/>
          <w:i/>
          <w:color w:val="000000" w:themeColor="text1"/>
          <w:sz w:val="22"/>
          <w:szCs w:val="22"/>
          <w:lang w:eastAsia="ja-JP"/>
        </w:rPr>
      </w:pPr>
      <w:r w:rsidRPr="005E6B7C">
        <w:rPr>
          <w:rFonts w:asciiTheme="majorHAnsi" w:eastAsia="MS Mincho" w:hAnsiTheme="majorHAnsi" w:cstheme="majorHAnsi"/>
          <w:bCs/>
          <w:i/>
          <w:iCs/>
          <w:color w:val="000000" w:themeColor="text1"/>
          <w:sz w:val="22"/>
          <w:szCs w:val="22"/>
          <w:lang w:eastAsia="ja-JP"/>
        </w:rPr>
        <w:t xml:space="preserve">3.4. Effects of </w:t>
      </w:r>
      <w:r w:rsidRPr="005E6B7C">
        <w:rPr>
          <w:rFonts w:asciiTheme="majorHAnsi" w:eastAsia="MS Mincho" w:hAnsiTheme="majorHAnsi" w:cstheme="majorHAnsi"/>
          <w:bCs/>
          <w:i/>
          <w:color w:val="000000" w:themeColor="text1"/>
          <w:sz w:val="22"/>
          <w:szCs w:val="22"/>
          <w:lang w:eastAsia="ja-JP"/>
        </w:rPr>
        <w:t>P. nil</w:t>
      </w:r>
      <w:r w:rsidRPr="005E6B7C">
        <w:rPr>
          <w:rFonts w:asciiTheme="majorHAnsi" w:eastAsia="MS Mincho" w:hAnsiTheme="majorHAnsi" w:cstheme="majorHAnsi"/>
          <w:bCs/>
          <w:i/>
          <w:iCs/>
          <w:color w:val="000000" w:themeColor="text1"/>
          <w:sz w:val="22"/>
          <w:szCs w:val="22"/>
          <w:lang w:eastAsia="ja-JP"/>
        </w:rPr>
        <w:t xml:space="preserve"> seed extract on gastrointestinal secretion in normal mice</w:t>
      </w:r>
    </w:p>
    <w:p w14:paraId="02DC3F48" w14:textId="77777777" w:rsidR="00E049CB" w:rsidRPr="005E6B7C" w:rsidRDefault="00E049CB" w:rsidP="008C0D47">
      <w:pPr>
        <w:tabs>
          <w:tab w:val="left" w:pos="270"/>
          <w:tab w:val="left" w:pos="9270"/>
        </w:tabs>
        <w:spacing w:before="120" w:after="120"/>
        <w:jc w:val="center"/>
        <w:rPr>
          <w:rFonts w:asciiTheme="majorHAnsi" w:eastAsia="MS Mincho" w:hAnsiTheme="majorHAnsi" w:cstheme="majorHAnsi"/>
          <w:color w:val="000000" w:themeColor="text1"/>
          <w:sz w:val="18"/>
          <w:szCs w:val="18"/>
          <w:lang w:eastAsia="ja-JP"/>
        </w:rPr>
      </w:pPr>
      <w:r w:rsidRPr="005E6B7C">
        <w:rPr>
          <w:rFonts w:asciiTheme="majorHAnsi" w:eastAsia="MS Mincho" w:hAnsiTheme="majorHAnsi" w:cstheme="majorHAnsi"/>
          <w:b/>
          <w:color w:val="000000" w:themeColor="text1"/>
          <w:sz w:val="18"/>
          <w:szCs w:val="18"/>
          <w:lang w:eastAsia="ja-JP"/>
        </w:rPr>
        <w:t xml:space="preserve">Table 5. </w:t>
      </w:r>
      <w:r w:rsidRPr="005E6B7C">
        <w:rPr>
          <w:rFonts w:asciiTheme="majorHAnsi" w:eastAsia="MS Mincho" w:hAnsiTheme="majorHAnsi" w:cstheme="majorHAnsi"/>
          <w:bCs/>
          <w:color w:val="000000" w:themeColor="text1"/>
          <w:sz w:val="18"/>
          <w:szCs w:val="18"/>
          <w:lang w:eastAsia="ja-JP"/>
        </w:rPr>
        <w:t xml:space="preserve">Effects of </w:t>
      </w:r>
      <w:r w:rsidRPr="005E6B7C">
        <w:rPr>
          <w:rFonts w:asciiTheme="majorHAnsi" w:eastAsia="MS Mincho" w:hAnsiTheme="majorHAnsi" w:cstheme="majorHAnsi"/>
          <w:bCs/>
          <w:i/>
          <w:iCs/>
          <w:color w:val="000000" w:themeColor="text1"/>
          <w:sz w:val="18"/>
          <w:szCs w:val="18"/>
          <w:lang w:eastAsia="ja-JP"/>
        </w:rPr>
        <w:t>P. nil</w:t>
      </w:r>
      <w:r w:rsidRPr="005E6B7C">
        <w:rPr>
          <w:rFonts w:asciiTheme="majorHAnsi" w:eastAsia="MS Mincho" w:hAnsiTheme="majorHAnsi" w:cstheme="majorHAnsi"/>
          <w:bCs/>
          <w:color w:val="000000" w:themeColor="text1"/>
          <w:sz w:val="18"/>
          <w:szCs w:val="18"/>
          <w:lang w:eastAsia="ja-JP"/>
        </w:rPr>
        <w:t xml:space="preserve"> seed extract on gastrointestinal secretion</w:t>
      </w:r>
    </w:p>
    <w:tbl>
      <w:tblPr>
        <w:tblStyle w:val="TableGrid21"/>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679"/>
        <w:gridCol w:w="1177"/>
        <w:gridCol w:w="1092"/>
        <w:gridCol w:w="964"/>
        <w:gridCol w:w="964"/>
        <w:gridCol w:w="1209"/>
        <w:gridCol w:w="1003"/>
        <w:gridCol w:w="1003"/>
        <w:gridCol w:w="981"/>
      </w:tblGrid>
      <w:tr w:rsidR="004A3B6F" w:rsidRPr="005E6B7C" w14:paraId="7A0ED02F" w14:textId="77777777" w:rsidTr="0047080C">
        <w:trPr>
          <w:jc w:val="center"/>
        </w:trPr>
        <w:tc>
          <w:tcPr>
            <w:tcW w:w="816" w:type="dxa"/>
            <w:vAlign w:val="center"/>
          </w:tcPr>
          <w:p w14:paraId="56744EB9"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Group</w:t>
            </w:r>
          </w:p>
        </w:tc>
        <w:tc>
          <w:tcPr>
            <w:tcW w:w="1429" w:type="dxa"/>
            <w:vAlign w:val="center"/>
          </w:tcPr>
          <w:p w14:paraId="46FD05C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Number of fecal pellets (4h)</w:t>
            </w:r>
          </w:p>
        </w:tc>
        <w:tc>
          <w:tcPr>
            <w:tcW w:w="1325" w:type="dxa"/>
            <w:vAlign w:val="center"/>
          </w:tcPr>
          <w:p w14:paraId="73D49E5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Fecal morphology score</w:t>
            </w:r>
          </w:p>
        </w:tc>
        <w:tc>
          <w:tcPr>
            <w:tcW w:w="1168" w:type="dxa"/>
            <w:vAlign w:val="center"/>
          </w:tcPr>
          <w:p w14:paraId="3ECBDFD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Wet fecal weight (g)</w:t>
            </w:r>
          </w:p>
        </w:tc>
        <w:tc>
          <w:tcPr>
            <w:tcW w:w="1168" w:type="dxa"/>
            <w:vAlign w:val="center"/>
          </w:tcPr>
          <w:p w14:paraId="2E5688A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Dry fecal weight (g)</w:t>
            </w:r>
          </w:p>
        </w:tc>
        <w:tc>
          <w:tcPr>
            <w:tcW w:w="1469" w:type="dxa"/>
            <w:vAlign w:val="center"/>
          </w:tcPr>
          <w:p w14:paraId="48C64BA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Fecal water content (%)</w:t>
            </w:r>
          </w:p>
        </w:tc>
        <w:tc>
          <w:tcPr>
            <w:tcW w:w="1216" w:type="dxa"/>
            <w:vAlign w:val="center"/>
          </w:tcPr>
          <w:p w14:paraId="7A52558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Intestinal weight before squeezing (g)</w:t>
            </w:r>
          </w:p>
        </w:tc>
        <w:tc>
          <w:tcPr>
            <w:tcW w:w="1216" w:type="dxa"/>
            <w:vAlign w:val="center"/>
          </w:tcPr>
          <w:p w14:paraId="43A938C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Intestinal weight after squeezing (g)</w:t>
            </w:r>
          </w:p>
        </w:tc>
        <w:tc>
          <w:tcPr>
            <w:tcW w:w="1189" w:type="dxa"/>
            <w:vAlign w:val="center"/>
          </w:tcPr>
          <w:p w14:paraId="4DF2E38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lang w:eastAsia="ja-JP"/>
              </w:rPr>
            </w:pPr>
            <w:r w:rsidRPr="005E6B7C">
              <w:rPr>
                <w:rFonts w:asciiTheme="majorHAnsi" w:eastAsia="Times New Roman" w:hAnsiTheme="majorHAnsi" w:cstheme="majorHAnsi"/>
                <w:b/>
                <w:bCs/>
                <w:color w:val="000000" w:themeColor="text1"/>
                <w:sz w:val="16"/>
                <w:szCs w:val="16"/>
                <w:lang w:eastAsia="ja-JP"/>
              </w:rPr>
              <w:t>Intestinal content weight (g)</w:t>
            </w:r>
          </w:p>
        </w:tc>
      </w:tr>
      <w:tr w:rsidR="004A3B6F" w:rsidRPr="005E6B7C" w14:paraId="164C68DB" w14:textId="77777777" w:rsidTr="0047080C">
        <w:trPr>
          <w:jc w:val="center"/>
        </w:trPr>
        <w:tc>
          <w:tcPr>
            <w:tcW w:w="816" w:type="dxa"/>
            <w:vAlign w:val="center"/>
            <w:hideMark/>
          </w:tcPr>
          <w:p w14:paraId="255592BD"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Control</w:t>
            </w:r>
          </w:p>
        </w:tc>
        <w:tc>
          <w:tcPr>
            <w:tcW w:w="1429" w:type="dxa"/>
            <w:vAlign w:val="center"/>
            <w:hideMark/>
          </w:tcPr>
          <w:p w14:paraId="5EEB134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5.17 ± 1.17</w:t>
            </w:r>
          </w:p>
        </w:tc>
        <w:tc>
          <w:tcPr>
            <w:tcW w:w="1325" w:type="dxa"/>
            <w:vAlign w:val="center"/>
            <w:hideMark/>
          </w:tcPr>
          <w:p w14:paraId="7B4F9AF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 (0; 1)</w:t>
            </w:r>
          </w:p>
        </w:tc>
        <w:tc>
          <w:tcPr>
            <w:tcW w:w="1168" w:type="dxa"/>
            <w:vAlign w:val="center"/>
            <w:hideMark/>
          </w:tcPr>
          <w:p w14:paraId="37F86EC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0.10 ± 0.03</w:t>
            </w:r>
          </w:p>
        </w:tc>
        <w:tc>
          <w:tcPr>
            <w:tcW w:w="1168" w:type="dxa"/>
            <w:vAlign w:val="center"/>
            <w:hideMark/>
          </w:tcPr>
          <w:p w14:paraId="50BE0CE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0.07 ± 0.02</w:t>
            </w:r>
          </w:p>
        </w:tc>
        <w:tc>
          <w:tcPr>
            <w:tcW w:w="1469" w:type="dxa"/>
            <w:vAlign w:val="center"/>
            <w:hideMark/>
          </w:tcPr>
          <w:p w14:paraId="2600C5A4"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36.15 ± 3.96</w:t>
            </w:r>
          </w:p>
        </w:tc>
        <w:tc>
          <w:tcPr>
            <w:tcW w:w="1216" w:type="dxa"/>
            <w:vAlign w:val="center"/>
            <w:hideMark/>
          </w:tcPr>
          <w:p w14:paraId="06AAFD5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1.49 ± 0.23</w:t>
            </w:r>
          </w:p>
        </w:tc>
        <w:tc>
          <w:tcPr>
            <w:tcW w:w="1216" w:type="dxa"/>
            <w:vAlign w:val="center"/>
            <w:hideMark/>
          </w:tcPr>
          <w:p w14:paraId="68C6E25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0.96 ± 0.28</w:t>
            </w:r>
          </w:p>
        </w:tc>
        <w:tc>
          <w:tcPr>
            <w:tcW w:w="1189" w:type="dxa"/>
            <w:vAlign w:val="center"/>
            <w:hideMark/>
          </w:tcPr>
          <w:p w14:paraId="30E6836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0.54 ± 0.31</w:t>
            </w:r>
          </w:p>
        </w:tc>
      </w:tr>
      <w:tr w:rsidR="004A3B6F" w:rsidRPr="005E6B7C" w14:paraId="1ADCE466" w14:textId="77777777" w:rsidTr="0047080C">
        <w:trPr>
          <w:jc w:val="center"/>
        </w:trPr>
        <w:tc>
          <w:tcPr>
            <w:tcW w:w="816" w:type="dxa"/>
            <w:vAlign w:val="center"/>
            <w:hideMark/>
          </w:tcPr>
          <w:p w14:paraId="0C5F49E4"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CastO</w:t>
            </w:r>
          </w:p>
        </w:tc>
        <w:tc>
          <w:tcPr>
            <w:tcW w:w="1429" w:type="dxa"/>
            <w:vAlign w:val="center"/>
            <w:hideMark/>
          </w:tcPr>
          <w:p w14:paraId="3EA2696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7.00 ± 2.68</w:t>
            </w:r>
            <w:r w:rsidRPr="005E6B7C">
              <w:rPr>
                <w:rFonts w:asciiTheme="majorHAnsi" w:eastAsia="Yu Mincho" w:hAnsiTheme="majorHAnsi" w:cstheme="majorHAnsi"/>
                <w:color w:val="000000" w:themeColor="text1"/>
                <w:sz w:val="16"/>
                <w:szCs w:val="16"/>
                <w:vertAlign w:val="superscript"/>
                <w:lang w:eastAsia="ja-JP"/>
              </w:rPr>
              <w:t>ns</w:t>
            </w:r>
          </w:p>
        </w:tc>
        <w:tc>
          <w:tcPr>
            <w:tcW w:w="1325" w:type="dxa"/>
            <w:vAlign w:val="center"/>
            <w:hideMark/>
          </w:tcPr>
          <w:p w14:paraId="77B14E8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 (0.75; 2)</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681E9C4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0.35 ± 0.05</w:t>
            </w:r>
            <w:r w:rsidRPr="005E6B7C">
              <w:rPr>
                <w:rFonts w:asciiTheme="majorHAnsi" w:eastAsia="Yu Mincho" w:hAnsiTheme="majorHAnsi" w:cstheme="majorHAnsi"/>
                <w:color w:val="000000" w:themeColor="text1"/>
                <w:sz w:val="16"/>
                <w:szCs w:val="16"/>
                <w:vertAlign w:val="superscript"/>
                <w:lang w:eastAsia="ja-JP"/>
              </w:rPr>
              <w:t>****</w:t>
            </w:r>
          </w:p>
        </w:tc>
        <w:tc>
          <w:tcPr>
            <w:tcW w:w="1168" w:type="dxa"/>
            <w:vAlign w:val="center"/>
            <w:hideMark/>
          </w:tcPr>
          <w:p w14:paraId="795D7CB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0.10 ± 0.04</w:t>
            </w:r>
            <w:r w:rsidRPr="005E6B7C">
              <w:rPr>
                <w:rFonts w:asciiTheme="majorHAnsi" w:eastAsia="Yu Mincho" w:hAnsiTheme="majorHAnsi" w:cstheme="majorHAnsi"/>
                <w:color w:val="000000" w:themeColor="text1"/>
                <w:sz w:val="16"/>
                <w:szCs w:val="16"/>
                <w:vertAlign w:val="superscript"/>
                <w:lang w:eastAsia="ja-JP"/>
              </w:rPr>
              <w:t>ns</w:t>
            </w:r>
          </w:p>
        </w:tc>
        <w:tc>
          <w:tcPr>
            <w:tcW w:w="1469" w:type="dxa"/>
            <w:vAlign w:val="center"/>
            <w:hideMark/>
          </w:tcPr>
          <w:p w14:paraId="1285A803"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70.30 ± 8.14</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2C8B2B9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2.09 ± 0.32</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72134785"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1.16 ± 0.11</w:t>
            </w:r>
            <w:r w:rsidRPr="005E6B7C">
              <w:rPr>
                <w:rFonts w:asciiTheme="majorHAnsi" w:eastAsia="Yu Mincho" w:hAnsiTheme="majorHAnsi" w:cstheme="majorHAnsi"/>
                <w:color w:val="000000" w:themeColor="text1"/>
                <w:sz w:val="16"/>
                <w:szCs w:val="16"/>
                <w:vertAlign w:val="superscript"/>
                <w:lang w:eastAsia="ja-JP"/>
              </w:rPr>
              <w:t>ns</w:t>
            </w:r>
          </w:p>
        </w:tc>
        <w:tc>
          <w:tcPr>
            <w:tcW w:w="1189" w:type="dxa"/>
            <w:vAlign w:val="center"/>
            <w:hideMark/>
          </w:tcPr>
          <w:p w14:paraId="68AB9E1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0.94 ± 0.32</w:t>
            </w:r>
            <w:r w:rsidRPr="005E6B7C">
              <w:rPr>
                <w:rFonts w:asciiTheme="majorHAnsi" w:eastAsia="Yu Mincho" w:hAnsiTheme="majorHAnsi" w:cstheme="majorHAnsi"/>
                <w:color w:val="000000" w:themeColor="text1"/>
                <w:sz w:val="16"/>
                <w:szCs w:val="16"/>
                <w:vertAlign w:val="superscript"/>
                <w:lang w:eastAsia="ja-JP"/>
              </w:rPr>
              <w:t>*</w:t>
            </w:r>
          </w:p>
        </w:tc>
      </w:tr>
      <w:tr w:rsidR="004A3B6F" w:rsidRPr="005E6B7C" w14:paraId="0260C977" w14:textId="77777777" w:rsidTr="0047080C">
        <w:trPr>
          <w:jc w:val="center"/>
        </w:trPr>
        <w:tc>
          <w:tcPr>
            <w:tcW w:w="816" w:type="dxa"/>
            <w:vAlign w:val="center"/>
            <w:hideMark/>
          </w:tcPr>
          <w:p w14:paraId="2732E330"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BB75</w:t>
            </w:r>
          </w:p>
        </w:tc>
        <w:tc>
          <w:tcPr>
            <w:tcW w:w="1429" w:type="dxa"/>
            <w:vAlign w:val="center"/>
            <w:hideMark/>
          </w:tcPr>
          <w:p w14:paraId="664282E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3.67 ± 2.73</w:t>
            </w:r>
            <w:r w:rsidRPr="005E6B7C">
              <w:rPr>
                <w:rFonts w:asciiTheme="majorHAnsi" w:eastAsia="Yu Mincho" w:hAnsiTheme="majorHAnsi" w:cstheme="majorHAnsi"/>
                <w:color w:val="000000" w:themeColor="text1"/>
                <w:sz w:val="16"/>
                <w:szCs w:val="16"/>
                <w:vertAlign w:val="superscript"/>
                <w:lang w:eastAsia="ja-JP"/>
              </w:rPr>
              <w:t>ns</w:t>
            </w:r>
          </w:p>
        </w:tc>
        <w:tc>
          <w:tcPr>
            <w:tcW w:w="1325" w:type="dxa"/>
            <w:vAlign w:val="center"/>
            <w:hideMark/>
          </w:tcPr>
          <w:p w14:paraId="20A3AE6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 (0.75; 1.25)</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426790BF"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0.07 ± 0.05</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1A28C09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0.04 ± 0.03</w:t>
            </w:r>
            <w:r w:rsidRPr="005E6B7C">
              <w:rPr>
                <w:rFonts w:asciiTheme="majorHAnsi" w:eastAsia="Yu Mincho" w:hAnsiTheme="majorHAnsi" w:cstheme="majorHAnsi"/>
                <w:color w:val="000000" w:themeColor="text1"/>
                <w:sz w:val="16"/>
                <w:szCs w:val="16"/>
                <w:vertAlign w:val="superscript"/>
                <w:lang w:eastAsia="ja-JP"/>
              </w:rPr>
              <w:t>ns</w:t>
            </w:r>
          </w:p>
        </w:tc>
        <w:tc>
          <w:tcPr>
            <w:tcW w:w="1469" w:type="dxa"/>
            <w:vAlign w:val="center"/>
            <w:hideMark/>
          </w:tcPr>
          <w:p w14:paraId="2871F69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46.21 ± 10.89</w:t>
            </w:r>
            <w:r w:rsidRPr="005E6B7C">
              <w:rPr>
                <w:rFonts w:asciiTheme="majorHAnsi" w:eastAsia="Yu Mincho" w:hAnsiTheme="majorHAnsi" w:cstheme="majorHAnsi"/>
                <w:color w:val="000000" w:themeColor="text1"/>
                <w:sz w:val="16"/>
                <w:szCs w:val="16"/>
                <w:vertAlign w:val="superscript"/>
                <w:lang w:eastAsia="ja-JP"/>
              </w:rPr>
              <w:t>ns</w:t>
            </w:r>
          </w:p>
        </w:tc>
        <w:tc>
          <w:tcPr>
            <w:tcW w:w="1216" w:type="dxa"/>
            <w:vAlign w:val="center"/>
            <w:hideMark/>
          </w:tcPr>
          <w:p w14:paraId="370ECBF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1.95 ± 0.34</w:t>
            </w:r>
            <w:r w:rsidRPr="005E6B7C">
              <w:rPr>
                <w:rFonts w:asciiTheme="majorHAnsi" w:eastAsia="Yu Mincho" w:hAnsiTheme="majorHAnsi" w:cstheme="majorHAnsi"/>
                <w:color w:val="000000" w:themeColor="text1"/>
                <w:sz w:val="16"/>
                <w:szCs w:val="16"/>
                <w:vertAlign w:val="superscript"/>
                <w:lang w:eastAsia="ja-JP"/>
              </w:rPr>
              <w:t>ns</w:t>
            </w:r>
          </w:p>
        </w:tc>
        <w:tc>
          <w:tcPr>
            <w:tcW w:w="1216" w:type="dxa"/>
            <w:vAlign w:val="center"/>
            <w:hideMark/>
          </w:tcPr>
          <w:p w14:paraId="4DB4726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1.12 ± 0.25</w:t>
            </w:r>
            <w:r w:rsidRPr="005E6B7C">
              <w:rPr>
                <w:rFonts w:asciiTheme="majorHAnsi" w:eastAsia="Yu Mincho" w:hAnsiTheme="majorHAnsi" w:cstheme="majorHAnsi"/>
                <w:color w:val="000000" w:themeColor="text1"/>
                <w:sz w:val="16"/>
                <w:szCs w:val="16"/>
                <w:vertAlign w:val="superscript"/>
                <w:lang w:eastAsia="ja-JP"/>
              </w:rPr>
              <w:t>ns</w:t>
            </w:r>
          </w:p>
        </w:tc>
        <w:tc>
          <w:tcPr>
            <w:tcW w:w="1189" w:type="dxa"/>
            <w:vAlign w:val="center"/>
            <w:hideMark/>
          </w:tcPr>
          <w:p w14:paraId="1E962D9E"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0.83 ± 0.15</w:t>
            </w:r>
            <w:r w:rsidRPr="005E6B7C">
              <w:rPr>
                <w:rFonts w:asciiTheme="majorHAnsi" w:eastAsia="Yu Mincho" w:hAnsiTheme="majorHAnsi" w:cstheme="majorHAnsi"/>
                <w:color w:val="000000" w:themeColor="text1"/>
                <w:sz w:val="16"/>
                <w:szCs w:val="16"/>
                <w:vertAlign w:val="superscript"/>
                <w:lang w:eastAsia="ja-JP"/>
              </w:rPr>
              <w:t>ns</w:t>
            </w:r>
          </w:p>
        </w:tc>
      </w:tr>
      <w:tr w:rsidR="004A3B6F" w:rsidRPr="005E6B7C" w14:paraId="0143D863" w14:textId="77777777" w:rsidTr="0047080C">
        <w:trPr>
          <w:jc w:val="center"/>
        </w:trPr>
        <w:tc>
          <w:tcPr>
            <w:tcW w:w="816" w:type="dxa"/>
            <w:vAlign w:val="center"/>
            <w:hideMark/>
          </w:tcPr>
          <w:p w14:paraId="561D7D25"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BB150</w:t>
            </w:r>
          </w:p>
        </w:tc>
        <w:tc>
          <w:tcPr>
            <w:tcW w:w="1429" w:type="dxa"/>
            <w:vAlign w:val="center"/>
            <w:hideMark/>
          </w:tcPr>
          <w:p w14:paraId="4456E70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5.33 ± 2.34</w:t>
            </w:r>
            <w:r w:rsidRPr="005E6B7C">
              <w:rPr>
                <w:rFonts w:asciiTheme="majorHAnsi" w:eastAsia="Yu Mincho" w:hAnsiTheme="majorHAnsi" w:cstheme="majorHAnsi"/>
                <w:color w:val="000000" w:themeColor="text1"/>
                <w:sz w:val="16"/>
                <w:szCs w:val="16"/>
                <w:vertAlign w:val="superscript"/>
                <w:lang w:eastAsia="ja-JP"/>
              </w:rPr>
              <w:t>ns</w:t>
            </w:r>
          </w:p>
        </w:tc>
        <w:tc>
          <w:tcPr>
            <w:tcW w:w="1325" w:type="dxa"/>
            <w:vAlign w:val="center"/>
            <w:hideMark/>
          </w:tcPr>
          <w:p w14:paraId="54E91E2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 (0; 2)</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0E36A3A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0.15 ± 0.06</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612FE25A"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0.07 ± 0.04</w:t>
            </w:r>
            <w:r w:rsidRPr="005E6B7C">
              <w:rPr>
                <w:rFonts w:asciiTheme="majorHAnsi" w:eastAsia="Yu Mincho" w:hAnsiTheme="majorHAnsi" w:cstheme="majorHAnsi"/>
                <w:color w:val="000000" w:themeColor="text1"/>
                <w:sz w:val="16"/>
                <w:szCs w:val="16"/>
                <w:vertAlign w:val="superscript"/>
                <w:lang w:eastAsia="ja-JP"/>
              </w:rPr>
              <w:t>ns</w:t>
            </w:r>
          </w:p>
        </w:tc>
        <w:tc>
          <w:tcPr>
            <w:tcW w:w="1469" w:type="dxa"/>
            <w:vAlign w:val="center"/>
            <w:hideMark/>
          </w:tcPr>
          <w:p w14:paraId="050B7D80"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55.19 ± 8.75</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24DA5312"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2.20 ± 0.29</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66B19C8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1.24 ± 0.27</w:t>
            </w:r>
            <w:r w:rsidRPr="005E6B7C">
              <w:rPr>
                <w:rFonts w:asciiTheme="majorHAnsi" w:eastAsia="Yu Mincho" w:hAnsiTheme="majorHAnsi" w:cstheme="majorHAnsi"/>
                <w:color w:val="000000" w:themeColor="text1"/>
                <w:sz w:val="16"/>
                <w:szCs w:val="16"/>
                <w:vertAlign w:val="superscript"/>
                <w:lang w:eastAsia="ja-JP"/>
              </w:rPr>
              <w:t>ns</w:t>
            </w:r>
          </w:p>
        </w:tc>
        <w:tc>
          <w:tcPr>
            <w:tcW w:w="1189" w:type="dxa"/>
            <w:vAlign w:val="center"/>
            <w:hideMark/>
          </w:tcPr>
          <w:p w14:paraId="46CEA95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0.95 ± 0.20</w:t>
            </w:r>
            <w:r w:rsidRPr="005E6B7C">
              <w:rPr>
                <w:rFonts w:asciiTheme="majorHAnsi" w:eastAsia="Yu Mincho" w:hAnsiTheme="majorHAnsi" w:cstheme="majorHAnsi"/>
                <w:color w:val="000000" w:themeColor="text1"/>
                <w:sz w:val="16"/>
                <w:szCs w:val="16"/>
                <w:vertAlign w:val="superscript"/>
                <w:lang w:eastAsia="ja-JP"/>
              </w:rPr>
              <w:t>*</w:t>
            </w:r>
          </w:p>
        </w:tc>
      </w:tr>
      <w:tr w:rsidR="004A3B6F" w:rsidRPr="005E6B7C" w14:paraId="4B9D5751" w14:textId="77777777" w:rsidTr="0047080C">
        <w:trPr>
          <w:jc w:val="center"/>
        </w:trPr>
        <w:tc>
          <w:tcPr>
            <w:tcW w:w="816" w:type="dxa"/>
            <w:vAlign w:val="center"/>
            <w:hideMark/>
          </w:tcPr>
          <w:p w14:paraId="22D0F6A7" w14:textId="77777777" w:rsidR="00E049CB" w:rsidRPr="005E6B7C" w:rsidRDefault="00E049CB" w:rsidP="008C0D47">
            <w:pPr>
              <w:tabs>
                <w:tab w:val="left" w:pos="270"/>
                <w:tab w:val="left" w:pos="9270"/>
              </w:tabs>
              <w:ind w:right="-20"/>
              <w:jc w:val="center"/>
              <w:rPr>
                <w:rFonts w:asciiTheme="majorHAnsi" w:eastAsia="Yu Mincho" w:hAnsiTheme="majorHAnsi" w:cstheme="majorHAnsi"/>
                <w:b/>
                <w:color w:val="000000" w:themeColor="text1"/>
                <w:sz w:val="16"/>
                <w:szCs w:val="16"/>
                <w:lang w:eastAsia="ja-JP"/>
              </w:rPr>
            </w:pPr>
            <w:r w:rsidRPr="005E6B7C">
              <w:rPr>
                <w:rFonts w:asciiTheme="majorHAnsi" w:eastAsia="Yu Mincho" w:hAnsiTheme="majorHAnsi" w:cstheme="majorHAnsi"/>
                <w:b/>
                <w:color w:val="000000" w:themeColor="text1"/>
                <w:sz w:val="16"/>
                <w:szCs w:val="16"/>
                <w:lang w:eastAsia="ja-JP"/>
              </w:rPr>
              <w:t>BB300</w:t>
            </w:r>
          </w:p>
        </w:tc>
        <w:tc>
          <w:tcPr>
            <w:tcW w:w="1429" w:type="dxa"/>
            <w:vAlign w:val="center"/>
            <w:hideMark/>
          </w:tcPr>
          <w:p w14:paraId="4593305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6.33 ± 1.75</w:t>
            </w:r>
            <w:r w:rsidRPr="005E6B7C">
              <w:rPr>
                <w:rFonts w:asciiTheme="majorHAnsi" w:eastAsia="Yu Mincho" w:hAnsiTheme="majorHAnsi" w:cstheme="majorHAnsi"/>
                <w:color w:val="000000" w:themeColor="text1"/>
                <w:sz w:val="16"/>
                <w:szCs w:val="16"/>
                <w:vertAlign w:val="superscript"/>
                <w:lang w:eastAsia="ja-JP"/>
              </w:rPr>
              <w:t>ns</w:t>
            </w:r>
          </w:p>
        </w:tc>
        <w:tc>
          <w:tcPr>
            <w:tcW w:w="1325" w:type="dxa"/>
            <w:vAlign w:val="center"/>
            <w:hideMark/>
          </w:tcPr>
          <w:p w14:paraId="3AB296D8"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1.5 (0.75; 2)</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7051A9C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0.19 ± 0.07</w:t>
            </w:r>
            <w:r w:rsidRPr="005E6B7C">
              <w:rPr>
                <w:rFonts w:asciiTheme="majorHAnsi" w:eastAsia="Yu Mincho" w:hAnsiTheme="majorHAnsi" w:cstheme="majorHAnsi"/>
                <w:color w:val="000000" w:themeColor="text1"/>
                <w:sz w:val="16"/>
                <w:szCs w:val="16"/>
                <w:vertAlign w:val="superscript"/>
                <w:lang w:eastAsia="ja-JP"/>
              </w:rPr>
              <w:t>ns</w:t>
            </w:r>
          </w:p>
        </w:tc>
        <w:tc>
          <w:tcPr>
            <w:tcW w:w="1168" w:type="dxa"/>
            <w:vAlign w:val="center"/>
            <w:hideMark/>
          </w:tcPr>
          <w:p w14:paraId="07EBBBF9"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0.06 ± 0.03</w:t>
            </w:r>
            <w:r w:rsidRPr="005E6B7C">
              <w:rPr>
                <w:rFonts w:asciiTheme="majorHAnsi" w:eastAsia="Yu Mincho" w:hAnsiTheme="majorHAnsi" w:cstheme="majorHAnsi"/>
                <w:color w:val="000000" w:themeColor="text1"/>
                <w:sz w:val="16"/>
                <w:szCs w:val="16"/>
                <w:vertAlign w:val="superscript"/>
                <w:lang w:eastAsia="ja-JP"/>
              </w:rPr>
              <w:t>ns</w:t>
            </w:r>
          </w:p>
        </w:tc>
        <w:tc>
          <w:tcPr>
            <w:tcW w:w="1469" w:type="dxa"/>
            <w:vAlign w:val="center"/>
            <w:hideMark/>
          </w:tcPr>
          <w:p w14:paraId="7996F03B"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66.21 ± 4.28</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2E8B1127"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2.37 ± 0.38</w:t>
            </w:r>
            <w:r w:rsidRPr="005E6B7C">
              <w:rPr>
                <w:rFonts w:asciiTheme="majorHAnsi" w:eastAsia="Yu Mincho" w:hAnsiTheme="majorHAnsi" w:cstheme="majorHAnsi"/>
                <w:color w:val="000000" w:themeColor="text1"/>
                <w:sz w:val="16"/>
                <w:szCs w:val="16"/>
                <w:vertAlign w:val="superscript"/>
                <w:lang w:eastAsia="ja-JP"/>
              </w:rPr>
              <w:t>***</w:t>
            </w:r>
          </w:p>
        </w:tc>
        <w:tc>
          <w:tcPr>
            <w:tcW w:w="1216" w:type="dxa"/>
            <w:vAlign w:val="center"/>
            <w:hideMark/>
          </w:tcPr>
          <w:p w14:paraId="281DD99D"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1.24 ± 0.28</w:t>
            </w:r>
            <w:r w:rsidRPr="005E6B7C">
              <w:rPr>
                <w:rFonts w:asciiTheme="majorHAnsi" w:eastAsia="Yu Mincho" w:hAnsiTheme="majorHAnsi" w:cstheme="majorHAnsi"/>
                <w:color w:val="000000" w:themeColor="text1"/>
                <w:sz w:val="16"/>
                <w:szCs w:val="16"/>
                <w:vertAlign w:val="superscript"/>
                <w:lang w:eastAsia="ja-JP"/>
              </w:rPr>
              <w:t>ns</w:t>
            </w:r>
          </w:p>
        </w:tc>
        <w:tc>
          <w:tcPr>
            <w:tcW w:w="1189" w:type="dxa"/>
            <w:vAlign w:val="center"/>
            <w:hideMark/>
          </w:tcPr>
          <w:p w14:paraId="1C322AB6" w14:textId="77777777" w:rsidR="00E049CB" w:rsidRPr="005E6B7C" w:rsidRDefault="00E049CB" w:rsidP="008C0D47">
            <w:pPr>
              <w:tabs>
                <w:tab w:val="left" w:pos="270"/>
                <w:tab w:val="left" w:pos="9270"/>
              </w:tabs>
              <w:ind w:right="-20"/>
              <w:jc w:val="center"/>
              <w:rPr>
                <w:rFonts w:asciiTheme="majorHAnsi" w:eastAsia="Yu Mincho" w:hAnsiTheme="majorHAnsi" w:cstheme="majorHAnsi"/>
                <w:color w:val="000000" w:themeColor="text1"/>
                <w:sz w:val="16"/>
                <w:szCs w:val="16"/>
                <w:vertAlign w:val="superscript"/>
                <w:lang w:eastAsia="ja-JP"/>
              </w:rPr>
            </w:pPr>
            <w:r w:rsidRPr="005E6B7C">
              <w:rPr>
                <w:rFonts w:asciiTheme="majorHAnsi" w:eastAsia="Yu Mincho" w:hAnsiTheme="majorHAnsi" w:cstheme="majorHAnsi"/>
                <w:color w:val="000000" w:themeColor="text1"/>
                <w:sz w:val="16"/>
                <w:szCs w:val="16"/>
                <w:lang w:eastAsia="ja-JP"/>
              </w:rPr>
              <w:t>1.13 ± 0.11</w:t>
            </w:r>
            <w:r w:rsidRPr="005E6B7C">
              <w:rPr>
                <w:rFonts w:asciiTheme="majorHAnsi" w:eastAsia="Yu Mincho" w:hAnsiTheme="majorHAnsi" w:cstheme="majorHAnsi"/>
                <w:color w:val="000000" w:themeColor="text1"/>
                <w:sz w:val="16"/>
                <w:szCs w:val="16"/>
                <w:vertAlign w:val="superscript"/>
                <w:lang w:eastAsia="ja-JP"/>
              </w:rPr>
              <w:t>**</w:t>
            </w:r>
          </w:p>
        </w:tc>
      </w:tr>
    </w:tbl>
    <w:p w14:paraId="6E2B980A" w14:textId="77777777" w:rsidR="00E049CB" w:rsidRPr="005E6B7C" w:rsidRDefault="00E049CB" w:rsidP="008C0D47">
      <w:pPr>
        <w:tabs>
          <w:tab w:val="left" w:pos="270"/>
          <w:tab w:val="left" w:pos="9270"/>
        </w:tabs>
        <w:spacing w:before="120"/>
        <w:ind w:firstLine="284"/>
        <w:jc w:val="both"/>
        <w:rPr>
          <w:rFonts w:asciiTheme="majorHAnsi" w:eastAsia="MS Mincho" w:hAnsiTheme="majorHAnsi" w:cstheme="majorHAnsi"/>
          <w:i/>
          <w:color w:val="000000" w:themeColor="text1"/>
          <w:sz w:val="18"/>
          <w:szCs w:val="18"/>
          <w:lang w:eastAsia="ja-JP"/>
        </w:rPr>
      </w:pPr>
      <w:r w:rsidRPr="005E6B7C">
        <w:rPr>
          <w:rFonts w:asciiTheme="majorHAnsi" w:eastAsia="MS Mincho" w:hAnsiTheme="majorHAnsi" w:cstheme="majorHAnsi"/>
          <w:i/>
          <w:color w:val="000000" w:themeColor="text1"/>
          <w:sz w:val="18"/>
          <w:szCs w:val="18"/>
          <w:lang w:eastAsia="ja-JP"/>
        </w:rPr>
        <w:t xml:space="preserve">Statistical symbols indicate comparisons with the control group (Control) using Tukey’s test, while the Dunn’s test was used for fecal morphology scores. </w:t>
      </w:r>
    </w:p>
    <w:p w14:paraId="19749AC4" w14:textId="77777777" w:rsidR="0047080C" w:rsidRPr="005E6B7C" w:rsidRDefault="0047080C" w:rsidP="008C0D47">
      <w:pPr>
        <w:tabs>
          <w:tab w:val="left" w:pos="270"/>
          <w:tab w:val="left" w:pos="9270"/>
        </w:tabs>
        <w:ind w:right="-20"/>
        <w:contextualSpacing/>
        <w:jc w:val="both"/>
        <w:rPr>
          <w:rFonts w:asciiTheme="majorHAnsi" w:eastAsia="MS Mincho" w:hAnsiTheme="majorHAnsi" w:cstheme="majorHAnsi"/>
          <w:iCs/>
          <w:color w:val="000000" w:themeColor="text1"/>
          <w:sz w:val="22"/>
          <w:szCs w:val="22"/>
          <w:lang w:eastAsia="ja-JP"/>
        </w:rPr>
      </w:pPr>
    </w:p>
    <w:p w14:paraId="296210AB" w14:textId="77777777" w:rsidR="001701EA" w:rsidRPr="005E6B7C" w:rsidRDefault="001701EA"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32264431" w14:textId="77777777" w:rsidR="001701EA" w:rsidRPr="005E6B7C" w:rsidRDefault="00E049CB"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pPr>
      <w:r w:rsidRPr="005E6B7C">
        <w:rPr>
          <w:rFonts w:asciiTheme="majorHAnsi" w:eastAsia="MS Mincho" w:hAnsiTheme="majorHAnsi" w:cstheme="majorHAnsi"/>
          <w:iCs/>
          <w:color w:val="000000" w:themeColor="text1"/>
          <w:sz w:val="22"/>
          <w:szCs w:val="22"/>
          <w:lang w:eastAsia="ja-JP"/>
        </w:rPr>
        <w:t xml:space="preserve">The results in </w:t>
      </w:r>
      <w:r w:rsidRPr="005E6B7C">
        <w:rPr>
          <w:rFonts w:asciiTheme="majorHAnsi" w:eastAsia="MS Mincho" w:hAnsiTheme="majorHAnsi" w:cstheme="majorHAnsi"/>
          <w:b/>
          <w:bCs/>
          <w:iCs/>
          <w:color w:val="000000" w:themeColor="text1"/>
          <w:sz w:val="22"/>
          <w:szCs w:val="22"/>
          <w:lang w:eastAsia="ja-JP"/>
        </w:rPr>
        <w:t>Table 5</w:t>
      </w:r>
      <w:r w:rsidRPr="005E6B7C">
        <w:rPr>
          <w:rFonts w:asciiTheme="majorHAnsi" w:eastAsia="MS Mincho" w:hAnsiTheme="majorHAnsi" w:cstheme="majorHAnsi"/>
          <w:iCs/>
          <w:color w:val="000000" w:themeColor="text1"/>
          <w:sz w:val="22"/>
          <w:szCs w:val="22"/>
          <w:lang w:eastAsia="ja-JP"/>
        </w:rPr>
        <w:t xml:space="preserve"> showed that there were no statistically significant differences in the number of fecal pellets within 4 hours between the control group and the groups treated with </w:t>
      </w:r>
      <w:r w:rsidRPr="005E6B7C">
        <w:rPr>
          <w:rFonts w:asciiTheme="majorHAnsi" w:eastAsia="MS Mincho" w:hAnsiTheme="majorHAnsi" w:cstheme="majorHAnsi"/>
          <w:i/>
          <w:color w:val="000000" w:themeColor="text1"/>
          <w:sz w:val="22"/>
          <w:szCs w:val="22"/>
          <w:lang w:eastAsia="ja-JP"/>
        </w:rPr>
        <w:t>P. nil</w:t>
      </w:r>
      <w:r w:rsidRPr="005E6B7C">
        <w:rPr>
          <w:rFonts w:asciiTheme="majorHAnsi" w:eastAsia="MS Mincho" w:hAnsiTheme="majorHAnsi" w:cstheme="majorHAnsi"/>
          <w:iCs/>
          <w:color w:val="000000" w:themeColor="text1"/>
          <w:sz w:val="22"/>
          <w:szCs w:val="22"/>
          <w:lang w:eastAsia="ja-JP"/>
        </w:rPr>
        <w:t xml:space="preserve"> seed extract at different doses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The number of fecal pellets in the castor oil group and </w:t>
      </w:r>
      <w:r w:rsidRPr="005E6B7C">
        <w:rPr>
          <w:rFonts w:asciiTheme="majorHAnsi" w:eastAsia="MS Mincho" w:hAnsiTheme="majorHAnsi" w:cstheme="majorHAnsi"/>
          <w:iCs/>
          <w:color w:val="000000" w:themeColor="text1"/>
          <w:sz w:val="22"/>
          <w:szCs w:val="22"/>
          <w:lang w:eastAsia="ja-JP"/>
        </w:rPr>
        <w:t>the BB300 group tended to be higher than that in the control group; however, the differences were not statistically significant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&gt; 0.05) (</w:t>
      </w:r>
      <w:r w:rsidRPr="005E6B7C">
        <w:rPr>
          <w:rFonts w:asciiTheme="majorHAnsi" w:eastAsia="MS Mincho" w:hAnsiTheme="majorHAnsi" w:cstheme="majorHAnsi"/>
          <w:b/>
          <w:bCs/>
          <w:iCs/>
          <w:color w:val="000000" w:themeColor="text1"/>
          <w:sz w:val="22"/>
          <w:szCs w:val="22"/>
          <w:lang w:eastAsia="ja-JP"/>
        </w:rPr>
        <w:t>Fig. 3</w:t>
      </w:r>
      <w:r w:rsidRPr="005E6B7C">
        <w:rPr>
          <w:rFonts w:asciiTheme="majorHAnsi" w:eastAsia="MS Mincho" w:hAnsiTheme="majorHAnsi" w:cstheme="majorHAnsi"/>
          <w:iCs/>
          <w:color w:val="000000" w:themeColor="text1"/>
          <w:sz w:val="22"/>
          <w:szCs w:val="22"/>
          <w:lang w:eastAsia="ja-JP"/>
        </w:rPr>
        <w:t xml:space="preserve">). The fecal morphology scores in the extract-treated groups and the reference group were higher than those in the control group, but the differences were </w:t>
      </w:r>
      <w:r w:rsidRPr="005E6B7C">
        <w:rPr>
          <w:rFonts w:asciiTheme="majorHAnsi" w:eastAsia="MS Mincho" w:hAnsiTheme="majorHAnsi" w:cstheme="majorHAnsi"/>
          <w:iCs/>
          <w:color w:val="000000" w:themeColor="text1"/>
          <w:sz w:val="22"/>
          <w:szCs w:val="22"/>
          <w:lang w:eastAsia="ja-JP"/>
        </w:rPr>
        <w:lastRenderedPageBreak/>
        <w:t>not statistically significant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&gt; 0.05). Similarly, there were no statistically significant differences in wet or dry fecal weight between the control group and the experimental groups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However, the fecal water content in the groups treated with 150 and 300 mg/kg extract, as well as in the castor oil group, was significantly higher than that in the control group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The BB75 group also showed a higher fecal water content than the control group, but the difference was not statistically significant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The intestinal weight before squeezing in the BB150, BB300, and castor oil groups was significantly higher than </w:t>
      </w:r>
      <w:r w:rsidRPr="005E6B7C">
        <w:rPr>
          <w:rFonts w:asciiTheme="majorHAnsi" w:eastAsia="MS Mincho" w:hAnsiTheme="majorHAnsi" w:cstheme="majorHAnsi"/>
          <w:iCs/>
          <w:color w:val="000000" w:themeColor="text1"/>
          <w:sz w:val="22"/>
          <w:szCs w:val="22"/>
          <w:lang w:eastAsia="ja-JP"/>
        </w:rPr>
        <w:t>that in the control group (</w:t>
      </w:r>
      <w:r w:rsidRPr="005E6B7C">
        <w:rPr>
          <w:rFonts w:asciiTheme="majorHAnsi" w:eastAsia="MS Mincho" w:hAnsiTheme="majorHAnsi" w:cstheme="majorHAnsi"/>
          <w:i/>
          <w:iCs/>
          <w:color w:val="000000" w:themeColor="text1"/>
          <w:sz w:val="22"/>
          <w:szCs w:val="22"/>
          <w:lang w:eastAsia="ja-JP"/>
        </w:rPr>
        <w:t xml:space="preserve">p </w:t>
      </w:r>
      <w:r w:rsidRPr="005E6B7C">
        <w:rPr>
          <w:rFonts w:asciiTheme="majorHAnsi" w:eastAsia="MS Mincho" w:hAnsiTheme="majorHAnsi" w:cstheme="majorHAnsi"/>
          <w:iCs/>
          <w:color w:val="000000" w:themeColor="text1"/>
          <w:sz w:val="22"/>
          <w:szCs w:val="22"/>
          <w:lang w:eastAsia="ja-JP"/>
        </w:rPr>
        <w:t>&lt; 0.05), whereas the BB75 group showed no significant difference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The intestinal weight after squeezing did not differ significantly between the control group and the experimental groups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 In contrast, the intestinal content weight in the BB150, BB300, and castor oil groups was significantly higher than that in the control group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&lt; 0.05), representing an increase of approximately 75 </w:t>
      </w:r>
      <w:r w:rsidRPr="005E6B7C">
        <w:rPr>
          <w:rFonts w:asciiTheme="majorHAnsi" w:eastAsia="MS Mincho" w:hAnsiTheme="majorHAnsi" w:cstheme="majorHAnsi"/>
          <w:iCs/>
          <w:color w:val="000000" w:themeColor="text1"/>
          <w:sz w:val="22"/>
          <w:szCs w:val="22"/>
          <w:lang w:eastAsia="ja-JP"/>
        </w:rPr>
        <w:sym w:font="Symbol" w:char="F02D"/>
      </w:r>
      <w:r w:rsidRPr="005E6B7C">
        <w:rPr>
          <w:rFonts w:asciiTheme="majorHAnsi" w:eastAsia="MS Mincho" w:hAnsiTheme="majorHAnsi" w:cstheme="majorHAnsi"/>
          <w:iCs/>
          <w:color w:val="000000" w:themeColor="text1"/>
          <w:sz w:val="22"/>
          <w:szCs w:val="22"/>
          <w:lang w:eastAsia="ja-JP"/>
        </w:rPr>
        <w:t xml:space="preserve"> 109% compared with the control group and demonstrating an effect similar to that of the reference control (castor oil), while the BB75 group showed no statistically significant difference (</w:t>
      </w:r>
      <w:r w:rsidRPr="005E6B7C">
        <w:rPr>
          <w:rFonts w:asciiTheme="majorHAnsi" w:eastAsia="MS Mincho" w:hAnsiTheme="majorHAnsi" w:cstheme="majorHAnsi"/>
          <w:i/>
          <w:iCs/>
          <w:color w:val="000000" w:themeColor="text1"/>
          <w:sz w:val="22"/>
          <w:szCs w:val="22"/>
          <w:lang w:eastAsia="ja-JP"/>
        </w:rPr>
        <w:t>p</w:t>
      </w:r>
      <w:r w:rsidRPr="005E6B7C">
        <w:rPr>
          <w:rFonts w:asciiTheme="majorHAnsi" w:eastAsia="MS Mincho" w:hAnsiTheme="majorHAnsi" w:cstheme="majorHAnsi"/>
          <w:iCs/>
          <w:color w:val="000000" w:themeColor="text1"/>
          <w:sz w:val="22"/>
          <w:szCs w:val="22"/>
          <w:lang w:eastAsia="ja-JP"/>
        </w:rPr>
        <w:t xml:space="preserve"> &gt; 0.05).</w:t>
      </w:r>
    </w:p>
    <w:p w14:paraId="0112DE00" w14:textId="77777777" w:rsidR="001701EA" w:rsidRPr="005E6B7C" w:rsidRDefault="001701EA" w:rsidP="008C0D47">
      <w:pPr>
        <w:tabs>
          <w:tab w:val="left" w:pos="270"/>
          <w:tab w:val="left" w:pos="9270"/>
        </w:tabs>
        <w:spacing w:line="240" w:lineRule="exact"/>
        <w:ind w:firstLine="284"/>
        <w:contextualSpacing/>
        <w:jc w:val="both"/>
        <w:rPr>
          <w:rFonts w:asciiTheme="majorHAnsi" w:eastAsia="MS Mincho" w:hAnsiTheme="majorHAnsi" w:cstheme="majorHAnsi"/>
          <w:iCs/>
          <w:color w:val="000000" w:themeColor="text1"/>
          <w:sz w:val="22"/>
          <w:szCs w:val="22"/>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4BDB6371" w14:textId="77777777" w:rsidR="00F418B0" w:rsidRPr="005E6B7C" w:rsidRDefault="00F418B0" w:rsidP="008C0D47">
      <w:pPr>
        <w:tabs>
          <w:tab w:val="left" w:pos="270"/>
          <w:tab w:val="left" w:pos="9270"/>
        </w:tabs>
        <w:ind w:right="-20"/>
        <w:contextualSpacing/>
        <w:jc w:val="center"/>
        <w:rPr>
          <w:rFonts w:asciiTheme="majorHAnsi" w:eastAsia="MS Mincho" w:hAnsiTheme="majorHAnsi" w:cstheme="majorHAnsi"/>
          <w:b/>
          <w:bCs/>
          <w:iCs/>
          <w:color w:val="000000" w:themeColor="text1"/>
          <w:sz w:val="18"/>
          <w:szCs w:val="18"/>
          <w:lang w:eastAsia="ja-JP"/>
        </w:rPr>
      </w:pPr>
    </w:p>
    <w:p w14:paraId="3A82BDCB" w14:textId="77777777" w:rsidR="00F418B0" w:rsidRPr="005E6B7C" w:rsidRDefault="00F418B0" w:rsidP="008C0D47">
      <w:pPr>
        <w:tabs>
          <w:tab w:val="left" w:pos="270"/>
          <w:tab w:val="left" w:pos="9270"/>
        </w:tabs>
        <w:ind w:right="-20"/>
        <w:contextualSpacing/>
        <w:jc w:val="center"/>
        <w:rPr>
          <w:rFonts w:asciiTheme="majorHAnsi" w:eastAsia="MS Mincho" w:hAnsiTheme="majorHAnsi" w:cstheme="majorHAnsi"/>
          <w:b/>
          <w:bCs/>
          <w:iCs/>
          <w:color w:val="000000" w:themeColor="text1"/>
          <w:sz w:val="18"/>
          <w:szCs w:val="18"/>
          <w:lang w:eastAsia="ja-JP"/>
        </w:rPr>
      </w:pPr>
      <w:r w:rsidRPr="005E6B7C">
        <w:rPr>
          <w:rFonts w:asciiTheme="majorHAnsi" w:eastAsia="MS Mincho" w:hAnsiTheme="majorHAnsi" w:cstheme="majorHAnsi"/>
          <w:b/>
          <w:bCs/>
          <w:iCs/>
          <w:noProof/>
          <w:color w:val="000000" w:themeColor="text1"/>
          <w:sz w:val="18"/>
          <w:szCs w:val="18"/>
        </w:rPr>
        <w:drawing>
          <wp:inline distT="0" distB="0" distL="0" distR="0" wp14:anchorId="50789A66" wp14:editId="3DC8260E">
            <wp:extent cx="4524498" cy="11110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525900" cy="1111388"/>
                    </a:xfrm>
                    <a:prstGeom prst="rect">
                      <a:avLst/>
                    </a:prstGeom>
                  </pic:spPr>
                </pic:pic>
              </a:graphicData>
            </a:graphic>
          </wp:inline>
        </w:drawing>
      </w:r>
    </w:p>
    <w:p w14:paraId="44B7EE96" w14:textId="77777777" w:rsidR="00E049CB" w:rsidRPr="005E6B7C" w:rsidRDefault="00E049CB" w:rsidP="008C0D47">
      <w:pPr>
        <w:tabs>
          <w:tab w:val="left" w:pos="270"/>
          <w:tab w:val="left" w:pos="9270"/>
        </w:tabs>
        <w:ind w:right="-20"/>
        <w:contextualSpacing/>
        <w:jc w:val="center"/>
        <w:rPr>
          <w:rFonts w:asciiTheme="majorHAnsi" w:eastAsia="MS Mincho" w:hAnsiTheme="majorHAnsi" w:cstheme="majorHAnsi"/>
          <w:iCs/>
          <w:color w:val="000000" w:themeColor="text1"/>
          <w:sz w:val="18"/>
          <w:szCs w:val="18"/>
          <w:lang w:eastAsia="ja-JP"/>
        </w:rPr>
      </w:pPr>
      <w:r w:rsidRPr="005E6B7C">
        <w:rPr>
          <w:rFonts w:asciiTheme="majorHAnsi" w:eastAsia="MS Mincho" w:hAnsiTheme="majorHAnsi" w:cstheme="majorHAnsi"/>
          <w:b/>
          <w:bCs/>
          <w:iCs/>
          <w:color w:val="000000" w:themeColor="text1"/>
          <w:sz w:val="18"/>
          <w:szCs w:val="18"/>
          <w:lang w:eastAsia="ja-JP"/>
        </w:rPr>
        <w:t>Fig. 3.</w:t>
      </w:r>
      <w:r w:rsidRPr="005E6B7C">
        <w:rPr>
          <w:rFonts w:asciiTheme="majorHAnsi" w:eastAsia="MS Mincho" w:hAnsiTheme="majorHAnsi" w:cstheme="majorHAnsi"/>
          <w:iCs/>
          <w:color w:val="000000" w:themeColor="text1"/>
          <w:sz w:val="18"/>
          <w:szCs w:val="18"/>
          <w:lang w:eastAsia="ja-JP"/>
        </w:rPr>
        <w:t xml:space="preserve"> Fecal morphology of mice within 4 hours</w:t>
      </w:r>
    </w:p>
    <w:p w14:paraId="5F48C22A" w14:textId="77777777" w:rsidR="0047080C" w:rsidRPr="005E6B7C" w:rsidRDefault="0047080C" w:rsidP="008C0D47">
      <w:pPr>
        <w:tabs>
          <w:tab w:val="left" w:pos="270"/>
          <w:tab w:val="left" w:pos="9270"/>
        </w:tabs>
        <w:ind w:right="-20"/>
        <w:jc w:val="both"/>
        <w:rPr>
          <w:rFonts w:asciiTheme="majorHAnsi" w:eastAsia="Yu Mincho" w:hAnsiTheme="majorHAnsi" w:cstheme="majorHAnsi"/>
          <w:b/>
          <w:bCs/>
          <w:color w:val="000000" w:themeColor="text1"/>
          <w:sz w:val="22"/>
          <w:szCs w:val="22"/>
          <w:lang w:eastAsia="ja-JP"/>
        </w:rPr>
      </w:pPr>
    </w:p>
    <w:p w14:paraId="054D9EA7" w14:textId="77777777" w:rsidR="001701EA" w:rsidRPr="005E6B7C" w:rsidRDefault="001701EA" w:rsidP="008C0D47">
      <w:pPr>
        <w:tabs>
          <w:tab w:val="left" w:pos="27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1701EA" w:rsidRPr="005E6B7C" w:rsidSect="002206BB">
          <w:type w:val="continuous"/>
          <w:pgSz w:w="10773" w:h="15309" w:code="9"/>
          <w:pgMar w:top="907" w:right="851" w:bottom="1418" w:left="851" w:header="397" w:footer="851" w:gutter="0"/>
          <w:cols w:space="284"/>
          <w:docGrid w:linePitch="360"/>
        </w:sectPr>
      </w:pPr>
    </w:p>
    <w:p w14:paraId="0DCC1489"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4. Discussion</w:t>
      </w:r>
    </w:p>
    <w:p w14:paraId="693C7128"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results of this study showed that the oral 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of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in white mice was 3.96 g/kg, indicating low acute toxicity. According to the toxicity classification proposed by Hodge and Sterner, substances with an oral 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ranging from 0.5 to 5 g/kg are categorized as having low toxicity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&lt;EndNote&gt;&lt;Cite&gt;&lt;Author&gt;Hodge&lt;/Author&gt;&lt;Year&gt;1949&lt;/Year&gt;&lt;RecNum&gt;18&lt;/RecNum&gt;&lt;DisplayText&gt;[18]&lt;/DisplayText&gt;&lt;record&gt;&lt;rec-number&gt;18&lt;/rec-number&gt;&lt;foreign-keys&gt;&lt;key app="EN" db-id="9awsf9p0s2zpssez0eop5vvrsx25ezw5pets" timestamp="1773241560"&gt;18&lt;/key&gt;&lt;/foreign-keys&gt;&lt;ref-type name="Journal Article"&gt;17&lt;/ref-type&gt;&lt;contributors&gt;&lt;authors&gt;&lt;author&gt;Hodge, H. C.&lt;/author&gt;&lt;author&gt;Sterner, J. H.&lt;/author&gt;&lt;/authors&gt;&lt;/contributors&gt;&lt;titles&gt;&lt;title&gt;Tabulation of toxicity classes&lt;/title&gt;&lt;secondary-title&gt;American Industrial Hygiene Association Quarterly &lt;/secondary-title&gt;&lt;/titles&gt;&lt;periodical&gt;&lt;full-title&gt;American Industrial Hygiene Association Quarterly&lt;/full-title&gt;&lt;/periodical&gt;&lt;pages&gt;93-6&lt;/pages&gt;&lt;volume&gt;10&lt;/volume&gt;&lt;number&gt;4&lt;/number&gt;&lt;edition&gt;1949/12/01&lt;/edition&gt;&lt;keywords&gt;&lt;keyword&gt;*Poisoning&lt;/keyword&gt;&lt;keyword&gt;*Poisons&lt;/keyword&gt;&lt;keyword&gt;*poisons and poisoning&lt;/keyword&gt;&lt;/keywords&gt;&lt;dates&gt;&lt;year&gt;1949&lt;/year&gt;&lt;pub-dates&gt;&lt;date&gt;Dec&lt;/date&gt;&lt;/pub-dates&gt;&lt;/dates&gt;&lt;isbn&gt;0096-820X (Print)&amp;#xD;0096-820X (Linking)&lt;/isbn&gt;&lt;accession-num&gt;24536943&lt;/accession-num&gt;&lt;urls&gt;&lt;related-urls&gt;&lt;url&gt;https://www.ncbi.nlm.nih.gov/pubmed/24536943&lt;/url&gt;&lt;/related-urls&gt;&lt;/urls&gt;&lt;electronic-resource-num&gt;10.1080/00968204909344159&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Therefore,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evaluated in this study can be considered to have a relatively safe level when administered orally. Compared with the traditional medicinal dosage,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are commonly used at a dose of 4 </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 8 g of crude drug per day for adults according to the Vietnamese Pharmacopoeia V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&lt;EndNote&gt;&lt;Cite&gt;&lt;Author&gt;Ministry of Health (Vietnam)&lt;/Author&gt;&lt;Year&gt;2017&lt;/Year&gt;&lt;RecNum&gt;12&lt;/RecNum&gt;&lt;DisplayText&gt;[2]&lt;/DisplayText&gt;&lt;record&gt;&lt;rec-number&gt;12&lt;/rec-number&gt;&lt;foreign-keys&gt;&lt;key app="EN" db-id="9awsf9p0s2zpssez0eop5vvrsx25ezw5pets" timestamp="1772982603"&gt;12&lt;/key&gt;&lt;/foreign-keys&gt;&lt;ref-type name="Journal Article"&gt;17&lt;/ref-type&gt;&lt;contributors&gt;&lt;authors&gt;&lt;author&gt;Ministry of Health (Vietnam),&lt;/author&gt;&lt;/authors&gt;&lt;/contributors&gt;&lt;titles&gt;&lt;title&gt;&lt;style face="normal" font="default" charset="163" size="100%"&gt;Vietnamese Pharmacopoeia V. &lt;/style&gt;&lt;style face="italic" font="default" charset="163" size="100%"&gt;Hanoi: Medical Publishing House&lt;/style&gt;&lt;/title&gt;&lt;/titles&gt;&lt;dates&gt;&lt;year&gt;2017&lt;/year&gt;&lt;/dates&gt;&lt;urls&gt;&lt;/urls&gt;&lt;/record&gt;&lt;/Cite&gt;&lt;/EndNote&gt;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When converted to the equivalent dose in mice using the body surface area conversion factor, this corresponds to approximately 127 </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 254 mg/kg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&lt;EndNote&gt;&lt;Cite&gt;&lt;RecNum&gt;1&lt;/RecNum&gt;&lt;DisplayText&gt;[8]&lt;/DisplayText&gt;&lt;record&gt;&lt;rec-number&gt;1&lt;/rec-number&gt;&lt;foreign-keys&gt;&lt;key app="EN" db-id="9awsf9p0s2zpssez0eop5vvrsx25ezw5pets" timestamp="1772684081"&gt;1&lt;/key&gt;&lt;/foreign-keys&gt;&lt;ref-type name="Journal Article"&gt;17&lt;/ref-type&gt;&lt;contributors&gt;&lt;authors&gt;&lt;author&gt;Ministry of Health (Vietnam),&lt;/author&gt;&lt;/authors&gt;&lt;/contributors&gt;&lt;titles&gt;&lt;title&gt;&lt;style face="normal" font="default" size="100%"&gt;Decision No. 141/QD&lt;/style&gt;&lt;style face="normal" font="default" charset="238" size="100%"&gt;-K2&lt;/style&gt;&lt;style face="normal" font="default" size="100%"&gt;D&lt;/style&gt;&lt;style face="normal" font="default" charset="238" size="100%"&gt;T dated October 27, 2015: &lt;/style&gt;&lt;style face="normal" font="default" size="100%"&gt;&amp;quot;&lt;/style&gt;&lt;style face="normal" font="default" charset="238" size="100%"&gt;Guidelines for Preclinical and Clinical Trials of Traditional Medicines and Herbal Medicines&lt;/style&gt;&lt;style face="normal" font="default" size="100%"&gt;&amp;quot;&lt;/style&gt;&lt;style face="normal" font="default" charset="238" size="100%"&gt;. Department of Science and Training, Ministry of Health, Vietnam&lt;/style&gt;&lt;/title&gt;&lt;/titles&gt;&lt;dates&gt;&lt;year&gt;2015&lt;/year&gt;&lt;/dates&gt;&lt;urls&gt;&lt;/urls&gt;&lt;/record&gt;&lt;/Cite&gt;&lt;/EndNote&gt;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Thus, the 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 (3.96 g/kg) is about 15.6 times higher than the maximum experimental dose, indicating a relatively wide safety margin between the therapeutic dose and the acute toxic dose. This finding is consistent with the long-standing use of this medicinal plant in traditional medicine as a purgative and laxative agent.</w:t>
      </w:r>
    </w:p>
    <w:p w14:paraId="4ECDFDDF"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These findings are also consistent with several previous studies on </w:t>
      </w:r>
      <w:r w:rsidRPr="005E6B7C">
        <w:rPr>
          <w:rFonts w:asciiTheme="majorHAnsi" w:eastAsia="Yu Mincho" w:hAnsiTheme="majorHAnsi" w:cstheme="majorHAnsi"/>
          <w:i/>
          <w:iCs/>
          <w:color w:val="000000" w:themeColor="text1"/>
          <w:sz w:val="22"/>
          <w:szCs w:val="22"/>
          <w:lang w:eastAsia="ja-JP"/>
        </w:rPr>
        <w:t>Pharbitidis Semen</w:t>
      </w:r>
      <w:r w:rsidRPr="005E6B7C">
        <w:rPr>
          <w:rFonts w:asciiTheme="majorHAnsi" w:eastAsia="Yu Mincho" w:hAnsiTheme="majorHAnsi" w:cstheme="majorHAnsi"/>
          <w:color w:val="000000" w:themeColor="text1"/>
          <w:sz w:val="22"/>
          <w:szCs w:val="22"/>
          <w:lang w:eastAsia="ja-JP"/>
        </w:rPr>
        <w:t xml:space="preserve">. Pharmacological studies have shown that the major active constituents of this medicinal material are resin glycosides (pharbitin), which possess strong biological activity but exhibit relatively low acute toxicity when administered </w:t>
      </w:r>
      <w:r w:rsidRPr="005E6B7C">
        <w:rPr>
          <w:rFonts w:asciiTheme="majorHAnsi" w:eastAsia="Yu Mincho" w:hAnsiTheme="majorHAnsi" w:cstheme="majorHAnsi"/>
          <w:color w:val="000000" w:themeColor="text1"/>
          <w:sz w:val="22"/>
          <w:szCs w:val="22"/>
          <w:lang w:eastAsia="ja-JP"/>
        </w:rPr>
        <w:t xml:space="preserve">orally at therapeutic doses. According to the study by Ono (2017), resin glycosides isolated from plants of the Convolvulaceae family can stimulate intestinal motility and increase intestinal fluid secretion, while generally causing minimal systemic toxicity when used at appropriate doses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&lt;EndNote&gt;&lt;Cite&gt;&lt;Author&gt;Masateru Ono&lt;/Author&gt;&lt;Year&gt;2017&lt;/Year&gt;&lt;RecNum&gt;19&lt;/RecNum&gt;&lt;DisplayText&gt;[4]&lt;/DisplayText&gt;&lt;record&gt;&lt;rec-number&gt;19&lt;/rec-number&gt;&lt;foreign-keys&gt;&lt;key app="EN" db-id="9awsf9p0s2zpssez0eop5vvrsx25ezw5pets" timestamp="1773243412"&gt;19&lt;/key&gt;&lt;/foreign-keys&gt;&lt;ref-type name="Journal Article"&gt;17&lt;/ref-type&gt;&lt;contributors&gt;&lt;authors&gt;&lt;author&gt;Masateru Ono&lt;/author&gt;&lt;/authors&gt;&lt;/contributors&gt;&lt;auth-address&gt;School of Agriculture, Tokai University, 9-1-1 Toroku, Higashi-ku, Kumamoto, 862-8652, Japan. mono@agri.u-tokai.ac.jp.&lt;/auth-address&gt;&lt;titles&gt;&lt;title&gt;Resin glycosides from Convolvulaceae plants&lt;/title&gt;&lt;secondary-title&gt;Journal of Natural Medicines&lt;/secondary-title&gt;&lt;/titles&gt;&lt;periodical&gt;&lt;full-title&gt;Journal of Natural Medicines&lt;/full-title&gt;&lt;/periodical&gt;&lt;pages&gt;591-604&lt;/pages&gt;&lt;volume&gt;71&lt;/volume&gt;&lt;number&gt;4&lt;/number&gt;&lt;edition&gt;2017/07/28&lt;/edition&gt;&lt;keywords&gt;&lt;keyword&gt;Cathartics/chemistry/pharmacology&lt;/keyword&gt;&lt;keyword&gt;Convolvulaceae/*chemistry&lt;/keyword&gt;&lt;keyword&gt;Glycosides/*chemistry/pharmacology&lt;/keyword&gt;&lt;keyword&gt;Humans&lt;/keyword&gt;&lt;keyword&gt;Molecular Structure&lt;/keyword&gt;&lt;keyword&gt;Plant Extracts/*chemistry/pharmacology&lt;/keyword&gt;&lt;keyword&gt;Plant Roots/chemistry&lt;/keyword&gt;&lt;keyword&gt;Plant Tubers/chemistry&lt;/keyword&gt;&lt;keyword&gt;Resins, Plant/chemistry/pharmacology&lt;/keyword&gt;&lt;keyword&gt;Seeds/chemistry&lt;/keyword&gt;&lt;keyword&gt;Convolvulaceae&lt;/keyword&gt;&lt;keyword&gt;Convolvulin&lt;/keyword&gt;&lt;keyword&gt;Glycosidic acid&lt;/keyword&gt;&lt;keyword&gt;Hydroxyl fatty acid&lt;/keyword&gt;&lt;keyword&gt;Jalapin&lt;/keyword&gt;&lt;keyword&gt;Resin glycoside&lt;/keyword&gt;&lt;/keywords&gt;&lt;dates&gt;&lt;year&gt;2017&lt;/year&gt;&lt;pub-dates&gt;&lt;date&gt;Oct&lt;/date&gt;&lt;/pub-dates&gt;&lt;/dates&gt;&lt;isbn&gt;1861-0293 (Electronic)&amp;#xD;1340-3443 (Print)&amp;#xD;1340-3443 (Linking)&lt;/isbn&gt;&lt;accession-num&gt;28748432&lt;/accession-num&gt;&lt;urls&gt;&lt;related-urls&gt;&lt;url&gt;https://www.ncbi.nlm.nih.gov/pubmed/28748432&lt;/url&gt;&lt;/related-urls&gt;&lt;/urls&gt;&lt;custom2&gt;PMC6763574&lt;/custom2&gt;&lt;electronic-resource-num&gt;10.1007/s11418-017-1114-5&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An interesting observation in this study was that, at higher doses, mice exhibited loose or watery stools within 1.5 </w:t>
      </w:r>
      <w:r w:rsidRPr="005E6B7C">
        <w:rPr>
          <w:rFonts w:asciiTheme="majorHAnsi" w:eastAsia="Yu Mincho" w:hAnsiTheme="majorHAnsi" w:cstheme="majorHAnsi"/>
          <w:color w:val="000000" w:themeColor="text1"/>
          <w:sz w:val="22"/>
          <w:szCs w:val="22"/>
          <w:lang w:eastAsia="ja-JP"/>
        </w:rPr>
        <w:sym w:font="Symbol" w:char="F02D"/>
      </w:r>
      <w:r w:rsidRPr="005E6B7C">
        <w:rPr>
          <w:rFonts w:asciiTheme="majorHAnsi" w:eastAsia="Yu Mincho" w:hAnsiTheme="majorHAnsi" w:cstheme="majorHAnsi"/>
          <w:color w:val="000000" w:themeColor="text1"/>
          <w:sz w:val="22"/>
          <w:szCs w:val="22"/>
          <w:lang w:eastAsia="ja-JP"/>
        </w:rPr>
        <w:t xml:space="preserve"> 4 hrs after administration, with recovery occurring after approximately 24 hours. This phenomenon is consistent with the pharmacological characteristics of resin glycosides, which are known to stimulate the intestinal mucosa and increase intestinal fluid secretion, thereby producing purgative or laxative effects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L1llYXI+PFJlY051bT4xNTwvUmVjTnVtPjxEaXNwbGF5VGV4dD5bM108L0Rpc3BsYXlUZXh0Pjxy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L1llYXI+PFJlY051bT4xNTwvUmVjTnVtPjxEaXNwbGF5VGV4dD5bM108L0Rpc3BsYXlUZXh0Pjxy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Therefore, these manifestations are more likely related to the pharmacological activity of the extract rather than true toxic effects. In addition, no gross pathological alterations were observed in major internal organs, including the liver, kidneys, heart, lungs, and spleen, suggesting that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did not cause significant acute toxicity to target organs under the </w:t>
      </w:r>
      <w:r w:rsidRPr="005E6B7C">
        <w:rPr>
          <w:rFonts w:asciiTheme="majorHAnsi" w:eastAsia="Yu Mincho" w:hAnsiTheme="majorHAnsi" w:cstheme="majorHAnsi"/>
          <w:color w:val="000000" w:themeColor="text1"/>
          <w:spacing w:val="-4"/>
          <w:sz w:val="22"/>
          <w:szCs w:val="22"/>
          <w:lang w:eastAsia="ja-JP"/>
        </w:rPr>
        <w:t>experimental conditions. However, it should be noted that acute toxicity studies only reflect short-term effects. Therefore, further investigations on subacute and chronic toxicity are necessary to provide a more comprehensive evaluation of the safety profile of this medicinal plant.</w:t>
      </w:r>
    </w:p>
    <w:p w14:paraId="4F9134E5" w14:textId="2C331A2B"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the present study, a loperamide-induced </w:t>
      </w:r>
      <w:r w:rsidRPr="005E6B7C">
        <w:rPr>
          <w:rFonts w:asciiTheme="majorHAnsi" w:eastAsia="Yu Mincho" w:hAnsiTheme="majorHAnsi" w:cstheme="majorHAnsi"/>
          <w:color w:val="000000" w:themeColor="text1"/>
          <w:sz w:val="22"/>
          <w:szCs w:val="22"/>
          <w:lang w:eastAsia="ja-JP"/>
        </w:rPr>
        <w:lastRenderedPageBreak/>
        <w:t xml:space="preserve">constipation model was used to evaluate the laxative effect of </w:t>
      </w:r>
      <w:r w:rsidRPr="005E6B7C">
        <w:rPr>
          <w:rFonts w:asciiTheme="majorHAnsi" w:eastAsia="Yu Mincho" w:hAnsiTheme="majorHAnsi" w:cstheme="majorHAnsi"/>
          <w:i/>
          <w:iCs/>
          <w:color w:val="000000" w:themeColor="text1"/>
          <w:sz w:val="22"/>
          <w:szCs w:val="22"/>
          <w:lang w:eastAsia="ja-JP"/>
        </w:rPr>
        <w:t xml:space="preserve">P. nil </w:t>
      </w:r>
      <w:r w:rsidRPr="005E6B7C">
        <w:rPr>
          <w:rFonts w:asciiTheme="majorHAnsi" w:eastAsia="Yu Mincho" w:hAnsiTheme="majorHAnsi" w:cstheme="majorHAnsi"/>
          <w:color w:val="000000" w:themeColor="text1"/>
          <w:sz w:val="22"/>
          <w:szCs w:val="22"/>
          <w:lang w:eastAsia="ja-JP"/>
        </w:rPr>
        <w:t xml:space="preserve">seed extract. Loperamide is a peripheral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-opioid receptor agonist that can inhibit intestinal motility, prolong fecal retention time in the colon, and reduce intestinal fluid secretion, thereby inducing experimental constipation. Consequently, this model is widely used in studies evaluating laxative agents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PEVuZE5vdGU+PENpdGU+PEF1dGhvcj5PbHVidW5taSBBIFdpbnRvbGE8L0F1dGhvcj48WWVhcj4y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PEVuZE5vdGU+PENpdGU+PEF1dGhvcj5PbHVidW5taSBBIFdpbnRvbGE8L0F1dGhvcj48WWVhcj4y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004A3B6F" w:rsidRPr="005E6B7C">
        <w:rPr>
          <w:rFonts w:asciiTheme="majorHAnsi" w:eastAsia="Yu Mincho" w:hAnsiTheme="majorHAnsi" w:cstheme="majorHAnsi"/>
          <w:noProof/>
          <w:color w:val="000000" w:themeColor="text1"/>
          <w:sz w:val="22"/>
          <w:szCs w:val="22"/>
          <w:lang w:eastAsia="ja-JP"/>
        </w:rPr>
        <w:t>],[14]</w:t>
      </w:r>
      <w:r w:rsidR="008C0D47" w:rsidRPr="005E6B7C">
        <w:rPr>
          <w:rFonts w:asciiTheme="majorHAnsi" w:eastAsia="Yu Mincho" w:hAnsiTheme="majorHAnsi" w:cstheme="majorHAnsi"/>
          <w:noProof/>
          <w:color w:val="000000" w:themeColor="text1"/>
          <w:sz w:val="22"/>
          <w:szCs w:val="22"/>
          <w:lang w:eastAsia="ja-JP"/>
        </w:rPr>
        <w:t>,</w:t>
      </w:r>
      <w:r w:rsidR="004A3B6F"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eastAsia="ja-JP"/>
        </w:rPr>
        <w:t>15]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 noteworthy physiological response observed in our loperamide-induced constipation model was the apparent paradox between water intake and fecal water content. Although the constipation model group consumed significantly more water than the control group (Table 2), their fecal water content remained significantly lower (Table 3). This phenomenon can be fundamentally explained by the pharmacological action of loperamide. By agonizing peripheral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-opioid receptors, loperamide profoundly inhibits intestinal fluid secretion and peristalsis. This prolongs colonic transit time, maximizing water reabsorption and resulting in dry, hard feces. The significant increase in water intake is likely a systemic compensatory mechanism; the animals drink more to compensate for the localized lack of luminal fluid and the difficulty in passing hard stools. However, because loperamide effectively blocks the secretory pathways into the gut lumen, the excess ingested water is absorbed systemically and excreted via the kidneys rather than hydrating the fecal mass. This observation strongly validates the successful establishment and robustness of the experimental constipation model used in this study. The results showed that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at doses of 150 and 300 mg/kg significantly increased fecal water content compared with the constipation model group. In addition, at the dose of 300 mg/kg, the extract also significantly increased the intestinal charcoal transit ratio and reduced fecal retention in the colon. These findings indicate that the extract can improve gastrointestinal motility and promote fecal excretion, thereby exhibiting a clear laxative effect. These results are consistent with several previous studies on medicinal plants with laxative activity. A study by Wintola et al. (2010) using a loperamide-induced constipation mouse model demonstrated that </w:t>
      </w:r>
      <w:r w:rsidRPr="005E6B7C">
        <w:rPr>
          <w:rFonts w:asciiTheme="majorHAnsi" w:eastAsia="Yu Mincho" w:hAnsiTheme="majorHAnsi" w:cstheme="majorHAnsi"/>
          <w:i/>
          <w:iCs/>
          <w:color w:val="000000" w:themeColor="text1"/>
          <w:sz w:val="22"/>
          <w:szCs w:val="22"/>
          <w:lang w:eastAsia="ja-JP"/>
        </w:rPr>
        <w:t>Aloe ferox</w:t>
      </w:r>
      <w:r w:rsidRPr="005E6B7C">
        <w:rPr>
          <w:rFonts w:asciiTheme="majorHAnsi" w:eastAsia="Yu Mincho" w:hAnsiTheme="majorHAnsi" w:cstheme="majorHAnsi"/>
          <w:color w:val="000000" w:themeColor="text1"/>
          <w:sz w:val="22"/>
          <w:szCs w:val="22"/>
          <w:lang w:eastAsia="ja-JP"/>
        </w:rPr>
        <w:t xml:space="preserve"> extract significantly increased fecal water content and improved intestinal motility, showing a mechanism similar to that observed in the present study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PEVuZE5vdGU+PENpdGU+PEF1dGhvcj5PbHVidW5taSBBIFdpbnRvbGE8L0F1dGhvcj48WWVhcj4y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PEVuZE5vdGU+PENpdGU+PEF1dGhvcj5PbHVidW5taSBBIFdpbnRvbGE8L0F1dGhvcj48WWVhcj4y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addition, Lim et al. (2019) reported that fermented barley extract could enhance gastrointestinal </w:t>
      </w:r>
      <w:r w:rsidRPr="005E6B7C">
        <w:rPr>
          <w:rFonts w:asciiTheme="majorHAnsi" w:eastAsia="Yu Mincho" w:hAnsiTheme="majorHAnsi" w:cstheme="majorHAnsi"/>
          <w:color w:val="000000" w:themeColor="text1"/>
          <w:sz w:val="22"/>
          <w:szCs w:val="22"/>
          <w:lang w:eastAsia="ja-JP"/>
        </w:rPr>
        <w:t xml:space="preserve">transit and improve loperamide-induced constipation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PEVuZE5vdGU+PENpdGU+PEF1dGhvcj5Kb25nLU1pbiBMaW08L0F1dGhvcj48WWVhcj4yMDE5PC9Z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PEVuZE5vdGU+PENpdGU+PEF1dGhvcj5Kb25nLU1pbiBMaW08L0F1dGhvcj48WWVhcj4yMDE5PC9Z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An interesting and noteworthy observation from our data is that the low-dose group (BB75) exhibited a significantly lower number of fecal pellets compared to the loperamide-induced constipation model group (Lope). This seemingly paradoxical result could be attributed to several intersecting pharmacological and physiological factors. Firstly, as shown in Table 2, mice in the BB75 group consumed significantly less food compared to the Lope group (</w:t>
      </w:r>
      <w:r w:rsidRPr="005E6B7C">
        <w:rPr>
          <w:rFonts w:asciiTheme="majorHAnsi" w:eastAsia="Yu Mincho" w:hAnsiTheme="majorHAnsi" w:cstheme="majorHAnsi"/>
          <w:i/>
          <w:iCs/>
          <w:color w:val="000000" w:themeColor="text1"/>
          <w:sz w:val="22"/>
          <w:szCs w:val="22"/>
          <w:lang w:eastAsia="ja-JP"/>
        </w:rPr>
        <w:t xml:space="preserve">p </w:t>
      </w:r>
      <w:r w:rsidRPr="005E6B7C">
        <w:rPr>
          <w:rFonts w:asciiTheme="majorHAnsi" w:eastAsia="Yu Mincho" w:hAnsiTheme="majorHAnsi" w:cstheme="majorHAnsi"/>
          <w:color w:val="000000" w:themeColor="text1"/>
          <w:sz w:val="22"/>
          <w:szCs w:val="22"/>
          <w:lang w:eastAsia="ja-JP"/>
        </w:rPr>
        <w:t xml:space="preserve">&lt; 0.001). A reduction in food intake directly limits fecal mass formation, resulting in fewer fecal pellets. Secondly, at the dose of 75 mg/kg, the concentration of the primary laxative constituents, such as resin glycosides, might be sub-therapeutic and insufficient to overcome the potent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-opioid receptor agonism of loperamide. Furthermore,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are known to contain various polyphenols. It is hypothesized that at low doses, the mildly astringent properties of certain polyphenols might manifest before the strong purgative effect of resin glycosides reaches its therapeutic threshold at higher doses (150 and 300 mg/kg). Furthermore, visual observation of the fecal morphology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1) in the BB75 group reveals bulkier, aggregated fecal masses rather than distinct pellets. This physical impaction is consistent with prolonged colonic retention and delayed transit time, allowing the limited fecal matter to coalesce into larger, drier clumps due to the unresolved loperamide-induced stasis. This suggests a potential biphasic dose-response relationship and strongly highlights the necessity of dosage optimization when utilizing this herbal extract in clinical practice.</w:t>
      </w:r>
    </w:p>
    <w:p w14:paraId="10A709B7"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laxative mechanism of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is believed to be mainly associated with resin glycosides (pharbitin). These compounds can stimulate the intestinal mucosa, increase secretion of water and electrolytes into the intestinal lumen, and enhance gastrointestinal smooth muscle contractions, thereby softening stools and promoting intestinal motility. An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study by Zhou et al. (2022) demonstrated that pharbitin could affect the contractile tone of the colon and ileum, providing further evidence for the laxative activity of this medicinal plant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L1llYXI+PFJlY051bT4xNTwvUmVjTnVtPjxEaXNwbGF5VGV4dD5bM108L0Rpc3BsYXlUZXh0Pjxy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PEVuZE5vdGU+PENpdGU+PEF1dGhvcj5KaWFuLVJvbmcgWmhvdTwvQXV0aG9yPjxZZWFyPjIwMjI8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However, in the present study, the tested extract was not directly characterized for pharbitin by TLC, HPLC, or other dedicated analytical methods. These should be considered for future research to obtain more convincing conclusions about the link between pharbitin and laxative effect. In this study, </w:t>
      </w:r>
      <w:r w:rsidRPr="005E6B7C">
        <w:rPr>
          <w:rFonts w:asciiTheme="majorHAnsi" w:eastAsia="Yu Mincho" w:hAnsiTheme="majorHAnsi" w:cstheme="majorHAnsi"/>
          <w:color w:val="000000" w:themeColor="text1"/>
          <w:sz w:val="22"/>
          <w:szCs w:val="22"/>
          <w:lang w:eastAsia="ja-JP"/>
        </w:rPr>
        <w:lastRenderedPageBreak/>
        <w:t xml:space="preserve">the 70% ethanol extraction solvent was selected for its intermediate polarity, which is optimal for recovering a broad spectrum of bioactive compounds, including the primary purgative resin glycosides (pharbitin) and various polyphenols. Furthermore, this solvent is safe, easily recoverable, and suitable for subsequent pharmacological and formulation studies. </w:t>
      </w:r>
    </w:p>
    <w:p w14:paraId="732C60C2"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To ensure the reproducibility and quality of the extract, chlorogenic acid (CGA) and isochlorogenic acid A (ICGA) were employed as chemical markers, as resin glycosides possess complex structures that present challenges for routine quantification. Quantitative analysis using the HPLC-DAD method developed in our previous study confirmed that the extract batch contained 1.20 ± 0.04% of chlorogenic acid and 0.65 </w:t>
      </w:r>
      <m:oMath>
        <m:r>
          <w:rPr>
            <w:rFonts w:ascii="Cambria Math" w:eastAsia="Yu Mincho" w:hAnsi="Cambria Math" w:cstheme="majorHAnsi"/>
            <w:color w:val="000000" w:themeColor="text1"/>
            <w:sz w:val="22"/>
            <w:szCs w:val="22"/>
            <w:lang w:eastAsia="ja-JP"/>
          </w:rPr>
          <m:t>±</m:t>
        </m:r>
      </m:oMath>
      <w:r w:rsidRPr="005E6B7C">
        <w:rPr>
          <w:rFonts w:asciiTheme="majorHAnsi" w:eastAsia="Yu Mincho" w:hAnsiTheme="majorHAnsi" w:cstheme="majorHAnsi"/>
          <w:color w:val="000000" w:themeColor="text1"/>
          <w:sz w:val="22"/>
          <w:szCs w:val="22"/>
          <w:lang w:eastAsia="ja-JP"/>
        </w:rPr>
        <w:t xml:space="preserve"> 0.01% of isochlorogenic acid A. These compounds not only serve as reliable markers for standardization but also support the extract's biological profile through antioxidant mechanisms and protection of the intestinal mucosa. Moreover, the results obtained in normal mice demonstrated that the extract at doses of 150 and 300 mg/kg significantly increased both fecal water content and intestinal content weight, indicating a strong capacity to stimulate fluid secretion into the intestinal lumen. To validate this secretory assay, castor oil was employed as a positive control. Upon oral administration, castor oil is rapidly hydrolyzed by intestinal lipases into its active metabolite, ricinoleic acid. This compound acts as a potent mucosal irritant that alters epithelial permeability and triggers a massive net secretion of water and electrolytes into the gut lumen while inhibiting their reabsorption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&lt;EndNote&gt;&lt;Cite&gt;&lt;Author&gt;Tunaru&lt;/Author&gt;&lt;Year&gt;2012&lt;/Year&gt;&lt;RecNum&gt;25&lt;/RecNum&gt;&lt;DisplayText&gt;[19]&lt;/DisplayText&gt;&lt;record&gt;&lt;rec-number&gt;25&lt;/rec-number&gt;&lt;foreign-keys&gt;&lt;key app="EN" db-id="9awsf9p0s2zpssez0eop5vvrsx25ezw5pets" timestamp="1773988675"&gt;25&lt;/key&gt;&lt;/foreign-keys&gt;&lt;ref-type name="Journal Article"&gt;17&lt;/ref-type&gt;&lt;contributors&gt;&lt;authors&gt;&lt;author&gt;Tunaru, S.&lt;/author&gt;&lt;author&gt;Althoff, T. F.&lt;/author&gt;&lt;author&gt;Nusing, R. M.&lt;/author&gt;&lt;author&gt;Diener, M.&lt;/author&gt;&lt;author&gt;Offermanns, S.&lt;/author&gt;&lt;/authors&gt;&lt;/contributors&gt;&lt;auth-address&gt;Department of Pharmacology, Max-Planck-Institute for Heart and Lung Research, 61231 Bad Nauheim, Germany.&lt;/auth-address&gt;&lt;titles&gt;&lt;title&gt;Castor oil induces laxation and uterus contraction via ricinoleic acid activating prostaglandin EP3 receptors&lt;/title&gt;&lt;secondary-title&gt;PNAS&lt;/secondary-title&gt;&lt;/titles&gt;&lt;periodical&gt;&lt;full-title&gt;PNAS&lt;/full-title&gt;&lt;/periodical&gt;&lt;pages&gt;9179-84&lt;/pages&gt;&lt;volume&gt;109&lt;/volume&gt;&lt;number&gt;23&lt;/number&gt;&lt;edition&gt;2012/05/23&lt;/edition&gt;&lt;keywords&gt;&lt;keyword&gt;Animals&lt;/keyword&gt;&lt;keyword&gt;CHO Cells&lt;/keyword&gt;&lt;keyword&gt;Castor Oil/*chemistry/pharmacology&lt;/keyword&gt;&lt;keyword&gt;Cricetinae&lt;/keyword&gt;&lt;keyword&gt;Cricetulus&lt;/keyword&gt;&lt;keyword&gt;Female&lt;/keyword&gt;&lt;keyword&gt;Gastrointestinal Transit/drug effects&lt;/keyword&gt;&lt;keyword&gt;Mice&lt;/keyword&gt;&lt;keyword&gt;Muscle, Smooth/drug effects&lt;/keyword&gt;&lt;keyword&gt;Myography&lt;/keyword&gt;&lt;keyword&gt;Peristalsis/*drug effects&lt;/keyword&gt;&lt;keyword&gt;Receptors, Prostaglandin E, EP3 Subtype/*metabolism&lt;/keyword&gt;&lt;keyword&gt;Reverse Transcriptase Polymerase Chain Reaction&lt;/keyword&gt;&lt;keyword&gt;Ricinoleic Acids/analysis/*pharmacology&lt;/keyword&gt;&lt;keyword&gt;Uterine Contraction/*drug effects&lt;/keyword&gt;&lt;/keywords&gt;&lt;dates&gt;&lt;year&gt;2012&lt;/year&gt;&lt;pub-dates&gt;&lt;date&gt;Jun 5&lt;/date&gt;&lt;/pub-dates&gt;&lt;/dates&gt;&lt;isbn&gt;1091-6490 (Electronic)&amp;#xD;0027-8424 (Print)&amp;#xD;0027-8424 (Linking)&lt;/isbn&gt;&lt;accession-num&gt;22615395&lt;/accession-num&gt;&lt;urls&gt;&lt;related-urls&gt;&lt;url&gt;https://www.ncbi.nlm.nih.gov/pubmed/22615395&lt;/url&gt;&lt;/related-urls&gt;&lt;/urls&gt;&lt;custom2&gt;PMC3384204&lt;/custom2&gt;&lt;electronic-resource-num&gt;10.1073/pnas.1201627109&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[19]</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Consistent with this well-established mechanism, the castor oil group in our study exhibited profound increases in luminal fluid accumulation. The comparable secretory responses observed in the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extract-treated groups strongly suggest that the extract exerts its laxative efficacy through a similar mechanism of enhancing intestinal fluid secretion. This mechanism is similar to that of stimulant laxatives, such as bisacodyl, which act by enhancing intestinal secretion and stimulating intestinal motility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PEVuZE5vdGU+PENpdGU+PEF1dGhvcj5NYXVyYSBDb3JzZXR0aTwvQXV0aG9yPjxZZWFyPjIwMjE8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PEVuZE5vdGU+PENpdGU+PEF1dGhvcj5NYXVyYSBDb3JzZXR0aTwvQXV0aG9yPjxZZWFyPjIwMjE8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w:t>
      </w:r>
    </w:p>
    <w:p w14:paraId="0888E3EC"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Beyond the direct mucosal stimulation by resin glycosides, the laxative efficacy of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 extract may involve broader metabolic and neurogastroenterological pathways. Recent evidence highlights that loperamide-induced constipation is strongly associated with bile acid dysregulation, characterized by the excessive </w:t>
      </w:r>
      <w:r w:rsidRPr="005E6B7C">
        <w:rPr>
          <w:rFonts w:asciiTheme="majorHAnsi" w:eastAsia="Yu Mincho" w:hAnsiTheme="majorHAnsi" w:cstheme="majorHAnsi"/>
          <w:color w:val="000000" w:themeColor="text1"/>
          <w:sz w:val="22"/>
          <w:szCs w:val="22"/>
          <w:lang w:eastAsia="ja-JP"/>
        </w:rPr>
        <w:t xml:space="preserve">accumulation of bile acids in the liver and a consequent reduction in their fecal excretion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&lt;EndNote&gt;&lt;Cite&gt;&lt;Author&gt;Lei&lt;/Author&gt;&lt;Year&gt;2022&lt;/Year&gt;&lt;RecNum&gt;23&lt;/RecNum&gt;&lt;DisplayText&gt;[21]&lt;/DisplayText&gt;&lt;record&gt;&lt;rec-number&gt;23&lt;/rec-number&gt;&lt;foreign-keys&gt;&lt;key app="EN" db-id="9awsf9p0s2zpssez0eop5vvrsx25ezw5pets" timestamp="1773977667"&gt;23&lt;/key&gt;&lt;/foreign-keys&gt;&lt;ref-type name="Journal Article"&gt;17&lt;/ref-type&gt;&lt;contributors&gt;&lt;authors&gt;&lt;author&gt;Zili Lei&lt;/author&gt;&lt;author&gt;Hedong Rong &lt;/author&gt;&lt;author&gt;Yanhong Yang&lt;/author&gt;&lt;author&gt;Siping Yu&lt;/author&gt;&lt;author&gt;Tianle Zhang&lt;/author&gt;&lt;author&gt;Lei Chen&lt;/author&gt;&lt;author&gt;Ya Nie&lt;/author&gt;&lt;author&gt;Qi Song&lt;/author&gt;&lt;author&gt;Qing Hu&lt;/author&gt;&lt;author&gt;Jiao Guo &lt;/author&gt;&lt;/authors&gt;&lt;/contributors&gt;&lt;titles&gt;&lt;title&gt;Loperamide induces excessive accumulation of bile acids in the liver of mice with different diets&lt;/title&gt;&lt;secondary-title&gt;Toxicology&lt;/secondary-title&gt;&lt;/titles&gt;&lt;periodical&gt;&lt;full-title&gt;Toxicology&lt;/full-title&gt;&lt;/periodical&gt;&lt;pages&gt;153278&lt;/pages&gt;&lt;volume&gt;477&lt;/volume&gt;&lt;dates&gt;&lt;year&gt;2022&lt;/year&gt;&lt;/dates&gt;&lt;urls&gt;&lt;/urls&gt;&lt;electronic-resource-num&gt;10.1016/j.tox.2022.153278&lt;/electronic-resource-num&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Since luminal bile acids are potent physiological stimulants for colonic secretion and motility, enhancing their excretion is a key mechanism for resolving constipation. Furthermore, another crucial mechanism underlying intestinal motility involves the 5-hydroxytryptamine (5-HT) signaling pathway. Constipation typically disrupts this pathway, significantly increasing 5-HT levels in the serum while drastically decreasing them in the intestinal tissue, thereby impeding the peristaltic reflex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PEVuZE5vdGU+PENpdGU+PEF1dGhvcj5RaXU8L0F1dGhvcj48WWVhcj4yMDIyPC9ZZWFyPjxSZWNO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PEVuZE5vdGU+PENpdGU+PEF1dGhvcj5RaXU8L0F1dGhvcj48WWVhcj4yMDIyPC9ZZWFyPjxSZWNO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The significant improvements in gastrointestinal transit and fluid secretion observed in our extract-treated mice (BB150 and BB300) strongly suggest that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might exert regulatory effects on the enteric nervous system, potentially by restoring intestinal 5-HT synthesis and promoting bile acid excretion into the colon. </w:t>
      </w:r>
    </w:p>
    <w:p w14:paraId="069C8883"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At the tissue level, the histological integrity of the colon mucosa is a primary determinant of normal bowel function. In loperamide-induced models, prolonged fecal impaction structurally alters the colonic mucosa and reduces mucin production, leading to the evident presence of hard, dry fecal pellet remnants compacted within the colon lumen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PEVuZE5vdGU+PENpdGU+PEF1dGhvcj5MaW08L0F1dGhvcj48WWVhcj4yMDE5PC9ZZWFyPjxSZWNO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PEVuZE5vdGU+PENpdGU+PEF1dGhvcj5MaW08L0F1dGhvcj48WWVhcj4yMDE5PC9ZZWFyPjxSZWNO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our study, the profound reduction in both the number and mass of retained feces in the colon following </w:t>
      </w:r>
      <w:r w:rsidRPr="005E6B7C">
        <w:rPr>
          <w:rFonts w:asciiTheme="majorHAnsi" w:eastAsia="Yu Mincho" w:hAnsiTheme="majorHAnsi" w:cstheme="majorHAnsi"/>
          <w:i/>
          <w:iCs/>
          <w:color w:val="000000" w:themeColor="text1"/>
          <w:sz w:val="22"/>
          <w:szCs w:val="22"/>
          <w:lang w:eastAsia="ja-JP"/>
        </w:rPr>
        <w:t xml:space="preserve">P. nil </w:t>
      </w:r>
      <w:r w:rsidRPr="005E6B7C">
        <w:rPr>
          <w:rFonts w:asciiTheme="majorHAnsi" w:eastAsia="Yu Mincho" w:hAnsiTheme="majorHAnsi" w:cstheme="majorHAnsi"/>
          <w:color w:val="000000" w:themeColor="text1"/>
          <w:sz w:val="22"/>
          <w:szCs w:val="22"/>
          <w:lang w:eastAsia="ja-JP"/>
        </w:rPr>
        <w:t>extract administration (Table 4) indicates its high efficacy in clearing these luminal remnants. While the current findings clearly demonstrate physiological improvements in transit and fluid secretion, subsequent histological and morphometric observations of the colon mucosa, such as quantifying goblet cells and mucin layer thickness, will provide deeper structural insights into how the extract protects the intestinal barrier against impaction-induced damage.</w:t>
      </w:r>
    </w:p>
    <w:p w14:paraId="3E2DD0C6"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Overall, the findings of this study are consistent with previously published pharmacological data on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further supporting the scientific basis for the traditional use of this medicinal plant in the management of constipation. However, to better clarify the mechanism of action, future studies should focus on the isolation of active compounds and the evaluation of their effects on the enteric nervous system as well as intestinal water and electrolyte transport pathways.</w:t>
      </w:r>
    </w:p>
    <w:p w14:paraId="7EAF04D5"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5. Conclusion</w:t>
      </w:r>
    </w:p>
    <w:p w14:paraId="1B595578" w14:textId="77777777" w:rsidR="00E049CB" w:rsidRPr="005E6B7C" w:rsidRDefault="00E049CB" w:rsidP="008C0D47">
      <w:pPr>
        <w:tabs>
          <w:tab w:val="left" w:pos="27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70% ethanol extract of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has acute oral toxicity in </w:t>
      </w:r>
      <w:r w:rsidRPr="005E6B7C">
        <w:rPr>
          <w:rFonts w:asciiTheme="majorHAnsi" w:eastAsia="Yu Mincho" w:hAnsiTheme="majorHAnsi" w:cstheme="majorHAnsi"/>
          <w:i/>
          <w:color w:val="000000" w:themeColor="text1"/>
          <w:sz w:val="22"/>
          <w:szCs w:val="22"/>
          <w:lang w:eastAsia="ja-JP"/>
        </w:rPr>
        <w:t>Swiss albino</w:t>
      </w:r>
      <w:r w:rsidRPr="005E6B7C">
        <w:rPr>
          <w:rFonts w:asciiTheme="majorHAnsi" w:eastAsia="Yu Mincho" w:hAnsiTheme="majorHAnsi" w:cstheme="majorHAnsi"/>
          <w:color w:val="000000" w:themeColor="text1"/>
          <w:sz w:val="22"/>
          <w:szCs w:val="22"/>
          <w:lang w:eastAsia="ja-JP"/>
        </w:rPr>
        <w:t xml:space="preserve"> mice, with an </w:t>
      </w:r>
      <w:r w:rsidRPr="005E6B7C">
        <w:rPr>
          <w:rFonts w:asciiTheme="majorHAnsi" w:eastAsia="Yu Mincho" w:hAnsiTheme="majorHAnsi" w:cstheme="majorHAnsi"/>
          <w:color w:val="000000" w:themeColor="text1"/>
          <w:sz w:val="22"/>
          <w:szCs w:val="22"/>
          <w:lang w:eastAsia="ja-JP"/>
        </w:rPr>
        <w:lastRenderedPageBreak/>
        <w:t>LD</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xml:space="preserve"> value of 3.96 g/kg. Pharmacologically, the extract exerts significant laxative and ameliorative effects against loperamide-induced constipation. These therapeutic benefits are primarily mediated by stimulating intestinal fluid secretion and enhancing gastrointestinal motility, which effectively relieve fecal impaction. Overall, these findings provide robust scientific validation for the traditional use of </w:t>
      </w:r>
      <w:r w:rsidRPr="005E6B7C">
        <w:rPr>
          <w:rFonts w:asciiTheme="majorHAnsi" w:eastAsia="Yu Mincho" w:hAnsiTheme="majorHAnsi" w:cstheme="majorHAnsi"/>
          <w:i/>
          <w:iCs/>
          <w:color w:val="000000" w:themeColor="text1"/>
          <w:sz w:val="22"/>
          <w:szCs w:val="22"/>
          <w:lang w:eastAsia="ja-JP"/>
        </w:rPr>
        <w:t>P. nil</w:t>
      </w:r>
      <w:r w:rsidRPr="005E6B7C">
        <w:rPr>
          <w:rFonts w:asciiTheme="majorHAnsi" w:eastAsia="Yu Mincho" w:hAnsiTheme="majorHAnsi" w:cstheme="majorHAnsi"/>
          <w:color w:val="000000" w:themeColor="text1"/>
          <w:sz w:val="22"/>
          <w:szCs w:val="22"/>
          <w:lang w:eastAsia="ja-JP"/>
        </w:rPr>
        <w:t xml:space="preserve"> seeds in the prevention and management of constipation, highlighting its </w:t>
      </w:r>
      <w:r w:rsidRPr="005E6B7C">
        <w:rPr>
          <w:rFonts w:asciiTheme="majorHAnsi" w:eastAsia="Yu Mincho" w:hAnsiTheme="majorHAnsi" w:cstheme="majorHAnsi"/>
          <w:color w:val="000000" w:themeColor="text1"/>
          <w:sz w:val="22"/>
          <w:szCs w:val="22"/>
          <w:lang w:eastAsia="ja-JP"/>
        </w:rPr>
        <w:t>promising potential for development into standardized herbal therapeutics.</w:t>
      </w:r>
    </w:p>
    <w:p w14:paraId="4D309A42" w14:textId="77777777" w:rsidR="001701EA" w:rsidRPr="005E6B7C" w:rsidRDefault="00E049CB" w:rsidP="008C0D47">
      <w:pPr>
        <w:tabs>
          <w:tab w:val="left" w:pos="27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color w:val="000000" w:themeColor="text1"/>
          <w:sz w:val="20"/>
          <w:szCs w:val="20"/>
          <w:lang w:eastAsia="ja-JP"/>
        </w:rPr>
        <w:t>Acknowledgement:</w:t>
      </w:r>
      <w:r w:rsidRPr="005E6B7C">
        <w:rPr>
          <w:rFonts w:asciiTheme="majorHAnsi" w:eastAsia="Yu Mincho" w:hAnsiTheme="majorHAnsi" w:cstheme="majorHAnsi"/>
          <w:color w:val="000000" w:themeColor="text1"/>
          <w:sz w:val="20"/>
          <w:szCs w:val="20"/>
          <w:lang w:eastAsia="ja-JP"/>
        </w:rPr>
        <w:t xml:space="preserve"> </w:t>
      </w:r>
      <w:r w:rsidRPr="005E6B7C">
        <w:rPr>
          <w:rFonts w:asciiTheme="majorHAnsi" w:eastAsia="Yu Mincho" w:hAnsiTheme="majorHAnsi" w:cstheme="majorHAnsi"/>
          <w:i/>
          <w:iCs/>
          <w:color w:val="000000" w:themeColor="text1"/>
          <w:sz w:val="20"/>
          <w:szCs w:val="20"/>
          <w:lang w:eastAsia="ja-JP"/>
        </w:rPr>
        <w:t>This work was partially funded by Traphaco Joint Stock Company under the project “Study on chemical composition and some biological effects, development of a standardized extraction process and standardization of Morning Glory seeds (Semen Pharbitidis)”, Project code: 09-2023/HĐNCKH-BB, dated May 26, 2023.</w:t>
      </w:r>
    </w:p>
    <w:p w14:paraId="5C9AC29F" w14:textId="77777777" w:rsidR="001701EA" w:rsidRPr="005E6B7C" w:rsidRDefault="001701EA" w:rsidP="008C0D47">
      <w:pPr>
        <w:tabs>
          <w:tab w:val="left" w:pos="27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1701EA" w:rsidRPr="005E6B7C" w:rsidSect="001701EA">
          <w:type w:val="continuous"/>
          <w:pgSz w:w="10773" w:h="15309" w:code="9"/>
          <w:pgMar w:top="907" w:right="851" w:bottom="1418" w:left="851" w:header="397" w:footer="851" w:gutter="0"/>
          <w:cols w:num="2" w:space="284"/>
          <w:docGrid w:linePitch="360"/>
        </w:sectPr>
      </w:pPr>
    </w:p>
    <w:p w14:paraId="38293623" w14:textId="77777777" w:rsidR="00E049CB" w:rsidRPr="005E6B7C" w:rsidRDefault="00E049CB" w:rsidP="008C0D47">
      <w:pPr>
        <w:tabs>
          <w:tab w:val="left" w:pos="270"/>
          <w:tab w:val="left" w:pos="9270"/>
        </w:tabs>
        <w:spacing w:before="120" w:after="120"/>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References</w:t>
      </w:r>
    </w:p>
    <w:p w14:paraId="200EB788"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D</w:t>
      </w:r>
      <w:r w:rsidRPr="005E6B7C">
        <w:rPr>
          <w:rFonts w:asciiTheme="majorHAnsi" w:eastAsia="Yu Mincho" w:hAnsiTheme="majorHAnsi" w:cstheme="majorHAnsi"/>
          <w:noProof/>
          <w:color w:val="000000" w:themeColor="text1"/>
          <w:spacing w:val="-4"/>
          <w:sz w:val="18"/>
          <w:szCs w:val="18"/>
          <w:lang w:eastAsia="ja-JP"/>
        </w:rPr>
        <w:t>o H. B</w:t>
      </w:r>
      <w:r w:rsidRPr="005E6B7C">
        <w:rPr>
          <w:rFonts w:asciiTheme="majorHAnsi" w:eastAsia="Yu Mincho" w:hAnsiTheme="majorHAnsi" w:cstheme="majorHAnsi"/>
          <w:noProof/>
          <w:color w:val="000000" w:themeColor="text1"/>
          <w:spacing w:val="-4"/>
          <w:sz w:val="18"/>
          <w:szCs w:val="18"/>
          <w:lang w:val="vi-VN" w:eastAsia="ja-JP"/>
        </w:rPr>
        <w:t xml:space="preserve">. (2016), </w:t>
      </w:r>
      <w:r w:rsidRPr="005E6B7C">
        <w:rPr>
          <w:rFonts w:asciiTheme="majorHAnsi" w:eastAsia="Yu Mincho" w:hAnsiTheme="majorHAnsi" w:cstheme="majorHAnsi"/>
          <w:i/>
          <w:noProof/>
          <w:color w:val="000000" w:themeColor="text1"/>
          <w:spacing w:val="-4"/>
          <w:sz w:val="18"/>
          <w:szCs w:val="18"/>
          <w:lang w:val="vi-VN" w:eastAsia="ja-JP"/>
        </w:rPr>
        <w:t>Medicinal plants and animals used as medicines in Vietnam, Vol. 1</w:t>
      </w:r>
      <w:r w:rsidRPr="005E6B7C">
        <w:rPr>
          <w:rFonts w:asciiTheme="majorHAnsi" w:eastAsia="Yu Mincho" w:hAnsiTheme="majorHAnsi" w:cstheme="majorHAnsi"/>
          <w:i/>
          <w:noProof/>
          <w:color w:val="000000" w:themeColor="text1"/>
          <w:spacing w:val="-4"/>
          <w:sz w:val="18"/>
          <w:szCs w:val="18"/>
          <w:lang w:eastAsia="ja-JP"/>
        </w:rPr>
        <w:t xml:space="preserve"> (in Vietnamese)</w:t>
      </w:r>
      <w:r w:rsidRPr="005E6B7C">
        <w:rPr>
          <w:rFonts w:asciiTheme="majorHAnsi" w:eastAsia="Yu Mincho" w:hAnsiTheme="majorHAnsi" w:cstheme="majorHAnsi"/>
          <w:noProof/>
          <w:color w:val="000000" w:themeColor="text1"/>
          <w:spacing w:val="-4"/>
          <w:sz w:val="18"/>
          <w:szCs w:val="18"/>
          <w:lang w:val="vi-VN" w:eastAsia="ja-JP"/>
        </w:rPr>
        <w:t>, Science and Technology Publishing House, Hanoi, 207–208.</w:t>
      </w:r>
    </w:p>
    <w:p w14:paraId="6FA39593"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Ministry of Health (Vietnam) (2017), </w:t>
      </w:r>
      <w:r w:rsidRPr="005E6B7C">
        <w:rPr>
          <w:rFonts w:asciiTheme="majorHAnsi" w:eastAsia="Yu Mincho" w:hAnsiTheme="majorHAnsi" w:cstheme="majorHAnsi"/>
          <w:i/>
          <w:noProof/>
          <w:color w:val="000000" w:themeColor="text1"/>
          <w:spacing w:val="-4"/>
          <w:sz w:val="18"/>
          <w:szCs w:val="18"/>
          <w:lang w:val="vi-VN" w:eastAsia="ja-JP"/>
        </w:rPr>
        <w:t>Vietnamese Pharmacopoeia V</w:t>
      </w:r>
      <w:r w:rsidRPr="005E6B7C">
        <w:rPr>
          <w:rFonts w:asciiTheme="majorHAnsi" w:eastAsia="Yu Mincho" w:hAnsiTheme="majorHAnsi" w:cstheme="majorHAnsi"/>
          <w:i/>
          <w:noProof/>
          <w:color w:val="000000" w:themeColor="text1"/>
          <w:spacing w:val="-4"/>
          <w:sz w:val="18"/>
          <w:szCs w:val="18"/>
          <w:lang w:eastAsia="ja-JP"/>
        </w:rPr>
        <w:t xml:space="preserve"> (in Vietnamese)</w:t>
      </w:r>
      <w:r w:rsidRPr="005E6B7C">
        <w:rPr>
          <w:rFonts w:asciiTheme="majorHAnsi" w:eastAsia="Yu Mincho" w:hAnsiTheme="majorHAnsi" w:cstheme="majorHAnsi"/>
          <w:noProof/>
          <w:color w:val="000000" w:themeColor="text1"/>
          <w:spacing w:val="-4"/>
          <w:sz w:val="18"/>
          <w:szCs w:val="18"/>
          <w:lang w:val="vi-VN" w:eastAsia="ja-JP"/>
        </w:rPr>
        <w:t>, Medical Publishing House, Hanoi.</w:t>
      </w:r>
    </w:p>
    <w:p w14:paraId="71AE18F1"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Zhou J. R., Tokutomi N., Satou Y., Yasuda S., Kinoshita H., Nohara T., Yokomizo K., Ono M. (2022), Different effects on the tonus of colon and ileum isolated from mouse by resin glycoside (pharbitin) of </w:t>
      </w:r>
      <w:r w:rsidRPr="005E6B7C">
        <w:rPr>
          <w:rFonts w:asciiTheme="majorHAnsi" w:eastAsia="Yu Mincho" w:hAnsiTheme="majorHAnsi" w:cstheme="majorHAnsi"/>
          <w:i/>
          <w:noProof/>
          <w:color w:val="000000" w:themeColor="text1"/>
          <w:spacing w:val="-4"/>
          <w:sz w:val="18"/>
          <w:szCs w:val="18"/>
          <w:lang w:val="vi-VN" w:eastAsia="ja-JP"/>
        </w:rPr>
        <w:t>Pharbitidis Semen</w:t>
      </w:r>
      <w:r w:rsidRPr="005E6B7C">
        <w:rPr>
          <w:rFonts w:asciiTheme="majorHAnsi" w:eastAsia="Yu Mincho" w:hAnsiTheme="majorHAnsi" w:cstheme="majorHAnsi"/>
          <w:noProof/>
          <w:color w:val="000000" w:themeColor="text1"/>
          <w:spacing w:val="-4"/>
          <w:sz w:val="18"/>
          <w:szCs w:val="18"/>
          <w:lang w:val="vi-VN" w:eastAsia="ja-JP"/>
        </w:rPr>
        <w:t xml:space="preserve">, </w:t>
      </w:r>
      <w:r w:rsidRPr="005E6B7C">
        <w:rPr>
          <w:rFonts w:asciiTheme="majorHAnsi" w:eastAsia="Yu Mincho" w:hAnsiTheme="majorHAnsi" w:cstheme="majorHAnsi"/>
          <w:i/>
          <w:noProof/>
          <w:color w:val="000000" w:themeColor="text1"/>
          <w:spacing w:val="-4"/>
          <w:sz w:val="18"/>
          <w:szCs w:val="18"/>
          <w:lang w:val="vi-VN" w:eastAsia="ja-JP"/>
        </w:rPr>
        <w:t>BMC Complementary Medicine and Therapies</w:t>
      </w:r>
      <w:r w:rsidRPr="005E6B7C">
        <w:rPr>
          <w:rFonts w:asciiTheme="majorHAnsi" w:eastAsia="Yu Mincho" w:hAnsiTheme="majorHAnsi" w:cstheme="majorHAnsi"/>
          <w:noProof/>
          <w:color w:val="000000" w:themeColor="text1"/>
          <w:spacing w:val="-4"/>
          <w:sz w:val="18"/>
          <w:szCs w:val="18"/>
          <w:lang w:val="vi-VN" w:eastAsia="ja-JP"/>
        </w:rPr>
        <w:t>, 22(1), 82.</w:t>
      </w:r>
    </w:p>
    <w:p w14:paraId="3EFFCF29"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Ono M. (2017), Resin glycosides from Convolvulaceae plants, </w:t>
      </w:r>
      <w:r w:rsidRPr="005E6B7C">
        <w:rPr>
          <w:rFonts w:asciiTheme="majorHAnsi" w:eastAsia="Yu Mincho" w:hAnsiTheme="majorHAnsi" w:cstheme="majorHAnsi"/>
          <w:i/>
          <w:noProof/>
          <w:color w:val="000000" w:themeColor="text1"/>
          <w:spacing w:val="-4"/>
          <w:sz w:val="18"/>
          <w:szCs w:val="18"/>
          <w:lang w:val="vi-VN" w:eastAsia="ja-JP"/>
        </w:rPr>
        <w:t>Journal of Natural Medicines</w:t>
      </w:r>
      <w:r w:rsidRPr="005E6B7C">
        <w:rPr>
          <w:rFonts w:asciiTheme="majorHAnsi" w:eastAsia="Yu Mincho" w:hAnsiTheme="majorHAnsi" w:cstheme="majorHAnsi"/>
          <w:noProof/>
          <w:color w:val="000000" w:themeColor="text1"/>
          <w:spacing w:val="-4"/>
          <w:sz w:val="18"/>
          <w:szCs w:val="18"/>
          <w:lang w:val="vi-VN" w:eastAsia="ja-JP"/>
        </w:rPr>
        <w:t>, 71(4), 591–604.</w:t>
      </w:r>
    </w:p>
    <w:p w14:paraId="76BB2A3D"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Wang Q., Sun Y., Yang B., Wang Z., Liu Y., Cao Q., Sun X., Kuang H. (2014), Optimization of polysaccharides extraction from seeds of </w:t>
      </w:r>
      <w:r w:rsidRPr="005E6B7C">
        <w:rPr>
          <w:rFonts w:asciiTheme="majorHAnsi" w:eastAsia="Yu Mincho" w:hAnsiTheme="majorHAnsi" w:cstheme="majorHAnsi"/>
          <w:i/>
          <w:noProof/>
          <w:color w:val="000000" w:themeColor="text1"/>
          <w:spacing w:val="-4"/>
          <w:sz w:val="18"/>
          <w:szCs w:val="18"/>
          <w:lang w:val="vi-VN" w:eastAsia="ja-JP"/>
        </w:rPr>
        <w:t>Pharbitis nil</w:t>
      </w:r>
      <w:r w:rsidRPr="005E6B7C">
        <w:rPr>
          <w:rFonts w:asciiTheme="majorHAnsi" w:eastAsia="Yu Mincho" w:hAnsiTheme="majorHAnsi" w:cstheme="majorHAnsi"/>
          <w:noProof/>
          <w:color w:val="000000" w:themeColor="text1"/>
          <w:spacing w:val="-4"/>
          <w:sz w:val="18"/>
          <w:szCs w:val="18"/>
          <w:lang w:val="vi-VN" w:eastAsia="ja-JP"/>
        </w:rPr>
        <w:t xml:space="preserve"> and its antioxidant activity, </w:t>
      </w:r>
      <w:r w:rsidRPr="005E6B7C">
        <w:rPr>
          <w:rFonts w:asciiTheme="majorHAnsi" w:eastAsia="Yu Mincho" w:hAnsiTheme="majorHAnsi" w:cstheme="majorHAnsi"/>
          <w:i/>
          <w:noProof/>
          <w:color w:val="000000" w:themeColor="text1"/>
          <w:spacing w:val="-4"/>
          <w:sz w:val="18"/>
          <w:szCs w:val="18"/>
          <w:lang w:val="vi-VN" w:eastAsia="ja-JP"/>
        </w:rPr>
        <w:t>Carbohydrate Polymers</w:t>
      </w:r>
      <w:r w:rsidRPr="005E6B7C">
        <w:rPr>
          <w:rFonts w:asciiTheme="majorHAnsi" w:eastAsia="Yu Mincho" w:hAnsiTheme="majorHAnsi" w:cstheme="majorHAnsi"/>
          <w:noProof/>
          <w:color w:val="000000" w:themeColor="text1"/>
          <w:spacing w:val="-4"/>
          <w:sz w:val="18"/>
          <w:szCs w:val="18"/>
          <w:lang w:val="vi-VN" w:eastAsia="ja-JP"/>
        </w:rPr>
        <w:t>, 102, 460–466.</w:t>
      </w:r>
    </w:p>
    <w:p w14:paraId="055057E8"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Kim K. H., Woo K. W., Moon E., Choi S. U., Kim S. Y., Choi S. Z., Son M. W., Lee K. R. (2014), Identification of antitumor lignans from the seeds of morning glory (</w:t>
      </w:r>
      <w:r w:rsidRPr="005E6B7C">
        <w:rPr>
          <w:rFonts w:asciiTheme="majorHAnsi" w:eastAsia="Yu Mincho" w:hAnsiTheme="majorHAnsi" w:cstheme="majorHAnsi"/>
          <w:i/>
          <w:noProof/>
          <w:color w:val="000000" w:themeColor="text1"/>
          <w:spacing w:val="-4"/>
          <w:sz w:val="18"/>
          <w:szCs w:val="18"/>
          <w:lang w:val="vi-VN" w:eastAsia="ja-JP"/>
        </w:rPr>
        <w:t>Pharbitis nil</w:t>
      </w:r>
      <w:r w:rsidRPr="005E6B7C">
        <w:rPr>
          <w:rFonts w:asciiTheme="majorHAnsi" w:eastAsia="Yu Mincho" w:hAnsiTheme="majorHAnsi" w:cstheme="majorHAnsi"/>
          <w:noProof/>
          <w:color w:val="000000" w:themeColor="text1"/>
          <w:spacing w:val="-4"/>
          <w:sz w:val="18"/>
          <w:szCs w:val="18"/>
          <w:lang w:val="vi-VN" w:eastAsia="ja-JP"/>
        </w:rPr>
        <w:t xml:space="preserve">), </w:t>
      </w:r>
      <w:r w:rsidRPr="005E6B7C">
        <w:rPr>
          <w:rFonts w:asciiTheme="majorHAnsi" w:eastAsia="Yu Mincho" w:hAnsiTheme="majorHAnsi" w:cstheme="majorHAnsi"/>
          <w:i/>
          <w:noProof/>
          <w:color w:val="000000" w:themeColor="text1"/>
          <w:spacing w:val="-4"/>
          <w:sz w:val="18"/>
          <w:szCs w:val="18"/>
          <w:lang w:val="vi-VN" w:eastAsia="ja-JP"/>
        </w:rPr>
        <w:t>Journal of Agricultural and Food Chemistry</w:t>
      </w:r>
      <w:r w:rsidRPr="005E6B7C">
        <w:rPr>
          <w:rFonts w:asciiTheme="majorHAnsi" w:eastAsia="Yu Mincho" w:hAnsiTheme="majorHAnsi" w:cstheme="majorHAnsi"/>
          <w:noProof/>
          <w:color w:val="000000" w:themeColor="text1"/>
          <w:spacing w:val="-4"/>
          <w:sz w:val="18"/>
          <w:szCs w:val="18"/>
          <w:lang w:val="vi-VN" w:eastAsia="ja-JP"/>
        </w:rPr>
        <w:t>, 62(31), 7746–7752.</w:t>
      </w:r>
    </w:p>
    <w:p w14:paraId="76490890"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fr-FR" w:eastAsia="ja-JP"/>
        </w:rPr>
        <w:t xml:space="preserve">Nguyen T. K. O., Ly H. T., Le V. M., Nguyen M. K., Nguyen T. H., Vu H. T., Nguyen H. V., Tran Q. L., Nguyen T. V. H., Do T. H. </w:t>
      </w:r>
      <w:r w:rsidRPr="005E6B7C">
        <w:rPr>
          <w:rFonts w:asciiTheme="majorHAnsi" w:eastAsia="Yu Mincho" w:hAnsiTheme="majorHAnsi" w:cstheme="majorHAnsi"/>
          <w:noProof/>
          <w:color w:val="000000" w:themeColor="text1"/>
          <w:spacing w:val="-4"/>
          <w:sz w:val="18"/>
          <w:szCs w:val="18"/>
          <w:lang w:val="vi-VN" w:eastAsia="ja-JP"/>
        </w:rPr>
        <w:t xml:space="preserve">(2025), </w:t>
      </w:r>
      <w:r w:rsidRPr="005E6B7C">
        <w:rPr>
          <w:rFonts w:asciiTheme="majorHAnsi" w:eastAsia="Yu Mincho" w:hAnsiTheme="majorHAnsi" w:cstheme="majorHAnsi"/>
          <w:i/>
          <w:noProof/>
          <w:color w:val="000000" w:themeColor="text1"/>
          <w:spacing w:val="-4"/>
          <w:sz w:val="18"/>
          <w:szCs w:val="18"/>
          <w:lang w:val="vi-VN" w:eastAsia="ja-JP"/>
        </w:rPr>
        <w:t>Pharbitis nil</w:t>
      </w:r>
      <w:r w:rsidRPr="005E6B7C">
        <w:rPr>
          <w:rFonts w:asciiTheme="majorHAnsi" w:eastAsia="Yu Mincho" w:hAnsiTheme="majorHAnsi" w:cstheme="majorHAnsi"/>
          <w:noProof/>
          <w:color w:val="000000" w:themeColor="text1"/>
          <w:spacing w:val="-4"/>
          <w:sz w:val="18"/>
          <w:szCs w:val="18"/>
          <w:lang w:val="vi-VN" w:eastAsia="ja-JP"/>
        </w:rPr>
        <w:t xml:space="preserve"> (L.) Choisy seed extract attenuates cyclophosphamide-induced immunosuppression via regulation of Th2-type immune and humoral immune responses, </w:t>
      </w:r>
      <w:r w:rsidRPr="005E6B7C">
        <w:rPr>
          <w:rFonts w:asciiTheme="majorHAnsi" w:eastAsia="Yu Mincho" w:hAnsiTheme="majorHAnsi" w:cstheme="majorHAnsi"/>
          <w:i/>
          <w:noProof/>
          <w:color w:val="000000" w:themeColor="text1"/>
          <w:spacing w:val="-4"/>
          <w:sz w:val="18"/>
          <w:szCs w:val="18"/>
          <w:lang w:val="vi-VN" w:eastAsia="ja-JP"/>
        </w:rPr>
        <w:t>Advances in Traditional Medicine</w:t>
      </w:r>
      <w:r w:rsidRPr="005E6B7C">
        <w:rPr>
          <w:rFonts w:asciiTheme="majorHAnsi" w:eastAsia="Yu Mincho" w:hAnsiTheme="majorHAnsi" w:cstheme="majorHAnsi"/>
          <w:noProof/>
          <w:color w:val="000000" w:themeColor="text1"/>
          <w:spacing w:val="-4"/>
          <w:sz w:val="18"/>
          <w:szCs w:val="18"/>
          <w:lang w:eastAsia="ja-JP"/>
        </w:rPr>
        <w:t xml:space="preserve">, doi: </w:t>
      </w:r>
      <w:r w:rsidRPr="005E6B7C">
        <w:rPr>
          <w:rFonts w:asciiTheme="majorHAnsi" w:eastAsia="Yu Mincho" w:hAnsiTheme="majorHAnsi" w:cstheme="majorHAnsi"/>
          <w:noProof/>
          <w:color w:val="000000" w:themeColor="text1"/>
          <w:spacing w:val="-4"/>
          <w:sz w:val="18"/>
          <w:szCs w:val="18"/>
          <w:lang w:val="vi-VN" w:eastAsia="ja-JP"/>
        </w:rPr>
        <w:t>10.1007/s13596-025-00859-1</w:t>
      </w:r>
      <w:r w:rsidRPr="005E6B7C">
        <w:rPr>
          <w:rFonts w:asciiTheme="majorHAnsi" w:eastAsia="Yu Mincho" w:hAnsiTheme="majorHAnsi" w:cstheme="majorHAnsi"/>
          <w:noProof/>
          <w:color w:val="000000" w:themeColor="text1"/>
          <w:spacing w:val="-4"/>
          <w:sz w:val="18"/>
          <w:szCs w:val="18"/>
          <w:lang w:eastAsia="ja-JP"/>
        </w:rPr>
        <w:t>.</w:t>
      </w:r>
    </w:p>
    <w:p w14:paraId="6ADA7FBC"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Ministry of Health (Vietnam) (2015), </w:t>
      </w:r>
      <w:r w:rsidRPr="005E6B7C">
        <w:rPr>
          <w:rFonts w:asciiTheme="majorHAnsi" w:eastAsia="Yu Mincho" w:hAnsiTheme="majorHAnsi" w:cstheme="majorHAnsi"/>
          <w:i/>
          <w:noProof/>
          <w:color w:val="000000" w:themeColor="text1"/>
          <w:spacing w:val="-4"/>
          <w:sz w:val="18"/>
          <w:szCs w:val="18"/>
          <w:lang w:val="vi-VN" w:eastAsia="ja-JP"/>
        </w:rPr>
        <w:t>Decision No. 141/QĐ-K2ĐT dated October 27, 2015: Guidelines for Preclinical and Clinical Trials of Traditional and Herbal Medicines</w:t>
      </w:r>
      <w:r w:rsidRPr="005E6B7C">
        <w:rPr>
          <w:rFonts w:asciiTheme="majorHAnsi" w:eastAsia="Yu Mincho" w:hAnsiTheme="majorHAnsi" w:cstheme="majorHAnsi"/>
          <w:i/>
          <w:noProof/>
          <w:color w:val="000000" w:themeColor="text1"/>
          <w:spacing w:val="-4"/>
          <w:sz w:val="18"/>
          <w:szCs w:val="18"/>
          <w:lang w:eastAsia="ja-JP"/>
        </w:rPr>
        <w:t xml:space="preserve"> (in Vietnamese)</w:t>
      </w:r>
      <w:r w:rsidRPr="005E6B7C">
        <w:rPr>
          <w:rFonts w:asciiTheme="majorHAnsi" w:eastAsia="Yu Mincho" w:hAnsiTheme="majorHAnsi" w:cstheme="majorHAnsi"/>
          <w:noProof/>
          <w:color w:val="000000" w:themeColor="text1"/>
          <w:spacing w:val="-4"/>
          <w:sz w:val="18"/>
          <w:szCs w:val="18"/>
          <w:lang w:val="vi-VN" w:eastAsia="ja-JP"/>
        </w:rPr>
        <w:t>, Department of Science and Training, Ministry of Health, Vietnam.</w:t>
      </w:r>
    </w:p>
    <w:p w14:paraId="5B634036"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D</w:t>
      </w:r>
      <w:r w:rsidRPr="005E6B7C">
        <w:rPr>
          <w:rFonts w:asciiTheme="majorHAnsi" w:eastAsia="Yu Mincho" w:hAnsiTheme="majorHAnsi" w:cstheme="majorHAnsi"/>
          <w:noProof/>
          <w:color w:val="000000" w:themeColor="text1"/>
          <w:spacing w:val="-4"/>
          <w:sz w:val="18"/>
          <w:szCs w:val="18"/>
          <w:lang w:eastAsia="ja-JP"/>
        </w:rPr>
        <w:t>o T. D</w:t>
      </w:r>
      <w:r w:rsidRPr="005E6B7C">
        <w:rPr>
          <w:rFonts w:asciiTheme="majorHAnsi" w:eastAsia="Yu Mincho" w:hAnsiTheme="majorHAnsi" w:cstheme="majorHAnsi"/>
          <w:noProof/>
          <w:color w:val="000000" w:themeColor="text1"/>
          <w:spacing w:val="-4"/>
          <w:sz w:val="18"/>
          <w:szCs w:val="18"/>
          <w:lang w:val="vi-VN" w:eastAsia="ja-JP"/>
        </w:rPr>
        <w:t xml:space="preserve">. (2014), </w:t>
      </w:r>
      <w:r w:rsidRPr="005E6B7C">
        <w:rPr>
          <w:rFonts w:asciiTheme="majorHAnsi" w:eastAsia="Yu Mincho" w:hAnsiTheme="majorHAnsi" w:cstheme="majorHAnsi"/>
          <w:i/>
          <w:noProof/>
          <w:color w:val="000000" w:themeColor="text1"/>
          <w:spacing w:val="-4"/>
          <w:sz w:val="18"/>
          <w:szCs w:val="18"/>
          <w:lang w:val="vi-VN" w:eastAsia="ja-JP"/>
        </w:rPr>
        <w:t>Methods for determining drug toxicity</w:t>
      </w:r>
      <w:r w:rsidRPr="005E6B7C">
        <w:rPr>
          <w:rFonts w:asciiTheme="majorHAnsi" w:eastAsia="Yu Mincho" w:hAnsiTheme="majorHAnsi" w:cstheme="majorHAnsi"/>
          <w:i/>
          <w:noProof/>
          <w:color w:val="000000" w:themeColor="text1"/>
          <w:spacing w:val="-4"/>
          <w:sz w:val="18"/>
          <w:szCs w:val="18"/>
          <w:lang w:eastAsia="ja-JP"/>
        </w:rPr>
        <w:t xml:space="preserve"> (in Vietnamese)</w:t>
      </w:r>
      <w:r w:rsidRPr="005E6B7C">
        <w:rPr>
          <w:rFonts w:asciiTheme="majorHAnsi" w:eastAsia="Yu Mincho" w:hAnsiTheme="majorHAnsi" w:cstheme="majorHAnsi"/>
          <w:noProof/>
          <w:color w:val="000000" w:themeColor="text1"/>
          <w:spacing w:val="-4"/>
          <w:sz w:val="18"/>
          <w:szCs w:val="18"/>
          <w:lang w:val="vi-VN" w:eastAsia="ja-JP"/>
        </w:rPr>
        <w:t>, Medical Publishing House, Hanoi.</w:t>
      </w:r>
    </w:p>
    <w:p w14:paraId="09A34DA2"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Institute of Medicinal Materials (Vietnam) (2016), </w:t>
      </w:r>
      <w:r w:rsidRPr="005E6B7C">
        <w:rPr>
          <w:rFonts w:asciiTheme="majorHAnsi" w:eastAsia="Yu Mincho" w:hAnsiTheme="majorHAnsi" w:cstheme="majorHAnsi"/>
          <w:i/>
          <w:noProof/>
          <w:color w:val="000000" w:themeColor="text1"/>
          <w:spacing w:val="-4"/>
          <w:sz w:val="18"/>
          <w:szCs w:val="18"/>
          <w:lang w:eastAsia="ja-JP"/>
        </w:rPr>
        <w:t>M</w:t>
      </w:r>
      <w:r w:rsidRPr="005E6B7C">
        <w:rPr>
          <w:rFonts w:asciiTheme="majorHAnsi" w:eastAsia="Yu Mincho" w:hAnsiTheme="majorHAnsi" w:cstheme="majorHAnsi"/>
          <w:i/>
          <w:noProof/>
          <w:color w:val="000000" w:themeColor="text1"/>
          <w:spacing w:val="-4"/>
          <w:sz w:val="18"/>
          <w:szCs w:val="18"/>
          <w:lang w:val="vi-VN" w:eastAsia="ja-JP"/>
        </w:rPr>
        <w:t>ethods for studying the pharmacological effects of drugs derived from herbal medicines</w:t>
      </w:r>
      <w:r w:rsidRPr="005E6B7C">
        <w:rPr>
          <w:rFonts w:asciiTheme="majorHAnsi" w:eastAsia="Yu Mincho" w:hAnsiTheme="majorHAnsi" w:cstheme="majorHAnsi"/>
          <w:i/>
          <w:noProof/>
          <w:color w:val="000000" w:themeColor="text1"/>
          <w:spacing w:val="-4"/>
          <w:sz w:val="18"/>
          <w:szCs w:val="18"/>
          <w:lang w:eastAsia="ja-JP"/>
        </w:rPr>
        <w:t xml:space="preserve"> (in Vietnamese)</w:t>
      </w:r>
      <w:r w:rsidRPr="005E6B7C">
        <w:rPr>
          <w:rFonts w:asciiTheme="majorHAnsi" w:eastAsia="Yu Mincho" w:hAnsiTheme="majorHAnsi" w:cstheme="majorHAnsi"/>
          <w:noProof/>
          <w:color w:val="000000" w:themeColor="text1"/>
          <w:spacing w:val="-4"/>
          <w:sz w:val="18"/>
          <w:szCs w:val="18"/>
          <w:lang w:val="vi-VN" w:eastAsia="ja-JP"/>
        </w:rPr>
        <w:t>, Science and Technology Publishing House, Hanoi, 140–149.</w:t>
      </w:r>
    </w:p>
    <w:p w14:paraId="58E5F68C"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Wang L., Xie S., Jiang X., Xu C., Wang Y., Feng J., Yang B. (2023), Therapeutic effects of </w:t>
      </w:r>
      <w:r w:rsidRPr="005E6B7C">
        <w:rPr>
          <w:rFonts w:asciiTheme="majorHAnsi" w:eastAsia="Yu Mincho" w:hAnsiTheme="majorHAnsi" w:cstheme="majorHAnsi"/>
          <w:i/>
          <w:noProof/>
          <w:color w:val="000000" w:themeColor="text1"/>
          <w:spacing w:val="-4"/>
          <w:sz w:val="18"/>
          <w:szCs w:val="18"/>
          <w:lang w:val="vi-VN" w:eastAsia="ja-JP"/>
        </w:rPr>
        <w:t>Bombax ceiba</w:t>
      </w:r>
      <w:r w:rsidRPr="005E6B7C">
        <w:rPr>
          <w:rFonts w:asciiTheme="majorHAnsi" w:eastAsia="Yu Mincho" w:hAnsiTheme="majorHAnsi" w:cstheme="majorHAnsi"/>
          <w:noProof/>
          <w:color w:val="000000" w:themeColor="text1"/>
          <w:spacing w:val="-4"/>
          <w:sz w:val="18"/>
          <w:szCs w:val="18"/>
          <w:lang w:val="vi-VN" w:eastAsia="ja-JP"/>
        </w:rPr>
        <w:t xml:space="preserve"> flower aqueous extracts against loperamide-induced constipation in mice, </w:t>
      </w:r>
      <w:r w:rsidRPr="005E6B7C">
        <w:rPr>
          <w:rFonts w:asciiTheme="majorHAnsi" w:eastAsia="Yu Mincho" w:hAnsiTheme="majorHAnsi" w:cstheme="majorHAnsi"/>
          <w:i/>
          <w:noProof/>
          <w:color w:val="000000" w:themeColor="text1"/>
          <w:spacing w:val="-4"/>
          <w:sz w:val="18"/>
          <w:szCs w:val="18"/>
          <w:lang w:val="vi-VN" w:eastAsia="ja-JP"/>
        </w:rPr>
        <w:t>Pharmaceutical Biology</w:t>
      </w:r>
      <w:r w:rsidRPr="005E6B7C">
        <w:rPr>
          <w:rFonts w:asciiTheme="majorHAnsi" w:eastAsia="Yu Mincho" w:hAnsiTheme="majorHAnsi" w:cstheme="majorHAnsi"/>
          <w:noProof/>
          <w:color w:val="000000" w:themeColor="text1"/>
          <w:spacing w:val="-4"/>
          <w:sz w:val="18"/>
          <w:szCs w:val="18"/>
          <w:lang w:val="vi-VN" w:eastAsia="ja-JP"/>
        </w:rPr>
        <w:t>, 61(1), 125–134.</w:t>
      </w:r>
    </w:p>
    <w:p w14:paraId="093049A1"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Ayele A. G., Mulugeta B., Wondmkun Y. T. (2023), Evaluation of the </w:t>
      </w:r>
      <w:r w:rsidR="00894500" w:rsidRPr="005E6B7C">
        <w:rPr>
          <w:rFonts w:asciiTheme="majorHAnsi" w:eastAsia="Yu Mincho" w:hAnsiTheme="majorHAnsi" w:cstheme="majorHAnsi"/>
          <w:i/>
          <w:iCs/>
          <w:noProof/>
          <w:color w:val="000000" w:themeColor="text1"/>
          <w:spacing w:val="-4"/>
          <w:sz w:val="18"/>
          <w:szCs w:val="18"/>
          <w:lang w:val="vi-VN" w:eastAsia="ja-JP"/>
        </w:rPr>
        <w:t>in vivo</w:t>
      </w:r>
      <w:r w:rsidRPr="005E6B7C">
        <w:rPr>
          <w:rFonts w:asciiTheme="majorHAnsi" w:eastAsia="Yu Mincho" w:hAnsiTheme="majorHAnsi" w:cstheme="majorHAnsi"/>
          <w:noProof/>
          <w:color w:val="000000" w:themeColor="text1"/>
          <w:spacing w:val="-4"/>
          <w:sz w:val="18"/>
          <w:szCs w:val="18"/>
          <w:lang w:val="vi-VN" w:eastAsia="ja-JP"/>
        </w:rPr>
        <w:t xml:space="preserve"> laxative effects of aqueous root extracts of </w:t>
      </w:r>
      <w:r w:rsidRPr="005E6B7C">
        <w:rPr>
          <w:rFonts w:asciiTheme="majorHAnsi" w:eastAsia="Yu Mincho" w:hAnsiTheme="majorHAnsi" w:cstheme="majorHAnsi"/>
          <w:i/>
          <w:noProof/>
          <w:color w:val="000000" w:themeColor="text1"/>
          <w:spacing w:val="-4"/>
          <w:sz w:val="18"/>
          <w:szCs w:val="18"/>
          <w:lang w:val="vi-VN" w:eastAsia="ja-JP"/>
        </w:rPr>
        <w:t>Euclea racemosa</w:t>
      </w:r>
      <w:r w:rsidRPr="005E6B7C">
        <w:rPr>
          <w:rFonts w:asciiTheme="majorHAnsi" w:eastAsia="Yu Mincho" w:hAnsiTheme="majorHAnsi" w:cstheme="majorHAnsi"/>
          <w:noProof/>
          <w:color w:val="000000" w:themeColor="text1"/>
          <w:spacing w:val="-4"/>
          <w:sz w:val="18"/>
          <w:szCs w:val="18"/>
          <w:lang w:val="vi-VN" w:eastAsia="ja-JP"/>
        </w:rPr>
        <w:t xml:space="preserve"> L. in mice, </w:t>
      </w:r>
      <w:r w:rsidRPr="005E6B7C">
        <w:rPr>
          <w:rFonts w:asciiTheme="majorHAnsi" w:eastAsia="Yu Mincho" w:hAnsiTheme="majorHAnsi" w:cstheme="majorHAnsi"/>
          <w:i/>
          <w:noProof/>
          <w:color w:val="000000" w:themeColor="text1"/>
          <w:spacing w:val="-4"/>
          <w:sz w:val="18"/>
          <w:szCs w:val="18"/>
          <w:lang w:val="vi-VN" w:eastAsia="ja-JP"/>
        </w:rPr>
        <w:t>Metabolism Open</w:t>
      </w:r>
      <w:r w:rsidRPr="005E6B7C">
        <w:rPr>
          <w:rFonts w:asciiTheme="majorHAnsi" w:eastAsia="Yu Mincho" w:hAnsiTheme="majorHAnsi" w:cstheme="majorHAnsi"/>
          <w:noProof/>
          <w:color w:val="000000" w:themeColor="text1"/>
          <w:spacing w:val="-4"/>
          <w:sz w:val="18"/>
          <w:szCs w:val="18"/>
          <w:lang w:val="vi-VN" w:eastAsia="ja-JP"/>
        </w:rPr>
        <w:t>, 17, 100222.</w:t>
      </w:r>
    </w:p>
    <w:p w14:paraId="1C856721"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Wintola O. A., Sunmonu T. O., Afolayan A. J. (2010), The effect of </w:t>
      </w:r>
      <w:r w:rsidRPr="005E6B7C">
        <w:rPr>
          <w:rFonts w:asciiTheme="majorHAnsi" w:eastAsia="Yu Mincho" w:hAnsiTheme="majorHAnsi" w:cstheme="majorHAnsi"/>
          <w:i/>
          <w:noProof/>
          <w:color w:val="000000" w:themeColor="text1"/>
          <w:spacing w:val="-4"/>
          <w:sz w:val="18"/>
          <w:szCs w:val="18"/>
          <w:lang w:val="vi-VN" w:eastAsia="ja-JP"/>
        </w:rPr>
        <w:t>Aloe ferox</w:t>
      </w:r>
      <w:r w:rsidRPr="005E6B7C">
        <w:rPr>
          <w:rFonts w:asciiTheme="majorHAnsi" w:eastAsia="Yu Mincho" w:hAnsiTheme="majorHAnsi" w:cstheme="majorHAnsi"/>
          <w:noProof/>
          <w:color w:val="000000" w:themeColor="text1"/>
          <w:spacing w:val="-4"/>
          <w:sz w:val="18"/>
          <w:szCs w:val="18"/>
          <w:lang w:val="vi-VN" w:eastAsia="ja-JP"/>
        </w:rPr>
        <w:t xml:space="preserve"> Mill. in the treatment of loperamide-induced constipation in Wistar rats, </w:t>
      </w:r>
      <w:r w:rsidRPr="005E6B7C">
        <w:rPr>
          <w:rFonts w:asciiTheme="majorHAnsi" w:eastAsia="Yu Mincho" w:hAnsiTheme="majorHAnsi" w:cstheme="majorHAnsi"/>
          <w:i/>
          <w:noProof/>
          <w:color w:val="000000" w:themeColor="text1"/>
          <w:spacing w:val="-4"/>
          <w:sz w:val="18"/>
          <w:szCs w:val="18"/>
          <w:lang w:val="vi-VN" w:eastAsia="ja-JP"/>
        </w:rPr>
        <w:t>BMC Gastroenterology</w:t>
      </w:r>
      <w:r w:rsidRPr="005E6B7C">
        <w:rPr>
          <w:rFonts w:asciiTheme="majorHAnsi" w:eastAsia="Yu Mincho" w:hAnsiTheme="majorHAnsi" w:cstheme="majorHAnsi"/>
          <w:noProof/>
          <w:color w:val="000000" w:themeColor="text1"/>
          <w:spacing w:val="-4"/>
          <w:sz w:val="18"/>
          <w:szCs w:val="18"/>
          <w:lang w:val="vi-VN" w:eastAsia="ja-JP"/>
        </w:rPr>
        <w:t>, 10, 95.</w:t>
      </w:r>
    </w:p>
    <w:p w14:paraId="44D214F6"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Lim J.</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M., Kim Y. D., Song C.</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H., Park S.</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J., Park D.</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C., Cho H.</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R., Jung G.</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W., Bashir K. M. I., Ku S. K., Choi J.</w:t>
      </w:r>
      <w:r w:rsidRPr="005E6B7C">
        <w:rPr>
          <w:rFonts w:asciiTheme="majorHAnsi" w:eastAsia="Yu Mincho" w:hAnsiTheme="majorHAnsi" w:cstheme="majorHAnsi"/>
          <w:noProof/>
          <w:color w:val="000000" w:themeColor="text1"/>
          <w:spacing w:val="-4"/>
          <w:sz w:val="18"/>
          <w:szCs w:val="18"/>
          <w:lang w:eastAsia="ja-JP"/>
        </w:rPr>
        <w:t xml:space="preserve"> </w:t>
      </w:r>
      <w:r w:rsidRPr="005E6B7C">
        <w:rPr>
          <w:rFonts w:asciiTheme="majorHAnsi" w:eastAsia="Yu Mincho" w:hAnsiTheme="majorHAnsi" w:cstheme="majorHAnsi"/>
          <w:noProof/>
          <w:color w:val="000000" w:themeColor="text1"/>
          <w:spacing w:val="-4"/>
          <w:sz w:val="18"/>
          <w:szCs w:val="18"/>
          <w:lang w:val="vi-VN" w:eastAsia="ja-JP"/>
        </w:rPr>
        <w:t xml:space="preserve">S. (2019), Laxative effects of triple fermented barley extracts (FBe) on loperamide (LP)-induced constipation in rats, </w:t>
      </w:r>
      <w:r w:rsidRPr="005E6B7C">
        <w:rPr>
          <w:rFonts w:asciiTheme="majorHAnsi" w:eastAsia="Yu Mincho" w:hAnsiTheme="majorHAnsi" w:cstheme="majorHAnsi"/>
          <w:i/>
          <w:noProof/>
          <w:color w:val="000000" w:themeColor="text1"/>
          <w:spacing w:val="-4"/>
          <w:sz w:val="18"/>
          <w:szCs w:val="18"/>
          <w:lang w:val="vi-VN" w:eastAsia="ja-JP"/>
        </w:rPr>
        <w:t>BMC Complementary and Alternative Medicine</w:t>
      </w:r>
      <w:r w:rsidRPr="005E6B7C">
        <w:rPr>
          <w:rFonts w:asciiTheme="majorHAnsi" w:eastAsia="Yu Mincho" w:hAnsiTheme="majorHAnsi" w:cstheme="majorHAnsi"/>
          <w:noProof/>
          <w:color w:val="000000" w:themeColor="text1"/>
          <w:spacing w:val="-4"/>
          <w:sz w:val="18"/>
          <w:szCs w:val="18"/>
          <w:lang w:val="vi-VN" w:eastAsia="ja-JP"/>
        </w:rPr>
        <w:t>, 19(1), 143.</w:t>
      </w:r>
    </w:p>
    <w:p w14:paraId="4A7AEF24"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Choi J. S., Kim J. W., Cho H. R., Kim K. Y., Lee J. K., Sohn J. H., Ku S. K. (2014), Laxative effects of fermented rice extract in rats with loperamide-induced constipation, </w:t>
      </w:r>
      <w:r w:rsidRPr="005E6B7C">
        <w:rPr>
          <w:rFonts w:asciiTheme="majorHAnsi" w:eastAsia="Yu Mincho" w:hAnsiTheme="majorHAnsi" w:cstheme="majorHAnsi"/>
          <w:i/>
          <w:noProof/>
          <w:color w:val="000000" w:themeColor="text1"/>
          <w:spacing w:val="-4"/>
          <w:sz w:val="18"/>
          <w:szCs w:val="18"/>
          <w:lang w:val="vi-VN" w:eastAsia="ja-JP"/>
        </w:rPr>
        <w:t>Experimental and Therapeutic Medicine</w:t>
      </w:r>
      <w:r w:rsidRPr="005E6B7C">
        <w:rPr>
          <w:rFonts w:asciiTheme="majorHAnsi" w:eastAsia="Yu Mincho" w:hAnsiTheme="majorHAnsi" w:cstheme="majorHAnsi"/>
          <w:noProof/>
          <w:color w:val="000000" w:themeColor="text1"/>
          <w:spacing w:val="-4"/>
          <w:sz w:val="18"/>
          <w:szCs w:val="18"/>
          <w:lang w:val="vi-VN" w:eastAsia="ja-JP"/>
        </w:rPr>
        <w:t>, 8(6), 1847–1854.</w:t>
      </w:r>
    </w:p>
    <w:p w14:paraId="693526BF"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Ayele A. G., Kawet J. S. (2024), Evaluation of the </w:t>
      </w:r>
      <w:r w:rsidR="00894500" w:rsidRPr="005E6B7C">
        <w:rPr>
          <w:rFonts w:asciiTheme="majorHAnsi" w:eastAsia="Yu Mincho" w:hAnsiTheme="majorHAnsi" w:cstheme="majorHAnsi"/>
          <w:i/>
          <w:iCs/>
          <w:noProof/>
          <w:color w:val="000000" w:themeColor="text1"/>
          <w:spacing w:val="-4"/>
          <w:sz w:val="18"/>
          <w:szCs w:val="18"/>
          <w:lang w:val="vi-VN" w:eastAsia="ja-JP"/>
        </w:rPr>
        <w:t>in vivo</w:t>
      </w:r>
      <w:r w:rsidRPr="005E6B7C">
        <w:rPr>
          <w:rFonts w:asciiTheme="majorHAnsi" w:eastAsia="Yu Mincho" w:hAnsiTheme="majorHAnsi" w:cstheme="majorHAnsi"/>
          <w:noProof/>
          <w:color w:val="000000" w:themeColor="text1"/>
          <w:spacing w:val="-4"/>
          <w:sz w:val="18"/>
          <w:szCs w:val="18"/>
          <w:lang w:val="vi-VN" w:eastAsia="ja-JP"/>
        </w:rPr>
        <w:t xml:space="preserve"> laxative effects of aqueous leaf and stem extracts of </w:t>
      </w:r>
      <w:r w:rsidRPr="005E6B7C">
        <w:rPr>
          <w:rFonts w:asciiTheme="majorHAnsi" w:eastAsia="Yu Mincho" w:hAnsiTheme="majorHAnsi" w:cstheme="majorHAnsi"/>
          <w:i/>
          <w:noProof/>
          <w:color w:val="000000" w:themeColor="text1"/>
          <w:spacing w:val="-4"/>
          <w:sz w:val="18"/>
          <w:szCs w:val="18"/>
          <w:lang w:val="vi-VN" w:eastAsia="ja-JP"/>
        </w:rPr>
        <w:t>Artemisia abyssinica</w:t>
      </w:r>
      <w:r w:rsidRPr="005E6B7C">
        <w:rPr>
          <w:rFonts w:asciiTheme="majorHAnsi" w:eastAsia="Yu Mincho" w:hAnsiTheme="majorHAnsi" w:cstheme="majorHAnsi"/>
          <w:noProof/>
          <w:color w:val="000000" w:themeColor="text1"/>
          <w:spacing w:val="-4"/>
          <w:sz w:val="18"/>
          <w:szCs w:val="18"/>
          <w:lang w:val="vi-VN" w:eastAsia="ja-JP"/>
        </w:rPr>
        <w:t xml:space="preserve"> in mice, </w:t>
      </w:r>
      <w:r w:rsidRPr="005E6B7C">
        <w:rPr>
          <w:rFonts w:asciiTheme="majorHAnsi" w:eastAsia="Yu Mincho" w:hAnsiTheme="majorHAnsi" w:cstheme="majorHAnsi"/>
          <w:i/>
          <w:noProof/>
          <w:color w:val="000000" w:themeColor="text1"/>
          <w:spacing w:val="-4"/>
          <w:sz w:val="18"/>
          <w:szCs w:val="18"/>
          <w:lang w:val="vi-VN" w:eastAsia="ja-JP"/>
        </w:rPr>
        <w:t>Journal of Experimental Pharmacology</w:t>
      </w:r>
      <w:r w:rsidRPr="005E6B7C">
        <w:rPr>
          <w:rFonts w:asciiTheme="majorHAnsi" w:eastAsia="Yu Mincho" w:hAnsiTheme="majorHAnsi" w:cstheme="majorHAnsi"/>
          <w:noProof/>
          <w:color w:val="000000" w:themeColor="text1"/>
          <w:spacing w:val="-4"/>
          <w:sz w:val="18"/>
          <w:szCs w:val="18"/>
          <w:lang w:val="vi-VN" w:eastAsia="ja-JP"/>
        </w:rPr>
        <w:t>, 16, 135–142.</w:t>
      </w:r>
    </w:p>
    <w:p w14:paraId="371C5217"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Saito T., Mizutani F., Iwanaga Y., Morikawa K., Kato H. (2002), Laxative and anti-diarrheal activity of polycarbophil in mice and rats, </w:t>
      </w:r>
      <w:r w:rsidRPr="005E6B7C">
        <w:rPr>
          <w:rFonts w:asciiTheme="majorHAnsi" w:eastAsia="Yu Mincho" w:hAnsiTheme="majorHAnsi" w:cstheme="majorHAnsi"/>
          <w:i/>
          <w:noProof/>
          <w:color w:val="000000" w:themeColor="text1"/>
          <w:spacing w:val="-4"/>
          <w:sz w:val="18"/>
          <w:szCs w:val="18"/>
          <w:lang w:val="vi-VN" w:eastAsia="ja-JP"/>
        </w:rPr>
        <w:t>Japanese Journal of Pharmacology</w:t>
      </w:r>
      <w:r w:rsidRPr="005E6B7C">
        <w:rPr>
          <w:rFonts w:asciiTheme="majorHAnsi" w:eastAsia="Yu Mincho" w:hAnsiTheme="majorHAnsi" w:cstheme="majorHAnsi"/>
          <w:noProof/>
          <w:color w:val="000000" w:themeColor="text1"/>
          <w:spacing w:val="-4"/>
          <w:sz w:val="18"/>
          <w:szCs w:val="18"/>
          <w:lang w:val="vi-VN" w:eastAsia="ja-JP"/>
        </w:rPr>
        <w:t>, 89(2), 133–141.</w:t>
      </w:r>
    </w:p>
    <w:p w14:paraId="54861AFD"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8"/>
          <w:sz w:val="18"/>
          <w:szCs w:val="18"/>
          <w:lang w:val="vi-VN" w:eastAsia="ja-JP"/>
        </w:rPr>
      </w:pPr>
      <w:r w:rsidRPr="005E6B7C">
        <w:rPr>
          <w:rFonts w:asciiTheme="majorHAnsi" w:eastAsia="Yu Mincho" w:hAnsiTheme="majorHAnsi" w:cstheme="majorHAnsi"/>
          <w:noProof/>
          <w:color w:val="000000" w:themeColor="text1"/>
          <w:spacing w:val="-8"/>
          <w:sz w:val="18"/>
          <w:szCs w:val="18"/>
          <w:lang w:val="vi-VN" w:eastAsia="ja-JP"/>
        </w:rPr>
        <w:t xml:space="preserve">Hodge H. C., Sterner J. H. (1949), Tabulation of toxicity classes, </w:t>
      </w:r>
      <w:r w:rsidRPr="005E6B7C">
        <w:rPr>
          <w:rFonts w:asciiTheme="majorHAnsi" w:eastAsia="Yu Mincho" w:hAnsiTheme="majorHAnsi" w:cstheme="majorHAnsi"/>
          <w:i/>
          <w:noProof/>
          <w:color w:val="000000" w:themeColor="text1"/>
          <w:spacing w:val="-8"/>
          <w:sz w:val="18"/>
          <w:szCs w:val="18"/>
          <w:lang w:val="vi-VN" w:eastAsia="ja-JP"/>
        </w:rPr>
        <w:t>American Industrial Hygiene Association Quarterly</w:t>
      </w:r>
      <w:r w:rsidRPr="005E6B7C">
        <w:rPr>
          <w:rFonts w:asciiTheme="majorHAnsi" w:eastAsia="Yu Mincho" w:hAnsiTheme="majorHAnsi" w:cstheme="majorHAnsi"/>
          <w:noProof/>
          <w:color w:val="000000" w:themeColor="text1"/>
          <w:spacing w:val="-8"/>
          <w:sz w:val="18"/>
          <w:szCs w:val="18"/>
          <w:lang w:val="vi-VN" w:eastAsia="ja-JP"/>
        </w:rPr>
        <w:t>, 10(4), 93–96.</w:t>
      </w:r>
    </w:p>
    <w:p w14:paraId="37C6458F"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Tunaru S., Althoff T. F., Nüsing R. M., Diener M., Offermanns S. (2012), Castor oil induces laxation and uterus contraction via ricinoleic acid activating prostaglandin EP3 receptors, </w:t>
      </w:r>
      <w:r w:rsidRPr="005E6B7C">
        <w:rPr>
          <w:rFonts w:asciiTheme="majorHAnsi" w:eastAsia="Yu Mincho" w:hAnsiTheme="majorHAnsi" w:cstheme="majorHAnsi"/>
          <w:i/>
          <w:noProof/>
          <w:color w:val="000000" w:themeColor="text1"/>
          <w:spacing w:val="-4"/>
          <w:sz w:val="18"/>
          <w:szCs w:val="18"/>
          <w:lang w:val="vi-VN" w:eastAsia="ja-JP"/>
        </w:rPr>
        <w:t>Proceedings of the National Academy of Sciences of the United States of America</w:t>
      </w:r>
      <w:r w:rsidRPr="005E6B7C">
        <w:rPr>
          <w:rFonts w:asciiTheme="majorHAnsi" w:eastAsia="Yu Mincho" w:hAnsiTheme="majorHAnsi" w:cstheme="majorHAnsi"/>
          <w:noProof/>
          <w:color w:val="000000" w:themeColor="text1"/>
          <w:spacing w:val="-4"/>
          <w:sz w:val="18"/>
          <w:szCs w:val="18"/>
          <w:lang w:val="vi-VN" w:eastAsia="ja-JP"/>
        </w:rPr>
        <w:t>, 109(23), 9179–9184.</w:t>
      </w:r>
    </w:p>
    <w:p w14:paraId="4C675D22"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Corsetti M., Landes S., Lange R. (2021), Bisacodyl: A review of pharmacology and clinical evidence to guide use in clinical practice in patients with constipation, </w:t>
      </w:r>
      <w:r w:rsidRPr="005E6B7C">
        <w:rPr>
          <w:rFonts w:asciiTheme="majorHAnsi" w:eastAsia="Yu Mincho" w:hAnsiTheme="majorHAnsi" w:cstheme="majorHAnsi"/>
          <w:i/>
          <w:noProof/>
          <w:color w:val="000000" w:themeColor="text1"/>
          <w:spacing w:val="-4"/>
          <w:sz w:val="18"/>
          <w:szCs w:val="18"/>
          <w:lang w:val="vi-VN" w:eastAsia="ja-JP"/>
        </w:rPr>
        <w:t>Neurogastroenterology and Motility</w:t>
      </w:r>
      <w:r w:rsidRPr="005E6B7C">
        <w:rPr>
          <w:rFonts w:asciiTheme="majorHAnsi" w:eastAsia="Yu Mincho" w:hAnsiTheme="majorHAnsi" w:cstheme="majorHAnsi"/>
          <w:noProof/>
          <w:color w:val="000000" w:themeColor="text1"/>
          <w:spacing w:val="-4"/>
          <w:sz w:val="18"/>
          <w:szCs w:val="18"/>
          <w:lang w:val="vi-VN" w:eastAsia="ja-JP"/>
        </w:rPr>
        <w:t>, 33(10), e14123.</w:t>
      </w:r>
    </w:p>
    <w:p w14:paraId="346CC78E"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Lei Z., Rong H., Yang Y., Yu S., Zhang T., Chen L., Nie Y., Song Q., Hu Q., Guo J. (2022), Loperamide induces excessive accumulation of bile acids in the liver of mice with different diets, T</w:t>
      </w:r>
      <w:r w:rsidRPr="005E6B7C">
        <w:rPr>
          <w:rFonts w:asciiTheme="majorHAnsi" w:eastAsia="Yu Mincho" w:hAnsiTheme="majorHAnsi" w:cstheme="majorHAnsi"/>
          <w:i/>
          <w:noProof/>
          <w:color w:val="000000" w:themeColor="text1"/>
          <w:spacing w:val="-4"/>
          <w:sz w:val="18"/>
          <w:szCs w:val="18"/>
          <w:lang w:val="vi-VN" w:eastAsia="ja-JP"/>
        </w:rPr>
        <w:t>oxicology</w:t>
      </w:r>
      <w:r w:rsidRPr="005E6B7C">
        <w:rPr>
          <w:rFonts w:asciiTheme="majorHAnsi" w:eastAsia="Yu Mincho" w:hAnsiTheme="majorHAnsi" w:cstheme="majorHAnsi"/>
          <w:noProof/>
          <w:color w:val="000000" w:themeColor="text1"/>
          <w:spacing w:val="-4"/>
          <w:sz w:val="18"/>
          <w:szCs w:val="18"/>
          <w:lang w:val="vi-VN" w:eastAsia="ja-JP"/>
        </w:rPr>
        <w:t>, 477, 153278.</w:t>
      </w:r>
    </w:p>
    <w:p w14:paraId="4C306322" w14:textId="77777777" w:rsidR="00E049CB" w:rsidRPr="005E6B7C" w:rsidRDefault="00E049CB" w:rsidP="008C0D47">
      <w:pPr>
        <w:numPr>
          <w:ilvl w:val="0"/>
          <w:numId w:val="29"/>
        </w:numPr>
        <w:tabs>
          <w:tab w:val="left" w:pos="270"/>
          <w:tab w:val="left" w:pos="360"/>
        </w:tabs>
        <w:spacing w:line="190" w:lineRule="exact"/>
        <w:ind w:left="0" w:firstLine="0"/>
        <w:jc w:val="both"/>
        <w:rPr>
          <w:rFonts w:asciiTheme="majorHAnsi" w:eastAsia="Yu Mincho" w:hAnsiTheme="majorHAnsi" w:cstheme="majorHAnsi"/>
          <w:noProof/>
          <w:color w:val="000000" w:themeColor="text1"/>
          <w:spacing w:val="-4"/>
          <w:sz w:val="18"/>
          <w:szCs w:val="18"/>
          <w:lang w:val="vi-VN" w:eastAsia="ja-JP"/>
        </w:rPr>
      </w:pPr>
      <w:r w:rsidRPr="005E6B7C">
        <w:rPr>
          <w:rFonts w:asciiTheme="majorHAnsi" w:eastAsia="Yu Mincho" w:hAnsiTheme="majorHAnsi" w:cstheme="majorHAnsi"/>
          <w:noProof/>
          <w:color w:val="000000" w:themeColor="text1"/>
          <w:spacing w:val="-4"/>
          <w:sz w:val="18"/>
          <w:szCs w:val="18"/>
          <w:lang w:val="vi-VN" w:eastAsia="ja-JP"/>
        </w:rPr>
        <w:t xml:space="preserve">Qiu B., Zhu L., Zhang S., Han S., Fei Y., Ba F., Berglund B., Li L., Yao M. (2022), Prevention of loperamide-induced constipation in mice and alteration of 5-hydroxytryptamine signaling by </w:t>
      </w:r>
      <w:r w:rsidRPr="005E6B7C">
        <w:rPr>
          <w:rFonts w:asciiTheme="majorHAnsi" w:eastAsia="Yu Mincho" w:hAnsiTheme="majorHAnsi" w:cstheme="majorHAnsi"/>
          <w:i/>
          <w:noProof/>
          <w:color w:val="000000" w:themeColor="text1"/>
          <w:spacing w:val="-4"/>
          <w:sz w:val="18"/>
          <w:szCs w:val="18"/>
          <w:lang w:val="vi-VN" w:eastAsia="ja-JP"/>
        </w:rPr>
        <w:t>Ligilactobacillus salivarius</w:t>
      </w:r>
      <w:r w:rsidRPr="005E6B7C">
        <w:rPr>
          <w:rFonts w:asciiTheme="majorHAnsi" w:eastAsia="Yu Mincho" w:hAnsiTheme="majorHAnsi" w:cstheme="majorHAnsi"/>
          <w:noProof/>
          <w:color w:val="000000" w:themeColor="text1"/>
          <w:spacing w:val="-4"/>
          <w:sz w:val="18"/>
          <w:szCs w:val="18"/>
          <w:lang w:val="vi-VN" w:eastAsia="ja-JP"/>
        </w:rPr>
        <w:t xml:space="preserve"> Li01, </w:t>
      </w:r>
      <w:r w:rsidRPr="005E6B7C">
        <w:rPr>
          <w:rFonts w:asciiTheme="majorHAnsi" w:eastAsia="Yu Mincho" w:hAnsiTheme="majorHAnsi" w:cstheme="majorHAnsi"/>
          <w:i/>
          <w:noProof/>
          <w:color w:val="000000" w:themeColor="text1"/>
          <w:spacing w:val="-4"/>
          <w:sz w:val="18"/>
          <w:szCs w:val="18"/>
          <w:lang w:val="vi-VN" w:eastAsia="ja-JP"/>
        </w:rPr>
        <w:t>Nutrients</w:t>
      </w:r>
      <w:r w:rsidRPr="005E6B7C">
        <w:rPr>
          <w:rFonts w:asciiTheme="majorHAnsi" w:eastAsia="Yu Mincho" w:hAnsiTheme="majorHAnsi" w:cstheme="majorHAnsi"/>
          <w:noProof/>
          <w:color w:val="000000" w:themeColor="text1"/>
          <w:spacing w:val="-4"/>
          <w:sz w:val="18"/>
          <w:szCs w:val="18"/>
          <w:lang w:val="vi-VN" w:eastAsia="ja-JP"/>
        </w:rPr>
        <w:t>, 14(19), 4083.</w:t>
      </w:r>
    </w:p>
    <w:p w14:paraId="7757F34E" w14:textId="77777777" w:rsidR="0018773C" w:rsidRPr="005E6B7C" w:rsidRDefault="0018773C" w:rsidP="008C0D47">
      <w:pPr>
        <w:spacing w:after="200" w:line="276" w:lineRule="auto"/>
        <w:rPr>
          <w:rFonts w:asciiTheme="majorHAnsi" w:eastAsia="Yu Mincho" w:hAnsiTheme="majorHAnsi" w:cstheme="majorHAnsi"/>
          <w:b/>
          <w:bCs/>
          <w:i/>
          <w:color w:val="000000" w:themeColor="text1"/>
          <w:sz w:val="26"/>
          <w:szCs w:val="26"/>
          <w:lang w:val="vi-VN" w:eastAsia="ja-JP"/>
        </w:rPr>
      </w:pPr>
      <w:r w:rsidRPr="005E6B7C">
        <w:rPr>
          <w:rFonts w:asciiTheme="majorHAnsi" w:eastAsia="Yu Mincho" w:hAnsiTheme="majorHAnsi" w:cstheme="majorHAnsi"/>
          <w:b/>
          <w:bCs/>
          <w:i/>
          <w:color w:val="000000" w:themeColor="text1"/>
          <w:sz w:val="26"/>
          <w:szCs w:val="26"/>
          <w:lang w:val="vi-VN" w:eastAsia="ja-JP"/>
        </w:rPr>
        <w:br w:type="page"/>
      </w:r>
    </w:p>
    <w:p w14:paraId="041DDD05"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182B33" w:rsidRPr="005E6B7C">
        <w:rPr>
          <w:rFonts w:asciiTheme="majorHAnsi" w:eastAsia="Yu Mincho" w:hAnsiTheme="majorHAnsi" w:cstheme="majorHAnsi"/>
          <w:b/>
          <w:bCs/>
          <w:i/>
          <w:color w:val="000000" w:themeColor="text1"/>
          <w:sz w:val="26"/>
          <w:szCs w:val="26"/>
          <w:lang w:eastAsia="ja-JP"/>
        </w:rPr>
        <w:t xml:space="preserve"> 123</w:t>
      </w:r>
      <w:r w:rsidRPr="005E6B7C">
        <w:rPr>
          <w:rFonts w:asciiTheme="majorHAnsi" w:eastAsia="Yu Mincho" w:hAnsiTheme="majorHAnsi" w:cstheme="majorHAnsi"/>
          <w:b/>
          <w:bCs/>
          <w:i/>
          <w:color w:val="000000" w:themeColor="text1"/>
          <w:sz w:val="26"/>
          <w:szCs w:val="26"/>
          <w:lang w:eastAsia="ja-JP"/>
        </w:rPr>
        <w:t xml:space="preserve"> </w:t>
      </w:r>
      <w:r w:rsidR="00182B33" w:rsidRPr="005E6B7C">
        <w:rPr>
          <w:rFonts w:asciiTheme="majorHAnsi" w:eastAsia="Yu Mincho" w:hAnsiTheme="majorHAnsi" w:cstheme="majorHAnsi"/>
          <w:b/>
          <w:bCs/>
          <w:i/>
          <w:color w:val="000000" w:themeColor="text1"/>
          <w:sz w:val="26"/>
          <w:szCs w:val="26"/>
          <w:lang w:eastAsia="ja-JP"/>
        </w:rPr>
        <w:t>-</w:t>
      </w:r>
      <w:r w:rsidRPr="005E6B7C">
        <w:rPr>
          <w:rFonts w:asciiTheme="majorHAnsi" w:eastAsia="Yu Mincho" w:hAnsiTheme="majorHAnsi" w:cstheme="majorHAnsi"/>
          <w:b/>
          <w:bCs/>
          <w:i/>
          <w:color w:val="000000" w:themeColor="text1"/>
          <w:sz w:val="26"/>
          <w:szCs w:val="26"/>
          <w:lang w:eastAsia="ja-JP"/>
        </w:rPr>
        <w:t xml:space="preserve"> </w:t>
      </w:r>
      <w:r w:rsidR="00182B33" w:rsidRPr="005E6B7C">
        <w:rPr>
          <w:rFonts w:asciiTheme="majorHAnsi" w:eastAsia="Yu Mincho" w:hAnsiTheme="majorHAnsi" w:cstheme="majorHAnsi"/>
          <w:b/>
          <w:bCs/>
          <w:i/>
          <w:color w:val="000000" w:themeColor="text1"/>
          <w:sz w:val="26"/>
          <w:szCs w:val="26"/>
          <w:lang w:eastAsia="ja-JP"/>
        </w:rPr>
        <w:t>130</w:t>
      </w:r>
      <w:r w:rsidRPr="005E6B7C">
        <w:rPr>
          <w:rFonts w:asciiTheme="majorHAnsi" w:eastAsia="Yu Mincho" w:hAnsiTheme="majorHAnsi" w:cstheme="majorHAnsi"/>
          <w:b/>
          <w:bCs/>
          <w:i/>
          <w:color w:val="000000" w:themeColor="text1"/>
          <w:sz w:val="26"/>
          <w:szCs w:val="26"/>
          <w:lang w:eastAsia="ja-JP"/>
        </w:rPr>
        <w:t>)</w:t>
      </w:r>
    </w:p>
    <w:p w14:paraId="08B4A8AA" w14:textId="77777777" w:rsidR="00367819" w:rsidRPr="005E6B7C" w:rsidRDefault="00367819"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15B73CCE" w14:textId="77777777" w:rsidR="004A3B6F"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EVALUATION OF MEMORY-ENHANCING EFFECTS </w:t>
      </w:r>
    </w:p>
    <w:p w14:paraId="31A46368" w14:textId="68C60D7B" w:rsidR="00E049CB"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OF </w:t>
      </w:r>
      <w:r w:rsidRPr="005E6B7C">
        <w:rPr>
          <w:rFonts w:asciiTheme="majorHAnsi" w:eastAsia="Yu Mincho" w:hAnsiTheme="majorHAnsi" w:cstheme="majorHAnsi"/>
          <w:b/>
          <w:bCs/>
          <w:i/>
          <w:iCs/>
          <w:color w:val="000000" w:themeColor="text1"/>
          <w:sz w:val="26"/>
          <w:szCs w:val="26"/>
          <w:lang w:eastAsia="ja-JP"/>
        </w:rPr>
        <w:t xml:space="preserve">MORINDA OFFICINALIS </w:t>
      </w:r>
      <w:r w:rsidRPr="005E6B7C">
        <w:rPr>
          <w:rFonts w:asciiTheme="majorHAnsi" w:eastAsia="Yu Mincho" w:hAnsiTheme="majorHAnsi" w:cstheme="majorHAnsi"/>
          <w:b/>
          <w:bCs/>
          <w:color w:val="000000" w:themeColor="text1"/>
          <w:sz w:val="26"/>
          <w:szCs w:val="26"/>
          <w:lang w:eastAsia="ja-JP"/>
        </w:rPr>
        <w:t xml:space="preserve">HOW. ROOT EXTRACTS IN A </w:t>
      </w:r>
      <w:r w:rsidR="00EC45B5" w:rsidRPr="005E6B7C">
        <w:rPr>
          <w:rFonts w:asciiTheme="majorHAnsi" w:eastAsia="Yu Mincho" w:hAnsiTheme="majorHAnsi" w:cstheme="majorHAnsi"/>
          <w:b/>
          <w:bCs/>
          <w:color w:val="000000" w:themeColor="text1"/>
          <w:sz w:val="26"/>
          <w:szCs w:val="26"/>
          <w:lang w:eastAsia="ja-JP"/>
        </w:rPr>
        <w:br/>
      </w:r>
      <w:r w:rsidRPr="005E6B7C">
        <w:rPr>
          <w:rFonts w:asciiTheme="majorHAnsi" w:eastAsia="Yu Mincho" w:hAnsiTheme="majorHAnsi" w:cstheme="majorHAnsi"/>
          <w:b/>
          <w:bCs/>
          <w:color w:val="000000" w:themeColor="text1"/>
          <w:sz w:val="26"/>
          <w:szCs w:val="26"/>
          <w:lang w:eastAsia="ja-JP"/>
        </w:rPr>
        <w:t xml:space="preserve">TRANSGENIC </w:t>
      </w:r>
      <w:r w:rsidR="006F59ED" w:rsidRPr="005E6B7C">
        <w:rPr>
          <w:rFonts w:asciiTheme="majorHAnsi" w:eastAsia="Yu Mincho" w:hAnsiTheme="majorHAnsi" w:cstheme="majorHAnsi"/>
          <w:b/>
          <w:bCs/>
          <w:i/>
          <w:color w:val="000000" w:themeColor="text1"/>
          <w:sz w:val="26"/>
          <w:szCs w:val="26"/>
          <w:lang w:eastAsia="ja-JP"/>
        </w:rPr>
        <w:t>h</w:t>
      </w:r>
      <w:r w:rsidRPr="005E6B7C">
        <w:rPr>
          <w:rFonts w:asciiTheme="majorHAnsi" w:eastAsia="Yu Mincho" w:hAnsiTheme="majorHAnsi" w:cstheme="majorHAnsi"/>
          <w:b/>
          <w:bCs/>
          <w:i/>
          <w:color w:val="000000" w:themeColor="text1"/>
          <w:sz w:val="26"/>
          <w:szCs w:val="26"/>
          <w:lang w:eastAsia="ja-JP"/>
        </w:rPr>
        <w:t>APP DROSOPHILA</w:t>
      </w:r>
      <w:r w:rsidRPr="005E6B7C">
        <w:rPr>
          <w:rFonts w:asciiTheme="majorHAnsi" w:eastAsia="Yu Mincho" w:hAnsiTheme="majorHAnsi" w:cstheme="majorHAnsi"/>
          <w:b/>
          <w:bCs/>
          <w:color w:val="000000" w:themeColor="text1"/>
          <w:sz w:val="26"/>
          <w:szCs w:val="26"/>
          <w:lang w:eastAsia="ja-JP"/>
        </w:rPr>
        <w:t xml:space="preserve"> MODEL OF ALZHEIMER’S DISEASE</w:t>
      </w:r>
    </w:p>
    <w:p w14:paraId="0A866BF2" w14:textId="77777777" w:rsidR="00E049CB" w:rsidRPr="005E6B7C" w:rsidRDefault="00E049CB" w:rsidP="008C0D47">
      <w:pPr>
        <w:ind w:right="-20"/>
        <w:jc w:val="center"/>
        <w:rPr>
          <w:rFonts w:asciiTheme="majorHAnsi" w:eastAsia="Yu Mincho" w:hAnsiTheme="majorHAnsi" w:cstheme="majorHAnsi"/>
          <w:b/>
          <w:bCs/>
          <w:i/>
          <w:iCs/>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Nguyen Van Hiep</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Pham Thi Nguyet Hang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22"/>
          <w:szCs w:val="22"/>
          <w:lang w:val="vi-VN" w:eastAsia="ja-JP"/>
        </w:rPr>
        <w:t xml:space="preserve">, </w:t>
      </w:r>
      <w:r w:rsidRPr="005E6B7C">
        <w:rPr>
          <w:rFonts w:asciiTheme="majorHAnsi" w:eastAsia="Yu Mincho" w:hAnsiTheme="majorHAnsi" w:cstheme="majorHAnsi"/>
          <w:b/>
          <w:bCs/>
          <w:i/>
          <w:iCs/>
          <w:color w:val="000000" w:themeColor="text1"/>
          <w:sz w:val="22"/>
          <w:szCs w:val="22"/>
          <w:lang w:eastAsia="ja-JP"/>
        </w:rPr>
        <w:t>Trinh Dinh Luc</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 Leu Khanh Duy</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xml:space="preserve">, </w:t>
      </w:r>
      <w:r w:rsidR="00182B33" w:rsidRPr="005E6B7C">
        <w:rPr>
          <w:rFonts w:asciiTheme="majorHAnsi" w:eastAsia="Yu Mincho" w:hAnsiTheme="majorHAnsi" w:cstheme="majorHAnsi"/>
          <w:b/>
          <w:bCs/>
          <w:i/>
          <w:iCs/>
          <w:color w:val="000000" w:themeColor="text1"/>
          <w:sz w:val="22"/>
          <w:szCs w:val="22"/>
          <w:lang w:eastAsia="ja-JP"/>
        </w:rPr>
        <w:br/>
      </w:r>
      <w:r w:rsidRPr="005E6B7C">
        <w:rPr>
          <w:rFonts w:asciiTheme="majorHAnsi" w:eastAsia="Yu Mincho" w:hAnsiTheme="majorHAnsi" w:cstheme="majorHAnsi"/>
          <w:b/>
          <w:bCs/>
          <w:i/>
          <w:iCs/>
          <w:color w:val="000000" w:themeColor="text1"/>
          <w:sz w:val="22"/>
          <w:szCs w:val="22"/>
          <w:lang w:eastAsia="ja-JP"/>
        </w:rPr>
        <w:t>Pham Anh Tung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w:t>
      </w:r>
      <w:r w:rsidRPr="005E6B7C">
        <w:rPr>
          <w:rFonts w:asciiTheme="majorHAnsi" w:eastAsia="Yu Mincho" w:hAnsiTheme="majorHAnsi" w:cstheme="majorHAnsi"/>
          <w:b/>
          <w:bCs/>
          <w:i/>
          <w:iCs/>
          <w:color w:val="000000" w:themeColor="text1"/>
          <w:sz w:val="22"/>
          <w:szCs w:val="22"/>
          <w:lang w:val="vi-VN" w:eastAsia="ja-JP"/>
        </w:rPr>
        <w:t xml:space="preserve"> </w:t>
      </w:r>
      <w:r w:rsidRPr="005E6B7C">
        <w:rPr>
          <w:rFonts w:asciiTheme="majorHAnsi" w:eastAsia="Yu Mincho" w:hAnsiTheme="majorHAnsi" w:cstheme="majorHAnsi"/>
          <w:b/>
          <w:bCs/>
          <w:i/>
          <w:iCs/>
          <w:color w:val="000000" w:themeColor="text1"/>
          <w:sz w:val="22"/>
          <w:szCs w:val="22"/>
          <w:lang w:eastAsia="ja-JP"/>
        </w:rPr>
        <w:t>Nguyen Thi Phuong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Nguyen Van Tai</w:t>
      </w:r>
      <w:r w:rsidRPr="005E6B7C">
        <w:rPr>
          <w:rFonts w:asciiTheme="majorHAnsi" w:eastAsia="Yu Mincho" w:hAnsiTheme="majorHAnsi" w:cstheme="majorHAnsi"/>
          <w:b/>
          <w:bCs/>
          <w:i/>
          <w:iCs/>
          <w:color w:val="000000" w:themeColor="text1"/>
          <w:sz w:val="22"/>
          <w:szCs w:val="22"/>
          <w:vertAlign w:val="superscript"/>
          <w:lang w:eastAsia="ja-JP"/>
        </w:rPr>
        <w:t>1</w:t>
      </w:r>
    </w:p>
    <w:p w14:paraId="61E7CA40" w14:textId="0F066B6E" w:rsidR="00517F81" w:rsidRPr="005E6B7C" w:rsidRDefault="00517F81" w:rsidP="008C0D47">
      <w:pPr>
        <w:ind w:right="-20"/>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vertAlign w:val="superscript"/>
          <w:lang w:eastAsia="ja-JP"/>
        </w:rPr>
        <w:t>1</w:t>
      </w:r>
      <w:r w:rsidRPr="005E6B7C">
        <w:rPr>
          <w:rFonts w:asciiTheme="majorHAnsi" w:eastAsia="Yu Mincho" w:hAnsiTheme="majorHAnsi" w:cstheme="majorHAnsi"/>
          <w:bCs/>
          <w:i/>
          <w:iCs/>
          <w:color w:val="000000" w:themeColor="text1"/>
          <w:sz w:val="22"/>
          <w:szCs w:val="22"/>
          <w:lang w:eastAsia="ja-JP"/>
        </w:rPr>
        <w:t>National Institute of Medic</w:t>
      </w:r>
      <w:r w:rsidR="006F59ED" w:rsidRPr="005E6B7C">
        <w:rPr>
          <w:rFonts w:asciiTheme="majorHAnsi" w:eastAsia="Yu Mincho" w:hAnsiTheme="majorHAnsi" w:cstheme="majorHAnsi"/>
          <w:bCs/>
          <w:i/>
          <w:iCs/>
          <w:color w:val="000000" w:themeColor="text1"/>
          <w:sz w:val="22"/>
          <w:szCs w:val="22"/>
          <w:lang w:eastAsia="ja-JP"/>
        </w:rPr>
        <w:t>in</w:t>
      </w:r>
      <w:r w:rsidRPr="005E6B7C">
        <w:rPr>
          <w:rFonts w:asciiTheme="majorHAnsi" w:eastAsia="Yu Mincho" w:hAnsiTheme="majorHAnsi" w:cstheme="majorHAnsi"/>
          <w:bCs/>
          <w:i/>
          <w:iCs/>
          <w:color w:val="000000" w:themeColor="text1"/>
          <w:sz w:val="22"/>
          <w:szCs w:val="22"/>
          <w:lang w:eastAsia="ja-JP"/>
        </w:rPr>
        <w:t>al Materials (NIMM), Hanoi 11018, Vietnam;</w:t>
      </w:r>
    </w:p>
    <w:p w14:paraId="1446E0F4" w14:textId="77777777" w:rsidR="00E049CB" w:rsidRPr="005E6B7C" w:rsidRDefault="004A3B6F" w:rsidP="008C0D47">
      <w:pPr>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bCs/>
          <w:i/>
          <w:iCs/>
          <w:color w:val="000000" w:themeColor="text1"/>
          <w:sz w:val="22"/>
          <w:szCs w:val="22"/>
          <w:vertAlign w:val="superscript"/>
          <w:lang w:eastAsia="ja-JP"/>
        </w:rPr>
        <w:t>2</w:t>
      </w:r>
      <w:r w:rsidR="00E049CB" w:rsidRPr="005E6B7C">
        <w:rPr>
          <w:rFonts w:asciiTheme="majorHAnsi" w:eastAsia="Yu Mincho" w:hAnsiTheme="majorHAnsi" w:cstheme="majorHAnsi"/>
          <w:i/>
          <w:iCs/>
          <w:color w:val="000000" w:themeColor="text1"/>
          <w:sz w:val="22"/>
          <w:szCs w:val="22"/>
          <w:lang w:eastAsia="ja-JP"/>
        </w:rPr>
        <w:t>Hanoi University of Pharmacy, Vietnam</w:t>
      </w:r>
    </w:p>
    <w:p w14:paraId="7E30B319" w14:textId="77777777" w:rsidR="00E049CB" w:rsidRPr="005E6B7C" w:rsidRDefault="00782F38" w:rsidP="008C0D47">
      <w:pPr>
        <w:ind w:right="-20"/>
        <w:jc w:val="center"/>
        <w:rPr>
          <w:rFonts w:asciiTheme="majorHAnsi" w:eastAsia="Yu Mincho" w:hAnsiTheme="majorHAnsi" w:cstheme="majorHAnsi"/>
          <w:b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*Corresponding author: </w:t>
      </w:r>
      <w:r w:rsidR="00E049CB" w:rsidRPr="005E6B7C">
        <w:rPr>
          <w:rFonts w:asciiTheme="majorHAnsi" w:eastAsia="Yu Mincho" w:hAnsiTheme="majorHAnsi" w:cstheme="majorHAnsi"/>
          <w:bCs/>
          <w:color w:val="000000" w:themeColor="text1"/>
          <w:sz w:val="22"/>
          <w:szCs w:val="22"/>
          <w:lang w:eastAsia="ja-JP"/>
        </w:rPr>
        <w:t>nguyethangpt@nimm.org.vn</w:t>
      </w:r>
    </w:p>
    <w:p w14:paraId="2D53CAB5" w14:textId="77777777" w:rsidR="00A0756D" w:rsidRPr="005E6B7C" w:rsidRDefault="00A0756D" w:rsidP="008C0D47">
      <w:pPr>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February 24</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12</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029448B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Summary</w:t>
      </w:r>
    </w:p>
    <w:p w14:paraId="0DB6487C" w14:textId="68190100"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Th</w:t>
      </w:r>
      <w:r w:rsidR="008C0D47" w:rsidRPr="005E6B7C">
        <w:rPr>
          <w:rFonts w:asciiTheme="majorHAnsi" w:eastAsia="Yu Mincho" w:hAnsiTheme="majorHAnsi" w:cstheme="majorHAnsi"/>
          <w:color w:val="000000" w:themeColor="text1"/>
          <w:sz w:val="18"/>
          <w:szCs w:val="18"/>
          <w:lang w:eastAsia="ja-JP"/>
        </w:rPr>
        <w:t>is study aimed</w:t>
      </w:r>
      <w:r w:rsidRPr="005E6B7C">
        <w:rPr>
          <w:rFonts w:asciiTheme="majorHAnsi" w:eastAsia="Yu Mincho" w:hAnsiTheme="majorHAnsi" w:cstheme="majorHAnsi"/>
          <w:color w:val="000000" w:themeColor="text1"/>
          <w:sz w:val="18"/>
          <w:szCs w:val="18"/>
          <w:lang w:eastAsia="ja-JP"/>
        </w:rPr>
        <w:t xml:space="preserve"> to evaluate the memory-enhancing effects of the 50% ethanolic extract and four fractions (aqueous,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 xml:space="preserve">-butanol, ethyl acetate, and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 xml:space="preserve">-hexane) from </w:t>
      </w:r>
      <w:r w:rsidRPr="005E6B7C">
        <w:rPr>
          <w:rFonts w:asciiTheme="majorHAnsi" w:eastAsia="Yu Mincho" w:hAnsiTheme="majorHAnsi" w:cstheme="majorHAnsi"/>
          <w:i/>
          <w:iCs/>
          <w:color w:val="000000" w:themeColor="text1"/>
          <w:sz w:val="18"/>
          <w:szCs w:val="18"/>
          <w:lang w:eastAsia="ja-JP"/>
        </w:rPr>
        <w:t>Morinda officinalis</w:t>
      </w:r>
      <w:r w:rsidRPr="005E6B7C">
        <w:rPr>
          <w:rFonts w:asciiTheme="majorHAnsi" w:eastAsia="Yu Mincho" w:hAnsiTheme="majorHAnsi" w:cstheme="majorHAnsi"/>
          <w:color w:val="000000" w:themeColor="text1"/>
          <w:sz w:val="18"/>
          <w:szCs w:val="18"/>
          <w:lang w:eastAsia="ja-JP"/>
        </w:rPr>
        <w:t xml:space="preserve"> How. (MO) roots using a transgenic </w:t>
      </w:r>
      <w:r w:rsidRPr="005E6B7C">
        <w:rPr>
          <w:rFonts w:asciiTheme="majorHAnsi" w:eastAsia="Yu Mincho" w:hAnsiTheme="majorHAnsi" w:cstheme="majorHAnsi"/>
          <w:iCs/>
          <w:color w:val="000000" w:themeColor="text1"/>
          <w:sz w:val="18"/>
          <w:szCs w:val="18"/>
          <w:lang w:eastAsia="ja-JP"/>
        </w:rPr>
        <w:t>hAPP</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Drosophila</w:t>
      </w:r>
      <w:r w:rsidRPr="005E6B7C">
        <w:rPr>
          <w:rFonts w:asciiTheme="majorHAnsi" w:eastAsia="Yu Mincho" w:hAnsiTheme="majorHAnsi" w:cstheme="majorHAnsi"/>
          <w:color w:val="000000" w:themeColor="text1"/>
          <w:sz w:val="18"/>
          <w:szCs w:val="18"/>
          <w:lang w:eastAsia="ja-JP"/>
        </w:rPr>
        <w:t xml:space="preserve"> model of Alzheimer’s disease. Screening of acetylcholinesterase (AChE) inhibitory activity showed that both the ethanolic and four fractions exhibited inhibitory effects, with the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 xml:space="preserve">-hexane fraction demonstrating the strongest activity. In the learning memory assay using </w:t>
      </w:r>
      <w:r w:rsidRPr="005E6B7C">
        <w:rPr>
          <w:rFonts w:asciiTheme="majorHAnsi" w:eastAsia="Yu Mincho" w:hAnsiTheme="majorHAnsi" w:cstheme="majorHAnsi"/>
          <w:i/>
          <w:iCs/>
          <w:color w:val="000000" w:themeColor="text1"/>
          <w:sz w:val="18"/>
          <w:szCs w:val="18"/>
          <w:lang w:eastAsia="ja-JP"/>
        </w:rPr>
        <w:t>Drosophila</w:t>
      </w:r>
      <w:r w:rsidRPr="005E6B7C">
        <w:rPr>
          <w:rFonts w:asciiTheme="majorHAnsi" w:eastAsia="Yu Mincho" w:hAnsiTheme="majorHAnsi" w:cstheme="majorHAnsi"/>
          <w:color w:val="000000" w:themeColor="text1"/>
          <w:sz w:val="18"/>
          <w:szCs w:val="18"/>
          <w:lang w:eastAsia="ja-JP"/>
        </w:rPr>
        <w:t xml:space="preserve"> larvae, the ethanolic extract and three fractions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 xml:space="preserve">-butanol, ethyl acetate, and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-hexane) improved odor memory more effectively than the aqueous fraction. Further assessments of locomotor activity and survival ability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identified the ethanolic extract and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 xml:space="preserve">-butanol fraction as the most promising candidates. Moreover, </w:t>
      </w:r>
      <w:r w:rsidRPr="005E6B7C">
        <w:rPr>
          <w:rFonts w:asciiTheme="majorHAnsi" w:eastAsia="Yu Mincho" w:hAnsiTheme="majorHAnsi" w:cstheme="majorHAnsi"/>
          <w:color w:val="000000" w:themeColor="text1"/>
          <w:sz w:val="18"/>
          <w:szCs w:val="18"/>
          <w:lang w:val="vi-VN" w:eastAsia="ja-JP"/>
        </w:rPr>
        <w:t>the</w:t>
      </w:r>
      <w:r w:rsidRPr="005E6B7C">
        <w:rPr>
          <w:rFonts w:asciiTheme="majorHAnsi" w:eastAsia="Yu Mincho" w:hAnsiTheme="majorHAnsi" w:cstheme="majorHAnsi"/>
          <w:color w:val="000000" w:themeColor="text1"/>
          <w:sz w:val="18"/>
          <w:szCs w:val="18"/>
          <w:lang w:eastAsia="ja-JP"/>
        </w:rPr>
        <w:t xml:space="preserve"> ethanolic extract showed antioxidant ability by significantly decreasing the concentration of MDA in the head homogenates of adult flies. These results suggest that MO extracts, especially the ethanolic extract and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-butanol fraction, have potential memory-enhancing and neuroprotective effects in a</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transgenic </w:t>
      </w:r>
      <w:r w:rsidRPr="005E6B7C">
        <w:rPr>
          <w:rFonts w:asciiTheme="majorHAnsi" w:eastAsia="Yu Mincho" w:hAnsiTheme="majorHAnsi" w:cstheme="majorHAnsi"/>
          <w:i/>
          <w:iCs/>
          <w:color w:val="000000" w:themeColor="text1"/>
          <w:sz w:val="18"/>
          <w:szCs w:val="18"/>
          <w:lang w:eastAsia="ja-JP"/>
        </w:rPr>
        <w:t>Drosophila</w:t>
      </w:r>
      <w:r w:rsidRPr="005E6B7C">
        <w:rPr>
          <w:rFonts w:asciiTheme="majorHAnsi" w:eastAsia="Yu Mincho" w:hAnsiTheme="majorHAnsi" w:cstheme="majorHAnsi"/>
          <w:color w:val="000000" w:themeColor="text1"/>
          <w:sz w:val="18"/>
          <w:szCs w:val="18"/>
          <w:lang w:eastAsia="ja-JP"/>
        </w:rPr>
        <w:t xml:space="preserve"> model of Alzheimer’s disease. </w:t>
      </w:r>
      <w:r w:rsidRPr="005E6B7C" w:rsidDel="00B73994">
        <w:rPr>
          <w:rFonts w:asciiTheme="majorHAnsi" w:eastAsia="Yu Mincho" w:hAnsiTheme="majorHAnsi" w:cstheme="majorHAnsi"/>
          <w:color w:val="000000" w:themeColor="text1"/>
          <w:sz w:val="18"/>
          <w:szCs w:val="18"/>
          <w:lang w:eastAsia="ja-JP"/>
        </w:rPr>
        <w:t xml:space="preserve"> </w:t>
      </w:r>
    </w:p>
    <w:p w14:paraId="250772C6" w14:textId="77777777"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color w:val="000000" w:themeColor="text1"/>
          <w:sz w:val="18"/>
          <w:szCs w:val="18"/>
          <w:lang w:eastAsia="ja-JP"/>
        </w:rPr>
        <w:t xml:space="preserve"> Alzheimer’s disease; </w:t>
      </w:r>
      <w:r w:rsidRPr="005E6B7C">
        <w:rPr>
          <w:rFonts w:asciiTheme="majorHAnsi" w:eastAsia="Yu Mincho" w:hAnsiTheme="majorHAnsi" w:cstheme="majorHAnsi"/>
          <w:i/>
          <w:iCs/>
          <w:color w:val="000000" w:themeColor="text1"/>
          <w:sz w:val="18"/>
          <w:szCs w:val="18"/>
          <w:lang w:eastAsia="ja-JP"/>
        </w:rPr>
        <w:t>Transgenic hAPP</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Drosophila</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Morinda officinalis</w:t>
      </w:r>
      <w:r w:rsidRPr="005E6B7C">
        <w:rPr>
          <w:rFonts w:asciiTheme="majorHAnsi" w:eastAsia="Yu Mincho" w:hAnsiTheme="majorHAnsi" w:cstheme="majorHAnsi"/>
          <w:color w:val="000000" w:themeColor="text1"/>
          <w:sz w:val="18"/>
          <w:szCs w:val="18"/>
          <w:lang w:eastAsia="ja-JP"/>
        </w:rPr>
        <w:t xml:space="preserve"> How.</w:t>
      </w:r>
    </w:p>
    <w:p w14:paraId="29CAE97A"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b/>
          <w:bCs/>
          <w:color w:val="000000" w:themeColor="text1"/>
          <w:sz w:val="22"/>
          <w:szCs w:val="22"/>
          <w:lang w:eastAsia="ja-JP"/>
        </w:rPr>
      </w:pPr>
    </w:p>
    <w:p w14:paraId="686BB519"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182B33" w:rsidRPr="005E6B7C" w:rsidSect="002206BB">
          <w:type w:val="continuous"/>
          <w:pgSz w:w="10773" w:h="15309" w:code="9"/>
          <w:pgMar w:top="907" w:right="851" w:bottom="1418" w:left="851" w:header="397" w:footer="851" w:gutter="0"/>
          <w:cols w:space="284"/>
          <w:docGrid w:linePitch="360"/>
        </w:sectPr>
      </w:pPr>
    </w:p>
    <w:p w14:paraId="070F80BD" w14:textId="77777777" w:rsidR="00E049CB" w:rsidRPr="005E6B7C" w:rsidRDefault="0047080C"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1</w:t>
      </w:r>
      <w:r w:rsidR="00E049CB" w:rsidRPr="005E6B7C">
        <w:rPr>
          <w:rFonts w:asciiTheme="majorHAnsi" w:eastAsia="Yu Mincho" w:hAnsiTheme="majorHAnsi" w:cstheme="majorHAnsi"/>
          <w:b/>
          <w:bCs/>
          <w:color w:val="000000" w:themeColor="text1"/>
          <w:sz w:val="22"/>
          <w:szCs w:val="22"/>
          <w:lang w:eastAsia="ja-JP"/>
        </w:rPr>
        <w:t>. Introduction</w:t>
      </w:r>
    </w:p>
    <w:p w14:paraId="78CA816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Alzheimer’s disease (AD) is a progressive neurodegenerative disorder characterized by early memory loss and cognitive decline, eventually affecting behavior, speech, visuospatial orientation, and motor systems. The disease develops over 20-30 years, with symptoms becoming pronounced in individuals over 65 years old. AD is the most common form of dementia, accounting for approximately two-thirds of global dementia cases. Worldwide, it is estimated that around 41 million people with dementia remain undiagnosed, with only 25% of cases clinically identified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&lt;EndNote&gt;&lt;Cite&gt;&lt;Author&gt;Schultz C.&lt;/Author&gt;&lt;Year&gt; 2004&lt;/Year&gt;&lt;RecNum&gt;62&lt;/RecNum&gt;&lt;DisplayText&gt;[1, 2]&lt;/DisplayText&gt;&lt;record&gt;&lt;rec-number&gt;62&lt;/rec-number&gt;&lt;foreign-keys&gt;&lt;key app="EN" db-id="z0p200za82p09bet59b5pffv9xax0aw0tdpa" timestamp="1765512864"&gt;62&lt;/key&gt;&lt;/foreign-keys&gt;&lt;ref-type name="Book"&gt;6&lt;/ref-type&gt;&lt;contributors&gt;&lt;authors&gt;&lt;author&gt;Schultz C., Del Tredici K., Braak H.&lt;/author&gt;&lt;/authors&gt;&lt;/contributors&gt;&lt;titles&gt;&lt;title&gt;Neuropathology of Alzheimer’s Disease. In Alzheimer’s Disease Current Clinical Neurology&lt;/title&gt;&lt;/titles&gt;&lt;section&gt;21-31&lt;/section&gt;&lt;dates&gt;&lt;year&gt; 2004&lt;/year&gt;&lt;/dates&gt;&lt;publisher&gt;Humana Press&lt;/publisher&gt;&lt;urls&gt;&lt;/urls&gt;&lt;/record&gt;&lt;/Cite&gt;&lt;Cite&gt;&lt;Author&gt;Dubois B.&lt;/Author&gt;&lt;Year&gt;2023&lt;/Year&gt;&lt;RecNum&gt;63&lt;/RecNum&gt;&lt;record&gt;&lt;rec-number&gt;63&lt;/rec-number&gt;&lt;foreign-keys&gt;&lt;key app="EN" db-id="z0p200za82p09bet59b5pffv9xax0aw0tdpa" timestamp="1765512979"&gt;63&lt;/key&gt;&lt;/foreign-keys&gt;&lt;ref-type name="Book"&gt;6&lt;/ref-type&gt;&lt;contributors&gt;&lt;authors&gt;&lt;author&gt;Dubois B., von Arnim CAF, Burnie N., Bozeat S., Cummings J.&lt;/author&gt;&lt;/authors&gt;&lt;/contributors&gt;&lt;titles&gt;&lt;title&gt;Biomarkers in Alzheimer&amp;apos;s disease: role in early and differential diagnosis and recognition of atypical variants&lt;/title&gt;&lt;/titles&gt;&lt;dates&gt;&lt;year&gt;2023&lt;/year&gt;&lt;/dates&gt;&lt;publisher&gt; Alzheimers Res Ther&lt;/publisher&gt;&lt;urls&gt;&lt;/urls&gt;&lt;/record&gt;&lt;/Cite&gt;&lt;/EndNote&gt;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0BD3A68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Current treatments for AD are symptomatic and primarily include acetylcholinesterase (AChE) inhibitors, which can reduce cognitive symptoms but often produce undesirable side effects. Non-pharmacological interventions such as physical exercise, memory training, music therapy, and art therapy aim to maintain or improve cognitive function and quality of life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&lt;EndNote&gt;&lt;Cite&gt;&lt;Author&gt;Khan&lt;/Author&gt;&lt;Year&gt;2024&lt;/Year&gt;&lt;RecNum&gt;89&lt;/RecNum&gt;&lt;DisplayText&gt;[3]&lt;/DisplayText&gt;&lt;record&gt;&lt;rec-number&gt;89&lt;/rec-number&gt;&lt;foreign-keys&gt;&lt;key app="EN" db-id="z0p200za82p09bet59b5pffv9xax0aw0tdpa" timestamp="1772785930"&gt;89&lt;/key&gt;&lt;/foreign-keys&gt;&lt;ref-type name="Journal Article"&gt;17&lt;/ref-type&gt;&lt;contributors&gt;&lt;authors&gt;&lt;author&gt;Khan, Abdul Hadi&lt;/author&gt;&lt;author&gt;Ijaz, Eman&lt;/author&gt;&lt;author&gt;Ubaid, Bushra&lt;/author&gt;&lt;author&gt;Eddaki, Ilias&lt;/author&gt;&lt;author&gt;Edhi, Maliha&lt;/author&gt;&lt;author&gt;Shah, Muhammad Nauman&lt;/author&gt;&lt;author&gt;Perry, George&lt;/author&gt;&lt;/authors&gt;&lt;/contributors&gt;&lt;titles&gt;&lt;title&gt;Analysis of Alzheimer&amp;apos;s disease-related mortality rates among the elderly populations across the United States: an analysis of demographic and regional disparities from 1999 to 2020&lt;/title&gt;&lt;secondary-title&gt;Current Alzheimer Research&lt;/secondary-title&gt;&lt;/titles&gt;&lt;periodical&gt;&lt;full-title&gt;Current Alzheimer Research&lt;/full-title&gt;&lt;/periodical&gt;&lt;pages&gt;384-394&lt;/pages&gt;&lt;volume&gt;21&lt;/volume&gt;&lt;number&gt;6&lt;/number&gt;&lt;dates&gt;&lt;year&gt;2024&lt;/year&gt;&lt;/dates&gt;&lt;isbn&gt;1567-2050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However, there remains a critical need for more effective therapies with fewer adverse effects. </w:t>
      </w:r>
    </w:p>
    <w:p w14:paraId="51A8A651" w14:textId="2248405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traditional medicine, the root of </w:t>
      </w:r>
      <w:r w:rsidRPr="005E6B7C">
        <w:rPr>
          <w:rFonts w:asciiTheme="majorHAnsi" w:eastAsia="Yu Mincho" w:hAnsiTheme="majorHAnsi" w:cstheme="majorHAnsi"/>
          <w:i/>
          <w:iCs/>
          <w:color w:val="000000" w:themeColor="text1"/>
          <w:sz w:val="22"/>
          <w:szCs w:val="22"/>
          <w:lang w:eastAsia="ja-JP"/>
        </w:rPr>
        <w:t>Morinda officinalis</w:t>
      </w:r>
      <w:r w:rsidRPr="005E6B7C">
        <w:rPr>
          <w:rFonts w:asciiTheme="majorHAnsi" w:eastAsia="Yu Mincho" w:hAnsiTheme="majorHAnsi" w:cstheme="majorHAnsi"/>
          <w:color w:val="000000" w:themeColor="text1"/>
          <w:sz w:val="22"/>
          <w:szCs w:val="22"/>
          <w:lang w:eastAsia="ja-JP"/>
        </w:rPr>
        <w:t xml:space="preserve"> How. (MO) has been widely used as a tonic and for the treatment of various ailments, including kidney deficiency, inflammation, and cognitive disorders </w: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PEVuZE5vdGU+PENpdGU+PEF1dGhvcj5ILkIuPC9BdXRob3I+PFllYXI+MjAwNDwvWWVhcj48UmVj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</w:fldData>
        </w:fldChar>
      </w:r>
      <w:r w:rsidRPr="005E6B7C">
        <w:rPr>
          <w:rFonts w:asciiTheme="majorHAnsi" w:eastAsia="Yu Mincho" w:hAnsiTheme="majorHAnsi" w:cstheme="majorHAnsi"/>
          <w:color w:val="000000" w:themeColor="text1"/>
          <w:sz w:val="22"/>
          <w:szCs w:val="22"/>
          <w:lang w:eastAsia="ja-JP"/>
        </w:rPr>
        <w:instrText xml:space="preserve"> ADDIN EN.CITE </w:instrText>
      </w:r>
      <w:r w:rsidRPr="005E6B7C">
        <w:rPr>
          <w:rFonts w:asciiTheme="majorHAnsi" w:eastAsia="Yu Mincho" w:hAnsiTheme="majorHAnsi" w:cstheme="majorHAnsi"/>
          <w:color w:val="000000" w:themeColor="text1"/>
          <w:sz w:val="22"/>
          <w:szCs w:val="22"/>
          <w:lang w:eastAsia="ja-JP"/>
        </w:rPr>
        <w:fldChar w:fldCharType="begin">
          <w:fldData xml:space="preserve">PEVuZE5vdGU+PENpdGU+PEF1dGhvcj5ILkIuPC9BdXRob3I+PFllYXI+MjAwNDwvWWVhcj48UmVj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</w:fldData>
        </w:fldChar>
      </w:r>
      <w:r w:rsidRPr="005E6B7C">
        <w:rPr>
          <w:rFonts w:asciiTheme="majorHAnsi" w:eastAsia="Yu Mincho" w:hAnsiTheme="majorHAnsi" w:cstheme="majorHAnsi"/>
          <w:color w:val="000000" w:themeColor="text1"/>
          <w:sz w:val="22"/>
          <w:szCs w:val="22"/>
          <w:lang w:eastAsia="ja-JP"/>
        </w:rPr>
        <w:instrText xml:space="preserve"> ADDIN EN.CITE.DATA </w:instrText>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[4-6]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Oligosaccharides isolated from the roots of </w:t>
      </w:r>
      <w:r w:rsidRPr="005E6B7C">
        <w:rPr>
          <w:rFonts w:asciiTheme="majorHAnsi" w:eastAsia="Yu Mincho" w:hAnsiTheme="majorHAnsi" w:cstheme="majorHAnsi"/>
          <w:i/>
          <w:iCs/>
          <w:color w:val="000000" w:themeColor="text1"/>
          <w:sz w:val="22"/>
          <w:szCs w:val="22"/>
          <w:lang w:eastAsia="ja-JP"/>
        </w:rPr>
        <w:t>M. officinalis</w:t>
      </w:r>
      <w:r w:rsidRPr="005E6B7C">
        <w:rPr>
          <w:rFonts w:asciiTheme="majorHAnsi" w:eastAsia="Yu Mincho" w:hAnsiTheme="majorHAnsi" w:cstheme="majorHAnsi"/>
          <w:color w:val="000000" w:themeColor="text1"/>
          <w:sz w:val="22"/>
          <w:szCs w:val="22"/>
          <w:lang w:eastAsia="ja-JP"/>
        </w:rPr>
        <w:t xml:space="preserve"> can </w:t>
      </w:r>
      <w:r w:rsidRPr="005E6B7C">
        <w:rPr>
          <w:rFonts w:asciiTheme="majorHAnsi" w:eastAsia="Yu Mincho" w:hAnsiTheme="majorHAnsi" w:cstheme="majorHAnsi"/>
          <w:color w:val="000000" w:themeColor="text1"/>
          <w:sz w:val="22"/>
          <w:szCs w:val="22"/>
          <w:lang w:eastAsia="ja-JP"/>
        </w:rPr>
        <w:t xml:space="preserve">ameliorate β-amyloid–induced dementia in rats by enhancing antioxidant capacity, activating brain energy metabolism, and improving cholinergic system dysfunction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&lt;EndNote&gt;&lt;Cite&gt;&lt;Author&gt;Chen&lt;/Author&gt;&lt;Year&gt;2013&lt;/Year&gt;&lt;RecNum&gt;90&lt;/RecNum&gt;&lt;DisplayText&gt;[7]&lt;/DisplayText&gt;&lt;record&gt;&lt;rec-number&gt;90&lt;/rec-number&gt;&lt;foreign-keys&gt;&lt;key app="EN" db-id="z0p200za82p09bet59b5pffv9xax0aw0tdpa" timestamp="1772850910"&gt;90&lt;/key&gt;&lt;/foreign-keys&gt;&lt;ref-type name="Journal Article"&gt;17&lt;/ref-type&gt;&lt;contributors&gt;&lt;authors&gt;&lt;author&gt;Chen, Di-Ling&lt;/author&gt;&lt;author&gt;Zhang, Peng&lt;/author&gt;&lt;author&gt;Lin, Li&lt;/author&gt;&lt;author&gt;Zhang, He-Ming&lt;/author&gt;&lt;author&gt;Liu, Song-Hao&lt;/author&gt;&lt;/authors&gt;&lt;/contributors&gt;&lt;titles&gt;&lt;title&gt;Protective effect of oligosaccharides from Morinda officinalis on beta-amyloid-induced dementia rats&lt;/title&gt;&lt;secondary-title&gt;Zhongguo Zhong Yao Za Zhi= Zhongguo Zhongyao Zazhi= China Journal of Chinese Materia Médica&lt;/secondary-title&gt;&lt;/titles&gt;&lt;periodical&gt;&lt;full-title&gt;Zhongguo Zhong Yao Za Zhi= Zhongguo Zhongyao Zazhi= China Journal of Chinese Materia Médica&lt;/full-title&gt;&lt;/periodical&gt;&lt;pages&gt;1306-1309&lt;/pages&gt;&lt;volume&gt;38&lt;/volume&gt;&lt;number&gt;9&lt;/number&gt;&lt;dates&gt;&lt;year&gt;2013&lt;/year&gt;&lt;/dates&gt;&lt;isbn&gt;1001-5302&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Previous studies have indicated that </w:t>
      </w:r>
      <w:r w:rsidRPr="005E6B7C">
        <w:rPr>
          <w:rFonts w:asciiTheme="majorHAnsi" w:eastAsia="Yu Mincho" w:hAnsiTheme="majorHAnsi" w:cstheme="majorHAnsi"/>
          <w:i/>
          <w:iCs/>
          <w:color w:val="000000" w:themeColor="text1"/>
          <w:sz w:val="22"/>
          <w:szCs w:val="22"/>
          <w:lang w:eastAsia="ja-JP"/>
        </w:rPr>
        <w:t xml:space="preserve">M. officinalis </w:t>
      </w:r>
      <w:r w:rsidRPr="005E6B7C">
        <w:rPr>
          <w:rFonts w:asciiTheme="majorHAnsi" w:eastAsia="Yu Mincho" w:hAnsiTheme="majorHAnsi" w:cstheme="majorHAnsi"/>
          <w:color w:val="000000" w:themeColor="text1"/>
          <w:sz w:val="22"/>
          <w:szCs w:val="22"/>
          <w:lang w:eastAsia="ja-JP"/>
        </w:rPr>
        <w:t xml:space="preserve">oligosaccharides can attenuate the progression of AD in animal models through modulation of gut microbiota diversity and metabolic profiles. However, the precise associations between gut microbial composition and metabolic alterations have not yet been fully clarified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&lt;EndNote&gt;&lt;Cite&gt;&lt;Author&gt;Xin&lt;/Author&gt;&lt;Year&gt;2019&lt;/Year&gt;&lt;RecNum&gt;91&lt;/RecNum&gt;&lt;DisplayText&gt;[8]&lt;/DisplayText&gt;&lt;record&gt;&lt;rec-number&gt;91&lt;/rec-number&gt;&lt;foreign-keys&gt;&lt;key app="EN" db-id="z0p200za82p09bet59b5pffv9xax0aw0tdpa" timestamp="1772851476"&gt;91&lt;/key&gt;&lt;/foreign-keys&gt;&lt;ref-type name="Journal Article"&gt;17&lt;/ref-type&gt;&lt;contributors&gt;&lt;authors&gt;&lt;author&gt;Xin, Yang&lt;/author&gt;&lt;author&gt;Diling, Chen&lt;/author&gt;&lt;author&gt;Tianlu, Chen&lt;/author&gt;&lt;author&gt;Jun, Zhao&lt;/author&gt;&lt;author&gt;Xiaocui, Tang&lt;/author&gt;&lt;author&gt;Yinrui, Guo&lt;/author&gt;&lt;author&gt;Ou, Shuai&lt;/author&gt;&lt;author&gt;Tianming, Deng&lt;/author&gt;&lt;author&gt;Guoyan, Hu&lt;/author&gt;&lt;/authors&gt;&lt;/contributors&gt;&lt;titles&gt;&lt;title&gt;Oligosaccharides from Morinda officinalis slow the Progress of aging mice by regulating the key microbiota</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metabolite pairs&lt;/title&gt;&lt;secondary-title&gt;Evidence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and Alternative Medicine&lt;/secondary-title&gt;&lt;/titles&gt;&lt;periodical&gt;&lt;full-title&gt;Evidence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and Alternative Medicine&lt;/full-title&gt;&lt;/periodical&gt;&lt;pages&gt;9306834&lt;/pages&gt;&lt;volume&gt;2019&lt;/volume&gt;&lt;number&gt;1&lt;/number&gt;&lt;dates&gt;&lt;year&gt;2019&lt;/year&gt;&lt;/dates&gt;&lt;isbn&gt;1741-4288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In addition, several classical prescriptions in traditional Chinese medicine, such as Tian-Si-Yin and Bajitianwan, include MO roots for the treatment of memory loss and osteoporosis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&lt;EndNote&gt;&lt;Cite&gt;&lt;Author&gt;Zhou&lt;/Author&gt;&lt;Year&gt;2024&lt;/Year&gt;&lt;RecNum&gt;66&lt;/RecNum&gt;&lt;DisplayText&gt;[9, 10]&lt;/DisplayText&gt;&lt;record&gt;&lt;rec-number&gt;66&lt;/rec-number&gt;&lt;foreign-keys&gt;&lt;key app="EN" db-id="z0p200za82p09bet59b5pffv9xax0aw0tdpa" timestamp="1765513426"&gt;66&lt;/key&gt;&lt;/foreign-keys&gt;&lt;ref-type name="Journal Article"&gt;17&lt;/ref-type&gt;&lt;contributors&gt;&lt;authors&gt;&lt;author&gt;Zhou, L.&lt;/author&gt;&lt;author&gt;Yang, C.&lt;/author&gt;&lt;author&gt;Liu, Z.&lt;/author&gt;&lt;author&gt;Chen, L.&lt;/author&gt;&lt;author&gt;Wang, P.&lt;/author&gt;&lt;author&gt;Zhou, Y.&lt;/author&gt;&lt;author&gt;Yuan, M.&lt;/author&gt;&lt;author&gt;Zhou, L.&lt;/author&gt;&lt;author&gt;Wang, X.&lt;/author&gt;&lt;author&gt;Zhu, L.&lt;/author&gt;&lt;/authors&gt;&lt;/contributors&gt;&lt;titles&gt;&lt;title&gt;Neuroprotective effect of the traditional decoction Tian-Si-Yin against Alzheimer&amp;apos;s disease via suppression of neuroinflammation&lt;/title&gt;&lt;secondary-title&gt;Journal of ethnopharmacology&lt;/secondary-title&gt;&lt;/titles&gt;&lt;periodical&gt;&lt;full-title&gt;Journal of Ethnopharmacology&lt;/full-title&gt;&lt;/periodical&gt;&lt;pages&gt;117569&lt;/pages&gt;&lt;volume&gt;321&lt;/volume&gt;&lt;dates&gt;&lt;year&gt;2024&lt;/year&gt;&lt;/dates&gt;&lt;isbn&gt;0378-8741&lt;/isbn&gt;&lt;urls&gt;&lt;/urls&gt;&lt;/record&gt;&lt;/Cite&gt;&lt;Cite&gt;&lt;Author&gt;Xu&lt;/Author&gt;&lt;Year&gt;2020&lt;/Year&gt;&lt;RecNum&gt;67&lt;/RecNum&gt;&lt;record&gt;&lt;rec-number&gt;67&lt;/rec-number&gt;&lt;foreign-keys&gt;&lt;key app="EN" db-id="z0p200za82p09bet59b5pffv9xax0aw0tdpa" timestamp="1765513547"&gt;67&lt;/key&gt;&lt;/foreign-keys&gt;&lt;ref-type name="Journal Article"&gt;17&lt;/ref-type&gt;&lt;contributors&gt;&lt;authors&gt;&lt;author&gt;Xu, Wumu&lt;/author&gt;&lt;author&gt;Liu, Xiaoyan&lt;/author&gt;&lt;author&gt;He, Xuhui&lt;/author&gt;&lt;author&gt;Jiang, Yiping&lt;/author&gt;&lt;author&gt;Zhang, Jiabao&lt;/author&gt;&lt;author&gt;Zhang, Qiaoyan&lt;/author&gt;&lt;author&gt;Wang, Nani&lt;/author&gt;&lt;author&gt;Qin, Luping&lt;/author&gt;&lt;author&gt;Xin, Hailiang&lt;/author&gt;&lt;/authors&gt;&lt;/contributors&gt;&lt;titles&gt;&lt;title&gt;Bajitianwan attenuates D-galactose-induced memory impairment and bone loss through suppression of oxidative stress in aging rat model&lt;/title&gt;&lt;secondary-title&gt;Journal of Ethnopharmacology&lt;/secondary-title&gt;&lt;/titles&gt;&lt;periodical&gt;&lt;full-title&gt;Journal of Ethnopharmacology&lt;/full-title&gt;&lt;/periodical&gt;&lt;pages&gt;112992&lt;/pages&gt;&lt;volume&gt;261&lt;/volume&gt;&lt;dates&gt;&lt;year&gt;2020&lt;/year&gt;&lt;/dates&gt;&lt;isbn&gt;0378-8741&lt;/isbn&gt;&lt;urls&gt;&lt;/urls&gt;&lt;/record&gt;&lt;/Cite&gt;&lt;/EndNote&gt;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[9],[10]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Despite its traditional use for improving memory, studies on the neuroprotective and memory-enhancing effects of MO in Alzheimer’s disease are limited. Therefore, this study aims to investigate the memory-enhancing and neuroprotective potential of MO extracts using a transgenic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model of Alzheimer’s disease.</w:t>
      </w:r>
    </w:p>
    <w:p w14:paraId="4E01556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24354FE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2.1. Plant Material and Extract Preparation</w:t>
      </w:r>
    </w:p>
    <w:p w14:paraId="2C47B081" w14:textId="77777777" w:rsidR="00182B33"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Roots of </w:t>
      </w:r>
      <w:r w:rsidRPr="005E6B7C">
        <w:rPr>
          <w:rFonts w:asciiTheme="majorHAnsi" w:eastAsia="Yu Mincho" w:hAnsiTheme="majorHAnsi" w:cstheme="majorHAnsi"/>
          <w:i/>
          <w:iCs/>
          <w:color w:val="000000" w:themeColor="text1"/>
          <w:sz w:val="22"/>
          <w:szCs w:val="22"/>
          <w:lang w:eastAsia="ja-JP"/>
        </w:rPr>
        <w:t>Morinda officinalis</w:t>
      </w:r>
      <w:r w:rsidRPr="005E6B7C">
        <w:rPr>
          <w:rFonts w:asciiTheme="majorHAnsi" w:eastAsia="Yu Mincho" w:hAnsiTheme="majorHAnsi" w:cstheme="majorHAnsi"/>
          <w:color w:val="000000" w:themeColor="text1"/>
          <w:sz w:val="22"/>
          <w:szCs w:val="22"/>
          <w:lang w:eastAsia="ja-JP"/>
        </w:rPr>
        <w:t xml:space="preserve"> How. (5 years old) were collected in November 2024 from Phu Tho Province, Vietnam, and authenticated by MSc. Phan Van Truong, the Center of Medicinal Plant Resources, National Institute of Medicinal Materials, according to the Vietnamese </w:t>
      </w:r>
      <w:r w:rsidRPr="005E6B7C">
        <w:rPr>
          <w:rFonts w:asciiTheme="majorHAnsi" w:eastAsia="Yu Mincho" w:hAnsiTheme="majorHAnsi" w:cstheme="majorHAnsi"/>
          <w:color w:val="000000" w:themeColor="text1"/>
          <w:sz w:val="22"/>
          <w:szCs w:val="22"/>
          <w:lang w:eastAsia="ja-JP"/>
        </w:rPr>
        <w:lastRenderedPageBreak/>
        <w:t xml:space="preserve">Pharmacopoeia V. The roots were cleaned, debarked, sliced, and dried at 50°C until the moisture content was below 10%. Dried material (2 kg) was extracted with 50% ethanol (8 L × 3) at room temperature, followed by hot extraction at 60°C for 3 hours. The extract was concentrated under reduced pressure at 55°C to yield 1.25 kg of crude 50% ethanolic extract (MOE) with a </w:t>
      </w:r>
      <w:r w:rsidRPr="005E6B7C">
        <w:rPr>
          <w:rFonts w:asciiTheme="majorHAnsi" w:eastAsia="Yu Mincho" w:hAnsiTheme="majorHAnsi" w:cstheme="majorHAnsi"/>
          <w:color w:val="000000" w:themeColor="text1"/>
          <w:sz w:val="22"/>
          <w:szCs w:val="22"/>
          <w:lang w:eastAsia="ja-JP"/>
        </w:rPr>
        <w:t xml:space="preserve">moisture content of 1.65%. 500 g of MOE (equivalent to 800 g of dried roots) was suspended in 1 L of distilled water and successively partitioned with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-hexane, ethyl acetate, and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-butanol to yield corresponding fractions. Solvents were removed under reduced pressure. Extraction yields are shown in Table 1.</w:t>
      </w:r>
    </w:p>
    <w:p w14:paraId="554B1F4D"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182B33" w:rsidRPr="005E6B7C" w:rsidSect="00182B33">
          <w:type w:val="continuous"/>
          <w:pgSz w:w="10773" w:h="15309" w:code="9"/>
          <w:pgMar w:top="907" w:right="851" w:bottom="1418" w:left="851" w:header="397" w:footer="851" w:gutter="0"/>
          <w:cols w:num="2" w:space="284"/>
          <w:docGrid w:linePitch="360"/>
        </w:sectPr>
      </w:pPr>
    </w:p>
    <w:p w14:paraId="3DFCB007" w14:textId="77777777" w:rsidR="00E049CB" w:rsidRPr="005E6B7C" w:rsidRDefault="00E049CB" w:rsidP="008C0D47">
      <w:pPr>
        <w:tabs>
          <w:tab w:val="left" w:pos="270"/>
          <w:tab w:val="left" w:pos="540"/>
          <w:tab w:val="left" w:pos="9270"/>
        </w:tabs>
        <w:spacing w:before="120" w:after="120"/>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1. </w:t>
      </w:r>
      <w:r w:rsidRPr="005E6B7C">
        <w:rPr>
          <w:rFonts w:asciiTheme="majorHAnsi" w:eastAsia="Yu Mincho" w:hAnsiTheme="majorHAnsi" w:cstheme="majorHAnsi"/>
          <w:bCs/>
          <w:color w:val="000000" w:themeColor="text1"/>
          <w:sz w:val="18"/>
          <w:szCs w:val="18"/>
          <w:lang w:eastAsia="ja-JP"/>
        </w:rPr>
        <w:t xml:space="preserve">Extraction yields obtained from dried, core-removed </w:t>
      </w:r>
      <w:r w:rsidRPr="005E6B7C">
        <w:rPr>
          <w:rFonts w:asciiTheme="majorHAnsi" w:eastAsia="Yu Mincho" w:hAnsiTheme="majorHAnsi" w:cstheme="majorHAnsi"/>
          <w:bCs/>
          <w:i/>
          <w:iCs/>
          <w:color w:val="000000" w:themeColor="text1"/>
          <w:sz w:val="18"/>
          <w:szCs w:val="18"/>
          <w:lang w:eastAsia="ja-JP"/>
        </w:rPr>
        <w:t>M. officinalis</w:t>
      </w:r>
      <w:r w:rsidRPr="005E6B7C">
        <w:rPr>
          <w:rFonts w:asciiTheme="majorHAnsi" w:eastAsia="Yu Mincho" w:hAnsiTheme="majorHAnsi" w:cstheme="majorHAnsi"/>
          <w:bCs/>
          <w:color w:val="000000" w:themeColor="text1"/>
          <w:sz w:val="18"/>
          <w:szCs w:val="18"/>
          <w:lang w:eastAsia="ja-JP"/>
        </w:rPr>
        <w:t xml:space="preserve"> How. roots</w:t>
      </w:r>
    </w:p>
    <w:tbl>
      <w:tblPr>
        <w:tblStyle w:val="TableGrid10"/>
        <w:tblW w:w="64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65"/>
        <w:gridCol w:w="1890"/>
        <w:gridCol w:w="1350"/>
      </w:tblGrid>
      <w:tr w:rsidR="00E049CB" w:rsidRPr="005E6B7C" w14:paraId="53FDA8E5" w14:textId="77777777" w:rsidTr="00C644FB">
        <w:trPr>
          <w:jc w:val="center"/>
        </w:trPr>
        <w:tc>
          <w:tcPr>
            <w:tcW w:w="3165" w:type="dxa"/>
            <w:vAlign w:val="center"/>
            <w:hideMark/>
          </w:tcPr>
          <w:p w14:paraId="21F9DB54"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Extract/Fraction</w:t>
            </w:r>
          </w:p>
        </w:tc>
        <w:tc>
          <w:tcPr>
            <w:tcW w:w="1890" w:type="dxa"/>
            <w:vAlign w:val="center"/>
            <w:hideMark/>
          </w:tcPr>
          <w:p w14:paraId="095FF6B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Dry weight (g)</w:t>
            </w:r>
          </w:p>
        </w:tc>
        <w:tc>
          <w:tcPr>
            <w:tcW w:w="1350" w:type="dxa"/>
            <w:vAlign w:val="center"/>
            <w:hideMark/>
          </w:tcPr>
          <w:p w14:paraId="4189869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Yield (%)</w:t>
            </w:r>
          </w:p>
        </w:tc>
      </w:tr>
      <w:tr w:rsidR="00E049CB" w:rsidRPr="005E6B7C" w14:paraId="79A1965E" w14:textId="77777777" w:rsidTr="00C644FB">
        <w:trPr>
          <w:jc w:val="center"/>
        </w:trPr>
        <w:tc>
          <w:tcPr>
            <w:tcW w:w="3165" w:type="dxa"/>
            <w:vAlign w:val="center"/>
            <w:hideMark/>
          </w:tcPr>
          <w:p w14:paraId="4545490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50% Ethanolic extract (MOE)</w:t>
            </w:r>
          </w:p>
        </w:tc>
        <w:tc>
          <w:tcPr>
            <w:tcW w:w="1890" w:type="dxa"/>
            <w:vAlign w:val="center"/>
            <w:hideMark/>
          </w:tcPr>
          <w:p w14:paraId="0E10A58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725.00</w:t>
            </w:r>
          </w:p>
        </w:tc>
        <w:tc>
          <w:tcPr>
            <w:tcW w:w="1350" w:type="dxa"/>
            <w:vAlign w:val="center"/>
            <w:hideMark/>
          </w:tcPr>
          <w:p w14:paraId="2FAC2203"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62.500</w:t>
            </w:r>
          </w:p>
        </w:tc>
      </w:tr>
      <w:tr w:rsidR="00E049CB" w:rsidRPr="005E6B7C" w14:paraId="51A3D658" w14:textId="77777777" w:rsidTr="00C644FB">
        <w:trPr>
          <w:jc w:val="center"/>
        </w:trPr>
        <w:tc>
          <w:tcPr>
            <w:tcW w:w="3165" w:type="dxa"/>
            <w:vAlign w:val="center"/>
            <w:hideMark/>
          </w:tcPr>
          <w:p w14:paraId="471286B7"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Aqueous fraction (MOW)</w:t>
            </w:r>
          </w:p>
        </w:tc>
        <w:tc>
          <w:tcPr>
            <w:tcW w:w="1890" w:type="dxa"/>
            <w:vAlign w:val="center"/>
            <w:hideMark/>
          </w:tcPr>
          <w:p w14:paraId="2CC6E9F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414.29</w:t>
            </w:r>
          </w:p>
        </w:tc>
        <w:tc>
          <w:tcPr>
            <w:tcW w:w="1350" w:type="dxa"/>
            <w:vAlign w:val="center"/>
            <w:hideMark/>
          </w:tcPr>
          <w:p w14:paraId="660B114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51.780</w:t>
            </w:r>
          </w:p>
        </w:tc>
      </w:tr>
      <w:tr w:rsidR="00E049CB" w:rsidRPr="005E6B7C" w14:paraId="1F2DEEF1" w14:textId="77777777" w:rsidTr="00C644FB">
        <w:trPr>
          <w:jc w:val="center"/>
        </w:trPr>
        <w:tc>
          <w:tcPr>
            <w:tcW w:w="3165" w:type="dxa"/>
            <w:vAlign w:val="center"/>
            <w:hideMark/>
          </w:tcPr>
          <w:p w14:paraId="1562D539"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-Butanol fraction (MOB)</w:t>
            </w:r>
          </w:p>
        </w:tc>
        <w:tc>
          <w:tcPr>
            <w:tcW w:w="1890" w:type="dxa"/>
            <w:vAlign w:val="center"/>
            <w:hideMark/>
          </w:tcPr>
          <w:p w14:paraId="0B9AAABA"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29.48</w:t>
            </w:r>
          </w:p>
        </w:tc>
        <w:tc>
          <w:tcPr>
            <w:tcW w:w="1350" w:type="dxa"/>
            <w:vAlign w:val="center"/>
            <w:hideMark/>
          </w:tcPr>
          <w:p w14:paraId="47944BD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3.380</w:t>
            </w:r>
          </w:p>
        </w:tc>
      </w:tr>
      <w:tr w:rsidR="00E049CB" w:rsidRPr="005E6B7C" w14:paraId="21295BA0" w14:textId="77777777" w:rsidTr="00C644FB">
        <w:trPr>
          <w:jc w:val="center"/>
        </w:trPr>
        <w:tc>
          <w:tcPr>
            <w:tcW w:w="3165" w:type="dxa"/>
            <w:vAlign w:val="center"/>
            <w:hideMark/>
          </w:tcPr>
          <w:p w14:paraId="40344EB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Ethyl acetate fraction (MOEt)</w:t>
            </w:r>
          </w:p>
        </w:tc>
        <w:tc>
          <w:tcPr>
            <w:tcW w:w="1890" w:type="dxa"/>
            <w:vAlign w:val="center"/>
            <w:hideMark/>
          </w:tcPr>
          <w:p w14:paraId="31BDBBE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1.25</w:t>
            </w:r>
          </w:p>
        </w:tc>
        <w:tc>
          <w:tcPr>
            <w:tcW w:w="1350" w:type="dxa"/>
            <w:vAlign w:val="center"/>
            <w:hideMark/>
          </w:tcPr>
          <w:p w14:paraId="56DE171B"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0.155</w:t>
            </w:r>
          </w:p>
        </w:tc>
      </w:tr>
      <w:tr w:rsidR="00E049CB" w:rsidRPr="005E6B7C" w14:paraId="15F3BD10" w14:textId="77777777" w:rsidTr="00C644FB">
        <w:trPr>
          <w:jc w:val="center"/>
        </w:trPr>
        <w:tc>
          <w:tcPr>
            <w:tcW w:w="3165" w:type="dxa"/>
            <w:vAlign w:val="center"/>
            <w:hideMark/>
          </w:tcPr>
          <w:p w14:paraId="4AACC36B"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color w:val="000000" w:themeColor="text1"/>
                <w:sz w:val="18"/>
                <w:szCs w:val="18"/>
                <w:lang w:eastAsia="ja-JP"/>
              </w:rPr>
              <w:t>-Hexane fraction (MOH)</w:t>
            </w:r>
          </w:p>
        </w:tc>
        <w:tc>
          <w:tcPr>
            <w:tcW w:w="1890" w:type="dxa"/>
            <w:vAlign w:val="center"/>
            <w:hideMark/>
          </w:tcPr>
          <w:p w14:paraId="60D1C5D9"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0.195</w:t>
            </w:r>
          </w:p>
        </w:tc>
        <w:tc>
          <w:tcPr>
            <w:tcW w:w="1350" w:type="dxa"/>
            <w:vAlign w:val="center"/>
            <w:hideMark/>
          </w:tcPr>
          <w:p w14:paraId="6A9FF7D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0.024</w:t>
            </w:r>
          </w:p>
        </w:tc>
      </w:tr>
    </w:tbl>
    <w:p w14:paraId="42A8CD01" w14:textId="77777777" w:rsidR="0047080C" w:rsidRPr="005E6B7C" w:rsidRDefault="0047080C" w:rsidP="008C0D47">
      <w:pPr>
        <w:tabs>
          <w:tab w:val="left" w:pos="270"/>
          <w:tab w:val="left" w:pos="540"/>
          <w:tab w:val="left" w:pos="9270"/>
        </w:tabs>
        <w:ind w:right="-20"/>
        <w:jc w:val="both"/>
        <w:rPr>
          <w:rFonts w:asciiTheme="majorHAnsi" w:eastAsia="Yu Mincho" w:hAnsiTheme="majorHAnsi" w:cstheme="majorHAnsi"/>
          <w:i/>
          <w:iCs/>
          <w:color w:val="000000" w:themeColor="text1"/>
          <w:sz w:val="22"/>
          <w:szCs w:val="22"/>
          <w:lang w:eastAsia="ja-JP"/>
        </w:rPr>
      </w:pPr>
    </w:p>
    <w:p w14:paraId="60CD700F"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sectPr w:rsidR="00182B33" w:rsidRPr="005E6B7C" w:rsidSect="002206BB">
          <w:type w:val="continuous"/>
          <w:pgSz w:w="10773" w:h="15309" w:code="9"/>
          <w:pgMar w:top="907" w:right="851" w:bottom="1418" w:left="851" w:header="397" w:footer="851" w:gutter="0"/>
          <w:cols w:space="284"/>
          <w:docGrid w:linePitch="360"/>
        </w:sectPr>
      </w:pPr>
    </w:p>
    <w:p w14:paraId="4450E15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Evaluation of Acetylcholinesterase Inhibitory Activity</w:t>
      </w:r>
    </w:p>
    <w:p w14:paraId="6DE1A40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Acetylcholinesterase (AChE) inhibitory activity was assessed using a colorimetric method using Ellman’s reagent, originally described in 1961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&lt;EndNote&gt;&lt;Cite&gt;&lt;Author&gt;Ellman&lt;/Author&gt;&lt;Year&gt;1961&lt;/Year&gt;&lt;RecNum&gt;68&lt;/RecNum&gt;&lt;DisplayText&gt;[11]&lt;/DisplayText&gt;&lt;record&gt;&lt;rec-number&gt;68&lt;/rec-number&gt;&lt;foreign-keys&gt;&lt;key app="EN" db-id="z0p200za82p09bet59b5pffv9xax0aw0tdpa" timestamp="1765513674"&gt;68&lt;/key&gt;&lt;/foreign-keys&gt;&lt;ref-type name="Journal Article"&gt;17&lt;/ref-type&gt;&lt;contributors&gt;&lt;authors&gt;&lt;author&gt;Ellman, George L&lt;/author&gt;&lt;author&gt;Courtney, K Diane&lt;/author&gt;&lt;author&gt;Andres Jr, Valentino&lt;/author&gt;&lt;author&gt;Featherstone, Robert M&lt;/author&gt;&lt;/authors&gt;&lt;/contributors&gt;&lt;titles&gt;&lt;title&gt;A new and rapid colorimetric determination of acetylcholinesterase activity&lt;/title&gt;&lt;secondary-title&gt;Biochemical pharmacology&lt;/secondary-title&gt;&lt;/titles&gt;&lt;periodical&gt;&lt;full-title&gt;Biochemical pharmacology&lt;/full-title&gt;&lt;/periodical&gt;&lt;pages&gt;88-95&lt;/pages&gt;&lt;volume&gt;7&lt;/volume&gt;&lt;number&gt;2&lt;/number&gt;&lt;dates&gt;&lt;year&gt;1961&lt;/year&gt;&lt;/dates&gt;&lt;isbn&gt;0006-2952&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principle of the assay is as follows: the substrate acetylthiocholine iodide (AChI) is hydrolyzed by AChE to generate thiocholine. This product subsequently reacts with 5,5’-dithiobis-(2-nitrobenzoic acid) (DTNB) to form the yellow-colored compound 5-thio-2-nitrobenzoic acid, the intensity of which is proportional to AChE enzymatic activity. The absorbance of the reaction mixture is then measured at 412 nm to determine AChE activity.</w:t>
      </w:r>
    </w:p>
    <w:p w14:paraId="045F00E2" w14:textId="227D2A93"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MO extracts were dissolved in DMSO and diluted in distilled water to final concentrations of 31.25, 62.5, 125, 250, and 500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g/mL. Tacrine (Tac, positive control) was dissolved in distilled water and diluted to concentrations of 3.125, 6.25, </w:t>
      </w:r>
      <w:r w:rsidRPr="005E6B7C">
        <w:rPr>
          <w:rFonts w:asciiTheme="majorHAnsi" w:eastAsia="Yu Mincho" w:hAnsiTheme="majorHAnsi" w:cstheme="majorHAnsi"/>
          <w:color w:val="000000" w:themeColor="text1"/>
          <w:sz w:val="22"/>
          <w:szCs w:val="22"/>
          <w:lang w:eastAsia="ja-JP"/>
        </w:rPr>
        <w:t xml:space="preserve">12.5, 25, 50, and 100 ng/mL. The assay was conducted in 96-well ELISA plates with two groups: wells containing AChE enzyme (test wells) and wells without enzyme (blank wells). All experiments were carried out at room temperature (25°C), and each reaction was performed in triplicate. </w:t>
      </w:r>
    </w:p>
    <w:p w14:paraId="4BB18B48" w14:textId="055C9D35" w:rsidR="00182B33"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Each well received 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distilled water (control group) or 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plant extract/Tac solution (test group), followed by 200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reaction buffer containing 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15 mM AChI, 125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3 mM DTNB, and 50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0.1 M phosphate buffer (pH 8.0). Then, 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 xml:space="preserve">L of AChE (0.025 U/mL) was added to the test wells, whereas 25 </w:t>
      </w:r>
      <w:r w:rsidR="00266B26" w:rsidRPr="005E6B7C">
        <w:rPr>
          <w:rFonts w:asciiTheme="majorHAnsi" w:eastAsia="Yu Mincho" w:hAnsiTheme="majorHAnsi" w:cstheme="majorHAnsi"/>
          <w:i/>
          <w:iCs/>
          <w:color w:val="000000" w:themeColor="text1"/>
          <w:spacing w:val="-2"/>
          <w:sz w:val="22"/>
          <w:szCs w:val="22"/>
          <w:lang w:eastAsia="ja-JP"/>
        </w:rPr>
        <w:t>µ</w:t>
      </w:r>
      <w:r w:rsidRPr="005E6B7C">
        <w:rPr>
          <w:rFonts w:asciiTheme="majorHAnsi" w:eastAsia="Yu Mincho" w:hAnsiTheme="majorHAnsi" w:cstheme="majorHAnsi"/>
          <w:color w:val="000000" w:themeColor="text1"/>
          <w:spacing w:val="-2"/>
          <w:sz w:val="22"/>
          <w:szCs w:val="22"/>
          <w:lang w:eastAsia="ja-JP"/>
        </w:rPr>
        <w:t>L of 0.1 M phosphate buffer (pH 8.0) was added to blank wells. Plates were incubated for 15 minutes at room temperature in the dark, after which absorbance was recorded at 412 nm. The percentage inhibition of AChE activity (I%) was calculated using the following formula:</w:t>
      </w:r>
    </w:p>
    <w:p w14:paraId="7539374C"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sectPr w:rsidR="00182B33" w:rsidRPr="005E6B7C" w:rsidSect="00182B33">
          <w:type w:val="continuous"/>
          <w:pgSz w:w="10773" w:h="15309" w:code="9"/>
          <w:pgMar w:top="907" w:right="851" w:bottom="1418" w:left="851" w:header="397" w:footer="851" w:gutter="0"/>
          <w:cols w:num="2" w:space="284"/>
          <w:docGrid w:linePitch="360"/>
        </w:sectPr>
      </w:pPr>
    </w:p>
    <w:p w14:paraId="2F0B5F43" w14:textId="77777777" w:rsidR="00182B33"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w:t>
      </w:r>
    </w:p>
    <w:p w14:paraId="6252628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bCs/>
          <w:color w:val="000000" w:themeColor="text1"/>
          <w:sz w:val="20"/>
          <w:szCs w:val="20"/>
          <w:lang w:eastAsia="ja-JP"/>
        </w:rPr>
      </w:pPr>
      <m:oMathPara>
        <m:oMath>
          <m:r>
            <m:rPr>
              <m:sty m:val="p"/>
            </m:rPr>
            <w:rPr>
              <w:rFonts w:ascii="Cambria Math" w:eastAsia="Yu Mincho" w:hAnsi="Cambria Math" w:cstheme="majorHAnsi"/>
              <w:color w:val="000000" w:themeColor="text1"/>
              <w:sz w:val="20"/>
              <w:szCs w:val="20"/>
              <w:lang w:eastAsia="ja-JP"/>
            </w:rPr>
            <m:t>% I=</m:t>
          </m:r>
          <m:f>
            <m:fPr>
              <m:ctrlPr>
                <w:rPr>
                  <w:rFonts w:ascii="Cambria Math" w:eastAsia="Yu Mincho" w:hAnsi="Cambria Math" w:cstheme="majorHAnsi"/>
                  <w:bCs/>
                  <w:color w:val="000000" w:themeColor="text1"/>
                  <w:sz w:val="20"/>
                  <w:szCs w:val="20"/>
                  <w:lang w:eastAsia="ja-JP"/>
                </w:rPr>
              </m:ctrlPr>
            </m:fPr>
            <m:num>
              <m:r>
                <m:rPr>
                  <m:sty m:val="p"/>
                </m:rPr>
                <w:rPr>
                  <w:rFonts w:ascii="Cambria Math" w:eastAsia="Yu Mincho" w:hAnsi="Cambria Math" w:cstheme="majorHAnsi"/>
                  <w:color w:val="000000" w:themeColor="text1"/>
                  <w:sz w:val="20"/>
                  <w:szCs w:val="20"/>
                  <w:lang w:eastAsia="ja-JP"/>
                </w:rPr>
                <m:t>(OD</m:t>
              </m:r>
              <m:r>
                <m:rPr>
                  <m:sty m:val="p"/>
                </m:rPr>
                <w:rPr>
                  <w:rFonts w:ascii="Cambria Math" w:eastAsia="Yu Mincho" w:hAnsi="Cambria Math" w:cstheme="majorHAnsi"/>
                  <w:color w:val="000000" w:themeColor="text1"/>
                  <w:sz w:val="20"/>
                  <w:szCs w:val="20"/>
                  <w:vertAlign w:val="subscript"/>
                  <w:lang w:eastAsia="ja-JP"/>
                </w:rPr>
                <m:t>control+enzyme</m:t>
              </m:r>
              <m:r>
                <m:rPr>
                  <m:sty m:val="p"/>
                </m:rPr>
                <w:rPr>
                  <w:rFonts w:ascii="Cambria Math" w:eastAsia="Yu Mincho" w:hAnsi="Cambria Math" w:cstheme="majorHAnsi"/>
                  <w:color w:val="000000" w:themeColor="text1"/>
                  <w:sz w:val="20"/>
                  <w:szCs w:val="20"/>
                  <w:lang w:eastAsia="ja-JP"/>
                </w:rPr>
                <m:t xml:space="preserve"> - OD</m:t>
              </m:r>
              <m:r>
                <m:rPr>
                  <m:sty m:val="p"/>
                </m:rPr>
                <w:rPr>
                  <w:rFonts w:ascii="Cambria Math" w:eastAsia="Yu Mincho" w:hAnsi="Cambria Math" w:cstheme="majorHAnsi"/>
                  <w:color w:val="000000" w:themeColor="text1"/>
                  <w:sz w:val="20"/>
                  <w:szCs w:val="20"/>
                  <w:vertAlign w:val="subscript"/>
                  <w:lang w:eastAsia="ja-JP"/>
                </w:rPr>
                <m:t>control blank</m:t>
              </m:r>
              <m:r>
                <m:rPr>
                  <m:sty m:val="p"/>
                </m:rPr>
                <w:rPr>
                  <w:rFonts w:ascii="Cambria Math" w:eastAsia="Yu Mincho" w:hAnsi="Cambria Math" w:cstheme="majorHAnsi"/>
                  <w:color w:val="000000" w:themeColor="text1"/>
                  <w:sz w:val="20"/>
                  <w:szCs w:val="20"/>
                  <w:lang w:eastAsia="ja-JP"/>
                </w:rPr>
                <m:t>) - (OD</m:t>
              </m:r>
              <m:r>
                <m:rPr>
                  <m:sty m:val="p"/>
                </m:rPr>
                <w:rPr>
                  <w:rFonts w:ascii="Cambria Math" w:eastAsia="Yu Mincho" w:hAnsi="Cambria Math" w:cstheme="majorHAnsi"/>
                  <w:color w:val="000000" w:themeColor="text1"/>
                  <w:sz w:val="20"/>
                  <w:szCs w:val="20"/>
                  <w:vertAlign w:val="subscript"/>
                  <w:lang w:eastAsia="ja-JP"/>
                </w:rPr>
                <m:t>sample</m:t>
              </m:r>
              <m:r>
                <m:rPr>
                  <m:sty m:val="p"/>
                </m:rPr>
                <w:rPr>
                  <w:rFonts w:ascii="Cambria Math" w:eastAsia="Yu Mincho" w:hAnsi="Cambria Math" w:cstheme="majorHAnsi"/>
                  <w:color w:val="000000" w:themeColor="text1"/>
                  <w:sz w:val="20"/>
                  <w:szCs w:val="20"/>
                  <w:lang w:eastAsia="ja-JP"/>
                </w:rPr>
                <m:t xml:space="preserve"> - OD</m:t>
              </m:r>
              <m:r>
                <m:rPr>
                  <m:sty m:val="p"/>
                </m:rPr>
                <w:rPr>
                  <w:rFonts w:ascii="Cambria Math" w:eastAsia="Yu Mincho" w:hAnsi="Cambria Math" w:cstheme="majorHAnsi"/>
                  <w:color w:val="000000" w:themeColor="text1"/>
                  <w:sz w:val="20"/>
                  <w:szCs w:val="20"/>
                  <w:vertAlign w:val="subscript"/>
                  <w:lang w:eastAsia="ja-JP"/>
                </w:rPr>
                <m:t>sample blank</m:t>
              </m:r>
              <m:r>
                <m:rPr>
                  <m:sty m:val="p"/>
                </m:rPr>
                <w:rPr>
                  <w:rFonts w:ascii="Cambria Math" w:eastAsia="Yu Mincho" w:hAnsi="Cambria Math" w:cstheme="majorHAnsi"/>
                  <w:color w:val="000000" w:themeColor="text1"/>
                  <w:sz w:val="20"/>
                  <w:szCs w:val="20"/>
                  <w:lang w:eastAsia="ja-JP"/>
                </w:rPr>
                <m:t>)</m:t>
              </m:r>
            </m:num>
            <m:den>
              <m:r>
                <m:rPr>
                  <m:sty m:val="p"/>
                </m:rPr>
                <w:rPr>
                  <w:rFonts w:ascii="Cambria Math" w:eastAsia="Yu Mincho" w:hAnsi="Cambria Math" w:cstheme="majorHAnsi"/>
                  <w:color w:val="000000" w:themeColor="text1"/>
                  <w:sz w:val="20"/>
                  <w:szCs w:val="20"/>
                  <w:lang w:eastAsia="ja-JP"/>
                </w:rPr>
                <m:t>OD</m:t>
              </m:r>
              <m:r>
                <m:rPr>
                  <m:sty m:val="p"/>
                </m:rPr>
                <w:rPr>
                  <w:rFonts w:ascii="Cambria Math" w:eastAsia="Yu Mincho" w:hAnsi="Cambria Math" w:cstheme="majorHAnsi"/>
                  <w:color w:val="000000" w:themeColor="text1"/>
                  <w:sz w:val="20"/>
                  <w:szCs w:val="20"/>
                  <w:vertAlign w:val="subscript"/>
                  <w:lang w:eastAsia="ja-JP"/>
                </w:rPr>
                <m:t>control+enzyme</m:t>
              </m:r>
              <m:r>
                <m:rPr>
                  <m:sty m:val="p"/>
                </m:rPr>
                <w:rPr>
                  <w:rFonts w:ascii="Cambria Math" w:eastAsia="Yu Mincho" w:hAnsi="Cambria Math" w:cstheme="majorHAnsi"/>
                  <w:color w:val="000000" w:themeColor="text1"/>
                  <w:sz w:val="20"/>
                  <w:szCs w:val="20"/>
                  <w:lang w:eastAsia="ja-JP"/>
                </w:rPr>
                <m:t xml:space="preserve"> - OD</m:t>
              </m:r>
              <m:r>
                <m:rPr>
                  <m:sty m:val="p"/>
                </m:rPr>
                <w:rPr>
                  <w:rFonts w:ascii="Cambria Math" w:eastAsia="Yu Mincho" w:hAnsi="Cambria Math" w:cstheme="majorHAnsi"/>
                  <w:color w:val="000000" w:themeColor="text1"/>
                  <w:sz w:val="20"/>
                  <w:szCs w:val="20"/>
                  <w:vertAlign w:val="subscript"/>
                  <w:lang w:eastAsia="ja-JP"/>
                </w:rPr>
                <m:t>control blank</m:t>
              </m:r>
            </m:den>
          </m:f>
          <m:r>
            <w:rPr>
              <w:rFonts w:ascii="Cambria Math" w:eastAsia="Yu Mincho" w:hAnsi="Cambria Math" w:cstheme="majorHAnsi"/>
              <w:color w:val="000000" w:themeColor="text1"/>
              <w:sz w:val="20"/>
              <w:szCs w:val="20"/>
              <w:lang w:eastAsia="ja-JP"/>
            </w:rPr>
            <m:t xml:space="preserve"> x 100</m:t>
          </m:r>
        </m:oMath>
      </m:oMathPara>
    </w:p>
    <w:p w14:paraId="0D9AE968" w14:textId="77777777" w:rsidR="002D539C" w:rsidRPr="005E6B7C" w:rsidRDefault="002D53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0AF8E0C6"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182B33" w:rsidRPr="005E6B7C" w:rsidSect="002206BB">
          <w:type w:val="continuous"/>
          <w:pgSz w:w="10773" w:h="15309" w:code="9"/>
          <w:pgMar w:top="907" w:right="851" w:bottom="1418" w:left="851" w:header="397" w:footer="851" w:gutter="0"/>
          <w:cols w:space="284"/>
          <w:docGrid w:linePitch="360"/>
        </w:sectPr>
      </w:pPr>
    </w:p>
    <w:p w14:paraId="08D3C2E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half-maximal inhibitory concentration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was calculated by nonlinear regression using a dose-response inhibition model with a variable slope (four-parameter logistic model) in GraphPad Prism 8 software.</w:t>
      </w:r>
    </w:p>
    <w:p w14:paraId="3EE9E46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2.3. Generation of an Alzheimer’s Disease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i/>
          <w:color w:val="000000" w:themeColor="text1"/>
          <w:sz w:val="22"/>
          <w:szCs w:val="22"/>
          <w:lang w:eastAsia="ja-JP"/>
        </w:rPr>
        <w:t xml:space="preserve"> Model</w:t>
      </w:r>
    </w:p>
    <w:p w14:paraId="2DEB0E6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this study, the expression of the human APP protein in the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brain was achieved using the GAL4/UAS binary gene expression system. This system uses two parental fly lines: a driver line carrying the genotype w; +; Elav-GAL4 and a responder line carrying w; UAS-</w:t>
      </w:r>
      <w:r w:rsidRPr="005E6B7C">
        <w:rPr>
          <w:rFonts w:asciiTheme="majorHAnsi" w:eastAsia="Yu Mincho" w:hAnsiTheme="majorHAnsi" w:cstheme="majorHAnsi"/>
          <w:color w:val="000000" w:themeColor="text1"/>
          <w:sz w:val="22"/>
          <w:szCs w:val="22"/>
          <w:lang w:eastAsia="ja-JP"/>
        </w:rPr>
        <w:t xml:space="preserve">hAPP.HA. When these two lines are crossed, the F1 progeny inherit both Elav-GAL4 and UAS-hAPP.HA transgenes. Under the control of the neuron-specific promoter Elav, the GAL4 transcription factor is expressed and binds to the upstream activation sequence (UAS) preceding the target hAPP gene, thereby activating its transcription. As a result, the human amyloid precursor protein (APP) is produced and expressed in the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brain. When APP is expressed and released from neurons, it can accumulate and form amyloid aggregates, hallmark pathological features of Alzheimer’s </w:t>
      </w:r>
      <w:r w:rsidRPr="005E6B7C">
        <w:rPr>
          <w:rFonts w:asciiTheme="majorHAnsi" w:eastAsia="Yu Mincho" w:hAnsiTheme="majorHAnsi" w:cstheme="majorHAnsi"/>
          <w:color w:val="000000" w:themeColor="text1"/>
          <w:sz w:val="22"/>
          <w:szCs w:val="22"/>
          <w:lang w:eastAsia="ja-JP"/>
        </w:rPr>
        <w:lastRenderedPageBreak/>
        <w:t xml:space="preserve">disease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&lt;EndNote&gt;&lt;Cite&gt;&lt;Author&gt;Zhu&lt;/Author&gt;&lt;Year&gt;2022&lt;/Year&gt;&lt;RecNum&gt;75&lt;/RecNum&gt;&lt;DisplayText&gt;[12]&lt;/DisplayText&gt;&lt;record&gt;&lt;rec-number&gt;75&lt;/rec-number&gt;&lt;foreign-keys&gt;&lt;key app="EN" db-id="z0p200za82p09bet59b5pffv9xax0aw0tdpa" timestamp="1765531700"&gt;75&lt;/key&gt;&lt;/foreign-keys&gt;&lt;ref-type name="Journal Article"&gt;17&lt;/ref-type&gt;&lt;contributors&gt;&lt;authors&gt;&lt;author&gt;Zhu, Yi&lt;/author&gt;&lt;author&gt;Lobato, Amanda G&lt;/author&gt;&lt;author&gt;Zhai, R Grace&lt;/author&gt;&lt;author&gt;Pinto, Milena&lt;/author&gt;&lt;/authors&gt;&lt;/contributors&gt;&lt;titles&gt;&lt;title&gt;Human nmnat1 promotes autophagic clearance of amyloid plaques in a Drosophila model of Alzheimer’s disease&lt;/title&gt;&lt;secondary-title&gt;Frontiers in aging neuroscience&lt;/secondary-title&gt;&lt;/titles&gt;&lt;periodical&gt;&lt;full-title&gt;Frontiers in aging neuroscience&lt;/full-title&gt;&lt;/periodical&gt;&lt;pages&gt;852972&lt;/pages&gt;&lt;volume&gt;14&lt;/volume&gt;&lt;dates&gt;&lt;year&gt;2022&lt;/year&gt;&lt;/dates&gt;&lt;isbn&gt;1663-4365&lt;/isbn&gt;&lt;urls&gt;&lt;/urls&gt;&lt;/record&gt;&lt;/Cite&gt;&lt;/EndNote&gt;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aggregation of amyloid-β p</w:t>
      </w:r>
      <w:r w:rsidRPr="005E6B7C">
        <w:rPr>
          <w:rFonts w:asciiTheme="majorHAnsi" w:eastAsia="Yu Mincho" w:hAnsiTheme="majorHAnsi" w:cstheme="majorHAnsi"/>
          <w:color w:val="000000" w:themeColor="text1"/>
          <w:spacing w:val="2"/>
          <w:sz w:val="22"/>
          <w:szCs w:val="22"/>
          <w:lang w:eastAsia="ja-JP"/>
        </w:rPr>
        <w:t xml:space="preserve">eptides and related toxic amyloid species can ultimately lead to neuronal death and progressive AD-like neurodegeneration. Following genetic crossing, the resulting transgenic flies were used for behavioral assays relevant to Alzheimer’s disease. All experiments were performed in parallel </w:t>
      </w:r>
      <w:r w:rsidRPr="005E6B7C">
        <w:rPr>
          <w:rFonts w:asciiTheme="majorHAnsi" w:eastAsia="Yu Mincho" w:hAnsiTheme="majorHAnsi" w:cstheme="majorHAnsi"/>
          <w:color w:val="000000" w:themeColor="text1"/>
          <w:spacing w:val="2"/>
          <w:sz w:val="22"/>
          <w:szCs w:val="22"/>
          <w:lang w:val="vi-VN" w:eastAsia="ja-JP"/>
        </w:rPr>
        <w:t xml:space="preserve">among </w:t>
      </w:r>
      <w:r w:rsidRPr="005E6B7C">
        <w:rPr>
          <w:rFonts w:asciiTheme="majorHAnsi" w:eastAsia="Yu Mincho" w:hAnsiTheme="majorHAnsi" w:cstheme="majorHAnsi"/>
          <w:color w:val="000000" w:themeColor="text1"/>
          <w:spacing w:val="2"/>
          <w:sz w:val="22"/>
          <w:szCs w:val="22"/>
          <w:lang w:eastAsia="ja-JP"/>
        </w:rPr>
        <w:t>the control group (Elav-Gal4)</w:t>
      </w:r>
      <w:r w:rsidRPr="005E6B7C">
        <w:rPr>
          <w:rFonts w:asciiTheme="majorHAnsi" w:eastAsia="Yu Mincho" w:hAnsiTheme="majorHAnsi" w:cstheme="majorHAnsi"/>
          <w:color w:val="000000" w:themeColor="text1"/>
          <w:spacing w:val="2"/>
          <w:sz w:val="22"/>
          <w:szCs w:val="22"/>
          <w:lang w:val="vi-VN" w:eastAsia="ja-JP"/>
        </w:rPr>
        <w:t>,</w:t>
      </w:r>
      <w:r w:rsidRPr="005E6B7C">
        <w:rPr>
          <w:rFonts w:asciiTheme="majorHAnsi" w:eastAsia="Yu Mincho" w:hAnsiTheme="majorHAnsi" w:cstheme="majorHAnsi"/>
          <w:color w:val="000000" w:themeColor="text1"/>
          <w:spacing w:val="2"/>
          <w:sz w:val="22"/>
          <w:szCs w:val="22"/>
          <w:lang w:eastAsia="ja-JP"/>
        </w:rPr>
        <w:t xml:space="preserve"> the pathological</w:t>
      </w:r>
      <w:r w:rsidRPr="005E6B7C">
        <w:rPr>
          <w:rFonts w:asciiTheme="majorHAnsi" w:eastAsia="Yu Mincho" w:hAnsiTheme="majorHAnsi" w:cstheme="majorHAnsi"/>
          <w:color w:val="000000" w:themeColor="text1"/>
          <w:spacing w:val="2"/>
          <w:sz w:val="22"/>
          <w:szCs w:val="22"/>
          <w:lang w:val="vi-VN" w:eastAsia="ja-JP"/>
        </w:rPr>
        <w:t xml:space="preserve"> </w:t>
      </w:r>
      <w:r w:rsidRPr="005E6B7C">
        <w:rPr>
          <w:rFonts w:asciiTheme="majorHAnsi" w:eastAsia="Yu Mincho" w:hAnsiTheme="majorHAnsi" w:cstheme="majorHAnsi"/>
          <w:color w:val="000000" w:themeColor="text1"/>
          <w:spacing w:val="2"/>
          <w:sz w:val="22"/>
          <w:szCs w:val="22"/>
          <w:lang w:eastAsia="ja-JP"/>
        </w:rPr>
        <w:t>group (Elav-hAPP)</w:t>
      </w:r>
      <w:r w:rsidRPr="005E6B7C">
        <w:rPr>
          <w:rFonts w:asciiTheme="majorHAnsi" w:eastAsia="Yu Mincho" w:hAnsiTheme="majorHAnsi" w:cstheme="majorHAnsi"/>
          <w:color w:val="000000" w:themeColor="text1"/>
          <w:spacing w:val="2"/>
          <w:sz w:val="22"/>
          <w:szCs w:val="22"/>
          <w:lang w:val="vi-VN" w:eastAsia="ja-JP"/>
        </w:rPr>
        <w:t>, and the treated group</w:t>
      </w:r>
      <w:r w:rsidRPr="005E6B7C">
        <w:rPr>
          <w:rFonts w:asciiTheme="majorHAnsi" w:eastAsia="Yu Mincho" w:hAnsiTheme="majorHAnsi" w:cstheme="majorHAnsi"/>
          <w:color w:val="000000" w:themeColor="text1"/>
          <w:spacing w:val="2"/>
          <w:sz w:val="22"/>
          <w:szCs w:val="22"/>
          <w:lang w:eastAsia="ja-JP"/>
        </w:rPr>
        <w:t>.</w:t>
      </w:r>
    </w:p>
    <w:p w14:paraId="2D93F22A"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Flies were maintained at 25±1°C under </w:t>
      </w:r>
      <w:r w:rsidRPr="005E6B7C">
        <w:rPr>
          <w:rFonts w:asciiTheme="majorHAnsi" w:eastAsia="Times New Roman" w:hAnsiTheme="majorHAnsi" w:cstheme="majorHAnsi"/>
          <w:color w:val="000000" w:themeColor="text1"/>
          <w:sz w:val="22"/>
          <w:szCs w:val="22"/>
          <w:lang w:eastAsia="ja-JP"/>
        </w:rPr>
        <w:t>a 12-h light-dark cycle (light on: 07:00-19:00)</w:t>
      </w:r>
      <w:r w:rsidRPr="005E6B7C">
        <w:rPr>
          <w:rFonts w:asciiTheme="majorHAnsi" w:eastAsia="Yu Mincho" w:hAnsiTheme="majorHAnsi" w:cstheme="majorHAnsi"/>
          <w:color w:val="000000" w:themeColor="text1"/>
          <w:sz w:val="22"/>
          <w:szCs w:val="22"/>
          <w:lang w:eastAsia="ja-JP"/>
        </w:rPr>
        <w:t xml:space="preserve"> on standard medium containing 1% agarose, 5% sucrose, 5% dry yeast, 3% milk powder, and preservatives (sodium benzoate, propionic acid). The food was replaced every 2-3 days to ensure optimal nutritional conditions for growth.</w:t>
      </w:r>
    </w:p>
    <w:p w14:paraId="1FBDF4F3"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2.4. Odor-taste learning assays in Drosophila larvae</w:t>
      </w:r>
    </w:p>
    <w:p w14:paraId="556AD0E3"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assay was performed following the method described by Gerber et al. (2013)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&lt;EndNote&gt;&lt;Cite&gt;&lt;Author&gt;Gerber&lt;/Author&gt;&lt;Year&gt;2013&lt;/Year&gt;&lt;RecNum&gt;69&lt;/RecNum&gt;&lt;DisplayText&gt;[13]&lt;/DisplayText&gt;&lt;record&gt;&lt;rec-number&gt;69&lt;/rec-number&gt;&lt;foreign-keys&gt;&lt;key app="EN" db-id="z0p200za82p09bet59b5pffv9xax0aw0tdpa" timestamp="1765513714"&gt;69&lt;/key&gt;&lt;/foreign-keys&gt;&lt;ref-type name="Journal Article"&gt;17&lt;/ref-type&gt;&lt;contributors&gt;&lt;authors&gt;&lt;author&gt;Gerber, Bertram&lt;/author&gt;&lt;author&gt;Biernacki, Roland&lt;/author&gt;&lt;author&gt;Thum, Jeannette&lt;/author&gt;&lt;/authors&gt;&lt;/contributors&gt;&lt;titles&gt;&lt;title&gt;Odor–taste learning assays in Drosophila larvae&lt;/title&gt;&lt;secondary-title&gt;Cold Spring Harbor Protocols&lt;/secondary-title&gt;&lt;/titles&gt;&lt;periodical&gt;&lt;full-title&gt;Cold Spring Harbor Protocols&lt;/full-title&gt;&lt;/periodical&gt;&lt;pages&gt;pdb. prot071639&lt;/pages&gt;&lt;volume&gt;2013&lt;/volume&gt;&lt;number&gt;3&lt;/number&gt;&lt;dates&gt;&lt;year&gt;2013&lt;/year&gt;&lt;/dates&gt;&lt;isbn&gt;1940-3402&lt;/isbn&gt;&lt;urls&gt;&lt;/urls&gt;&lt;/record&gt;&lt;/Cite&gt;&lt;/EndNote&gt;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Short-term associative memory was assessed in F1 larvae derived from parental flies reared on diet supplemented with the 50% ethanolic extract of </w:t>
      </w:r>
      <w:r w:rsidRPr="005E6B7C">
        <w:rPr>
          <w:rFonts w:asciiTheme="majorHAnsi" w:eastAsia="Yu Mincho" w:hAnsiTheme="majorHAnsi" w:cstheme="majorHAnsi"/>
          <w:i/>
          <w:iCs/>
          <w:color w:val="000000" w:themeColor="text1"/>
          <w:sz w:val="22"/>
          <w:szCs w:val="22"/>
          <w:lang w:eastAsia="ja-JP"/>
        </w:rPr>
        <w:t>Morinda officinalis</w:t>
      </w:r>
      <w:r w:rsidRPr="005E6B7C">
        <w:rPr>
          <w:rFonts w:asciiTheme="majorHAnsi" w:eastAsia="Yu Mincho" w:hAnsiTheme="majorHAnsi" w:cstheme="majorHAnsi"/>
          <w:color w:val="000000" w:themeColor="text1"/>
          <w:sz w:val="22"/>
          <w:szCs w:val="22"/>
          <w:lang w:eastAsia="ja-JP"/>
        </w:rPr>
        <w:t xml:space="preserve"> and its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-butanol, ethyl acetate, </w:t>
      </w:r>
      <w:r w:rsidRPr="005E6B7C">
        <w:rPr>
          <w:rFonts w:asciiTheme="majorHAnsi" w:eastAsia="Yu Mincho" w:hAnsiTheme="majorHAnsi" w:cstheme="majorHAnsi"/>
          <w:i/>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-hexane, and aqueous fractions.</w:t>
      </w:r>
    </w:p>
    <w:p w14:paraId="7DDC80A8"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Third-instar larvae (day 3) were trained on two types of petri dishes: agar plates containing 1% agar and 2 M sucrose (dish X), and agar plates containing 1.5% agar without sucrose (dish Y). Two odorants were used: octanol (OCT; Sigma-Aldrich, St. Louis, MO, USA) and n-amyl acetate/paraffin (1:50, AM Merck Millipore, Burlington, MA, USA). A total of 24 larvae were collected, washed with 1× PBS to remove food residues, and sequentially trained on dishes X and Y containing different odorants for 5 minutes each. The training cycle was repeated three times.</w:t>
      </w:r>
    </w:p>
    <w:p w14:paraId="0F40B854" w14:textId="77777777" w:rsidR="00E049CB" w:rsidRPr="005E6B7C" w:rsidRDefault="00E049CB" w:rsidP="008C0D47">
      <w:pPr>
        <w:tabs>
          <w:tab w:val="left" w:pos="270"/>
          <w:tab w:val="left" w:pos="540"/>
          <w:tab w:val="left" w:pos="9270"/>
        </w:tabs>
        <w:spacing w:line="24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For testing, larvae were placed for 3 minutes on an agar plate divided into two halves, one containing AM odor and the other containing OCT. After testing, the number of larvae on each side was counted. Learning performance was quantified using the Learning Index (LI):</w:t>
      </w:r>
    </w:p>
    <w:p w14:paraId="40EC1567" w14:textId="77777777" w:rsidR="00E049CB" w:rsidRPr="005E6B7C" w:rsidRDefault="00E049CB" w:rsidP="008C0D47">
      <w:pPr>
        <w:tabs>
          <w:tab w:val="left" w:pos="270"/>
          <w:tab w:val="left" w:pos="540"/>
          <w:tab w:val="left" w:pos="9270"/>
        </w:tabs>
        <w:ind w:right="-20"/>
        <w:jc w:val="both"/>
        <w:rPr>
          <w:rFonts w:asciiTheme="majorHAnsi" w:eastAsia="Times New Roman" w:hAnsiTheme="majorHAnsi" w:cstheme="majorHAnsi"/>
          <w:color w:val="000000" w:themeColor="text1"/>
          <w:sz w:val="22"/>
          <w:szCs w:val="22"/>
          <w:lang w:eastAsia="ja-JP"/>
        </w:rPr>
      </w:pPr>
      <m:oMathPara>
        <m:oMath>
          <m:r>
            <w:rPr>
              <w:rFonts w:ascii="Cambria Math" w:eastAsia="Yu Mincho" w:hAnsi="Cambria Math" w:cstheme="majorHAnsi"/>
              <w:color w:val="000000" w:themeColor="text1"/>
              <w:sz w:val="22"/>
              <w:szCs w:val="22"/>
              <w:lang w:eastAsia="ja-JP"/>
            </w:rPr>
            <m:t>LI=</m:t>
          </m:r>
          <m:f>
            <m:fPr>
              <m:ctrlPr>
                <w:rPr>
                  <w:rFonts w:ascii="Cambria Math" w:eastAsia="Yu Mincho" w:hAnsi="Cambria Math" w:cstheme="majorHAnsi"/>
                  <w:i/>
                  <w:color w:val="000000" w:themeColor="text1"/>
                  <w:sz w:val="22"/>
                  <w:szCs w:val="22"/>
                  <w:lang w:eastAsia="ja-JP"/>
                </w:rPr>
              </m:ctrlPr>
            </m:fPr>
            <m:num>
              <m:sSub>
                <m:sSubPr>
                  <m:ctrlPr>
                    <w:rPr>
                      <w:rFonts w:ascii="Cambria Math" w:eastAsia="Yu Mincho" w:hAnsi="Cambria Math" w:cstheme="majorHAnsi"/>
                      <w:i/>
                      <w:color w:val="000000" w:themeColor="text1"/>
                      <w:sz w:val="22"/>
                      <w:szCs w:val="22"/>
                      <w:lang w:eastAsia="ja-JP"/>
                    </w:rPr>
                  </m:ctrlPr>
                </m:sSubPr>
                <m:e>
                  <m:r>
                    <w:rPr>
                      <w:rFonts w:ascii="Cambria Math" w:eastAsia="Yu Mincho" w:hAnsi="Cambria Math" w:cstheme="majorHAnsi"/>
                      <w:color w:val="000000" w:themeColor="text1"/>
                      <w:sz w:val="22"/>
                      <w:szCs w:val="22"/>
                      <w:lang w:eastAsia="ja-JP"/>
                    </w:rPr>
                    <m:t>PREF</m:t>
                  </m:r>
                </m:e>
                <m:sub>
                  <m:r>
                    <w:rPr>
                      <w:rFonts w:ascii="Cambria Math" w:eastAsia="Yu Mincho" w:hAnsi="Cambria Math" w:cstheme="majorHAnsi"/>
                      <w:color w:val="000000" w:themeColor="text1"/>
                      <w:sz w:val="22"/>
                      <w:szCs w:val="22"/>
                      <w:lang w:eastAsia="ja-JP"/>
                    </w:rPr>
                    <m:t>AM</m:t>
                  </m:r>
                </m:sub>
              </m:sSub>
              <m:r>
                <w:rPr>
                  <w:rFonts w:ascii="Cambria Math" w:eastAsia="Yu Mincho" w:hAnsi="Cambria Math" w:cstheme="majorHAnsi"/>
                  <w:color w:val="000000" w:themeColor="text1"/>
                  <w:sz w:val="22"/>
                  <w:szCs w:val="22"/>
                  <w:lang w:eastAsia="ja-JP"/>
                </w:rPr>
                <m:t>-</m:t>
              </m:r>
              <m:sSub>
                <m:sSubPr>
                  <m:ctrlPr>
                    <w:rPr>
                      <w:rFonts w:ascii="Cambria Math" w:eastAsia="Yu Mincho" w:hAnsi="Cambria Math" w:cstheme="majorHAnsi"/>
                      <w:i/>
                      <w:color w:val="000000" w:themeColor="text1"/>
                      <w:sz w:val="22"/>
                      <w:szCs w:val="22"/>
                      <w:lang w:eastAsia="ja-JP"/>
                    </w:rPr>
                  </m:ctrlPr>
                </m:sSubPr>
                <m:e>
                  <m:r>
                    <w:rPr>
                      <w:rFonts w:ascii="Cambria Math" w:eastAsia="Yu Mincho" w:hAnsi="Cambria Math" w:cstheme="majorHAnsi"/>
                      <w:color w:val="000000" w:themeColor="text1"/>
                      <w:sz w:val="22"/>
                      <w:szCs w:val="22"/>
                      <w:lang w:eastAsia="ja-JP"/>
                    </w:rPr>
                    <m:t>PREF</m:t>
                  </m:r>
                </m:e>
                <m:sub>
                  <m:r>
                    <w:rPr>
                      <w:rFonts w:ascii="Cambria Math" w:eastAsia="Yu Mincho" w:hAnsi="Cambria Math" w:cstheme="majorHAnsi"/>
                      <w:color w:val="000000" w:themeColor="text1"/>
                      <w:sz w:val="22"/>
                      <w:szCs w:val="22"/>
                      <w:lang w:eastAsia="ja-JP"/>
                    </w:rPr>
                    <m:t>OCT</m:t>
                  </m:r>
                </m:sub>
              </m:sSub>
            </m:num>
            <m:den>
              <m:r>
                <w:rPr>
                  <w:rFonts w:ascii="Cambria Math" w:eastAsia="Yu Mincho" w:hAnsi="Cambria Math" w:cstheme="majorHAnsi"/>
                  <w:color w:val="000000" w:themeColor="text1"/>
                  <w:sz w:val="22"/>
                  <w:szCs w:val="22"/>
                  <w:lang w:eastAsia="ja-JP"/>
                </w:rPr>
                <m:t>2</m:t>
              </m:r>
            </m:den>
          </m:f>
        </m:oMath>
      </m:oMathPara>
    </w:p>
    <w:p w14:paraId="3BFDF4AC" w14:textId="635BDEC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where PREF</w:t>
      </w:r>
      <w:r w:rsidRPr="005E6B7C">
        <w:rPr>
          <w:rFonts w:asciiTheme="majorHAnsi" w:eastAsia="Yu Mincho" w:hAnsiTheme="majorHAnsi" w:cstheme="majorHAnsi"/>
          <w:color w:val="000000" w:themeColor="text1"/>
          <w:sz w:val="22"/>
          <w:szCs w:val="22"/>
          <w:vertAlign w:val="subscript"/>
          <w:lang w:eastAsia="ja-JP"/>
        </w:rPr>
        <w:t>AM</w:t>
      </w:r>
      <w:r w:rsidRPr="005E6B7C">
        <w:rPr>
          <w:rFonts w:asciiTheme="majorHAnsi" w:eastAsia="Yu Mincho" w:hAnsiTheme="majorHAnsi" w:cstheme="majorHAnsi"/>
          <w:color w:val="000000" w:themeColor="text1"/>
          <w:sz w:val="22"/>
          <w:szCs w:val="22"/>
          <w:lang w:eastAsia="ja-JP"/>
        </w:rPr>
        <w:t xml:space="preserve"> and PREF</w:t>
      </w:r>
      <w:r w:rsidRPr="005E6B7C">
        <w:rPr>
          <w:rFonts w:asciiTheme="majorHAnsi" w:eastAsia="Yu Mincho" w:hAnsiTheme="majorHAnsi" w:cstheme="majorHAnsi"/>
          <w:color w:val="000000" w:themeColor="text1"/>
          <w:sz w:val="22"/>
          <w:szCs w:val="22"/>
          <w:vertAlign w:val="subscript"/>
          <w:lang w:eastAsia="ja-JP"/>
        </w:rPr>
        <w:t>OCT</w:t>
      </w:r>
      <w:r w:rsidRPr="005E6B7C">
        <w:rPr>
          <w:rFonts w:asciiTheme="majorHAnsi" w:eastAsia="Yu Mincho" w:hAnsiTheme="majorHAnsi" w:cstheme="majorHAnsi"/>
          <w:color w:val="000000" w:themeColor="text1"/>
          <w:sz w:val="22"/>
          <w:szCs w:val="22"/>
          <w:lang w:eastAsia="ja-JP"/>
        </w:rPr>
        <w:t xml:space="preserve"> represent the preference indices for AM and OCT, respectively, </w:t>
      </w:r>
      <w:r w:rsidR="008C0D47" w:rsidRPr="005E6B7C">
        <w:rPr>
          <w:rFonts w:asciiTheme="majorHAnsi" w:eastAsia="Yu Mincho" w:hAnsiTheme="majorHAnsi" w:cstheme="majorHAnsi"/>
          <w:color w:val="000000" w:themeColor="text1"/>
          <w:sz w:val="22"/>
          <w:szCs w:val="22"/>
          <w:lang w:eastAsia="ja-JP"/>
        </w:rPr>
        <w:t xml:space="preserve">and </w:t>
      </w:r>
      <w:r w:rsidRPr="005E6B7C">
        <w:rPr>
          <w:rFonts w:asciiTheme="majorHAnsi" w:eastAsia="Yu Mincho" w:hAnsiTheme="majorHAnsi" w:cstheme="majorHAnsi"/>
          <w:color w:val="000000" w:themeColor="text1"/>
          <w:sz w:val="22"/>
          <w:szCs w:val="22"/>
          <w:lang w:eastAsia="ja-JP"/>
        </w:rPr>
        <w:t>LI is the learning index. The preference indices were calculated as</w:t>
      </w:r>
    </w:p>
    <w:p w14:paraId="18A045AD"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m:oMathPara>
        <m:oMath>
          <m:r>
            <w:rPr>
              <w:rFonts w:ascii="Cambria Math" w:eastAsia="Yu Mincho" w:hAnsi="Cambria Math" w:cstheme="majorHAnsi"/>
              <w:color w:val="000000" w:themeColor="text1"/>
              <w:sz w:val="22"/>
              <w:szCs w:val="22"/>
              <w:lang w:eastAsia="ja-JP"/>
            </w:rPr>
            <m:t>PREF=</m:t>
          </m:r>
          <m:f>
            <m:fPr>
              <m:ctrlPr>
                <w:rPr>
                  <w:rFonts w:ascii="Cambria Math" w:eastAsia="Yu Mincho" w:hAnsi="Cambria Math" w:cstheme="majorHAnsi"/>
                  <w:i/>
                  <w:color w:val="000000" w:themeColor="text1"/>
                  <w:sz w:val="22"/>
                  <w:szCs w:val="22"/>
                  <w:lang w:eastAsia="ja-JP"/>
                </w:rPr>
              </m:ctrlPr>
            </m:fPr>
            <m:num>
              <m:r>
                <w:rPr>
                  <w:rFonts w:ascii="Cambria Math" w:eastAsia="Yu Mincho" w:hAnsi="Cambria Math" w:cstheme="majorHAnsi"/>
                  <w:color w:val="000000" w:themeColor="text1"/>
                  <w:sz w:val="22"/>
                  <w:szCs w:val="22"/>
                  <w:lang w:eastAsia="ja-JP"/>
                </w:rPr>
                <m:t>#AM-#OCT</m:t>
              </m:r>
            </m:num>
            <m:den>
              <m:r>
                <w:rPr>
                  <w:rFonts w:ascii="Cambria Math" w:eastAsia="Yu Mincho" w:hAnsi="Cambria Math" w:cstheme="majorHAnsi"/>
                  <w:color w:val="000000" w:themeColor="text1"/>
                  <w:sz w:val="22"/>
                  <w:szCs w:val="22"/>
                  <w:lang w:eastAsia="ja-JP"/>
                </w:rPr>
                <m:t>#Total</m:t>
              </m:r>
            </m:den>
          </m:f>
        </m:oMath>
      </m:oMathPara>
    </w:p>
    <w:p w14:paraId="579DB37F"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 the number of larvae observed on the </w:t>
      </w:r>
      <w:r w:rsidRPr="005E6B7C">
        <w:rPr>
          <w:rFonts w:asciiTheme="majorHAnsi" w:eastAsia="Yu Mincho" w:hAnsiTheme="majorHAnsi" w:cstheme="majorHAnsi"/>
          <w:color w:val="000000" w:themeColor="text1"/>
          <w:sz w:val="22"/>
          <w:szCs w:val="22"/>
          <w:lang w:eastAsia="ja-JP"/>
        </w:rPr>
        <w:t>respective half of the test dish)</w:t>
      </w:r>
    </w:p>
    <w:p w14:paraId="57FBEB13"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Each experimental batch consisted of approximately 144-168 larvae, with 24-28 larvae per group. Three replicates were conducted for AM-associated learning and three for OCT-associated learning.</w:t>
      </w:r>
    </w:p>
    <w:p w14:paraId="76760CDE"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2.5. Crawling Assay in Drosophila larvae</w:t>
      </w:r>
    </w:p>
    <w:p w14:paraId="29D8A01A"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experiment was conducted according to the method of Nichols et al. (2012)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&lt;EndNote&gt;&lt;Cite&gt;&lt;Author&gt;Nichols&lt;/Author&gt;&lt;Year&gt;2012&lt;/Year&gt;&lt;RecNum&gt;70&lt;/RecNum&gt;&lt;DisplayText&gt;[14]&lt;/DisplayText&gt;&lt;record&gt;&lt;rec-number&gt;70&lt;/rec-number&gt;&lt;foreign-keys&gt;&lt;key app="EN" db-id="z0p200za82p09bet59b5pffv9xax0aw0tdpa" timestamp="1765513748"&gt;70&lt;/key&gt;&lt;/foreign-keys&gt;&lt;ref-type name="Journal Article"&gt;17&lt;/ref-type&gt;&lt;contributors&gt;&lt;authors&gt;&lt;author&gt;Nichols, Charles D&lt;/author&gt;&lt;author&gt;Becnel, Jaime&lt;/author&gt;&lt;author&gt;Pandey, Udai B&lt;/author&gt;&lt;/authors&gt;&lt;/contributors&gt;&lt;titles&gt;&lt;title&gt;Methods to assay Drosophila behavior&lt;/title&gt;&lt;secondary-title&gt;Journal of visualized experiments: JoVE&lt;/secondary-title&gt;&lt;/titles&gt;&lt;periodical&gt;&lt;full-title&gt;Journal of visualized experiments: JoVE&lt;/full-title&gt;&lt;/periodical&gt;&lt;pages&gt;3795&lt;/pages&gt;&lt;number&gt;61&lt;/number&gt;&lt;dates&gt;&lt;year&gt;2012&lt;/year&gt;&lt;/dates&gt;&lt;urls&gt;&lt;/urls&gt;&lt;/record&gt;&lt;/Cite&gt;&lt;/EndNote&gt;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to evaluate improvements in locomotor behavior in the Drosophila Alzheimer’s disease model.</w:t>
      </w:r>
    </w:p>
    <w:p w14:paraId="7682DE3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Approximately 30-32 male third-instar larvae were randomly selected and washed with PBS to remove residual food. Larvae were transferred onto 1.5% agar plates at a density of 3-4 larvae per dish. Their movements were recorded using a digital camera at 640×480 resolution, 30 frames per second, for 60 seconds. Recorded videos were processed and analyzed using ImageJ (NIH, USA) with the wrMTrck plugin (developed by Dr. Jesper Søndergaard Pedersen) to determine average crawling velocity (AV) and movement trajectories.</w:t>
      </w:r>
    </w:p>
    <w:p w14:paraId="15948701"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2.6. Viability Assay in Adult </w:t>
      </w:r>
      <w:r w:rsidRPr="005E6B7C">
        <w:rPr>
          <w:rFonts w:asciiTheme="majorHAnsi" w:eastAsia="Yu Mincho" w:hAnsiTheme="majorHAnsi" w:cstheme="majorHAnsi"/>
          <w:i/>
          <w:iCs/>
          <w:color w:val="000000" w:themeColor="text1"/>
          <w:sz w:val="22"/>
          <w:szCs w:val="22"/>
          <w:lang w:eastAsia="ja-JP"/>
        </w:rPr>
        <w:t>Drosophila</w:t>
      </w:r>
    </w:p>
    <w:p w14:paraId="7E0BF7B8"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survival assay was performed following Piper et al. (2016)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&lt;EndNote&gt;&lt;Cite&gt;&lt;Author&gt;Piper&lt;/Author&gt;&lt;Year&gt;2016&lt;/Year&gt;&lt;RecNum&gt;71&lt;/RecNum&gt;&lt;DisplayText&gt;[15]&lt;/DisplayText&gt;&lt;record&gt;&lt;rec-number&gt;71&lt;/rec-number&gt;&lt;foreign-keys&gt;&lt;key app="EN" db-id="z0p200za82p09bet59b5pffv9xax0aw0tdpa" timestamp="1765513784"&gt;71&lt;/key&gt;&lt;/foreign-keys&gt;&lt;ref-type name="Journal Article"&gt;17&lt;/ref-type&gt;&lt;contributors&gt;&lt;authors&gt;&lt;author&gt;Piper, Matthew DW&lt;/author&gt;&lt;author&gt;Partridge, Linda&lt;/author&gt;&lt;/authors&gt;&lt;/contributors&gt;&lt;titles&gt;&lt;title&gt;Protocols to study aging in Drosophila&lt;/title&gt;&lt;secondary-title&gt;Drosophila: Methods and Protocols&lt;/secondary-title&gt;&lt;/titles&gt;&lt;periodical&gt;&lt;full-title&gt;Drosophila: Methods and Protocols&lt;/full-title&gt;&lt;/periodical&gt;&lt;pages&gt;291-302&lt;/pages&gt;&lt;dates&gt;&lt;year&gt;2016&lt;/year&gt;&lt;/dates&gt;&lt;urls&gt;&lt;/urls&gt;&lt;/record&gt;&lt;/Cite&gt;&lt;/EndNote&gt;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to evaluate whether </w:t>
      </w:r>
      <w:r w:rsidRPr="005E6B7C">
        <w:rPr>
          <w:rFonts w:asciiTheme="majorHAnsi" w:eastAsia="Yu Mincho" w:hAnsiTheme="majorHAnsi" w:cstheme="majorHAnsi"/>
          <w:iCs/>
          <w:color w:val="000000" w:themeColor="text1"/>
          <w:sz w:val="22"/>
          <w:szCs w:val="22"/>
          <w:lang w:eastAsia="ja-JP"/>
        </w:rPr>
        <w:t>MO</w:t>
      </w:r>
      <w:r w:rsidRPr="005E6B7C">
        <w:rPr>
          <w:rFonts w:asciiTheme="majorHAnsi" w:eastAsia="Yu Mincho" w:hAnsiTheme="majorHAnsi" w:cstheme="majorHAnsi"/>
          <w:color w:val="000000" w:themeColor="text1"/>
          <w:sz w:val="22"/>
          <w:szCs w:val="22"/>
          <w:lang w:eastAsia="ja-JP"/>
        </w:rPr>
        <w:t xml:space="preserve"> extracts improved lifespan in adult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expressing Alzheimer’s disease phenotypes.</w:t>
      </w:r>
    </w:p>
    <w:p w14:paraId="2C2B3D30" w14:textId="48D9B75A"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Adult male and female flies were separated and placed into food vials according to their experimental groups. Each group consisted of 140-160 adult flies (1/2 male and 1/2 female). Vials were kept at 25±1°C, 50% humidity, under a 12 h light/12 h dark cycle. The food was replaced every 2-3 days; the number of dead flies was recorded at each transfer</w:t>
      </w:r>
      <w:r w:rsidR="008C0D47"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and this process continued until no individuals survived.</w:t>
      </w:r>
    </w:p>
    <w:p w14:paraId="11D73148"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2.7. Antioxidant Activity in Fly Head Homogenates (MDA Assay) </w:t>
      </w:r>
    </w:p>
    <w:p w14:paraId="078A5EA4" w14:textId="06D6C1D5"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Malondialdehyde (MDA) is a lipid peroxidation product and serves as a biomarker of oxidative membrane damage. The assay relies on the reaction of MDA with thiobarbituric acid (TBA) under acidic and high-temperature conditions, forming a pink MDA-TBA adduct with a maximal absorbance at 532 nm. The measured absorbance is proportional to the MDA concentration in the sample, and elevated MDA levels indicate enhanced lipid peroxidation, a hallmark of oxidative stress. The assay was performed following the methods of Subedi et al. (2017) and Wu et al. (2025)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&lt;EndNote&gt;&lt;Cite&gt;&lt;Author&gt;Subedi&lt;/Author&gt;&lt;Year&gt;2017&lt;/Year&gt;&lt;RecNum&gt;72&lt;/RecNum&gt;&lt;DisplayText&gt;[16, 17]&lt;/DisplayText&gt;&lt;record&gt;&lt;rec-number&gt;72&lt;/rec-number&gt;&lt;foreign-keys&gt;&lt;key app="EN" db-id="z0p200za82p09bet59b5pffv9xax0aw0tdpa" timestamp="1765513827"&gt;72&lt;/key&gt;&lt;/foreign-keys&gt;&lt;ref-type name="Journal Article"&gt;17&lt;/ref-type&gt;&lt;contributors&gt;&lt;authors&gt;&lt;author&gt;Subedi, Rambhadur P&lt;/author&gt;&lt;author&gt;Vartak, Rekha R&lt;/author&gt;&lt;author&gt;Kale, Purushottam G&lt;/author&gt;&lt;/authors&gt;&lt;/contributors&gt;&lt;titles&gt;&lt;title&gt;Management of stress exerted by hydrogen peroxide in Drosophila melanogaster using Abhrak bhasma&lt;/title&gt;&lt;secondary-title&gt;Journal of Applied Pharmaceutical Science&lt;/secondary-title&gt;&lt;/titles&gt;&lt;periodical&gt;&lt;full-title&gt;Journal of Applied Pharmaceutical Science&lt;/full-title&gt;&lt;/periodical&gt;&lt;pages&gt;065-071&lt;/pages&gt;&lt;volume&gt;7&lt;/volume&gt;&lt;number&gt;12&lt;/number&gt;&lt;dates&gt;&lt;year&gt;2017&lt;/year&gt;&lt;/dates&gt;&lt;urls&gt;&lt;/urls&gt;&lt;/record&gt;&lt;/Cite&gt;&lt;Cite&gt;&lt;Author&gt;Wu&lt;/Author&gt;&lt;Year&gt;2025&lt;/Year&gt;&lt;RecNum&gt;73&lt;/RecNum&gt;&lt;record&gt;&lt;rec-number&gt;73&lt;/rec-number&gt;&lt;foreign-keys&gt;&lt;key app="EN" db-id="z0p200za82p09bet59b5pffv9xax0aw0tdpa" timestamp="1765513883"&gt;73&lt;/key&gt;&lt;/foreign-keys&gt;&lt;ref-type name="Journal Article"&gt;17&lt;/ref-type&gt;&lt;contributors&gt;&lt;authors&gt;&lt;author&gt;Wu, Quanyong&lt;/author&gt;&lt;/authors&gt;&lt;/contributors&gt;&lt;titles&gt;&lt;title&gt;Guidelines for Studying the Oxidative Stress Damage Model on Drosophila melanogaster&lt;/title&gt;&lt;secondary-title&gt;Future Postharvest and Food&lt;/secondary-title&gt;&lt;/titles&gt;&lt;periodical&gt;&lt;full-title&gt;Future Postharvest and Food&lt;/full-title&gt;&lt;/periodical&gt;&lt;pages&gt;124-138&lt;/pages&gt;&lt;volume&gt;2&lt;/volume&gt;&lt;number&gt;2&lt;/number&gt;&lt;dates&gt;&lt;year&gt;2025&lt;/year&gt;&lt;/dates&gt;&lt;isbn&gt;2837-6846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[16],[17]</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Approximately 240-280 three-day-old adult flies from each experimental group were collected and stored at −80°C. Forty fly heads (20 males and 20 </w:t>
      </w:r>
      <w:r w:rsidRPr="005E6B7C">
        <w:rPr>
          <w:rFonts w:asciiTheme="majorHAnsi" w:eastAsia="Yu Mincho" w:hAnsiTheme="majorHAnsi" w:cstheme="majorHAnsi"/>
          <w:color w:val="000000" w:themeColor="text1"/>
          <w:sz w:val="22"/>
          <w:szCs w:val="22"/>
          <w:lang w:eastAsia="ja-JP"/>
        </w:rPr>
        <w:lastRenderedPageBreak/>
        <w:t xml:space="preserve">females) were dissected on ice and transferred to 2 mL eppendorf tubes. Samples were homogenized in 240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1× PBS using a tissue homogenizer at 30 strokes/s for 5 minutes, and this procedure was repeated twice. Then, 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the resulting homogenate was reacted with 450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of 0.37% TBA in acidified solution  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SO</w:t>
      </w:r>
      <w:r w:rsidRPr="005E6B7C">
        <w:rPr>
          <w:rFonts w:asciiTheme="majorHAnsi" w:eastAsia="Yu Mincho" w:hAnsiTheme="majorHAnsi" w:cstheme="majorHAnsi"/>
          <w:color w:val="000000" w:themeColor="text1"/>
          <w:sz w:val="22"/>
          <w:szCs w:val="22"/>
          <w:vertAlign w:val="subscript"/>
          <w:lang w:eastAsia="ja-JP"/>
        </w:rPr>
        <w:t>4</w:t>
      </w:r>
      <w:r w:rsidRPr="005E6B7C">
        <w:rPr>
          <w:rFonts w:asciiTheme="majorHAnsi" w:eastAsia="Yu Mincho" w:hAnsiTheme="majorHAnsi" w:cstheme="majorHAnsi"/>
          <w:color w:val="000000" w:themeColor="text1"/>
          <w:sz w:val="22"/>
          <w:szCs w:val="22"/>
          <w:lang w:eastAsia="ja-JP"/>
        </w:rPr>
        <w:t xml:space="preserve">, whereas 100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the corresponding blank sample received 450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1× PBS instead. Tubes were incubated in a boiling water bath (100°C) for 15 minutes. After incubation, samples were cooled in ice water, and 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L of 1 N HCl was added to terminate the reaction. Tubes were centrifuged at 800 g for 10 minutes. A total of 150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of the supernatant was transferred to a 96-well plate, and absorbance was measured at 532 nm.</w:t>
      </w:r>
    </w:p>
    <w:p w14:paraId="625D77FE"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3. Results</w:t>
      </w:r>
    </w:p>
    <w:p w14:paraId="36D130E1"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3.1. Inhibitory Effect on Acetylcholinesterase Activity</w:t>
      </w:r>
    </w:p>
    <w:p w14:paraId="124CE6E8" w14:textId="77777777" w:rsidR="00E049CB" w:rsidRPr="005E6B7C" w:rsidRDefault="00E049CB" w:rsidP="008C0D47">
      <w:pPr>
        <w:tabs>
          <w:tab w:val="left" w:pos="9270"/>
        </w:tabs>
        <w:spacing w:line="242"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The cholinergic system is severely impaired in AD due to the degeneration of acetylcholine (ACh) producing neurons, particularly those in the nucleus basalis of Meynert and other memory-related regions such as the hippocampus and cerebral cortex. The decline in ACh levels leads to deficits in learning, memory, and attention. Acetylcholinesterase is an enzyme involved in cholinergic neurotransmission, playing a key role in the hydrolysis of the neurotransmitter ACh into choline and acetate </w:t>
      </w:r>
      <w:r w:rsidRPr="005E6B7C">
        <w:rPr>
          <w:rFonts w:asciiTheme="majorHAnsi" w:eastAsia="Yu Mincho" w:hAnsiTheme="majorHAnsi" w:cstheme="majorHAnsi"/>
          <w:color w:val="000000" w:themeColor="text1"/>
          <w:spacing w:val="2"/>
          <w:sz w:val="22"/>
          <w:szCs w:val="22"/>
          <w:lang w:eastAsia="ja-JP"/>
        </w:rPr>
        <w:fldChar w:fldCharType="begin"/>
      </w:r>
      <w:r w:rsidRPr="005E6B7C">
        <w:rPr>
          <w:rFonts w:asciiTheme="majorHAnsi" w:eastAsia="Yu Mincho" w:hAnsiTheme="majorHAnsi" w:cstheme="majorHAnsi"/>
          <w:color w:val="000000" w:themeColor="text1"/>
          <w:spacing w:val="2"/>
          <w:sz w:val="22"/>
          <w:szCs w:val="22"/>
          <w:lang w:eastAsia="ja-JP"/>
        </w:rPr>
        <w:instrText xml:space="preserve"> ADDIN EN.CITE &lt;EndNote&gt;&lt;Cite&gt;&lt;Author&gt;Martyn&lt;/Author&gt;&lt;Year&gt;2009&lt;/Year&gt;&lt;RecNum&gt;74&lt;/RecNum&gt;&lt;DisplayText&gt;[18]&lt;/DisplayText&gt;&lt;record&gt;&lt;rec-number&gt;74&lt;/rec-number&gt;&lt;foreign-keys&gt;&lt;key app="EN" db-id="z0p200za82p09bet59b5pffv9xax0aw0tdpa" timestamp="1765513926"&gt;74&lt;/key&gt;&lt;/foreign-keys&gt;&lt;ref-type name="Journal Article"&gt;17&lt;/ref-type&gt;&lt;contributors&gt;&lt;authors&gt;&lt;author&gt;Martyn, JAJ&lt;/author&gt;&lt;author&gt;Fagerlund, M Jonsson&lt;/author&gt;&lt;author&gt;Eriksson, LI&lt;/author&gt;&lt;/authors&gt;&lt;/contributors&gt;&lt;titles&gt;&lt;title&gt;Basic principles of neuromuscular transmission&lt;/title&gt;&lt;secondary-title&gt;Anaesthesia&lt;/secondary-title&gt;&lt;/titles&gt;&lt;periodical&gt;&lt;full-title&gt;Anaesthesia&lt;/full-title&gt;&lt;/periodical&gt;&lt;pages&gt;1-9&lt;/pages&gt;&lt;volume&gt;64&lt;/volume&gt;&lt;dates&gt;&lt;year&gt;2009&lt;/year&gt;&lt;/dates&gt;&lt;isbn&gt;0003-2409&lt;/isbn&gt;&lt;urls&gt;&lt;/urls&gt;&lt;/record&gt;&lt;/Cite&gt;&lt;/EndNote&gt;</w:instrText>
      </w:r>
      <w:r w:rsidRPr="005E6B7C">
        <w:rPr>
          <w:rFonts w:asciiTheme="majorHAnsi" w:eastAsia="Yu Mincho" w:hAnsiTheme="majorHAnsi" w:cstheme="majorHAnsi"/>
          <w:color w:val="000000" w:themeColor="text1"/>
          <w:spacing w:val="2"/>
          <w:sz w:val="22"/>
          <w:szCs w:val="22"/>
          <w:lang w:eastAsia="ja-JP"/>
        </w:rPr>
        <w:fldChar w:fldCharType="separate"/>
      </w:r>
      <w:r w:rsidRPr="005E6B7C">
        <w:rPr>
          <w:rFonts w:asciiTheme="majorHAnsi" w:eastAsia="Yu Mincho" w:hAnsiTheme="majorHAnsi" w:cstheme="majorHAnsi"/>
          <w:noProof/>
          <w:color w:val="000000" w:themeColor="text1"/>
          <w:spacing w:val="2"/>
          <w:sz w:val="22"/>
          <w:szCs w:val="22"/>
          <w:lang w:eastAsia="ja-JP"/>
        </w:rPr>
        <w:t>[18]</w:t>
      </w:r>
      <w:r w:rsidRPr="005E6B7C">
        <w:rPr>
          <w:rFonts w:asciiTheme="majorHAnsi" w:eastAsia="Yu Mincho" w:hAnsiTheme="majorHAnsi" w:cstheme="majorHAnsi"/>
          <w:color w:val="000000" w:themeColor="text1"/>
          <w:spacing w:val="2"/>
          <w:sz w:val="22"/>
          <w:szCs w:val="22"/>
          <w:lang w:eastAsia="ja-JP"/>
        </w:rPr>
        <w:fldChar w:fldCharType="end"/>
      </w:r>
      <w:r w:rsidRPr="005E6B7C">
        <w:rPr>
          <w:rFonts w:asciiTheme="majorHAnsi" w:eastAsia="Yu Mincho" w:hAnsiTheme="majorHAnsi" w:cstheme="majorHAnsi"/>
          <w:color w:val="000000" w:themeColor="text1"/>
          <w:spacing w:val="2"/>
          <w:sz w:val="22"/>
          <w:szCs w:val="22"/>
          <w:lang w:eastAsia="ja-JP"/>
        </w:rPr>
        <w:t>.</w:t>
      </w:r>
    </w:p>
    <w:p w14:paraId="2B430A7B" w14:textId="77777777" w:rsidR="00E049CB" w:rsidRPr="005E6B7C" w:rsidRDefault="00E049CB"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Through the assay evaluating the acetylcholinesterase inhibitory activity of various extracts from MO roots, using Tac as the positive control and the Ellman colorimetric assay, we obtained the half-maximal inhibitory concentration (IC</w:t>
      </w:r>
      <w:r w:rsidRPr="005E6B7C">
        <w:rPr>
          <w:rFonts w:asciiTheme="majorHAnsi" w:eastAsia="Yu Mincho" w:hAnsiTheme="majorHAnsi" w:cstheme="majorHAnsi"/>
          <w:color w:val="000000" w:themeColor="text1"/>
          <w:sz w:val="22"/>
          <w:szCs w:val="22"/>
          <w:vertAlign w:val="subscript"/>
          <w:lang w:eastAsia="ja-JP"/>
        </w:rPr>
        <w:t>50</w:t>
      </w:r>
      <w:r w:rsidRPr="005E6B7C">
        <w:rPr>
          <w:rFonts w:asciiTheme="majorHAnsi" w:eastAsia="Yu Mincho" w:hAnsiTheme="majorHAnsi" w:cstheme="majorHAnsi"/>
          <w:color w:val="000000" w:themeColor="text1"/>
          <w:sz w:val="22"/>
          <w:szCs w:val="22"/>
          <w:lang w:eastAsia="ja-JP"/>
        </w:rPr>
        <w:t>) values presented in Table 2.</w:t>
      </w:r>
    </w:p>
    <w:p w14:paraId="45F5CD00" w14:textId="77777777" w:rsidR="002D539C" w:rsidRPr="005E6B7C" w:rsidRDefault="002D539C" w:rsidP="008C0D47">
      <w:pPr>
        <w:tabs>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01C65B4F" w14:textId="77777777" w:rsidR="00E049CB" w:rsidRPr="005E6B7C" w:rsidRDefault="00E049CB" w:rsidP="008C0D47">
      <w:pPr>
        <w:tabs>
          <w:tab w:val="left" w:pos="270"/>
          <w:tab w:val="left" w:pos="540"/>
          <w:tab w:val="left" w:pos="9270"/>
        </w:tabs>
        <w:spacing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 2</w:t>
      </w:r>
      <w:r w:rsidRPr="005E6B7C">
        <w:rPr>
          <w:rFonts w:asciiTheme="majorHAnsi" w:eastAsia="Yu Mincho" w:hAnsiTheme="majorHAnsi" w:cstheme="majorHAnsi"/>
          <w:i/>
          <w:i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IC</w:t>
      </w:r>
      <w:r w:rsidRPr="005E6B7C">
        <w:rPr>
          <w:rFonts w:asciiTheme="majorHAnsi" w:eastAsia="Yu Mincho" w:hAnsiTheme="majorHAnsi" w:cstheme="majorHAnsi"/>
          <w:color w:val="000000" w:themeColor="text1"/>
          <w:sz w:val="18"/>
          <w:szCs w:val="18"/>
          <w:vertAlign w:val="subscript"/>
          <w:lang w:eastAsia="ja-JP"/>
        </w:rPr>
        <w:t>50</w:t>
      </w:r>
      <w:r w:rsidRPr="005E6B7C">
        <w:rPr>
          <w:rFonts w:asciiTheme="majorHAnsi" w:eastAsia="Yu Mincho" w:hAnsiTheme="majorHAnsi" w:cstheme="majorHAnsi"/>
          <w:color w:val="000000" w:themeColor="text1"/>
          <w:sz w:val="18"/>
          <w:szCs w:val="18"/>
          <w:lang w:eastAsia="ja-JP"/>
        </w:rPr>
        <w:t xml:space="preserve"> values for AChE inhibition of MO root extracts and Tac.</w:t>
      </w:r>
    </w:p>
    <w:tbl>
      <w:tblPr>
        <w:tblStyle w:val="TableGrid10"/>
        <w:tblW w:w="43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36"/>
        <w:gridCol w:w="3058"/>
      </w:tblGrid>
      <w:tr w:rsidR="00E049CB" w:rsidRPr="005E6B7C" w14:paraId="1FA94FB8" w14:textId="77777777" w:rsidTr="00182B33">
        <w:tc>
          <w:tcPr>
            <w:tcW w:w="1312" w:type="dxa"/>
            <w:vAlign w:val="center"/>
            <w:hideMark/>
          </w:tcPr>
          <w:p w14:paraId="31A9A52A"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Sample</w:t>
            </w:r>
          </w:p>
        </w:tc>
        <w:tc>
          <w:tcPr>
            <w:tcW w:w="3003" w:type="dxa"/>
            <w:vAlign w:val="center"/>
            <w:hideMark/>
          </w:tcPr>
          <w:p w14:paraId="54321054" w14:textId="0292E203"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IC</w:t>
            </w:r>
            <w:r w:rsidRPr="005E6B7C">
              <w:rPr>
                <w:rFonts w:asciiTheme="majorHAnsi" w:eastAsia="Yu Mincho" w:hAnsiTheme="majorHAnsi" w:cstheme="majorHAnsi"/>
                <w:b/>
                <w:bCs/>
                <w:color w:val="000000" w:themeColor="text1"/>
                <w:sz w:val="18"/>
                <w:szCs w:val="18"/>
                <w:vertAlign w:val="subscript"/>
                <w:lang w:eastAsia="ja-JP"/>
              </w:rPr>
              <w:t>50</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g/mL)</w:t>
            </w:r>
          </w:p>
        </w:tc>
      </w:tr>
      <w:tr w:rsidR="00E049CB" w:rsidRPr="005E6B7C" w14:paraId="21DFCEF2" w14:textId="77777777" w:rsidTr="00182B33">
        <w:tc>
          <w:tcPr>
            <w:tcW w:w="1312" w:type="dxa"/>
            <w:vAlign w:val="center"/>
            <w:hideMark/>
          </w:tcPr>
          <w:p w14:paraId="3D63FA38"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MOW</w:t>
            </w:r>
          </w:p>
        </w:tc>
        <w:tc>
          <w:tcPr>
            <w:tcW w:w="3003" w:type="dxa"/>
            <w:vAlign w:val="center"/>
            <w:hideMark/>
          </w:tcPr>
          <w:p w14:paraId="3F830EE9"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437.7 (417.2 - 460.7)</w:t>
            </w:r>
          </w:p>
        </w:tc>
      </w:tr>
      <w:tr w:rsidR="00E049CB" w:rsidRPr="005E6B7C" w14:paraId="4A8920CC" w14:textId="77777777" w:rsidTr="00182B33">
        <w:tc>
          <w:tcPr>
            <w:tcW w:w="1312" w:type="dxa"/>
            <w:vAlign w:val="center"/>
            <w:hideMark/>
          </w:tcPr>
          <w:p w14:paraId="2212ECA3"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MOE</w:t>
            </w:r>
          </w:p>
        </w:tc>
        <w:tc>
          <w:tcPr>
            <w:tcW w:w="3003" w:type="dxa"/>
            <w:vAlign w:val="center"/>
            <w:hideMark/>
          </w:tcPr>
          <w:p w14:paraId="4B0CF112"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420.4 (401.1 - 441.9)</w:t>
            </w:r>
          </w:p>
        </w:tc>
      </w:tr>
      <w:tr w:rsidR="00E049CB" w:rsidRPr="005E6B7C" w14:paraId="24248692" w14:textId="77777777" w:rsidTr="00182B33">
        <w:tc>
          <w:tcPr>
            <w:tcW w:w="1312" w:type="dxa"/>
            <w:vAlign w:val="center"/>
          </w:tcPr>
          <w:p w14:paraId="09BC031C"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MOEt</w:t>
            </w:r>
          </w:p>
        </w:tc>
        <w:tc>
          <w:tcPr>
            <w:tcW w:w="3003" w:type="dxa"/>
            <w:vAlign w:val="center"/>
          </w:tcPr>
          <w:p w14:paraId="0CD00A37"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363.2 (352.1 - 375.0)</w:t>
            </w:r>
          </w:p>
        </w:tc>
      </w:tr>
      <w:tr w:rsidR="00E049CB" w:rsidRPr="005E6B7C" w14:paraId="6C40A202" w14:textId="77777777" w:rsidTr="00182B33">
        <w:tc>
          <w:tcPr>
            <w:tcW w:w="1312" w:type="dxa"/>
            <w:vAlign w:val="center"/>
          </w:tcPr>
          <w:p w14:paraId="284B576C"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MOB</w:t>
            </w:r>
          </w:p>
        </w:tc>
        <w:tc>
          <w:tcPr>
            <w:tcW w:w="3003" w:type="dxa"/>
            <w:vAlign w:val="center"/>
          </w:tcPr>
          <w:p w14:paraId="6D658F8A"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346.5 (326.6 - 368.5)</w:t>
            </w:r>
          </w:p>
        </w:tc>
      </w:tr>
      <w:tr w:rsidR="00E049CB" w:rsidRPr="005E6B7C" w14:paraId="110F43FB" w14:textId="77777777" w:rsidTr="00182B33">
        <w:tc>
          <w:tcPr>
            <w:tcW w:w="1312" w:type="dxa"/>
            <w:vAlign w:val="center"/>
            <w:hideMark/>
          </w:tcPr>
          <w:p w14:paraId="069410C1"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MOH</w:t>
            </w:r>
          </w:p>
        </w:tc>
        <w:tc>
          <w:tcPr>
            <w:tcW w:w="3003" w:type="dxa"/>
            <w:vAlign w:val="center"/>
            <w:hideMark/>
          </w:tcPr>
          <w:p w14:paraId="7953707C"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212.7 (203.3 - 222.7)</w:t>
            </w:r>
          </w:p>
        </w:tc>
      </w:tr>
      <w:tr w:rsidR="00E049CB" w:rsidRPr="005E6B7C" w14:paraId="51CF162F" w14:textId="77777777" w:rsidTr="00182B33">
        <w:tc>
          <w:tcPr>
            <w:tcW w:w="1312" w:type="dxa"/>
            <w:vAlign w:val="center"/>
          </w:tcPr>
          <w:p w14:paraId="11AF9C46" w14:textId="77777777" w:rsidR="00E049CB" w:rsidRPr="005E6B7C" w:rsidRDefault="00E049CB" w:rsidP="008C0D47">
            <w:pPr>
              <w:tabs>
                <w:tab w:val="left" w:pos="270"/>
                <w:tab w:val="left" w:pos="540"/>
                <w:tab w:val="left" w:pos="9270"/>
              </w:tabs>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Tac</w:t>
            </w:r>
          </w:p>
        </w:tc>
        <w:tc>
          <w:tcPr>
            <w:tcW w:w="3003" w:type="dxa"/>
            <w:vAlign w:val="center"/>
          </w:tcPr>
          <w:p w14:paraId="190AE3BA"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0.03978 (0.03629 - 0.0437)</w:t>
            </w:r>
          </w:p>
        </w:tc>
      </w:tr>
    </w:tbl>
    <w:p w14:paraId="1092EB15"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F514E9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All MO root extracts exhibited AChE inhibitory activity in a concentration-dependent manner. Among the tested samples, the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-hexane (MOH) and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butanol</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(MOB) fractions showed the strongest inhibitory effects, followed by the ethyl acetate fraction</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(MOEt), 50% ethanolic </w:t>
      </w:r>
      <w:r w:rsidRPr="005E6B7C">
        <w:rPr>
          <w:rFonts w:asciiTheme="majorHAnsi" w:eastAsia="Yu Mincho" w:hAnsiTheme="majorHAnsi" w:cstheme="majorHAnsi"/>
          <w:color w:val="000000" w:themeColor="text1"/>
          <w:sz w:val="22"/>
          <w:szCs w:val="22"/>
          <w:lang w:eastAsia="ja-JP"/>
        </w:rPr>
        <w:t>extract (MOE), and aqueous fraction (MOW). Nevertheless, the inhibitory potency of all MO extracts was moderate and markedly lower than that of the reference inhibitor tacrine, indicating that MO possesses measurable but non-potent AChE inhibitory activity.</w:t>
      </w:r>
    </w:p>
    <w:p w14:paraId="1D408EA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3.2. Short-Term Memory Improvement in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i/>
          <w:color w:val="000000" w:themeColor="text1"/>
          <w:sz w:val="22"/>
          <w:szCs w:val="22"/>
          <w:lang w:eastAsia="ja-JP"/>
        </w:rPr>
        <w:t xml:space="preserve"> Larvae</w:t>
      </w:r>
    </w:p>
    <w:p w14:paraId="50AEA06C" w14:textId="77777777" w:rsidR="00E049CB" w:rsidRPr="005E6B7C" w:rsidRDefault="00E049CB" w:rsidP="008C0D47">
      <w:pPr>
        <w:tabs>
          <w:tab w:val="left" w:pos="270"/>
          <w:tab w:val="left" w:pos="540"/>
          <w:tab w:val="left" w:pos="9270"/>
        </w:tabs>
        <w:spacing w:line="24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AD is a progressive neurodegenerative disorder characterized by impairments in memory, cognition, and behavior; therefore, improving memory function is an essential parameter in evaluating potential therapeutic effects. We assessed short-term memory in F1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larvae generated by crossing male flies carrying the hAPP transgene with virgin female flies of the Elav-Gal4 strain. The resulting larvae were reared on standard food supplemented with MOE and MOW at concentrations of 2, 4, and 6 mg/mL; MOB, MOEt, and MOH fractions at 0.5 and 1 mg/mL; and Tac as the positive control at 0.05 mg/mL. The results of the short-term memory assay are shown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1.</w:t>
      </w:r>
    </w:p>
    <w:p w14:paraId="564D28B3" w14:textId="77777777" w:rsidR="00182B33" w:rsidRPr="005E6B7C" w:rsidRDefault="00182B33"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691F3038"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4268A93F" wp14:editId="4431BEA3">
            <wp:extent cx="2794000" cy="1444761"/>
            <wp:effectExtent l="0" t="0" r="6350" b="3175"/>
            <wp:docPr id="161290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BEBA8EAE-BF5A-486C-A8C5-ECC9F3942E4B}">
                          <a14:imgProps xmlns:a14="http://schemas.microsoft.com/office/drawing/2010/main">
                            <a14:imgLayer r:embed="rId1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23105" cy="1459811"/>
                    </a:xfrm>
                    <a:prstGeom prst="rect">
                      <a:avLst/>
                    </a:prstGeom>
                    <a:noFill/>
                    <a:ln>
                      <a:noFill/>
                    </a:ln>
                  </pic:spPr>
                </pic:pic>
              </a:graphicData>
            </a:graphic>
          </wp:inline>
        </w:drawing>
      </w:r>
    </w:p>
    <w:p w14:paraId="6C89C256" w14:textId="77777777"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1.</w:t>
      </w:r>
      <w:r w:rsidR="00E049CB" w:rsidRPr="005E6B7C">
        <w:rPr>
          <w:rFonts w:asciiTheme="majorHAnsi" w:eastAsia="Yu Mincho" w:hAnsiTheme="majorHAnsi" w:cstheme="majorHAnsi"/>
          <w:color w:val="000000" w:themeColor="text1"/>
          <w:sz w:val="18"/>
          <w:szCs w:val="18"/>
          <w:lang w:eastAsia="ja-JP"/>
        </w:rPr>
        <w:t xml:space="preserve"> Effects of MO extracts on short-term memory performance in </w:t>
      </w:r>
      <w:r w:rsidR="00E049CB" w:rsidRPr="005E6B7C">
        <w:rPr>
          <w:rFonts w:asciiTheme="majorHAnsi" w:eastAsia="Yu Mincho" w:hAnsiTheme="majorHAnsi" w:cstheme="majorHAnsi"/>
          <w:i/>
          <w:iCs/>
          <w:color w:val="000000" w:themeColor="text1"/>
          <w:sz w:val="18"/>
          <w:szCs w:val="18"/>
          <w:lang w:eastAsia="ja-JP"/>
        </w:rPr>
        <w:t>Drosophila</w:t>
      </w:r>
      <w:r w:rsidR="00E049CB" w:rsidRPr="005E6B7C">
        <w:rPr>
          <w:rFonts w:asciiTheme="majorHAnsi" w:eastAsia="Yu Mincho" w:hAnsiTheme="majorHAnsi" w:cstheme="majorHAnsi"/>
          <w:color w:val="000000" w:themeColor="text1"/>
          <w:sz w:val="18"/>
          <w:szCs w:val="18"/>
          <w:lang w:eastAsia="ja-JP"/>
        </w:rPr>
        <w:t xml:space="preserve"> larvae.</w:t>
      </w:r>
    </w:p>
    <w:p w14:paraId="7BF14FF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(n = 24-30, one-way ANOVA); </w:t>
      </w:r>
      <w:r w:rsidRPr="005E6B7C">
        <w:rPr>
          <w:rFonts w:asciiTheme="majorHAnsi" w:eastAsia="Yu Mincho" w:hAnsiTheme="majorHAnsi" w:cstheme="majorHAnsi"/>
          <w:i/>
          <w:iCs/>
          <w:color w:val="000000" w:themeColor="text1"/>
          <w:sz w:val="18"/>
          <w:szCs w:val="18"/>
          <w:vertAlign w:val="superscript"/>
          <w:lang w:val="vi-VN" w:eastAsia="ja-JP"/>
        </w:rPr>
        <w:t>###</w:t>
      </w:r>
      <w:r w:rsidRPr="005E6B7C">
        <w:rPr>
          <w:rFonts w:asciiTheme="majorHAnsi" w:eastAsia="Yu Mincho" w:hAnsiTheme="majorHAnsi" w:cstheme="majorHAnsi"/>
          <w:i/>
          <w:iCs/>
          <w:color w:val="000000" w:themeColor="text1"/>
          <w:sz w:val="18"/>
          <w:szCs w:val="18"/>
          <w:lang w:eastAsia="ja-JP"/>
        </w:rPr>
        <w:t>p&lt;0.001 compared to Elav-Gal4 group *p&lt;0.05, **p&lt;0.01, ***p&lt;0.001 compared to Elav-hAPP group.</w:t>
      </w:r>
    </w:p>
    <w:p w14:paraId="73954770" w14:textId="77777777" w:rsidR="0047080C" w:rsidRPr="005E6B7C" w:rsidRDefault="0047080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40E2810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data presented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1 show that the Learning Index (LI) of larvae in the Elav-Gal4</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group was significantly higher than that of the Elav-hAPP</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group (p&lt;0.001). Treatment with MO extracts significantly improved learning index (LI) values in a concentration- and fraction-dependent manner. MOE significantly improved memory performance at 4 and 6 mg/mL (p&lt;0.01 and p&lt;0.001, respectively), whereas the aqueous fraction showed improvement only at the highest concentration tested. Both MOB and MOEt significantly increased LI values at 0.5 and 1 mg/mL (p&lt;0.05 and p&lt;0.001, respectively). The MOH fraction produced robust improvements in </w:t>
      </w:r>
      <w:r w:rsidRPr="005E6B7C">
        <w:rPr>
          <w:rFonts w:asciiTheme="majorHAnsi" w:eastAsia="Yu Mincho" w:hAnsiTheme="majorHAnsi" w:cstheme="majorHAnsi"/>
          <w:color w:val="000000" w:themeColor="text1"/>
          <w:sz w:val="22"/>
          <w:szCs w:val="22"/>
          <w:lang w:eastAsia="ja-JP"/>
        </w:rPr>
        <w:lastRenderedPageBreak/>
        <w:t>memory at both tested concentrations (p&lt;0.001). Positive control treatment with tacrine also significantly restored memory performance (p&lt;0.001). These findings demonstrate that several MO, particularly MOE, MOB, and MOH, effectively ameliorate short-term memory deficits in the</w:t>
      </w:r>
      <w:r w:rsidRPr="005E6B7C">
        <w:rPr>
          <w:rFonts w:asciiTheme="majorHAnsi" w:eastAsia="Yu Mincho" w:hAnsiTheme="majorHAnsi" w:cstheme="majorHAnsi"/>
          <w:i/>
          <w:iCs/>
          <w:color w:val="000000" w:themeColor="text1"/>
          <w:sz w:val="22"/>
          <w:szCs w:val="22"/>
          <w:lang w:eastAsia="ja-JP"/>
        </w:rPr>
        <w:t xml:space="preserve"> Drosophila</w:t>
      </w:r>
      <w:r w:rsidRPr="005E6B7C">
        <w:rPr>
          <w:rFonts w:asciiTheme="majorHAnsi" w:eastAsia="Yu Mincho" w:hAnsiTheme="majorHAnsi" w:cstheme="majorHAnsi"/>
          <w:color w:val="000000" w:themeColor="text1"/>
          <w:sz w:val="22"/>
          <w:szCs w:val="22"/>
          <w:lang w:eastAsia="ja-JP"/>
        </w:rPr>
        <w:t xml:space="preserve"> Alzheimer’s model.</w:t>
      </w:r>
    </w:p>
    <w:p w14:paraId="4C7C042A"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3.3. Improvement of Locomotor Ability in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i/>
          <w:color w:val="000000" w:themeColor="text1"/>
          <w:sz w:val="22"/>
          <w:szCs w:val="22"/>
          <w:lang w:eastAsia="ja-JP"/>
        </w:rPr>
        <w:t xml:space="preserve"> Larvae</w:t>
      </w:r>
    </w:p>
    <w:p w14:paraId="4CB8A25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Motor dysfunction is also a characteristic feature of AD progression. Restoration of motor function reflects the potential therapeutic benefits against AD. Third-instar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larvae expressing the AD phenotype were collected on day 3 and evaluated for locomotor performance based on their average crawling speed and trajectory patterns. The results are presented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2.</w:t>
      </w:r>
    </w:p>
    <w:p w14:paraId="6237B5D8" w14:textId="77777777" w:rsidR="002D539C" w:rsidRPr="005E6B7C" w:rsidRDefault="002D539C"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0E48170F" w14:textId="77777777" w:rsidR="00E049CB" w:rsidRPr="005E6B7C" w:rsidRDefault="00E049CB"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436B4A82" wp14:editId="06162829">
            <wp:extent cx="2781300" cy="1503567"/>
            <wp:effectExtent l="0" t="0" r="0" b="1905"/>
            <wp:docPr id="1935317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83555" cy="1504786"/>
                    </a:xfrm>
                    <a:prstGeom prst="rect">
                      <a:avLst/>
                    </a:prstGeom>
                    <a:noFill/>
                    <a:ln>
                      <a:noFill/>
                    </a:ln>
                  </pic:spPr>
                </pic:pic>
              </a:graphicData>
            </a:graphic>
          </wp:inline>
        </w:drawing>
      </w:r>
    </w:p>
    <w:p w14:paraId="7EA94A06" w14:textId="77777777" w:rsidR="00E049CB" w:rsidRPr="005E6B7C" w:rsidRDefault="00517F81" w:rsidP="008C0D47">
      <w:pPr>
        <w:tabs>
          <w:tab w:val="left" w:pos="270"/>
          <w:tab w:val="left" w:pos="540"/>
          <w:tab w:val="left" w:pos="9270"/>
        </w:tabs>
        <w:spacing w:before="120"/>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2.</w:t>
      </w:r>
      <w:r w:rsidR="00E049CB" w:rsidRPr="005E6B7C">
        <w:rPr>
          <w:rFonts w:asciiTheme="majorHAnsi" w:eastAsia="Yu Mincho" w:hAnsiTheme="majorHAnsi" w:cstheme="majorHAnsi"/>
          <w:color w:val="000000" w:themeColor="text1"/>
          <w:sz w:val="18"/>
          <w:szCs w:val="18"/>
          <w:lang w:eastAsia="ja-JP"/>
        </w:rPr>
        <w:t xml:space="preserve"> Effects of MO extracts on locomotor ability in </w:t>
      </w:r>
      <w:r w:rsidR="00E049CB" w:rsidRPr="005E6B7C">
        <w:rPr>
          <w:rFonts w:asciiTheme="majorHAnsi" w:eastAsia="Yu Mincho" w:hAnsiTheme="majorHAnsi" w:cstheme="majorHAnsi"/>
          <w:i/>
          <w:iCs/>
          <w:color w:val="000000" w:themeColor="text1"/>
          <w:sz w:val="18"/>
          <w:szCs w:val="18"/>
          <w:lang w:eastAsia="ja-JP"/>
        </w:rPr>
        <w:t>Drosophila</w:t>
      </w:r>
      <w:r w:rsidR="00E049CB" w:rsidRPr="005E6B7C">
        <w:rPr>
          <w:rFonts w:asciiTheme="majorHAnsi" w:eastAsia="Yu Mincho" w:hAnsiTheme="majorHAnsi" w:cstheme="majorHAnsi"/>
          <w:color w:val="000000" w:themeColor="text1"/>
          <w:sz w:val="18"/>
          <w:szCs w:val="18"/>
          <w:lang w:eastAsia="ja-JP"/>
        </w:rPr>
        <w:t xml:space="preserve"> larvae. (n = 28-32, one-way ANOVA);</w:t>
      </w:r>
      <w:r w:rsidR="00E049CB" w:rsidRPr="005E6B7C">
        <w:rPr>
          <w:rFonts w:asciiTheme="majorHAnsi" w:eastAsia="Yu Mincho" w:hAnsiTheme="majorHAnsi" w:cstheme="majorHAnsi"/>
          <w:i/>
          <w:iCs/>
          <w:color w:val="000000" w:themeColor="text1"/>
          <w:sz w:val="18"/>
          <w:szCs w:val="18"/>
          <w:vertAlign w:val="superscript"/>
          <w:lang w:val="vi-VN" w:eastAsia="ja-JP"/>
        </w:rPr>
        <w:t xml:space="preserve"> ###</w:t>
      </w:r>
      <w:r w:rsidR="00E049CB" w:rsidRPr="005E6B7C">
        <w:rPr>
          <w:rFonts w:asciiTheme="majorHAnsi" w:eastAsia="Yu Mincho" w:hAnsiTheme="majorHAnsi" w:cstheme="majorHAnsi"/>
          <w:i/>
          <w:iCs/>
          <w:color w:val="000000" w:themeColor="text1"/>
          <w:sz w:val="18"/>
          <w:szCs w:val="18"/>
          <w:lang w:eastAsia="ja-JP"/>
        </w:rPr>
        <w:t>p&lt;0.001 compared to Elav-Gal4 group;***p&lt;0.001 compared to Elav-hAPP group.</w:t>
      </w:r>
    </w:p>
    <w:p w14:paraId="3F89D57F" w14:textId="77777777" w:rsidR="002D539C" w:rsidRPr="005E6B7C" w:rsidRDefault="002D53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25D032C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The results in </w:t>
      </w:r>
      <w:r w:rsidR="00517F81" w:rsidRPr="005E6B7C">
        <w:rPr>
          <w:rFonts w:asciiTheme="majorHAnsi" w:eastAsia="Yu Mincho" w:hAnsiTheme="majorHAnsi" w:cstheme="majorHAnsi"/>
          <w:color w:val="000000" w:themeColor="text1"/>
          <w:spacing w:val="4"/>
          <w:sz w:val="22"/>
          <w:szCs w:val="22"/>
          <w:lang w:eastAsia="ja-JP"/>
        </w:rPr>
        <w:t xml:space="preserve">Fig. </w:t>
      </w:r>
      <w:r w:rsidRPr="005E6B7C">
        <w:rPr>
          <w:rFonts w:asciiTheme="majorHAnsi" w:eastAsia="Yu Mincho" w:hAnsiTheme="majorHAnsi" w:cstheme="majorHAnsi"/>
          <w:color w:val="000000" w:themeColor="text1"/>
          <w:spacing w:val="4"/>
          <w:sz w:val="22"/>
          <w:szCs w:val="22"/>
          <w:lang w:eastAsia="ja-JP"/>
        </w:rPr>
        <w:t>2 show that the average crawling speed (AV) of larvae in the Elav-Gal4</w:t>
      </w:r>
      <w:r w:rsidRPr="005E6B7C">
        <w:rPr>
          <w:rFonts w:asciiTheme="majorHAnsi" w:eastAsia="Yu Mincho" w:hAnsiTheme="majorHAnsi" w:cstheme="majorHAnsi"/>
          <w:i/>
          <w:iCs/>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group was significantly higher than that of the Elav-hAPP</w:t>
      </w:r>
      <w:r w:rsidRPr="005E6B7C">
        <w:rPr>
          <w:rFonts w:asciiTheme="majorHAnsi" w:eastAsia="Yu Mincho" w:hAnsiTheme="majorHAnsi" w:cstheme="majorHAnsi"/>
          <w:i/>
          <w:iCs/>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group (p&lt;0.001). Treatment with MOE significantly increased average crawling velocity at all tested concentrations (p&lt;0.001). MOB improved locomotor ability at 0.5 mg/mL but not at 1 mg/mL, whereas MOEt did not produce significant effects. In contrast, MOH significantly enhanced crawling velocity at both concentrations tested (p&lt;0.001). Tacrine treatment also significantly restored locomotor activity (p&lt;0.001). These results indicate that MO, particularly MOE and MOH, improve motor dysfunction associated with APP expression.</w:t>
      </w:r>
    </w:p>
    <w:p w14:paraId="3F395E6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3.4. Effects on Lifespan Extension in Adult </w:t>
      </w:r>
      <w:r w:rsidRPr="005E6B7C">
        <w:rPr>
          <w:rFonts w:asciiTheme="majorHAnsi" w:eastAsia="Yu Mincho" w:hAnsiTheme="majorHAnsi" w:cstheme="majorHAnsi"/>
          <w:i/>
          <w:iCs/>
          <w:color w:val="000000" w:themeColor="text1"/>
          <w:sz w:val="22"/>
          <w:szCs w:val="22"/>
          <w:lang w:eastAsia="ja-JP"/>
        </w:rPr>
        <w:t>Drosophila</w:t>
      </w:r>
    </w:p>
    <w:p w14:paraId="16E85CC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median survival time during the lifespan of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was assessed at the point when 50% </w:t>
      </w:r>
      <w:r w:rsidRPr="005E6B7C">
        <w:rPr>
          <w:rFonts w:asciiTheme="majorHAnsi" w:eastAsia="Yu Mincho" w:hAnsiTheme="majorHAnsi" w:cstheme="majorHAnsi"/>
          <w:color w:val="000000" w:themeColor="text1"/>
          <w:sz w:val="22"/>
          <w:szCs w:val="22"/>
          <w:lang w:eastAsia="ja-JP"/>
        </w:rPr>
        <w:t xml:space="preserve">of the individuals in each population remained alive. This assay was conducted to evaluate the ability of MO root extracts to extend the lifespan of adult flies. The results are presented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3.</w:t>
      </w:r>
    </w:p>
    <w:p w14:paraId="6B3C2EAF" w14:textId="77777777" w:rsidR="002D539C" w:rsidRPr="005E6B7C" w:rsidRDefault="002D539C"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7ED7DB18" w14:textId="77777777" w:rsidR="00E049CB" w:rsidRPr="005E6B7C" w:rsidRDefault="00E049CB" w:rsidP="008C0D47">
      <w:pPr>
        <w:tabs>
          <w:tab w:val="left" w:pos="270"/>
          <w:tab w:val="left" w:pos="540"/>
          <w:tab w:val="left" w:pos="9270"/>
        </w:tabs>
        <w:ind w:right="-20"/>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rPr>
        <w:drawing>
          <wp:inline distT="0" distB="0" distL="0" distR="0" wp14:anchorId="1B0F5296" wp14:editId="35E005FB">
            <wp:extent cx="2804614" cy="1393939"/>
            <wp:effectExtent l="0" t="0" r="0" b="0"/>
            <wp:docPr id="1558459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59574" name="Picture 1558459574"/>
                    <pic:cNvPicPr/>
                  </pic:nvPicPr>
                  <pic:blipFill>
                    <a:blip r:embed="rId114" cstate="print">
                      <a:extLst>
                        <a:ext uri="{BEBA8EAE-BF5A-486C-A8C5-ECC9F3942E4B}">
                          <a14:imgProps xmlns:a14="http://schemas.microsoft.com/office/drawing/2010/main">
                            <a14:imgLayer r:embed="rId1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30684" cy="1406896"/>
                    </a:xfrm>
                    <a:prstGeom prst="rect">
                      <a:avLst/>
                    </a:prstGeom>
                  </pic:spPr>
                </pic:pic>
              </a:graphicData>
            </a:graphic>
          </wp:inline>
        </w:drawing>
      </w:r>
    </w:p>
    <w:p w14:paraId="39FD1ABC" w14:textId="77777777"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3.</w:t>
      </w:r>
      <w:r w:rsidR="00E049CB" w:rsidRPr="005E6B7C">
        <w:rPr>
          <w:rFonts w:asciiTheme="majorHAnsi" w:eastAsia="Yu Mincho" w:hAnsiTheme="majorHAnsi" w:cstheme="majorHAnsi"/>
          <w:color w:val="000000" w:themeColor="text1"/>
          <w:sz w:val="18"/>
          <w:szCs w:val="18"/>
          <w:lang w:eastAsia="ja-JP"/>
        </w:rPr>
        <w:t xml:space="preserve"> Effects of MOE and MOB on the survival </w:t>
      </w:r>
      <w:r w:rsidR="00182B33" w:rsidRPr="005E6B7C">
        <w:rPr>
          <w:rFonts w:asciiTheme="majorHAnsi" w:eastAsia="Yu Mincho" w:hAnsiTheme="majorHAnsi" w:cstheme="majorHAnsi"/>
          <w:color w:val="000000" w:themeColor="text1"/>
          <w:sz w:val="18"/>
          <w:szCs w:val="18"/>
          <w:lang w:eastAsia="ja-JP"/>
        </w:rPr>
        <w:br/>
      </w:r>
      <w:r w:rsidR="00E049CB" w:rsidRPr="005E6B7C">
        <w:rPr>
          <w:rFonts w:asciiTheme="majorHAnsi" w:eastAsia="Yu Mincho" w:hAnsiTheme="majorHAnsi" w:cstheme="majorHAnsi"/>
          <w:color w:val="000000" w:themeColor="text1"/>
          <w:sz w:val="18"/>
          <w:szCs w:val="18"/>
          <w:lang w:eastAsia="ja-JP"/>
        </w:rPr>
        <w:t xml:space="preserve">of adult </w:t>
      </w:r>
      <w:r w:rsidR="00E049CB" w:rsidRPr="005E6B7C">
        <w:rPr>
          <w:rFonts w:asciiTheme="majorHAnsi" w:eastAsia="Yu Mincho" w:hAnsiTheme="majorHAnsi" w:cstheme="majorHAnsi"/>
          <w:i/>
          <w:iCs/>
          <w:color w:val="000000" w:themeColor="text1"/>
          <w:sz w:val="18"/>
          <w:szCs w:val="18"/>
          <w:lang w:eastAsia="ja-JP"/>
        </w:rPr>
        <w:t>Drosophila</w:t>
      </w:r>
    </w:p>
    <w:p w14:paraId="3DF7713E"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 = 140-160, log-rank test, p&lt;0.001).</w:t>
      </w:r>
    </w:p>
    <w:p w14:paraId="58C03449" w14:textId="77777777" w:rsidR="002D539C" w:rsidRPr="005E6B7C" w:rsidRDefault="002D53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60A2A969"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median survival time (50% survival) of the Elav-Gal4 group (48 days) was longer than that of the Elav-hAPP group (38 days) with a statistically significant difference (p&lt;0.001). Adult flies expressing human APP showed a significant reduction in median lifespan compared with control flies. Dietary supplementation with MOE significantly extended median survival in a dose-dependent manner (42, 44, and 46 days, respectively). Similarly, MOB treatment at both tested concentrations markedly prolonged lifespan relative to the pathological control (44 and 46 days). In contrast, tacrine treatment did not significantly increase median lifespan (40 days). These results suggest that MOE and MOB exert protective effects on organismal survival in the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Alzheimer’s model.</w:t>
      </w:r>
    </w:p>
    <w:p w14:paraId="5B4A19A1"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3.5. </w:t>
      </w:r>
      <w:r w:rsidRPr="005E6B7C">
        <w:rPr>
          <w:rFonts w:asciiTheme="majorHAnsi" w:eastAsia="Yu Mincho" w:hAnsiTheme="majorHAnsi" w:cstheme="majorHAnsi"/>
          <w:i/>
          <w:color w:val="000000" w:themeColor="text1"/>
          <w:sz w:val="22"/>
          <w:szCs w:val="22"/>
          <w:lang w:val="vi-VN" w:eastAsia="ja-JP"/>
        </w:rPr>
        <w:t xml:space="preserve">Evaluation </w:t>
      </w:r>
      <w:r w:rsidRPr="005E6B7C">
        <w:rPr>
          <w:rFonts w:asciiTheme="majorHAnsi" w:eastAsia="Yu Mincho" w:hAnsiTheme="majorHAnsi" w:cstheme="majorHAnsi"/>
          <w:i/>
          <w:color w:val="000000" w:themeColor="text1"/>
          <w:sz w:val="22"/>
          <w:szCs w:val="22"/>
          <w:lang w:eastAsia="ja-JP"/>
        </w:rPr>
        <w:t>of</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i/>
          <w:color w:val="000000" w:themeColor="text1"/>
          <w:sz w:val="22"/>
          <w:szCs w:val="22"/>
          <w:lang w:eastAsia="ja-JP"/>
        </w:rPr>
        <w:t>the</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i/>
          <w:color w:val="000000" w:themeColor="text1"/>
          <w:sz w:val="22"/>
          <w:szCs w:val="22"/>
          <w:lang w:eastAsia="ja-JP"/>
        </w:rPr>
        <w:t>antioxidant</w:t>
      </w:r>
      <w:r w:rsidRPr="005E6B7C">
        <w:rPr>
          <w:rFonts w:asciiTheme="majorHAnsi" w:eastAsia="Yu Mincho" w:hAnsiTheme="majorHAnsi" w:cstheme="majorHAnsi"/>
          <w:i/>
          <w:color w:val="000000" w:themeColor="text1"/>
          <w:sz w:val="22"/>
          <w:szCs w:val="22"/>
          <w:lang w:val="vi-VN" w:eastAsia="ja-JP"/>
        </w:rPr>
        <w:t xml:space="preserve"> activity of </w:t>
      </w:r>
      <w:r w:rsidRPr="005E6B7C">
        <w:rPr>
          <w:rFonts w:asciiTheme="majorHAnsi" w:eastAsia="Yu Mincho" w:hAnsiTheme="majorHAnsi" w:cstheme="majorHAnsi"/>
          <w:i/>
          <w:color w:val="000000" w:themeColor="text1"/>
          <w:sz w:val="22"/>
          <w:szCs w:val="22"/>
          <w:lang w:eastAsia="ja-JP"/>
        </w:rPr>
        <w:t>MO</w:t>
      </w:r>
      <w:r w:rsidRPr="005E6B7C">
        <w:rPr>
          <w:rFonts w:asciiTheme="majorHAnsi" w:eastAsia="Yu Mincho" w:hAnsiTheme="majorHAnsi" w:cstheme="majorHAnsi"/>
          <w:i/>
          <w:color w:val="000000" w:themeColor="text1"/>
          <w:sz w:val="22"/>
          <w:szCs w:val="22"/>
          <w:lang w:val="vi-VN" w:eastAsia="ja-JP"/>
        </w:rPr>
        <w:t xml:space="preserve"> in </w:t>
      </w:r>
      <w:r w:rsidRPr="005E6B7C">
        <w:rPr>
          <w:rFonts w:asciiTheme="majorHAnsi" w:eastAsia="Yu Mincho" w:hAnsiTheme="majorHAnsi" w:cstheme="majorHAnsi"/>
          <w:i/>
          <w:color w:val="000000" w:themeColor="text1"/>
          <w:sz w:val="22"/>
          <w:szCs w:val="22"/>
          <w:lang w:eastAsia="ja-JP"/>
        </w:rPr>
        <w:t>the</w:t>
      </w:r>
      <w:r w:rsidRPr="005E6B7C">
        <w:rPr>
          <w:rFonts w:asciiTheme="majorHAnsi" w:eastAsia="Yu Mincho" w:hAnsiTheme="majorHAnsi" w:cstheme="majorHAnsi"/>
          <w:i/>
          <w:color w:val="000000" w:themeColor="text1"/>
          <w:sz w:val="22"/>
          <w:szCs w:val="22"/>
          <w:lang w:val="vi-VN" w:eastAsia="ja-JP"/>
        </w:rPr>
        <w:t xml:space="preserve"> flies' </w:t>
      </w:r>
      <w:r w:rsidRPr="005E6B7C">
        <w:rPr>
          <w:rFonts w:asciiTheme="majorHAnsi" w:eastAsia="Yu Mincho" w:hAnsiTheme="majorHAnsi" w:cstheme="majorHAnsi"/>
          <w:i/>
          <w:color w:val="000000" w:themeColor="text1"/>
          <w:sz w:val="22"/>
          <w:szCs w:val="22"/>
          <w:lang w:eastAsia="ja-JP"/>
        </w:rPr>
        <w:t>head</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i/>
          <w:color w:val="000000" w:themeColor="text1"/>
          <w:sz w:val="22"/>
          <w:szCs w:val="22"/>
          <w:lang w:eastAsia="ja-JP"/>
        </w:rPr>
        <w:t xml:space="preserve">homogenates </w:t>
      </w:r>
    </w:p>
    <w:p w14:paraId="44C61253" w14:textId="77777777" w:rsidR="00E049CB" w:rsidRPr="005E6B7C" w:rsidRDefault="00E049CB" w:rsidP="008C0D47">
      <w:pPr>
        <w:tabs>
          <w:tab w:val="left" w:pos="270"/>
          <w:tab w:val="left" w:pos="540"/>
          <w:tab w:val="left" w:pos="9270"/>
        </w:tabs>
        <w:spacing w:line="26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MDA is a byproduct of lipid peroxidation. In the brain, lipid-rich tissues are essential for maintaining structural integrity and supporting neuronal metabolic functions. Therefore, increased lipid peroxidation may lead to neuronal damage and contribute to various neurological disorders. Quantification of MDA is a widely used method to assess the antioxidant capacity of MO</w:t>
      </w:r>
      <w:r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t xml:space="preserve">root extracts in the hAPP transgenic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Alzheimer’s model. A reduction in MDA levels compared with the pathological control indicates that the extract decreases lipid peroxidation. The results are shown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4.</w:t>
      </w:r>
    </w:p>
    <w:p w14:paraId="7DB9D603" w14:textId="77777777" w:rsidR="002D539C" w:rsidRPr="005E6B7C" w:rsidRDefault="002D53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5D542574"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lastRenderedPageBreak/>
        <w:drawing>
          <wp:inline distT="0" distB="0" distL="0" distR="0" wp14:anchorId="6E523E94" wp14:editId="6437B025">
            <wp:extent cx="2654300" cy="2003973"/>
            <wp:effectExtent l="0" t="0" r="0" b="0"/>
            <wp:docPr id="14248915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BEBA8EAE-BF5A-486C-A8C5-ECC9F3942E4B}">
                          <a14:imgProps xmlns:a14="http://schemas.microsoft.com/office/drawing/2010/main">
                            <a14:imgLayer r:embed="rId1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67757" cy="2014133"/>
                    </a:xfrm>
                    <a:prstGeom prst="rect">
                      <a:avLst/>
                    </a:prstGeom>
                    <a:noFill/>
                    <a:ln>
                      <a:noFill/>
                    </a:ln>
                  </pic:spPr>
                </pic:pic>
              </a:graphicData>
            </a:graphic>
          </wp:inline>
        </w:drawing>
      </w:r>
    </w:p>
    <w:p w14:paraId="002DB06E" w14:textId="77777777"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eastAsia="ja-JP"/>
        </w:rPr>
        <w:t>4.</w:t>
      </w:r>
      <w:r w:rsidR="00E049CB" w:rsidRPr="005E6B7C">
        <w:rPr>
          <w:rFonts w:asciiTheme="majorHAnsi" w:eastAsia="Yu Mincho" w:hAnsiTheme="majorHAnsi" w:cstheme="majorHAnsi"/>
          <w:color w:val="000000" w:themeColor="text1"/>
          <w:sz w:val="18"/>
          <w:szCs w:val="18"/>
          <w:lang w:eastAsia="ja-JP"/>
        </w:rPr>
        <w:t xml:space="preserve"> Effects of MOE and MOB on MDA levels in </w:t>
      </w:r>
      <w:r w:rsidR="00E049CB" w:rsidRPr="005E6B7C">
        <w:rPr>
          <w:rFonts w:asciiTheme="majorHAnsi" w:eastAsia="Yu Mincho" w:hAnsiTheme="majorHAnsi" w:cstheme="majorHAnsi"/>
          <w:i/>
          <w:iCs/>
          <w:color w:val="000000" w:themeColor="text1"/>
          <w:sz w:val="18"/>
          <w:szCs w:val="18"/>
          <w:lang w:eastAsia="ja-JP"/>
        </w:rPr>
        <w:t>Drosophila</w:t>
      </w:r>
      <w:r w:rsidR="00E049CB" w:rsidRPr="005E6B7C">
        <w:rPr>
          <w:rFonts w:asciiTheme="majorHAnsi" w:eastAsia="Yu Mincho" w:hAnsiTheme="majorHAnsi" w:cstheme="majorHAnsi"/>
          <w:color w:val="000000" w:themeColor="text1"/>
          <w:sz w:val="18"/>
          <w:szCs w:val="18"/>
          <w:lang w:eastAsia="ja-JP"/>
        </w:rPr>
        <w:t xml:space="preserve"> head homogenates.</w:t>
      </w:r>
    </w:p>
    <w:p w14:paraId="73D624E7"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(n = 6-7, one-way ANOVA), </w:t>
      </w:r>
      <w:r w:rsidRPr="005E6B7C">
        <w:rPr>
          <w:rFonts w:asciiTheme="majorHAnsi" w:eastAsia="Yu Mincho" w:hAnsiTheme="majorHAnsi" w:cstheme="majorHAnsi"/>
          <w:i/>
          <w:iCs/>
          <w:color w:val="000000" w:themeColor="text1"/>
          <w:sz w:val="18"/>
          <w:szCs w:val="18"/>
          <w:vertAlign w:val="superscript"/>
          <w:lang w:val="vi-VN" w:eastAsia="ja-JP"/>
        </w:rPr>
        <w:t>###</w:t>
      </w:r>
      <w:r w:rsidRPr="005E6B7C">
        <w:rPr>
          <w:rFonts w:asciiTheme="majorHAnsi" w:eastAsia="Yu Mincho" w:hAnsiTheme="majorHAnsi" w:cstheme="majorHAnsi"/>
          <w:i/>
          <w:iCs/>
          <w:color w:val="000000" w:themeColor="text1"/>
          <w:sz w:val="18"/>
          <w:szCs w:val="18"/>
          <w:lang w:eastAsia="ja-JP"/>
        </w:rPr>
        <w:t>p&lt;0.001 compared to Elav-Gal4 group;</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**p&lt;0.01,***p&lt;0.001 compared to Elav-hAPP group.</w:t>
      </w:r>
    </w:p>
    <w:p w14:paraId="7952B3EB" w14:textId="77777777" w:rsidR="002D539C" w:rsidRPr="005E6B7C" w:rsidRDefault="002D53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74CD2C4A"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APP-expressing flies exhibited significantly elevated malondialdehyde (MDA) levels, indicating increased lipid peroxidation and oxidative stress (p&lt;0.001). Treatment with MOE significantly reduced MDA levels at 4 and 6 mg/mL (p&lt;0.01 and p&lt;0.001), whereas the lower dose showed no significant effect. MOB did not significantly alter MDA levels at the tested concentrations. Tacrine treatment significantly reduced MDA levels compared with the pathological control (p&lt;0.001). These results indicate that MOE effectively attenuates oxidative damage in the fly brain, which may contribute to its neuroprotective effects.</w:t>
      </w:r>
    </w:p>
    <w:p w14:paraId="7E28FEB3"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4. Discussion</w:t>
      </w:r>
    </w:p>
    <w:p w14:paraId="05C027EB"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eastAsia="ja-JP"/>
        </w:rPr>
        <w:t xml:space="preserve">In the present study, we demonstrated that root-derived extracts of MO, particularly the 50% ethanolic extract (MOE) and the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color w:val="000000" w:themeColor="text1"/>
          <w:sz w:val="22"/>
          <w:szCs w:val="22"/>
          <w:lang w:eastAsia="ja-JP"/>
        </w:rPr>
        <w:t xml:space="preserve">butanol fraction (MOB), exert pronounced memory-enhancing and neuroprotective activities in a transgenic </w:t>
      </w:r>
      <w:r w:rsidRPr="005E6B7C">
        <w:rPr>
          <w:rFonts w:asciiTheme="majorHAnsi" w:eastAsia="Yu Mincho" w:hAnsiTheme="majorHAnsi" w:cstheme="majorHAnsi"/>
          <w:i/>
          <w:iCs/>
          <w:color w:val="000000" w:themeColor="text1"/>
          <w:sz w:val="22"/>
          <w:szCs w:val="22"/>
          <w:lang w:eastAsia="ja-JP"/>
        </w:rPr>
        <w:t>Drosophila melanogaster</w:t>
      </w:r>
      <w:r w:rsidRPr="005E6B7C">
        <w:rPr>
          <w:rFonts w:asciiTheme="majorHAnsi" w:eastAsia="Yu Mincho" w:hAnsiTheme="majorHAnsi" w:cstheme="majorHAnsi"/>
          <w:color w:val="000000" w:themeColor="text1"/>
          <w:sz w:val="22"/>
          <w:szCs w:val="22"/>
          <w:lang w:eastAsia="ja-JP"/>
        </w:rPr>
        <w:t xml:space="preserve"> model expressing human APP. These beneficial outcomes were reproducibly observed across multiple experimental endpoints, including moderate inhibition of AChE, restoration of short-term associative memory, improvement of larval locomotor activity, extension of adult lifespan, and mitigation of oxidative damage in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brains. Taken together, these findings indicate that MO mediates neuroprotection via a multi-target mode of action, consistent with reports on other neuroactive natural compounds.</w:t>
      </w:r>
    </w:p>
    <w:p w14:paraId="37C824D5"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Both MOE extract and fractions exhibited </w:t>
      </w:r>
      <w:r w:rsidRPr="005E6B7C">
        <w:rPr>
          <w:rFonts w:asciiTheme="majorHAnsi" w:eastAsia="Yu Mincho" w:hAnsiTheme="majorHAnsi" w:cstheme="majorHAnsi"/>
          <w:color w:val="000000" w:themeColor="text1"/>
          <w:spacing w:val="4"/>
          <w:sz w:val="22"/>
          <w:szCs w:val="22"/>
          <w:lang w:eastAsia="ja-JP"/>
        </w:rPr>
        <w:t xml:space="preserve">moderate AChE inhibitory effects, with MOH and MOB fractions displaying the greatest activity. This pattern aligns with phytochemical evidence indicating that MO roots are enriched in anthraquinones, iridoid glycosides, polysaccharides, coumarins, and triterpenoids, which preferentially distribute into relatively non-polar organic fractions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&lt;EndNote&gt;&lt;Cite&gt;&lt;Author&gt;H.B.&lt;/Author&gt;&lt;Year&gt;2004&lt;/Year&gt;&lt;RecNum&gt;86&lt;/RecNum&gt;&lt;DisplayText&gt;[4, 19]&lt;/DisplayText&gt;&lt;record&gt;&lt;rec-number&gt;86&lt;/rec-number&gt;&lt;foreign-keys&gt;&lt;key app="EN" db-id="z0p200za82p09bet59b5pffv9xax0aw0tdpa" timestamp="1766051112"&gt;86&lt;/key&gt;&lt;/foreign-keys&gt;&lt;ref-type name="Journal Article"&gt;17&lt;/ref-type&gt;&lt;contributors&gt;&lt;authors&gt;&lt;author&gt;Do H.B.&lt;/author&gt;&lt;author&gt;Dang Q.C.&lt;/author&gt;&lt;author&gt;Bui X.C.&lt;/author&gt;&lt;author&gt;Nguyen T.D.&lt;/author&gt;&lt;author&gt;Do T.D.&lt;/author&gt;&lt;author&gt;Pham V.H.&lt;/author&gt;&lt;author&gt;Vu N.L.&lt;/author&gt;&lt;author&gt;Pham D.M.&lt;/author&gt;&lt;author&gt;Pham K.M.&lt;/author&gt;&lt;author&gt;Doan T.N.&lt;/author&gt;&lt;author&gt;Nguyen T. &lt;/author&gt;&lt;author&gt;Tran T.&lt;/author&gt;&lt;/authors&gt;&lt;/contributors&gt;&lt;titles&gt;&lt;title&gt;The medicinal plants and animals in Vietnam&lt;/title&gt;&lt;secondary-title&gt;Hanoi Sci. Technol. Publ. House Hanoi&lt;/secondary-title&gt;&lt;/titles&gt;&lt;periodical&gt;&lt;full-title&gt;Hanoi Sci. Technol. Publ. House Hanoi&lt;/full-title&gt;&lt;/periodical&gt;&lt;pages&gt;101&lt;/pages&gt;&lt;volume&gt;1&lt;/volume&gt;&lt;dates&gt;&lt;year&gt;2004&lt;/year&gt;&lt;/dates&gt;&lt;urls&gt;&lt;/urls&gt;&lt;/record&gt;&lt;/Cite&gt;&lt;Cite&gt;&lt;Author&gt;Lee&lt;/Author&gt;&lt;Year&gt;2017&lt;/Year&gt;&lt;RecNum&gt;76&lt;/RecNum&gt;&lt;record&gt;&lt;rec-number&gt;76&lt;/rec-number&gt;&lt;foreign-keys&gt;&lt;key app="EN" db-id="z0p200za82p09bet59b5pffv9xax0aw0tdpa" timestamp="1765943468"&gt;76&lt;/key&gt;&lt;/foreign-keys&gt;&lt;ref-type name="Journal Article"&gt;17&lt;/ref-type&gt;&lt;contributors&gt;&lt;authors&gt;&lt;author&gt;Lee, Yoon Kyoung&lt;/author&gt;&lt;author&gt;Bang, Hyo Jeong&lt;/author&gt;&lt;author&gt;Oh, Jeong Bin&lt;/author&gt;&lt;author&gt;Whang, Wan Kyunn&lt;/author&gt;&lt;/authors&gt;&lt;/contributors&gt;&lt;titles&gt;&lt;title&gt;Bioassay-guided isolated compounds from Morinda officinalis inhibit Alzheimer’s disease pathologies&lt;/title&gt;&lt;secondary-title&gt;Molecules&lt;/secondary-title&gt;&lt;/titles&gt;&lt;periodical&gt;&lt;full-title&gt;Molecules&lt;/full-title&gt;&lt;/periodical&gt;&lt;pages&gt;1638&lt;/pages&gt;&lt;volume&gt;22&lt;/volume&gt;&lt;number&gt;10&lt;/number&gt;&lt;dates&gt;&lt;year&gt;2017&lt;/year&gt;&lt;/dates&gt;&lt;isbn&gt;1420-3049&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[4, 19]</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Anthraquinones and triterpenoids have been shown to interact with both the catalytically active site and the peripheral anionic site of AChE through hydrophobic contacts and π-π stacking interactions, leading to biologically meaningful yet moderate enzyme inhibition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hint="eastAsia"/>
          <w:color w:val="000000" w:themeColor="text1"/>
          <w:spacing w:val="4"/>
          <w:sz w:val="22"/>
          <w:szCs w:val="22"/>
          <w:lang w:eastAsia="ja-JP"/>
        </w:rPr>
        <w:instrText xml:space="preserve"> ADDIN EN.CITE &lt;EndNote&gt;&lt;Cite&gt;&lt;Author&gt;Howes&lt;/Author&gt;&lt;Year&gt;2003&lt;/Year&gt;&lt;RecNum&gt;77&lt;/RecNum&gt;&lt;DisplayText&gt;[20]&lt;/DisplayText&gt;&lt;record&gt;&lt;rec-number&gt;77&lt;/rec-number&gt;&lt;foreign-keys&gt;&lt;key app="EN" db-id="z0p200za82p09bet59b5pffv9xax0aw0tdpa" timestamp="1765943585"&gt;77&lt;/key&gt;&lt;/foreign-keys&gt;&lt;ref-type name="Journal Article"&gt;17&lt;/ref-type&gt;&lt;contributors&gt;&lt;authors&gt;&lt;author&gt;Howes, Melanie</w:instrText>
      </w:r>
      <w:r w:rsidRPr="005E6B7C">
        <w:rPr>
          <w:rFonts w:asciiTheme="majorHAnsi" w:eastAsia="Yu Mincho" w:hAnsiTheme="majorHAnsi" w:cstheme="majorHAnsi" w:hint="eastAsia"/>
          <w:color w:val="000000" w:themeColor="text1"/>
          <w:spacing w:val="4"/>
          <w:sz w:val="22"/>
          <w:szCs w:val="22"/>
          <w:lang w:eastAsia="ja-JP"/>
        </w:rPr>
        <w:instrText>‐</w:instrText>
      </w:r>
      <w:r w:rsidRPr="005E6B7C">
        <w:rPr>
          <w:rFonts w:asciiTheme="majorHAnsi" w:eastAsia="Yu Mincho" w:hAnsiTheme="majorHAnsi" w:cstheme="majorHAnsi" w:hint="eastAsia"/>
          <w:color w:val="000000" w:themeColor="text1"/>
          <w:spacing w:val="4"/>
          <w:sz w:val="22"/>
          <w:szCs w:val="22"/>
          <w:lang w:eastAsia="ja-JP"/>
        </w:rPr>
        <w:instrText>Jayne R&lt;/author&gt;&lt;author&gt;Perry, Nicolette SL&lt;/author&gt;&lt;author&gt;Houghton, Peter J&lt;/author&gt;&lt;/authors&gt;&lt;/contributors&gt;&lt;titles&gt;&lt;title&gt;Plants with traditional uses and activities, relevant to the management of Alzheimer&amp;apos;s disease and other cognitive disorders&lt;/title&gt;&lt;secondary-title&gt;Phytotherapy research: An international journal devoted to pharmacological and toxicological evaluation of natural product derivatives&lt;/secondary-title&gt;&lt;/titles&gt;&lt;periodical&gt;&lt;full-title&gt;Phytotherapy research: An international journal devoted to pharmacological and toxicological evaluation of natural product derivatives&lt;/full-title&gt;&lt;/periodical&gt;&lt;pages&gt;1-18&lt;/pages&gt;&lt;volume&gt;17&lt;/volume&gt;&lt;number&gt;1&lt;/number&gt;&lt;dates&gt;&lt;year&gt;2003&lt;/year&gt;&lt;/dates&gt;&lt;isbn&gt;0951-418X&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[20]</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Although the AChE inhibitory efficacy of MO was lower than that of the reference compound tacrine, comparable degrees of inhibition have been documented for numerous multi-component herbal preparations, whose cognitive benefits arise from synergistic regulation of multiple pathological processes rather than strong suppression of a single molecular target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&lt;EndNote&gt;&lt;Cite&gt;&lt;Author&gt;Zhou&lt;/Author&gt;&lt;Year&gt;2024&lt;/Year&gt;&lt;RecNum&gt;66&lt;/RecNum&gt;&lt;DisplayText&gt;[9, 10]&lt;/DisplayText&gt;&lt;record&gt;&lt;rec-number&gt;66&lt;/rec-number&gt;&lt;foreign-keys&gt;&lt;key app="EN" db-id="z0p200za82p09bet59b5pffv9xax0aw0tdpa" timestamp="1765513426"&gt;66&lt;/key&gt;&lt;/foreign-keys&gt;&lt;ref-type name="Journal Article"&gt;17&lt;/ref-type&gt;&lt;contributors&gt;&lt;authors&gt;&lt;author&gt;Zhou, L.&lt;/author&gt;&lt;author&gt;Yang, C.&lt;/author&gt;&lt;author&gt;Liu, Z.&lt;/author&gt;&lt;author&gt;Chen, L.&lt;/author&gt;&lt;author&gt;Wang, P.&lt;/author&gt;&lt;author&gt;Zhou, Y.&lt;/author&gt;&lt;author&gt;Yuan, M.&lt;/author&gt;&lt;author&gt;Zhou, L.&lt;/author&gt;&lt;author&gt;Wang, X.&lt;/author&gt;&lt;author&gt;Zhu, L.&lt;/author&gt;&lt;/authors&gt;&lt;/contributors&gt;&lt;titles&gt;&lt;title&gt;Neuroprotective effect of the traditional decoction Tian-Si-Yin against Alzheimer&amp;apos;s disease via suppression of neuroinflammation&lt;/title&gt;&lt;secondary-title&gt;Journal of ethnopharmacology&lt;/secondary-title&gt;&lt;/titles&gt;&lt;periodical&gt;&lt;full-title&gt;Journal of Ethnopharmacology&lt;/full-title&gt;&lt;/periodical&gt;&lt;pages&gt;117569&lt;/pages&gt;&lt;volume&gt;321&lt;/volume&gt;&lt;dates&gt;&lt;year&gt;2024&lt;/year&gt;&lt;/dates&gt;&lt;isbn&gt;0378-8741&lt;/isbn&gt;&lt;urls&gt;&lt;/urls&gt;&lt;/record&gt;&lt;/Cite&gt;&lt;Cite&gt;&lt;Author&gt;Xu&lt;/Author&gt;&lt;Year&gt;2020&lt;/Year&gt;&lt;RecNum&gt;67&lt;/RecNum&gt;&lt;record&gt;&lt;rec-number&gt;67&lt;/rec-number&gt;&lt;foreign-keys&gt;&lt;key app="EN" db-id="z0p200za82p09bet59b5pffv9xax0aw0tdpa" timestamp="1765513547"&gt;67&lt;/key&gt;&lt;/foreign-keys&gt;&lt;ref-type name="Journal Article"&gt;17&lt;/ref-type&gt;&lt;contributors&gt;&lt;authors&gt;&lt;author&gt;Xu, Wumu&lt;/author&gt;&lt;author&gt;Liu, Xiaoyan&lt;/author&gt;&lt;author&gt;He, Xuhui&lt;/author&gt;&lt;author&gt;Jiang, Yiping&lt;/author&gt;&lt;author&gt;Zhang, Jiabao&lt;/author&gt;&lt;author&gt;Zhang, Qiaoyan&lt;/author&gt;&lt;author&gt;Wang, Nani&lt;/author&gt;&lt;author&gt;Qin, Luping&lt;/author&gt;&lt;author&gt;Xin, Hailiang&lt;/author&gt;&lt;/authors&gt;&lt;/contributors&gt;&lt;titles&gt;&lt;title&gt;Bajitianwan attenuates D-galactose-induced memory impairment and bone loss through suppression of oxidative stress in aging rat model&lt;/title&gt;&lt;secondary-title&gt;Journal of Ethnopharmacology&lt;/secondary-title&gt;&lt;/titles&gt;&lt;periodical&gt;&lt;full-title&gt;Journal of Ethnopharmacology&lt;/full-title&gt;&lt;/periodical&gt;&lt;pages&gt;112992&lt;/pages&gt;&lt;volume&gt;261&lt;/volume&gt;&lt;dates&gt;&lt;year&gt;2020&lt;/year&gt;&lt;/dates&gt;&lt;isbn&gt;0378-8741&lt;/isbn&gt;&lt;urls&gt;&lt;/urls&gt;&lt;/record&gt;&lt;/Cite&gt;&lt;/EndNote&gt;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[9</w:t>
      </w:r>
      <w:r w:rsidR="00297440"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noProof/>
          <w:color w:val="000000" w:themeColor="text1"/>
          <w:spacing w:val="4"/>
          <w:sz w:val="22"/>
          <w:szCs w:val="22"/>
          <w:lang w:eastAsia="ja-JP"/>
        </w:rPr>
        <w:t>,</w:t>
      </w:r>
      <w:r w:rsidR="00297440" w:rsidRPr="005E6B7C">
        <w:rPr>
          <w:rFonts w:asciiTheme="majorHAnsi" w:eastAsia="Yu Mincho" w:hAnsiTheme="majorHAnsi" w:cstheme="majorHAnsi"/>
          <w:noProof/>
          <w:color w:val="000000" w:themeColor="text1"/>
          <w:spacing w:val="4"/>
          <w:sz w:val="22"/>
          <w:szCs w:val="22"/>
          <w:lang w:eastAsia="ja-JP"/>
        </w:rPr>
        <w:t>[</w:t>
      </w:r>
      <w:r w:rsidRPr="005E6B7C">
        <w:rPr>
          <w:rFonts w:asciiTheme="majorHAnsi" w:eastAsia="Yu Mincho" w:hAnsiTheme="majorHAnsi" w:cstheme="majorHAnsi"/>
          <w:noProof/>
          <w:color w:val="000000" w:themeColor="text1"/>
          <w:spacing w:val="4"/>
          <w:sz w:val="22"/>
          <w:szCs w:val="22"/>
          <w:lang w:eastAsia="ja-JP"/>
        </w:rPr>
        <w:t>10]</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Accordingly, the observed AChE inhibition supports the view that the neuroprotective actions of MO reflect a multi-mechanistic pharmacological profile rather than potent cholinesterase inhibition alone.</w:t>
      </w:r>
    </w:p>
    <w:p w14:paraId="1439DDA4" w14:textId="77777777" w:rsidR="00E049CB" w:rsidRPr="005E6B7C" w:rsidRDefault="00E049CB" w:rsidP="008C0D47">
      <w:pPr>
        <w:tabs>
          <w:tab w:val="left" w:pos="270"/>
          <w:tab w:val="left" w:pos="540"/>
          <w:tab w:val="left" w:pos="9270"/>
        </w:tabs>
        <w:spacing w:line="25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MO extracts markedly alleviated short-term associative memory impairments in APP-expressing flies. This observation is consistent with a growing body of evidence demonstrating the cognition-enhancing potential of MO across diverse experimental paradigms. Previous studies in mammalian models have shown that polysaccharides and oligosaccharides derived from MO ameliorate learning and memory deficits induced by aging, scopolamine, or amyloid-β. These effects have been linked to activation of BDNF/CREB signaling pathways, attenuation of oxidative stress, and suppression of neuronal apoptosis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&lt;EndNote&gt;&lt;Cite&gt;&lt;Author&gt;He&lt;/Author&gt;&lt;Year&gt;2025&lt;/Year&gt;&lt;RecNum&gt;78&lt;/RecNum&gt;&lt;DisplayText&gt;[5, 21]&lt;/DisplayText&gt;&lt;record&gt;&lt;rec-number&gt;78&lt;/rec-number&gt;&lt;foreign-keys&gt;&lt;key app="EN" db-id="z0p200za82p09bet59b5pffv9xax0aw0tdpa" timestamp="1765943810"&gt;78&lt;/key&gt;&lt;/foreign-keys&gt;&lt;ref-type name="Journal Article"&gt;17&lt;/ref-type&gt;&lt;contributors&gt;&lt;authors&gt;&lt;author&gt;He, Mengjie&lt;/author&gt;&lt;author&gt;Hu, Mengying&lt;/author&gt;&lt;author&gt;Wang, Tingqiao&lt;/author&gt;&lt;author&gt;Zuo, Zeping&lt;/author&gt;&lt;author&gt;Li, Hongkai&lt;/author&gt;&lt;author&gt;Zhao, Zhiwei&lt;/author&gt;&lt;author&gt;Hao, Yunwen&lt;/author&gt;&lt;author&gt;Dai, Xueling&lt;/author&gt;&lt;author&gt;Wang, Jianfang&lt;/author&gt;&lt;author&gt;Sun, Yaxuan&lt;/author&gt;&lt;/authors&gt;&lt;/contributors&gt;&lt;titles&gt;&lt;title&gt;Morinda officinalis oligosaccharides alleviate chronic unpredictable mild stress-induced depression through the BDNF/TrkB/CREB pathway and symptoms of sexual dysfunction in mice&lt;/title&gt;&lt;secondary-title&gt;Frontiers in Neuroscience&lt;/secondary-title&gt;&lt;/titles&gt;&lt;periodical&gt;&lt;full-title&gt;Frontiers in Neuroscience&lt;/full-title&gt;&lt;/periodical&gt;&lt;pages&gt;1509543&lt;/pages&gt;&lt;volume&gt;18&lt;/volume&gt;&lt;dates&gt;&lt;year&gt;2025&lt;/year&gt;&lt;/dates&gt;&lt;isbn&gt;1662-453X&lt;/isbn&gt;&lt;urls&gt;&lt;/urls&gt;&lt;/record&gt;&lt;/Cite&gt;&lt;Cite&gt;&lt;Author&gt;Zhang&lt;/Author&gt;&lt;Year&gt;2022&lt;/Year&gt;&lt;RecNum&gt;79&lt;/RecNum&gt;&lt;record&gt;&lt;rec-number&gt;79&lt;/rec-number&gt;&lt;foreign-keys&gt;&lt;key app="EN" db-id="z0p200za82p09bet59b5pffv9xax0aw0tdpa" timestamp="1765943860"&gt;79&lt;/key&gt;&lt;/foreign-keys&gt;&lt;ref-type name="Journal Article"&gt;17&lt;/ref-type&gt;&lt;contributors&gt;&lt;authors&gt;&lt;author&gt;Zhang, Yi&lt;/author&gt;&lt;author&gt;Zhang, Meng&lt;/author&gt;&lt;/authors&gt;&lt;/contributors&gt;&lt;titles&gt;&lt;title&gt;Neuroprotective effects of Morinda officinalis How.: Anti-inflammatory and antioxidant roles in Alzheimer’s disease&lt;/title&gt;&lt;secondary-title&gt;Frontiers in Aging Neuroscience&lt;/secondary-title&gt;&lt;/titles&gt;&lt;periodical&gt;&lt;full-title&gt;Frontiers in aging neuroscience&lt;/full-title&gt;&lt;/periodical&gt;&lt;pages&gt;963041&lt;/pages&gt;&lt;volume&gt;14&lt;/volume&gt;&lt;dates&gt;&lt;year&gt;2022&lt;/year&gt;&lt;/dates&gt;&lt;isbn&gt;1663-4365&lt;/isbn&gt;&lt;urls&gt;&lt;/urls&gt;&lt;/record&gt;&lt;/Cite&gt;&lt;/EndNote&gt;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[5</w:t>
      </w:r>
      <w:r w:rsidR="00297440"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eastAsia="ja-JP"/>
        </w:rPr>
        <w:t>,</w:t>
      </w:r>
      <w:r w:rsidR="00297440"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eastAsia="ja-JP"/>
        </w:rPr>
        <w:t>21]</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Furthermore, ethanolic extracts of MO have been reported to reduce amyloid burden and improve cognitive performance in APP/PS1 transgenic mice, supporting a direct role of MO in modulating AD-related pathology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&lt;EndNote&gt;&lt;Cite&gt;&lt;Author&gt;Xin&lt;/Author&gt;&lt;Year&gt;2018&lt;/Year&gt;&lt;RecNum&gt;80&lt;/RecNum&gt;&lt;DisplayText&gt;[6]&lt;/DisplayText&gt;&lt;record&gt;&lt;rec-number&gt;80&lt;/rec-number&gt;&lt;foreign-keys&gt;&lt;key app="EN" db-id="z0p200za82p09bet59b5pffv9xax0aw0tdpa" timestamp="1765943902"&gt;80&lt;/key&gt;&lt;/foreign-keys&gt;&lt;ref-type name="Journal Article"&gt;17&lt;/ref-type&gt;&lt;contributors&gt;&lt;authors&gt;&lt;author&gt;Xin, Yang&lt;/author&gt;&lt;author&gt;Diling, Chen&lt;/author&gt;&lt;author&gt;Jian, Yang&lt;/author&gt;&lt;author&gt;Ting, Liu&lt;/author&gt;&lt;author&gt;Guoyan, Hu&lt;/author&gt;&lt;author&gt;Hualun, Liang&lt;/author&gt;&lt;author&gt;Xiaocui, Tang&lt;/author&gt;&lt;author&gt;Guoxiao, Lai&lt;/author&gt;&lt;author&gt;Ou, Shuai&lt;/author&gt;&lt;author&gt;Chaoqun, Zheng&lt;/author&gt;&lt;/authors&gt;&lt;/contributors&gt;&lt;titles&gt;&lt;title&gt;Effects of oligosaccharides from Morinda officinalis on gut microbiota and metabolome of APP/PS1 transgenic mice&lt;/title&gt;&lt;secondary-title&gt;Frontiers in Neurology&lt;/secondary-title&gt;&lt;/titles&gt;&lt;periodical&gt;&lt;full-title&gt;Frontiers in Neurology&lt;/full-title&gt;&lt;/periodical&gt;&lt;pages&gt;412&lt;/pages&gt;&lt;volume&gt;9&lt;/volume&gt;&lt;dates&gt;&lt;year&gt;2018&lt;/year&gt;&lt;/dates&gt;&lt;isbn&gt;1664-2295&lt;/isbn&gt;&lt;urls&gt;&lt;/urls&gt;&lt;/record&gt;&lt;/Cite&gt;&lt;/EndNote&gt;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0AF8A364" w14:textId="77777777"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concordance between the present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findings and mammalian data suggests that MO influences evolutionarily conserved molecular pathways governing learning and memory. Rather than acting through a single </w:t>
      </w:r>
      <w:r w:rsidRPr="005E6B7C">
        <w:rPr>
          <w:rFonts w:asciiTheme="majorHAnsi" w:eastAsia="Yu Mincho" w:hAnsiTheme="majorHAnsi" w:cstheme="majorHAnsi"/>
          <w:color w:val="000000" w:themeColor="text1"/>
          <w:sz w:val="22"/>
          <w:szCs w:val="22"/>
          <w:lang w:eastAsia="ja-JP"/>
        </w:rPr>
        <w:lastRenderedPageBreak/>
        <w:t xml:space="preserve">molecular target, MO appears to exert neuroprotective effects via coordinated modulation of cholinergic neurotransmission, reinforcement of endogenous antioxidant defense systems, and activation of neurotrophic signaling cascades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&lt;EndNote&gt;&lt;Cite&gt;&lt;Author&gt;Howes&lt;/Author&gt;&lt;Year&gt;2003&lt;/Year&gt;&lt;RecNum&gt;77&lt;/RecNum&gt;&lt;DisplayText&gt;[20]&lt;/DisplayText&gt;&lt;record&gt;&lt;rec-number&gt;77&lt;/rec-number&gt;&lt;foreign-keys&gt;&lt;key app="EN" db-id="z0p200za82p09bet59b5pffv9xax0aw0tdpa" timestamp="1765943585"&gt;77&lt;/key&gt;&lt;/foreign-keys&gt;&lt;ref-type name="Journal Article"&gt;17&lt;/ref-type&gt;&lt;contributors&gt;&lt;authors&gt;&lt;author&gt;Howes, Melanie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Jayne R&lt;/author&gt;&lt;author&gt;Perry, Nicolette SL&lt;/author&gt;&lt;author&gt;Houghton, Peter J&lt;/author&gt;&lt;/authors&gt;&lt;/contributors&gt;&lt;titles&gt;&lt;title&gt;Plants with traditional uses and activities, relevant to the management of Alzheimer&amp;apos;s disease and other cognitive disorders&lt;/title&gt;&lt;secondary-title&gt;Phytotherapy research: An international journal devoted to pharmacological and toxicological evaluation of natural product derivatives&lt;/secondary-title&gt;&lt;/titles&gt;&lt;periodical&gt;&lt;full-title&gt;Phytotherapy research: An international journal devoted to pharmacological and toxicological evaluation of natural product derivatives&lt;/full-title&gt;&lt;/periodical&gt;&lt;pages&gt;1-18&lt;/pages&gt;&lt;volume&gt;17&lt;/volume&gt;&lt;number&gt;1&lt;/number&gt;&lt;dates&gt;&lt;year&gt;2003&lt;/year&gt;&lt;/dates&gt;&lt;isbn&gt;0951-418X&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[20]</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7FA0D963" w14:textId="77777777"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APP-expressing flies displayed pronounced locomotor deficits, reflecting neuromuscular dysfunction commonly observed in Alzheimer’s disease models. Accumulation of APP/Aβ has been shown to induce synaptic degeneration and disruption of motor circuits in </w:t>
      </w:r>
      <w:r w:rsidRPr="005E6B7C">
        <w:rPr>
          <w:rFonts w:asciiTheme="majorHAnsi" w:eastAsia="Yu Mincho" w:hAnsiTheme="majorHAnsi" w:cstheme="majorHAnsi"/>
          <w:i/>
          <w:iCs/>
          <w:color w:val="000000" w:themeColor="text1"/>
          <w:spacing w:val="4"/>
          <w:sz w:val="22"/>
          <w:szCs w:val="22"/>
          <w:lang w:eastAsia="ja-JP"/>
        </w:rPr>
        <w:t>Drosophila</w:t>
      </w:r>
      <w:r w:rsidRPr="005E6B7C">
        <w:rPr>
          <w:rFonts w:asciiTheme="majorHAnsi" w:eastAsia="Yu Mincho" w:hAnsiTheme="majorHAnsi" w:cstheme="majorHAnsi"/>
          <w:color w:val="000000" w:themeColor="text1"/>
          <w:spacing w:val="4"/>
          <w:sz w:val="22"/>
          <w:szCs w:val="22"/>
          <w:lang w:eastAsia="ja-JP"/>
        </w:rPr>
        <w:t>, rendering locomotor activity</w:t>
      </w:r>
      <w:r w:rsidRPr="005E6B7C">
        <w:rPr>
          <w:rFonts w:asciiTheme="majorHAnsi" w:eastAsia="Yu Mincho" w:hAnsiTheme="majorHAnsi" w:cstheme="majorHAnsi"/>
          <w:color w:val="000000" w:themeColor="text1"/>
          <w:spacing w:val="4"/>
          <w:sz w:val="22"/>
          <w:szCs w:val="22"/>
          <w:lang w:val="vi-VN" w:eastAsia="ja-JP"/>
        </w:rPr>
        <w:t>,</w:t>
      </w:r>
      <w:r w:rsidRPr="005E6B7C">
        <w:rPr>
          <w:rFonts w:asciiTheme="majorHAnsi" w:eastAsia="Yu Mincho" w:hAnsiTheme="majorHAnsi" w:cstheme="majorHAnsi"/>
          <w:color w:val="000000" w:themeColor="text1"/>
          <w:spacing w:val="4"/>
          <w:sz w:val="22"/>
          <w:szCs w:val="22"/>
          <w:lang w:eastAsia="ja-JP"/>
        </w:rPr>
        <w:t xml:space="preserve"> a relevant behavioral readout for neurodegenerative progression and therapeutic intervention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&lt;EndNote&gt;&lt;Cite&gt;&lt;Author&gt;Iijima&lt;/Author&gt;&lt;Year&gt;2004&lt;/Year&gt;&lt;RecNum&gt;82&lt;/RecNum&gt;&lt;DisplayText&gt;[22, 23]&lt;/DisplayText&gt;&lt;record&gt;&lt;rec-number&gt;82&lt;/rec-number&gt;&lt;foreign-keys&gt;&lt;key app="EN" db-id="z0p200za82p09bet59b5pffv9xax0aw0tdpa" timestamp="1765944128"&gt;82&lt;/key&gt;&lt;/foreign-keys&gt;&lt;ref-type name="Journal Article"&gt;17&lt;/ref-type&gt;&lt;contributors&gt;&lt;authors&gt;&lt;author&gt;Iijima, Koichi&lt;/author&gt;&lt;author&gt;Liu, Hsin-Ping&lt;/author&gt;&lt;author&gt;Chiang, Ann-Shyn&lt;/author&gt;&lt;author&gt;Hearn, Stephen A&lt;/author&gt;&lt;author&gt;Konsolaki, Mary&lt;/author&gt;&lt;author&gt;Zhong, Yi&lt;/author&gt;&lt;/authors&gt;&lt;/contributors&gt;&lt;titles&gt;&lt;title&gt;Dissecting the pathological effects of human Aβ40 and Aβ42 in Drosophila: a potential model for Alzheimer&amp;apos;s disease&lt;/title&gt;&lt;secondary-title&gt;Proceedings of the National Academy of Sciences&lt;/secondary-title&gt;&lt;/titles&gt;&lt;periodical&gt;&lt;full-title&gt;Proceedings of the National Academy of Sciences&lt;/full-title&gt;&lt;/periodical&gt;&lt;pages&gt;6623-6628&lt;/pages&gt;&lt;volume&gt;101&lt;/volume&gt;&lt;number&gt;17&lt;/number&gt;&lt;dates&gt;&lt;year&gt;2004&lt;/year&gt;&lt;/dates&gt;&lt;isbn&gt;0027-8424&lt;/isbn&gt;&lt;urls&gt;&lt;/urls&gt;&lt;/record&gt;&lt;/Cite&gt;&lt;Cite&gt;&lt;Author&gt;Crowther&lt;/Author&gt;&lt;Year&gt;2005&lt;/Year&gt;&lt;RecNum&gt;83&lt;/RecNum&gt;&lt;record&gt;&lt;rec-number&gt;83&lt;/rec-number&gt;&lt;foreign-keys&gt;&lt;key app="EN" db-id="z0p200za82p09bet59b5pffv9xax0aw0tdpa" timestamp="1765944179"&gt;83&lt;/key&gt;&lt;/foreign-keys&gt;&lt;ref-type name="Journal Article"&gt;17&lt;/ref-type&gt;&lt;contributors&gt;&lt;authors&gt;&lt;author&gt;Crowther, D.C.&lt;/author&gt;&lt;author&gt;Kinghorn, K.J.&lt;/author&gt;&lt;author&gt;Miranda, E.&lt;/author&gt;&lt;author&gt;Page, R.&lt;/author&gt;&lt;author&gt;Curry, J.A.&lt;/author&gt;&lt;author&gt;Duthie, F.A.I.&lt;/author&gt;&lt;author&gt;Gubb, D.C.&lt;/author&gt;&lt;author&gt;Lomas, D.A.&lt;/author&gt;&lt;/authors&gt;&lt;/contributors&gt;&lt;titles&gt;&lt;title&gt;Intraneuronal Aβ, non-amyloid aggregates and neurodegeneration in a Drosophila model of Alzheimer’s disease&lt;/title&gt;&lt;secondary-title&gt;Neuroscience&lt;/secondary-title&gt;&lt;/titles&gt;&lt;periodical&gt;&lt;full-title&gt;Neuroscience&lt;/full-title&gt;&lt;/periodical&gt;&lt;pages&gt;123-135&lt;/pages&gt;&lt;volume&gt;132&lt;/volume&gt;&lt;number&gt;1&lt;/number&gt;&lt;dates&gt;&lt;year&gt;2005&lt;/year&gt;&lt;/dates&gt;&lt;isbn&gt;0306-4522&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[22],[23]</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 xml:space="preserve">. The most efficacious MO fractions are likely enriched in hydrophobic constituents with antioxidant and neuroprotective properties, and attenuation of oxidative stress and mitochondrial dysfunction may directly underlie the observed improvements in neuromuscular function </w:t>
      </w:r>
      <w:r w:rsidRPr="005E6B7C">
        <w:rPr>
          <w:rFonts w:asciiTheme="majorHAnsi" w:eastAsia="Yu Mincho" w:hAnsiTheme="majorHAnsi" w:cstheme="majorHAnsi"/>
          <w:color w:val="000000" w:themeColor="text1"/>
          <w:spacing w:val="4"/>
          <w:sz w:val="22"/>
          <w:szCs w:val="22"/>
          <w:lang w:eastAsia="ja-JP"/>
        </w:rPr>
        <w:fldChar w:fldCharType="begin"/>
      </w:r>
      <w:r w:rsidRPr="005E6B7C">
        <w:rPr>
          <w:rFonts w:asciiTheme="majorHAnsi" w:eastAsia="Yu Mincho" w:hAnsiTheme="majorHAnsi" w:cstheme="majorHAnsi"/>
          <w:color w:val="000000" w:themeColor="text1"/>
          <w:spacing w:val="4"/>
          <w:sz w:val="22"/>
          <w:szCs w:val="22"/>
          <w:lang w:eastAsia="ja-JP"/>
        </w:rPr>
        <w:instrText xml:space="preserve"> ADDIN EN.CITE &lt;EndNote&gt;&lt;Cite&gt;&lt;Author&gt;Iijima-Ando&lt;/Author&gt;&lt;Year&gt;2010&lt;/Year&gt;&lt;RecNum&gt;84&lt;/RecNum&gt;&lt;DisplayText&gt;[24]&lt;/DisplayText&gt;&lt;record&gt;&lt;rec-number&gt;84&lt;/rec-number&gt;&lt;foreign-keys&gt;&lt;key app="EN" db-id="z0p200za82p09bet59b5pffv9xax0aw0tdpa" timestamp="1765944397"&gt;84&lt;/key&gt;&lt;/foreign-keys&gt;&lt;ref-type name="Journal Article"&gt;17&lt;/ref-type&gt;&lt;contributors&gt;&lt;authors&gt;&lt;author&gt;Iijima-Ando, Kanae&lt;/author&gt;&lt;author&gt;Iijima, Koichi&lt;/author&gt;&lt;/authors&gt;&lt;/contributors&gt;&lt;titles&gt;&lt;title&gt;Transgenic Drosophila models of Alzheimer’s disease and tauopathies&lt;/title&gt;&lt;secondary-title&gt;Brain Structure and Function&lt;/secondary-title&gt;&lt;/titles&gt;&lt;periodical&gt;&lt;full-title&gt;Brain Structure and Function&lt;/full-title&gt;&lt;/periodical&gt;&lt;pages&gt;245-262&lt;/pages&gt;&lt;volume&gt;214&lt;/volume&gt;&lt;number&gt;2&lt;/number&gt;&lt;dates&gt;&lt;year&gt;2010&lt;/year&gt;&lt;/dates&gt;&lt;isbn&gt;1863-2653&lt;/isbn&gt;&lt;urls&gt;&lt;/urls&gt;&lt;/record&gt;&lt;/Cite&gt;&lt;/EndNote&gt;</w:instrText>
      </w:r>
      <w:r w:rsidRPr="005E6B7C">
        <w:rPr>
          <w:rFonts w:asciiTheme="majorHAnsi" w:eastAsia="Yu Mincho" w:hAnsiTheme="majorHAnsi" w:cstheme="majorHAnsi"/>
          <w:color w:val="000000" w:themeColor="text1"/>
          <w:spacing w:val="4"/>
          <w:sz w:val="22"/>
          <w:szCs w:val="22"/>
          <w:lang w:eastAsia="ja-JP"/>
        </w:rPr>
        <w:fldChar w:fldCharType="separate"/>
      </w:r>
      <w:r w:rsidRPr="005E6B7C">
        <w:rPr>
          <w:rFonts w:asciiTheme="majorHAnsi" w:eastAsia="Yu Mincho" w:hAnsiTheme="majorHAnsi" w:cstheme="majorHAnsi"/>
          <w:noProof/>
          <w:color w:val="000000" w:themeColor="text1"/>
          <w:spacing w:val="4"/>
          <w:sz w:val="22"/>
          <w:szCs w:val="22"/>
          <w:lang w:eastAsia="ja-JP"/>
        </w:rPr>
        <w:t>[24]</w:t>
      </w:r>
      <w:r w:rsidRPr="005E6B7C">
        <w:rPr>
          <w:rFonts w:asciiTheme="majorHAnsi" w:eastAsia="Yu Mincho" w:hAnsiTheme="majorHAnsi" w:cstheme="majorHAnsi"/>
          <w:color w:val="000000" w:themeColor="text1"/>
          <w:spacing w:val="4"/>
          <w:sz w:val="22"/>
          <w:szCs w:val="22"/>
          <w:lang w:eastAsia="ja-JP"/>
        </w:rPr>
        <w:fldChar w:fldCharType="end"/>
      </w:r>
      <w:r w:rsidRPr="005E6B7C">
        <w:rPr>
          <w:rFonts w:asciiTheme="majorHAnsi" w:eastAsia="Yu Mincho" w:hAnsiTheme="majorHAnsi" w:cstheme="majorHAnsi"/>
          <w:color w:val="000000" w:themeColor="text1"/>
          <w:spacing w:val="4"/>
          <w:sz w:val="22"/>
          <w:szCs w:val="22"/>
          <w:lang w:eastAsia="ja-JP"/>
        </w:rPr>
        <w:t>.</w:t>
      </w:r>
    </w:p>
    <w:p w14:paraId="58C0B5A8" w14:textId="77777777"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addition to behavioral abnormalities, APP-expressing flies exhibited a significant reduction in lifespan. Administration of MOE and MOB markedly prolonged median lifespan, consistent with previous findings indicating that suppression of oxidative stress and preservation of mitochondrial integrity can delay neurodegeneration and extend survival in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models of AD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&lt;EndNote&gt;&lt;Cite&gt;&lt;Author&gt;Iijima-Ando&lt;/Author&gt;&lt;Year&gt;2010&lt;/Year&gt;&lt;RecNum&gt;84&lt;/RecNum&gt;&lt;DisplayText&gt;[24]&lt;/DisplayText&gt;&lt;record&gt;&lt;rec-number&gt;84&lt;/rec-number&gt;&lt;foreign-keys&gt;&lt;key app="EN" db-id="z0p200za82p09bet59b5pffv9xax0aw0tdpa" timestamp="1765944397"&gt;84&lt;/key&gt;&lt;/foreign-keys&gt;&lt;ref-type name="Journal Article"&gt;17&lt;/ref-type&gt;&lt;contributors&gt;&lt;authors&gt;&lt;author&gt;Iijima-Ando, Kanae&lt;/author&gt;&lt;author&gt;Iijima, Koichi&lt;/author&gt;&lt;/authors&gt;&lt;/contributors&gt;&lt;titles&gt;&lt;title&gt;Transgenic Drosophila models of Alzheimer’s disease and tauopathies&lt;/title&gt;&lt;secondary-title&gt;Brain Structure and Function&lt;/secondary-title&gt;&lt;/titles&gt;&lt;periodical&gt;&lt;full-title&gt;Brain Structure and Function&lt;/full-title&gt;&lt;/periodical&gt;&lt;pages&gt;245-262&lt;/pages&gt;&lt;volume&gt;214&lt;/volume&gt;&lt;number&gt;2&lt;/number&gt;&lt;dates&gt;&lt;year&gt;2010&lt;/year&gt;&lt;/dates&gt;&lt;isbn&gt;1863-2653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[24]</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APP expression has been shown to increase the production of reactive oxygen species (ROS), particularly in the mitochondria of motor neurons. The accumulation of ROS can disrupt mitochondrial function, reduce ATP production, and impair the activity of neuromuscular junctions (NMJs), ultimately leading to locomotor dysfunction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&lt;EndNote&gt;&lt;Cite&gt;&lt;Author&gt;Stavrovskaya&lt;/Author&gt;&lt;Year&gt;2025&lt;/Year&gt;&lt;RecNum&gt;87&lt;/RecNum&gt;&lt;DisplayText&gt;[25]&lt;/DisplayText&gt;&lt;record&gt;&lt;rec-number&gt;87&lt;/rec-number&gt;&lt;foreign-keys&gt;&lt;key app="EN" db-id="z0p200za82p09bet59b5pffv9xax0aw0tdpa" timestamp="1772785394"&gt;87&lt;/key&gt;&lt;/foreign-keys&gt;&lt;ref-type name="Journal Article"&gt;17&lt;/ref-type&gt;&lt;contributors&gt;&lt;authors&gt;&lt;author&gt;Stavrovskaya, Irina&lt;/author&gt;&lt;author&gt;Morin, Bethany Kristi&lt;/author&gt;&lt;author&gt;Madamba, Stephen&lt;/author&gt;&lt;author&gt;Alexander, Cliyahnelle&lt;/author&gt;&lt;author&gt;Romano, Alexis&lt;/author&gt;&lt;author&gt;Alam, Samia&lt;/author&gt;&lt;author&gt;Pavlov, Lucas&lt;/author&gt;&lt;author&gt;Mitaishvili, Erna&lt;/author&gt;&lt;author&gt;Peixoto, Pablo M&lt;/author&gt;&lt;/authors&gt;&lt;/contributors&gt;&lt;titles&gt;&lt;title&gt;Mitochondrial ROS modulate presynaptic plasticity in the drosophila neuromuscular junction&lt;/title&gt;&lt;secondary-title&gt;Redox Biology&lt;/secondary-title&gt;&lt;/titles&gt;&lt;periodical&gt;&lt;full-title&gt;Redox Biology&lt;/full-title&gt;&lt;/periodical&gt;&lt;pages&gt;103474&lt;/pages&gt;&lt;volume&gt;79&lt;/volume&gt;&lt;dates&gt;&lt;year&gt;2025&lt;/year&gt;&lt;/dates&gt;&lt;isbn&gt;2213-2317&lt;/isbn&gt;&lt;urls&gt;&lt;/urls&gt;&lt;/record&gt;&lt;/Cite&gt;&lt;/EndNote&gt;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[25]</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xml:space="preserve">. MDA is a major end-product of lipid peroxidation and is widely used as a biomarker reflecting oxidative damage to cellular and mitochondrial membranes caused by ROS. In the present study, treatment with MOE significantly reduced MDA levels, indicating an attenuation of oxidative stress and protection of cellular and mitochondrial membrane integrity. The reduction of oxidative damage at NMJs may help preserve mitochondrial </w:t>
      </w:r>
      <w:r w:rsidRPr="005E6B7C">
        <w:rPr>
          <w:rFonts w:asciiTheme="majorHAnsi" w:eastAsia="Yu Mincho" w:hAnsiTheme="majorHAnsi" w:cstheme="majorHAnsi"/>
          <w:color w:val="000000" w:themeColor="text1"/>
          <w:sz w:val="22"/>
          <w:szCs w:val="22"/>
          <w:lang w:eastAsia="ja-JP"/>
        </w:rPr>
        <w:t xml:space="preserve">function and neuromuscular transmission, thereby contributing to the improvement of locomotor performance observed in flies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&lt;EndNote&gt;&lt;Cite&gt;&lt;Author&gt;Chai&lt;/Author&gt;&lt;Year&gt;2026&lt;/Year&gt;&lt;RecNum&gt;88&lt;/RecNum&gt;&lt;DisplayText&gt;[26]&lt;/DisplayText&gt;&lt;record&gt;&lt;rec-number&gt;88&lt;/rec-number&gt;&lt;foreign-keys&gt;&lt;key app="EN" db-id="z0p200za82p09bet59b5pffv9xax0aw0tdpa" timestamp="1772785544"&gt;88&lt;/key&gt;&lt;/foreign-keys&gt;&lt;ref-type name="Journal Article"&gt;17&lt;/ref-type&gt;&lt;contributors&gt;&lt;authors&gt;&lt;author&gt;Chai, Senlin&lt;/author&gt;&lt;author&gt;Zhang, Ning&lt;/author&gt;&lt;author&gt;Cui, Can&lt;/author&gt;&lt;author&gt;Bao, Zhengyuan&lt;/author&gt;&lt;author&gt;Wang, Qianjin&lt;/author&gt;&lt;author&gt;Lin, Wujian&lt;/author&gt;&lt;author&gt;Wong, Ronald Man Yeung&lt;/author&gt;&lt;author&gt;Law, Sheung Wai&lt;/author&gt;&lt;author&gt;Schönmehl, Rebecca&lt;/author&gt;&lt;author&gt;Brochhausen, Christoph&lt;/author&gt;&lt;/authors&gt;&lt;/contributors&gt;&lt;titles&gt;&lt;title&gt;Systematic review of mitochondrial dysfunction and oxidative stress in aging: A focus on neuromuscular junctions&lt;/title&gt;&lt;secondary-title&gt;Neural Regeneration Research&lt;/secondary-title&gt;&lt;/titles&gt;&lt;periodical&gt;&lt;full-title&gt;Neural Regeneration Research&lt;/full-title&gt;&lt;/periodical&gt;&lt;pages&gt;1947-1960&lt;/pages&gt;&lt;volume&gt;21&lt;/volume&gt;&lt;number&gt;5&lt;/number&gt;&lt;dates&gt;&lt;year&gt;2026&lt;/year&gt;&lt;/dates&gt;&lt;isbn&gt;1673-5374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[26]</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In contrast, tacrine treatment produced transient improvements in behavioral performance and oxidative stress markers but failed to extend lifespan upon prolonged exposure, consistent with its recognized limitations in long-term use and poor tolerability.</w:t>
      </w:r>
    </w:p>
    <w:p w14:paraId="7405D042" w14:textId="110009FE"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Despite these promising findings, several limitations should be addressed. The present study was conducted in a transgenic </w:t>
      </w:r>
      <w:r w:rsidRPr="005E6B7C">
        <w:rPr>
          <w:rFonts w:asciiTheme="majorHAnsi" w:eastAsia="Yu Mincho" w:hAnsiTheme="majorHAnsi" w:cstheme="majorHAnsi"/>
          <w:i/>
          <w:color w:val="000000" w:themeColor="text1"/>
          <w:sz w:val="22"/>
          <w:szCs w:val="22"/>
          <w:lang w:eastAsia="ja-JP"/>
        </w:rPr>
        <w:t>Drosophila melanogaster</w:t>
      </w:r>
      <w:r w:rsidRPr="005E6B7C">
        <w:rPr>
          <w:rFonts w:asciiTheme="majorHAnsi" w:eastAsia="Yu Mincho" w:hAnsiTheme="majorHAnsi" w:cstheme="majorHAnsi"/>
          <w:color w:val="000000" w:themeColor="text1"/>
          <w:sz w:val="22"/>
          <w:szCs w:val="22"/>
          <w:lang w:eastAsia="ja-JP"/>
        </w:rPr>
        <w:t xml:space="preserve"> model, which </w:t>
      </w:r>
      <w:r w:rsidR="006F59ED" w:rsidRPr="005E6B7C">
        <w:rPr>
          <w:rFonts w:asciiTheme="majorHAnsi" w:eastAsia="Yu Mincho" w:hAnsiTheme="majorHAnsi" w:cstheme="majorHAnsi"/>
          <w:color w:val="000000" w:themeColor="text1"/>
          <w:sz w:val="22"/>
          <w:szCs w:val="22"/>
          <w:lang w:eastAsia="ja-JP"/>
        </w:rPr>
        <w:t>does</w:t>
      </w:r>
      <w:r w:rsidR="006F59ED"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not fully reflect the complexity of AD in mammalian systems. In addition, the study primarily focused on behavioral outcomes and oxidative stress markers, while the precise molecular mechanisms underlying the neuroprotective effects of </w:t>
      </w:r>
      <w:r w:rsidRPr="005E6B7C">
        <w:rPr>
          <w:rFonts w:asciiTheme="majorHAnsi" w:eastAsia="Yu Mincho" w:hAnsiTheme="majorHAnsi" w:cstheme="majorHAnsi"/>
          <w:i/>
          <w:color w:val="000000" w:themeColor="text1"/>
          <w:sz w:val="22"/>
          <w:szCs w:val="22"/>
          <w:lang w:eastAsia="ja-JP"/>
        </w:rPr>
        <w:t>M. officinalis</w:t>
      </w:r>
      <w:r w:rsidRPr="005E6B7C">
        <w:rPr>
          <w:rFonts w:asciiTheme="majorHAnsi" w:eastAsia="Yu Mincho" w:hAnsiTheme="majorHAnsi" w:cstheme="majorHAnsi"/>
          <w:color w:val="000000" w:themeColor="text1"/>
          <w:sz w:val="22"/>
          <w:szCs w:val="22"/>
          <w:lang w:eastAsia="ja-JP"/>
        </w:rPr>
        <w:t xml:space="preserve"> extracts remain unclear. Therefore, future studies should investigate the specific signaling pathways involved and identify the active compounds contributing to these effects, as well as further validate the findings in experimental mouse models.</w:t>
      </w:r>
    </w:p>
    <w:p w14:paraId="1E137934" w14:textId="77777777"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5. Conclusion</w:t>
      </w:r>
    </w:p>
    <w:p w14:paraId="6C1D71DE" w14:textId="77777777" w:rsidR="00E049CB"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study demonstrates that </w:t>
      </w:r>
      <w:r w:rsidRPr="005E6B7C">
        <w:rPr>
          <w:rFonts w:asciiTheme="majorHAnsi" w:eastAsia="Yu Mincho" w:hAnsiTheme="majorHAnsi" w:cstheme="majorHAnsi"/>
          <w:i/>
          <w:iCs/>
          <w:color w:val="000000" w:themeColor="text1"/>
          <w:sz w:val="22"/>
          <w:szCs w:val="22"/>
          <w:lang w:eastAsia="ja-JP"/>
        </w:rPr>
        <w:t>M. officinalis</w:t>
      </w:r>
      <w:r w:rsidRPr="005E6B7C">
        <w:rPr>
          <w:rFonts w:asciiTheme="majorHAnsi" w:eastAsia="Yu Mincho" w:hAnsiTheme="majorHAnsi" w:cstheme="majorHAnsi"/>
          <w:color w:val="000000" w:themeColor="text1"/>
          <w:sz w:val="22"/>
          <w:szCs w:val="22"/>
          <w:lang w:eastAsia="ja-JP"/>
        </w:rPr>
        <w:t xml:space="preserve"> How. root extracts, particularly the 50% ethanolic extract and the </w:t>
      </w:r>
      <w:r w:rsidRPr="005E6B7C">
        <w:rPr>
          <w:rFonts w:asciiTheme="majorHAnsi" w:eastAsia="Yu Mincho" w:hAnsiTheme="majorHAnsi" w:cstheme="majorHAnsi"/>
          <w:i/>
          <w:iCs/>
          <w:color w:val="000000" w:themeColor="text1"/>
          <w:sz w:val="22"/>
          <w:szCs w:val="22"/>
          <w:lang w:eastAsia="ja-JP"/>
        </w:rPr>
        <w:t>n</w:t>
      </w:r>
      <w:r w:rsidRPr="005E6B7C">
        <w:rPr>
          <w:rFonts w:asciiTheme="majorHAnsi" w:eastAsia="Yu Mincho" w:hAnsiTheme="majorHAnsi" w:cstheme="majorHAnsi"/>
          <w:iCs/>
          <w:color w:val="000000" w:themeColor="text1"/>
          <w:sz w:val="22"/>
          <w:szCs w:val="22"/>
          <w:lang w:eastAsia="ja-JP"/>
        </w:rPr>
        <w:t>-butanol</w:t>
      </w:r>
      <w:r w:rsidRPr="005E6B7C">
        <w:rPr>
          <w:rFonts w:asciiTheme="majorHAnsi" w:eastAsia="Yu Mincho" w:hAnsiTheme="majorHAnsi" w:cstheme="majorHAnsi"/>
          <w:color w:val="000000" w:themeColor="text1"/>
          <w:sz w:val="22"/>
          <w:szCs w:val="22"/>
          <w:lang w:eastAsia="ja-JP"/>
        </w:rPr>
        <w:t xml:space="preserve"> fraction, significantly mitigate AD-like phenotypes in a transgenic </w:t>
      </w:r>
      <w:r w:rsidRPr="005E6B7C">
        <w:rPr>
          <w:rFonts w:asciiTheme="majorHAnsi" w:eastAsia="Yu Mincho" w:hAnsiTheme="majorHAnsi" w:cstheme="majorHAnsi"/>
          <w:i/>
          <w:iCs/>
          <w:color w:val="000000" w:themeColor="text1"/>
          <w:sz w:val="22"/>
          <w:szCs w:val="22"/>
          <w:lang w:eastAsia="ja-JP"/>
        </w:rPr>
        <w:t>Drosophila</w:t>
      </w:r>
      <w:r w:rsidRPr="005E6B7C">
        <w:rPr>
          <w:rFonts w:asciiTheme="majorHAnsi" w:eastAsia="Yu Mincho" w:hAnsiTheme="majorHAnsi" w:cstheme="majorHAnsi"/>
          <w:color w:val="000000" w:themeColor="text1"/>
          <w:sz w:val="22"/>
          <w:szCs w:val="22"/>
          <w:lang w:eastAsia="ja-JP"/>
        </w:rPr>
        <w:t xml:space="preserve"> model expressing human APP. MO treatment improved associative memory and locomotor function, extended lifespan, reduced oxidative stress, and moderately inhibited acetylcholinesterase activity. Overall, these findings suggest that </w:t>
      </w:r>
      <w:r w:rsidRPr="005E6B7C">
        <w:rPr>
          <w:rFonts w:asciiTheme="majorHAnsi" w:eastAsia="Yu Mincho" w:hAnsiTheme="majorHAnsi" w:cstheme="majorHAnsi"/>
          <w:i/>
          <w:color w:val="000000" w:themeColor="text1"/>
          <w:sz w:val="22"/>
          <w:szCs w:val="22"/>
          <w:lang w:eastAsia="ja-JP"/>
        </w:rPr>
        <w:t>M. officinalis</w:t>
      </w:r>
      <w:r w:rsidRPr="005E6B7C">
        <w:rPr>
          <w:rFonts w:asciiTheme="majorHAnsi" w:eastAsia="Yu Mincho" w:hAnsiTheme="majorHAnsi" w:cstheme="majorHAnsi"/>
          <w:color w:val="000000" w:themeColor="text1"/>
          <w:sz w:val="22"/>
          <w:szCs w:val="22"/>
          <w:lang w:eastAsia="ja-JP"/>
        </w:rPr>
        <w:t xml:space="preserve"> ameliorates memory impairment in experimental models of AD, indicating its potential for further investigation as a botanical therapeutic candidate.</w:t>
      </w:r>
    </w:p>
    <w:p w14:paraId="40A63168" w14:textId="77777777" w:rsidR="00182B33" w:rsidRPr="005E6B7C" w:rsidRDefault="00E049CB" w:rsidP="008C0D47">
      <w:pPr>
        <w:tabs>
          <w:tab w:val="left" w:pos="270"/>
          <w:tab w:val="left" w:pos="540"/>
          <w:tab w:val="left" w:pos="9270"/>
        </w:tabs>
        <w:spacing w:line="258" w:lineRule="exact"/>
        <w:ind w:firstLine="284"/>
        <w:jc w:val="both"/>
        <w:rPr>
          <w:rFonts w:asciiTheme="majorHAnsi" w:eastAsia="Yu Mincho" w:hAnsiTheme="majorHAnsi" w:cstheme="majorHAnsi"/>
          <w:i/>
          <w:iCs/>
          <w:color w:val="000000" w:themeColor="text1"/>
          <w:sz w:val="20"/>
          <w:szCs w:val="20"/>
          <w:lang w:eastAsia="ja-JP"/>
        </w:rPr>
        <w:sectPr w:rsidR="00182B33" w:rsidRPr="005E6B7C" w:rsidSect="00182B33">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bCs/>
          <w:iCs/>
          <w:color w:val="000000" w:themeColor="text1"/>
          <w:sz w:val="20"/>
          <w:szCs w:val="20"/>
          <w:lang w:eastAsia="ja-JP"/>
        </w:rPr>
        <w:t>Acknowledgements:</w:t>
      </w:r>
      <w:r w:rsidRPr="005E6B7C">
        <w:rPr>
          <w:rFonts w:asciiTheme="majorHAnsi" w:eastAsia="Yu Mincho" w:hAnsiTheme="majorHAnsi" w:cstheme="majorHAnsi"/>
          <w:b/>
          <w:bCs/>
          <w:i/>
          <w:color w:val="000000" w:themeColor="text1"/>
          <w:sz w:val="20"/>
          <w:szCs w:val="20"/>
          <w:lang w:eastAsia="ja-JP"/>
        </w:rPr>
        <w:t xml:space="preserve"> </w:t>
      </w:r>
      <w:r w:rsidRPr="005E6B7C">
        <w:rPr>
          <w:rFonts w:asciiTheme="majorHAnsi" w:eastAsia="Yu Mincho" w:hAnsiTheme="majorHAnsi" w:cstheme="majorHAnsi"/>
          <w:i/>
          <w:iCs/>
          <w:color w:val="000000" w:themeColor="text1"/>
          <w:sz w:val="20"/>
          <w:szCs w:val="20"/>
          <w:lang w:eastAsia="ja-JP"/>
        </w:rPr>
        <w:t>The findings of this study were generated from an institutional research project conducted at the National Institute of Medicinal Materials (2024–2025), entitled “Evaluation of the memory-enhancing and neuroprotective effects of Morinda officinalis How. roots in experimental models” supported under Contract No. 03/2024/HĐ-NVCV-DLSH.</w:t>
      </w:r>
    </w:p>
    <w:p w14:paraId="42C24204" w14:textId="77777777" w:rsidR="00E049CB" w:rsidRPr="005E6B7C" w:rsidRDefault="00E049CB" w:rsidP="008C0D47">
      <w:pPr>
        <w:tabs>
          <w:tab w:val="left" w:pos="270"/>
          <w:tab w:val="left" w:pos="540"/>
          <w:tab w:val="left" w:pos="9270"/>
        </w:tabs>
        <w:spacing w:after="1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Reference</w:t>
      </w:r>
      <w:r w:rsidRPr="005E6B7C">
        <w:rPr>
          <w:rFonts w:asciiTheme="majorHAnsi" w:eastAsia="Yu Mincho" w:hAnsiTheme="majorHAnsi" w:cstheme="majorHAnsi"/>
          <w:b/>
          <w:bCs/>
          <w:color w:val="000000" w:themeColor="text1"/>
          <w:sz w:val="18"/>
          <w:szCs w:val="18"/>
          <w:lang w:eastAsia="ja-JP"/>
        </w:rPr>
        <w:t>s</w:t>
      </w:r>
    </w:p>
    <w:p w14:paraId="316B6820" w14:textId="77777777" w:rsidR="00E049CB" w:rsidRPr="005E6B7C" w:rsidRDefault="00E049CB" w:rsidP="008C0D47">
      <w:pPr>
        <w:tabs>
          <w:tab w:val="left" w:pos="27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noProof/>
          <w:color w:val="000000" w:themeColor="text1"/>
          <w:sz w:val="18"/>
          <w:szCs w:val="18"/>
          <w:lang w:eastAsia="ja-JP"/>
        </w:rPr>
        <w:fldChar w:fldCharType="begin"/>
      </w:r>
      <w:r w:rsidRPr="005E6B7C">
        <w:rPr>
          <w:rFonts w:asciiTheme="majorHAnsi" w:eastAsia="Yu Mincho" w:hAnsiTheme="majorHAnsi" w:cstheme="majorHAnsi"/>
          <w:noProof/>
          <w:color w:val="000000" w:themeColor="text1"/>
          <w:sz w:val="18"/>
          <w:szCs w:val="18"/>
          <w:lang w:eastAsia="ja-JP"/>
        </w:rPr>
        <w:instrText xml:space="preserve"> ADDIN EN.REFLIST </w:instrText>
      </w:r>
      <w:r w:rsidRPr="005E6B7C">
        <w:rPr>
          <w:rFonts w:asciiTheme="majorHAnsi" w:eastAsia="Yu Mincho" w:hAnsiTheme="majorHAnsi" w:cstheme="majorHAnsi"/>
          <w:noProof/>
          <w:color w:val="000000" w:themeColor="text1"/>
          <w:sz w:val="18"/>
          <w:szCs w:val="18"/>
          <w:lang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ab/>
        <w:t xml:space="preserve">Schultz C., Del Tredici K., Braak H. (2004), </w:t>
      </w:r>
      <w:r w:rsidRPr="005E6B7C">
        <w:rPr>
          <w:rFonts w:asciiTheme="majorHAnsi" w:eastAsia="Yu Mincho" w:hAnsiTheme="majorHAnsi" w:cstheme="majorHAnsi"/>
          <w:i/>
          <w:noProof/>
          <w:color w:val="000000" w:themeColor="text1"/>
          <w:sz w:val="18"/>
          <w:szCs w:val="18"/>
          <w:lang w:eastAsia="ja-JP"/>
        </w:rPr>
        <w:t>Neuropathology of Alzheimer’s Disease. In Alzheimer’s Disease Current Clinical Neurology</w:t>
      </w:r>
      <w:r w:rsidRPr="005E6B7C">
        <w:rPr>
          <w:rFonts w:asciiTheme="majorHAnsi" w:eastAsia="Yu Mincho" w:hAnsiTheme="majorHAnsi" w:cstheme="majorHAnsi"/>
          <w:noProof/>
          <w:color w:val="000000" w:themeColor="text1"/>
          <w:sz w:val="18"/>
          <w:szCs w:val="18"/>
          <w:lang w:eastAsia="ja-JP"/>
        </w:rPr>
        <w:t>. Humana Press, 21-31.</w:t>
      </w:r>
    </w:p>
    <w:p w14:paraId="008650D8"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lastRenderedPageBreak/>
        <w:t>2.</w:t>
      </w:r>
      <w:r w:rsidRPr="005E6B7C">
        <w:rPr>
          <w:rFonts w:asciiTheme="majorHAnsi" w:eastAsia="Yu Mincho" w:hAnsiTheme="majorHAnsi" w:cstheme="majorHAnsi"/>
          <w:noProof/>
          <w:color w:val="000000" w:themeColor="text1"/>
          <w:sz w:val="18"/>
          <w:szCs w:val="18"/>
          <w:lang w:eastAsia="ja-JP"/>
        </w:rPr>
        <w:tab/>
        <w:t>Dubois B., von Arnim C. A., Burnie N., Bozeat S., Cummings J. (2023), Biomarkers in Alzheimer’s disease: role in early and differential diagnosis and recognition of atypical variants. </w:t>
      </w:r>
      <w:r w:rsidRPr="005E6B7C">
        <w:rPr>
          <w:rFonts w:asciiTheme="majorHAnsi" w:eastAsia="Yu Mincho" w:hAnsiTheme="majorHAnsi" w:cstheme="majorHAnsi"/>
          <w:i/>
          <w:iCs/>
          <w:noProof/>
          <w:color w:val="000000" w:themeColor="text1"/>
          <w:sz w:val="18"/>
          <w:szCs w:val="18"/>
          <w:lang w:eastAsia="ja-JP"/>
        </w:rPr>
        <w:t>Alzheimer's Research &amp; Therapy</w:t>
      </w:r>
      <w:r w:rsidRPr="005E6B7C">
        <w:rPr>
          <w:rFonts w:asciiTheme="majorHAnsi" w:eastAsia="Yu Mincho" w:hAnsiTheme="majorHAnsi" w:cstheme="majorHAnsi"/>
          <w:noProof/>
          <w:color w:val="000000" w:themeColor="text1"/>
          <w:sz w:val="18"/>
          <w:szCs w:val="18"/>
          <w:lang w:eastAsia="ja-JP"/>
        </w:rPr>
        <w:t>, 15(1), 175.</w:t>
      </w:r>
    </w:p>
    <w:p w14:paraId="3BD8314E"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Khan A. H., Ijaz E., Ubaid B., Eddaki I., Edhi M., Shah M. N., Perry G. (2024), Analysis of Alzheimer's disease-related mortality rates among the elderly populations across the United States: an analysis of demographic and regional disparities from 1999 to 2020. </w:t>
      </w:r>
      <w:r w:rsidRPr="005E6B7C">
        <w:rPr>
          <w:rFonts w:asciiTheme="majorHAnsi" w:eastAsia="Yu Mincho" w:hAnsiTheme="majorHAnsi" w:cstheme="majorHAnsi"/>
          <w:i/>
          <w:iCs/>
          <w:noProof/>
          <w:color w:val="000000" w:themeColor="text1"/>
          <w:sz w:val="18"/>
          <w:szCs w:val="18"/>
          <w:lang w:eastAsia="ja-JP"/>
        </w:rPr>
        <w:t>Current Alzheimer Research</w:t>
      </w:r>
      <w:r w:rsidRPr="005E6B7C">
        <w:rPr>
          <w:rFonts w:asciiTheme="majorHAnsi" w:eastAsia="Yu Mincho" w:hAnsiTheme="majorHAnsi" w:cstheme="majorHAnsi"/>
          <w:noProof/>
          <w:color w:val="000000" w:themeColor="text1"/>
          <w:sz w:val="18"/>
          <w:szCs w:val="18"/>
          <w:lang w:eastAsia="ja-JP"/>
        </w:rPr>
        <w:t>, </w:t>
      </w:r>
      <w:r w:rsidRPr="005E6B7C">
        <w:rPr>
          <w:rFonts w:asciiTheme="majorHAnsi" w:eastAsia="Yu Mincho" w:hAnsiTheme="majorHAnsi" w:cstheme="majorHAnsi"/>
          <w:i/>
          <w:i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(6), 384-394.</w:t>
      </w:r>
    </w:p>
    <w:p w14:paraId="6FE85813" w14:textId="498C14BD"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Do H. B., Dang Q. C., Bui X. C., Nguyen T. D., Do T. D., Pham V. H., Vu N. L., Pham D.M., Pham K.M., Doan T.N., Nguyen T., Tran T. (2004), </w:t>
      </w:r>
      <w:r w:rsidR="006F59ED" w:rsidRPr="005E6B7C">
        <w:rPr>
          <w:rFonts w:asciiTheme="majorHAnsi" w:eastAsia="Yu Mincho" w:hAnsiTheme="majorHAnsi" w:cstheme="majorHAnsi"/>
          <w:i/>
          <w:noProof/>
          <w:color w:val="000000" w:themeColor="text1"/>
          <w:sz w:val="18"/>
          <w:szCs w:val="18"/>
          <w:lang w:eastAsia="ja-JP"/>
        </w:rPr>
        <w:t>Medicinal Plants and Animals of Vietnam</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Hanoi Science and Technology Publishing House</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Hanoi, 1, 101.</w:t>
      </w:r>
    </w:p>
    <w:p w14:paraId="3F87B4EF"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ab/>
        <w:t xml:space="preserve">Zhang Y., Zhang M. (2022), Neuroprotective effects of </w:t>
      </w:r>
      <w:r w:rsidRPr="005E6B7C">
        <w:rPr>
          <w:rFonts w:asciiTheme="majorHAnsi" w:eastAsia="Yu Mincho" w:hAnsiTheme="majorHAnsi" w:cstheme="majorHAnsi"/>
          <w:i/>
          <w:iCs/>
          <w:noProof/>
          <w:color w:val="000000" w:themeColor="text1"/>
          <w:sz w:val="18"/>
          <w:szCs w:val="18"/>
          <w:lang w:eastAsia="ja-JP"/>
        </w:rPr>
        <w:t>Morinda officinalis</w:t>
      </w:r>
      <w:r w:rsidRPr="005E6B7C">
        <w:rPr>
          <w:rFonts w:asciiTheme="majorHAnsi" w:eastAsia="Yu Mincho" w:hAnsiTheme="majorHAnsi" w:cstheme="majorHAnsi"/>
          <w:noProof/>
          <w:color w:val="000000" w:themeColor="text1"/>
          <w:sz w:val="18"/>
          <w:szCs w:val="18"/>
          <w:lang w:eastAsia="ja-JP"/>
        </w:rPr>
        <w:t xml:space="preserve"> How.: Anti-inflammatory and antioxidant roles in Alzheimer’s disease. </w:t>
      </w:r>
      <w:r w:rsidRPr="005E6B7C">
        <w:rPr>
          <w:rFonts w:asciiTheme="majorHAnsi" w:eastAsia="Yu Mincho" w:hAnsiTheme="majorHAnsi" w:cstheme="majorHAnsi"/>
          <w:i/>
          <w:iCs/>
          <w:noProof/>
          <w:color w:val="000000" w:themeColor="text1"/>
          <w:sz w:val="18"/>
          <w:szCs w:val="18"/>
          <w:lang w:eastAsia="ja-JP"/>
        </w:rPr>
        <w:t>Frontiers in Aging Neuroscience</w:t>
      </w:r>
      <w:r w:rsidRPr="005E6B7C">
        <w:rPr>
          <w:rFonts w:asciiTheme="majorHAnsi" w:eastAsia="Yu Mincho" w:hAnsiTheme="majorHAnsi" w:cstheme="majorHAnsi"/>
          <w:noProof/>
          <w:color w:val="000000" w:themeColor="text1"/>
          <w:sz w:val="18"/>
          <w:szCs w:val="18"/>
          <w:lang w:eastAsia="ja-JP"/>
        </w:rPr>
        <w:t>, 14, 963041.</w:t>
      </w:r>
    </w:p>
    <w:p w14:paraId="5434FB2E"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Xin</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 xml:space="preserve">Y., Diling C., Jian Y., Ting L., Guoyan H., Hualun L., Xiaocui T., Guoxiao L., Ou S., Chaoqun Z., Jun Z. (2018), </w:t>
      </w:r>
      <w:r w:rsidRPr="005E6B7C">
        <w:rPr>
          <w:rFonts w:asciiTheme="majorHAnsi" w:eastAsia="Yu Mincho" w:hAnsiTheme="majorHAnsi" w:cstheme="majorHAnsi"/>
          <w:iCs/>
          <w:noProof/>
          <w:color w:val="000000" w:themeColor="text1"/>
          <w:sz w:val="18"/>
          <w:szCs w:val="18"/>
          <w:lang w:eastAsia="ja-JP"/>
        </w:rPr>
        <w:t xml:space="preserve">Effects of oligosaccharides from </w:t>
      </w:r>
      <w:r w:rsidRPr="005E6B7C">
        <w:rPr>
          <w:rFonts w:asciiTheme="majorHAnsi" w:eastAsia="Yu Mincho" w:hAnsiTheme="majorHAnsi" w:cstheme="majorHAnsi"/>
          <w:i/>
          <w:noProof/>
          <w:color w:val="000000" w:themeColor="text1"/>
          <w:sz w:val="18"/>
          <w:szCs w:val="18"/>
          <w:lang w:eastAsia="ja-JP"/>
        </w:rPr>
        <w:t>Morinda officinalis</w:t>
      </w:r>
      <w:r w:rsidRPr="005E6B7C">
        <w:rPr>
          <w:rFonts w:asciiTheme="majorHAnsi" w:eastAsia="Yu Mincho" w:hAnsiTheme="majorHAnsi" w:cstheme="majorHAnsi"/>
          <w:iCs/>
          <w:noProof/>
          <w:color w:val="000000" w:themeColor="text1"/>
          <w:sz w:val="18"/>
          <w:szCs w:val="18"/>
          <w:lang w:eastAsia="ja-JP"/>
        </w:rPr>
        <w:t xml:space="preserve"> on gut microbiota and metabolome of APP/PS1 transgenic mice.</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Frontiers in Neurology</w:t>
      </w:r>
      <w:r w:rsidRPr="005E6B7C">
        <w:rPr>
          <w:rFonts w:asciiTheme="majorHAnsi" w:eastAsia="Yu Mincho" w:hAnsiTheme="majorHAnsi" w:cstheme="majorHAnsi"/>
          <w:noProof/>
          <w:color w:val="000000" w:themeColor="text1"/>
          <w:sz w:val="18"/>
          <w:szCs w:val="18"/>
          <w:lang w:eastAsia="ja-JP"/>
        </w:rPr>
        <w:t>, 9, 412.</w:t>
      </w:r>
    </w:p>
    <w:p w14:paraId="0F95030F"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ab/>
        <w:t xml:space="preserve">Chen, D. L., Zhang, P., Lin, L., Zhang, H. M., &amp; Liu, S. H. (2013), Protective effect of oligosaccharides from </w:t>
      </w:r>
      <w:r w:rsidRPr="005E6B7C">
        <w:rPr>
          <w:rFonts w:asciiTheme="majorHAnsi" w:eastAsia="Yu Mincho" w:hAnsiTheme="majorHAnsi" w:cstheme="majorHAnsi"/>
          <w:i/>
          <w:noProof/>
          <w:color w:val="000000" w:themeColor="text1"/>
          <w:sz w:val="18"/>
          <w:szCs w:val="18"/>
          <w:lang w:eastAsia="ja-JP"/>
        </w:rPr>
        <w:t>Morinda officinalis</w:t>
      </w:r>
      <w:r w:rsidRPr="005E6B7C">
        <w:rPr>
          <w:rFonts w:asciiTheme="majorHAnsi" w:eastAsia="Yu Mincho" w:hAnsiTheme="majorHAnsi" w:cstheme="majorHAnsi"/>
          <w:noProof/>
          <w:color w:val="000000" w:themeColor="text1"/>
          <w:sz w:val="18"/>
          <w:szCs w:val="18"/>
          <w:lang w:eastAsia="ja-JP"/>
        </w:rPr>
        <w:t xml:space="preserve"> on beta-amyloid-induced dementia rats. </w:t>
      </w:r>
      <w:r w:rsidRPr="005E6B7C">
        <w:rPr>
          <w:rFonts w:asciiTheme="majorHAnsi" w:eastAsia="Yu Mincho" w:hAnsiTheme="majorHAnsi" w:cstheme="majorHAnsi"/>
          <w:i/>
          <w:iCs/>
          <w:noProof/>
          <w:color w:val="000000" w:themeColor="text1"/>
          <w:sz w:val="18"/>
          <w:szCs w:val="18"/>
          <w:lang w:eastAsia="ja-JP"/>
        </w:rPr>
        <w:t xml:space="preserve"> China Journal of Chinese Materia Médica</w:t>
      </w:r>
      <w:r w:rsidRPr="005E6B7C">
        <w:rPr>
          <w:rFonts w:asciiTheme="majorHAnsi" w:eastAsia="Yu Mincho" w:hAnsiTheme="majorHAnsi" w:cstheme="majorHAnsi"/>
          <w:noProof/>
          <w:color w:val="000000" w:themeColor="text1"/>
          <w:sz w:val="18"/>
          <w:szCs w:val="18"/>
          <w:lang w:eastAsia="ja-JP"/>
        </w:rPr>
        <w:t>, </w:t>
      </w:r>
      <w:r w:rsidRPr="005E6B7C">
        <w:rPr>
          <w:rFonts w:asciiTheme="majorHAnsi" w:eastAsia="Yu Mincho" w:hAnsiTheme="majorHAnsi" w:cstheme="majorHAnsi"/>
          <w:iCs/>
          <w:noProof/>
          <w:color w:val="000000" w:themeColor="text1"/>
          <w:sz w:val="18"/>
          <w:szCs w:val="18"/>
          <w:lang w:eastAsia="ja-JP"/>
        </w:rPr>
        <w:t>38</w:t>
      </w:r>
      <w:r w:rsidRPr="005E6B7C">
        <w:rPr>
          <w:rFonts w:asciiTheme="majorHAnsi" w:eastAsia="Yu Mincho" w:hAnsiTheme="majorHAnsi" w:cstheme="majorHAnsi"/>
          <w:noProof/>
          <w:color w:val="000000" w:themeColor="text1"/>
          <w:sz w:val="18"/>
          <w:szCs w:val="18"/>
          <w:lang w:eastAsia="ja-JP"/>
        </w:rPr>
        <w:t>(9), 1306-1309.</w:t>
      </w:r>
    </w:p>
    <w:p w14:paraId="62A306C7" w14:textId="6B667F56"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ab/>
      </w:r>
      <w:r w:rsidRPr="005E6B7C">
        <w:rPr>
          <w:rFonts w:asciiTheme="majorHAnsi" w:eastAsia="Yu Mincho" w:hAnsiTheme="majorHAnsi" w:cstheme="majorHAnsi" w:hint="eastAsia"/>
          <w:noProof/>
          <w:color w:val="000000" w:themeColor="text1"/>
          <w:sz w:val="18"/>
          <w:szCs w:val="18"/>
          <w:lang w:eastAsia="ja-JP"/>
        </w:rPr>
        <w:t>Xin Y., Diling C., Tianlu C., Jun Z., Xiaocui T., Yinrui G., Guoyan H. (2019), Oligosaccharides from Morinda officinalis slow the Progress of aging mice by regulating the key microbiota</w:t>
      </w:r>
      <w:r w:rsidRPr="005E6B7C">
        <w:rPr>
          <w:rFonts w:asciiTheme="majorHAnsi" w:eastAsia="Yu Mincho" w:hAnsiTheme="majorHAnsi" w:cstheme="majorHAnsi" w:hint="eastAsia"/>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metabolite pairs. </w:t>
      </w:r>
      <w:r w:rsidRPr="005E6B7C">
        <w:rPr>
          <w:rFonts w:asciiTheme="majorHAnsi" w:eastAsia="Yu Mincho" w:hAnsiTheme="majorHAnsi" w:cstheme="majorHAnsi" w:hint="eastAsia"/>
          <w:i/>
          <w:iCs/>
          <w:noProof/>
          <w:color w:val="000000" w:themeColor="text1"/>
          <w:sz w:val="18"/>
          <w:szCs w:val="18"/>
          <w:lang w:eastAsia="ja-JP"/>
        </w:rPr>
        <w:t>Evidence</w:t>
      </w:r>
      <w:r w:rsidR="007A051F" w:rsidRPr="005E6B7C">
        <w:rPr>
          <w:rFonts w:asciiTheme="majorHAnsi" w:eastAsia="Yu Mincho" w:hAnsiTheme="majorHAnsi" w:cstheme="majorHAnsi" w:hint="eastAsia"/>
          <w:i/>
          <w:iCs/>
          <w:noProof/>
          <w:color w:val="000000" w:themeColor="text1"/>
          <w:sz w:val="18"/>
          <w:szCs w:val="18"/>
          <w:lang w:eastAsia="ja-JP"/>
        </w:rPr>
        <w:t>-</w:t>
      </w:r>
      <w:r w:rsidRPr="005E6B7C">
        <w:rPr>
          <w:rFonts w:asciiTheme="majorHAnsi" w:eastAsia="Yu Mincho" w:hAnsiTheme="majorHAnsi" w:cstheme="majorHAnsi" w:hint="eastAsia"/>
          <w:i/>
          <w:iCs/>
          <w:noProof/>
          <w:color w:val="000000" w:themeColor="text1"/>
          <w:sz w:val="18"/>
          <w:szCs w:val="18"/>
          <w:lang w:eastAsia="ja-JP"/>
        </w:rPr>
        <w:t>Based Complementary and Alternative Medicine</w:t>
      </w:r>
      <w:r w:rsidRPr="005E6B7C">
        <w:rPr>
          <w:rFonts w:asciiTheme="majorHAnsi" w:eastAsia="Yu Mincho" w:hAnsiTheme="majorHAnsi" w:cstheme="majorHAnsi"/>
          <w:noProof/>
          <w:color w:val="000000" w:themeColor="text1"/>
          <w:sz w:val="18"/>
          <w:szCs w:val="18"/>
          <w:lang w:eastAsia="ja-JP"/>
        </w:rPr>
        <w:t>, </w:t>
      </w:r>
      <w:r w:rsidRPr="005E6B7C">
        <w:rPr>
          <w:rFonts w:asciiTheme="majorHAnsi" w:eastAsia="Yu Mincho" w:hAnsiTheme="majorHAnsi" w:cstheme="majorHAnsi"/>
          <w:iCs/>
          <w:noProof/>
          <w:color w:val="000000" w:themeColor="text1"/>
          <w:sz w:val="18"/>
          <w:szCs w:val="18"/>
          <w:lang w:eastAsia="ja-JP"/>
        </w:rPr>
        <w:t>2019</w:t>
      </w:r>
      <w:r w:rsidRPr="005E6B7C">
        <w:rPr>
          <w:rFonts w:asciiTheme="majorHAnsi" w:eastAsia="Yu Mincho" w:hAnsiTheme="majorHAnsi" w:cstheme="majorHAnsi"/>
          <w:noProof/>
          <w:color w:val="000000" w:themeColor="text1"/>
          <w:sz w:val="18"/>
          <w:szCs w:val="18"/>
          <w:lang w:eastAsia="ja-JP"/>
        </w:rPr>
        <w:t>(1), 9306834.</w:t>
      </w:r>
    </w:p>
    <w:p w14:paraId="2347E034"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ab/>
        <w:t>Zhou L.</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 xml:space="preserve">Yang C., Liu Z., Chen L., Wang P., Zhou Y., Yuan M., Zhou L. T., Wang X., Zhu L. Q. (2024), </w:t>
      </w:r>
      <w:r w:rsidRPr="005E6B7C">
        <w:rPr>
          <w:rFonts w:asciiTheme="majorHAnsi" w:eastAsia="Yu Mincho" w:hAnsiTheme="majorHAnsi" w:cstheme="majorHAnsi"/>
          <w:iCs/>
          <w:noProof/>
          <w:color w:val="000000" w:themeColor="text1"/>
          <w:sz w:val="18"/>
          <w:szCs w:val="18"/>
          <w:lang w:eastAsia="ja-JP"/>
        </w:rPr>
        <w:t>Neuroprotective effect of the traditional decoction Tian-Si-Yin against Alzheimer's disease via suppression of neuroinflammation</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 321, 117569.</w:t>
      </w:r>
    </w:p>
    <w:p w14:paraId="1770F18D"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ab/>
        <w:t xml:space="preserve">Xu W., Liu X., He X., Jiang Y., Zhang J., Zhang Q., Wang N., Qin L., Xin H. (2020), </w:t>
      </w:r>
      <w:r w:rsidRPr="005E6B7C">
        <w:rPr>
          <w:rFonts w:asciiTheme="majorHAnsi" w:eastAsia="Yu Mincho" w:hAnsiTheme="majorHAnsi" w:cstheme="majorHAnsi"/>
          <w:iCs/>
          <w:noProof/>
          <w:color w:val="000000" w:themeColor="text1"/>
          <w:sz w:val="18"/>
          <w:szCs w:val="18"/>
          <w:lang w:eastAsia="ja-JP"/>
        </w:rPr>
        <w:t>Bajitianwan attenuates D-galactose-induced memory impairment and bone loss through suppression of oxidative stress in aging rat model</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 261, 112992.</w:t>
      </w:r>
    </w:p>
    <w:p w14:paraId="62EF6CB6" w14:textId="1E046ABB"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Ellman G. L., Courtney K. D., Andres Jr V., Featherstone R. M. (1961)</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A new and rapid colorimetric determination of acetylcholinesterase activity</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 xml:space="preserve">Biochemical </w:t>
      </w:r>
      <w:r w:rsidR="006F59ED" w:rsidRPr="005E6B7C">
        <w:rPr>
          <w:rFonts w:asciiTheme="majorHAnsi" w:eastAsia="Yu Mincho" w:hAnsiTheme="majorHAnsi" w:cstheme="majorHAnsi"/>
          <w:i/>
          <w:iCs/>
          <w:noProof/>
          <w:color w:val="000000" w:themeColor="text1"/>
          <w:sz w:val="18"/>
          <w:szCs w:val="18"/>
          <w:lang w:eastAsia="ja-JP"/>
        </w:rPr>
        <w:t>P</w:t>
      </w:r>
      <w:r w:rsidRPr="005E6B7C">
        <w:rPr>
          <w:rFonts w:asciiTheme="majorHAnsi" w:eastAsia="Yu Mincho" w:hAnsiTheme="majorHAnsi" w:cstheme="majorHAnsi"/>
          <w:i/>
          <w:iCs/>
          <w:noProof/>
          <w:color w:val="000000" w:themeColor="text1"/>
          <w:sz w:val="18"/>
          <w:szCs w:val="18"/>
          <w:lang w:eastAsia="ja-JP"/>
        </w:rPr>
        <w:t>harmacology</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7(2), 88-95.</w:t>
      </w:r>
    </w:p>
    <w:p w14:paraId="162A6EB1" w14:textId="0A0D97B5"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ab/>
        <w:t>Zhu Y.,</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Lobato A. G., Zhai R. G., Pinto M. (2022)</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Human nmnat1 promotes autophagic clearance of amyloid plaques in a Drosophila model of Alzheimer’s disease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Frontiers in Aging Neuroscience</w:t>
      </w:r>
      <w:r w:rsidRPr="005E6B7C">
        <w:rPr>
          <w:rFonts w:asciiTheme="majorHAnsi" w:eastAsia="Yu Mincho" w:hAnsiTheme="majorHAnsi" w:cstheme="majorHAnsi"/>
          <w:noProof/>
          <w:color w:val="000000" w:themeColor="text1"/>
          <w:sz w:val="18"/>
          <w:szCs w:val="18"/>
          <w:lang w:eastAsia="ja-JP"/>
        </w:rPr>
        <w:t>, 14, 852972.</w:t>
      </w:r>
    </w:p>
    <w:p w14:paraId="74E53757" w14:textId="4681BA5E"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Gerber B., Biernacki R., Thum J. (2013)</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Odor–taste learning assays in Drosophila larvae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Cold Spring Harbor Protocols</w:t>
      </w:r>
      <w:r w:rsidRPr="005E6B7C">
        <w:rPr>
          <w:rFonts w:asciiTheme="majorHAnsi" w:eastAsia="Yu Mincho" w:hAnsiTheme="majorHAnsi" w:cstheme="majorHAnsi"/>
          <w:noProof/>
          <w:color w:val="000000" w:themeColor="text1"/>
          <w:sz w:val="18"/>
          <w:szCs w:val="18"/>
          <w:lang w:eastAsia="ja-JP"/>
        </w:rPr>
        <w:t>, 3, pdb. prot071639.</w:t>
      </w:r>
    </w:p>
    <w:p w14:paraId="188909E8" w14:textId="7BBF7BAC"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Nichols C. D., Becnel J., Pandey U. B. (2012)</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Methods to assay Drosophila behavior</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Visualized Experiments</w:t>
      </w:r>
      <w:r w:rsidRPr="005E6B7C">
        <w:rPr>
          <w:rFonts w:asciiTheme="majorHAnsi" w:eastAsia="Yu Mincho" w:hAnsiTheme="majorHAnsi" w:cstheme="majorHAnsi"/>
          <w:noProof/>
          <w:color w:val="000000" w:themeColor="text1"/>
          <w:sz w:val="18"/>
          <w:szCs w:val="18"/>
          <w:lang w:eastAsia="ja-JP"/>
        </w:rPr>
        <w:t>, 61, 3795.</w:t>
      </w:r>
    </w:p>
    <w:p w14:paraId="5C4DC227" w14:textId="7BF87383"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Piper M. D., Partridge L. (2016)</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Protocols to study aging in Drosophila</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Drosophila: Methods and Protocols</w:t>
      </w:r>
      <w:r w:rsidRPr="005E6B7C">
        <w:rPr>
          <w:rFonts w:asciiTheme="majorHAnsi" w:eastAsia="Yu Mincho" w:hAnsiTheme="majorHAnsi" w:cstheme="majorHAnsi"/>
          <w:noProof/>
          <w:color w:val="000000" w:themeColor="text1"/>
          <w:sz w:val="18"/>
          <w:szCs w:val="18"/>
          <w:lang w:eastAsia="ja-JP"/>
        </w:rPr>
        <w:t>, 291-302.</w:t>
      </w:r>
    </w:p>
    <w:p w14:paraId="2E1E26D7"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ab/>
        <w:t xml:space="preserve">Subedi R. P., Vartak R. R., Kale P. G. (2017), Management of stress exerted by hydrogen peroxide in Drosophila melanogaster using Abhrak bhasma. </w:t>
      </w:r>
      <w:r w:rsidRPr="005E6B7C">
        <w:rPr>
          <w:rFonts w:asciiTheme="majorHAnsi" w:eastAsia="Yu Mincho" w:hAnsiTheme="majorHAnsi" w:cstheme="majorHAnsi"/>
          <w:i/>
          <w:iCs/>
          <w:noProof/>
          <w:color w:val="000000" w:themeColor="text1"/>
          <w:sz w:val="18"/>
          <w:szCs w:val="18"/>
          <w:lang w:eastAsia="ja-JP"/>
        </w:rPr>
        <w:t>Journal of Applied Pharmaceutical Science</w:t>
      </w:r>
      <w:r w:rsidRPr="005E6B7C">
        <w:rPr>
          <w:rFonts w:asciiTheme="majorHAnsi" w:eastAsia="Yu Mincho" w:hAnsiTheme="majorHAnsi" w:cstheme="majorHAnsi"/>
          <w:noProof/>
          <w:color w:val="000000" w:themeColor="text1"/>
          <w:sz w:val="18"/>
          <w:szCs w:val="18"/>
          <w:lang w:eastAsia="ja-JP"/>
        </w:rPr>
        <w:t>, 7(12), 065-071.</w:t>
      </w:r>
    </w:p>
    <w:p w14:paraId="55C4C352"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ab/>
        <w:t xml:space="preserve">Wu Q., (2025), </w:t>
      </w:r>
      <w:r w:rsidRPr="005E6B7C">
        <w:rPr>
          <w:rFonts w:asciiTheme="majorHAnsi" w:eastAsia="Yu Mincho" w:hAnsiTheme="majorHAnsi" w:cstheme="majorHAnsi"/>
          <w:iCs/>
          <w:noProof/>
          <w:color w:val="000000" w:themeColor="text1"/>
          <w:sz w:val="18"/>
          <w:szCs w:val="18"/>
          <w:lang w:eastAsia="ja-JP"/>
        </w:rPr>
        <w:t>Guidelines for Studying the Oxidative Stress Damage Model on Drosophila melanogaster</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Future Postharvest and Food</w:t>
      </w:r>
      <w:r w:rsidRPr="005E6B7C">
        <w:rPr>
          <w:rFonts w:asciiTheme="majorHAnsi" w:eastAsia="Yu Mincho" w:hAnsiTheme="majorHAnsi" w:cstheme="majorHAnsi"/>
          <w:noProof/>
          <w:color w:val="000000" w:themeColor="text1"/>
          <w:sz w:val="18"/>
          <w:szCs w:val="18"/>
          <w:lang w:eastAsia="ja-JP"/>
        </w:rPr>
        <w:t>, 2(2), 124-138.</w:t>
      </w:r>
    </w:p>
    <w:p w14:paraId="788609FC"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18.</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Martyn J. A. J., Fagerlund M. J., Eriksson L. I. (2009), Basic principles of neuromuscular transmission. </w:t>
      </w:r>
      <w:r w:rsidRPr="005E6B7C">
        <w:rPr>
          <w:rFonts w:asciiTheme="majorHAnsi" w:eastAsia="Yu Mincho" w:hAnsiTheme="majorHAnsi" w:cstheme="majorHAnsi"/>
          <w:i/>
          <w:iCs/>
          <w:noProof/>
          <w:color w:val="000000" w:themeColor="text1"/>
          <w:sz w:val="18"/>
          <w:szCs w:val="18"/>
          <w:lang w:eastAsia="ja-JP"/>
        </w:rPr>
        <w:t>Anaesthesia</w:t>
      </w:r>
      <w:r w:rsidRPr="005E6B7C">
        <w:rPr>
          <w:rFonts w:asciiTheme="majorHAnsi" w:eastAsia="Yu Mincho" w:hAnsiTheme="majorHAnsi" w:cstheme="majorHAnsi"/>
          <w:noProof/>
          <w:color w:val="000000" w:themeColor="text1"/>
          <w:sz w:val="18"/>
          <w:szCs w:val="18"/>
          <w:lang w:eastAsia="ja-JP"/>
        </w:rPr>
        <w:t>, 64, 1-9.</w:t>
      </w:r>
    </w:p>
    <w:p w14:paraId="493A09A6"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19.</w:t>
      </w:r>
      <w:r w:rsidRPr="005E6B7C">
        <w:rPr>
          <w:rFonts w:asciiTheme="majorHAnsi" w:eastAsia="Yu Mincho" w:hAnsiTheme="majorHAnsi" w:cstheme="majorHAnsi"/>
          <w:noProof/>
          <w:color w:val="000000" w:themeColor="text1"/>
          <w:sz w:val="18"/>
          <w:szCs w:val="18"/>
          <w:lang w:eastAsia="ja-JP"/>
        </w:rPr>
        <w:tab/>
        <w:t xml:space="preserve">Lee Y. K., Bang H. J., Oh J. B., Whang W. K. (2017), Bioassay-guided isolated compounds from </w:t>
      </w:r>
      <w:r w:rsidRPr="005E6B7C">
        <w:rPr>
          <w:rFonts w:asciiTheme="majorHAnsi" w:eastAsia="Yu Mincho" w:hAnsiTheme="majorHAnsi" w:cstheme="majorHAnsi"/>
          <w:i/>
          <w:iCs/>
          <w:noProof/>
          <w:color w:val="000000" w:themeColor="text1"/>
          <w:sz w:val="18"/>
          <w:szCs w:val="18"/>
          <w:lang w:eastAsia="ja-JP"/>
        </w:rPr>
        <w:t>Morinda officinalis</w:t>
      </w:r>
      <w:r w:rsidRPr="005E6B7C">
        <w:rPr>
          <w:rFonts w:asciiTheme="majorHAnsi" w:eastAsia="Yu Mincho" w:hAnsiTheme="majorHAnsi" w:cstheme="majorHAnsi"/>
          <w:noProof/>
          <w:color w:val="000000" w:themeColor="text1"/>
          <w:sz w:val="18"/>
          <w:szCs w:val="18"/>
          <w:lang w:eastAsia="ja-JP"/>
        </w:rPr>
        <w:t xml:space="preserve"> inhibit Alzheimer’s disease pathologies. </w:t>
      </w:r>
      <w:r w:rsidRPr="005E6B7C">
        <w:rPr>
          <w:rFonts w:asciiTheme="majorHAnsi" w:eastAsia="Yu Mincho" w:hAnsiTheme="majorHAnsi" w:cstheme="majorHAnsi"/>
          <w:i/>
          <w:iCs/>
          <w:noProof/>
          <w:color w:val="000000" w:themeColor="text1"/>
          <w:sz w:val="18"/>
          <w:szCs w:val="18"/>
          <w:lang w:eastAsia="ja-JP"/>
        </w:rPr>
        <w:t>Molecules</w:t>
      </w:r>
      <w:r w:rsidRPr="005E6B7C">
        <w:rPr>
          <w:rFonts w:asciiTheme="majorHAnsi" w:eastAsia="Yu Mincho" w:hAnsiTheme="majorHAnsi" w:cstheme="majorHAnsi"/>
          <w:noProof/>
          <w:color w:val="000000" w:themeColor="text1"/>
          <w:sz w:val="18"/>
          <w:szCs w:val="18"/>
          <w:lang w:eastAsia="ja-JP"/>
        </w:rPr>
        <w:t>, 22(10), 1638.</w:t>
      </w:r>
    </w:p>
    <w:p w14:paraId="5290FDF2" w14:textId="5FE1EA04"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20.</w:t>
      </w:r>
      <w:r w:rsidRPr="005E6B7C">
        <w:rPr>
          <w:rFonts w:asciiTheme="majorHAnsi" w:eastAsia="Yu Mincho" w:hAnsiTheme="majorHAnsi" w:cstheme="majorHAnsi"/>
          <w:noProof/>
          <w:color w:val="000000" w:themeColor="text1"/>
          <w:sz w:val="18"/>
          <w:szCs w:val="18"/>
          <w:lang w:eastAsia="ja-JP"/>
        </w:rPr>
        <w:tab/>
        <w:t>Howes M. J. R., Perry N. S., Houghton P. J. (2003), Plants with traditional uses and activities, relevant to the management of Alzheimer's disease and other cognitive disorders. </w:t>
      </w:r>
      <w:r w:rsidRPr="005E6B7C">
        <w:rPr>
          <w:rFonts w:asciiTheme="majorHAnsi" w:eastAsia="Yu Mincho" w:hAnsiTheme="majorHAnsi" w:cstheme="majorHAnsi"/>
          <w:i/>
          <w:iCs/>
          <w:noProof/>
          <w:color w:val="000000" w:themeColor="text1"/>
          <w:sz w:val="18"/>
          <w:szCs w:val="18"/>
          <w:lang w:eastAsia="ja-JP"/>
        </w:rPr>
        <w:t xml:space="preserve">Phytotherapy </w:t>
      </w:r>
      <w:r w:rsidR="008C0D47" w:rsidRPr="005E6B7C">
        <w:rPr>
          <w:rFonts w:asciiTheme="majorHAnsi" w:eastAsia="Yu Mincho" w:hAnsiTheme="majorHAnsi" w:cstheme="majorHAnsi"/>
          <w:i/>
          <w:iCs/>
          <w:noProof/>
          <w:color w:val="000000" w:themeColor="text1"/>
          <w:sz w:val="18"/>
          <w:szCs w:val="18"/>
          <w:lang w:eastAsia="ja-JP"/>
        </w:rPr>
        <w:t>Research</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17(1), 1-18.</w:t>
      </w:r>
    </w:p>
    <w:p w14:paraId="1F6B022F"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ab/>
        <w:t xml:space="preserve">He M., Hu M., Wang T., Zuo Z., Li H., Zhao Z., Hao Y., Dai X., Wang J., Sun Y. (2025), </w:t>
      </w:r>
      <w:r w:rsidRPr="005E6B7C">
        <w:rPr>
          <w:rFonts w:asciiTheme="majorHAnsi" w:eastAsia="Yu Mincho" w:hAnsiTheme="majorHAnsi" w:cstheme="majorHAnsi"/>
          <w:i/>
          <w:noProof/>
          <w:color w:val="000000" w:themeColor="text1"/>
          <w:sz w:val="18"/>
          <w:szCs w:val="18"/>
          <w:lang w:eastAsia="ja-JP"/>
        </w:rPr>
        <w:t>Morinda officinalis</w:t>
      </w:r>
      <w:r w:rsidRPr="005E6B7C">
        <w:rPr>
          <w:rFonts w:asciiTheme="majorHAnsi" w:eastAsia="Yu Mincho" w:hAnsiTheme="majorHAnsi" w:cstheme="majorHAnsi"/>
          <w:iCs/>
          <w:noProof/>
          <w:color w:val="000000" w:themeColor="text1"/>
          <w:sz w:val="18"/>
          <w:szCs w:val="18"/>
          <w:lang w:eastAsia="ja-JP"/>
        </w:rPr>
        <w:t xml:space="preserve"> oligosaccharides alleviate chronic unpredictable mild stress-induced depression through the BDNF/TrkB/CREB pathway and symptoms of sexual dysfunction in mice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Frontiers in Neuroscience</w:t>
      </w:r>
      <w:r w:rsidRPr="005E6B7C">
        <w:rPr>
          <w:rFonts w:asciiTheme="majorHAnsi" w:eastAsia="Yu Mincho" w:hAnsiTheme="majorHAnsi" w:cstheme="majorHAnsi"/>
          <w:noProof/>
          <w:color w:val="000000" w:themeColor="text1"/>
          <w:sz w:val="18"/>
          <w:szCs w:val="18"/>
          <w:lang w:eastAsia="ja-JP"/>
        </w:rPr>
        <w:t>, 18, 1509543.</w:t>
      </w:r>
    </w:p>
    <w:p w14:paraId="673F93AC"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22.</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Iijima K., Liu H. P., Chiang A. S., Hearn S. A., Konsolaki M., Zhong Y. (2004), Dissecting the pathological effects of human Aβ40 and Aβ42 in </w:t>
      </w:r>
      <w:r w:rsidRPr="005E6B7C">
        <w:rPr>
          <w:rFonts w:asciiTheme="majorHAnsi" w:eastAsia="Yu Mincho" w:hAnsiTheme="majorHAnsi" w:cstheme="majorHAnsi"/>
          <w:i/>
          <w:noProof/>
          <w:color w:val="000000" w:themeColor="text1"/>
          <w:sz w:val="18"/>
          <w:szCs w:val="18"/>
          <w:lang w:eastAsia="ja-JP"/>
        </w:rPr>
        <w:t>Drosophila</w:t>
      </w:r>
      <w:r w:rsidRPr="005E6B7C">
        <w:rPr>
          <w:rFonts w:asciiTheme="majorHAnsi" w:eastAsia="Yu Mincho" w:hAnsiTheme="majorHAnsi" w:cstheme="majorHAnsi"/>
          <w:noProof/>
          <w:color w:val="000000" w:themeColor="text1"/>
          <w:sz w:val="18"/>
          <w:szCs w:val="18"/>
          <w:lang w:eastAsia="ja-JP"/>
        </w:rPr>
        <w:t xml:space="preserve">: a potential model for Alzheimer's disease. </w:t>
      </w:r>
      <w:r w:rsidRPr="005E6B7C">
        <w:rPr>
          <w:rFonts w:asciiTheme="majorHAnsi" w:eastAsia="Yu Mincho" w:hAnsiTheme="majorHAnsi" w:cstheme="majorHAnsi"/>
          <w:i/>
          <w:iCs/>
          <w:noProof/>
          <w:color w:val="000000" w:themeColor="text1"/>
          <w:sz w:val="18"/>
          <w:szCs w:val="18"/>
          <w:lang w:eastAsia="ja-JP"/>
        </w:rPr>
        <w:t>Proceedings of the National Academy of Sciences</w:t>
      </w:r>
      <w:r w:rsidRPr="005E6B7C">
        <w:rPr>
          <w:rFonts w:asciiTheme="majorHAnsi" w:eastAsia="Yu Mincho" w:hAnsiTheme="majorHAnsi" w:cstheme="majorHAnsi"/>
          <w:noProof/>
          <w:color w:val="000000" w:themeColor="text1"/>
          <w:sz w:val="18"/>
          <w:szCs w:val="18"/>
          <w:lang w:eastAsia="ja-JP"/>
        </w:rPr>
        <w:t>, 101(17), 6623-6628.</w:t>
      </w:r>
    </w:p>
    <w:p w14:paraId="0D111C15"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Crowther</w:t>
      </w:r>
      <w:r w:rsidRPr="005E6B7C">
        <w:rPr>
          <w:rFonts w:asciiTheme="majorHAnsi" w:eastAsia="Yu Mincho" w:hAnsiTheme="majorHAnsi" w:cstheme="majorHAnsi"/>
          <w:color w:val="000000" w:themeColor="text1"/>
          <w:sz w:val="18"/>
          <w:szCs w:val="18"/>
          <w:shd w:val="clear" w:color="auto" w:fill="FFFFFF"/>
          <w:lang w:eastAsia="ja-JP"/>
        </w:rPr>
        <w:t xml:space="preserve"> </w:t>
      </w:r>
      <w:r w:rsidRPr="005E6B7C">
        <w:rPr>
          <w:rFonts w:asciiTheme="majorHAnsi" w:eastAsia="Yu Mincho" w:hAnsiTheme="majorHAnsi" w:cstheme="majorHAnsi"/>
          <w:noProof/>
          <w:color w:val="000000" w:themeColor="text1"/>
          <w:sz w:val="18"/>
          <w:szCs w:val="18"/>
          <w:lang w:eastAsia="ja-JP"/>
        </w:rPr>
        <w:t xml:space="preserve">D. C., Kinghorn K. J., Miranda E., Page R., Curry J. A., Duthie F. A. I., Gubb D. C., Lomas D.A. (2005), </w:t>
      </w:r>
      <w:r w:rsidRPr="005E6B7C">
        <w:rPr>
          <w:rFonts w:asciiTheme="majorHAnsi" w:eastAsia="Yu Mincho" w:hAnsiTheme="majorHAnsi" w:cstheme="majorHAnsi"/>
          <w:iCs/>
          <w:noProof/>
          <w:color w:val="000000" w:themeColor="text1"/>
          <w:sz w:val="18"/>
          <w:szCs w:val="18"/>
          <w:lang w:eastAsia="ja-JP"/>
        </w:rPr>
        <w:t xml:space="preserve">Intraneuronal Aβ, non-amyloid aggregates and neurodegeneration in a </w:t>
      </w:r>
      <w:r w:rsidRPr="005E6B7C">
        <w:rPr>
          <w:rFonts w:asciiTheme="majorHAnsi" w:eastAsia="Yu Mincho" w:hAnsiTheme="majorHAnsi" w:cstheme="majorHAnsi"/>
          <w:i/>
          <w:iCs/>
          <w:noProof/>
          <w:color w:val="000000" w:themeColor="text1"/>
          <w:sz w:val="18"/>
          <w:szCs w:val="18"/>
          <w:lang w:eastAsia="ja-JP"/>
        </w:rPr>
        <w:t>Drosophila</w:t>
      </w:r>
      <w:r w:rsidRPr="005E6B7C">
        <w:rPr>
          <w:rFonts w:asciiTheme="majorHAnsi" w:eastAsia="Yu Mincho" w:hAnsiTheme="majorHAnsi" w:cstheme="majorHAnsi"/>
          <w:iCs/>
          <w:noProof/>
          <w:color w:val="000000" w:themeColor="text1"/>
          <w:sz w:val="18"/>
          <w:szCs w:val="18"/>
          <w:lang w:eastAsia="ja-JP"/>
        </w:rPr>
        <w:t xml:space="preserve"> model of Alzheimer’s disease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Neuroscience</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132(1), 123-135.</w:t>
      </w:r>
    </w:p>
    <w:p w14:paraId="646F0900" w14:textId="77777777"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24.</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Iijima-Ando K. and Iijima K. (2010), Transgenic Drosophila models of Alzheimer’s disease and tauopathies. </w:t>
      </w:r>
      <w:r w:rsidRPr="005E6B7C">
        <w:rPr>
          <w:rFonts w:asciiTheme="majorHAnsi" w:eastAsia="Yu Mincho" w:hAnsiTheme="majorHAnsi" w:cstheme="majorHAnsi"/>
          <w:i/>
          <w:iCs/>
          <w:noProof/>
          <w:color w:val="000000" w:themeColor="text1"/>
          <w:sz w:val="18"/>
          <w:szCs w:val="18"/>
          <w:lang w:eastAsia="ja-JP"/>
        </w:rPr>
        <w:t>Brain Structure and Function</w:t>
      </w:r>
      <w:r w:rsidRPr="005E6B7C">
        <w:rPr>
          <w:rFonts w:asciiTheme="majorHAnsi" w:eastAsia="Yu Mincho" w:hAnsiTheme="majorHAnsi" w:cstheme="majorHAnsi"/>
          <w:noProof/>
          <w:color w:val="000000" w:themeColor="text1"/>
          <w:sz w:val="18"/>
          <w:szCs w:val="18"/>
          <w:lang w:eastAsia="ja-JP"/>
        </w:rPr>
        <w:t>, 214(2), 245-262.</w:t>
      </w:r>
    </w:p>
    <w:p w14:paraId="12B927C2" w14:textId="102CD7FC"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25.</w:t>
      </w:r>
      <w:r w:rsidRPr="005E6B7C">
        <w:rPr>
          <w:rFonts w:asciiTheme="majorHAnsi" w:eastAsia="Yu Mincho" w:hAnsiTheme="majorHAnsi" w:cstheme="majorHAnsi"/>
          <w:noProof/>
          <w:color w:val="000000" w:themeColor="text1"/>
          <w:sz w:val="18"/>
          <w:szCs w:val="18"/>
          <w:lang w:eastAsia="ja-JP"/>
        </w:rPr>
        <w:tab/>
        <w:t>Stavrovskaya I., Morin B. K., Madamba S., Alexander C., Romano A., Alam S., Peixoto P. M. (2025)</w:t>
      </w:r>
      <w:r w:rsidR="008C0D47"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Mitochondrial ROS modulate presynaptic plasticity in the </w:t>
      </w:r>
      <w:r w:rsidRPr="005E6B7C">
        <w:rPr>
          <w:rFonts w:asciiTheme="majorHAnsi" w:eastAsia="Yu Mincho" w:hAnsiTheme="majorHAnsi" w:cstheme="majorHAnsi"/>
          <w:i/>
          <w:noProof/>
          <w:color w:val="000000" w:themeColor="text1"/>
          <w:sz w:val="18"/>
          <w:szCs w:val="18"/>
          <w:lang w:eastAsia="ja-JP"/>
        </w:rPr>
        <w:t>Drosophila</w:t>
      </w:r>
      <w:r w:rsidRPr="005E6B7C">
        <w:rPr>
          <w:rFonts w:asciiTheme="majorHAnsi" w:eastAsia="Yu Mincho" w:hAnsiTheme="majorHAnsi" w:cstheme="majorHAnsi"/>
          <w:noProof/>
          <w:color w:val="000000" w:themeColor="text1"/>
          <w:sz w:val="18"/>
          <w:szCs w:val="18"/>
          <w:lang w:eastAsia="ja-JP"/>
        </w:rPr>
        <w:t xml:space="preserve"> neuromuscular junction. </w:t>
      </w:r>
      <w:r w:rsidRPr="005E6B7C">
        <w:rPr>
          <w:rFonts w:asciiTheme="majorHAnsi" w:eastAsia="Yu Mincho" w:hAnsiTheme="majorHAnsi" w:cstheme="majorHAnsi"/>
          <w:i/>
          <w:iCs/>
          <w:noProof/>
          <w:color w:val="000000" w:themeColor="text1"/>
          <w:sz w:val="18"/>
          <w:szCs w:val="18"/>
          <w:lang w:eastAsia="ja-JP"/>
        </w:rPr>
        <w:t>Redox Biology</w:t>
      </w:r>
      <w:r w:rsidRPr="005E6B7C">
        <w:rPr>
          <w:rFonts w:asciiTheme="majorHAnsi" w:eastAsia="Yu Mincho" w:hAnsiTheme="majorHAnsi" w:cstheme="majorHAnsi"/>
          <w:noProof/>
          <w:color w:val="000000" w:themeColor="text1"/>
          <w:sz w:val="18"/>
          <w:szCs w:val="18"/>
          <w:lang w:eastAsia="ja-JP"/>
        </w:rPr>
        <w:t>, 79, 103474.</w:t>
      </w:r>
    </w:p>
    <w:p w14:paraId="64370063" w14:textId="5B27A50C" w:rsidR="00E049CB" w:rsidRPr="005E6B7C" w:rsidRDefault="00E049CB" w:rsidP="008C0D47">
      <w:pPr>
        <w:tabs>
          <w:tab w:val="left" w:pos="270"/>
          <w:tab w:val="left" w:pos="360"/>
          <w:tab w:val="left" w:pos="540"/>
          <w:tab w:val="left" w:pos="9270"/>
        </w:tabs>
        <w:spacing w:line="200" w:lineRule="exact"/>
        <w:jc w:val="both"/>
        <w:rPr>
          <w:rFonts w:asciiTheme="majorHAnsi" w:eastAsia="Yu Mincho" w:hAnsiTheme="majorHAnsi" w:cstheme="majorHAnsi"/>
          <w:noProof/>
          <w:color w:val="000000" w:themeColor="text1"/>
          <w:spacing w:val="-4"/>
          <w:sz w:val="18"/>
          <w:szCs w:val="18"/>
          <w:lang w:eastAsia="ja-JP"/>
        </w:rPr>
      </w:pPr>
      <w:r w:rsidRPr="005E6B7C">
        <w:rPr>
          <w:rFonts w:asciiTheme="majorHAnsi" w:eastAsia="Yu Mincho" w:hAnsiTheme="majorHAnsi" w:cstheme="majorHAnsi"/>
          <w:b/>
          <w:bCs/>
          <w:noProof/>
          <w:color w:val="000000" w:themeColor="text1"/>
          <w:sz w:val="18"/>
          <w:szCs w:val="18"/>
          <w:lang w:eastAsia="ja-JP"/>
        </w:rPr>
        <w:t>26.</w:t>
      </w:r>
      <w:r w:rsidRPr="005E6B7C">
        <w:rPr>
          <w:rFonts w:asciiTheme="majorHAnsi" w:eastAsia="Yu Mincho" w:hAnsiTheme="majorHAnsi" w:cstheme="majorHAnsi"/>
          <w:b/>
          <w:bCs/>
          <w:noProof/>
          <w:color w:val="000000" w:themeColor="text1"/>
          <w:spacing w:val="-4"/>
          <w:sz w:val="18"/>
          <w:szCs w:val="18"/>
          <w:lang w:eastAsia="ja-JP"/>
        </w:rPr>
        <w:tab/>
      </w:r>
      <w:r w:rsidRPr="005E6B7C">
        <w:rPr>
          <w:rFonts w:asciiTheme="majorHAnsi" w:eastAsia="Yu Mincho" w:hAnsiTheme="majorHAnsi" w:cstheme="majorHAnsi"/>
          <w:noProof/>
          <w:color w:val="000000" w:themeColor="text1"/>
          <w:spacing w:val="-4"/>
          <w:sz w:val="18"/>
          <w:szCs w:val="18"/>
          <w:lang w:eastAsia="ja-JP"/>
        </w:rPr>
        <w:t>Chai S., Zhang N., Cui C., Bao Z., Wang Q., Lin W., Cheung W. H. (2026)</w:t>
      </w:r>
      <w:r w:rsidR="008C0D47" w:rsidRPr="005E6B7C">
        <w:rPr>
          <w:rFonts w:asciiTheme="majorHAnsi" w:eastAsia="Yu Mincho" w:hAnsiTheme="majorHAnsi" w:cstheme="majorHAnsi"/>
          <w:noProof/>
          <w:color w:val="000000" w:themeColor="text1"/>
          <w:spacing w:val="-4"/>
          <w:sz w:val="18"/>
          <w:szCs w:val="18"/>
          <w:lang w:eastAsia="ja-JP"/>
        </w:rPr>
        <w:t>,</w:t>
      </w:r>
      <w:r w:rsidRPr="005E6B7C">
        <w:rPr>
          <w:rFonts w:asciiTheme="majorHAnsi" w:eastAsia="Yu Mincho" w:hAnsiTheme="majorHAnsi" w:cstheme="majorHAnsi"/>
          <w:noProof/>
          <w:color w:val="000000" w:themeColor="text1"/>
          <w:spacing w:val="-4"/>
          <w:sz w:val="18"/>
          <w:szCs w:val="18"/>
          <w:lang w:eastAsia="ja-JP"/>
        </w:rPr>
        <w:t xml:space="preserve"> Systematic review of mitochondrial dysfunction and oxidative stress in aging: A focus on neuromuscular junctions. </w:t>
      </w:r>
      <w:r w:rsidRPr="005E6B7C">
        <w:rPr>
          <w:rFonts w:asciiTheme="majorHAnsi" w:eastAsia="Yu Mincho" w:hAnsiTheme="majorHAnsi" w:cstheme="majorHAnsi"/>
          <w:i/>
          <w:iCs/>
          <w:noProof/>
          <w:color w:val="000000" w:themeColor="text1"/>
          <w:spacing w:val="-4"/>
          <w:sz w:val="18"/>
          <w:szCs w:val="18"/>
          <w:lang w:eastAsia="ja-JP"/>
        </w:rPr>
        <w:t>Neural Regeneration Research</w:t>
      </w:r>
      <w:r w:rsidRPr="005E6B7C">
        <w:rPr>
          <w:rFonts w:asciiTheme="majorHAnsi" w:eastAsia="Yu Mincho" w:hAnsiTheme="majorHAnsi" w:cstheme="majorHAnsi"/>
          <w:noProof/>
          <w:color w:val="000000" w:themeColor="text1"/>
          <w:spacing w:val="-4"/>
          <w:sz w:val="18"/>
          <w:szCs w:val="18"/>
          <w:lang w:eastAsia="ja-JP"/>
        </w:rPr>
        <w:t>, 21(5), 1947-1960.</w:t>
      </w:r>
    </w:p>
    <w:p w14:paraId="2D16B7AC" w14:textId="77777777" w:rsidR="0018773C"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fldChar w:fldCharType="end"/>
      </w:r>
      <w:r w:rsidR="0018773C" w:rsidRPr="005E6B7C">
        <w:rPr>
          <w:rFonts w:asciiTheme="majorHAnsi" w:eastAsia="Yu Mincho" w:hAnsiTheme="majorHAnsi" w:cstheme="majorHAnsi"/>
          <w:color w:val="000000" w:themeColor="text1"/>
          <w:sz w:val="18"/>
          <w:szCs w:val="18"/>
          <w:lang w:eastAsia="ja-JP"/>
        </w:rPr>
        <w:br w:type="page"/>
      </w:r>
    </w:p>
    <w:p w14:paraId="5B9115ED" w14:textId="77777777" w:rsidR="00367819" w:rsidRPr="005E6B7C" w:rsidRDefault="00367819"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C878B5" w:rsidRPr="005E6B7C">
        <w:rPr>
          <w:rFonts w:asciiTheme="majorHAnsi" w:eastAsia="Yu Mincho" w:hAnsiTheme="majorHAnsi" w:cstheme="majorHAnsi"/>
          <w:b/>
          <w:bCs/>
          <w:i/>
          <w:color w:val="000000" w:themeColor="text1"/>
          <w:sz w:val="26"/>
          <w:szCs w:val="26"/>
          <w:lang w:eastAsia="ja-JP"/>
        </w:rPr>
        <w:t xml:space="preserve"> 131 - 137</w:t>
      </w:r>
      <w:r w:rsidRPr="005E6B7C">
        <w:rPr>
          <w:rFonts w:asciiTheme="majorHAnsi" w:eastAsia="Yu Mincho" w:hAnsiTheme="majorHAnsi" w:cstheme="majorHAnsi"/>
          <w:b/>
          <w:bCs/>
          <w:i/>
          <w:color w:val="000000" w:themeColor="text1"/>
          <w:sz w:val="26"/>
          <w:szCs w:val="26"/>
          <w:lang w:eastAsia="ja-JP"/>
        </w:rPr>
        <w:t>)</w:t>
      </w:r>
    </w:p>
    <w:p w14:paraId="68031A22" w14:textId="77777777" w:rsidR="00E049CB" w:rsidRPr="005E6B7C" w:rsidRDefault="00E049CB" w:rsidP="008C0D47">
      <w:pPr>
        <w:tabs>
          <w:tab w:val="left" w:pos="270"/>
          <w:tab w:val="left" w:pos="9270"/>
        </w:tabs>
        <w:ind w:right="-20"/>
        <w:jc w:val="both"/>
        <w:rPr>
          <w:rFonts w:asciiTheme="majorHAnsi" w:eastAsia="Yu Mincho" w:hAnsiTheme="majorHAnsi" w:cstheme="majorHAnsi"/>
          <w:color w:val="000000" w:themeColor="text1"/>
          <w:sz w:val="22"/>
          <w:szCs w:val="22"/>
          <w:lang w:eastAsia="ja-JP"/>
        </w:rPr>
      </w:pPr>
    </w:p>
    <w:p w14:paraId="5A0E7FEA" w14:textId="77777777" w:rsidR="00297440" w:rsidRPr="005E6B7C" w:rsidRDefault="00E049CB" w:rsidP="008C0D47">
      <w:pPr>
        <w:tabs>
          <w:tab w:val="left" w:pos="9270"/>
        </w:tabs>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val="vi-VN" w:eastAsia="ja-JP"/>
        </w:rPr>
        <w:t xml:space="preserve">ANTI-INFLAMMATORY EFFECTS OF THE BARK </w:t>
      </w:r>
    </w:p>
    <w:p w14:paraId="794E0D9E" w14:textId="77777777" w:rsidR="00E049CB" w:rsidRPr="005E6B7C" w:rsidRDefault="00E049CB" w:rsidP="008C0D47">
      <w:pPr>
        <w:tabs>
          <w:tab w:val="left" w:pos="9270"/>
        </w:tabs>
        <w:jc w:val="center"/>
        <w:rPr>
          <w:rFonts w:asciiTheme="majorHAnsi" w:eastAsia="Yu Mincho" w:hAnsiTheme="majorHAnsi" w:cstheme="majorHAnsi"/>
          <w:b/>
          <w:color w:val="000000" w:themeColor="text1"/>
          <w:sz w:val="26"/>
          <w:szCs w:val="26"/>
          <w:lang w:val="vi-VN" w:eastAsia="ja-JP"/>
        </w:rPr>
      </w:pPr>
      <w:r w:rsidRPr="005E6B7C">
        <w:rPr>
          <w:rFonts w:asciiTheme="majorHAnsi" w:eastAsia="Yu Mincho" w:hAnsiTheme="majorHAnsi" w:cstheme="majorHAnsi"/>
          <w:b/>
          <w:color w:val="000000" w:themeColor="text1"/>
          <w:sz w:val="26"/>
          <w:szCs w:val="26"/>
          <w:lang w:val="vi-VN" w:eastAsia="ja-JP"/>
        </w:rPr>
        <w:t xml:space="preserve">OF </w:t>
      </w:r>
      <w:r w:rsidRPr="005E6B7C">
        <w:rPr>
          <w:rFonts w:asciiTheme="majorHAnsi" w:eastAsia="Yu Mincho" w:hAnsiTheme="majorHAnsi" w:cstheme="majorHAnsi"/>
          <w:b/>
          <w:i/>
          <w:color w:val="000000" w:themeColor="text1"/>
          <w:sz w:val="26"/>
          <w:szCs w:val="26"/>
          <w:lang w:val="vi-VN" w:eastAsia="ja-JP"/>
        </w:rPr>
        <w:t xml:space="preserve">PHELLODENDRON AMURENSE </w:t>
      </w:r>
      <w:r w:rsidRPr="005E6B7C">
        <w:rPr>
          <w:rFonts w:asciiTheme="majorHAnsi" w:eastAsia="Yu Mincho" w:hAnsiTheme="majorHAnsi" w:cstheme="majorHAnsi"/>
          <w:b/>
          <w:iCs/>
          <w:color w:val="000000" w:themeColor="text1"/>
          <w:sz w:val="26"/>
          <w:szCs w:val="26"/>
          <w:lang w:val="vi-VN" w:eastAsia="ja-JP"/>
        </w:rPr>
        <w:t>RUPR.</w:t>
      </w:r>
      <w:r w:rsidRPr="005E6B7C">
        <w:rPr>
          <w:rFonts w:asciiTheme="majorHAnsi" w:eastAsia="Yu Mincho" w:hAnsiTheme="majorHAnsi" w:cstheme="majorHAnsi"/>
          <w:b/>
          <w:i/>
          <w:color w:val="000000" w:themeColor="text1"/>
          <w:sz w:val="26"/>
          <w:szCs w:val="26"/>
          <w:lang w:val="vi-VN" w:eastAsia="ja-JP"/>
        </w:rPr>
        <w:t xml:space="preserve"> </w:t>
      </w:r>
      <w:r w:rsidRPr="005E6B7C">
        <w:rPr>
          <w:rFonts w:asciiTheme="majorHAnsi" w:eastAsia="Yu Mincho" w:hAnsiTheme="majorHAnsi" w:cstheme="majorHAnsi"/>
          <w:b/>
          <w:color w:val="000000" w:themeColor="text1"/>
          <w:sz w:val="26"/>
          <w:szCs w:val="26"/>
          <w:lang w:val="vi-VN" w:eastAsia="ja-JP"/>
        </w:rPr>
        <w:t>IN EXPERIMENTAL MODELS</w:t>
      </w:r>
    </w:p>
    <w:p w14:paraId="426D6FE4" w14:textId="77777777" w:rsidR="00E049CB" w:rsidRPr="005E6B7C" w:rsidRDefault="00E049CB" w:rsidP="008C0D47">
      <w:pPr>
        <w:tabs>
          <w:tab w:val="left" w:pos="9270"/>
        </w:tabs>
        <w:contextualSpacing/>
        <w:jc w:val="center"/>
        <w:rPr>
          <w:rFonts w:asciiTheme="majorHAnsi" w:eastAsia="Times New Roman" w:hAnsiTheme="majorHAnsi" w:cstheme="majorHAnsi"/>
          <w:b/>
          <w:bCs/>
          <w:i/>
          <w:iCs/>
          <w:color w:val="000000" w:themeColor="text1"/>
          <w:spacing w:val="-10"/>
          <w:kern w:val="28"/>
          <w:sz w:val="22"/>
          <w:szCs w:val="22"/>
          <w:lang w:eastAsia="ja-JP"/>
        </w:rPr>
      </w:pPr>
      <w:r w:rsidRPr="005E6B7C">
        <w:rPr>
          <w:rFonts w:asciiTheme="majorHAnsi" w:eastAsia="Times New Roman" w:hAnsiTheme="majorHAnsi" w:cstheme="majorHAnsi"/>
          <w:b/>
          <w:bCs/>
          <w:i/>
          <w:iCs/>
          <w:color w:val="000000" w:themeColor="text1"/>
          <w:spacing w:val="-10"/>
          <w:kern w:val="28"/>
          <w:sz w:val="22"/>
          <w:szCs w:val="22"/>
          <w:lang w:eastAsia="ja-JP"/>
        </w:rPr>
        <w:t>Do Thi Hang</w:t>
      </w:r>
      <w:r w:rsidRPr="005E6B7C">
        <w:rPr>
          <w:rFonts w:asciiTheme="majorHAnsi" w:eastAsia="Times New Roman" w:hAnsiTheme="majorHAnsi" w:cstheme="majorHAnsi"/>
          <w:b/>
          <w:bCs/>
          <w:i/>
          <w:iCs/>
          <w:color w:val="000000" w:themeColor="text1"/>
          <w:spacing w:val="-10"/>
          <w:kern w:val="28"/>
          <w:sz w:val="22"/>
          <w:szCs w:val="22"/>
          <w:vertAlign w:val="superscript"/>
          <w:lang w:eastAsia="ja-JP"/>
        </w:rPr>
        <w:t>1,2,</w:t>
      </w:r>
      <w:r w:rsidRPr="005E6B7C">
        <w:rPr>
          <w:rFonts w:asciiTheme="majorHAnsi" w:eastAsia="Times New Roman" w:hAnsiTheme="majorHAnsi" w:cstheme="majorHAnsi"/>
          <w:b/>
          <w:bCs/>
          <w:i/>
          <w:iCs/>
          <w:color w:val="000000" w:themeColor="text1"/>
          <w:spacing w:val="-10"/>
          <w:kern w:val="28"/>
          <w:sz w:val="22"/>
          <w:szCs w:val="22"/>
          <w:lang w:val="vi-VN" w:eastAsia="ja-JP"/>
        </w:rPr>
        <w:t>*</w:t>
      </w:r>
      <w:r w:rsidRPr="005E6B7C">
        <w:rPr>
          <w:rFonts w:asciiTheme="majorHAnsi" w:eastAsia="Times New Roman" w:hAnsiTheme="majorHAnsi" w:cstheme="majorHAnsi"/>
          <w:b/>
          <w:bCs/>
          <w:i/>
          <w:iCs/>
          <w:color w:val="000000" w:themeColor="text1"/>
          <w:spacing w:val="-10"/>
          <w:kern w:val="28"/>
          <w:sz w:val="22"/>
          <w:szCs w:val="22"/>
          <w:lang w:eastAsia="ja-JP"/>
        </w:rPr>
        <w:t>, Le Thi Kim Van</w:t>
      </w:r>
      <w:r w:rsidRPr="005E6B7C">
        <w:rPr>
          <w:rFonts w:asciiTheme="majorHAnsi" w:eastAsia="Times New Roman" w:hAnsiTheme="majorHAnsi" w:cstheme="majorHAnsi"/>
          <w:b/>
          <w:bCs/>
          <w:i/>
          <w:iCs/>
          <w:color w:val="000000" w:themeColor="text1"/>
          <w:spacing w:val="-10"/>
          <w:kern w:val="28"/>
          <w:sz w:val="22"/>
          <w:szCs w:val="22"/>
          <w:vertAlign w:val="superscript"/>
          <w:lang w:eastAsia="ja-JP"/>
        </w:rPr>
        <w:t>1</w:t>
      </w:r>
      <w:r w:rsidRPr="005E6B7C">
        <w:rPr>
          <w:rFonts w:asciiTheme="majorHAnsi" w:eastAsia="Times New Roman" w:hAnsiTheme="majorHAnsi" w:cstheme="majorHAnsi"/>
          <w:b/>
          <w:bCs/>
          <w:i/>
          <w:iCs/>
          <w:color w:val="000000" w:themeColor="text1"/>
          <w:spacing w:val="-10"/>
          <w:kern w:val="28"/>
          <w:sz w:val="22"/>
          <w:szCs w:val="22"/>
          <w:lang w:eastAsia="ja-JP"/>
        </w:rPr>
        <w:t>, Do Van Dung</w:t>
      </w:r>
      <w:r w:rsidRPr="005E6B7C">
        <w:rPr>
          <w:rFonts w:asciiTheme="majorHAnsi" w:eastAsia="Times New Roman" w:hAnsiTheme="majorHAnsi" w:cstheme="majorHAnsi"/>
          <w:b/>
          <w:bCs/>
          <w:i/>
          <w:iCs/>
          <w:color w:val="000000" w:themeColor="text1"/>
          <w:spacing w:val="-10"/>
          <w:kern w:val="28"/>
          <w:sz w:val="22"/>
          <w:szCs w:val="22"/>
          <w:vertAlign w:val="superscript"/>
          <w:lang w:eastAsia="ja-JP"/>
        </w:rPr>
        <w:t>2</w:t>
      </w:r>
      <w:r w:rsidRPr="005E6B7C">
        <w:rPr>
          <w:rFonts w:asciiTheme="majorHAnsi" w:eastAsia="Times New Roman" w:hAnsiTheme="majorHAnsi" w:cstheme="majorHAnsi"/>
          <w:b/>
          <w:bCs/>
          <w:i/>
          <w:iCs/>
          <w:color w:val="000000" w:themeColor="text1"/>
          <w:spacing w:val="-10"/>
          <w:kern w:val="28"/>
          <w:sz w:val="22"/>
          <w:szCs w:val="22"/>
          <w:lang w:eastAsia="ja-JP"/>
        </w:rPr>
        <w:t>, Bui Thanh Tung</w:t>
      </w:r>
      <w:r w:rsidRPr="005E6B7C">
        <w:rPr>
          <w:rFonts w:asciiTheme="majorHAnsi" w:eastAsia="Times New Roman" w:hAnsiTheme="majorHAnsi" w:cstheme="majorHAnsi"/>
          <w:b/>
          <w:bCs/>
          <w:i/>
          <w:iCs/>
          <w:color w:val="000000" w:themeColor="text1"/>
          <w:spacing w:val="-10"/>
          <w:kern w:val="28"/>
          <w:sz w:val="22"/>
          <w:szCs w:val="22"/>
          <w:vertAlign w:val="superscript"/>
          <w:lang w:eastAsia="ja-JP"/>
        </w:rPr>
        <w:t>3</w:t>
      </w:r>
    </w:p>
    <w:p w14:paraId="7B6A63A7" w14:textId="1B43263A" w:rsidR="00517F81" w:rsidRPr="005E6B7C" w:rsidRDefault="00517F81" w:rsidP="008C0D47">
      <w:pPr>
        <w:tabs>
          <w:tab w:val="left" w:pos="9270"/>
        </w:tabs>
        <w:contextualSpacing/>
        <w:jc w:val="center"/>
        <w:rPr>
          <w:rFonts w:asciiTheme="majorHAnsi" w:eastAsia="Times New Roman" w:hAnsiTheme="majorHAnsi" w:cstheme="majorHAnsi"/>
          <w:bCs/>
          <w:i/>
          <w:iCs/>
          <w:color w:val="000000" w:themeColor="text1"/>
          <w:spacing w:val="-10"/>
          <w:kern w:val="28"/>
          <w:sz w:val="22"/>
          <w:szCs w:val="22"/>
          <w:lang w:eastAsia="ja-JP"/>
        </w:rPr>
      </w:pPr>
      <w:r w:rsidRPr="005E6B7C">
        <w:rPr>
          <w:rFonts w:asciiTheme="majorHAnsi" w:eastAsia="Times New Roman" w:hAnsiTheme="majorHAnsi" w:cstheme="majorHAnsi"/>
          <w:i/>
          <w:iCs/>
          <w:color w:val="000000" w:themeColor="text1"/>
          <w:spacing w:val="-10"/>
          <w:kern w:val="28"/>
          <w:sz w:val="22"/>
          <w:szCs w:val="22"/>
          <w:vertAlign w:val="superscript"/>
          <w:lang w:eastAsia="ja-JP"/>
        </w:rPr>
        <w:t>1</w:t>
      </w:r>
      <w:r w:rsidRPr="005E6B7C">
        <w:rPr>
          <w:rFonts w:asciiTheme="majorHAnsi" w:eastAsia="Times New Roman" w:hAnsiTheme="majorHAnsi" w:cstheme="majorHAnsi"/>
          <w:i/>
          <w:iCs/>
          <w:color w:val="000000" w:themeColor="text1"/>
          <w:spacing w:val="-10"/>
          <w:kern w:val="28"/>
          <w:sz w:val="22"/>
          <w:szCs w:val="22"/>
          <w:lang w:eastAsia="ja-JP"/>
        </w:rPr>
        <w:t>National Institute of Medic</w:t>
      </w:r>
      <w:r w:rsidR="00D54E9A" w:rsidRPr="005E6B7C">
        <w:rPr>
          <w:rFonts w:asciiTheme="majorHAnsi" w:eastAsia="Times New Roman" w:hAnsiTheme="majorHAnsi" w:cstheme="majorHAnsi"/>
          <w:i/>
          <w:iCs/>
          <w:color w:val="000000" w:themeColor="text1"/>
          <w:spacing w:val="-10"/>
          <w:kern w:val="28"/>
          <w:sz w:val="22"/>
          <w:szCs w:val="22"/>
          <w:lang w:eastAsia="ja-JP"/>
        </w:rPr>
        <w:t>in</w:t>
      </w:r>
      <w:r w:rsidRPr="005E6B7C">
        <w:rPr>
          <w:rFonts w:asciiTheme="majorHAnsi" w:eastAsia="Times New Roman" w:hAnsiTheme="majorHAnsi" w:cstheme="majorHAnsi"/>
          <w:i/>
          <w:iCs/>
          <w:color w:val="000000" w:themeColor="text1"/>
          <w:spacing w:val="-10"/>
          <w:kern w:val="28"/>
          <w:sz w:val="22"/>
          <w:szCs w:val="22"/>
          <w:lang w:eastAsia="ja-JP"/>
        </w:rPr>
        <w:t>al Materials (NIMM), Hanoi 11018, Vietnam;</w:t>
      </w:r>
    </w:p>
    <w:p w14:paraId="3B7DF81A" w14:textId="14594042" w:rsidR="00E049CB" w:rsidRPr="005E6B7C" w:rsidRDefault="00E049CB" w:rsidP="008C0D47">
      <w:pPr>
        <w:tabs>
          <w:tab w:val="left" w:pos="9270"/>
        </w:tabs>
        <w:contextualSpacing/>
        <w:jc w:val="center"/>
        <w:rPr>
          <w:rFonts w:asciiTheme="majorHAnsi" w:eastAsia="Times New Roman" w:hAnsiTheme="majorHAnsi" w:cstheme="majorHAnsi"/>
          <w:b/>
          <w:bCs/>
          <w:i/>
          <w:color w:val="000000" w:themeColor="text1"/>
          <w:spacing w:val="-10"/>
          <w:kern w:val="28"/>
          <w:sz w:val="22"/>
          <w:szCs w:val="22"/>
          <w:lang w:eastAsia="ja-JP"/>
        </w:rPr>
      </w:pPr>
      <w:r w:rsidRPr="005E6B7C">
        <w:rPr>
          <w:rFonts w:asciiTheme="majorHAnsi" w:eastAsia="Times New Roman" w:hAnsiTheme="majorHAnsi" w:cstheme="majorHAnsi"/>
          <w:i/>
          <w:color w:val="000000" w:themeColor="text1"/>
          <w:spacing w:val="-10"/>
          <w:kern w:val="28"/>
          <w:sz w:val="22"/>
          <w:szCs w:val="22"/>
          <w:vertAlign w:val="superscript"/>
          <w:lang w:eastAsia="ja-JP"/>
        </w:rPr>
        <w:t>2</w:t>
      </w:r>
      <w:r w:rsidRPr="005E6B7C">
        <w:rPr>
          <w:rFonts w:asciiTheme="majorHAnsi" w:eastAsia="Times New Roman" w:hAnsiTheme="majorHAnsi" w:cstheme="majorHAnsi"/>
          <w:i/>
          <w:color w:val="000000" w:themeColor="text1"/>
          <w:spacing w:val="-10"/>
          <w:kern w:val="28"/>
          <w:sz w:val="22"/>
          <w:szCs w:val="22"/>
          <w:lang w:eastAsia="ja-JP"/>
        </w:rPr>
        <w:t>Phuc Yen General Hospital, Phuc Yen, Phu Tho</w:t>
      </w:r>
      <w:r w:rsidRPr="005E6B7C">
        <w:rPr>
          <w:rFonts w:asciiTheme="majorHAnsi" w:eastAsia="Times New Roman" w:hAnsiTheme="majorHAnsi" w:cstheme="majorHAnsi"/>
          <w:i/>
          <w:color w:val="000000" w:themeColor="text1"/>
          <w:spacing w:val="-10"/>
          <w:kern w:val="28"/>
          <w:sz w:val="22"/>
          <w:szCs w:val="22"/>
          <w:lang w:val="vi-VN" w:eastAsia="ja-JP"/>
        </w:rPr>
        <w:t>,</w:t>
      </w:r>
      <w:r w:rsidRPr="005E6B7C">
        <w:rPr>
          <w:rFonts w:asciiTheme="majorHAnsi" w:eastAsia="Times New Roman" w:hAnsiTheme="majorHAnsi" w:cstheme="majorHAnsi"/>
          <w:i/>
          <w:color w:val="000000" w:themeColor="text1"/>
          <w:spacing w:val="-10"/>
          <w:kern w:val="28"/>
          <w:sz w:val="22"/>
          <w:szCs w:val="22"/>
          <w:lang w:eastAsia="ja-JP"/>
        </w:rPr>
        <w:t xml:space="preserve"> Viet</w:t>
      </w:r>
      <w:r w:rsidR="00173548" w:rsidRPr="005E6B7C">
        <w:rPr>
          <w:rFonts w:asciiTheme="majorHAnsi" w:eastAsia="Times New Roman" w:hAnsiTheme="majorHAnsi" w:cstheme="majorHAnsi"/>
          <w:i/>
          <w:color w:val="000000" w:themeColor="text1"/>
          <w:spacing w:val="-10"/>
          <w:kern w:val="28"/>
          <w:sz w:val="22"/>
          <w:szCs w:val="22"/>
          <w:lang w:eastAsia="ja-JP"/>
        </w:rPr>
        <w:t>n</w:t>
      </w:r>
      <w:r w:rsidRPr="005E6B7C">
        <w:rPr>
          <w:rFonts w:asciiTheme="majorHAnsi" w:eastAsia="Times New Roman" w:hAnsiTheme="majorHAnsi" w:cstheme="majorHAnsi"/>
          <w:i/>
          <w:color w:val="000000" w:themeColor="text1"/>
          <w:spacing w:val="-10"/>
          <w:kern w:val="28"/>
          <w:sz w:val="22"/>
          <w:szCs w:val="22"/>
          <w:lang w:eastAsia="ja-JP"/>
        </w:rPr>
        <w:t>am</w:t>
      </w:r>
    </w:p>
    <w:p w14:paraId="6AA3CFCA" w14:textId="3BB7D063" w:rsidR="00E049CB" w:rsidRPr="005E6B7C" w:rsidRDefault="00E049CB" w:rsidP="008C0D47">
      <w:pPr>
        <w:tabs>
          <w:tab w:val="left" w:pos="9270"/>
        </w:tabs>
        <w:contextualSpacing/>
        <w:jc w:val="center"/>
        <w:rPr>
          <w:rFonts w:asciiTheme="majorHAnsi" w:eastAsia="Times New Roman" w:hAnsiTheme="majorHAnsi" w:cstheme="majorHAnsi"/>
          <w:b/>
          <w:bCs/>
          <w:i/>
          <w:color w:val="000000" w:themeColor="text1"/>
          <w:spacing w:val="-10"/>
          <w:kern w:val="28"/>
          <w:sz w:val="22"/>
          <w:szCs w:val="22"/>
          <w:lang w:eastAsia="ja-JP"/>
        </w:rPr>
      </w:pPr>
      <w:r w:rsidRPr="005E6B7C">
        <w:rPr>
          <w:rFonts w:asciiTheme="majorHAnsi" w:eastAsia="Times New Roman" w:hAnsiTheme="majorHAnsi" w:cstheme="majorHAnsi"/>
          <w:i/>
          <w:color w:val="000000" w:themeColor="text1"/>
          <w:spacing w:val="-10"/>
          <w:kern w:val="28"/>
          <w:sz w:val="22"/>
          <w:szCs w:val="22"/>
          <w:vertAlign w:val="superscript"/>
          <w:lang w:eastAsia="ja-JP"/>
        </w:rPr>
        <w:t>3</w:t>
      </w:r>
      <w:r w:rsidRPr="005E6B7C">
        <w:rPr>
          <w:rFonts w:asciiTheme="majorHAnsi" w:eastAsia="Times New Roman" w:hAnsiTheme="majorHAnsi" w:cstheme="majorHAnsi"/>
          <w:i/>
          <w:color w:val="000000" w:themeColor="text1"/>
          <w:spacing w:val="-10"/>
          <w:kern w:val="28"/>
          <w:sz w:val="22"/>
          <w:szCs w:val="22"/>
          <w:lang w:eastAsia="ja-JP"/>
        </w:rPr>
        <w:t>VNU University of Medicine and Pharmacy, Vietnam National University, Hanoi,</w:t>
      </w:r>
      <w:r w:rsidRPr="005E6B7C">
        <w:rPr>
          <w:rFonts w:asciiTheme="majorHAnsi" w:eastAsia="Times New Roman" w:hAnsiTheme="majorHAnsi" w:cstheme="majorHAnsi"/>
          <w:i/>
          <w:color w:val="000000" w:themeColor="text1"/>
          <w:spacing w:val="-10"/>
          <w:kern w:val="28"/>
          <w:sz w:val="22"/>
          <w:szCs w:val="22"/>
          <w:lang w:val="vi-VN" w:eastAsia="ja-JP"/>
        </w:rPr>
        <w:t xml:space="preserve"> </w:t>
      </w:r>
      <w:r w:rsidRPr="005E6B7C">
        <w:rPr>
          <w:rFonts w:asciiTheme="majorHAnsi" w:eastAsia="Times New Roman" w:hAnsiTheme="majorHAnsi" w:cstheme="majorHAnsi"/>
          <w:i/>
          <w:color w:val="000000" w:themeColor="text1"/>
          <w:spacing w:val="-10"/>
          <w:kern w:val="28"/>
          <w:sz w:val="22"/>
          <w:szCs w:val="22"/>
          <w:lang w:eastAsia="ja-JP"/>
        </w:rPr>
        <w:t>Viet</w:t>
      </w:r>
      <w:r w:rsidR="00173548" w:rsidRPr="005E6B7C">
        <w:rPr>
          <w:rFonts w:asciiTheme="majorHAnsi" w:eastAsia="Times New Roman" w:hAnsiTheme="majorHAnsi" w:cstheme="majorHAnsi"/>
          <w:i/>
          <w:color w:val="000000" w:themeColor="text1"/>
          <w:spacing w:val="-10"/>
          <w:kern w:val="28"/>
          <w:sz w:val="22"/>
          <w:szCs w:val="22"/>
          <w:lang w:eastAsia="ja-JP"/>
        </w:rPr>
        <w:t>n</w:t>
      </w:r>
      <w:r w:rsidRPr="005E6B7C">
        <w:rPr>
          <w:rFonts w:asciiTheme="majorHAnsi" w:eastAsia="Times New Roman" w:hAnsiTheme="majorHAnsi" w:cstheme="majorHAnsi"/>
          <w:i/>
          <w:color w:val="000000" w:themeColor="text1"/>
          <w:spacing w:val="-10"/>
          <w:kern w:val="28"/>
          <w:sz w:val="22"/>
          <w:szCs w:val="22"/>
          <w:lang w:eastAsia="ja-JP"/>
        </w:rPr>
        <w:t>am</w:t>
      </w:r>
    </w:p>
    <w:p w14:paraId="29676A20" w14:textId="78DB8D57" w:rsidR="00E049CB" w:rsidRPr="005E6B7C" w:rsidRDefault="00E049CB" w:rsidP="008C0D47">
      <w:pPr>
        <w:tabs>
          <w:tab w:val="left" w:pos="9270"/>
        </w:tabs>
        <w:contextualSpacing/>
        <w:jc w:val="center"/>
        <w:rPr>
          <w:rFonts w:asciiTheme="majorHAnsi" w:eastAsia="Times New Roman" w:hAnsiTheme="majorHAnsi" w:cstheme="majorHAnsi"/>
          <w:color w:val="000000" w:themeColor="text1"/>
          <w:spacing w:val="-10"/>
          <w:kern w:val="28"/>
          <w:sz w:val="22"/>
          <w:szCs w:val="22"/>
          <w:lang w:eastAsia="ja-JP"/>
        </w:rPr>
      </w:pPr>
      <w:r w:rsidRPr="005E6B7C">
        <w:rPr>
          <w:rFonts w:asciiTheme="majorHAnsi" w:eastAsia="Times New Roman" w:hAnsiTheme="majorHAnsi" w:cstheme="majorHAnsi"/>
          <w:color w:val="000000" w:themeColor="text1"/>
          <w:spacing w:val="-10"/>
          <w:kern w:val="28"/>
          <w:sz w:val="22"/>
          <w:szCs w:val="22"/>
          <w:lang w:eastAsia="ja-JP"/>
        </w:rPr>
        <w:t>*Corresponding author: dothihangpharma@gmail.com</w:t>
      </w:r>
    </w:p>
    <w:p w14:paraId="7F5F1D1F" w14:textId="19CA4668" w:rsidR="00A0756D" w:rsidRPr="005E6B7C" w:rsidRDefault="00A0756D" w:rsidP="008C0D47">
      <w:pPr>
        <w:tabs>
          <w:tab w:val="left" w:pos="9270"/>
        </w:tabs>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December 31</w:t>
      </w:r>
      <w:r w:rsidRPr="005E6B7C">
        <w:rPr>
          <w:rFonts w:asciiTheme="majorHAnsi" w:eastAsia="Yu Mincho" w:hAnsiTheme="majorHAnsi" w:cstheme="majorHAnsi"/>
          <w:color w:val="000000" w:themeColor="text1"/>
          <w:sz w:val="20"/>
          <w:szCs w:val="20"/>
          <w:vertAlign w:val="superscript"/>
          <w:lang w:eastAsia="ja-JP"/>
        </w:rPr>
        <w:t>st</w:t>
      </w:r>
      <w:r w:rsidRPr="005E6B7C">
        <w:rPr>
          <w:rFonts w:asciiTheme="majorHAnsi" w:eastAsia="Yu Mincho" w:hAnsiTheme="majorHAnsi" w:cstheme="majorHAnsi"/>
          <w:color w:val="000000" w:themeColor="text1"/>
          <w:sz w:val="20"/>
          <w:szCs w:val="20"/>
          <w:lang w:eastAsia="ja-JP"/>
        </w:rPr>
        <w:t>, 202</w:t>
      </w:r>
      <w:r w:rsidR="00D54E9A" w:rsidRPr="005E6B7C">
        <w:rPr>
          <w:rFonts w:asciiTheme="majorHAnsi" w:eastAsia="Yu Mincho" w:hAnsiTheme="majorHAnsi" w:cstheme="majorHAnsi"/>
          <w:color w:val="000000" w:themeColor="text1"/>
          <w:sz w:val="20"/>
          <w:szCs w:val="20"/>
          <w:lang w:eastAsia="ja-JP"/>
        </w:rPr>
        <w:t>5</w:t>
      </w:r>
      <w:r w:rsidRPr="005E6B7C">
        <w:rPr>
          <w:rFonts w:asciiTheme="majorHAnsi" w:eastAsia="Yu Mincho" w:hAnsiTheme="majorHAnsi" w:cstheme="majorHAnsi"/>
          <w:color w:val="000000" w:themeColor="text1"/>
          <w:sz w:val="20"/>
          <w:szCs w:val="20"/>
          <w:lang w:eastAsia="ja-JP"/>
        </w:rPr>
        <w:t xml:space="preserve">               Accepted March 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7EED23BF"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Summary</w:t>
      </w:r>
    </w:p>
    <w:p w14:paraId="6A814F65" w14:textId="4DAD4876"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Cs/>
          <w:color w:val="000000" w:themeColor="text1"/>
          <w:sz w:val="18"/>
          <w:szCs w:val="18"/>
          <w:lang w:eastAsia="ja-JP"/>
        </w:rPr>
        <w:t xml:space="preserve">The objective of this study was to investigate the anti-inflammatory properties of </w:t>
      </w:r>
      <w:r w:rsidRPr="005E6B7C">
        <w:rPr>
          <w:rFonts w:asciiTheme="majorHAnsi" w:eastAsia="Yu Mincho" w:hAnsiTheme="majorHAnsi" w:cstheme="majorHAnsi"/>
          <w:i/>
          <w:iCs/>
          <w:color w:val="000000" w:themeColor="text1"/>
          <w:sz w:val="18"/>
          <w:szCs w:val="18"/>
          <w:lang w:eastAsia="ja-JP"/>
        </w:rPr>
        <w:t>n</w:t>
      </w:r>
      <w:r w:rsidRPr="005E6B7C">
        <w:rPr>
          <w:rFonts w:asciiTheme="majorHAnsi" w:eastAsia="Yu Mincho" w:hAnsiTheme="majorHAnsi" w:cstheme="majorHAnsi"/>
          <w:iCs/>
          <w:color w:val="000000" w:themeColor="text1"/>
          <w:sz w:val="18"/>
          <w:szCs w:val="18"/>
          <w:lang w:eastAsia="ja-JP"/>
        </w:rPr>
        <w:t>-hexane, ethyl acetate (EtOAc), dichloromethane (CH</w:t>
      </w:r>
      <w:r w:rsidRPr="005E6B7C">
        <w:rPr>
          <w:rFonts w:asciiTheme="majorHAnsi" w:eastAsia="Yu Mincho" w:hAnsiTheme="majorHAnsi" w:cstheme="majorHAnsi"/>
          <w:iCs/>
          <w:color w:val="000000" w:themeColor="text1"/>
          <w:sz w:val="18"/>
          <w:szCs w:val="18"/>
          <w:vertAlign w:val="subscript"/>
          <w:lang w:eastAsia="ja-JP"/>
        </w:rPr>
        <w:t>2</w:t>
      </w:r>
      <w:r w:rsidRPr="005E6B7C">
        <w:rPr>
          <w:rFonts w:asciiTheme="majorHAnsi" w:eastAsia="Yu Mincho" w:hAnsiTheme="majorHAnsi" w:cstheme="majorHAnsi"/>
          <w:iCs/>
          <w:color w:val="000000" w:themeColor="text1"/>
          <w:sz w:val="18"/>
          <w:szCs w:val="18"/>
          <w:lang w:eastAsia="ja-JP"/>
        </w:rPr>
        <w:t>Cl</w:t>
      </w:r>
      <w:r w:rsidRPr="005E6B7C">
        <w:rPr>
          <w:rFonts w:asciiTheme="majorHAnsi" w:eastAsia="Yu Mincho" w:hAnsiTheme="majorHAnsi" w:cstheme="majorHAnsi"/>
          <w:iCs/>
          <w:color w:val="000000" w:themeColor="text1"/>
          <w:sz w:val="18"/>
          <w:szCs w:val="18"/>
          <w:vertAlign w:val="subscript"/>
          <w:lang w:eastAsia="ja-JP"/>
        </w:rPr>
        <w:t>2</w:t>
      </w:r>
      <w:r w:rsidRPr="005E6B7C">
        <w:rPr>
          <w:rFonts w:asciiTheme="majorHAnsi" w:eastAsia="Yu Mincho" w:hAnsiTheme="majorHAnsi" w:cstheme="majorHAnsi"/>
          <w:iCs/>
          <w:color w:val="000000" w:themeColor="text1"/>
          <w:sz w:val="18"/>
          <w:szCs w:val="18"/>
          <w:lang w:eastAsia="ja-JP"/>
        </w:rPr>
        <w:t>), and aqueous extracts of</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Phellodendron amurense</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The activity was</w:t>
      </w:r>
      <w:r w:rsidRPr="005E6B7C">
        <w:rPr>
          <w:rFonts w:asciiTheme="majorHAnsi" w:eastAsia="Yu Mincho" w:hAnsiTheme="majorHAnsi" w:cstheme="majorHAnsi"/>
          <w:iCs/>
          <w:color w:val="000000" w:themeColor="text1"/>
          <w:sz w:val="18"/>
          <w:szCs w:val="18"/>
          <w:lang w:eastAsia="ja-JP"/>
        </w:rPr>
        <w:t xml:space="preserve"> evaluated </w:t>
      </w:r>
      <w:r w:rsidR="00894500" w:rsidRPr="005E6B7C">
        <w:rPr>
          <w:rFonts w:asciiTheme="majorHAnsi" w:eastAsia="Yu Mincho" w:hAnsiTheme="majorHAnsi" w:cstheme="majorHAnsi"/>
          <w:bCs/>
          <w:i/>
          <w:iCs/>
          <w:color w:val="000000" w:themeColor="text1"/>
          <w:sz w:val="18"/>
          <w:szCs w:val="18"/>
          <w:lang w:eastAsia="ja-JP"/>
        </w:rPr>
        <w:t>in vitro</w:t>
      </w:r>
      <w:r w:rsidRPr="005E6B7C">
        <w:rPr>
          <w:rFonts w:asciiTheme="majorHAnsi" w:eastAsia="Yu Mincho" w:hAnsiTheme="majorHAnsi" w:cstheme="majorHAnsi"/>
          <w:iCs/>
          <w:color w:val="000000" w:themeColor="text1"/>
          <w:sz w:val="18"/>
          <w:szCs w:val="18"/>
          <w:lang w:eastAsia="ja-JP"/>
        </w:rPr>
        <w:t xml:space="preserve"> by nitric oxide (NO) and prostaglandin E2 (PGE2) inhibition assays, and </w:t>
      </w:r>
      <w:r w:rsidR="00894500" w:rsidRPr="005E6B7C">
        <w:rPr>
          <w:rFonts w:asciiTheme="majorHAnsi" w:eastAsia="Yu Mincho" w:hAnsiTheme="majorHAnsi" w:cstheme="majorHAnsi"/>
          <w:bCs/>
          <w:i/>
          <w:iCs/>
          <w:color w:val="000000" w:themeColor="text1"/>
          <w:sz w:val="18"/>
          <w:szCs w:val="18"/>
          <w:lang w:eastAsia="ja-JP"/>
        </w:rPr>
        <w:t>in vivo</w:t>
      </w:r>
      <w:r w:rsidRPr="005E6B7C">
        <w:rPr>
          <w:rFonts w:asciiTheme="majorHAnsi" w:eastAsia="Yu Mincho" w:hAnsiTheme="majorHAnsi" w:cstheme="majorHAnsi"/>
          <w:iCs/>
          <w:color w:val="000000" w:themeColor="text1"/>
          <w:sz w:val="18"/>
          <w:szCs w:val="18"/>
          <w:lang w:eastAsia="ja-JP"/>
        </w:rPr>
        <w:t xml:space="preserve"> using carrageenan-induced paw edema and lipopolysaccharide (LPS)-induced endotoxemia models in rats</w:t>
      </w:r>
      <w:r w:rsidRPr="005E6B7C">
        <w:rPr>
          <w:rFonts w:asciiTheme="majorHAnsi" w:eastAsia="Yu Mincho" w:hAnsiTheme="majorHAnsi" w:cstheme="majorHAnsi"/>
          <w:bCs/>
          <w:i/>
          <w:color w:val="000000" w:themeColor="text1"/>
          <w:sz w:val="18"/>
          <w:szCs w:val="18"/>
          <w:lang w:val="vi-VN" w:eastAsia="ja-JP"/>
        </w:rPr>
        <w:t>.</w:t>
      </w:r>
      <w:r w:rsidRPr="005E6B7C">
        <w:rPr>
          <w:rFonts w:asciiTheme="majorHAnsi" w:eastAsia="Yu Mincho" w:hAnsiTheme="majorHAnsi" w:cstheme="majorHAnsi"/>
          <w:bCs/>
          <w:color w:val="000000" w:themeColor="text1"/>
          <w:sz w:val="18"/>
          <w:szCs w:val="18"/>
          <w:lang w:val="vi-VN" w:eastAsia="ja-JP"/>
        </w:rPr>
        <w:t xml:space="preserve"> </w:t>
      </w:r>
      <w:r w:rsidR="00894500" w:rsidRPr="005E6B7C">
        <w:rPr>
          <w:rFonts w:asciiTheme="majorHAnsi" w:eastAsia="Yu Mincho" w:hAnsiTheme="majorHAnsi" w:cstheme="majorHAnsi"/>
          <w:bCs/>
          <w:i/>
          <w:iCs/>
          <w:color w:val="000000" w:themeColor="text1"/>
          <w:sz w:val="18"/>
          <w:szCs w:val="18"/>
          <w:lang w:eastAsia="ja-JP"/>
        </w:rPr>
        <w:t>In vitro</w:t>
      </w:r>
      <w:r w:rsidRPr="005E6B7C">
        <w:rPr>
          <w:rFonts w:asciiTheme="majorHAnsi" w:eastAsia="Yu Mincho" w:hAnsiTheme="majorHAnsi" w:cstheme="majorHAnsi"/>
          <w:bCs/>
          <w:color w:val="000000" w:themeColor="text1"/>
          <w:sz w:val="18"/>
          <w:szCs w:val="18"/>
          <w:lang w:val="vi-VN" w:eastAsia="ja-JP"/>
        </w:rPr>
        <w:t xml:space="preserve"> anti-inflammatory activity was assessed by measuring the inhibition of NO and PGE2 production using RAW 264.7 macrophage cells. Among the tested extracts,</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the CH</w:t>
      </w:r>
      <w:r w:rsidRPr="005E6B7C">
        <w:rPr>
          <w:rFonts w:asciiTheme="majorHAnsi" w:eastAsia="Yu Mincho" w:hAnsiTheme="majorHAnsi" w:cstheme="majorHAnsi"/>
          <w:bCs/>
          <w:color w:val="000000" w:themeColor="text1"/>
          <w:sz w:val="18"/>
          <w:szCs w:val="18"/>
          <w:vertAlign w:val="subscript"/>
          <w:lang w:val="vi-VN" w:eastAsia="ja-JP"/>
        </w:rPr>
        <w:t>2</w:t>
      </w:r>
      <w:r w:rsidRPr="005E6B7C">
        <w:rPr>
          <w:rFonts w:asciiTheme="majorHAnsi" w:eastAsia="Yu Mincho" w:hAnsiTheme="majorHAnsi" w:cstheme="majorHAnsi"/>
          <w:bCs/>
          <w:color w:val="000000" w:themeColor="text1"/>
          <w:sz w:val="18"/>
          <w:szCs w:val="18"/>
          <w:lang w:val="vi-VN" w:eastAsia="ja-JP"/>
        </w:rPr>
        <w:t>Cl</w:t>
      </w:r>
      <w:r w:rsidRPr="005E6B7C">
        <w:rPr>
          <w:rFonts w:asciiTheme="majorHAnsi" w:eastAsia="Yu Mincho" w:hAnsiTheme="majorHAnsi" w:cstheme="majorHAnsi"/>
          <w:bCs/>
          <w:color w:val="000000" w:themeColor="text1"/>
          <w:sz w:val="18"/>
          <w:szCs w:val="18"/>
          <w:vertAlign w:val="subscript"/>
          <w:lang w:val="vi-VN" w:eastAsia="ja-JP"/>
        </w:rPr>
        <w:t>2</w:t>
      </w:r>
      <w:r w:rsidRPr="005E6B7C">
        <w:rPr>
          <w:rFonts w:asciiTheme="majorHAnsi" w:eastAsia="Yu Mincho" w:hAnsiTheme="majorHAnsi" w:cstheme="majorHAnsi"/>
          <w:bCs/>
          <w:color w:val="000000" w:themeColor="text1"/>
          <w:sz w:val="18"/>
          <w:szCs w:val="18"/>
          <w:lang w:val="vi-VN" w:eastAsia="ja-JP"/>
        </w:rPr>
        <w:t xml:space="preserve"> extract exhibited the most potent activity</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color w:val="000000" w:themeColor="text1"/>
          <w:sz w:val="18"/>
          <w:szCs w:val="18"/>
          <w:lang w:val="vi-VN" w:eastAsia="ja-JP"/>
        </w:rPr>
        <w:t xml:space="preserve"> with IC</w:t>
      </w:r>
      <w:r w:rsidRPr="005E6B7C">
        <w:rPr>
          <w:rFonts w:asciiTheme="majorHAnsi" w:eastAsia="Yu Mincho" w:hAnsiTheme="majorHAnsi" w:cstheme="majorHAnsi"/>
          <w:bCs/>
          <w:color w:val="000000" w:themeColor="text1"/>
          <w:sz w:val="18"/>
          <w:szCs w:val="18"/>
          <w:vertAlign w:val="subscript"/>
          <w:lang w:val="vi-VN" w:eastAsia="ja-JP"/>
        </w:rPr>
        <w:t>50</w:t>
      </w:r>
      <w:r w:rsidRPr="005E6B7C">
        <w:rPr>
          <w:rFonts w:asciiTheme="majorHAnsi" w:eastAsia="Yu Mincho" w:hAnsiTheme="majorHAnsi" w:cstheme="majorHAnsi"/>
          <w:bCs/>
          <w:color w:val="000000" w:themeColor="text1"/>
          <w:sz w:val="18"/>
          <w:szCs w:val="18"/>
          <w:lang w:val="vi-VN" w:eastAsia="ja-JP"/>
        </w:rPr>
        <w:t xml:space="preserve"> values of </w:t>
      </w:r>
      <w:r w:rsidRPr="005E6B7C">
        <w:rPr>
          <w:rFonts w:asciiTheme="majorHAnsi" w:eastAsia="Yu Mincho" w:hAnsiTheme="majorHAnsi" w:cstheme="majorHAnsi"/>
          <w:color w:val="000000" w:themeColor="text1"/>
          <w:sz w:val="18"/>
          <w:szCs w:val="18"/>
          <w:lang w:val="vi-VN" w:eastAsia="ja-JP"/>
        </w:rPr>
        <w:t>10.88 ± 2.88</w:t>
      </w:r>
      <w:r w:rsidRPr="005E6B7C">
        <w:rPr>
          <w:rFonts w:asciiTheme="majorHAnsi" w:eastAsia="Yu Mincho" w:hAnsiTheme="majorHAnsi" w:cstheme="majorHAnsi"/>
          <w:color w:val="000000" w:themeColor="text1"/>
          <w:sz w:val="18"/>
          <w:szCs w:val="18"/>
          <w:lang w:eastAsia="ja-JP"/>
        </w:rPr>
        <w:t xml:space="preserve">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g/mL for NO inhibition</w:t>
      </w:r>
      <w:r w:rsidRPr="005E6B7C">
        <w:rPr>
          <w:rFonts w:asciiTheme="majorHAnsi" w:eastAsia="Yu Mincho" w:hAnsiTheme="majorHAnsi" w:cstheme="majorHAnsi"/>
          <w:color w:val="000000" w:themeColor="text1"/>
          <w:sz w:val="18"/>
          <w:szCs w:val="18"/>
          <w:lang w:val="vi-VN" w:eastAsia="ja-JP"/>
        </w:rPr>
        <w:t xml:space="preserve"> and 10.82 ± 1.22</w:t>
      </w:r>
      <w:r w:rsidRPr="005E6B7C">
        <w:rPr>
          <w:rFonts w:asciiTheme="majorHAnsi" w:eastAsia="Yu Mincho" w:hAnsiTheme="majorHAnsi" w:cstheme="majorHAnsi"/>
          <w:color w:val="000000" w:themeColor="text1"/>
          <w:sz w:val="18"/>
          <w:szCs w:val="18"/>
          <w:lang w:eastAsia="ja-JP"/>
        </w:rPr>
        <w:t xml:space="preserve"> </w:t>
      </w:r>
      <w:r w:rsidR="00266B26" w:rsidRPr="005E6B7C">
        <w:rPr>
          <w:rFonts w:asciiTheme="majorHAnsi" w:eastAsia="Yu Mincho" w:hAnsiTheme="majorHAnsi" w:cstheme="majorHAnsi"/>
          <w:i/>
          <w:iCs/>
          <w:color w:val="000000" w:themeColor="text1"/>
          <w:sz w:val="18"/>
          <w:szCs w:val="18"/>
          <w:lang w:eastAsia="ja-JP"/>
        </w:rPr>
        <w:t>µ</w:t>
      </w:r>
      <w:r w:rsidRPr="005E6B7C">
        <w:rPr>
          <w:rFonts w:asciiTheme="majorHAnsi" w:eastAsia="Yu Mincho" w:hAnsiTheme="majorHAnsi" w:cstheme="majorHAnsi"/>
          <w:color w:val="000000" w:themeColor="text1"/>
          <w:sz w:val="18"/>
          <w:szCs w:val="18"/>
          <w:lang w:eastAsia="ja-JP"/>
        </w:rPr>
        <w:t>g/mL</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for PGE2 inhibition, </w:t>
      </w:r>
      <w:r w:rsidRPr="005E6B7C">
        <w:rPr>
          <w:rFonts w:asciiTheme="majorHAnsi" w:eastAsia="Yu Mincho" w:hAnsiTheme="majorHAnsi" w:cstheme="majorHAnsi"/>
          <w:color w:val="000000" w:themeColor="text1"/>
          <w:sz w:val="18"/>
          <w:szCs w:val="18"/>
          <w:lang w:val="vi-VN" w:eastAsia="ja-JP"/>
        </w:rPr>
        <w:t>followed by the aqueous extract, which also inhibited NO and PGE2 production without causing cytotoxicity.</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The CH</w:t>
      </w:r>
      <w:r w:rsidRPr="005E6B7C">
        <w:rPr>
          <w:rFonts w:asciiTheme="majorHAnsi" w:eastAsia="Yu Mincho" w:hAnsiTheme="majorHAnsi" w:cstheme="majorHAnsi"/>
          <w:color w:val="000000" w:themeColor="text1"/>
          <w:sz w:val="18"/>
          <w:szCs w:val="18"/>
          <w:vertAlign w:val="subscript"/>
          <w:lang w:val="vi-VN" w:eastAsia="ja-JP"/>
        </w:rPr>
        <w:t>2</w:t>
      </w:r>
      <w:r w:rsidRPr="005E6B7C">
        <w:rPr>
          <w:rFonts w:asciiTheme="majorHAnsi" w:eastAsia="Yu Mincho" w:hAnsiTheme="majorHAnsi" w:cstheme="majorHAnsi"/>
          <w:color w:val="000000" w:themeColor="text1"/>
          <w:sz w:val="18"/>
          <w:szCs w:val="18"/>
          <w:lang w:val="vi-VN" w:eastAsia="ja-JP"/>
        </w:rPr>
        <w:t>Cl</w:t>
      </w:r>
      <w:r w:rsidRPr="005E6B7C">
        <w:rPr>
          <w:rFonts w:asciiTheme="majorHAnsi" w:eastAsia="Yu Mincho" w:hAnsiTheme="majorHAnsi" w:cstheme="majorHAnsi"/>
          <w:color w:val="000000" w:themeColor="text1"/>
          <w:sz w:val="18"/>
          <w:szCs w:val="18"/>
          <w:vertAlign w:val="subscript"/>
          <w:lang w:val="vi-VN" w:eastAsia="ja-JP"/>
        </w:rPr>
        <w:t>2</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extract</w:t>
      </w:r>
      <w:r w:rsidRPr="005E6B7C">
        <w:rPr>
          <w:rFonts w:asciiTheme="majorHAnsi" w:eastAsia="Yu Mincho" w:hAnsiTheme="majorHAnsi" w:cstheme="majorHAnsi"/>
          <w:color w:val="000000" w:themeColor="text1"/>
          <w:sz w:val="18"/>
          <w:szCs w:val="18"/>
          <w:lang w:val="vi-VN" w:eastAsia="ja-JP"/>
        </w:rPr>
        <w:t xml:space="preserve"> of </w:t>
      </w:r>
      <w:r w:rsidRPr="005E6B7C">
        <w:rPr>
          <w:rFonts w:asciiTheme="majorHAnsi" w:eastAsia="Yu Mincho" w:hAnsiTheme="majorHAnsi" w:cstheme="majorHAnsi"/>
          <w:i/>
          <w:color w:val="000000" w:themeColor="text1"/>
          <w:sz w:val="18"/>
          <w:szCs w:val="18"/>
          <w:lang w:val="vi-VN" w:eastAsia="ja-JP"/>
        </w:rPr>
        <w:t>P. amurense</w:t>
      </w:r>
      <w:r w:rsidRPr="005E6B7C">
        <w:rPr>
          <w:rFonts w:asciiTheme="majorHAnsi" w:eastAsia="Yu Mincho" w:hAnsiTheme="majorHAnsi" w:cstheme="majorHAnsi"/>
          <w:color w:val="000000" w:themeColor="text1"/>
          <w:sz w:val="18"/>
          <w:szCs w:val="18"/>
          <w:lang w:val="vi-VN" w:eastAsia="ja-JP"/>
        </w:rPr>
        <w:t xml:space="preserve"> (CPA) was orally administered to rats in both LPS-induced endotoxemia and carrageenan-induced hind paw edema models. In the endotoxemia model, CPA significantly improved survival and markedly reduced serum IL-6 and IL-1β levels, as well as white blood cell counts. Consistently, in the carrageenan-induced paw edema model, CPA significantly suppressed edema formation, reducing paw-volume increase by 36%, 48%, and 55% at 2, 3, and 4 h, respectively, compared with the carrageenan control group (</w:t>
      </w:r>
      <w:r w:rsidRPr="005E6B7C">
        <w:rPr>
          <w:rFonts w:asciiTheme="majorHAnsi" w:eastAsia="Yu Mincho" w:hAnsiTheme="majorHAnsi" w:cstheme="majorHAnsi"/>
          <w:i/>
          <w:color w:val="000000" w:themeColor="text1"/>
          <w:sz w:val="18"/>
          <w:szCs w:val="18"/>
          <w:lang w:val="vi-VN" w:eastAsia="ja-JP"/>
        </w:rPr>
        <w:t>p</w:t>
      </w:r>
      <w:r w:rsidRPr="005E6B7C">
        <w:rPr>
          <w:rFonts w:asciiTheme="majorHAnsi" w:eastAsia="Yu Mincho" w:hAnsiTheme="majorHAnsi" w:cstheme="majorHAnsi"/>
          <w:color w:val="000000" w:themeColor="text1"/>
          <w:sz w:val="18"/>
          <w:szCs w:val="18"/>
          <w:lang w:val="vi-VN" w:eastAsia="ja-JP"/>
        </w:rPr>
        <w:t xml:space="preserve"> &lt; 0.05).</w:t>
      </w:r>
    </w:p>
    <w:p w14:paraId="7DCFBD04" w14:textId="6DC30D33"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i/>
          <w:iCs/>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Keyword</w:t>
      </w:r>
      <w:r w:rsidR="00D54E9A" w:rsidRPr="005E6B7C">
        <w:rPr>
          <w:rFonts w:asciiTheme="majorHAnsi" w:eastAsia="Yu Mincho" w:hAnsiTheme="majorHAnsi" w:cstheme="majorHAnsi"/>
          <w:b/>
          <w:color w:val="000000" w:themeColor="text1"/>
          <w:sz w:val="18"/>
          <w:szCs w:val="18"/>
          <w:lang w:val="vi-VN" w:eastAsia="ja-JP"/>
        </w:rPr>
        <w:t>s</w:t>
      </w:r>
      <w:r w:rsidRPr="005E6B7C">
        <w:rPr>
          <w:rFonts w:asciiTheme="majorHAnsi" w:eastAsia="Yu Mincho" w:hAnsiTheme="majorHAnsi" w:cstheme="majorHAnsi"/>
          <w:b/>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
          <w:color w:val="000000" w:themeColor="text1"/>
          <w:sz w:val="18"/>
          <w:szCs w:val="18"/>
          <w:lang w:val="vi-VN" w:eastAsia="ja-JP"/>
        </w:rPr>
        <w:t xml:space="preserve">Phellodendron amurense </w:t>
      </w:r>
      <w:r w:rsidRPr="005E6B7C">
        <w:rPr>
          <w:rFonts w:asciiTheme="majorHAnsi" w:eastAsia="Yu Mincho" w:hAnsiTheme="majorHAnsi" w:cstheme="majorHAnsi"/>
          <w:color w:val="000000" w:themeColor="text1"/>
          <w:sz w:val="18"/>
          <w:szCs w:val="18"/>
          <w:lang w:val="vi-VN" w:eastAsia="ja-JP"/>
        </w:rPr>
        <w:t xml:space="preserve">Rupr.; </w:t>
      </w:r>
      <w:r w:rsidRPr="005E6B7C">
        <w:rPr>
          <w:rFonts w:asciiTheme="majorHAnsi" w:eastAsia="Yu Mincho" w:hAnsiTheme="majorHAnsi" w:cstheme="majorHAnsi"/>
          <w:i/>
          <w:iCs/>
          <w:color w:val="000000" w:themeColor="text1"/>
          <w:sz w:val="18"/>
          <w:szCs w:val="18"/>
          <w:lang w:val="vi-VN" w:eastAsia="ja-JP"/>
        </w:rPr>
        <w:t>Anti-inflammatory; C</w:t>
      </w:r>
      <w:r w:rsidRPr="005E6B7C">
        <w:rPr>
          <w:rFonts w:asciiTheme="majorHAnsi" w:eastAsia="Yu Mincho" w:hAnsiTheme="majorHAnsi" w:cstheme="majorHAnsi"/>
          <w:bCs/>
          <w:i/>
          <w:iCs/>
          <w:color w:val="000000" w:themeColor="text1"/>
          <w:sz w:val="18"/>
          <w:szCs w:val="18"/>
          <w:lang w:val="vi-VN" w:eastAsia="ja-JP"/>
        </w:rPr>
        <w:t xml:space="preserve">arrageenan-induced paw edema; Lipopolysaccharide-induced endotoxemia; </w:t>
      </w:r>
      <w:r w:rsidR="00894500" w:rsidRPr="005E6B7C">
        <w:rPr>
          <w:rFonts w:asciiTheme="majorHAnsi" w:eastAsia="Yu Mincho" w:hAnsiTheme="majorHAnsi" w:cstheme="majorHAnsi"/>
          <w:bCs/>
          <w:i/>
          <w:iCs/>
          <w:color w:val="000000" w:themeColor="text1"/>
          <w:sz w:val="18"/>
          <w:szCs w:val="18"/>
          <w:lang w:val="vi-VN" w:eastAsia="ja-JP"/>
        </w:rPr>
        <w:t>in vitro</w:t>
      </w:r>
      <w:r w:rsidRPr="005E6B7C">
        <w:rPr>
          <w:rFonts w:asciiTheme="majorHAnsi" w:eastAsia="Yu Mincho" w:hAnsiTheme="majorHAnsi" w:cstheme="majorHAnsi"/>
          <w:bCs/>
          <w:i/>
          <w:iCs/>
          <w:color w:val="000000" w:themeColor="text1"/>
          <w:sz w:val="18"/>
          <w:szCs w:val="18"/>
          <w:lang w:val="vi-VN" w:eastAsia="ja-JP"/>
        </w:rPr>
        <w:t xml:space="preserve">; </w:t>
      </w:r>
      <w:r w:rsidR="00894500" w:rsidRPr="005E6B7C">
        <w:rPr>
          <w:rFonts w:asciiTheme="majorHAnsi" w:eastAsia="Yu Mincho" w:hAnsiTheme="majorHAnsi" w:cstheme="majorHAnsi"/>
          <w:bCs/>
          <w:i/>
          <w:iCs/>
          <w:color w:val="000000" w:themeColor="text1"/>
          <w:sz w:val="18"/>
          <w:szCs w:val="18"/>
          <w:lang w:val="vi-VN" w:eastAsia="ja-JP"/>
        </w:rPr>
        <w:t>in vivo</w:t>
      </w:r>
      <w:r w:rsidRPr="005E6B7C">
        <w:rPr>
          <w:rFonts w:asciiTheme="majorHAnsi" w:eastAsia="Yu Mincho" w:hAnsiTheme="majorHAnsi" w:cstheme="majorHAnsi"/>
          <w:bCs/>
          <w:i/>
          <w:iCs/>
          <w:color w:val="000000" w:themeColor="text1"/>
          <w:sz w:val="18"/>
          <w:szCs w:val="18"/>
          <w:lang w:val="vi-VN" w:eastAsia="ja-JP"/>
        </w:rPr>
        <w:t>.</w:t>
      </w:r>
    </w:p>
    <w:p w14:paraId="25932ECD" w14:textId="77777777" w:rsidR="00EC45B5" w:rsidRPr="005E6B7C" w:rsidRDefault="00EC45B5" w:rsidP="008C0D47">
      <w:pPr>
        <w:tabs>
          <w:tab w:val="left" w:pos="270"/>
          <w:tab w:val="left" w:pos="540"/>
          <w:tab w:val="left" w:pos="9270"/>
        </w:tabs>
        <w:ind w:right="-20"/>
        <w:jc w:val="both"/>
        <w:rPr>
          <w:rFonts w:asciiTheme="majorHAnsi" w:eastAsia="Yu Mincho" w:hAnsiTheme="majorHAnsi" w:cstheme="majorHAnsi"/>
          <w:b/>
          <w:color w:val="000000" w:themeColor="text1"/>
          <w:sz w:val="22"/>
          <w:szCs w:val="22"/>
          <w:lang w:val="vi-VN" w:eastAsia="ja-JP"/>
        </w:rPr>
      </w:pPr>
    </w:p>
    <w:p w14:paraId="1A773B20"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6B240D7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b/>
          <w:color w:val="000000" w:themeColor="text1"/>
          <w:sz w:val="22"/>
          <w:szCs w:val="22"/>
          <w:lang w:val="vi-VN" w:eastAsia="ja-JP"/>
        </w:rPr>
        <w:t>1. Background</w:t>
      </w:r>
    </w:p>
    <w:p w14:paraId="612696E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Inflammation is a hallmark of many acute and chronic debilitating disorders and is a major cause of morbidity in today's era of modern lifestyle. </w:t>
      </w:r>
      <w:r w:rsidRPr="005E6B7C">
        <w:rPr>
          <w:rFonts w:asciiTheme="majorHAnsi" w:eastAsia="Yu Mincho" w:hAnsiTheme="majorHAnsi" w:cstheme="majorHAnsi"/>
          <w:color w:val="000000" w:themeColor="text1"/>
          <w:sz w:val="22"/>
          <w:szCs w:val="22"/>
          <w:lang w:eastAsia="ja-JP"/>
        </w:rPr>
        <w:t>If unchecked, inflammation leads to the development of rheumatoid arthritis, diabetes, cancer, Alzheimer's disease, and atherosclerosis, along with pulmonary, autoimmune, and cardiovascular diseases. Inflammation involves a complex network of many mediators, a variety of cells, and the execution of multiple pathways. Current therapy for inflammatory disorders relies mainly on steroidal and non-steroidal anti-inflammatory agents (NSAIDs). Chronic use of these drugs can produce serious adverse effects such as gastrointestinal, cardiovascular, and renal complications. There is an urgent need for new anti-inflammatory agents with greater selectivity and lower toxicity. Plants and isolated phytochemicals</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represent promising sources of novel anti-inflammatory compounds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&lt;EndNote&gt;&lt;Cite&gt;&lt;Author&gt;Brown K. L.&lt;/Author&gt;&lt;Year&gt;2007&lt;/Year&gt;&lt;RecNum&gt;1&lt;/RecNum&gt;&lt;DisplayText&gt;[1]&lt;/DisplayText&gt;&lt;record&gt;&lt;rec-number&gt;1&lt;/rec-number&gt;&lt;foreign-keys&gt;&lt;key app="EN" db-id="0zafr0r9ns5ttqeezd65a9zx9txppretrezr" timestamp="1772683230"&gt;1&lt;/key&gt;&lt;/foreign-keys&gt;&lt;ref-type name="Journal Article"&gt;17&lt;/ref-type&gt;&lt;contributors&gt;&lt;authors&gt;&lt;author&gt;Brown K. L.,&lt;/author&gt;&lt;author&gt;Cosseau C.,&lt;/author&gt;&lt;author&gt;Gardy J. L.,&lt;/author&gt;&lt;author&gt;Hancock R. E. W.&lt;/author&gt;&lt;/authors&gt;&lt;/contributors&gt;&lt;titles&gt;&lt;title&gt;Complexities of targeting innate immunity to treat infection&lt;/title&gt;&lt;secondary-title&gt;TRENDS in Immunology&lt;/secondary-title&gt;&lt;/titles&gt;&lt;periodical&gt;&lt;full-title&gt;TRENDS in Immunology&lt;/full-title&gt;&lt;/periodical&gt;&lt;pages&gt;260-266&lt;/pages&gt;&lt;volume&gt;28&lt;/volume&gt;&lt;number&gt;6&lt;/number&gt;&lt;dates&gt;&lt;year&gt;2007&lt;/year&gt;&lt;/dates&gt;&lt;isbn&gt;1471-4906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 w:tooltip="Brown K. L., 2007 #1" w:history="1">
        <w:r w:rsidRPr="005E6B7C">
          <w:rPr>
            <w:rFonts w:asciiTheme="majorHAnsi" w:eastAsia="Yu Mincho" w:hAnsiTheme="majorHAnsi" w:cstheme="majorHAnsi"/>
            <w:noProof/>
            <w:color w:val="000000" w:themeColor="text1"/>
            <w:sz w:val="22"/>
            <w:szCs w:val="22"/>
            <w:lang w:eastAsia="ja-JP"/>
          </w:rPr>
          <w:t>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&lt;EndNote&gt;&lt;Cite&gt;&lt;Author&gt;Choi Y. Y.&lt;/Author&gt;&lt;Year&gt;2013&lt;/Year&gt;&lt;RecNum&gt;2&lt;/RecNum&gt;&lt;DisplayText&gt;[2]&lt;/DisplayText&gt;&lt;record&gt;&lt;rec-number&gt;2&lt;/rec-number&gt;&lt;foreign-keys&gt;&lt;key app="EN" db-id="0zafr0r9ns5ttqeezd65a9zx9txppretrezr" timestamp="1772683230"&gt;2&lt;/key&gt;&lt;/foreign-keys&gt;&lt;ref-type name="Journal Article"&gt;17&lt;/ref-type&gt;&lt;contributors&gt;&lt;authors&gt;&lt;author&gt;Choi Y. Y.,&lt;/author&gt;&lt;author&gt;Kim M. H.,&lt;/author&gt;&lt;author&gt;Hong J.,&lt;/author&gt;&lt;author&gt;Kim S. H.,&lt;/author&gt;&lt;author&gt;Yang W. M.&lt;/author&gt;&lt;/authors&gt;&lt;/contributors&gt;&lt;titles&gt;&lt;title&gt;&lt;style face="normal" font="default" size="100%"&gt;Dried ginger (&lt;/style&gt;&lt;style face="italic" font="default" size="100%"&gt;Zingiber officinalis&lt;/style&gt;&lt;style face="normal" font="default" size="100%"&gt;) inhibits inflammation in a lipopolysaccharide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induced mouse model&lt;/style&gt;&lt;/title&gt;&lt;secondary-title&gt;Evidence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Medicine&lt;/secondary-title&gt;&lt;/titles&gt;&lt;periodical&gt;&lt;full-title&gt;Evidence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full-title&gt;&lt;/periodical&gt;&lt;pages&gt;914563&lt;/pages&gt;&lt;volume&gt;2013&lt;/volume&gt;&lt;number&gt;1&lt;/number&gt;&lt;dates&gt;&lt;year&gt;2013&lt;/year&gt;&lt;/dates&gt;&lt;isbn&gt;1741-4288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 w:tooltip="Choi Y. Y., 2013 #2" w:history="1">
        <w:r w:rsidRPr="005E6B7C">
          <w:rPr>
            <w:rFonts w:asciiTheme="majorHAnsi" w:eastAsia="Yu Mincho" w:hAnsiTheme="majorHAnsi" w:cstheme="majorHAnsi"/>
            <w:noProof/>
            <w:color w:val="000000" w:themeColor="text1"/>
            <w:sz w:val="22"/>
            <w:szCs w:val="22"/>
            <w:lang w:eastAsia="ja-JP"/>
          </w:rPr>
          <w:t>2</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iCs/>
          <w:color w:val="000000" w:themeColor="text1"/>
          <w:sz w:val="22"/>
          <w:szCs w:val="22"/>
          <w:lang w:eastAsia="ja-JP"/>
        </w:rPr>
        <w:t>Although several studies have reported the anti-inflammatory activity of</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Phellodendron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 xml:space="preserve">and its major alkaloids, such as berberine, particularly in relation to the regulation of inflammatory mediators including nitric oxide (NO), prostaglandin E2 (PGE2), and pro-inflammatory cytokines (e.g., IL-6 and IL-1β), these findings have largely been obtained from </w:t>
      </w:r>
      <w:r w:rsidRPr="005E6B7C">
        <w:rPr>
          <w:rFonts w:asciiTheme="majorHAnsi" w:eastAsia="Yu Mincho" w:hAnsiTheme="majorHAnsi" w:cstheme="majorHAnsi"/>
          <w:iCs/>
          <w:color w:val="000000" w:themeColor="text1"/>
          <w:sz w:val="22"/>
          <w:szCs w:val="22"/>
          <w:lang w:eastAsia="ja-JP"/>
        </w:rPr>
        <w:t>isolated compounds or crude extracts and in non-Vietnamese contexts. To date, limited information is available regarding the effects of solvent-partitioned bark extracts of</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P. amurense</w:t>
      </w:r>
      <w:r w:rsidRPr="005E6B7C">
        <w:rPr>
          <w:rFonts w:asciiTheme="majorHAnsi" w:eastAsia="Yu Mincho" w:hAnsiTheme="majorHAnsi" w:cstheme="majorHAnsi"/>
          <w: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 xml:space="preserve">on these established inflammatory markers, especially in integrated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iCs/>
          <w:color w:val="000000" w:themeColor="text1"/>
          <w:sz w:val="22"/>
          <w:szCs w:val="22"/>
          <w:lang w:eastAsia="ja-JP"/>
        </w:rPr>
        <w:t xml:space="preserve"> and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iCs/>
          <w:color w:val="000000" w:themeColor="text1"/>
          <w:sz w:val="22"/>
          <w:szCs w:val="22"/>
          <w:lang w:eastAsia="ja-JP"/>
        </w:rPr>
        <w:t xml:space="preserve"> models. Therefore, the present study aimed to investigate whether bark extracts of</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P.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t xml:space="preserve">modulate inflammatory responses by regulating well-characterized inflammatory markers and signaling pathways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iCs/>
          <w:color w:val="000000" w:themeColor="text1"/>
          <w:sz w:val="22"/>
          <w:szCs w:val="22"/>
          <w:lang w:eastAsia="ja-JP"/>
        </w:rPr>
        <w:t xml:space="preserve">, and to further elucidate their molecular effects on inflammatory cytokines and mediators in both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iCs/>
          <w:color w:val="000000" w:themeColor="text1"/>
          <w:sz w:val="22"/>
          <w:szCs w:val="22"/>
          <w:lang w:eastAsia="ja-JP"/>
        </w:rPr>
        <w:t xml:space="preserve"> and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iCs/>
          <w:color w:val="000000" w:themeColor="text1"/>
          <w:sz w:val="22"/>
          <w:szCs w:val="22"/>
          <w:lang w:eastAsia="ja-JP"/>
        </w:rPr>
        <w:t xml:space="preserve"> experimental systems </w:t>
      </w:r>
      <w:r w:rsidRPr="005E6B7C">
        <w:rPr>
          <w:rFonts w:asciiTheme="majorHAnsi" w:eastAsia="Yu Mincho" w:hAnsiTheme="majorHAnsi" w:cstheme="majorHAnsi"/>
          <w:iCs/>
          <w:color w:val="000000" w:themeColor="text1"/>
          <w:sz w:val="22"/>
          <w:szCs w:val="22"/>
          <w:lang w:eastAsia="ja-JP"/>
        </w:rPr>
        <w:fldChar w:fldCharType="begin"/>
      </w:r>
      <w:r w:rsidRPr="005E6B7C">
        <w:rPr>
          <w:rFonts w:asciiTheme="majorHAnsi" w:eastAsia="Yu Mincho" w:hAnsiTheme="majorHAnsi" w:cstheme="majorHAnsi"/>
          <w:iCs/>
          <w:color w:val="000000" w:themeColor="text1"/>
          <w:sz w:val="22"/>
          <w:szCs w:val="22"/>
          <w:lang w:eastAsia="ja-JP"/>
        </w:rPr>
        <w:instrText xml:space="preserve"> ADDIN EN.CITE &lt;EndNote&gt;&lt;Cite&gt;&lt;Author&gt;Du P.&lt;/Author&gt;&lt;Year&gt;2001&lt;/Year&gt;&lt;RecNum&gt;3&lt;/RecNum&gt;&lt;DisplayText&gt;[3]&lt;/DisplayText&gt;&lt;record&gt;&lt;rec-number&gt;3&lt;/rec-number&gt;&lt;foreign-keys&gt;&lt;key app="EN" db-id="0zafr0r9ns5ttqeezd65a9zx9txppretrezr" timestamp="1772683230"&gt;3&lt;/key&gt;&lt;/foreign-keys&gt;&lt;ref-type name="Journal Article"&gt;17&lt;/ref-type&gt;&lt;contributors&gt;&lt;authors&gt;&lt;author&gt;Du P.,&lt;/author&gt;&lt;author&gt;Zhu S.,&lt;/author&gt;&lt;author&gt;Lü P.&lt;/author&gt;&lt;/authors&gt;&lt;/contributors&gt;&lt;titles&gt;&lt;title&gt;&lt;style face="normal" font="default" size="100%"&gt;Antibacterial activity of 20 kinds of Chinese medicinal materials for &lt;/style&gt;&lt;style face="italic" font="default" size="100%"&gt;Helicobacter pylori in vitro&lt;/style&gt;&lt;/title&gt;&lt;secondary-title&gt;Journal of Chinese Medicinal Materials&lt;/secondary-title&gt;&lt;/titles&gt;&lt;periodical&gt;&lt;full-title&gt;Journal of Chinese Medicinal Materials&lt;/full-title&gt;&lt;/periodical&gt;&lt;pages&gt;188-189&lt;/pages&gt;&lt;volume&gt;24&lt;/volume&gt;&lt;number&gt;3&lt;/number&gt;&lt;dates&gt;&lt;year&gt;2001&lt;/year&gt;&lt;/dates&gt;&lt;isbn&gt;1001-4454&lt;/isbn&gt;&lt;urls&gt;&lt;/urls&gt;&lt;/record&gt;&lt;/Cite&gt;&lt;/EndNote&gt;</w:instrText>
      </w:r>
      <w:r w:rsidRPr="005E6B7C">
        <w:rPr>
          <w:rFonts w:asciiTheme="majorHAnsi" w:eastAsia="Yu Mincho" w:hAnsiTheme="majorHAnsi" w:cstheme="majorHAnsi"/>
          <w:iCs/>
          <w:color w:val="000000" w:themeColor="text1"/>
          <w:sz w:val="22"/>
          <w:szCs w:val="22"/>
          <w:lang w:eastAsia="ja-JP"/>
        </w:rPr>
        <w:fldChar w:fldCharType="separate"/>
      </w:r>
      <w:r w:rsidRPr="005E6B7C">
        <w:rPr>
          <w:rFonts w:asciiTheme="majorHAnsi" w:eastAsia="Yu Mincho" w:hAnsiTheme="majorHAnsi" w:cstheme="majorHAnsi"/>
          <w:iCs/>
          <w:noProof/>
          <w:color w:val="000000" w:themeColor="text1"/>
          <w:sz w:val="22"/>
          <w:szCs w:val="22"/>
          <w:lang w:eastAsia="ja-JP"/>
        </w:rPr>
        <w:t>[</w:t>
      </w:r>
      <w:hyperlink w:anchor="_ENREF_3" w:tooltip="Du P., 2001 #3" w:history="1">
        <w:r w:rsidRPr="005E6B7C">
          <w:rPr>
            <w:rFonts w:asciiTheme="majorHAnsi" w:eastAsia="Yu Mincho" w:hAnsiTheme="majorHAnsi" w:cstheme="majorHAnsi"/>
            <w:iCs/>
            <w:noProof/>
            <w:color w:val="000000" w:themeColor="text1"/>
            <w:sz w:val="22"/>
            <w:szCs w:val="22"/>
            <w:lang w:eastAsia="ja-JP"/>
          </w:rPr>
          <w:t>3</w:t>
        </w:r>
      </w:hyperlink>
      <w:r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fldChar w:fldCharType="end"/>
      </w:r>
      <w:r w:rsidRPr="005E6B7C">
        <w:rPr>
          <w:rFonts w:asciiTheme="majorHAnsi" w:eastAsia="Yu Mincho" w:hAnsiTheme="majorHAnsi" w:cstheme="majorHAnsi"/>
          <w:iCs/>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fldChar w:fldCharType="begin"/>
      </w:r>
      <w:r w:rsidRPr="005E6B7C">
        <w:rPr>
          <w:rFonts w:asciiTheme="majorHAnsi" w:eastAsia="Yu Mincho" w:hAnsiTheme="majorHAnsi" w:cstheme="majorHAnsi"/>
          <w:iCs/>
          <w:color w:val="000000" w:themeColor="text1"/>
          <w:sz w:val="22"/>
          <w:szCs w:val="22"/>
          <w:lang w:eastAsia="ja-JP"/>
        </w:rPr>
        <w:instrText xml:space="preserve"> ADDIN EN.CITE &lt;EndNote&gt;&lt;Cite&gt;&lt;Author&gt;Mori H.&lt;/Author&gt;&lt;Year&gt;1995&lt;/Year&gt;&lt;RecNum&gt;4&lt;/RecNum&gt;&lt;DisplayText&gt;[4]&lt;/DisplayText&gt;&lt;record&gt;&lt;rec-number&gt;4&lt;/rec-number&gt;&lt;foreign-keys&gt;&lt;key app="EN" db-id="0zafr0r9ns5ttqeezd65a9zx9txppretrezr" timestamp="1772683230"&gt;4&lt;/key&gt;&lt;/foreign-keys&gt;&lt;ref-type name="Journal Article"&gt;17&lt;/ref-type&gt;&lt;contributors&gt;&lt;authors&gt;&lt;author&gt;Mori H.,&lt;/author&gt;&lt;author&gt;Fuchigami M.,&lt;/author&gt;&lt;author&gt;Inoue N.,&lt;/author&gt;&lt;author&gt;Nagai H.,&lt;/author&gt;&lt;author&gt;Koda A.,&lt;/author&gt;&lt;author&gt;Nishioka I.,&lt;/author&gt;&lt;author&gt;Meguro K.&lt;/author&gt;&lt;/authors&gt;&lt;/contributors&gt;&lt;titles&gt;&lt;title&gt;Principle of the bark of Phellodendron amurense to suppress the cellular immune response: effect of phellodendrine on cellular and humoral immune responses&lt;/title&gt;&lt;secondary-title&gt;Planta Medica&lt;/secondary-title&gt;&lt;/titles&gt;&lt;periodical&gt;&lt;full-title&gt;Planta Medica&lt;/full-title&gt;&lt;/periodical&gt;&lt;pages&gt;45-49&lt;/pages&gt;&lt;volume&gt;61&lt;/volume&gt;&lt;number&gt;01&lt;/number&gt;&lt;dates&gt;&lt;year&gt;1995&lt;/year&gt;&lt;/dates&gt;&lt;isbn&gt;0032-0943&lt;/isbn&gt;&lt;urls&gt;&lt;/urls&gt;&lt;/record&gt;&lt;/Cite&gt;&lt;/EndNote&gt;</w:instrText>
      </w:r>
      <w:r w:rsidRPr="005E6B7C">
        <w:rPr>
          <w:rFonts w:asciiTheme="majorHAnsi" w:eastAsia="Yu Mincho" w:hAnsiTheme="majorHAnsi" w:cstheme="majorHAnsi"/>
          <w:iCs/>
          <w:color w:val="000000" w:themeColor="text1"/>
          <w:sz w:val="22"/>
          <w:szCs w:val="22"/>
          <w:lang w:eastAsia="ja-JP"/>
        </w:rPr>
        <w:fldChar w:fldCharType="separate"/>
      </w:r>
      <w:r w:rsidRPr="005E6B7C">
        <w:rPr>
          <w:rFonts w:asciiTheme="majorHAnsi" w:eastAsia="Yu Mincho" w:hAnsiTheme="majorHAnsi" w:cstheme="majorHAnsi"/>
          <w:iCs/>
          <w:noProof/>
          <w:color w:val="000000" w:themeColor="text1"/>
          <w:sz w:val="22"/>
          <w:szCs w:val="22"/>
          <w:lang w:eastAsia="ja-JP"/>
        </w:rPr>
        <w:t>[</w:t>
      </w:r>
      <w:hyperlink w:anchor="_ENREF_4" w:tooltip="Mori H., 1995 #4" w:history="1">
        <w:r w:rsidRPr="005E6B7C">
          <w:rPr>
            <w:rFonts w:asciiTheme="majorHAnsi" w:eastAsia="Yu Mincho" w:hAnsiTheme="majorHAnsi" w:cstheme="majorHAnsi"/>
            <w:iCs/>
            <w:noProof/>
            <w:color w:val="000000" w:themeColor="text1"/>
            <w:sz w:val="22"/>
            <w:szCs w:val="22"/>
            <w:lang w:eastAsia="ja-JP"/>
          </w:rPr>
          <w:t>4</w:t>
        </w:r>
      </w:hyperlink>
      <w:r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fldChar w:fldCharType="end"/>
      </w:r>
      <w:r w:rsidRPr="005E6B7C">
        <w:rPr>
          <w:rFonts w:asciiTheme="majorHAnsi" w:eastAsia="Yu Mincho" w:hAnsiTheme="majorHAnsi" w:cstheme="majorHAnsi"/>
          <w:iCs/>
          <w:color w:val="000000" w:themeColor="text1"/>
          <w:sz w:val="22"/>
          <w:szCs w:val="22"/>
          <w:lang w:eastAsia="ja-JP"/>
        </w:rPr>
        <w:t>.</w:t>
      </w:r>
    </w:p>
    <w:p w14:paraId="5D3D56F0" w14:textId="799D8F05"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
          <w:color w:val="000000" w:themeColor="text1"/>
          <w:sz w:val="22"/>
          <w:szCs w:val="22"/>
          <w:lang w:eastAsia="ja-JP"/>
        </w:rPr>
        <w:t>2</w:t>
      </w:r>
      <w:r w:rsidRPr="005E6B7C">
        <w:rPr>
          <w:rFonts w:asciiTheme="majorHAnsi" w:eastAsia="Yu Mincho" w:hAnsiTheme="majorHAnsi" w:cstheme="majorHAnsi"/>
          <w:b/>
          <w:color w:val="000000" w:themeColor="text1"/>
          <w:sz w:val="22"/>
          <w:szCs w:val="22"/>
          <w:lang w:val="vi-VN" w:eastAsia="ja-JP"/>
        </w:rPr>
        <w:t xml:space="preserve">. </w:t>
      </w:r>
      <w:r w:rsidR="00D54E9A" w:rsidRPr="005E6B7C">
        <w:rPr>
          <w:rFonts w:asciiTheme="majorHAnsi" w:eastAsia="Yu Mincho" w:hAnsiTheme="majorHAnsi" w:cstheme="majorHAnsi"/>
          <w:b/>
          <w:color w:val="000000" w:themeColor="text1"/>
          <w:sz w:val="22"/>
          <w:szCs w:val="22"/>
          <w:lang w:val="vi-VN" w:eastAsia="ja-JP"/>
        </w:rPr>
        <w:t>Materials and Methods</w:t>
      </w:r>
      <w:r w:rsidRPr="005E6B7C">
        <w:rPr>
          <w:rFonts w:asciiTheme="majorHAnsi" w:eastAsia="Yu Mincho" w:hAnsiTheme="majorHAnsi" w:cstheme="majorHAnsi"/>
          <w:bCs/>
          <w:i/>
          <w:color w:val="000000" w:themeColor="text1"/>
          <w:sz w:val="22"/>
          <w:szCs w:val="22"/>
          <w:lang w:val="vi-VN" w:eastAsia="ja-JP"/>
        </w:rPr>
        <w:t>2.1. Plant material and extraction</w:t>
      </w:r>
    </w:p>
    <w:p w14:paraId="153D116D" w14:textId="2C84B56B"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The bark of </w:t>
      </w:r>
      <w:r w:rsidRPr="005E6B7C">
        <w:rPr>
          <w:rFonts w:asciiTheme="majorHAnsi" w:eastAsia="Yu Mincho" w:hAnsiTheme="majorHAnsi" w:cstheme="majorHAnsi"/>
          <w:i/>
          <w:color w:val="000000" w:themeColor="text1"/>
          <w:sz w:val="22"/>
          <w:szCs w:val="22"/>
          <w:lang w:eastAsia="ja-JP"/>
        </w:rPr>
        <w:t>P. amurense</w:t>
      </w:r>
      <w:r w:rsidRPr="005E6B7C">
        <w:rPr>
          <w:rFonts w:asciiTheme="majorHAnsi" w:eastAsia="Yu Mincho" w:hAnsiTheme="majorHAnsi" w:cstheme="majorHAnsi"/>
          <w:color w:val="000000" w:themeColor="text1"/>
          <w:sz w:val="22"/>
          <w:szCs w:val="22"/>
          <w:lang w:eastAsia="ja-JP"/>
        </w:rPr>
        <w:t xml:space="preserve"> Rupr.</w:t>
      </w:r>
      <w:r w:rsidRPr="005E6B7C">
        <w:rPr>
          <w:rFonts w:asciiTheme="majorHAnsi" w:eastAsia="Yu Mincho" w:hAnsiTheme="majorHAnsi" w:cstheme="majorHAnsi"/>
          <w:color w:val="000000" w:themeColor="text1"/>
          <w:sz w:val="22"/>
          <w:szCs w:val="22"/>
          <w:lang w:val="vi-VN" w:eastAsia="ja-JP"/>
        </w:rPr>
        <w:t xml:space="preserve"> </w:t>
      </w:r>
      <w:r w:rsidR="00D54E9A" w:rsidRPr="005E6B7C">
        <w:rPr>
          <w:rFonts w:asciiTheme="majorHAnsi" w:eastAsia="Yu Mincho" w:hAnsiTheme="majorHAnsi" w:cstheme="majorHAnsi"/>
          <w:color w:val="000000" w:themeColor="text1"/>
          <w:sz w:val="22"/>
          <w:szCs w:val="22"/>
          <w:lang w:val="vi-VN" w:eastAsia="ja-JP"/>
        </w:rPr>
        <w:t>was</w:t>
      </w:r>
      <w:r w:rsidRPr="005E6B7C">
        <w:rPr>
          <w:rFonts w:asciiTheme="majorHAnsi" w:eastAsia="Yu Mincho" w:hAnsiTheme="majorHAnsi" w:cstheme="majorHAnsi"/>
          <w:color w:val="000000" w:themeColor="text1"/>
          <w:sz w:val="22"/>
          <w:szCs w:val="22"/>
          <w:lang w:val="vi-VN" w:eastAsia="ja-JP"/>
        </w:rPr>
        <w:t xml:space="preserve"> collected in Sapa, Vietnam, in 2023. The plant material was identified by MSc Nguyen Thi Quynh Nga and Dang Minh Tu (National Institute of Medicinal Materials, NIMM). A voucher specimen was deposited at the National Institute of Medicinal Materials.</w:t>
      </w:r>
      <w:r w:rsidRPr="005E6B7C">
        <w:rPr>
          <w:rFonts w:asciiTheme="majorHAnsi" w:eastAsia="Yu Mincho" w:hAnsiTheme="majorHAnsi" w:cstheme="majorHAnsi"/>
          <w:color w:val="000000" w:themeColor="text1"/>
          <w:sz w:val="22"/>
          <w:szCs w:val="22"/>
          <w:lang w:eastAsia="ja-JP"/>
        </w:rPr>
        <w:t xml:space="preserve"> The contents of the characteristic alkaloids (phellodendrine, palmatine chloride, and berberine chloride) in the bark of </w:t>
      </w:r>
      <w:r w:rsidRPr="005E6B7C">
        <w:rPr>
          <w:rFonts w:asciiTheme="majorHAnsi" w:eastAsia="Yu Mincho" w:hAnsiTheme="majorHAnsi" w:cstheme="majorHAnsi"/>
          <w:i/>
          <w:color w:val="000000" w:themeColor="text1"/>
          <w:sz w:val="22"/>
          <w:szCs w:val="22"/>
          <w:lang w:eastAsia="ja-JP"/>
        </w:rPr>
        <w:t>P. amurense</w:t>
      </w:r>
      <w:r w:rsidRPr="005E6B7C">
        <w:rPr>
          <w:rFonts w:asciiTheme="majorHAnsi" w:eastAsia="Yu Mincho" w:hAnsiTheme="majorHAnsi" w:cstheme="majorHAnsi"/>
          <w:color w:val="000000" w:themeColor="text1"/>
          <w:sz w:val="22"/>
          <w:szCs w:val="22"/>
          <w:lang w:eastAsia="ja-JP"/>
        </w:rPr>
        <w:t xml:space="preserve"> were determined using a previously developed and validated HPLC–DAD method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&lt;EndNote&gt;&lt;Cite&gt;&lt;Author&gt;Nguyen T. H. L.&lt;/Author&gt;&lt;Year&gt;2024&lt;/Year&gt;&lt;RecNum&gt;5&lt;/RecNum&gt;&lt;DisplayText&gt;[5]&lt;/DisplayText&gt;&lt;record&gt;&lt;rec-number&gt;5&lt;/rec-number&gt;&lt;foreign-keys&gt;&lt;key app="EN" db-id="0zafr0r9ns5ttqeezd65a9zx9txppretrezr" timestamp="1772683230"&gt;5&lt;/key&gt;&lt;/foreign-keys&gt;&lt;ref-type name="Journal Article"&gt;17&lt;/ref-type&gt;&lt;contributors&gt;&lt;authors&gt;&lt;author&gt;Nguyen T. H. L., &lt;/author&gt;&lt;author&gt;Do T. H., &lt;/author&gt;&lt;author&gt;Nguyen M. K.&lt;/author&gt;&lt;/authors&gt;&lt;/contributors&gt;&lt;titles&gt;&lt;title&gt;Quality evaluation of Phellodendron amurense collected in Vietnam using HPLC-DAD and QAMS methods&lt;/title&gt;&lt;secondary-title&gt;Journal of Medicinal Materials&lt;/secondary-title&gt;&lt;/titles&gt;&lt;periodical&gt;&lt;full-title&gt;Journal of Medicinal Materials&lt;/full-title&gt;&lt;/periodical&gt;&lt;pages&gt;347-353&lt;/pages&gt;&lt;volume&gt;29&lt;/volume&gt;&lt;number&gt;6&lt;/number&gt;&lt;dates&gt;&lt;year&gt;2024&lt;/year&gt;&lt;/dates&gt;&lt;urls&gt;&lt;/urls&gt;&lt;language&gt;English&lt;/language&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5" w:tooltip="Nguyen T. H. L., 2024 #5" w:history="1">
        <w:r w:rsidRPr="005E6B7C">
          <w:rPr>
            <w:rFonts w:asciiTheme="majorHAnsi" w:eastAsia="Yu Mincho" w:hAnsiTheme="majorHAnsi" w:cstheme="majorHAnsi"/>
            <w:noProof/>
            <w:color w:val="000000" w:themeColor="text1"/>
            <w:sz w:val="22"/>
            <w:szCs w:val="22"/>
            <w:lang w:eastAsia="ja-JP"/>
          </w:rPr>
          <w:t>5</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 The contents were 0.70 ± 0.01%, 0.11 ± 0.01%, and 7.93 ± 0.02%, respectively.</w:t>
      </w:r>
    </w:p>
    <w:p w14:paraId="62D24D1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lastRenderedPageBreak/>
        <w:t xml:space="preserve">Extraction: </w:t>
      </w:r>
      <w:r w:rsidRPr="005E6B7C">
        <w:rPr>
          <w:rFonts w:asciiTheme="majorHAnsi" w:eastAsia="Yu Mincho" w:hAnsiTheme="majorHAnsi" w:cstheme="majorHAnsi"/>
          <w:color w:val="000000" w:themeColor="text1"/>
          <w:spacing w:val="3"/>
          <w:sz w:val="22"/>
          <w:szCs w:val="22"/>
          <w:shd w:val="clear" w:color="auto" w:fill="FFFFFF"/>
          <w:lang w:eastAsia="ja-JP"/>
        </w:rPr>
        <w:t xml:space="preserve">The dried bark of </w:t>
      </w:r>
      <w:r w:rsidRPr="005E6B7C">
        <w:rPr>
          <w:rFonts w:asciiTheme="majorHAnsi" w:eastAsia="Yu Mincho" w:hAnsiTheme="majorHAnsi" w:cstheme="majorHAnsi"/>
          <w:i/>
          <w:color w:val="000000" w:themeColor="text1"/>
          <w:spacing w:val="3"/>
          <w:sz w:val="22"/>
          <w:szCs w:val="22"/>
          <w:shd w:val="clear" w:color="auto" w:fill="FFFFFF"/>
          <w:lang w:eastAsia="ja-JP"/>
        </w:rPr>
        <w:t>P. amurense</w:t>
      </w:r>
      <w:r w:rsidRPr="005E6B7C">
        <w:rPr>
          <w:rFonts w:asciiTheme="majorHAnsi" w:eastAsia="Yu Mincho" w:hAnsiTheme="majorHAnsi" w:cstheme="majorHAnsi"/>
          <w:color w:val="000000" w:themeColor="text1"/>
          <w:spacing w:val="3"/>
          <w:sz w:val="22"/>
          <w:szCs w:val="22"/>
          <w:shd w:val="clear" w:color="auto" w:fill="FFFFFF"/>
          <w:lang w:eastAsia="ja-JP"/>
        </w:rPr>
        <w:t xml:space="preserve"> (10 kg) was ground into powder and extracted by maceration with 70% ethanol (3 times × 3 days, 1:1.5 kg/L). The combined extracts were filtered to remove plant material and concentrated under reduced pressure to remove the solvent, yielding 1082.8 g of crude extract. The crude extract (1 kg) was suspended in hot water (1:1, w/v) and then successively partitioned with solvents of increasing polarity (</w:t>
      </w:r>
      <w:r w:rsidRPr="005E6B7C">
        <w:rPr>
          <w:rFonts w:asciiTheme="majorHAnsi" w:eastAsia="Yu Mincho" w:hAnsiTheme="majorHAnsi" w:cstheme="majorHAnsi"/>
          <w:i/>
          <w:color w:val="000000" w:themeColor="text1"/>
          <w:spacing w:val="3"/>
          <w:sz w:val="22"/>
          <w:szCs w:val="22"/>
          <w:shd w:val="clear" w:color="auto" w:fill="FFFFFF"/>
          <w:lang w:eastAsia="ja-JP"/>
        </w:rPr>
        <w:t>n</w:t>
      </w:r>
      <w:r w:rsidRPr="005E6B7C">
        <w:rPr>
          <w:rFonts w:asciiTheme="majorHAnsi" w:eastAsia="Yu Mincho" w:hAnsiTheme="majorHAnsi" w:cstheme="majorHAnsi"/>
          <w:color w:val="000000" w:themeColor="text1"/>
          <w:spacing w:val="3"/>
          <w:sz w:val="22"/>
          <w:szCs w:val="22"/>
          <w:shd w:val="clear" w:color="auto" w:fill="FFFFFF"/>
          <w:lang w:eastAsia="ja-JP"/>
        </w:rPr>
        <w:t xml:space="preserve">-hexane, dichloromethane, and ethyl acetate), each performed three times at a ratio of 1:1 (v/v). The combined solvent extracts were concentrated under reduced pressure to give 68.35 g of the </w:t>
      </w:r>
      <w:r w:rsidRPr="005E6B7C">
        <w:rPr>
          <w:rFonts w:asciiTheme="majorHAnsi" w:eastAsia="Yu Mincho" w:hAnsiTheme="majorHAnsi" w:cstheme="majorHAnsi"/>
          <w:i/>
          <w:color w:val="000000" w:themeColor="text1"/>
          <w:spacing w:val="3"/>
          <w:sz w:val="22"/>
          <w:szCs w:val="22"/>
          <w:shd w:val="clear" w:color="auto" w:fill="FFFFFF"/>
          <w:lang w:eastAsia="ja-JP"/>
        </w:rPr>
        <w:t>n</w:t>
      </w:r>
      <w:r w:rsidRPr="005E6B7C">
        <w:rPr>
          <w:rFonts w:asciiTheme="majorHAnsi" w:eastAsia="Yu Mincho" w:hAnsiTheme="majorHAnsi" w:cstheme="majorHAnsi"/>
          <w:color w:val="000000" w:themeColor="text1"/>
          <w:spacing w:val="3"/>
          <w:sz w:val="22"/>
          <w:szCs w:val="22"/>
          <w:shd w:val="clear" w:color="auto" w:fill="FFFFFF"/>
          <w:lang w:eastAsia="ja-JP"/>
        </w:rPr>
        <w:t>-hexane extract, 30.94 g of the dichloromethane extract, 7.18 g of the ethyl acetate extract, and a remaining aqueous extract (121.48 g).</w:t>
      </w:r>
    </w:p>
    <w:p w14:paraId="38E3C0D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Cs/>
          <w:i/>
          <w:color w:val="000000" w:themeColor="text1"/>
          <w:sz w:val="22"/>
          <w:szCs w:val="22"/>
          <w:lang w:val="vi-VN" w:eastAsia="ja-JP"/>
        </w:rPr>
        <w:t xml:space="preserve">2.2. Chemicals </w:t>
      </w:r>
    </w:p>
    <w:p w14:paraId="146B053A" w14:textId="7A30946C"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For anti-inflammatory activity, the optical density (OD) values were measured using the BioTek Elx800 spectrophotometer. Dulbecco's Modified Eagle's Medium (DMEM) and fetal bovine serum (FBS) were sourced from Life Technologies, Inc. (Gaithersburg, MD, USA). Lipopolysaccharides (LPS), sodium nitrite, sulfanilamide, </w:t>
      </w:r>
      <w:r w:rsidRPr="005E6B7C">
        <w:rPr>
          <w:rFonts w:asciiTheme="majorHAnsi" w:eastAsia="Yu Mincho" w:hAnsiTheme="majorHAnsi" w:cstheme="majorHAnsi"/>
          <w:i/>
          <w:color w:val="000000" w:themeColor="text1"/>
          <w:sz w:val="22"/>
          <w:szCs w:val="22"/>
          <w:lang w:val="vi-VN" w:eastAsia="ja-JP"/>
        </w:rPr>
        <w:t>N</w:t>
      </w:r>
      <w:r w:rsidRPr="005E6B7C">
        <w:rPr>
          <w:rFonts w:asciiTheme="majorHAnsi" w:eastAsia="Yu Mincho" w:hAnsiTheme="majorHAnsi" w:cstheme="majorHAnsi"/>
          <w:color w:val="000000" w:themeColor="text1"/>
          <w:sz w:val="22"/>
          <w:szCs w:val="22"/>
          <w:lang w:val="vi-VN" w:eastAsia="ja-JP"/>
        </w:rPr>
        <w:t xml:space="preserve">-1-napthylenediamine dihydrochloride, dimethyl sulfoxide (DMSO), and dexamethasone were obtained from Sigma Chemical Co. (St. Louis, MO, USA). The RAW 264.7 cells were </w:t>
      </w:r>
      <w:r w:rsidR="00D54E9A" w:rsidRPr="005E6B7C">
        <w:rPr>
          <w:rFonts w:asciiTheme="majorHAnsi" w:eastAsia="Yu Mincho" w:hAnsiTheme="majorHAnsi" w:cstheme="majorHAnsi"/>
          <w:color w:val="000000" w:themeColor="text1"/>
          <w:sz w:val="22"/>
          <w:szCs w:val="22"/>
          <w:lang w:val="vi-VN" w:eastAsia="ja-JP"/>
        </w:rPr>
        <w:t>obtained from</w:t>
      </w:r>
      <w:r w:rsidRPr="005E6B7C">
        <w:rPr>
          <w:rFonts w:asciiTheme="majorHAnsi" w:eastAsia="Yu Mincho" w:hAnsiTheme="majorHAnsi" w:cstheme="majorHAnsi"/>
          <w:color w:val="000000" w:themeColor="text1"/>
          <w:sz w:val="22"/>
          <w:szCs w:val="22"/>
          <w:lang w:val="vi-VN" w:eastAsia="ja-JP"/>
        </w:rPr>
        <w:t xml:space="preserve"> the University of Perugia, Italy. A</w:t>
      </w:r>
      <w:r w:rsidRPr="005E6B7C">
        <w:rPr>
          <w:rFonts w:asciiTheme="majorHAnsi" w:eastAsia="Yu Mincho" w:hAnsiTheme="majorHAnsi" w:cstheme="majorHAnsi"/>
          <w:color w:val="000000" w:themeColor="text1"/>
          <w:sz w:val="22"/>
          <w:szCs w:val="22"/>
          <w:lang w:eastAsia="ja-JP"/>
        </w:rPr>
        <w:t>spirin (acetylsalicylic acid) was obtained from Sigma Chemical Co. (St. Louis, MO, USA).</w:t>
      </w:r>
    </w:p>
    <w:p w14:paraId="68B4503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color w:val="000000" w:themeColor="text1"/>
          <w:sz w:val="22"/>
          <w:szCs w:val="22"/>
          <w:lang w:val="vi-VN" w:eastAsia="ja-JP"/>
        </w:rPr>
      </w:pPr>
      <w:r w:rsidRPr="005E6B7C">
        <w:rPr>
          <w:rFonts w:asciiTheme="majorHAnsi" w:eastAsia="Yu Mincho" w:hAnsiTheme="majorHAnsi" w:cstheme="majorHAnsi"/>
          <w:bCs/>
          <w:color w:val="000000" w:themeColor="text1"/>
          <w:sz w:val="22"/>
          <w:szCs w:val="22"/>
          <w:lang w:val="vi-VN" w:eastAsia="ja-JP"/>
        </w:rPr>
        <w:t xml:space="preserve">2.3. Anti-inflammatory activity </w:t>
      </w:r>
      <w:r w:rsidR="00894500" w:rsidRPr="005E6B7C">
        <w:rPr>
          <w:rFonts w:asciiTheme="majorHAnsi" w:eastAsia="Yu Mincho" w:hAnsiTheme="majorHAnsi" w:cstheme="majorHAnsi"/>
          <w:bCs/>
          <w:i/>
          <w:iCs/>
          <w:color w:val="000000" w:themeColor="text1"/>
          <w:sz w:val="22"/>
          <w:szCs w:val="22"/>
          <w:lang w:val="vi-VN" w:eastAsia="ja-JP"/>
        </w:rPr>
        <w:t>in vitro</w:t>
      </w:r>
    </w:p>
    <w:p w14:paraId="68765F7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val="vi-VN" w:eastAsia="ja-JP"/>
        </w:rPr>
        <w:t xml:space="preserve">2.3.1.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iCs/>
          <w:color w:val="000000" w:themeColor="text1"/>
          <w:sz w:val="22"/>
          <w:szCs w:val="22"/>
          <w:lang w:val="vi-VN" w:eastAsia="ja-JP"/>
        </w:rPr>
        <w:t xml:space="preserve"> anti-inflammatory activity of barks of </w:t>
      </w:r>
      <w:r w:rsidRPr="005E6B7C">
        <w:rPr>
          <w:rFonts w:asciiTheme="majorHAnsi" w:eastAsia="Yu Mincho" w:hAnsiTheme="majorHAnsi" w:cstheme="majorHAnsi"/>
          <w:i/>
          <w:iCs/>
          <w:color w:val="000000" w:themeColor="text1"/>
          <w:sz w:val="22"/>
          <w:szCs w:val="22"/>
          <w:lang w:eastAsia="ja-JP"/>
        </w:rPr>
        <w:t>P. amurense</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val="vi-VN" w:eastAsia="ja-JP"/>
        </w:rPr>
        <w:t>by NO inhibition assay</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fldChar w:fldCharType="begin"/>
      </w:r>
      <w:r w:rsidRPr="005E6B7C">
        <w:rPr>
          <w:rFonts w:asciiTheme="majorHAnsi" w:eastAsia="Yu Mincho" w:hAnsiTheme="majorHAnsi" w:cstheme="majorHAnsi"/>
          <w:iCs/>
          <w:color w:val="000000" w:themeColor="text1"/>
          <w:sz w:val="22"/>
          <w:szCs w:val="22"/>
          <w:lang w:eastAsia="ja-JP"/>
        </w:rPr>
        <w:instrText xml:space="preserve"> ADDIN EN.CITE &lt;EndNote&gt;&lt;Cite&gt;&lt;Author&gt;Park Y.&lt;/Author&gt;&lt;Year&gt;2016&lt;/Year&gt;&lt;RecNum&gt;24&lt;/RecNum&gt;&lt;DisplayText&gt;[6]&lt;/DisplayText&gt;&lt;record&gt;&lt;rec-number&gt;24&lt;/rec-number&gt;&lt;foreign-keys&gt;&lt;key app="EN" db-id="0zafr0r9ns5ttqeezd65a9zx9txppretrezr" timestamp="1772693253"&gt;24&lt;/key&gt;&lt;/foreign-keys&gt;&lt;ref-type name="Journal Article"&gt;17&lt;/ref-type&gt;&lt;contributors&gt;&lt;authors&gt;&lt;author&gt;Park Y., &lt;/author&gt;&lt;author&gt;Yoo S. A., &lt;/author&gt;&lt;author&gt;Kim W. U., &lt;/author&gt;&lt;author&gt;Cho C. S., &lt;/author&gt;&lt;author&gt;Woo J. M., &lt;/author&gt;&lt;author&gt;Yoon C. H.&lt;/author&gt;&lt;/authors&gt;&lt;/contributors&gt;&lt;titles&gt;&lt;title&gt;&lt;style face="normal" font="default" size="100%"&gt;Anti-inflammatory effects of essential oils extracted from &lt;/style&gt;&lt;style face="italic" font="default" size="100%"&gt;Chamaecyparis obtusa &lt;/style&gt;&lt;style face="normal" font="default" size="100%"&gt;on murine models of inflammation and RAW 264.7 cells&lt;/style&gt;&lt;/title&gt;&lt;secondary-title&gt;Molecular Medicine Reports&lt;/secondary-title&gt;&lt;/titles&gt;&lt;periodical&gt;&lt;full-title&gt;Molecular Medicine Reports&lt;/full-title&gt;&lt;/periodical&gt;&lt;pages&gt;3335-3341&lt;/pages&gt;&lt;volume&gt;13&lt;/volume&gt;&lt;number&gt;4&lt;/number&gt;&lt;dates&gt;&lt;year&gt;2016&lt;/year&gt;&lt;/dates&gt;&lt;isbn&gt;1791-2997&lt;/isbn&gt;&lt;urls&gt;&lt;/urls&gt;&lt;/record&gt;&lt;/Cite&gt;&lt;/EndNote&gt;</w:instrText>
      </w:r>
      <w:r w:rsidRPr="005E6B7C">
        <w:rPr>
          <w:rFonts w:asciiTheme="majorHAnsi" w:eastAsia="Yu Mincho" w:hAnsiTheme="majorHAnsi" w:cstheme="majorHAnsi"/>
          <w:iCs/>
          <w:color w:val="000000" w:themeColor="text1"/>
          <w:sz w:val="22"/>
          <w:szCs w:val="22"/>
          <w:lang w:eastAsia="ja-JP"/>
        </w:rPr>
        <w:fldChar w:fldCharType="separate"/>
      </w:r>
      <w:r w:rsidRPr="005E6B7C">
        <w:rPr>
          <w:rFonts w:asciiTheme="majorHAnsi" w:eastAsia="Yu Mincho" w:hAnsiTheme="majorHAnsi" w:cstheme="majorHAnsi"/>
          <w:iCs/>
          <w:noProof/>
          <w:color w:val="000000" w:themeColor="text1"/>
          <w:sz w:val="22"/>
          <w:szCs w:val="22"/>
          <w:lang w:eastAsia="ja-JP"/>
        </w:rPr>
        <w:t>[</w:t>
      </w:r>
      <w:hyperlink w:anchor="_ENREF_6" w:tooltip="Park Y., 2016 #24" w:history="1">
        <w:r w:rsidRPr="005E6B7C">
          <w:rPr>
            <w:rFonts w:asciiTheme="majorHAnsi" w:eastAsia="Yu Mincho" w:hAnsiTheme="majorHAnsi" w:cstheme="majorHAnsi"/>
            <w:iCs/>
            <w:noProof/>
            <w:color w:val="000000" w:themeColor="text1"/>
            <w:sz w:val="22"/>
            <w:szCs w:val="22"/>
            <w:lang w:eastAsia="ja-JP"/>
          </w:rPr>
          <w:t>6</w:t>
        </w:r>
      </w:hyperlink>
      <w:r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fldChar w:fldCharType="end"/>
      </w:r>
      <w:r w:rsidRPr="005E6B7C">
        <w:rPr>
          <w:rFonts w:asciiTheme="majorHAnsi" w:eastAsia="Yu Mincho" w:hAnsiTheme="majorHAnsi" w:cstheme="majorHAnsi"/>
          <w:iCs/>
          <w:color w:val="000000" w:themeColor="text1"/>
          <w:sz w:val="22"/>
          <w:szCs w:val="22"/>
          <w:lang w:eastAsia="ja-JP"/>
        </w:rPr>
        <w:t>:</w:t>
      </w:r>
    </w:p>
    <w:p w14:paraId="203A34E0" w14:textId="232E856F"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Griess reagent was used to measure the amount of NO </w:t>
      </w:r>
      <w:r w:rsidR="00D54E9A" w:rsidRPr="005E6B7C">
        <w:rPr>
          <w:rFonts w:asciiTheme="majorHAnsi" w:eastAsia="Yu Mincho" w:hAnsiTheme="majorHAnsi" w:cstheme="majorHAnsi"/>
          <w:color w:val="000000" w:themeColor="text1"/>
          <w:sz w:val="22"/>
          <w:szCs w:val="22"/>
          <w:lang w:val="vi-VN" w:eastAsia="ja-JP"/>
        </w:rPr>
        <w:t>production</w:t>
      </w:r>
      <w:r w:rsidRPr="005E6B7C">
        <w:rPr>
          <w:rFonts w:asciiTheme="majorHAnsi" w:eastAsia="Yu Mincho" w:hAnsiTheme="majorHAnsi" w:cstheme="majorHAnsi"/>
          <w:color w:val="000000" w:themeColor="text1"/>
          <w:sz w:val="22"/>
          <w:szCs w:val="22"/>
          <w:lang w:val="vi-VN" w:eastAsia="ja-JP"/>
        </w:rPr>
        <w:t xml:space="preserve"> with minor adjustments. The RAW 264.7 cells were cultured for 24 hours at 37°C and 5% CO</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xml:space="preserve"> at a density of 2 × 10</w:t>
      </w:r>
      <w:r w:rsidRPr="005E6B7C">
        <w:rPr>
          <w:rFonts w:asciiTheme="majorHAnsi" w:eastAsia="Yu Mincho" w:hAnsiTheme="majorHAnsi" w:cstheme="majorHAnsi"/>
          <w:color w:val="000000" w:themeColor="text1"/>
          <w:sz w:val="22"/>
          <w:szCs w:val="22"/>
          <w:vertAlign w:val="superscript"/>
          <w:lang w:val="vi-VN" w:eastAsia="ja-JP"/>
        </w:rPr>
        <w:t>5</w:t>
      </w:r>
      <w:r w:rsidRPr="005E6B7C">
        <w:rPr>
          <w:rFonts w:asciiTheme="majorHAnsi" w:eastAsia="Yu Mincho" w:hAnsiTheme="majorHAnsi" w:cstheme="majorHAnsi"/>
          <w:color w:val="000000" w:themeColor="text1"/>
          <w:sz w:val="22"/>
          <w:szCs w:val="22"/>
          <w:lang w:val="vi-VN" w:eastAsia="ja-JP"/>
        </w:rPr>
        <w:t xml:space="preserve"> cells/well using DMEM. Subsequently, different doses of extracts (</w:t>
      </w:r>
      <w:r w:rsidR="007B23ED" w:rsidRPr="005E6B7C">
        <w:rPr>
          <w:rFonts w:asciiTheme="majorHAnsi" w:eastAsia="Yu Mincho" w:hAnsiTheme="majorHAnsi" w:cstheme="majorHAnsi"/>
          <w:color w:val="000000" w:themeColor="text1"/>
          <w:sz w:val="22"/>
          <w:szCs w:val="22"/>
          <w:lang w:eastAsia="ja-JP"/>
        </w:rPr>
        <w:t>2.65</w:t>
      </w:r>
      <w:r w:rsidRPr="005E6B7C">
        <w:rPr>
          <w:rFonts w:asciiTheme="majorHAnsi" w:eastAsia="Yu Mincho" w:hAnsiTheme="majorHAnsi" w:cstheme="majorHAnsi"/>
          <w:color w:val="000000" w:themeColor="text1"/>
          <w:sz w:val="22"/>
          <w:szCs w:val="22"/>
          <w:lang w:val="vi-VN" w:eastAsia="ja-JP"/>
        </w:rPr>
        <w:sym w:font="Symbol" w:char="F02D"/>
      </w:r>
      <w:r w:rsidR="007B23ED" w:rsidRPr="005E6B7C">
        <w:rPr>
          <w:rFonts w:asciiTheme="majorHAnsi" w:eastAsia="Yu Mincho" w:hAnsiTheme="majorHAnsi" w:cstheme="majorHAnsi"/>
          <w:color w:val="000000" w:themeColor="text1"/>
          <w:sz w:val="22"/>
          <w:szCs w:val="22"/>
          <w:lang w:eastAsia="ja-JP"/>
        </w:rPr>
        <w:t>100</w:t>
      </w:r>
      <w:r w:rsidRPr="005E6B7C">
        <w:rPr>
          <w:rFonts w:asciiTheme="majorHAnsi" w:eastAsia="Yu Mincho" w:hAnsiTheme="majorHAnsi" w:cstheme="majorHAnsi"/>
          <w:color w:val="000000" w:themeColor="text1"/>
          <w:sz w:val="22"/>
          <w:szCs w:val="22"/>
          <w:lang w:val="vi-VN" w:eastAsia="ja-JP"/>
        </w:rPr>
        <w:t xml:space="preserve">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 xml:space="preserve">g/mL) were applied to the cells when LPS (1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g/mL) was added to induce inflammation. The untreated cell</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w</w:t>
      </w:r>
      <w:r w:rsidRPr="005E6B7C">
        <w:rPr>
          <w:rFonts w:asciiTheme="majorHAnsi" w:eastAsia="Yu Mincho" w:hAnsiTheme="majorHAnsi" w:cstheme="majorHAnsi"/>
          <w:color w:val="000000" w:themeColor="text1"/>
          <w:sz w:val="22"/>
          <w:szCs w:val="22"/>
          <w:lang w:eastAsia="ja-JP"/>
        </w:rPr>
        <w:t>ere</w:t>
      </w:r>
      <w:r w:rsidRPr="005E6B7C">
        <w:rPr>
          <w:rFonts w:asciiTheme="majorHAnsi" w:eastAsia="Yu Mincho" w:hAnsiTheme="majorHAnsi" w:cstheme="majorHAnsi"/>
          <w:color w:val="000000" w:themeColor="text1"/>
          <w:sz w:val="22"/>
          <w:szCs w:val="22"/>
          <w:lang w:val="vi-VN" w:eastAsia="ja-JP"/>
        </w:rPr>
        <w:t xml:space="preserve"> used as the blank. </w:t>
      </w:r>
      <w:r w:rsidRPr="005E6B7C">
        <w:rPr>
          <w:rFonts w:asciiTheme="majorHAnsi" w:eastAsia="Yu Mincho" w:hAnsiTheme="majorHAnsi" w:cstheme="majorHAnsi"/>
          <w:color w:val="000000" w:themeColor="text1"/>
          <w:sz w:val="22"/>
          <w:szCs w:val="22"/>
          <w:lang w:eastAsia="ja-JP"/>
        </w:rPr>
        <w:t>Cells exposed to LPS with 0.1% DMSO but no extract served as the negative (vehicle) control</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Nitrite accumulation was quantified after 24 h of treatment. </w:t>
      </w:r>
      <w:r w:rsidRPr="005E6B7C">
        <w:rPr>
          <w:rFonts w:asciiTheme="majorHAnsi" w:eastAsia="Yu Mincho" w:hAnsiTheme="majorHAnsi" w:cstheme="majorHAnsi"/>
          <w:color w:val="000000" w:themeColor="text1"/>
          <w:sz w:val="22"/>
          <w:szCs w:val="22"/>
          <w:lang w:val="vi-VN" w:eastAsia="ja-JP"/>
        </w:rPr>
        <w:t xml:space="preserve">Next, 100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 xml:space="preserve">L of </w:t>
      </w:r>
      <w:r w:rsidRPr="005E6B7C">
        <w:rPr>
          <w:rFonts w:asciiTheme="majorHAnsi" w:eastAsia="Yu Mincho" w:hAnsiTheme="majorHAnsi" w:cstheme="majorHAnsi"/>
          <w:color w:val="000000" w:themeColor="text1"/>
          <w:sz w:val="22"/>
          <w:szCs w:val="22"/>
          <w:lang w:eastAsia="ja-JP"/>
        </w:rPr>
        <w:t>the</w:t>
      </w:r>
      <w:r w:rsidRPr="005E6B7C">
        <w:rPr>
          <w:rFonts w:asciiTheme="majorHAnsi" w:eastAsia="Yu Mincho" w:hAnsiTheme="majorHAnsi" w:cstheme="majorHAnsi"/>
          <w:color w:val="000000" w:themeColor="text1"/>
          <w:sz w:val="22"/>
          <w:szCs w:val="22"/>
          <w:lang w:val="vi-VN" w:eastAsia="ja-JP"/>
        </w:rPr>
        <w:t xml:space="preserve"> supernatant was moved to a different 96-well culture plate, combined with 100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L of Griess reagent (0.1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(w/v) naphthyl ethylenediamine dihydrochloride and 1% (w/v) sulfanilamide in 5% (v/v) phosphoric acid). </w:t>
      </w:r>
      <w:r w:rsidRPr="005E6B7C">
        <w:rPr>
          <w:rFonts w:asciiTheme="majorHAnsi" w:eastAsia="Yu Mincho" w:hAnsiTheme="majorHAnsi" w:cstheme="majorHAnsi"/>
          <w:color w:val="000000" w:themeColor="text1"/>
          <w:sz w:val="22"/>
          <w:szCs w:val="22"/>
          <w:lang w:eastAsia="ja-JP"/>
        </w:rPr>
        <w:t>After incubation for 15 min at room temperature, OD was measured at 540 nm</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t>The IC</w:t>
      </w:r>
      <w:r w:rsidRPr="005E6B7C">
        <w:rPr>
          <w:rFonts w:asciiTheme="majorHAnsi" w:eastAsia="Yu Mincho" w:hAnsiTheme="majorHAnsi" w:cstheme="majorHAnsi"/>
          <w:color w:val="000000" w:themeColor="text1"/>
          <w:sz w:val="22"/>
          <w:szCs w:val="22"/>
          <w:vertAlign w:val="subscript"/>
          <w:lang w:val="vi-VN" w:eastAsia="ja-JP"/>
        </w:rPr>
        <w:t>50</w:t>
      </w:r>
      <w:r w:rsidRPr="005E6B7C">
        <w:rPr>
          <w:rFonts w:asciiTheme="majorHAnsi" w:eastAsia="Yu Mincho" w:hAnsiTheme="majorHAnsi" w:cstheme="majorHAnsi"/>
          <w:color w:val="000000" w:themeColor="text1"/>
          <w:sz w:val="22"/>
          <w:szCs w:val="22"/>
          <w:lang w:val="vi-VN" w:eastAsia="ja-JP"/>
        </w:rPr>
        <w:t xml:space="preserve"> value (50% of NO inhibition) was determined using the Table-Curve 2Dv4 software. The MTT assay was used to assess the cytotoxic activity. The formazan crystals were dissolved in DMSO for 60 minutes at 37°C. The quantity of formazan was measured at 590 nm. Dexamethasone (0.8 to 100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M) was used as a positive control.</w:t>
      </w:r>
    </w:p>
    <w:p w14:paraId="740B2F8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Cs/>
          <w:color w:val="000000" w:themeColor="text1"/>
          <w:spacing w:val="6"/>
          <w:sz w:val="22"/>
          <w:szCs w:val="22"/>
          <w:lang w:eastAsia="ja-JP"/>
        </w:rPr>
      </w:pPr>
      <w:r w:rsidRPr="005E6B7C">
        <w:rPr>
          <w:rFonts w:asciiTheme="majorHAnsi" w:eastAsia="Yu Mincho" w:hAnsiTheme="majorHAnsi" w:cstheme="majorHAnsi"/>
          <w:iCs/>
          <w:color w:val="000000" w:themeColor="text1"/>
          <w:spacing w:val="6"/>
          <w:sz w:val="22"/>
          <w:szCs w:val="22"/>
          <w:lang w:val="vi-VN" w:eastAsia="ja-JP"/>
        </w:rPr>
        <w:t xml:space="preserve">2.3.2. </w:t>
      </w:r>
      <w:r w:rsidR="00894500" w:rsidRPr="005E6B7C">
        <w:rPr>
          <w:rFonts w:asciiTheme="majorHAnsi" w:eastAsia="Yu Mincho" w:hAnsiTheme="majorHAnsi" w:cstheme="majorHAnsi"/>
          <w:i/>
          <w:iCs/>
          <w:color w:val="000000" w:themeColor="text1"/>
          <w:spacing w:val="6"/>
          <w:sz w:val="22"/>
          <w:szCs w:val="22"/>
          <w:lang w:val="vi-VN" w:eastAsia="ja-JP"/>
        </w:rPr>
        <w:t>In vitro</w:t>
      </w:r>
      <w:r w:rsidRPr="005E6B7C">
        <w:rPr>
          <w:rFonts w:asciiTheme="majorHAnsi" w:eastAsia="Yu Mincho" w:hAnsiTheme="majorHAnsi" w:cstheme="majorHAnsi"/>
          <w:iCs/>
          <w:color w:val="000000" w:themeColor="text1"/>
          <w:spacing w:val="6"/>
          <w:sz w:val="22"/>
          <w:szCs w:val="22"/>
          <w:lang w:val="vi-VN" w:eastAsia="ja-JP"/>
        </w:rPr>
        <w:t xml:space="preserve"> anti-inflammatory activity of barks of </w:t>
      </w:r>
      <w:r w:rsidRPr="005E6B7C">
        <w:rPr>
          <w:rFonts w:asciiTheme="majorHAnsi" w:eastAsia="Yu Mincho" w:hAnsiTheme="majorHAnsi" w:cstheme="majorHAnsi"/>
          <w:i/>
          <w:iCs/>
          <w:color w:val="000000" w:themeColor="text1"/>
          <w:spacing w:val="6"/>
          <w:sz w:val="22"/>
          <w:szCs w:val="22"/>
          <w:lang w:eastAsia="ja-JP"/>
        </w:rPr>
        <w:t>P. amurense</w:t>
      </w:r>
      <w:r w:rsidRPr="005E6B7C">
        <w:rPr>
          <w:rFonts w:asciiTheme="majorHAnsi" w:eastAsia="Yu Mincho" w:hAnsiTheme="majorHAnsi" w:cstheme="majorHAnsi"/>
          <w:iCs/>
          <w:color w:val="000000" w:themeColor="text1"/>
          <w:spacing w:val="6"/>
          <w:sz w:val="22"/>
          <w:szCs w:val="22"/>
          <w:lang w:eastAsia="ja-JP"/>
        </w:rPr>
        <w:t xml:space="preserve"> </w:t>
      </w:r>
      <w:r w:rsidRPr="005E6B7C">
        <w:rPr>
          <w:rFonts w:asciiTheme="majorHAnsi" w:eastAsia="Yu Mincho" w:hAnsiTheme="majorHAnsi" w:cstheme="majorHAnsi"/>
          <w:iCs/>
          <w:color w:val="000000" w:themeColor="text1"/>
          <w:spacing w:val="6"/>
          <w:sz w:val="22"/>
          <w:szCs w:val="22"/>
          <w:lang w:val="vi-VN" w:eastAsia="ja-JP"/>
        </w:rPr>
        <w:t xml:space="preserve">by PGE2 inhibition assay </w:t>
      </w:r>
      <w:r w:rsidRPr="005E6B7C">
        <w:rPr>
          <w:rFonts w:asciiTheme="majorHAnsi" w:eastAsia="Yu Mincho" w:hAnsiTheme="majorHAnsi" w:cstheme="majorHAnsi"/>
          <w:iCs/>
          <w:color w:val="000000" w:themeColor="text1"/>
          <w:spacing w:val="6"/>
          <w:sz w:val="22"/>
          <w:szCs w:val="22"/>
          <w:lang w:val="vi-VN" w:eastAsia="ja-JP"/>
        </w:rPr>
        <w:fldChar w:fldCharType="begin"/>
      </w:r>
      <w:r w:rsidRPr="005E6B7C">
        <w:rPr>
          <w:rFonts w:asciiTheme="majorHAnsi" w:eastAsia="Yu Mincho" w:hAnsiTheme="majorHAnsi" w:cstheme="majorHAnsi"/>
          <w:iCs/>
          <w:color w:val="000000" w:themeColor="text1"/>
          <w:spacing w:val="6"/>
          <w:sz w:val="22"/>
          <w:szCs w:val="22"/>
          <w:lang w:val="vi-VN" w:eastAsia="ja-JP"/>
        </w:rPr>
        <w:instrText xml:space="preserve"> ADDIN EN.CITE &lt;EndNote&gt;&lt;Cite&gt;&lt;Author&gt;Chen J. N.&lt;/Author&gt;&lt;Year&gt;2011&lt;/Year&gt;&lt;RecNum&gt;6&lt;/RecNum&gt;&lt;DisplayText&gt;[7]&lt;/DisplayText&gt;&lt;record&gt;&lt;rec-number&gt;6&lt;/rec-number&gt;&lt;foreign-keys&gt;&lt;key app="EN" db-id="0zafr0r9ns5ttqeezd65a9zx9txppretrezr" timestamp="1772683231"&gt;6&lt;/key&gt;&lt;/foreign-keys&gt;&lt;ref-type name="Journal Article"&gt;17&lt;/ref-type&gt;&lt;contributors&gt;&lt;authors&gt;&lt;author&gt;Chen J. N.,&lt;/author&gt;&lt;author&gt;De Mejia E. G.,&lt;/author&gt;&lt;author&gt;Wu J. S. B.&lt;/author&gt;&lt;/authors&gt;&lt;/contributors&gt;&lt;titles&gt;&lt;title&gt;&lt;style face="normal" font="default" size="100%"&gt;Inhibitory effect of a glycoprotein isolated from golden oyster mushroom (&lt;/style&gt;&lt;style face="italic" font="default" size="100%"&gt;Pleurotus citrinopileatus&lt;/style&gt;&lt;style face="normal" font="default" size="100%"&gt;) on the lipopolysaccharide-induced inflammatory reaction in RAW 264.7 macrophage&lt;/style&gt;&lt;/title&gt;&lt;secondary-title&gt;Journal of Agricultural Food Chemistry&lt;/secondary-title&gt;&lt;/titles&gt;&lt;periodical&gt;&lt;full-title&gt;Journal of Agricultural Food Chemistry&lt;/full-title&gt;&lt;/periodical&gt;&lt;pages&gt;7092-7097&lt;/pages&gt;&lt;volume&gt;59&lt;/volume&gt;&lt;number&gt;13&lt;/number&gt;&lt;dates&gt;&lt;year&gt;2011&lt;/year&gt;&lt;/dates&gt;&lt;isbn&gt;0021-8561&lt;/isbn&gt;&lt;urls&gt;&lt;/urls&gt;&lt;/record&gt;&lt;/Cite&gt;&lt;/EndNote&gt;</w:instrText>
      </w:r>
      <w:r w:rsidRPr="005E6B7C">
        <w:rPr>
          <w:rFonts w:asciiTheme="majorHAnsi" w:eastAsia="Yu Mincho" w:hAnsiTheme="majorHAnsi" w:cstheme="majorHAnsi"/>
          <w:iCs/>
          <w:color w:val="000000" w:themeColor="text1"/>
          <w:spacing w:val="6"/>
          <w:sz w:val="22"/>
          <w:szCs w:val="22"/>
          <w:lang w:val="vi-VN" w:eastAsia="ja-JP"/>
        </w:rPr>
        <w:fldChar w:fldCharType="separate"/>
      </w:r>
      <w:r w:rsidRPr="005E6B7C">
        <w:rPr>
          <w:rFonts w:asciiTheme="majorHAnsi" w:eastAsia="Yu Mincho" w:hAnsiTheme="majorHAnsi" w:cstheme="majorHAnsi"/>
          <w:iCs/>
          <w:noProof/>
          <w:color w:val="000000" w:themeColor="text1"/>
          <w:spacing w:val="6"/>
          <w:sz w:val="22"/>
          <w:szCs w:val="22"/>
          <w:lang w:val="vi-VN" w:eastAsia="ja-JP"/>
        </w:rPr>
        <w:t>[</w:t>
      </w:r>
      <w:hyperlink w:anchor="_ENREF_7" w:tooltip="Chen J. N., 2011 #6" w:history="1">
        <w:r w:rsidRPr="005E6B7C">
          <w:rPr>
            <w:rFonts w:asciiTheme="majorHAnsi" w:eastAsia="Yu Mincho" w:hAnsiTheme="majorHAnsi" w:cstheme="majorHAnsi"/>
            <w:iCs/>
            <w:noProof/>
            <w:color w:val="000000" w:themeColor="text1"/>
            <w:spacing w:val="6"/>
            <w:sz w:val="22"/>
            <w:szCs w:val="22"/>
            <w:lang w:val="vi-VN" w:eastAsia="ja-JP"/>
          </w:rPr>
          <w:t>7</w:t>
        </w:r>
      </w:hyperlink>
      <w:r w:rsidRPr="005E6B7C">
        <w:rPr>
          <w:rFonts w:asciiTheme="majorHAnsi" w:eastAsia="Yu Mincho" w:hAnsiTheme="majorHAnsi" w:cstheme="majorHAnsi"/>
          <w:iCs/>
          <w:noProof/>
          <w:color w:val="000000" w:themeColor="text1"/>
          <w:spacing w:val="6"/>
          <w:sz w:val="22"/>
          <w:szCs w:val="22"/>
          <w:lang w:val="vi-VN" w:eastAsia="ja-JP"/>
        </w:rPr>
        <w:t>]</w:t>
      </w:r>
      <w:r w:rsidRPr="005E6B7C">
        <w:rPr>
          <w:rFonts w:asciiTheme="majorHAnsi" w:eastAsia="Yu Mincho" w:hAnsiTheme="majorHAnsi" w:cstheme="majorHAnsi"/>
          <w:iCs/>
          <w:color w:val="000000" w:themeColor="text1"/>
          <w:spacing w:val="6"/>
          <w:sz w:val="22"/>
          <w:szCs w:val="22"/>
          <w:lang w:val="vi-VN" w:eastAsia="ja-JP"/>
        </w:rPr>
        <w:fldChar w:fldCharType="end"/>
      </w:r>
      <w:r w:rsidRPr="005E6B7C">
        <w:rPr>
          <w:rFonts w:asciiTheme="majorHAnsi" w:eastAsia="Yu Mincho" w:hAnsiTheme="majorHAnsi" w:cstheme="majorHAnsi"/>
          <w:iCs/>
          <w:color w:val="000000" w:themeColor="text1"/>
          <w:spacing w:val="6"/>
          <w:sz w:val="22"/>
          <w:szCs w:val="22"/>
          <w:lang w:eastAsia="ja-JP"/>
        </w:rPr>
        <w:t>:</w:t>
      </w:r>
    </w:p>
    <w:p w14:paraId="6C2AD95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Step 1: The RAW 264.7 cells in DMEM were seeded into 96-well plates </w:t>
      </w:r>
      <w:r w:rsidRPr="005E6B7C">
        <w:rPr>
          <w:rFonts w:asciiTheme="majorHAnsi" w:eastAsia="Yu Mincho" w:hAnsiTheme="majorHAnsi" w:cstheme="majorHAnsi"/>
          <w:color w:val="000000" w:themeColor="text1"/>
          <w:sz w:val="22"/>
          <w:szCs w:val="22"/>
          <w:lang w:eastAsia="ja-JP"/>
        </w:rPr>
        <w:t>at</w:t>
      </w:r>
      <w:r w:rsidRPr="005E6B7C">
        <w:rPr>
          <w:rFonts w:asciiTheme="majorHAnsi" w:eastAsia="Yu Mincho" w:hAnsiTheme="majorHAnsi" w:cstheme="majorHAnsi"/>
          <w:color w:val="000000" w:themeColor="text1"/>
          <w:sz w:val="22"/>
          <w:szCs w:val="22"/>
          <w:lang w:val="vi-VN" w:eastAsia="ja-JP"/>
        </w:rPr>
        <w:t xml:space="preserve"> a density of 1 × 10</w:t>
      </w:r>
      <w:r w:rsidRPr="005E6B7C">
        <w:rPr>
          <w:rFonts w:asciiTheme="majorHAnsi" w:eastAsia="Yu Mincho" w:hAnsiTheme="majorHAnsi" w:cstheme="majorHAnsi"/>
          <w:color w:val="000000" w:themeColor="text1"/>
          <w:sz w:val="22"/>
          <w:szCs w:val="22"/>
          <w:vertAlign w:val="superscript"/>
          <w:lang w:val="vi-VN" w:eastAsia="ja-JP"/>
        </w:rPr>
        <w:t>5</w:t>
      </w:r>
      <w:r w:rsidRPr="005E6B7C">
        <w:rPr>
          <w:rFonts w:asciiTheme="majorHAnsi" w:eastAsia="Yu Mincho" w:hAnsiTheme="majorHAnsi" w:cstheme="majorHAnsi"/>
          <w:color w:val="000000" w:themeColor="text1"/>
          <w:sz w:val="22"/>
          <w:szCs w:val="22"/>
          <w:lang w:val="vi-VN" w:eastAsia="ja-JP"/>
        </w:rPr>
        <w:t xml:space="preserve"> cells/well and incubated at 37°C, 5% CO</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for 24 hr. Subsequently, the old medium was replaced with fresh medium containing 2 μg/mL of LPS; then, the test samples were added and incubated at 37°C, 5% CO</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for 24 h.</w:t>
      </w:r>
    </w:p>
    <w:p w14:paraId="42E16262" w14:textId="055093CF"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w:t>
      </w:r>
      <w:r w:rsidRPr="005E6B7C">
        <w:rPr>
          <w:rFonts w:asciiTheme="majorHAnsi" w:eastAsia="Yu Mincho" w:hAnsiTheme="majorHAnsi" w:cstheme="majorHAnsi"/>
          <w:color w:val="000000" w:themeColor="text1"/>
          <w:spacing w:val="2"/>
          <w:sz w:val="22"/>
          <w:szCs w:val="22"/>
          <w:lang w:val="vi-VN" w:eastAsia="ja-JP"/>
        </w:rPr>
        <w:t>Step 2: PGE2 production by enzyme-linked immunosorbent assay (ELISA) was determined by transferring 50 </w:t>
      </w:r>
      <w:r w:rsidR="00266B26" w:rsidRPr="005E6B7C">
        <w:rPr>
          <w:rFonts w:asciiTheme="majorHAnsi" w:eastAsia="Yu Mincho" w:hAnsiTheme="majorHAnsi" w:cstheme="majorHAnsi"/>
          <w:i/>
          <w:iCs/>
          <w:color w:val="000000" w:themeColor="text1"/>
          <w:spacing w:val="2"/>
          <w:sz w:val="22"/>
          <w:szCs w:val="22"/>
          <w:lang w:val="vi-VN" w:eastAsia="ja-JP"/>
        </w:rPr>
        <w:t>µ</w:t>
      </w:r>
      <w:r w:rsidRPr="005E6B7C">
        <w:rPr>
          <w:rFonts w:asciiTheme="majorHAnsi" w:eastAsia="Yu Mincho" w:hAnsiTheme="majorHAnsi" w:cstheme="majorHAnsi"/>
          <w:color w:val="000000" w:themeColor="text1"/>
          <w:spacing w:val="2"/>
          <w:sz w:val="22"/>
          <w:szCs w:val="22"/>
          <w:lang w:val="vi-VN" w:eastAsia="ja-JP"/>
        </w:rPr>
        <w:t xml:space="preserve">L of supernatant into a goat anti-mouse IgG-coated plate. After that, 50 μL each of </w:t>
      </w:r>
      <w:r w:rsidRPr="005E6B7C">
        <w:rPr>
          <w:rFonts w:asciiTheme="majorHAnsi" w:eastAsia="Yu Mincho" w:hAnsiTheme="majorHAnsi" w:cstheme="majorHAnsi"/>
          <w:color w:val="000000" w:themeColor="text1"/>
          <w:spacing w:val="2"/>
          <w:sz w:val="22"/>
          <w:szCs w:val="22"/>
          <w:lang w:eastAsia="ja-JP"/>
        </w:rPr>
        <w:t>PG</w:t>
      </w:r>
      <w:r w:rsidRPr="005E6B7C">
        <w:rPr>
          <w:rFonts w:asciiTheme="majorHAnsi" w:eastAsia="Yu Mincho" w:hAnsiTheme="majorHAnsi" w:cstheme="majorHAnsi"/>
          <w:color w:val="000000" w:themeColor="text1"/>
          <w:spacing w:val="2"/>
          <w:sz w:val="22"/>
          <w:szCs w:val="22"/>
          <w:lang w:val="vi-VN" w:eastAsia="ja-JP"/>
        </w:rPr>
        <w:t>E2</w:t>
      </w:r>
      <w:r w:rsidR="00D54E9A" w:rsidRPr="005E6B7C">
        <w:rPr>
          <w:rFonts w:asciiTheme="majorHAnsi" w:eastAsia="Yu Mincho" w:hAnsiTheme="majorHAnsi" w:cstheme="majorHAnsi"/>
          <w:color w:val="000000" w:themeColor="text1"/>
          <w:spacing w:val="2"/>
          <w:sz w:val="22"/>
          <w:szCs w:val="22"/>
          <w:lang w:val="vi-VN" w:eastAsia="ja-JP"/>
        </w:rPr>
        <w:t xml:space="preserve"> </w:t>
      </w:r>
      <w:r w:rsidRPr="005E6B7C">
        <w:rPr>
          <w:rFonts w:asciiTheme="majorHAnsi" w:eastAsia="Yu Mincho" w:hAnsiTheme="majorHAnsi" w:cstheme="majorHAnsi"/>
          <w:color w:val="000000" w:themeColor="text1"/>
          <w:spacing w:val="2"/>
          <w:sz w:val="22"/>
          <w:szCs w:val="22"/>
          <w:lang w:val="vi-VN" w:eastAsia="ja-JP"/>
        </w:rPr>
        <w:t xml:space="preserve">AChE tracer and </w:t>
      </w:r>
      <w:r w:rsidRPr="005E6B7C">
        <w:rPr>
          <w:rFonts w:asciiTheme="majorHAnsi" w:eastAsia="Yu Mincho" w:hAnsiTheme="majorHAnsi" w:cstheme="majorHAnsi"/>
          <w:color w:val="000000" w:themeColor="text1"/>
          <w:spacing w:val="2"/>
          <w:sz w:val="22"/>
          <w:szCs w:val="22"/>
          <w:lang w:eastAsia="ja-JP"/>
        </w:rPr>
        <w:t>PG</w:t>
      </w:r>
      <w:r w:rsidRPr="005E6B7C">
        <w:rPr>
          <w:rFonts w:asciiTheme="majorHAnsi" w:eastAsia="Yu Mincho" w:hAnsiTheme="majorHAnsi" w:cstheme="majorHAnsi"/>
          <w:color w:val="000000" w:themeColor="text1"/>
          <w:spacing w:val="2"/>
          <w:sz w:val="22"/>
          <w:szCs w:val="22"/>
          <w:lang w:val="vi-VN" w:eastAsia="ja-JP"/>
        </w:rPr>
        <w:t>E2 monoclonal antibody w</w:t>
      </w:r>
      <w:r w:rsidRPr="005E6B7C">
        <w:rPr>
          <w:rFonts w:asciiTheme="majorHAnsi" w:eastAsia="Yu Mincho" w:hAnsiTheme="majorHAnsi" w:cstheme="majorHAnsi"/>
          <w:color w:val="000000" w:themeColor="text1"/>
          <w:spacing w:val="2"/>
          <w:sz w:val="22"/>
          <w:szCs w:val="22"/>
          <w:lang w:eastAsia="ja-JP"/>
        </w:rPr>
        <w:t>ere</w:t>
      </w:r>
      <w:r w:rsidRPr="005E6B7C">
        <w:rPr>
          <w:rFonts w:asciiTheme="majorHAnsi" w:eastAsia="Yu Mincho" w:hAnsiTheme="majorHAnsi" w:cstheme="majorHAnsi"/>
          <w:color w:val="000000" w:themeColor="text1"/>
          <w:spacing w:val="2"/>
          <w:sz w:val="22"/>
          <w:szCs w:val="22"/>
          <w:lang w:val="vi-VN" w:eastAsia="ja-JP"/>
        </w:rPr>
        <w:t xml:space="preserve"> added to each well and incubated at 4°C for 18 hr. The plate was washed with wash buffer; then Ellman’s reagent was added and incubated at 37°C for 60–90 minutes. The OD was measured at 412 nm. The 50% inhibitory concentration (IC</w:t>
      </w:r>
      <w:r w:rsidRPr="005E6B7C">
        <w:rPr>
          <w:rFonts w:asciiTheme="majorHAnsi" w:eastAsia="Yu Mincho" w:hAnsiTheme="majorHAnsi" w:cstheme="majorHAnsi"/>
          <w:color w:val="000000" w:themeColor="text1"/>
          <w:spacing w:val="2"/>
          <w:sz w:val="22"/>
          <w:szCs w:val="22"/>
          <w:vertAlign w:val="subscript"/>
          <w:lang w:val="vi-VN" w:eastAsia="ja-JP"/>
        </w:rPr>
        <w:t xml:space="preserve">50) </w:t>
      </w:r>
      <w:r w:rsidRPr="005E6B7C">
        <w:rPr>
          <w:rFonts w:asciiTheme="majorHAnsi" w:eastAsia="Yu Mincho" w:hAnsiTheme="majorHAnsi" w:cstheme="majorHAnsi"/>
          <w:color w:val="000000" w:themeColor="text1"/>
          <w:spacing w:val="2"/>
          <w:sz w:val="22"/>
          <w:szCs w:val="22"/>
          <w:lang w:val="vi-VN" w:eastAsia="ja-JP"/>
        </w:rPr>
        <w:t xml:space="preserve">was calculated. All data were expressed as mean ± standard error of </w:t>
      </w:r>
      <w:r w:rsidRPr="005E6B7C">
        <w:rPr>
          <w:rFonts w:asciiTheme="majorHAnsi" w:eastAsia="Yu Mincho" w:hAnsiTheme="majorHAnsi" w:cstheme="majorHAnsi"/>
          <w:color w:val="000000" w:themeColor="text1"/>
          <w:spacing w:val="2"/>
          <w:sz w:val="22"/>
          <w:szCs w:val="22"/>
          <w:lang w:eastAsia="ja-JP"/>
        </w:rPr>
        <w:t xml:space="preserve">the </w:t>
      </w:r>
      <w:r w:rsidRPr="005E6B7C">
        <w:rPr>
          <w:rFonts w:asciiTheme="majorHAnsi" w:eastAsia="Yu Mincho" w:hAnsiTheme="majorHAnsi" w:cstheme="majorHAnsi"/>
          <w:color w:val="000000" w:themeColor="text1"/>
          <w:spacing w:val="2"/>
          <w:sz w:val="22"/>
          <w:szCs w:val="22"/>
          <w:lang w:val="vi-VN" w:eastAsia="ja-JP"/>
        </w:rPr>
        <w:t>mean (SEM).</w:t>
      </w:r>
    </w:p>
    <w:p w14:paraId="5B8819D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iCs/>
          <w:color w:val="000000" w:themeColor="text1"/>
          <w:sz w:val="22"/>
          <w:szCs w:val="22"/>
          <w:lang w:val="vi-VN" w:eastAsia="ja-JP"/>
        </w:rPr>
      </w:pPr>
      <w:r w:rsidRPr="005E6B7C">
        <w:rPr>
          <w:rFonts w:asciiTheme="majorHAnsi" w:eastAsia="Yu Mincho" w:hAnsiTheme="majorHAnsi" w:cstheme="majorHAnsi"/>
          <w:bCs/>
          <w:i/>
          <w:iCs/>
          <w:color w:val="000000" w:themeColor="text1"/>
          <w:sz w:val="22"/>
          <w:szCs w:val="22"/>
          <w:lang w:val="vi-VN" w:eastAsia="ja-JP"/>
        </w:rPr>
        <w:t xml:space="preserve">2.4. Anti-inflammatory activity </w:t>
      </w:r>
      <w:r w:rsidR="00894500" w:rsidRPr="005E6B7C">
        <w:rPr>
          <w:rFonts w:asciiTheme="majorHAnsi" w:eastAsia="Yu Mincho" w:hAnsiTheme="majorHAnsi" w:cstheme="majorHAnsi"/>
          <w:bCs/>
          <w:i/>
          <w:iCs/>
          <w:color w:val="000000" w:themeColor="text1"/>
          <w:sz w:val="22"/>
          <w:szCs w:val="22"/>
          <w:lang w:val="vi-VN" w:eastAsia="ja-JP"/>
        </w:rPr>
        <w:t>in vivo</w:t>
      </w:r>
    </w:p>
    <w:p w14:paraId="0F548848" w14:textId="77777777" w:rsidR="00E049CB" w:rsidRPr="005E6B7C" w:rsidRDefault="00E049CB" w:rsidP="008C0D47">
      <w:pPr>
        <w:tabs>
          <w:tab w:val="left" w:pos="270"/>
          <w:tab w:val="left" w:pos="540"/>
          <w:tab w:val="left" w:pos="9270"/>
        </w:tabs>
        <w:spacing w:line="240" w:lineRule="exact"/>
        <w:ind w:firstLine="284"/>
        <w:jc w:val="both"/>
        <w:outlineLvl w:val="3"/>
        <w:rPr>
          <w:rFonts w:asciiTheme="majorHAnsi" w:eastAsia="Yu Mincho" w:hAnsiTheme="majorHAnsi" w:cstheme="majorHAnsi"/>
          <w:b/>
          <w:bCs/>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val="vi-VN" w:eastAsia="ja-JP"/>
        </w:rPr>
        <w:t xml:space="preserve">2.4.1. </w:t>
      </w:r>
      <w:r w:rsidRPr="005E6B7C">
        <w:rPr>
          <w:rFonts w:asciiTheme="majorHAnsi" w:eastAsia="Yu Mincho" w:hAnsiTheme="majorHAnsi" w:cstheme="majorHAnsi"/>
          <w:bCs/>
          <w:iCs/>
          <w:color w:val="000000" w:themeColor="text1"/>
          <w:sz w:val="22"/>
          <w:szCs w:val="22"/>
          <w:lang w:eastAsia="ja-JP"/>
        </w:rPr>
        <w:t>Carrageenan-Induced Paw Edema in Rats</w:t>
      </w:r>
      <w:r w:rsidRPr="005E6B7C">
        <w:rPr>
          <w:rFonts w:asciiTheme="majorHAnsi" w:eastAsia="Yu Mincho" w:hAnsiTheme="majorHAnsi" w:cstheme="majorHAnsi"/>
          <w:bCs/>
          <w:iCs/>
          <w:color w:val="000000" w:themeColor="text1"/>
          <w:sz w:val="22"/>
          <w:szCs w:val="22"/>
          <w:lang w:val="vi-VN" w:eastAsia="ja-JP"/>
        </w:rPr>
        <w:t xml:space="preserve"> </w:t>
      </w:r>
      <w:r w:rsidRPr="005E6B7C">
        <w:rPr>
          <w:rFonts w:asciiTheme="majorHAnsi" w:eastAsia="Yu Mincho" w:hAnsiTheme="majorHAnsi" w:cstheme="majorHAnsi"/>
          <w:bCs/>
          <w:iCs/>
          <w:color w:val="000000" w:themeColor="text1"/>
          <w:sz w:val="22"/>
          <w:szCs w:val="22"/>
          <w:lang w:val="vi-VN" w:eastAsia="ja-JP"/>
        </w:rPr>
        <w:fldChar w:fldCharType="begin"/>
      </w:r>
      <w:r w:rsidRPr="005E6B7C">
        <w:rPr>
          <w:rFonts w:asciiTheme="majorHAnsi" w:eastAsia="Yu Mincho" w:hAnsiTheme="majorHAnsi" w:cstheme="majorHAnsi"/>
          <w:bCs/>
          <w:iCs/>
          <w:color w:val="000000" w:themeColor="text1"/>
          <w:sz w:val="22"/>
          <w:szCs w:val="22"/>
          <w:lang w:val="vi-VN" w:eastAsia="ja-JP"/>
        </w:rPr>
        <w:instrText xml:space="preserve"> ADDIN EN.CITE &lt;EndNote&gt;&lt;Cite&gt;&lt;Author&gt;Winter C. A.&lt;/Author&gt;&lt;Year&gt;1962&lt;/Year&gt;&lt;RecNum&gt;7&lt;/RecNum&gt;&lt;DisplayText&gt;[8]&lt;/DisplayText&gt;&lt;record&gt;&lt;rec-number&gt;7&lt;/rec-number&gt;&lt;foreign-keys&gt;&lt;key app="EN" db-id="0zafr0r9ns5ttqeezd65a9zx9txppretrezr" timestamp="1772683231"&gt;7&lt;/key&gt;&lt;/foreign-keys&gt;&lt;ref-type name="Journal Article"&gt;17&lt;/ref-type&gt;&lt;contributors&gt;&lt;authors&gt;&lt;author&gt;Winter C. A.,&lt;/author&gt;&lt;author&gt;Risley E. A.,&lt;/author&gt;&lt;author&gt;Nuss G. W.&lt;/author&gt;&lt;/authors&gt;&lt;/contributors&gt;&lt;titles&gt;&lt;title&gt;Carrageenin-induced edema in hind paw of the rat as an assay for antiinflammatory drugs&lt;/title&gt;&lt;secondary-title&gt;Proceedings of the Society for Experimental Biology Medicine&lt;/secondary-title&gt;&lt;/titles&gt;&lt;periodical&gt;&lt;full-title&gt;Proceedings of the Society for Experimental Biology Medicine&lt;/full-title&gt;&lt;/periodical&gt;&lt;pages&gt;544-547&lt;/pages&gt;&lt;volume&gt;111&lt;/volume&gt;&lt;number&gt;3&lt;/number&gt;&lt;dates&gt;&lt;year&gt;1962&lt;/year&gt;&lt;/dates&gt;&lt;isbn&gt;0037-9727&lt;/isbn&gt;&lt;urls&gt;&lt;/urls&gt;&lt;/record&gt;&lt;/Cite&gt;&lt;/EndNote&gt;</w:instrText>
      </w:r>
      <w:r w:rsidRPr="005E6B7C">
        <w:rPr>
          <w:rFonts w:asciiTheme="majorHAnsi" w:eastAsia="Yu Mincho" w:hAnsiTheme="majorHAnsi" w:cstheme="majorHAnsi"/>
          <w:bCs/>
          <w:iCs/>
          <w:color w:val="000000" w:themeColor="text1"/>
          <w:sz w:val="22"/>
          <w:szCs w:val="22"/>
          <w:lang w:val="vi-VN" w:eastAsia="ja-JP"/>
        </w:rPr>
        <w:fldChar w:fldCharType="separate"/>
      </w:r>
      <w:r w:rsidRPr="005E6B7C">
        <w:rPr>
          <w:rFonts w:asciiTheme="majorHAnsi" w:eastAsia="Yu Mincho" w:hAnsiTheme="majorHAnsi" w:cstheme="majorHAnsi"/>
          <w:bCs/>
          <w:iCs/>
          <w:noProof/>
          <w:color w:val="000000" w:themeColor="text1"/>
          <w:sz w:val="22"/>
          <w:szCs w:val="22"/>
          <w:lang w:val="vi-VN" w:eastAsia="ja-JP"/>
        </w:rPr>
        <w:t>[</w:t>
      </w:r>
      <w:hyperlink w:anchor="_ENREF_8" w:tooltip="Winter C. A., 1962 #7" w:history="1">
        <w:r w:rsidRPr="005E6B7C">
          <w:rPr>
            <w:rFonts w:asciiTheme="majorHAnsi" w:eastAsia="Yu Mincho" w:hAnsiTheme="majorHAnsi" w:cstheme="majorHAnsi"/>
            <w:bCs/>
            <w:iCs/>
            <w:noProof/>
            <w:color w:val="000000" w:themeColor="text1"/>
            <w:sz w:val="22"/>
            <w:szCs w:val="22"/>
            <w:lang w:val="vi-VN" w:eastAsia="ja-JP"/>
          </w:rPr>
          <w:t>8</w:t>
        </w:r>
      </w:hyperlink>
      <w:r w:rsidRPr="005E6B7C">
        <w:rPr>
          <w:rFonts w:asciiTheme="majorHAnsi" w:eastAsia="Yu Mincho" w:hAnsiTheme="majorHAnsi" w:cstheme="majorHAnsi"/>
          <w:bCs/>
          <w:iCs/>
          <w:noProof/>
          <w:color w:val="000000" w:themeColor="text1"/>
          <w:sz w:val="22"/>
          <w:szCs w:val="22"/>
          <w:lang w:val="vi-VN" w:eastAsia="ja-JP"/>
        </w:rPr>
        <w:t>]</w:t>
      </w:r>
      <w:r w:rsidRPr="005E6B7C">
        <w:rPr>
          <w:rFonts w:asciiTheme="majorHAnsi" w:eastAsia="Yu Mincho" w:hAnsiTheme="majorHAnsi" w:cstheme="majorHAnsi"/>
          <w:bCs/>
          <w:iCs/>
          <w:color w:val="000000" w:themeColor="text1"/>
          <w:sz w:val="22"/>
          <w:szCs w:val="22"/>
          <w:lang w:val="vi-VN" w:eastAsia="ja-JP"/>
        </w:rPr>
        <w:fldChar w:fldCharType="end"/>
      </w:r>
      <w:r w:rsidRPr="005E6B7C">
        <w:rPr>
          <w:rFonts w:asciiTheme="majorHAnsi" w:eastAsia="Yu Mincho" w:hAnsiTheme="majorHAnsi" w:cstheme="majorHAnsi"/>
          <w:bCs/>
          <w:iCs/>
          <w:color w:val="000000" w:themeColor="text1"/>
          <w:sz w:val="22"/>
          <w:szCs w:val="22"/>
          <w:lang w:eastAsia="ja-JP"/>
        </w:rPr>
        <w:t>:</w:t>
      </w:r>
    </w:p>
    <w:p w14:paraId="38FCDB98" w14:textId="0F3E7489" w:rsidR="007C2B6D" w:rsidRPr="005E6B7C" w:rsidRDefault="00E049CB" w:rsidP="008C0D47">
      <w:pPr>
        <w:tabs>
          <w:tab w:val="left" w:pos="270"/>
          <w:tab w:val="left" w:pos="540"/>
          <w:tab w:val="left" w:pos="9270"/>
        </w:tabs>
        <w:spacing w:line="240" w:lineRule="exact"/>
        <w:ind w:firstLine="284"/>
        <w:jc w:val="both"/>
        <w:outlineLvl w:val="3"/>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Animals included in this study were adult male albino </w:t>
      </w:r>
      <w:r w:rsidRPr="005E6B7C">
        <w:rPr>
          <w:rFonts w:asciiTheme="majorHAnsi" w:eastAsia="Yu Mincho" w:hAnsiTheme="majorHAnsi" w:cstheme="majorHAnsi"/>
          <w:i/>
          <w:color w:val="000000" w:themeColor="text1"/>
          <w:sz w:val="22"/>
          <w:szCs w:val="22"/>
          <w:lang w:eastAsia="ja-JP"/>
        </w:rPr>
        <w:t>Wistar</w:t>
      </w:r>
      <w:r w:rsidRPr="005E6B7C">
        <w:rPr>
          <w:rFonts w:asciiTheme="majorHAnsi" w:eastAsia="Yu Mincho" w:hAnsiTheme="majorHAnsi" w:cstheme="majorHAnsi"/>
          <w:color w:val="000000" w:themeColor="text1"/>
          <w:sz w:val="22"/>
          <w:szCs w:val="22"/>
          <w:lang w:eastAsia="ja-JP"/>
        </w:rPr>
        <w:t xml:space="preserve"> rats (200–220 g)</w:t>
      </w: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 obtained from</w:t>
      </w:r>
      <w:r w:rsidRPr="005E6B7C">
        <w:rPr>
          <w:rFonts w:asciiTheme="majorHAnsi" w:eastAsia="Yu Mincho" w:hAnsiTheme="majorHAnsi" w:cstheme="majorHAnsi"/>
          <w:color w:val="000000" w:themeColor="text1"/>
          <w:sz w:val="22"/>
          <w:szCs w:val="22"/>
          <w:lang w:val="vi-VN" w:eastAsia="ja-JP"/>
        </w:rPr>
        <w:t xml:space="preserve"> Vietnam Military Medical University, Vietnam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They were maintained under a controlled environment and </w:t>
      </w:r>
      <w:r w:rsidRPr="005E6B7C">
        <w:rPr>
          <w:rFonts w:asciiTheme="majorHAnsi" w:eastAsia="Yu Mincho" w:hAnsiTheme="majorHAnsi" w:cstheme="majorHAnsi"/>
          <w:color w:val="000000" w:themeColor="text1"/>
          <w:sz w:val="22"/>
          <w:szCs w:val="22"/>
          <w:lang w:eastAsia="ja-JP"/>
        </w:rPr>
        <w:t xml:space="preserve">had </w:t>
      </w:r>
      <w:r w:rsidRPr="005E6B7C">
        <w:rPr>
          <w:rFonts w:asciiTheme="majorHAnsi" w:eastAsia="Yu Mincho" w:hAnsiTheme="majorHAnsi" w:cstheme="majorHAnsi"/>
          <w:color w:val="000000" w:themeColor="text1"/>
          <w:sz w:val="22"/>
          <w:szCs w:val="22"/>
          <w:lang w:val="vi-VN" w:eastAsia="ja-JP"/>
        </w:rPr>
        <w:t xml:space="preserve">free access to water and food. Forty rats were divided into </w:t>
      </w:r>
      <w:r w:rsidRPr="005E6B7C">
        <w:rPr>
          <w:rFonts w:asciiTheme="majorHAnsi" w:eastAsia="Yu Mincho" w:hAnsiTheme="majorHAnsi" w:cstheme="majorHAnsi"/>
          <w:color w:val="000000" w:themeColor="text1"/>
          <w:sz w:val="22"/>
          <w:szCs w:val="22"/>
          <w:lang w:eastAsia="ja-JP"/>
        </w:rPr>
        <w:t>four</w:t>
      </w:r>
      <w:r w:rsidRPr="005E6B7C">
        <w:rPr>
          <w:rFonts w:asciiTheme="majorHAnsi" w:eastAsia="Yu Mincho" w:hAnsiTheme="majorHAnsi" w:cstheme="majorHAnsi"/>
          <w:color w:val="000000" w:themeColor="text1"/>
          <w:sz w:val="22"/>
          <w:szCs w:val="22"/>
          <w:lang w:val="vi-VN" w:eastAsia="ja-JP"/>
        </w:rPr>
        <w:t xml:space="preserve"> groups (n = 10). </w:t>
      </w:r>
      <w:r w:rsidR="00D54E9A" w:rsidRPr="005E6B7C">
        <w:rPr>
          <w:rFonts w:asciiTheme="majorHAnsi" w:eastAsia="Yu Mincho" w:hAnsiTheme="majorHAnsi" w:cstheme="majorHAnsi"/>
          <w:color w:val="000000" w:themeColor="text1"/>
          <w:sz w:val="22"/>
          <w:szCs w:val="22"/>
          <w:lang w:eastAsia="ja-JP"/>
        </w:rPr>
        <w:t>From day 1 to day 5</w:t>
      </w:r>
      <w:r w:rsidRPr="005E6B7C">
        <w:rPr>
          <w:rFonts w:asciiTheme="majorHAnsi" w:eastAsia="Yu Mincho" w:hAnsiTheme="majorHAnsi" w:cstheme="majorHAnsi"/>
          <w:color w:val="000000" w:themeColor="text1"/>
          <w:sz w:val="22"/>
          <w:szCs w:val="22"/>
          <w:lang w:val="vi-VN" w:eastAsia="ja-JP"/>
        </w:rPr>
        <w:t xml:space="preserve"> of the study,</w:t>
      </w:r>
      <w:r w:rsidRPr="005E6B7C">
        <w:rPr>
          <w:rFonts w:asciiTheme="majorHAnsi" w:eastAsia="Yu Mincho" w:hAnsiTheme="majorHAnsi" w:cstheme="majorHAnsi"/>
          <w:color w:val="000000" w:themeColor="text1"/>
          <w:sz w:val="22"/>
          <w:szCs w:val="22"/>
          <w:lang w:eastAsia="ja-JP"/>
        </w:rPr>
        <w:t xml:space="preserve"> each group was orally administered aspirin (300 mg/kg), and the best active extract was selected based on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results at different doses (</w:t>
      </w:r>
      <w:r w:rsidRPr="005E6B7C">
        <w:rPr>
          <w:rFonts w:asciiTheme="majorHAnsi" w:eastAsia="Yu Mincho" w:hAnsiTheme="majorHAnsi" w:cstheme="majorHAnsi"/>
          <w:color w:val="000000" w:themeColor="text1"/>
          <w:sz w:val="22"/>
          <w:szCs w:val="22"/>
          <w:lang w:val="vi-VN" w:eastAsia="ja-JP"/>
        </w:rPr>
        <w:t>150</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color w:val="000000" w:themeColor="text1"/>
          <w:sz w:val="22"/>
          <w:szCs w:val="22"/>
          <w:lang w:val="vi-VN" w:eastAsia="ja-JP"/>
        </w:rPr>
        <w:t>300</w:t>
      </w:r>
      <w:r w:rsidRPr="005E6B7C">
        <w:rPr>
          <w:rFonts w:asciiTheme="majorHAnsi" w:eastAsia="Yu Mincho" w:hAnsiTheme="majorHAnsi" w:cstheme="majorHAnsi"/>
          <w:color w:val="000000" w:themeColor="text1"/>
          <w:sz w:val="22"/>
          <w:szCs w:val="22"/>
          <w:lang w:eastAsia="ja-JP"/>
        </w:rPr>
        <w:t> mg/kg) as the control, reference, and test group, respectively. On the fifth day</w:t>
      </w:r>
      <w:r w:rsidRPr="005E6B7C">
        <w:rPr>
          <w:rFonts w:asciiTheme="majorHAnsi" w:eastAsia="Yu Mincho" w:hAnsiTheme="majorHAnsi" w:cstheme="majorHAnsi"/>
          <w:color w:val="000000" w:themeColor="text1"/>
          <w:sz w:val="22"/>
          <w:szCs w:val="22"/>
          <w:lang w:val="vi-VN" w:eastAsia="ja-JP"/>
        </w:rPr>
        <w:t xml:space="preserve">, </w:t>
      </w:r>
      <w:r w:rsidR="00D54E9A" w:rsidRPr="005E6B7C">
        <w:rPr>
          <w:rFonts w:asciiTheme="majorHAnsi" w:eastAsia="Yu Mincho" w:hAnsiTheme="majorHAnsi" w:cstheme="majorHAnsi"/>
          <w:color w:val="000000" w:themeColor="text1"/>
          <w:sz w:val="22"/>
          <w:szCs w:val="22"/>
          <w:lang w:eastAsia="ja-JP"/>
        </w:rPr>
        <w:t>rats were administered</w:t>
      </w:r>
      <w:r w:rsidRPr="005E6B7C">
        <w:rPr>
          <w:rFonts w:asciiTheme="majorHAnsi" w:eastAsia="Yu Mincho" w:hAnsiTheme="majorHAnsi" w:cstheme="majorHAnsi"/>
          <w:color w:val="000000" w:themeColor="text1"/>
          <w:sz w:val="22"/>
          <w:szCs w:val="22"/>
          <w:lang w:eastAsia="ja-JP"/>
        </w:rPr>
        <w:t xml:space="preserve"> one hour prior to carrageenan injection. A 0.05 mL solution of 1% carrageenan in sterile normal saline solution (NSS) was injected intradermally into the plantar side of the right hind paw of the rats</w:t>
      </w:r>
      <w:r w:rsidRPr="005E6B7C">
        <w:rPr>
          <w:rFonts w:asciiTheme="majorHAnsi" w:eastAsia="Yu Mincho" w:hAnsiTheme="majorHAnsi" w:cstheme="majorHAnsi"/>
          <w:color w:val="000000" w:themeColor="text1"/>
          <w:sz w:val="22"/>
          <w:szCs w:val="22"/>
          <w:lang w:val="vi-VN" w:eastAsia="ja-JP"/>
        </w:rPr>
        <w:t xml:space="preserve"> in all groups</w:t>
      </w:r>
      <w:r w:rsidRPr="005E6B7C">
        <w:rPr>
          <w:rFonts w:asciiTheme="majorHAnsi" w:eastAsia="Yu Mincho" w:hAnsiTheme="majorHAnsi" w:cstheme="majorHAnsi"/>
          <w:color w:val="000000" w:themeColor="text1"/>
          <w:sz w:val="22"/>
          <w:szCs w:val="22"/>
          <w:lang w:eastAsia="ja-JP"/>
        </w:rPr>
        <w:t>. The edema volumes were determined using a plethysmometer (model 7140, Ugo Basile, Italy) before</w:t>
      </w:r>
      <w:r w:rsidRPr="005E6B7C">
        <w:rPr>
          <w:rFonts w:asciiTheme="majorHAnsi" w:eastAsia="Yu Mincho" w:hAnsiTheme="majorHAnsi" w:cstheme="majorHAnsi"/>
          <w:color w:val="000000" w:themeColor="text1"/>
          <w:sz w:val="22"/>
          <w:szCs w:val="22"/>
          <w:lang w:val="vi-VN" w:eastAsia="ja-JP"/>
        </w:rPr>
        <w:t>, 1</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2</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3, </w:t>
      </w:r>
      <w:r w:rsidRPr="005E6B7C">
        <w:rPr>
          <w:rFonts w:asciiTheme="majorHAnsi" w:eastAsia="Yu Mincho" w:hAnsiTheme="majorHAnsi" w:cstheme="majorHAnsi"/>
          <w:color w:val="000000" w:themeColor="text1"/>
          <w:sz w:val="22"/>
          <w:szCs w:val="22"/>
          <w:lang w:eastAsia="ja-JP"/>
        </w:rPr>
        <w:t xml:space="preserve">and </w:t>
      </w:r>
      <w:r w:rsidRPr="005E6B7C">
        <w:rPr>
          <w:rFonts w:asciiTheme="majorHAnsi" w:eastAsia="Yu Mincho" w:hAnsiTheme="majorHAnsi" w:cstheme="majorHAnsi"/>
          <w:color w:val="000000" w:themeColor="text1"/>
          <w:sz w:val="22"/>
          <w:szCs w:val="22"/>
          <w:lang w:val="vi-VN" w:eastAsia="ja-JP"/>
        </w:rPr>
        <w:t>4</w:t>
      </w:r>
      <w:r w:rsidRPr="005E6B7C">
        <w:rPr>
          <w:rFonts w:asciiTheme="majorHAnsi" w:eastAsia="Yu Mincho" w:hAnsiTheme="majorHAnsi" w:cstheme="majorHAnsi"/>
          <w:color w:val="000000" w:themeColor="text1"/>
          <w:sz w:val="22"/>
          <w:szCs w:val="22"/>
          <w:lang w:eastAsia="ja-JP"/>
        </w:rPr>
        <w:t> h after carrageenan injection.</w:t>
      </w:r>
      <w:r w:rsidRPr="005E6B7C">
        <w:rPr>
          <w:rFonts w:asciiTheme="majorHAnsi" w:eastAsia="Yu Mincho" w:hAnsiTheme="majorHAnsi" w:cstheme="majorHAnsi"/>
          <w:color w:val="000000" w:themeColor="text1"/>
          <w:sz w:val="22"/>
          <w:szCs w:val="22"/>
          <w:lang w:val="vi-VN" w:eastAsia="ja-JP"/>
        </w:rPr>
        <w:t xml:space="preserve"> The percentage increase in paw volume </w:t>
      </w:r>
      <w:r w:rsidRPr="005E6B7C">
        <w:rPr>
          <w:rFonts w:asciiTheme="majorHAnsi" w:eastAsia="Yu Mincho" w:hAnsiTheme="majorHAnsi" w:cstheme="majorHAnsi"/>
          <w:color w:val="000000" w:themeColor="text1"/>
          <w:sz w:val="22"/>
          <w:szCs w:val="22"/>
          <w:lang w:val="vi-VN" w:eastAsia="ja-JP"/>
        </w:rPr>
        <w:lastRenderedPageBreak/>
        <w:t xml:space="preserve">throughout 4 h was determined by subtracting the paw zero-time volume from its volume at the </w:t>
      </w:r>
      <w:r w:rsidRPr="005E6B7C">
        <w:rPr>
          <w:rFonts w:asciiTheme="majorHAnsi" w:eastAsia="Yu Mincho" w:hAnsiTheme="majorHAnsi" w:cstheme="majorHAnsi"/>
          <w:color w:val="000000" w:themeColor="text1"/>
          <w:sz w:val="22"/>
          <w:szCs w:val="22"/>
          <w:lang w:val="vi-VN" w:eastAsia="ja-JP"/>
        </w:rPr>
        <w:t>specified time interval and then multiplying by 100.</w:t>
      </w:r>
    </w:p>
    <w:p w14:paraId="57811ADA" w14:textId="77777777" w:rsidR="007C2B6D" w:rsidRPr="005E6B7C" w:rsidRDefault="007C2B6D" w:rsidP="008C0D47">
      <w:pPr>
        <w:tabs>
          <w:tab w:val="left" w:pos="270"/>
          <w:tab w:val="left" w:pos="540"/>
          <w:tab w:val="left" w:pos="9270"/>
        </w:tabs>
        <w:spacing w:line="240" w:lineRule="exact"/>
        <w:ind w:firstLine="284"/>
        <w:jc w:val="both"/>
        <w:outlineLvl w:val="3"/>
        <w:rPr>
          <w:rFonts w:asciiTheme="majorHAnsi" w:eastAsia="Yu Mincho" w:hAnsiTheme="majorHAnsi" w:cstheme="majorHAnsi"/>
          <w:color w:val="000000" w:themeColor="text1"/>
          <w:sz w:val="22"/>
          <w:szCs w:val="22"/>
          <w:lang w:eastAsia="ja-JP"/>
        </w:rPr>
        <w:sectPr w:rsidR="007C2B6D" w:rsidRPr="005E6B7C" w:rsidSect="007C2B6D">
          <w:type w:val="continuous"/>
          <w:pgSz w:w="10773" w:h="15309" w:code="9"/>
          <w:pgMar w:top="907" w:right="851" w:bottom="1418" w:left="851" w:header="397" w:footer="851" w:gutter="0"/>
          <w:cols w:num="2" w:space="284"/>
          <w:docGrid w:linePitch="360"/>
        </w:sectPr>
      </w:pPr>
    </w:p>
    <w:p w14:paraId="0EF005B9" w14:textId="77777777" w:rsidR="00C42988" w:rsidRPr="005E6B7C" w:rsidRDefault="00C42988" w:rsidP="008C0D47">
      <w:pPr>
        <w:tabs>
          <w:tab w:val="left" w:pos="270"/>
          <w:tab w:val="left" w:pos="540"/>
          <w:tab w:val="left" w:pos="9270"/>
        </w:tabs>
        <w:spacing w:line="240" w:lineRule="exact"/>
        <w:ind w:firstLine="284"/>
        <w:jc w:val="both"/>
        <w:outlineLvl w:val="3"/>
        <w:rPr>
          <w:rFonts w:asciiTheme="majorHAnsi" w:eastAsia="Yu Mincho" w:hAnsiTheme="majorHAnsi" w:cstheme="majorHAnsi"/>
          <w:color w:val="000000" w:themeColor="text1"/>
          <w:sz w:val="22"/>
          <w:szCs w:val="22"/>
          <w:lang w:eastAsia="ja-JP"/>
        </w:rPr>
      </w:pPr>
    </w:p>
    <w:p w14:paraId="29184C98" w14:textId="77777777" w:rsidR="00E049CB" w:rsidRPr="005E6B7C" w:rsidRDefault="00E049CB" w:rsidP="008C0D47">
      <w:pPr>
        <w:tabs>
          <w:tab w:val="left" w:pos="270"/>
          <w:tab w:val="left" w:pos="540"/>
          <w:tab w:val="left" w:pos="9270"/>
        </w:tabs>
        <w:ind w:right="-20"/>
        <w:jc w:val="center"/>
        <w:outlineLvl w:val="3"/>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drawing>
          <wp:inline distT="0" distB="0" distL="0" distR="0" wp14:anchorId="476D695C" wp14:editId="4B6FDA2B">
            <wp:extent cx="4026535" cy="1613535"/>
            <wp:effectExtent l="0" t="0" r="0" b="5715"/>
            <wp:docPr id="974808282" name="Picture 97480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8" cstate="print">
                      <a:extLst>
                        <a:ext uri="{BEBA8EAE-BF5A-486C-A8C5-ECC9F3942E4B}">
                          <a14:imgProps xmlns:a14="http://schemas.microsoft.com/office/drawing/2010/main">
                            <a14:imgLayer r:embed="rId1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58835" cy="1626685"/>
                    </a:xfrm>
                    <a:prstGeom prst="rect">
                      <a:avLst/>
                    </a:prstGeom>
                  </pic:spPr>
                </pic:pic>
              </a:graphicData>
            </a:graphic>
          </wp:inline>
        </w:drawing>
      </w:r>
    </w:p>
    <w:p w14:paraId="243F3A83" w14:textId="77777777" w:rsidR="00E049CB" w:rsidRPr="005E6B7C" w:rsidRDefault="00517F81" w:rsidP="008C0D47">
      <w:pPr>
        <w:tabs>
          <w:tab w:val="left" w:pos="270"/>
          <w:tab w:val="left" w:pos="540"/>
          <w:tab w:val="left" w:pos="9270"/>
        </w:tabs>
        <w:ind w:right="-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color w:val="000000" w:themeColor="text1"/>
          <w:sz w:val="18"/>
          <w:szCs w:val="18"/>
          <w:lang w:val="vi-VN" w:eastAsia="ja-JP"/>
        </w:rPr>
        <w:t xml:space="preserve">Fig. </w:t>
      </w:r>
      <w:r w:rsidR="00E049CB" w:rsidRPr="005E6B7C">
        <w:rPr>
          <w:rFonts w:asciiTheme="majorHAnsi" w:eastAsia="Yu Mincho" w:hAnsiTheme="majorHAnsi" w:cstheme="majorHAnsi"/>
          <w:b/>
          <w:color w:val="000000" w:themeColor="text1"/>
          <w:sz w:val="18"/>
          <w:szCs w:val="18"/>
          <w:lang w:val="vi-VN" w:eastAsia="ja-JP"/>
        </w:rPr>
        <w:t xml:space="preserve">1. </w:t>
      </w:r>
      <w:r w:rsidR="00E049CB" w:rsidRPr="005E6B7C">
        <w:rPr>
          <w:rFonts w:asciiTheme="majorHAnsi" w:eastAsia="Yu Mincho" w:hAnsiTheme="majorHAnsi" w:cstheme="majorHAnsi"/>
          <w:bCs/>
          <w:color w:val="000000" w:themeColor="text1"/>
          <w:sz w:val="18"/>
          <w:szCs w:val="18"/>
          <w:lang w:eastAsia="ja-JP"/>
        </w:rPr>
        <w:t xml:space="preserve">Schematic representation and timeline of the carrageenan-induced paw edema assay </w:t>
      </w:r>
      <w:r w:rsidR="007C2B6D" w:rsidRPr="005E6B7C">
        <w:rPr>
          <w:rFonts w:asciiTheme="majorHAnsi" w:eastAsia="Yu Mincho" w:hAnsiTheme="majorHAnsi" w:cstheme="majorHAnsi"/>
          <w:bCs/>
          <w:color w:val="000000" w:themeColor="text1"/>
          <w:sz w:val="18"/>
          <w:szCs w:val="18"/>
          <w:lang w:eastAsia="ja-JP"/>
        </w:rPr>
        <w:br/>
      </w:r>
      <w:r w:rsidR="00E049CB" w:rsidRPr="005E6B7C">
        <w:rPr>
          <w:rFonts w:asciiTheme="majorHAnsi" w:eastAsia="Yu Mincho" w:hAnsiTheme="majorHAnsi" w:cstheme="majorHAnsi"/>
          <w:bCs/>
          <w:color w:val="000000" w:themeColor="text1"/>
          <w:sz w:val="18"/>
          <w:szCs w:val="18"/>
          <w:lang w:eastAsia="ja-JP"/>
        </w:rPr>
        <w:t xml:space="preserve">for evaluating the acute anti-inflammatory effects of </w:t>
      </w:r>
      <w:r w:rsidR="00E049CB" w:rsidRPr="005E6B7C">
        <w:rPr>
          <w:rFonts w:asciiTheme="majorHAnsi" w:eastAsia="Yu Mincho" w:hAnsiTheme="majorHAnsi" w:cstheme="majorHAnsi"/>
          <w:bCs/>
          <w:i/>
          <w:iCs/>
          <w:color w:val="000000" w:themeColor="text1"/>
          <w:sz w:val="18"/>
          <w:szCs w:val="18"/>
          <w:lang w:eastAsia="ja-JP"/>
        </w:rPr>
        <w:t>P. amurense</w:t>
      </w:r>
      <w:r w:rsidR="00E049CB" w:rsidRPr="005E6B7C">
        <w:rPr>
          <w:rFonts w:asciiTheme="majorHAnsi" w:eastAsia="Yu Mincho" w:hAnsiTheme="majorHAnsi" w:cstheme="majorHAnsi"/>
          <w:bCs/>
          <w:color w:val="000000" w:themeColor="text1"/>
          <w:sz w:val="18"/>
          <w:szCs w:val="18"/>
          <w:lang w:eastAsia="ja-JP"/>
        </w:rPr>
        <w:t xml:space="preserve"> extracts in rats</w:t>
      </w:r>
    </w:p>
    <w:p w14:paraId="28B47E85" w14:textId="77777777" w:rsidR="00C42988" w:rsidRPr="005E6B7C" w:rsidRDefault="00C42988" w:rsidP="008C0D47">
      <w:pPr>
        <w:tabs>
          <w:tab w:val="left" w:pos="270"/>
          <w:tab w:val="left" w:pos="540"/>
          <w:tab w:val="left" w:pos="9270"/>
        </w:tabs>
        <w:ind w:right="-20"/>
        <w:jc w:val="both"/>
        <w:outlineLvl w:val="3"/>
        <w:rPr>
          <w:rFonts w:asciiTheme="majorHAnsi" w:eastAsia="Yu Mincho" w:hAnsiTheme="majorHAnsi" w:cstheme="majorHAnsi"/>
          <w:bCs/>
          <w:iCs/>
          <w:color w:val="000000" w:themeColor="text1"/>
          <w:sz w:val="22"/>
          <w:szCs w:val="22"/>
          <w:lang w:eastAsia="ja-JP"/>
        </w:rPr>
      </w:pPr>
    </w:p>
    <w:p w14:paraId="2F66805F" w14:textId="77777777" w:rsidR="007C2B6D" w:rsidRPr="005E6B7C" w:rsidRDefault="007C2B6D" w:rsidP="008C0D47">
      <w:pPr>
        <w:tabs>
          <w:tab w:val="left" w:pos="270"/>
          <w:tab w:val="left" w:pos="540"/>
          <w:tab w:val="left" w:pos="9270"/>
        </w:tabs>
        <w:spacing w:line="240" w:lineRule="exact"/>
        <w:ind w:firstLine="284"/>
        <w:jc w:val="both"/>
        <w:outlineLvl w:val="3"/>
        <w:rPr>
          <w:rFonts w:asciiTheme="majorHAnsi" w:eastAsia="Yu Mincho" w:hAnsiTheme="majorHAnsi" w:cstheme="majorHAnsi"/>
          <w:bCs/>
          <w:iCs/>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0A577E01" w14:textId="77777777" w:rsidR="00E049CB" w:rsidRPr="005E6B7C" w:rsidRDefault="00E049CB" w:rsidP="008C0D47">
      <w:pPr>
        <w:tabs>
          <w:tab w:val="left" w:pos="270"/>
          <w:tab w:val="left" w:pos="540"/>
          <w:tab w:val="left" w:pos="9270"/>
        </w:tabs>
        <w:spacing w:line="240" w:lineRule="exact"/>
        <w:ind w:firstLine="284"/>
        <w:jc w:val="both"/>
        <w:outlineLvl w:val="3"/>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bCs/>
          <w:iCs/>
          <w:color w:val="000000" w:themeColor="text1"/>
          <w:sz w:val="22"/>
          <w:szCs w:val="22"/>
          <w:lang w:val="vi-VN" w:eastAsia="ja-JP"/>
        </w:rPr>
        <w:t>2.4.2. LPS-induced models</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Cs/>
          <w:color w:val="000000" w:themeColor="text1"/>
          <w:sz w:val="22"/>
          <w:szCs w:val="22"/>
          <w:lang w:eastAsia="ja-JP"/>
        </w:rPr>
        <w:fldChar w:fldCharType="begin"/>
      </w:r>
      <w:r w:rsidRPr="005E6B7C">
        <w:rPr>
          <w:rFonts w:asciiTheme="majorHAnsi" w:eastAsia="Yu Mincho" w:hAnsiTheme="majorHAnsi" w:cstheme="majorHAnsi"/>
          <w:iCs/>
          <w:color w:val="000000" w:themeColor="text1"/>
          <w:sz w:val="22"/>
          <w:szCs w:val="22"/>
          <w:lang w:eastAsia="ja-JP"/>
        </w:rPr>
        <w:instrText xml:space="preserve"> ADDIN EN.CITE &lt;EndNote&gt;&lt;Cite&gt;&lt;Author&gt;Butterweck V.&lt;/Author&gt;&lt;Year&gt;2012&lt;/Year&gt;&lt;RecNum&gt;8&lt;/RecNum&gt;&lt;DisplayText&gt;[9]&lt;/DisplayText&gt;&lt;record&gt;&lt;rec-number&gt;8&lt;/rec-number&gt;&lt;foreign-keys&gt;&lt;key app="EN" db-id="0zafr0r9ns5ttqeezd65a9zx9txppretrezr" timestamp="1772683231"&gt;8&lt;/key&gt;&lt;/foreign-keys&gt;&lt;ref-type name="Journal Article"&gt;17&lt;/ref-type&gt;&lt;contributors&gt;&lt;authors&gt;&lt;author&gt;Butterweck V.,&lt;/author&gt;&lt;author&gt;Nahrstedt A.&lt;/author&gt;&lt;/authors&gt;&lt;/contributors&gt;&lt;titles&gt;&lt;title&gt;What is the best strategy for preclinical testing of botanicals? A critical perspective&lt;/title&gt;&lt;secondary-title&gt;Planta Medica&lt;/secondary-title&gt;&lt;/titles&gt;&lt;periodical&gt;&lt;full-title&gt;Planta Medica&lt;/full-title&gt;&lt;/periodical&gt;&lt;pages&gt;747-754&lt;/pages&gt;&lt;volume&gt;78&lt;/volume&gt;&lt;number&gt;08&lt;/number&gt;&lt;dates&gt;&lt;year&gt;2012&lt;/year&gt;&lt;/dates&gt;&lt;isbn&gt;0032-0943&lt;/isbn&gt;&lt;urls&gt;&lt;/urls&gt;&lt;/record&gt;&lt;/Cite&gt;&lt;/EndNote&gt;</w:instrText>
      </w:r>
      <w:r w:rsidRPr="005E6B7C">
        <w:rPr>
          <w:rFonts w:asciiTheme="majorHAnsi" w:eastAsia="Yu Mincho" w:hAnsiTheme="majorHAnsi" w:cstheme="majorHAnsi"/>
          <w:iCs/>
          <w:color w:val="000000" w:themeColor="text1"/>
          <w:sz w:val="22"/>
          <w:szCs w:val="22"/>
          <w:lang w:eastAsia="ja-JP"/>
        </w:rPr>
        <w:fldChar w:fldCharType="separate"/>
      </w:r>
      <w:r w:rsidRPr="005E6B7C">
        <w:rPr>
          <w:rFonts w:asciiTheme="majorHAnsi" w:eastAsia="Yu Mincho" w:hAnsiTheme="majorHAnsi" w:cstheme="majorHAnsi"/>
          <w:iCs/>
          <w:noProof/>
          <w:color w:val="000000" w:themeColor="text1"/>
          <w:sz w:val="22"/>
          <w:szCs w:val="22"/>
          <w:lang w:eastAsia="ja-JP"/>
        </w:rPr>
        <w:t>[</w:t>
      </w:r>
      <w:hyperlink w:anchor="_ENREF_9" w:tooltip="Butterweck V., 2012 #8" w:history="1">
        <w:r w:rsidRPr="005E6B7C">
          <w:rPr>
            <w:rFonts w:asciiTheme="majorHAnsi" w:eastAsia="Yu Mincho" w:hAnsiTheme="majorHAnsi" w:cstheme="majorHAnsi"/>
            <w:iCs/>
            <w:noProof/>
            <w:color w:val="000000" w:themeColor="text1"/>
            <w:sz w:val="22"/>
            <w:szCs w:val="22"/>
            <w:lang w:eastAsia="ja-JP"/>
          </w:rPr>
          <w:t>9</w:t>
        </w:r>
      </w:hyperlink>
      <w:r w:rsidRPr="005E6B7C">
        <w:rPr>
          <w:rFonts w:asciiTheme="majorHAnsi" w:eastAsia="Yu Mincho" w:hAnsiTheme="majorHAnsi" w:cstheme="majorHAnsi"/>
          <w:iCs/>
          <w:noProof/>
          <w:color w:val="000000" w:themeColor="text1"/>
          <w:sz w:val="22"/>
          <w:szCs w:val="22"/>
          <w:lang w:eastAsia="ja-JP"/>
        </w:rPr>
        <w:t>]</w:t>
      </w:r>
      <w:r w:rsidRPr="005E6B7C">
        <w:rPr>
          <w:rFonts w:asciiTheme="majorHAnsi" w:eastAsia="Yu Mincho" w:hAnsiTheme="majorHAnsi" w:cstheme="majorHAnsi"/>
          <w:iCs/>
          <w:color w:val="000000" w:themeColor="text1"/>
          <w:sz w:val="22"/>
          <w:szCs w:val="22"/>
          <w:lang w:eastAsia="ja-JP"/>
        </w:rPr>
        <w:fldChar w:fldCharType="end"/>
      </w:r>
      <w:r w:rsidRPr="005E6B7C">
        <w:rPr>
          <w:rFonts w:asciiTheme="majorHAnsi" w:eastAsia="Yu Mincho" w:hAnsiTheme="majorHAnsi" w:cstheme="majorHAnsi"/>
          <w:iCs/>
          <w:color w:val="000000" w:themeColor="text1"/>
          <w:sz w:val="22"/>
          <w:szCs w:val="22"/>
          <w:lang w:eastAsia="ja-JP"/>
        </w:rPr>
        <w:t>:</w:t>
      </w:r>
    </w:p>
    <w:p w14:paraId="59899666" w14:textId="77777777" w:rsidR="007C2B6D" w:rsidRPr="005E6B7C" w:rsidRDefault="00E049CB" w:rsidP="008C0D47">
      <w:pPr>
        <w:tabs>
          <w:tab w:val="left" w:pos="270"/>
          <w:tab w:val="left" w:pos="540"/>
          <w:tab w:val="left" w:pos="9270"/>
        </w:tabs>
        <w:spacing w:line="240" w:lineRule="exact"/>
        <w:ind w:firstLine="284"/>
        <w:jc w:val="both"/>
        <w:outlineLvl w:val="3"/>
        <w:rPr>
          <w:rFonts w:asciiTheme="majorHAnsi" w:eastAsia="Yu Mincho" w:hAnsiTheme="majorHAnsi" w:cstheme="majorHAnsi"/>
          <w:color w:val="000000" w:themeColor="text1"/>
          <w:sz w:val="22"/>
          <w:szCs w:val="22"/>
          <w:lang w:val="vi-VN" w:eastAsia="ja-JP"/>
        </w:rPr>
        <w:sectPr w:rsidR="007C2B6D" w:rsidRPr="005E6B7C" w:rsidSect="007C2B6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 xml:space="preserve">Animals included in this study were adult male albino </w:t>
      </w:r>
      <w:r w:rsidRPr="005E6B7C">
        <w:rPr>
          <w:rFonts w:asciiTheme="majorHAnsi" w:eastAsia="Yu Mincho" w:hAnsiTheme="majorHAnsi" w:cstheme="majorHAnsi"/>
          <w:i/>
          <w:color w:val="000000" w:themeColor="text1"/>
          <w:sz w:val="22"/>
          <w:szCs w:val="22"/>
          <w:lang w:eastAsia="ja-JP"/>
        </w:rPr>
        <w:t>Wistar</w:t>
      </w:r>
      <w:r w:rsidRPr="005E6B7C">
        <w:rPr>
          <w:rFonts w:asciiTheme="majorHAnsi" w:eastAsia="Yu Mincho" w:hAnsiTheme="majorHAnsi" w:cstheme="majorHAnsi"/>
          <w:color w:val="000000" w:themeColor="text1"/>
          <w:sz w:val="22"/>
          <w:szCs w:val="22"/>
          <w:lang w:eastAsia="ja-JP"/>
        </w:rPr>
        <w:t xml:space="preserve"> rats (200–220 g) obtained from</w:t>
      </w:r>
      <w:r w:rsidRPr="005E6B7C">
        <w:rPr>
          <w:rFonts w:asciiTheme="majorHAnsi" w:eastAsia="Yu Mincho" w:hAnsiTheme="majorHAnsi" w:cstheme="majorHAnsi"/>
          <w:color w:val="000000" w:themeColor="text1"/>
          <w:sz w:val="22"/>
          <w:szCs w:val="22"/>
          <w:lang w:val="vi-VN" w:eastAsia="ja-JP"/>
        </w:rPr>
        <w:t xml:space="preserve"> Vietnam Military Medical University, Vietnam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 Animals were housed in an air-conditioned room at 22–24 °C with a 12 h dark/light cycle and were allowed food and water ad libitum. Rats were assigned to one of the following four groups, n = 10/group: (1) NOR, normal control rat</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treated with vehicle; (2) LPS, treated with LPS 35 mg/kg; (3) LPS + </w:t>
      </w:r>
      <w:r w:rsidRPr="005E6B7C">
        <w:rPr>
          <w:rFonts w:asciiTheme="majorHAnsi" w:eastAsia="Yu Mincho" w:hAnsiTheme="majorHAnsi" w:cstheme="majorHAnsi"/>
          <w:color w:val="000000" w:themeColor="text1"/>
          <w:sz w:val="22"/>
          <w:szCs w:val="22"/>
          <w:lang w:eastAsia="ja-JP"/>
        </w:rPr>
        <w:t xml:space="preserve">the best active extract screened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val="vi-VN" w:eastAsia="ja-JP"/>
        </w:rPr>
        <w:t xml:space="preserve">, treated with LPS and 150 mg/kg extract; (4) LPS + </w:t>
      </w:r>
      <w:r w:rsidRPr="005E6B7C">
        <w:rPr>
          <w:rFonts w:asciiTheme="majorHAnsi" w:eastAsia="Yu Mincho" w:hAnsiTheme="majorHAnsi" w:cstheme="majorHAnsi"/>
          <w:color w:val="000000" w:themeColor="text1"/>
          <w:sz w:val="22"/>
          <w:szCs w:val="22"/>
          <w:lang w:eastAsia="ja-JP"/>
        </w:rPr>
        <w:t xml:space="preserve">the best active extract screened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val="vi-VN" w:eastAsia="ja-JP"/>
        </w:rPr>
        <w:t>, treated with LPS and 300 mg/kg extract. After a one-week adaptation period, the LPS + 150 mg/kg and 300 mg/kg extract group</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w</w:t>
      </w:r>
      <w:r w:rsidRPr="005E6B7C">
        <w:rPr>
          <w:rFonts w:asciiTheme="majorHAnsi" w:eastAsia="Yu Mincho" w:hAnsiTheme="majorHAnsi" w:cstheme="majorHAnsi"/>
          <w:color w:val="000000" w:themeColor="text1"/>
          <w:sz w:val="22"/>
          <w:szCs w:val="22"/>
          <w:lang w:eastAsia="ja-JP"/>
        </w:rPr>
        <w:t>ere</w:t>
      </w:r>
      <w:r w:rsidRPr="005E6B7C">
        <w:rPr>
          <w:rFonts w:asciiTheme="majorHAnsi" w:eastAsia="Yu Mincho" w:hAnsiTheme="majorHAnsi" w:cstheme="majorHAnsi"/>
          <w:color w:val="000000" w:themeColor="text1"/>
          <w:sz w:val="22"/>
          <w:szCs w:val="22"/>
          <w:lang w:val="vi-VN" w:eastAsia="ja-JP"/>
        </w:rPr>
        <w:t xml:space="preserve"> orally administered </w:t>
      </w:r>
      <w:r w:rsidRPr="005E6B7C">
        <w:rPr>
          <w:rFonts w:asciiTheme="majorHAnsi" w:eastAsia="Yu Mincho" w:hAnsiTheme="majorHAnsi" w:cstheme="majorHAnsi"/>
          <w:color w:val="000000" w:themeColor="text1"/>
          <w:sz w:val="22"/>
          <w:szCs w:val="22"/>
          <w:lang w:val="vi-VN" w:eastAsia="ja-JP"/>
        </w:rPr>
        <w:t>150 mg/kg and 300 mg/kg extract in distilled water (DW) for three consecutive days, while the NOR and LPS groups received an equivalent volume of DW as the control. On the third day, 2 h after extract administration, the LPS and LPS + 150 mg/kg and 300 mg/kg extract groups were intraperitoneally injected with LPS (</w:t>
      </w:r>
      <w:r w:rsidRPr="005E6B7C">
        <w:rPr>
          <w:rFonts w:asciiTheme="majorHAnsi" w:eastAsia="Yu Mincho" w:hAnsiTheme="majorHAnsi" w:cstheme="majorHAnsi"/>
          <w:i/>
          <w:color w:val="000000" w:themeColor="text1"/>
          <w:sz w:val="22"/>
          <w:szCs w:val="22"/>
          <w:lang w:val="vi-VN" w:eastAsia="ja-JP"/>
        </w:rPr>
        <w:t>Escherichia coli</w:t>
      </w:r>
      <w:r w:rsidRPr="005E6B7C">
        <w:rPr>
          <w:rFonts w:asciiTheme="majorHAnsi" w:eastAsia="Yu Mincho" w:hAnsiTheme="majorHAnsi" w:cstheme="majorHAnsi"/>
          <w:color w:val="000000" w:themeColor="text1"/>
          <w:sz w:val="22"/>
          <w:szCs w:val="22"/>
          <w:lang w:val="vi-VN" w:eastAsia="ja-JP"/>
        </w:rPr>
        <w:t xml:space="preserve"> 0111:B4; BD Bioscience, Sigma, St. Louis, MO, USA) dissolved in DW to induce endotoxemia, while the NOR group received the vehicle control. Animals in each group were sacrificed under anesthesia 6 h after the LPS challenge, and their blood was collected for analysis (Table 1). Serum was separated and stored at −80°C for measurement of protein levels, cytokine expression, and white blood cell</w:t>
      </w:r>
      <w:r w:rsidRPr="005E6B7C">
        <w:rPr>
          <w:rFonts w:asciiTheme="majorHAnsi" w:eastAsia="Yu Mincho" w:hAnsiTheme="majorHAnsi" w:cstheme="majorHAnsi"/>
          <w:color w:val="000000" w:themeColor="text1"/>
          <w:sz w:val="22"/>
          <w:szCs w:val="22"/>
          <w:lang w:eastAsia="ja-JP"/>
        </w:rPr>
        <w:t xml:space="preserve"> counts</w:t>
      </w:r>
      <w:r w:rsidRPr="005E6B7C">
        <w:rPr>
          <w:rFonts w:asciiTheme="majorHAnsi" w:eastAsia="Yu Mincho" w:hAnsiTheme="majorHAnsi" w:cstheme="majorHAnsi"/>
          <w:color w:val="000000" w:themeColor="text1"/>
          <w:sz w:val="22"/>
          <w:szCs w:val="22"/>
          <w:lang w:val="vi-VN" w:eastAsia="ja-JP"/>
        </w:rPr>
        <w:t>.</w:t>
      </w:r>
    </w:p>
    <w:p w14:paraId="0E5B9D13" w14:textId="77777777" w:rsidR="00E049CB" w:rsidRPr="005E6B7C" w:rsidRDefault="00E049CB" w:rsidP="008C0D47">
      <w:pPr>
        <w:tabs>
          <w:tab w:val="left" w:pos="270"/>
          <w:tab w:val="left" w:pos="540"/>
          <w:tab w:val="left" w:pos="9270"/>
        </w:tabs>
        <w:spacing w:before="120" w:after="120"/>
        <w:ind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Table 1. </w:t>
      </w:r>
      <w:r w:rsidRPr="005E6B7C">
        <w:rPr>
          <w:rFonts w:asciiTheme="majorHAnsi" w:eastAsia="Yu Mincho" w:hAnsiTheme="majorHAnsi" w:cstheme="majorHAnsi"/>
          <w:color w:val="000000" w:themeColor="text1"/>
          <w:sz w:val="18"/>
          <w:szCs w:val="18"/>
          <w:lang w:val="vi-VN" w:eastAsia="ja-JP"/>
        </w:rPr>
        <w:t>Animal treatment and experimental group in the LPS-induced model</w:t>
      </w:r>
    </w:p>
    <w:tbl>
      <w:tblPr>
        <w:tblStyle w:val="PlainTable216"/>
        <w:tblW w:w="9072" w:type="dxa"/>
        <w:jc w:val="center"/>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1242"/>
        <w:gridCol w:w="1700"/>
        <w:gridCol w:w="1700"/>
        <w:gridCol w:w="1700"/>
        <w:gridCol w:w="1380"/>
        <w:gridCol w:w="1350"/>
      </w:tblGrid>
      <w:tr w:rsidR="00901F2B" w:rsidRPr="005E6B7C" w14:paraId="06C026BA" w14:textId="77777777" w:rsidTr="004708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tcBorders>
              <w:bottom w:val="none" w:sz="0" w:space="0" w:color="auto"/>
            </w:tcBorders>
            <w:vAlign w:val="center"/>
          </w:tcPr>
          <w:p w14:paraId="6BA5A975" w14:textId="77777777" w:rsidR="00E049CB" w:rsidRPr="005E6B7C" w:rsidRDefault="00E049CB" w:rsidP="008C0D47">
            <w:pPr>
              <w:tabs>
                <w:tab w:val="left" w:pos="270"/>
                <w:tab w:val="left" w:pos="540"/>
                <w:tab w:val="left" w:pos="9270"/>
              </w:tabs>
              <w:ind w:left="60"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Groups</w:t>
            </w:r>
          </w:p>
        </w:tc>
        <w:tc>
          <w:tcPr>
            <w:tcW w:w="0" w:type="pct"/>
            <w:tcBorders>
              <w:bottom w:val="none" w:sz="0" w:space="0" w:color="auto"/>
            </w:tcBorders>
            <w:vAlign w:val="center"/>
          </w:tcPr>
          <w:p w14:paraId="4D62D940" w14:textId="77777777" w:rsidR="00E049CB" w:rsidRPr="005E6B7C" w:rsidRDefault="00E049CB" w:rsidP="008C0D47">
            <w:pPr>
              <w:tabs>
                <w:tab w:val="left" w:pos="270"/>
                <w:tab w:val="left" w:pos="540"/>
                <w:tab w:val="left" w:pos="9270"/>
              </w:tabs>
              <w:ind w:left="60" w:right="-2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Day 1</w:t>
            </w:r>
          </w:p>
        </w:tc>
        <w:tc>
          <w:tcPr>
            <w:tcW w:w="0" w:type="pct"/>
            <w:tcBorders>
              <w:bottom w:val="none" w:sz="0" w:space="0" w:color="auto"/>
            </w:tcBorders>
            <w:vAlign w:val="center"/>
          </w:tcPr>
          <w:p w14:paraId="64354DE1" w14:textId="77777777" w:rsidR="00E049CB" w:rsidRPr="005E6B7C" w:rsidRDefault="00E049CB" w:rsidP="008C0D47">
            <w:pPr>
              <w:tabs>
                <w:tab w:val="left" w:pos="270"/>
                <w:tab w:val="left" w:pos="540"/>
                <w:tab w:val="left" w:pos="9270"/>
              </w:tabs>
              <w:ind w:left="60" w:right="-2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Day 2</w:t>
            </w:r>
          </w:p>
        </w:tc>
        <w:tc>
          <w:tcPr>
            <w:tcW w:w="0" w:type="pct"/>
            <w:tcBorders>
              <w:bottom w:val="none" w:sz="0" w:space="0" w:color="auto"/>
            </w:tcBorders>
            <w:vAlign w:val="center"/>
          </w:tcPr>
          <w:p w14:paraId="6BF9A493" w14:textId="77777777" w:rsidR="00E049CB" w:rsidRPr="005E6B7C" w:rsidRDefault="00E049CB" w:rsidP="008C0D47">
            <w:pPr>
              <w:tabs>
                <w:tab w:val="left" w:pos="270"/>
                <w:tab w:val="left" w:pos="540"/>
                <w:tab w:val="left" w:pos="9270"/>
              </w:tabs>
              <w:ind w:left="60" w:right="-2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Day 3</w:t>
            </w:r>
          </w:p>
        </w:tc>
        <w:tc>
          <w:tcPr>
            <w:tcW w:w="0" w:type="pct"/>
            <w:tcBorders>
              <w:bottom w:val="none" w:sz="0" w:space="0" w:color="auto"/>
            </w:tcBorders>
            <w:vAlign w:val="center"/>
          </w:tcPr>
          <w:p w14:paraId="632B948F" w14:textId="77777777" w:rsidR="00E049CB" w:rsidRPr="005E6B7C" w:rsidRDefault="00E049CB" w:rsidP="008C0D47">
            <w:pPr>
              <w:tabs>
                <w:tab w:val="left" w:pos="270"/>
                <w:tab w:val="left" w:pos="540"/>
                <w:tab w:val="left" w:pos="9270"/>
              </w:tabs>
              <w:ind w:left="60" w:right="-2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LPS challenge</w:t>
            </w:r>
          </w:p>
        </w:tc>
        <w:tc>
          <w:tcPr>
            <w:tcW w:w="0" w:type="pct"/>
            <w:tcBorders>
              <w:bottom w:val="none" w:sz="0" w:space="0" w:color="auto"/>
            </w:tcBorders>
            <w:vAlign w:val="center"/>
          </w:tcPr>
          <w:p w14:paraId="19EF2737" w14:textId="77777777" w:rsidR="00E049CB" w:rsidRPr="005E6B7C" w:rsidRDefault="00E049CB" w:rsidP="008C0D47">
            <w:pPr>
              <w:tabs>
                <w:tab w:val="left" w:pos="270"/>
                <w:tab w:val="left" w:pos="540"/>
                <w:tab w:val="left" w:pos="9270"/>
              </w:tabs>
              <w:ind w:left="60" w:right="-2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Sacrifice</w:t>
            </w:r>
          </w:p>
        </w:tc>
      </w:tr>
      <w:tr w:rsidR="00901F2B" w:rsidRPr="005E6B7C" w14:paraId="56AA78BF" w14:textId="77777777" w:rsidTr="0047080C">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149A5476" w14:textId="77777777" w:rsidR="00E049CB" w:rsidRPr="005E6B7C" w:rsidRDefault="00E049CB" w:rsidP="008C0D47">
            <w:pPr>
              <w:tabs>
                <w:tab w:val="left" w:pos="270"/>
                <w:tab w:val="left" w:pos="540"/>
                <w:tab w:val="left" w:pos="9270"/>
              </w:tabs>
              <w:ind w:left="60"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NOR</w:t>
            </w:r>
          </w:p>
        </w:tc>
        <w:tc>
          <w:tcPr>
            <w:tcW w:w="0" w:type="pct"/>
            <w:vAlign w:val="center"/>
          </w:tcPr>
          <w:p w14:paraId="7FA6F0C1"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Vehicle administration</w:t>
            </w:r>
          </w:p>
        </w:tc>
        <w:tc>
          <w:tcPr>
            <w:tcW w:w="0" w:type="pct"/>
            <w:vAlign w:val="center"/>
          </w:tcPr>
          <w:p w14:paraId="426F1DAA"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Vehicle administration</w:t>
            </w:r>
          </w:p>
        </w:tc>
        <w:tc>
          <w:tcPr>
            <w:tcW w:w="0" w:type="pct"/>
            <w:vAlign w:val="center"/>
          </w:tcPr>
          <w:p w14:paraId="3BD1DED8"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Vehicle administration</w:t>
            </w:r>
          </w:p>
        </w:tc>
        <w:tc>
          <w:tcPr>
            <w:tcW w:w="0" w:type="pct"/>
            <w:vAlign w:val="center"/>
          </w:tcPr>
          <w:p w14:paraId="7D5EE75F"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0,9% NaCl  (i.p) -2h after vehicle</w:t>
            </w:r>
          </w:p>
        </w:tc>
        <w:tc>
          <w:tcPr>
            <w:tcW w:w="0" w:type="pct"/>
            <w:vAlign w:val="center"/>
          </w:tcPr>
          <w:p w14:paraId="3CDF1EB9"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6h after LPS challenge</w:t>
            </w:r>
          </w:p>
        </w:tc>
      </w:tr>
      <w:tr w:rsidR="00901F2B" w:rsidRPr="005E6B7C" w14:paraId="454E85BD" w14:textId="77777777" w:rsidTr="0047080C">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4E7138C" w14:textId="77777777" w:rsidR="00E049CB" w:rsidRPr="005E6B7C" w:rsidRDefault="00E049CB" w:rsidP="008C0D47">
            <w:pPr>
              <w:tabs>
                <w:tab w:val="left" w:pos="270"/>
                <w:tab w:val="left" w:pos="540"/>
                <w:tab w:val="left" w:pos="9270"/>
              </w:tabs>
              <w:ind w:left="60"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LPS</w:t>
            </w:r>
          </w:p>
        </w:tc>
        <w:tc>
          <w:tcPr>
            <w:tcW w:w="0" w:type="pct"/>
            <w:vAlign w:val="center"/>
          </w:tcPr>
          <w:p w14:paraId="0FE5CBBC"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p>
        </w:tc>
        <w:tc>
          <w:tcPr>
            <w:tcW w:w="0" w:type="pct"/>
            <w:vAlign w:val="center"/>
          </w:tcPr>
          <w:p w14:paraId="7DC5B805"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p>
        </w:tc>
        <w:tc>
          <w:tcPr>
            <w:tcW w:w="0" w:type="pct"/>
            <w:vAlign w:val="center"/>
          </w:tcPr>
          <w:p w14:paraId="25319805"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p>
        </w:tc>
        <w:tc>
          <w:tcPr>
            <w:tcW w:w="0" w:type="pct"/>
            <w:vAlign w:val="center"/>
          </w:tcPr>
          <w:p w14:paraId="7AA1C98F"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LPS (i.p) -2h after vehicle</w:t>
            </w:r>
          </w:p>
        </w:tc>
        <w:tc>
          <w:tcPr>
            <w:tcW w:w="0" w:type="pct"/>
            <w:vAlign w:val="center"/>
          </w:tcPr>
          <w:p w14:paraId="2BBE79AC"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6h after LPS challenge</w:t>
            </w:r>
          </w:p>
        </w:tc>
      </w:tr>
      <w:tr w:rsidR="00901F2B" w:rsidRPr="005E6B7C" w14:paraId="47DB6194" w14:textId="77777777" w:rsidTr="0047080C">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706D7DB9" w14:textId="77777777" w:rsidR="00E049CB" w:rsidRPr="005E6B7C" w:rsidRDefault="00E049CB" w:rsidP="008C0D47">
            <w:pPr>
              <w:tabs>
                <w:tab w:val="left" w:pos="270"/>
                <w:tab w:val="left" w:pos="540"/>
                <w:tab w:val="left" w:pos="9270"/>
              </w:tabs>
              <w:ind w:left="60"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LPS + extract 150</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mg/kg</w:t>
            </w:r>
          </w:p>
        </w:tc>
        <w:tc>
          <w:tcPr>
            <w:tcW w:w="0" w:type="pct"/>
            <w:vAlign w:val="center"/>
          </w:tcPr>
          <w:p w14:paraId="337D08C9"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eastAsia="ja-JP"/>
              </w:rPr>
              <w:t>E</w:t>
            </w:r>
            <w:r w:rsidRPr="005E6B7C">
              <w:rPr>
                <w:rFonts w:asciiTheme="majorHAnsi" w:eastAsia="Yu Mincho" w:hAnsiTheme="majorHAnsi" w:cstheme="majorHAnsi"/>
                <w:bCs/>
                <w:color w:val="000000" w:themeColor="text1"/>
                <w:sz w:val="18"/>
                <w:szCs w:val="18"/>
                <w:lang w:val="vi-VN" w:eastAsia="ja-JP"/>
              </w:rPr>
              <w:t>xtract 150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mg/E g</w:t>
            </w:r>
          </w:p>
        </w:tc>
        <w:tc>
          <w:tcPr>
            <w:tcW w:w="0" w:type="pct"/>
            <w:vAlign w:val="center"/>
          </w:tcPr>
          <w:p w14:paraId="5EC6D41F"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eastAsia="ja-JP"/>
              </w:rPr>
              <w:t>E</w:t>
            </w:r>
            <w:r w:rsidRPr="005E6B7C">
              <w:rPr>
                <w:rFonts w:asciiTheme="majorHAnsi" w:eastAsia="Yu Mincho" w:hAnsiTheme="majorHAnsi" w:cstheme="majorHAnsi"/>
                <w:bCs/>
                <w:color w:val="000000" w:themeColor="text1"/>
                <w:sz w:val="18"/>
                <w:szCs w:val="18"/>
                <w:lang w:val="vi-VN" w:eastAsia="ja-JP"/>
              </w:rPr>
              <w:t>xtract 150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0CC47F95"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Extract 150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695F3431"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LPS (i.p) -2h after extract 150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04623D6E"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6h after LPS challenge</w:t>
            </w:r>
          </w:p>
        </w:tc>
      </w:tr>
      <w:tr w:rsidR="00901F2B" w:rsidRPr="005E6B7C" w14:paraId="5CB16736" w14:textId="77777777" w:rsidTr="0047080C">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463B4295" w14:textId="77777777" w:rsidR="00E049CB" w:rsidRPr="005E6B7C" w:rsidRDefault="00E049CB" w:rsidP="008C0D47">
            <w:pPr>
              <w:tabs>
                <w:tab w:val="left" w:pos="270"/>
                <w:tab w:val="left" w:pos="540"/>
                <w:tab w:val="left" w:pos="9270"/>
              </w:tabs>
              <w:ind w:left="60" w:right="-20"/>
              <w:jc w:val="center"/>
              <w:outlineLvl w:val="3"/>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LPS + extract 300</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mg/kg</w:t>
            </w:r>
          </w:p>
        </w:tc>
        <w:tc>
          <w:tcPr>
            <w:tcW w:w="0" w:type="pct"/>
            <w:vAlign w:val="center"/>
          </w:tcPr>
          <w:p w14:paraId="6A762378"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eastAsia="ja-JP"/>
              </w:rPr>
              <w:t>E</w:t>
            </w:r>
            <w:r w:rsidRPr="005E6B7C">
              <w:rPr>
                <w:rFonts w:asciiTheme="majorHAnsi" w:eastAsia="Yu Mincho" w:hAnsiTheme="majorHAnsi" w:cstheme="majorHAnsi"/>
                <w:bCs/>
                <w:color w:val="000000" w:themeColor="text1"/>
                <w:sz w:val="18"/>
                <w:szCs w:val="18"/>
                <w:lang w:val="vi-VN" w:eastAsia="ja-JP"/>
              </w:rPr>
              <w:t>xtract 300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513BAE86"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eastAsia="ja-JP"/>
              </w:rPr>
              <w:t>E</w:t>
            </w:r>
            <w:r w:rsidRPr="005E6B7C">
              <w:rPr>
                <w:rFonts w:asciiTheme="majorHAnsi" w:eastAsia="Yu Mincho" w:hAnsiTheme="majorHAnsi" w:cstheme="majorHAnsi"/>
                <w:bCs/>
                <w:color w:val="000000" w:themeColor="text1"/>
                <w:sz w:val="18"/>
                <w:szCs w:val="18"/>
                <w:lang w:val="vi-VN" w:eastAsia="ja-JP"/>
              </w:rPr>
              <w:t>xtract 300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79A33526"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eastAsia="ja-JP"/>
              </w:rPr>
              <w:t>E</w:t>
            </w:r>
            <w:r w:rsidRPr="005E6B7C">
              <w:rPr>
                <w:rFonts w:asciiTheme="majorHAnsi" w:eastAsia="Yu Mincho" w:hAnsiTheme="majorHAnsi" w:cstheme="majorHAnsi"/>
                <w:bCs/>
                <w:color w:val="000000" w:themeColor="text1"/>
                <w:sz w:val="18"/>
                <w:szCs w:val="18"/>
                <w:lang w:val="vi-VN" w:eastAsia="ja-JP"/>
              </w:rPr>
              <w:t>xtract 300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053AF748"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LPS (i.p) -2h after extract 300</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mg/kg</w:t>
            </w:r>
          </w:p>
        </w:tc>
        <w:tc>
          <w:tcPr>
            <w:tcW w:w="0" w:type="pct"/>
            <w:vAlign w:val="center"/>
          </w:tcPr>
          <w:p w14:paraId="422D3E07" w14:textId="77777777" w:rsidR="00E049CB" w:rsidRPr="005E6B7C" w:rsidRDefault="00E049CB" w:rsidP="008C0D47">
            <w:pPr>
              <w:tabs>
                <w:tab w:val="left" w:pos="270"/>
                <w:tab w:val="left" w:pos="540"/>
                <w:tab w:val="left" w:pos="9270"/>
              </w:tabs>
              <w:ind w:left="60" w:right="-2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Cs/>
                <w:color w:val="000000" w:themeColor="text1"/>
                <w:sz w:val="18"/>
                <w:szCs w:val="18"/>
                <w:lang w:val="vi-VN" w:eastAsia="ja-JP"/>
              </w:rPr>
              <w:t>6h after LPS challenge</w:t>
            </w:r>
          </w:p>
        </w:tc>
      </w:tr>
    </w:tbl>
    <w:p w14:paraId="1CD16633" w14:textId="77777777" w:rsidR="0047080C" w:rsidRPr="005E6B7C" w:rsidRDefault="0047080C" w:rsidP="008C0D47">
      <w:pPr>
        <w:tabs>
          <w:tab w:val="left" w:pos="270"/>
          <w:tab w:val="left" w:pos="540"/>
          <w:tab w:val="left" w:pos="9270"/>
        </w:tabs>
        <w:ind w:right="-20"/>
        <w:jc w:val="both"/>
        <w:rPr>
          <w:rFonts w:asciiTheme="majorHAnsi" w:eastAsia="Yu Mincho" w:hAnsiTheme="majorHAnsi" w:cstheme="majorHAnsi"/>
          <w:i/>
          <w:iCs/>
          <w:color w:val="000000" w:themeColor="text1"/>
          <w:sz w:val="22"/>
          <w:szCs w:val="22"/>
          <w:lang w:eastAsia="ja-JP"/>
        </w:rPr>
      </w:pPr>
    </w:p>
    <w:p w14:paraId="284A755D"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4B854B86"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val="vi-VN" w:eastAsia="ja-JP"/>
        </w:rPr>
      </w:pPr>
      <w:r w:rsidRPr="005E6B7C">
        <w:rPr>
          <w:rFonts w:asciiTheme="majorHAnsi" w:eastAsia="Yu Mincho" w:hAnsiTheme="majorHAnsi" w:cstheme="majorHAnsi"/>
          <w:i/>
          <w:iCs/>
          <w:color w:val="000000" w:themeColor="text1"/>
          <w:sz w:val="22"/>
          <w:szCs w:val="22"/>
          <w:lang w:val="vi-VN" w:eastAsia="ja-JP"/>
        </w:rPr>
        <w:t>2.5. Statistical analysis</w:t>
      </w:r>
    </w:p>
    <w:p w14:paraId="53AF2C3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eastAsia="ja-JP"/>
        </w:rPr>
        <w:t>Data represented</w:t>
      </w:r>
      <w:r w:rsidRPr="005E6B7C">
        <w:rPr>
          <w:rFonts w:asciiTheme="majorHAnsi" w:eastAsia="Yu Mincho" w:hAnsiTheme="majorHAnsi" w:cstheme="majorHAnsi"/>
          <w:color w:val="000000" w:themeColor="text1"/>
          <w:sz w:val="22"/>
          <w:szCs w:val="22"/>
          <w:lang w:val="vi-VN" w:eastAsia="ja-JP"/>
        </w:rPr>
        <w:t xml:space="preserve"> as Mean ± SD using Graphpad Prism 9</w:t>
      </w:r>
      <w:r w:rsidRPr="005E6B7C">
        <w:rPr>
          <w:rFonts w:asciiTheme="majorHAnsi" w:eastAsia="Yu Mincho" w:hAnsiTheme="majorHAnsi" w:cstheme="majorHAnsi"/>
          <w:color w:val="000000" w:themeColor="text1"/>
          <w:sz w:val="22"/>
          <w:szCs w:val="22"/>
          <w:lang w:eastAsia="ja-JP"/>
        </w:rPr>
        <w:t xml:space="preserve"> (USA)</w:t>
      </w:r>
      <w:r w:rsidRPr="005E6B7C">
        <w:rPr>
          <w:rFonts w:asciiTheme="majorHAnsi" w:eastAsia="Yu Mincho" w:hAnsiTheme="majorHAnsi" w:cstheme="majorHAnsi"/>
          <w:color w:val="000000" w:themeColor="text1"/>
          <w:sz w:val="22"/>
          <w:szCs w:val="22"/>
          <w:lang w:val="vi-VN" w:eastAsia="ja-JP"/>
        </w:rPr>
        <w:t xml:space="preserve">. Statistical analysis was </w:t>
      </w:r>
      <w:r w:rsidRPr="005E6B7C">
        <w:rPr>
          <w:rFonts w:asciiTheme="majorHAnsi" w:eastAsia="Yu Mincho" w:hAnsiTheme="majorHAnsi" w:cstheme="majorHAnsi"/>
          <w:color w:val="000000" w:themeColor="text1"/>
          <w:sz w:val="22"/>
          <w:szCs w:val="22"/>
          <w:lang w:eastAsia="ja-JP"/>
        </w:rPr>
        <w:t>carried out with</w:t>
      </w:r>
      <w:r w:rsidRPr="005E6B7C">
        <w:rPr>
          <w:rFonts w:asciiTheme="majorHAnsi" w:eastAsia="Yu Mincho" w:hAnsiTheme="majorHAnsi" w:cstheme="majorHAnsi"/>
          <w:color w:val="000000" w:themeColor="text1"/>
          <w:sz w:val="22"/>
          <w:szCs w:val="22"/>
          <w:lang w:val="vi-VN" w:eastAsia="ja-JP"/>
        </w:rPr>
        <w:t xml:space="preserve"> the one-way ANOVA test in Graphpad Prism software.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color w:val="000000" w:themeColor="text1"/>
          <w:sz w:val="22"/>
          <w:szCs w:val="22"/>
          <w:lang w:val="vi-VN" w:eastAsia="ja-JP"/>
        </w:rPr>
        <w:t xml:space="preserve"> &lt; 0.05 </w:t>
      </w:r>
      <w:r w:rsidRPr="005E6B7C">
        <w:rPr>
          <w:rFonts w:asciiTheme="majorHAnsi" w:eastAsia="Yu Mincho" w:hAnsiTheme="majorHAnsi" w:cstheme="majorHAnsi"/>
          <w:color w:val="000000" w:themeColor="text1"/>
          <w:sz w:val="22"/>
          <w:szCs w:val="22"/>
          <w:lang w:eastAsia="ja-JP"/>
        </w:rPr>
        <w:t>is</w:t>
      </w:r>
      <w:r w:rsidRPr="005E6B7C">
        <w:rPr>
          <w:rFonts w:asciiTheme="majorHAnsi" w:eastAsia="Yu Mincho" w:hAnsiTheme="majorHAnsi" w:cstheme="majorHAnsi"/>
          <w:color w:val="000000" w:themeColor="text1"/>
          <w:sz w:val="22"/>
          <w:szCs w:val="22"/>
          <w:lang w:val="vi-VN" w:eastAsia="ja-JP"/>
        </w:rPr>
        <w:t xml:space="preserve"> considered statistically significant.</w:t>
      </w:r>
    </w:p>
    <w:p w14:paraId="02413B3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val="vi-VN" w:eastAsia="ja-JP"/>
        </w:rPr>
      </w:pPr>
      <w:r w:rsidRPr="005E6B7C">
        <w:rPr>
          <w:rFonts w:asciiTheme="majorHAnsi" w:eastAsia="Yu Mincho" w:hAnsiTheme="majorHAnsi" w:cstheme="majorHAnsi"/>
          <w:b/>
          <w:color w:val="000000" w:themeColor="text1"/>
          <w:sz w:val="22"/>
          <w:szCs w:val="22"/>
          <w:lang w:eastAsia="ja-JP"/>
        </w:rPr>
        <w:t>3</w:t>
      </w:r>
      <w:r w:rsidRPr="005E6B7C">
        <w:rPr>
          <w:rFonts w:asciiTheme="majorHAnsi" w:eastAsia="Yu Mincho" w:hAnsiTheme="majorHAnsi" w:cstheme="majorHAnsi"/>
          <w:b/>
          <w:color w:val="000000" w:themeColor="text1"/>
          <w:sz w:val="22"/>
          <w:szCs w:val="22"/>
          <w:lang w:val="vi-VN" w:eastAsia="ja-JP"/>
        </w:rPr>
        <w:t>. Results</w:t>
      </w:r>
    </w:p>
    <w:p w14:paraId="1B88732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Cs/>
          <w:i/>
          <w:color w:val="000000" w:themeColor="text1"/>
          <w:sz w:val="22"/>
          <w:szCs w:val="22"/>
          <w:lang w:val="vi-VN" w:eastAsia="ja-JP"/>
        </w:rPr>
        <w:t>3.1</w:t>
      </w:r>
      <w:r w:rsidRPr="005E6B7C">
        <w:rPr>
          <w:rFonts w:asciiTheme="majorHAnsi" w:eastAsia="Yu Mincho" w:hAnsiTheme="majorHAnsi" w:cstheme="majorHAnsi"/>
          <w:bCs/>
          <w:i/>
          <w:color w:val="000000" w:themeColor="text1"/>
          <w:sz w:val="22"/>
          <w:szCs w:val="22"/>
          <w:lang w:eastAsia="ja-JP"/>
        </w:rPr>
        <w:t>.</w:t>
      </w:r>
      <w:r w:rsidRPr="005E6B7C">
        <w:rPr>
          <w:rFonts w:asciiTheme="majorHAnsi" w:eastAsia="Yu Mincho" w:hAnsiTheme="majorHAnsi" w:cstheme="majorHAnsi"/>
          <w:bCs/>
          <w:i/>
          <w:color w:val="000000" w:themeColor="text1"/>
          <w:sz w:val="22"/>
          <w:szCs w:val="22"/>
          <w:lang w:val="vi-VN" w:eastAsia="ja-JP"/>
        </w:rPr>
        <w:t xml:space="preserve"> Anti-inflammatory </w:t>
      </w:r>
      <w:r w:rsidRPr="005E6B7C">
        <w:rPr>
          <w:rFonts w:asciiTheme="majorHAnsi" w:eastAsia="Yu Mincho" w:hAnsiTheme="majorHAnsi" w:cstheme="majorHAnsi"/>
          <w:bCs/>
          <w:i/>
          <w:color w:val="000000" w:themeColor="text1"/>
          <w:sz w:val="22"/>
          <w:szCs w:val="22"/>
          <w:lang w:eastAsia="ja-JP"/>
        </w:rPr>
        <w:t>a</w:t>
      </w:r>
      <w:r w:rsidRPr="005E6B7C">
        <w:rPr>
          <w:rFonts w:asciiTheme="majorHAnsi" w:eastAsia="Yu Mincho" w:hAnsiTheme="majorHAnsi" w:cstheme="majorHAnsi"/>
          <w:bCs/>
          <w:i/>
          <w:color w:val="000000" w:themeColor="text1"/>
          <w:sz w:val="22"/>
          <w:szCs w:val="22"/>
          <w:lang w:val="vi-VN" w:eastAsia="ja-JP"/>
        </w:rPr>
        <w:t>ctivity</w:t>
      </w:r>
    </w:p>
    <w:p w14:paraId="5CB6B3C0" w14:textId="4C00AE95" w:rsidR="007C2B6D"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val="vi-VN" w:eastAsia="ja-JP"/>
        </w:rPr>
        <w:t>A Griess assay was used to confirm the effect of the extracts on NO generation in LPS-induced RAW 264.7 cells. With IC</w:t>
      </w:r>
      <w:r w:rsidRPr="005E6B7C">
        <w:rPr>
          <w:rFonts w:asciiTheme="majorHAnsi" w:eastAsia="Yu Mincho" w:hAnsiTheme="majorHAnsi" w:cstheme="majorHAnsi"/>
          <w:color w:val="000000" w:themeColor="text1"/>
          <w:spacing w:val="4"/>
          <w:sz w:val="22"/>
          <w:szCs w:val="22"/>
          <w:vertAlign w:val="subscript"/>
          <w:lang w:val="vi-VN" w:eastAsia="ja-JP"/>
        </w:rPr>
        <w:t>50</w:t>
      </w:r>
      <w:r w:rsidRPr="005E6B7C">
        <w:rPr>
          <w:rFonts w:asciiTheme="majorHAnsi" w:eastAsia="Yu Mincho" w:hAnsiTheme="majorHAnsi" w:cstheme="majorHAnsi"/>
          <w:color w:val="000000" w:themeColor="text1"/>
          <w:spacing w:val="4"/>
          <w:sz w:val="22"/>
          <w:szCs w:val="22"/>
          <w:lang w:val="vi-VN" w:eastAsia="ja-JP"/>
        </w:rPr>
        <w:t xml:space="preserve"> values of 10.88 ± 2.88 and 11.79 ± 3.20 </w:t>
      </w:r>
      <w:r w:rsidR="00266B26" w:rsidRPr="005E6B7C">
        <w:rPr>
          <w:rFonts w:asciiTheme="majorHAnsi" w:eastAsia="Yu Mincho" w:hAnsiTheme="majorHAnsi" w:cstheme="majorHAnsi"/>
          <w:i/>
          <w:iCs/>
          <w:color w:val="000000" w:themeColor="text1"/>
          <w:spacing w:val="4"/>
          <w:sz w:val="22"/>
          <w:szCs w:val="22"/>
          <w:lang w:val="vi-VN" w:eastAsia="ja-JP"/>
        </w:rPr>
        <w:t>µ</w:t>
      </w:r>
      <w:r w:rsidRPr="005E6B7C">
        <w:rPr>
          <w:rFonts w:asciiTheme="majorHAnsi" w:eastAsia="Yu Mincho" w:hAnsiTheme="majorHAnsi" w:cstheme="majorHAnsi"/>
          <w:color w:val="000000" w:themeColor="text1"/>
          <w:spacing w:val="4"/>
          <w:sz w:val="22"/>
          <w:szCs w:val="22"/>
          <w:lang w:val="vi-VN" w:eastAsia="ja-JP"/>
        </w:rPr>
        <w:t>g/mL against NO production, the CH</w:t>
      </w:r>
      <w:r w:rsidRPr="005E6B7C">
        <w:rPr>
          <w:rFonts w:asciiTheme="majorHAnsi" w:eastAsia="Yu Mincho" w:hAnsiTheme="majorHAnsi" w:cstheme="majorHAnsi"/>
          <w:color w:val="000000" w:themeColor="text1"/>
          <w:spacing w:val="4"/>
          <w:sz w:val="22"/>
          <w:szCs w:val="22"/>
          <w:vertAlign w:val="subscript"/>
          <w:lang w:val="vi-VN" w:eastAsia="ja-JP"/>
        </w:rPr>
        <w:t>2</w:t>
      </w:r>
      <w:r w:rsidRPr="005E6B7C">
        <w:rPr>
          <w:rFonts w:asciiTheme="majorHAnsi" w:eastAsia="Yu Mincho" w:hAnsiTheme="majorHAnsi" w:cstheme="majorHAnsi"/>
          <w:color w:val="000000" w:themeColor="text1"/>
          <w:spacing w:val="4"/>
          <w:sz w:val="22"/>
          <w:szCs w:val="22"/>
          <w:lang w:val="vi-VN" w:eastAsia="ja-JP"/>
        </w:rPr>
        <w:t>Cl</w:t>
      </w:r>
      <w:r w:rsidRPr="005E6B7C">
        <w:rPr>
          <w:rFonts w:asciiTheme="majorHAnsi" w:eastAsia="Yu Mincho" w:hAnsiTheme="majorHAnsi" w:cstheme="majorHAnsi"/>
          <w:color w:val="000000" w:themeColor="text1"/>
          <w:spacing w:val="4"/>
          <w:sz w:val="22"/>
          <w:szCs w:val="22"/>
          <w:vertAlign w:val="subscript"/>
          <w:lang w:val="vi-VN" w:eastAsia="ja-JP"/>
        </w:rPr>
        <w:t>2</w:t>
      </w:r>
      <w:r w:rsidRPr="005E6B7C">
        <w:rPr>
          <w:rFonts w:asciiTheme="majorHAnsi" w:eastAsia="Yu Mincho" w:hAnsiTheme="majorHAnsi" w:cstheme="majorHAnsi"/>
          <w:color w:val="000000" w:themeColor="text1"/>
          <w:spacing w:val="4"/>
          <w:sz w:val="22"/>
          <w:szCs w:val="22"/>
          <w:lang w:val="vi-VN" w:eastAsia="ja-JP"/>
        </w:rPr>
        <w:t xml:space="preserve"> and aqueous extracts showed good inhibitory efficacy among the extracts. These extracts did not exhibit any cytotoxic effects on RAW 264.7 cells, with a </w:t>
      </w:r>
      <w:r w:rsidRPr="005E6B7C">
        <w:rPr>
          <w:rFonts w:asciiTheme="majorHAnsi" w:eastAsia="Yu Mincho" w:hAnsiTheme="majorHAnsi" w:cstheme="majorHAnsi"/>
          <w:color w:val="000000" w:themeColor="text1"/>
          <w:spacing w:val="4"/>
          <w:sz w:val="22"/>
          <w:szCs w:val="22"/>
          <w:lang w:val="vi-VN" w:eastAsia="ja-JP"/>
        </w:rPr>
        <w:lastRenderedPageBreak/>
        <w:t>cell survival rate of above 80% (Table 2)</w:t>
      </w:r>
      <w:r w:rsidRPr="005E6B7C">
        <w:rPr>
          <w:rFonts w:asciiTheme="majorHAnsi" w:eastAsia="Yu Mincho" w:hAnsiTheme="majorHAnsi" w:cstheme="majorHAnsi"/>
          <w:color w:val="000000" w:themeColor="text1"/>
          <w:spacing w:val="4"/>
          <w:sz w:val="22"/>
          <w:szCs w:val="22"/>
          <w:lang w:eastAsia="ja-JP"/>
        </w:rPr>
        <w:t>.</w:t>
      </w:r>
    </w:p>
    <w:p w14:paraId="681AC502"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7C2B6D" w:rsidRPr="005E6B7C" w:rsidSect="007C2B6D">
          <w:type w:val="continuous"/>
          <w:pgSz w:w="10773" w:h="15309" w:code="9"/>
          <w:pgMar w:top="907" w:right="851" w:bottom="1418" w:left="851" w:header="397" w:footer="851" w:gutter="0"/>
          <w:cols w:num="2" w:space="284"/>
          <w:docGrid w:linePitch="360"/>
        </w:sectPr>
      </w:pPr>
    </w:p>
    <w:p w14:paraId="6604CC05" w14:textId="77777777" w:rsidR="00E049CB" w:rsidRPr="005E6B7C" w:rsidRDefault="00E049CB" w:rsidP="008C0D47">
      <w:pPr>
        <w:tabs>
          <w:tab w:val="left" w:pos="270"/>
          <w:tab w:val="left" w:pos="540"/>
          <w:tab w:val="left" w:pos="9270"/>
        </w:tabs>
        <w:spacing w:before="120" w:after="120" w:line="240" w:lineRule="exact"/>
        <w:ind w:firstLine="284"/>
        <w:jc w:val="center"/>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 xml:space="preserve">Table 2. </w:t>
      </w:r>
      <w:r w:rsidRPr="005E6B7C">
        <w:rPr>
          <w:rFonts w:asciiTheme="majorHAnsi" w:eastAsia="Yu Mincho" w:hAnsiTheme="majorHAnsi" w:cstheme="majorHAnsi"/>
          <w:bCs/>
          <w:color w:val="000000" w:themeColor="text1"/>
          <w:sz w:val="18"/>
          <w:szCs w:val="18"/>
          <w:lang w:val="vi-VN" w:eastAsia="ja-JP"/>
        </w:rPr>
        <w:t>IC</w:t>
      </w:r>
      <w:r w:rsidRPr="005E6B7C">
        <w:rPr>
          <w:rFonts w:asciiTheme="majorHAnsi" w:eastAsia="Yu Mincho" w:hAnsiTheme="majorHAnsi" w:cstheme="majorHAnsi"/>
          <w:bCs/>
          <w:color w:val="000000" w:themeColor="text1"/>
          <w:sz w:val="18"/>
          <w:szCs w:val="18"/>
          <w:vertAlign w:val="subscript"/>
          <w:lang w:val="vi-VN" w:eastAsia="ja-JP"/>
        </w:rPr>
        <w:t>50</w:t>
      </w:r>
      <w:r w:rsidRPr="005E6B7C">
        <w:rPr>
          <w:rFonts w:asciiTheme="majorHAnsi" w:eastAsia="Yu Mincho" w:hAnsiTheme="majorHAnsi" w:cstheme="majorHAnsi"/>
          <w:bCs/>
          <w:color w:val="000000" w:themeColor="text1"/>
          <w:sz w:val="18"/>
          <w:szCs w:val="18"/>
          <w:lang w:val="vi-VN" w:eastAsia="ja-JP"/>
        </w:rPr>
        <w:t xml:space="preserve"> values for the inhibition of NO production of the extracts</w:t>
      </w:r>
    </w:p>
    <w:tbl>
      <w:tblPr>
        <w:tblStyle w:val="PlainTable216"/>
        <w:tblW w:w="9072" w:type="dxa"/>
        <w:jc w:val="center"/>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2775"/>
        <w:gridCol w:w="2492"/>
        <w:gridCol w:w="3805"/>
      </w:tblGrid>
      <w:tr w:rsidR="00901F2B" w:rsidRPr="005E6B7C" w14:paraId="342F2ED0" w14:textId="77777777" w:rsidTr="005E65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Borders>
              <w:bottom w:val="none" w:sz="0" w:space="0" w:color="auto"/>
            </w:tcBorders>
          </w:tcPr>
          <w:p w14:paraId="6113C40A" w14:textId="77777777" w:rsidR="00E049CB" w:rsidRPr="005E6B7C" w:rsidRDefault="00E049CB" w:rsidP="005E65C5">
            <w:pPr>
              <w:tabs>
                <w:tab w:val="left" w:pos="9270"/>
              </w:tabs>
              <w:ind w:left="35"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Sample</w:t>
            </w:r>
            <w:r w:rsidRPr="005E6B7C">
              <w:rPr>
                <w:rFonts w:asciiTheme="majorHAnsi" w:eastAsia="Yu Mincho" w:hAnsiTheme="majorHAnsi" w:cstheme="majorHAnsi"/>
                <w:color w:val="000000" w:themeColor="text1"/>
                <w:sz w:val="18"/>
                <w:szCs w:val="18"/>
                <w:lang w:val="vi-VN" w:eastAsia="ja-JP"/>
              </w:rPr>
              <w:t>s</w:t>
            </w:r>
          </w:p>
        </w:tc>
        <w:tc>
          <w:tcPr>
            <w:tcW w:w="2414" w:type="dxa"/>
            <w:tcBorders>
              <w:bottom w:val="none" w:sz="0" w:space="0" w:color="auto"/>
            </w:tcBorders>
          </w:tcPr>
          <w:p w14:paraId="4E54A6DF" w14:textId="2DBA3D5F" w:rsidR="00E049CB" w:rsidRPr="005E6B7C" w:rsidRDefault="00E049CB" w:rsidP="005E65C5">
            <w:pPr>
              <w:tabs>
                <w:tab w:val="left" w:pos="270"/>
                <w:tab w:val="left" w:pos="540"/>
                <w:tab w:val="left" w:pos="9270"/>
              </w:tabs>
              <w:ind w:left="-360" w:right="-20"/>
              <w:jc w:val="center"/>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IC</w:t>
            </w:r>
            <w:r w:rsidRPr="005E6B7C">
              <w:rPr>
                <w:rFonts w:asciiTheme="majorHAnsi" w:eastAsia="Yu Mincho" w:hAnsiTheme="majorHAnsi" w:cstheme="majorHAnsi"/>
                <w:color w:val="000000" w:themeColor="text1"/>
                <w:sz w:val="18"/>
                <w:szCs w:val="18"/>
                <w:vertAlign w:val="subscript"/>
                <w:lang w:val="vi-VN" w:eastAsia="ja-JP"/>
              </w:rPr>
              <w:t xml:space="preserve">50 </w:t>
            </w:r>
            <w:r w:rsidRPr="005E6B7C">
              <w:rPr>
                <w:rFonts w:asciiTheme="majorHAnsi" w:eastAsia="Yu Mincho" w:hAnsiTheme="majorHAnsi" w:cstheme="majorHAnsi"/>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color w:val="000000" w:themeColor="text1"/>
                <w:sz w:val="18"/>
                <w:szCs w:val="18"/>
                <w:lang w:val="vi-VN" w:eastAsia="ja-JP"/>
              </w:rPr>
              <w:t>g/mL)</w:t>
            </w:r>
          </w:p>
        </w:tc>
        <w:tc>
          <w:tcPr>
            <w:tcW w:w="3686" w:type="dxa"/>
            <w:tcBorders>
              <w:bottom w:val="none" w:sz="0" w:space="0" w:color="auto"/>
            </w:tcBorders>
          </w:tcPr>
          <w:p w14:paraId="2092A0CA" w14:textId="614D3ED1" w:rsidR="00E049CB" w:rsidRPr="005E6B7C" w:rsidRDefault="00E049CB" w:rsidP="005E65C5">
            <w:pPr>
              <w:tabs>
                <w:tab w:val="left" w:pos="270"/>
                <w:tab w:val="left" w:pos="540"/>
                <w:tab w:val="left" w:pos="9270"/>
              </w:tabs>
              <w:ind w:left="-360" w:right="-20"/>
              <w:jc w:val="center"/>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 xml:space="preserve">% Cell viability at 100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color w:val="000000" w:themeColor="text1"/>
                <w:sz w:val="18"/>
                <w:szCs w:val="18"/>
                <w:lang w:val="vi-VN" w:eastAsia="ja-JP"/>
              </w:rPr>
              <w:t>g/mL</w:t>
            </w:r>
          </w:p>
        </w:tc>
      </w:tr>
      <w:tr w:rsidR="00901F2B" w:rsidRPr="005E6B7C" w14:paraId="6D5E9D6C"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1123BBB4" w14:textId="77777777" w:rsidR="00E049CB" w:rsidRPr="005E6B7C" w:rsidRDefault="00E049CB" w:rsidP="008C0D47">
            <w:pPr>
              <w:tabs>
                <w:tab w:val="left" w:pos="9270"/>
              </w:tabs>
              <w:ind w:left="35" w:right="-2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val="vi-VN" w:eastAsia="ja-JP"/>
              </w:rPr>
              <w:t>n</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lang w:val="vi-VN" w:eastAsia="ja-JP"/>
              </w:rPr>
              <w:t>exane</w:t>
            </w:r>
          </w:p>
        </w:tc>
        <w:tc>
          <w:tcPr>
            <w:tcW w:w="2414" w:type="dxa"/>
          </w:tcPr>
          <w:p w14:paraId="22E4AF93"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&gt;100</w:t>
            </w:r>
          </w:p>
        </w:tc>
        <w:tc>
          <w:tcPr>
            <w:tcW w:w="3686" w:type="dxa"/>
          </w:tcPr>
          <w:p w14:paraId="3A30634F"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87.52 ± 2.14</w:t>
            </w:r>
          </w:p>
        </w:tc>
      </w:tr>
      <w:tr w:rsidR="00901F2B" w:rsidRPr="005E6B7C" w14:paraId="15B87371"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61CA1C43" w14:textId="77777777" w:rsidR="00E049CB" w:rsidRPr="005E6B7C" w:rsidRDefault="00E049CB" w:rsidP="008C0D47">
            <w:pPr>
              <w:tabs>
                <w:tab w:val="left" w:pos="9270"/>
              </w:tabs>
              <w:ind w:left="35" w:right="-2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EtOAc</w:t>
            </w:r>
          </w:p>
        </w:tc>
        <w:tc>
          <w:tcPr>
            <w:tcW w:w="2414" w:type="dxa"/>
          </w:tcPr>
          <w:p w14:paraId="21AB2310"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53.12 ± 2.05</w:t>
            </w:r>
          </w:p>
        </w:tc>
        <w:tc>
          <w:tcPr>
            <w:tcW w:w="3686" w:type="dxa"/>
          </w:tcPr>
          <w:p w14:paraId="3D6CE5CB"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80.96 ± 1.98</w:t>
            </w:r>
          </w:p>
        </w:tc>
      </w:tr>
      <w:tr w:rsidR="00901F2B" w:rsidRPr="005E6B7C" w14:paraId="2B0023AA"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60316F98" w14:textId="77777777" w:rsidR="00E049CB" w:rsidRPr="005E6B7C" w:rsidRDefault="00E049CB" w:rsidP="008C0D47">
            <w:pPr>
              <w:tabs>
                <w:tab w:val="left" w:pos="9270"/>
              </w:tabs>
              <w:ind w:left="35" w:right="-2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CH</w:t>
            </w:r>
            <w:r w:rsidRPr="005E6B7C">
              <w:rPr>
                <w:rFonts w:asciiTheme="majorHAnsi" w:eastAsia="Yu Mincho" w:hAnsiTheme="majorHAnsi" w:cstheme="majorHAnsi"/>
                <w:color w:val="000000" w:themeColor="text1"/>
                <w:sz w:val="18"/>
                <w:szCs w:val="18"/>
                <w:vertAlign w:val="subscript"/>
                <w:lang w:val="vi-VN" w:eastAsia="ja-JP"/>
              </w:rPr>
              <w:t>2</w:t>
            </w:r>
            <w:r w:rsidRPr="005E6B7C">
              <w:rPr>
                <w:rFonts w:asciiTheme="majorHAnsi" w:eastAsia="Yu Mincho" w:hAnsiTheme="majorHAnsi" w:cstheme="majorHAnsi"/>
                <w:color w:val="000000" w:themeColor="text1"/>
                <w:sz w:val="18"/>
                <w:szCs w:val="18"/>
                <w:lang w:val="vi-VN" w:eastAsia="ja-JP"/>
              </w:rPr>
              <w:t>Cl</w:t>
            </w:r>
            <w:r w:rsidRPr="005E6B7C">
              <w:rPr>
                <w:rFonts w:asciiTheme="majorHAnsi" w:eastAsia="Yu Mincho" w:hAnsiTheme="majorHAnsi" w:cstheme="majorHAnsi"/>
                <w:color w:val="000000" w:themeColor="text1"/>
                <w:sz w:val="18"/>
                <w:szCs w:val="18"/>
                <w:vertAlign w:val="subscript"/>
                <w:lang w:val="vi-VN" w:eastAsia="ja-JP"/>
              </w:rPr>
              <w:t>2</w:t>
            </w:r>
          </w:p>
        </w:tc>
        <w:tc>
          <w:tcPr>
            <w:tcW w:w="2414" w:type="dxa"/>
          </w:tcPr>
          <w:p w14:paraId="6393073D"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10.88 ± 2.88</w:t>
            </w:r>
          </w:p>
        </w:tc>
        <w:tc>
          <w:tcPr>
            <w:tcW w:w="3686" w:type="dxa"/>
          </w:tcPr>
          <w:p w14:paraId="1A899404"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97.56 ± 2.06</w:t>
            </w:r>
          </w:p>
        </w:tc>
      </w:tr>
      <w:tr w:rsidR="00901F2B" w:rsidRPr="005E6B7C" w14:paraId="20043541"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3F64EBCD" w14:textId="77777777" w:rsidR="00E049CB" w:rsidRPr="005E6B7C" w:rsidRDefault="00E049CB" w:rsidP="008C0D47">
            <w:pPr>
              <w:tabs>
                <w:tab w:val="left" w:pos="9270"/>
              </w:tabs>
              <w:ind w:left="35" w:right="-2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Aqueous</w:t>
            </w:r>
          </w:p>
        </w:tc>
        <w:tc>
          <w:tcPr>
            <w:tcW w:w="2414" w:type="dxa"/>
          </w:tcPr>
          <w:p w14:paraId="1DB6F669"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11.79 ± 3.20</w:t>
            </w:r>
          </w:p>
        </w:tc>
        <w:tc>
          <w:tcPr>
            <w:tcW w:w="3686" w:type="dxa"/>
          </w:tcPr>
          <w:p w14:paraId="0F17D2F2"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98.04 ± 4.08</w:t>
            </w:r>
          </w:p>
        </w:tc>
      </w:tr>
      <w:tr w:rsidR="00901F2B" w:rsidRPr="005E6B7C" w14:paraId="06D4A391"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5C7BBFF3" w14:textId="77777777" w:rsidR="00E049CB" w:rsidRPr="005E6B7C" w:rsidRDefault="00E049CB" w:rsidP="008C0D47">
            <w:pPr>
              <w:tabs>
                <w:tab w:val="left" w:pos="9270"/>
              </w:tabs>
              <w:ind w:left="35" w:right="-2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Dexamethasone*</w:t>
            </w:r>
          </w:p>
        </w:tc>
        <w:tc>
          <w:tcPr>
            <w:tcW w:w="2414" w:type="dxa"/>
          </w:tcPr>
          <w:p w14:paraId="127FB61B"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5.82 ± 0.10</w:t>
            </w:r>
          </w:p>
        </w:tc>
        <w:tc>
          <w:tcPr>
            <w:tcW w:w="3686" w:type="dxa"/>
          </w:tcPr>
          <w:p w14:paraId="4879E1B4"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95.41 ± 1.2</w:t>
            </w:r>
          </w:p>
        </w:tc>
      </w:tr>
    </w:tbl>
    <w:p w14:paraId="269397BE" w14:textId="753A850D" w:rsidR="00E049CB" w:rsidRPr="005E6B7C" w:rsidRDefault="00E049CB" w:rsidP="008C0D47">
      <w:pPr>
        <w:tabs>
          <w:tab w:val="left" w:pos="270"/>
          <w:tab w:val="left" w:pos="540"/>
          <w:tab w:val="left" w:pos="9270"/>
        </w:tabs>
        <w:spacing w:before="120"/>
        <w:ind w:right="-20" w:firstLine="284"/>
        <w:jc w:val="both"/>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val="vi-VN" w:eastAsia="ja-JP"/>
        </w:rPr>
        <w:t>Data were presented as the mean ± SD (n=3); *Positive control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
          <w:color w:val="000000" w:themeColor="text1"/>
          <w:sz w:val="18"/>
          <w:szCs w:val="18"/>
          <w:lang w:val="vi-VN" w:eastAsia="ja-JP"/>
        </w:rPr>
        <w:t xml:space="preserve">M); </w:t>
      </w:r>
      <w:r w:rsidRPr="005E6B7C">
        <w:rPr>
          <w:rFonts w:asciiTheme="majorHAnsi" w:eastAsia="Yu Mincho" w:hAnsiTheme="majorHAnsi" w:cstheme="majorHAnsi"/>
          <w:i/>
          <w:color w:val="000000" w:themeColor="text1"/>
          <w:sz w:val="18"/>
          <w:szCs w:val="18"/>
          <w:lang w:eastAsia="ja-JP"/>
        </w:rPr>
        <w:t>Extract</w:t>
      </w:r>
      <w:r w:rsidRPr="005E6B7C">
        <w:rPr>
          <w:rFonts w:asciiTheme="majorHAnsi" w:eastAsia="Yu Mincho" w:hAnsiTheme="majorHAnsi" w:cstheme="majorHAnsi"/>
          <w:i/>
          <w:color w:val="000000" w:themeColor="text1"/>
          <w:sz w:val="18"/>
          <w:szCs w:val="18"/>
          <w:lang w:val="vi-VN" w:eastAsia="ja-JP"/>
        </w:rPr>
        <w:t>s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
          <w:color w:val="000000" w:themeColor="text1"/>
          <w:sz w:val="18"/>
          <w:szCs w:val="18"/>
          <w:lang w:val="vi-VN" w:eastAsia="ja-JP"/>
        </w:rPr>
        <w:t>g/mL)</w:t>
      </w:r>
      <w:r w:rsidR="00297440" w:rsidRPr="005E6B7C">
        <w:rPr>
          <w:rFonts w:asciiTheme="majorHAnsi" w:eastAsia="Yu Mincho" w:hAnsiTheme="majorHAnsi" w:cstheme="majorHAnsi"/>
          <w:i/>
          <w:color w:val="000000" w:themeColor="text1"/>
          <w:sz w:val="18"/>
          <w:szCs w:val="18"/>
          <w:lang w:eastAsia="ja-JP"/>
        </w:rPr>
        <w:t>.</w:t>
      </w:r>
    </w:p>
    <w:p w14:paraId="073111FE" w14:textId="77777777" w:rsidR="00E049CB" w:rsidRPr="005E6B7C" w:rsidRDefault="00E049CB" w:rsidP="008C0D47">
      <w:pPr>
        <w:tabs>
          <w:tab w:val="left" w:pos="270"/>
          <w:tab w:val="left" w:pos="540"/>
          <w:tab w:val="left" w:pos="9270"/>
        </w:tabs>
        <w:spacing w:before="120" w:after="120"/>
        <w:ind w:right="-20"/>
        <w:jc w:val="center"/>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val="vi-VN" w:eastAsia="ja-JP"/>
        </w:rPr>
        <w:t xml:space="preserve">Table 3. </w:t>
      </w:r>
      <w:r w:rsidRPr="005E6B7C">
        <w:rPr>
          <w:rFonts w:asciiTheme="majorHAnsi" w:eastAsia="Yu Mincho" w:hAnsiTheme="majorHAnsi" w:cstheme="majorHAnsi"/>
          <w:bCs/>
          <w:color w:val="000000" w:themeColor="text1"/>
          <w:sz w:val="18"/>
          <w:szCs w:val="18"/>
          <w:lang w:val="vi-VN" w:eastAsia="ja-JP"/>
        </w:rPr>
        <w:t>Percentage of inhibition and IC</w:t>
      </w:r>
      <w:r w:rsidRPr="005E6B7C">
        <w:rPr>
          <w:rFonts w:asciiTheme="majorHAnsi" w:eastAsia="Yu Mincho" w:hAnsiTheme="majorHAnsi" w:cstheme="majorHAnsi"/>
          <w:bCs/>
          <w:color w:val="000000" w:themeColor="text1"/>
          <w:sz w:val="18"/>
          <w:szCs w:val="18"/>
          <w:vertAlign w:val="subscript"/>
          <w:lang w:val="vi-VN" w:eastAsia="ja-JP"/>
        </w:rPr>
        <w:t>50</w:t>
      </w:r>
      <w:r w:rsidRPr="005E6B7C">
        <w:rPr>
          <w:rFonts w:asciiTheme="majorHAnsi" w:eastAsia="Yu Mincho" w:hAnsiTheme="majorHAnsi" w:cstheme="majorHAnsi"/>
          <w:bCs/>
          <w:color w:val="000000" w:themeColor="text1"/>
          <w:sz w:val="18"/>
          <w:szCs w:val="18"/>
          <w:lang w:val="vi-VN" w:eastAsia="ja-JP"/>
        </w:rPr>
        <w:t xml:space="preserve"> values of the extracts on PGE2 production</w:t>
      </w:r>
    </w:p>
    <w:tbl>
      <w:tblPr>
        <w:tblStyle w:val="PlainTable216"/>
        <w:tblW w:w="9072" w:type="dxa"/>
        <w:jc w:val="center"/>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2780"/>
        <w:gridCol w:w="2780"/>
        <w:gridCol w:w="3512"/>
      </w:tblGrid>
      <w:tr w:rsidR="00901F2B" w:rsidRPr="005E6B7C" w14:paraId="0955C15D" w14:textId="77777777" w:rsidTr="005E65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vAlign w:val="center"/>
          </w:tcPr>
          <w:p w14:paraId="008BF912"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Sample</w:t>
            </w:r>
            <w:r w:rsidRPr="005E6B7C">
              <w:rPr>
                <w:rFonts w:asciiTheme="majorHAnsi" w:eastAsia="Yu Mincho" w:hAnsiTheme="majorHAnsi" w:cstheme="majorHAnsi"/>
                <w:color w:val="000000" w:themeColor="text1"/>
                <w:sz w:val="18"/>
                <w:szCs w:val="18"/>
                <w:lang w:val="vi-VN" w:eastAsia="ja-JP"/>
              </w:rPr>
              <w:t>s</w:t>
            </w:r>
          </w:p>
        </w:tc>
        <w:tc>
          <w:tcPr>
            <w:tcW w:w="2693" w:type="dxa"/>
            <w:tcBorders>
              <w:bottom w:val="none" w:sz="0" w:space="0" w:color="auto"/>
            </w:tcBorders>
            <w:vAlign w:val="center"/>
          </w:tcPr>
          <w:p w14:paraId="14DED912" w14:textId="224EA59B" w:rsidR="00E049CB" w:rsidRPr="005E6B7C" w:rsidRDefault="00E049CB" w:rsidP="008C0D47">
            <w:pPr>
              <w:tabs>
                <w:tab w:val="left" w:pos="270"/>
                <w:tab w:val="left" w:pos="540"/>
                <w:tab w:val="left" w:pos="9270"/>
              </w:tabs>
              <w:ind w:left="-360" w:right="-20"/>
              <w:jc w:val="center"/>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IC</w:t>
            </w:r>
            <w:r w:rsidRPr="005E6B7C">
              <w:rPr>
                <w:rFonts w:asciiTheme="majorHAnsi" w:eastAsia="Yu Mincho" w:hAnsiTheme="majorHAnsi" w:cstheme="majorHAnsi"/>
                <w:color w:val="000000" w:themeColor="text1"/>
                <w:sz w:val="18"/>
                <w:szCs w:val="18"/>
                <w:vertAlign w:val="subscript"/>
                <w:lang w:val="vi-VN" w:eastAsia="ja-JP"/>
              </w:rPr>
              <w:t xml:space="preserve">50 </w:t>
            </w:r>
            <w:r w:rsidRPr="005E6B7C">
              <w:rPr>
                <w:rFonts w:asciiTheme="majorHAnsi" w:eastAsia="Yu Mincho" w:hAnsiTheme="majorHAnsi" w:cstheme="majorHAnsi"/>
                <w:color w:val="000000" w:themeColor="text1"/>
                <w:sz w:val="18"/>
                <w:szCs w:val="18"/>
                <w:lang w:val="vi-VN" w:eastAsia="ja-JP"/>
              </w:rPr>
              <w:t>(</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color w:val="000000" w:themeColor="text1"/>
                <w:sz w:val="18"/>
                <w:szCs w:val="18"/>
                <w:lang w:val="vi-VN" w:eastAsia="ja-JP"/>
              </w:rPr>
              <w:t>g/mL)</w:t>
            </w:r>
          </w:p>
        </w:tc>
        <w:tc>
          <w:tcPr>
            <w:tcW w:w="3402" w:type="dxa"/>
            <w:tcBorders>
              <w:bottom w:val="none" w:sz="0" w:space="0" w:color="auto"/>
            </w:tcBorders>
            <w:vAlign w:val="center"/>
          </w:tcPr>
          <w:p w14:paraId="443A3D7D" w14:textId="67D9AC79" w:rsidR="00E049CB" w:rsidRPr="005E6B7C" w:rsidRDefault="00E049CB" w:rsidP="008C0D47">
            <w:pPr>
              <w:tabs>
                <w:tab w:val="left" w:pos="270"/>
                <w:tab w:val="left" w:pos="540"/>
                <w:tab w:val="left" w:pos="9270"/>
              </w:tabs>
              <w:ind w:left="-360" w:right="-20"/>
              <w:jc w:val="center"/>
              <w:cnfStyle w:val="100000000000" w:firstRow="1"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 xml:space="preserve">% Cell viability at 100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color w:val="000000" w:themeColor="text1"/>
                <w:sz w:val="18"/>
                <w:szCs w:val="18"/>
                <w:lang w:val="vi-VN" w:eastAsia="ja-JP"/>
              </w:rPr>
              <w:t>g/mL</w:t>
            </w:r>
          </w:p>
        </w:tc>
      </w:tr>
      <w:tr w:rsidR="00901F2B" w:rsidRPr="005E6B7C" w14:paraId="7B9972DC"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9E7B998"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val="vi-VN" w:eastAsia="ja-JP"/>
              </w:rPr>
              <w:t>n</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H</w:t>
            </w:r>
            <w:r w:rsidRPr="005E6B7C">
              <w:rPr>
                <w:rFonts w:asciiTheme="majorHAnsi" w:eastAsia="Yu Mincho" w:hAnsiTheme="majorHAnsi" w:cstheme="majorHAnsi"/>
                <w:color w:val="000000" w:themeColor="text1"/>
                <w:sz w:val="18"/>
                <w:szCs w:val="18"/>
                <w:lang w:val="vi-VN" w:eastAsia="ja-JP"/>
              </w:rPr>
              <w:t>exane</w:t>
            </w:r>
          </w:p>
        </w:tc>
        <w:tc>
          <w:tcPr>
            <w:tcW w:w="2693" w:type="dxa"/>
            <w:vAlign w:val="center"/>
          </w:tcPr>
          <w:p w14:paraId="09C7C786"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97.96 ± 2.44</w:t>
            </w:r>
          </w:p>
        </w:tc>
        <w:tc>
          <w:tcPr>
            <w:tcW w:w="3402" w:type="dxa"/>
            <w:vAlign w:val="center"/>
          </w:tcPr>
          <w:p w14:paraId="503E2836"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83.35 ± 6.11</w:t>
            </w:r>
          </w:p>
        </w:tc>
      </w:tr>
      <w:tr w:rsidR="00901F2B" w:rsidRPr="005E6B7C" w14:paraId="3EE15587"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8D85A8E"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EtOAc</w:t>
            </w:r>
          </w:p>
        </w:tc>
        <w:tc>
          <w:tcPr>
            <w:tcW w:w="2693" w:type="dxa"/>
            <w:vAlign w:val="center"/>
          </w:tcPr>
          <w:p w14:paraId="2F16E483"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&gt;100</w:t>
            </w:r>
          </w:p>
        </w:tc>
        <w:tc>
          <w:tcPr>
            <w:tcW w:w="3402" w:type="dxa"/>
            <w:vAlign w:val="center"/>
          </w:tcPr>
          <w:p w14:paraId="1C4930C9"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88.25 ± 2.11</w:t>
            </w:r>
          </w:p>
        </w:tc>
      </w:tr>
      <w:tr w:rsidR="00901F2B" w:rsidRPr="005E6B7C" w14:paraId="22F2611C"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59AF2F5"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CH</w:t>
            </w:r>
            <w:r w:rsidRPr="005E6B7C">
              <w:rPr>
                <w:rFonts w:asciiTheme="majorHAnsi" w:eastAsia="Yu Mincho" w:hAnsiTheme="majorHAnsi" w:cstheme="majorHAnsi"/>
                <w:color w:val="000000" w:themeColor="text1"/>
                <w:sz w:val="18"/>
                <w:szCs w:val="18"/>
                <w:vertAlign w:val="subscript"/>
                <w:lang w:val="vi-VN" w:eastAsia="ja-JP"/>
              </w:rPr>
              <w:t>2</w:t>
            </w:r>
            <w:r w:rsidRPr="005E6B7C">
              <w:rPr>
                <w:rFonts w:asciiTheme="majorHAnsi" w:eastAsia="Yu Mincho" w:hAnsiTheme="majorHAnsi" w:cstheme="majorHAnsi"/>
                <w:color w:val="000000" w:themeColor="text1"/>
                <w:sz w:val="18"/>
                <w:szCs w:val="18"/>
                <w:lang w:val="vi-VN" w:eastAsia="ja-JP"/>
              </w:rPr>
              <w:t>C</w:t>
            </w:r>
            <w:r w:rsidRPr="005E6B7C">
              <w:rPr>
                <w:rFonts w:asciiTheme="majorHAnsi" w:eastAsia="Yu Mincho" w:hAnsiTheme="majorHAnsi" w:cstheme="majorHAnsi"/>
                <w:color w:val="000000" w:themeColor="text1"/>
                <w:sz w:val="18"/>
                <w:szCs w:val="18"/>
                <w:lang w:eastAsia="ja-JP"/>
              </w:rPr>
              <w:t>l</w:t>
            </w:r>
            <w:r w:rsidRPr="005E6B7C">
              <w:rPr>
                <w:rFonts w:asciiTheme="majorHAnsi" w:eastAsia="Yu Mincho" w:hAnsiTheme="majorHAnsi" w:cstheme="majorHAnsi"/>
                <w:color w:val="000000" w:themeColor="text1"/>
                <w:sz w:val="18"/>
                <w:szCs w:val="18"/>
                <w:vertAlign w:val="subscript"/>
                <w:lang w:val="vi-VN" w:eastAsia="ja-JP"/>
              </w:rPr>
              <w:t>2</w:t>
            </w:r>
          </w:p>
        </w:tc>
        <w:tc>
          <w:tcPr>
            <w:tcW w:w="2693" w:type="dxa"/>
            <w:vAlign w:val="center"/>
          </w:tcPr>
          <w:p w14:paraId="046795D2"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10.82 ± 1.22</w:t>
            </w:r>
          </w:p>
        </w:tc>
        <w:tc>
          <w:tcPr>
            <w:tcW w:w="3402" w:type="dxa"/>
            <w:vAlign w:val="center"/>
          </w:tcPr>
          <w:p w14:paraId="14EB5396"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96.99 ± 5.21</w:t>
            </w:r>
          </w:p>
        </w:tc>
      </w:tr>
      <w:tr w:rsidR="00901F2B" w:rsidRPr="005E6B7C" w14:paraId="3523BEF2"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7842AD1"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Aqueous</w:t>
            </w:r>
          </w:p>
        </w:tc>
        <w:tc>
          <w:tcPr>
            <w:tcW w:w="2693" w:type="dxa"/>
            <w:vAlign w:val="center"/>
          </w:tcPr>
          <w:p w14:paraId="346B5DE2"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20.11 ± 3.12</w:t>
            </w:r>
          </w:p>
        </w:tc>
        <w:tc>
          <w:tcPr>
            <w:tcW w:w="3402" w:type="dxa"/>
            <w:vAlign w:val="center"/>
          </w:tcPr>
          <w:p w14:paraId="15FD654C"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93.92 ± 0.19</w:t>
            </w:r>
          </w:p>
        </w:tc>
      </w:tr>
      <w:tr w:rsidR="00901F2B" w:rsidRPr="005E6B7C" w14:paraId="5D24DFA4" w14:textId="77777777" w:rsidTr="00991AEC">
        <w:trPr>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7611571" w14:textId="77777777" w:rsidR="00E049CB" w:rsidRPr="005E6B7C" w:rsidRDefault="00E049CB" w:rsidP="008C0D47">
            <w:pPr>
              <w:tabs>
                <w:tab w:val="left" w:pos="270"/>
                <w:tab w:val="left" w:pos="540"/>
                <w:tab w:val="left" w:pos="9270"/>
              </w:tabs>
              <w:ind w:left="-360"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Dexamethasone*</w:t>
            </w:r>
          </w:p>
        </w:tc>
        <w:tc>
          <w:tcPr>
            <w:tcW w:w="2693" w:type="dxa"/>
            <w:vAlign w:val="center"/>
          </w:tcPr>
          <w:p w14:paraId="22806D7D"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0.83 ± 0.26</w:t>
            </w:r>
          </w:p>
        </w:tc>
        <w:tc>
          <w:tcPr>
            <w:tcW w:w="3402" w:type="dxa"/>
            <w:vAlign w:val="center"/>
          </w:tcPr>
          <w:p w14:paraId="33F51B4B" w14:textId="77777777" w:rsidR="00E049CB" w:rsidRPr="005E6B7C" w:rsidRDefault="00E049CB" w:rsidP="008C0D47">
            <w:pPr>
              <w:tabs>
                <w:tab w:val="left" w:pos="270"/>
                <w:tab w:val="left" w:pos="540"/>
                <w:tab w:val="left" w:pos="9270"/>
              </w:tabs>
              <w:ind w:left="-360" w:right="-20"/>
              <w:jc w:val="center"/>
              <w:cnfStyle w:val="000000000000" w:firstRow="0" w:lastRow="0" w:firstColumn="0" w:lastColumn="0" w:oddVBand="0" w:evenVBand="0" w:oddHBand="0" w:evenHBand="0" w:firstRowFirstColumn="0" w:firstRowLastColumn="0" w:lastRowFirstColumn="0" w:lastRowLastColumn="0"/>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81.06 ± 6.28</w:t>
            </w:r>
          </w:p>
        </w:tc>
      </w:tr>
    </w:tbl>
    <w:p w14:paraId="6AA476C9" w14:textId="582976B2" w:rsidR="00E049CB" w:rsidRPr="005E6B7C" w:rsidRDefault="00E049CB" w:rsidP="008C0D47">
      <w:pPr>
        <w:tabs>
          <w:tab w:val="left" w:pos="270"/>
          <w:tab w:val="left" w:pos="540"/>
          <w:tab w:val="left" w:pos="9270"/>
        </w:tabs>
        <w:spacing w:before="120"/>
        <w:ind w:firstLine="284"/>
        <w:jc w:val="both"/>
        <w:rPr>
          <w:rFonts w:asciiTheme="majorHAnsi" w:eastAsia="Yu Mincho" w:hAnsiTheme="majorHAnsi" w:cstheme="majorHAnsi"/>
          <w:i/>
          <w:color w:val="000000" w:themeColor="text1"/>
          <w:sz w:val="18"/>
          <w:szCs w:val="18"/>
          <w:lang w:eastAsia="ja-JP"/>
        </w:rPr>
      </w:pPr>
      <w:r w:rsidRPr="005E6B7C">
        <w:rPr>
          <w:rFonts w:asciiTheme="majorHAnsi" w:eastAsia="Yu Mincho" w:hAnsiTheme="majorHAnsi" w:cstheme="majorHAnsi"/>
          <w:i/>
          <w:color w:val="000000" w:themeColor="text1"/>
          <w:sz w:val="18"/>
          <w:szCs w:val="18"/>
          <w:lang w:val="vi-VN" w:eastAsia="ja-JP"/>
        </w:rPr>
        <w:t>Data were presented as the mean ± SD (n=3); *Positive control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
          <w:color w:val="000000" w:themeColor="text1"/>
          <w:sz w:val="18"/>
          <w:szCs w:val="18"/>
          <w:lang w:val="vi-VN" w:eastAsia="ja-JP"/>
        </w:rPr>
        <w:t>M); Extracts (</w:t>
      </w:r>
      <w:r w:rsidR="00266B26" w:rsidRPr="005E6B7C">
        <w:rPr>
          <w:rFonts w:asciiTheme="majorHAnsi" w:eastAsia="Yu Mincho" w:hAnsiTheme="majorHAnsi" w:cstheme="majorHAnsi"/>
          <w:i/>
          <w:iCs/>
          <w:color w:val="000000" w:themeColor="text1"/>
          <w:sz w:val="18"/>
          <w:szCs w:val="18"/>
          <w:lang w:val="vi-VN" w:eastAsia="ja-JP"/>
        </w:rPr>
        <w:t>µ</w:t>
      </w:r>
      <w:r w:rsidRPr="005E6B7C">
        <w:rPr>
          <w:rFonts w:asciiTheme="majorHAnsi" w:eastAsia="Yu Mincho" w:hAnsiTheme="majorHAnsi" w:cstheme="majorHAnsi"/>
          <w:i/>
          <w:color w:val="000000" w:themeColor="text1"/>
          <w:sz w:val="18"/>
          <w:szCs w:val="18"/>
          <w:lang w:val="vi-VN" w:eastAsia="ja-JP"/>
        </w:rPr>
        <w:t>g/mL)</w:t>
      </w:r>
      <w:r w:rsidR="00297440" w:rsidRPr="005E6B7C">
        <w:rPr>
          <w:rFonts w:asciiTheme="majorHAnsi" w:eastAsia="Yu Mincho" w:hAnsiTheme="majorHAnsi" w:cstheme="majorHAnsi"/>
          <w:i/>
          <w:color w:val="000000" w:themeColor="text1"/>
          <w:sz w:val="18"/>
          <w:szCs w:val="18"/>
          <w:lang w:eastAsia="ja-JP"/>
        </w:rPr>
        <w:t>.</w:t>
      </w:r>
    </w:p>
    <w:p w14:paraId="426DDF8D" w14:textId="77777777" w:rsidR="0047080C" w:rsidRPr="005E6B7C" w:rsidRDefault="0047080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0C25F898"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27BEA6ED" w14:textId="3547D7D2"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Table 3 indicates the effect of the extracts on PGE2 production in LPS-induced </w:t>
      </w:r>
      <w:r w:rsidR="00D54E9A" w:rsidRPr="005E6B7C">
        <w:rPr>
          <w:rFonts w:asciiTheme="majorHAnsi" w:eastAsia="Yu Mincho" w:hAnsiTheme="majorHAnsi" w:cstheme="majorHAnsi"/>
          <w:color w:val="000000" w:themeColor="text1"/>
          <w:sz w:val="22"/>
          <w:szCs w:val="22"/>
          <w:lang w:eastAsia="ja-JP"/>
        </w:rPr>
        <w:t>RAW 264.7</w:t>
      </w:r>
      <w:r w:rsidR="00D54E9A"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t>cells. With IC</w:t>
      </w:r>
      <w:r w:rsidRPr="005E6B7C">
        <w:rPr>
          <w:rFonts w:asciiTheme="majorHAnsi" w:eastAsia="Yu Mincho" w:hAnsiTheme="majorHAnsi" w:cstheme="majorHAnsi"/>
          <w:color w:val="000000" w:themeColor="text1"/>
          <w:sz w:val="22"/>
          <w:szCs w:val="22"/>
          <w:vertAlign w:val="subscript"/>
          <w:lang w:val="vi-VN" w:eastAsia="ja-JP"/>
        </w:rPr>
        <w:t>50</w:t>
      </w:r>
      <w:r w:rsidRPr="005E6B7C">
        <w:rPr>
          <w:rFonts w:asciiTheme="majorHAnsi" w:eastAsia="Yu Mincho" w:hAnsiTheme="majorHAnsi" w:cstheme="majorHAnsi"/>
          <w:color w:val="000000" w:themeColor="text1"/>
          <w:sz w:val="22"/>
          <w:szCs w:val="22"/>
          <w:lang w:val="vi-VN" w:eastAsia="ja-JP"/>
        </w:rPr>
        <w:t xml:space="preserve"> values of 10.82 ± 1.22 and 20.11 ± 3.12 </w:t>
      </w:r>
      <w:r w:rsidR="00266B26" w:rsidRPr="005E6B7C">
        <w:rPr>
          <w:rFonts w:asciiTheme="majorHAnsi" w:eastAsia="Yu Mincho" w:hAnsiTheme="majorHAnsi" w:cstheme="majorHAnsi"/>
          <w:i/>
          <w:iCs/>
          <w:color w:val="000000" w:themeColor="text1"/>
          <w:sz w:val="22"/>
          <w:szCs w:val="22"/>
          <w:lang w:val="vi-VN" w:eastAsia="ja-JP"/>
        </w:rPr>
        <w:t>µ</w:t>
      </w:r>
      <w:r w:rsidRPr="005E6B7C">
        <w:rPr>
          <w:rFonts w:asciiTheme="majorHAnsi" w:eastAsia="Yu Mincho" w:hAnsiTheme="majorHAnsi" w:cstheme="majorHAnsi"/>
          <w:color w:val="000000" w:themeColor="text1"/>
          <w:sz w:val="22"/>
          <w:szCs w:val="22"/>
          <w:lang w:val="vi-VN" w:eastAsia="ja-JP"/>
        </w:rPr>
        <w:t>g/mL against PGE2 production, the CH</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Cl</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xml:space="preserve"> and aqueous extracts showed good inhibitory efficacy among the extracts. These extracts did not exhibit any cytotoxic effects on RAW 264.7 cells, with a cell survival rate of above 80%.</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Based on the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color w:val="000000" w:themeColor="text1"/>
          <w:sz w:val="22"/>
          <w:szCs w:val="22"/>
          <w:lang w:val="vi-VN" w:eastAsia="ja-JP"/>
        </w:rPr>
        <w:t xml:space="preserve"> results, </w:t>
      </w:r>
      <w:r w:rsidRPr="005E6B7C">
        <w:rPr>
          <w:rFonts w:asciiTheme="majorHAnsi" w:eastAsia="Yu Mincho" w:hAnsiTheme="majorHAnsi" w:cstheme="majorHAnsi"/>
          <w:color w:val="000000" w:themeColor="text1"/>
          <w:sz w:val="22"/>
          <w:szCs w:val="22"/>
          <w:lang w:eastAsia="ja-JP"/>
        </w:rPr>
        <w:t>the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extract was selected for subsequent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color w:val="000000" w:themeColor="text1"/>
          <w:sz w:val="22"/>
          <w:szCs w:val="22"/>
          <w:lang w:eastAsia="ja-JP"/>
        </w:rPr>
        <w:t> studies.</w:t>
      </w:r>
      <w:r w:rsidRPr="005E6B7C">
        <w:rPr>
          <w:rFonts w:asciiTheme="majorHAnsi" w:eastAsia="Yu Mincho" w:hAnsiTheme="majorHAnsi" w:cstheme="majorHAnsi"/>
          <w:b/>
          <w:color w:val="000000" w:themeColor="text1"/>
          <w:sz w:val="22"/>
          <w:szCs w:val="22"/>
          <w:lang w:val="vi-VN" w:eastAsia="ja-JP"/>
        </w:rPr>
        <w:t xml:space="preserve"> </w:t>
      </w:r>
    </w:p>
    <w:p w14:paraId="5816A56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Cs/>
          <w:i/>
          <w:color w:val="000000" w:themeColor="text1"/>
          <w:sz w:val="22"/>
          <w:szCs w:val="22"/>
          <w:lang w:val="vi-VN" w:eastAsia="ja-JP"/>
        </w:rPr>
      </w:pPr>
      <w:r w:rsidRPr="005E6B7C">
        <w:rPr>
          <w:rFonts w:asciiTheme="majorHAnsi" w:eastAsia="Yu Mincho" w:hAnsiTheme="majorHAnsi" w:cstheme="majorHAnsi"/>
          <w:bCs/>
          <w:i/>
          <w:color w:val="000000" w:themeColor="text1"/>
          <w:sz w:val="22"/>
          <w:szCs w:val="22"/>
          <w:lang w:val="vi-VN" w:eastAsia="ja-JP"/>
        </w:rPr>
        <w:t xml:space="preserve">3.2. </w:t>
      </w:r>
      <w:r w:rsidR="00894500" w:rsidRPr="005E6B7C">
        <w:rPr>
          <w:rFonts w:asciiTheme="majorHAnsi" w:eastAsia="Yu Mincho" w:hAnsiTheme="majorHAnsi" w:cstheme="majorHAnsi"/>
          <w:bCs/>
          <w:i/>
          <w:iCs/>
          <w:color w:val="000000" w:themeColor="text1"/>
          <w:sz w:val="22"/>
          <w:szCs w:val="22"/>
          <w:lang w:val="vi-VN" w:eastAsia="ja-JP"/>
        </w:rPr>
        <w:t>In vivo</w:t>
      </w:r>
      <w:r w:rsidRPr="005E6B7C">
        <w:rPr>
          <w:rFonts w:asciiTheme="majorHAnsi" w:eastAsia="Yu Mincho" w:hAnsiTheme="majorHAnsi" w:cstheme="majorHAnsi"/>
          <w:bCs/>
          <w:i/>
          <w:color w:val="000000" w:themeColor="text1"/>
          <w:sz w:val="22"/>
          <w:szCs w:val="22"/>
          <w:lang w:val="vi-VN" w:eastAsia="ja-JP"/>
        </w:rPr>
        <w:t xml:space="preserve"> anti-inflammatory effect</w:t>
      </w:r>
    </w:p>
    <w:p w14:paraId="77D4D31C" w14:textId="77777777" w:rsidR="007C2B6D"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rPr>
        <w:t xml:space="preserve">Carrageenan administration significantly </w:t>
      </w:r>
      <w:r w:rsidRPr="005E6B7C">
        <w:rPr>
          <w:rFonts w:asciiTheme="majorHAnsi" w:eastAsia="Times New Roman" w:hAnsiTheme="majorHAnsi" w:cstheme="majorHAnsi"/>
          <w:color w:val="000000" w:themeColor="text1"/>
          <w:sz w:val="22"/>
          <w:szCs w:val="22"/>
        </w:rPr>
        <w:t>increased the percentage increase in right hind paw volume at 1, 2, 3, and 4 h compared with the control group (p ≤ 0.01). Pretreatment with the CH</w:t>
      </w:r>
      <w:r w:rsidRPr="005E6B7C">
        <w:rPr>
          <w:rFonts w:asciiTheme="majorHAnsi" w:eastAsia="Times New Roman" w:hAnsiTheme="majorHAnsi" w:cstheme="majorHAnsi"/>
          <w:color w:val="000000" w:themeColor="text1"/>
          <w:sz w:val="22"/>
          <w:szCs w:val="22"/>
          <w:vertAlign w:val="subscript"/>
        </w:rPr>
        <w:t>2</w:t>
      </w:r>
      <w:r w:rsidRPr="005E6B7C">
        <w:rPr>
          <w:rFonts w:asciiTheme="majorHAnsi" w:eastAsia="Times New Roman" w:hAnsiTheme="majorHAnsi" w:cstheme="majorHAnsi"/>
          <w:color w:val="000000" w:themeColor="text1"/>
          <w:sz w:val="22"/>
          <w:szCs w:val="22"/>
        </w:rPr>
        <w:t>Cl</w:t>
      </w:r>
      <w:r w:rsidRPr="005E6B7C">
        <w:rPr>
          <w:rFonts w:asciiTheme="majorHAnsi" w:eastAsia="Times New Roman" w:hAnsiTheme="majorHAnsi" w:cstheme="majorHAnsi"/>
          <w:color w:val="000000" w:themeColor="text1"/>
          <w:sz w:val="22"/>
          <w:szCs w:val="22"/>
          <w:vertAlign w:val="subscript"/>
        </w:rPr>
        <w:t>2</w:t>
      </w:r>
      <w:r w:rsidRPr="005E6B7C">
        <w:rPr>
          <w:rFonts w:asciiTheme="majorHAnsi" w:eastAsia="Times New Roman" w:hAnsiTheme="majorHAnsi" w:cstheme="majorHAnsi"/>
          <w:color w:val="000000" w:themeColor="text1"/>
          <w:sz w:val="22"/>
          <w:szCs w:val="22"/>
        </w:rPr>
        <w:t xml:space="preserve"> extract significantly attenuated carrageenan-induced paw edema at 2, 3, and 4 h compared with the carrageenan group (p ≤ 0.05). Similarly, aspirin pretreatment significantly reduced paw edema at 2 and 3 h after carrageenan injection (p ≤ 0.001). No significant differences were observed between the aspirin-treated and extract-treated groups (Fig. </w:t>
      </w:r>
      <w:r w:rsidRPr="005E6B7C">
        <w:rPr>
          <w:rFonts w:asciiTheme="majorHAnsi" w:eastAsia="Times New Roman" w:hAnsiTheme="majorHAnsi" w:cstheme="majorHAnsi"/>
          <w:color w:val="000000" w:themeColor="text1"/>
          <w:sz w:val="22"/>
          <w:szCs w:val="22"/>
          <w:lang w:val="vi-VN"/>
        </w:rPr>
        <w:t>2)</w:t>
      </w:r>
      <w:r w:rsidRPr="005E6B7C">
        <w:rPr>
          <w:rFonts w:asciiTheme="majorHAnsi" w:eastAsia="Times New Roman" w:hAnsiTheme="majorHAnsi" w:cstheme="majorHAnsi"/>
          <w:color w:val="000000" w:themeColor="text1"/>
          <w:sz w:val="22"/>
          <w:szCs w:val="22"/>
        </w:rPr>
        <w:t>.</w:t>
      </w:r>
    </w:p>
    <w:p w14:paraId="3AB3BFD3"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sectPr w:rsidR="007C2B6D" w:rsidRPr="005E6B7C" w:rsidSect="007C2B6D">
          <w:type w:val="continuous"/>
          <w:pgSz w:w="10773" w:h="15309" w:code="9"/>
          <w:pgMar w:top="907" w:right="851" w:bottom="1418" w:left="851" w:header="397" w:footer="851" w:gutter="0"/>
          <w:cols w:num="2" w:space="284"/>
          <w:docGrid w:linePitch="360"/>
        </w:sectPr>
      </w:pPr>
    </w:p>
    <w:p w14:paraId="1CD2D5CD" w14:textId="77777777" w:rsidR="004C259C" w:rsidRPr="005E6B7C" w:rsidRDefault="004C259C"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p>
    <w:p w14:paraId="5F60CC46" w14:textId="77777777" w:rsidR="004C259C" w:rsidRPr="005E6B7C" w:rsidRDefault="004C259C"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p>
    <w:p w14:paraId="1F89791E" w14:textId="77777777" w:rsidR="004C259C" w:rsidRPr="005E6B7C" w:rsidRDefault="004C259C" w:rsidP="008C0D47">
      <w:pPr>
        <w:tabs>
          <w:tab w:val="left" w:pos="270"/>
          <w:tab w:val="left" w:pos="54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1D11851B" wp14:editId="442C1C59">
            <wp:extent cx="5472127" cy="22384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0" cstate="print">
                      <a:extLst>
                        <a:ext uri="{BEBA8EAE-BF5A-486C-A8C5-ECC9F3942E4B}">
                          <a14:imgProps xmlns:a14="http://schemas.microsoft.com/office/drawing/2010/main">
                            <a14:imgLayer r:embed="rId1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475181" cy="2239700"/>
                    </a:xfrm>
                    <a:prstGeom prst="rect">
                      <a:avLst/>
                    </a:prstGeom>
                  </pic:spPr>
                </pic:pic>
              </a:graphicData>
            </a:graphic>
          </wp:inline>
        </w:drawing>
      </w:r>
    </w:p>
    <w:p w14:paraId="77F825A6" w14:textId="77777777" w:rsidR="00E049CB" w:rsidRPr="005E6B7C" w:rsidRDefault="00517F81" w:rsidP="008C0D47">
      <w:pPr>
        <w:tabs>
          <w:tab w:val="left" w:pos="270"/>
          <w:tab w:val="left" w:pos="540"/>
          <w:tab w:val="left" w:pos="9270"/>
        </w:tabs>
        <w:spacing w:before="120"/>
        <w:jc w:val="center"/>
        <w:rPr>
          <w:rFonts w:asciiTheme="majorHAnsi" w:eastAsia="Yu Mincho" w:hAnsiTheme="majorHAnsi" w:cstheme="majorHAnsi"/>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2.</w:t>
      </w:r>
      <w:r w:rsidR="00E049CB" w:rsidRPr="005E6B7C">
        <w:rPr>
          <w:rFonts w:asciiTheme="majorHAnsi" w:eastAsia="Yu Mincho" w:hAnsiTheme="majorHAnsi" w:cstheme="majorHAnsi"/>
          <w:b/>
          <w:color w:val="000000" w:themeColor="text1"/>
          <w:sz w:val="18"/>
          <w:szCs w:val="18"/>
          <w:lang w:val="vi-VN" w:eastAsia="ja-JP"/>
        </w:rPr>
        <w:t xml:space="preserve"> </w:t>
      </w:r>
      <w:r w:rsidR="00E049CB" w:rsidRPr="005E6B7C">
        <w:rPr>
          <w:rFonts w:asciiTheme="majorHAnsi" w:eastAsia="Yu Mincho" w:hAnsiTheme="majorHAnsi" w:cstheme="majorHAnsi"/>
          <w:bCs/>
          <w:color w:val="000000" w:themeColor="text1"/>
          <w:sz w:val="18"/>
          <w:szCs w:val="18"/>
          <w:lang w:val="vi-VN" w:eastAsia="ja-JP"/>
        </w:rPr>
        <w:t>Effect of the CH</w:t>
      </w:r>
      <w:r w:rsidR="00E049CB" w:rsidRPr="005E6B7C">
        <w:rPr>
          <w:rFonts w:asciiTheme="majorHAnsi" w:eastAsia="Yu Mincho" w:hAnsiTheme="majorHAnsi" w:cstheme="majorHAnsi"/>
          <w:bCs/>
          <w:color w:val="000000" w:themeColor="text1"/>
          <w:sz w:val="18"/>
          <w:szCs w:val="18"/>
          <w:vertAlign w:val="subscript"/>
          <w:lang w:val="vi-VN" w:eastAsia="ja-JP"/>
        </w:rPr>
        <w:t>2</w:t>
      </w:r>
      <w:r w:rsidR="00E049CB" w:rsidRPr="005E6B7C">
        <w:rPr>
          <w:rFonts w:asciiTheme="majorHAnsi" w:eastAsia="Yu Mincho" w:hAnsiTheme="majorHAnsi" w:cstheme="majorHAnsi"/>
          <w:bCs/>
          <w:color w:val="000000" w:themeColor="text1"/>
          <w:sz w:val="18"/>
          <w:szCs w:val="18"/>
          <w:lang w:val="vi-VN" w:eastAsia="ja-JP"/>
        </w:rPr>
        <w:t>Cl</w:t>
      </w:r>
      <w:r w:rsidR="00E049CB" w:rsidRPr="005E6B7C">
        <w:rPr>
          <w:rFonts w:asciiTheme="majorHAnsi" w:eastAsia="Yu Mincho" w:hAnsiTheme="majorHAnsi" w:cstheme="majorHAnsi"/>
          <w:bCs/>
          <w:color w:val="000000" w:themeColor="text1"/>
          <w:sz w:val="18"/>
          <w:szCs w:val="18"/>
          <w:vertAlign w:val="subscript"/>
          <w:lang w:val="vi-VN" w:eastAsia="ja-JP"/>
        </w:rPr>
        <w:t>2</w:t>
      </w:r>
      <w:r w:rsidR="00E049CB" w:rsidRPr="005E6B7C">
        <w:rPr>
          <w:rFonts w:asciiTheme="majorHAnsi" w:eastAsia="Yu Mincho" w:hAnsiTheme="majorHAnsi" w:cstheme="majorHAnsi"/>
          <w:bCs/>
          <w:color w:val="000000" w:themeColor="text1"/>
          <w:sz w:val="18"/>
          <w:szCs w:val="18"/>
          <w:lang w:val="vi-VN" w:eastAsia="ja-JP"/>
        </w:rPr>
        <w:t xml:space="preserve"> extract and aspirin on the % increase </w:t>
      </w:r>
      <w:r w:rsidR="007C2B6D" w:rsidRPr="005E6B7C">
        <w:rPr>
          <w:rFonts w:asciiTheme="majorHAnsi" w:eastAsia="Yu Mincho" w:hAnsiTheme="majorHAnsi" w:cstheme="majorHAnsi"/>
          <w:bCs/>
          <w:color w:val="000000" w:themeColor="text1"/>
          <w:sz w:val="18"/>
          <w:szCs w:val="18"/>
          <w:lang w:eastAsia="ja-JP"/>
        </w:rPr>
        <w:br/>
      </w:r>
      <w:r w:rsidR="00E049CB" w:rsidRPr="005E6B7C">
        <w:rPr>
          <w:rFonts w:asciiTheme="majorHAnsi" w:eastAsia="Yu Mincho" w:hAnsiTheme="majorHAnsi" w:cstheme="majorHAnsi"/>
          <w:bCs/>
          <w:color w:val="000000" w:themeColor="text1"/>
          <w:sz w:val="18"/>
          <w:szCs w:val="18"/>
          <w:lang w:val="vi-VN" w:eastAsia="ja-JP"/>
        </w:rPr>
        <w:t>in paw volume measured over the period after carrageenan injection</w:t>
      </w:r>
    </w:p>
    <w:p w14:paraId="05C94286"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i/>
          <w:color w:val="000000" w:themeColor="text1"/>
          <w:sz w:val="18"/>
          <w:szCs w:val="18"/>
          <w:lang w:val="vi-VN" w:eastAsia="ja-JP"/>
        </w:rPr>
      </w:pPr>
      <w:r w:rsidRPr="005E6B7C">
        <w:rPr>
          <w:rFonts w:asciiTheme="majorHAnsi" w:eastAsia="Yu Mincho" w:hAnsiTheme="majorHAnsi" w:cstheme="majorHAnsi"/>
          <w:i/>
          <w:color w:val="000000" w:themeColor="text1"/>
          <w:sz w:val="18"/>
          <w:szCs w:val="18"/>
          <w:lang w:val="vi-VN" w:eastAsia="ja-JP"/>
        </w:rPr>
        <w:t>Data are presented as Mean ± SD (n=10)</w:t>
      </w:r>
      <w:r w:rsidRPr="005E6B7C">
        <w:rPr>
          <w:rFonts w:asciiTheme="majorHAnsi" w:eastAsia="Yu Mincho" w:hAnsiTheme="majorHAnsi" w:cstheme="majorHAnsi"/>
          <w:i/>
          <w:color w:val="000000" w:themeColor="text1"/>
          <w:sz w:val="18"/>
          <w:szCs w:val="18"/>
          <w:lang w:eastAsia="ja-JP"/>
        </w:rPr>
        <w:t>;</w:t>
      </w:r>
      <w:r w:rsidRPr="005E6B7C">
        <w:rPr>
          <w:rFonts w:asciiTheme="majorHAnsi" w:eastAsia="Yu Mincho" w:hAnsiTheme="majorHAnsi" w:cstheme="majorHAnsi"/>
          <w:i/>
          <w:color w:val="000000" w:themeColor="text1"/>
          <w:sz w:val="18"/>
          <w:szCs w:val="18"/>
          <w:lang w:val="vi-VN" w:eastAsia="ja-JP"/>
        </w:rPr>
        <w:t xml:space="preserve"> *** p ≤ 0.001 compared to control; </w:t>
      </w:r>
      <w:r w:rsidRPr="005E6B7C">
        <w:rPr>
          <w:rFonts w:asciiTheme="majorHAnsi" w:eastAsia="Yu Mincho" w:hAnsiTheme="majorHAnsi" w:cstheme="majorHAnsi"/>
          <w:i/>
          <w:color w:val="000000" w:themeColor="text1"/>
          <w:sz w:val="18"/>
          <w:szCs w:val="18"/>
          <w:vertAlign w:val="superscript"/>
          <w:lang w:val="vi-VN" w:eastAsia="ja-JP"/>
        </w:rPr>
        <w:t xml:space="preserve"># </w:t>
      </w:r>
      <w:r w:rsidRPr="005E6B7C">
        <w:rPr>
          <w:rFonts w:asciiTheme="majorHAnsi" w:eastAsia="Yu Mincho" w:hAnsiTheme="majorHAnsi" w:cstheme="majorHAnsi"/>
          <w:i/>
          <w:color w:val="000000" w:themeColor="text1"/>
          <w:sz w:val="18"/>
          <w:szCs w:val="18"/>
          <w:lang w:val="vi-VN" w:eastAsia="ja-JP"/>
        </w:rPr>
        <w:t>p ≤ 0.05;</w:t>
      </w:r>
      <w:r w:rsidR="007C2B6D" w:rsidRPr="005E6B7C">
        <w:rPr>
          <w:rFonts w:asciiTheme="majorHAnsi" w:eastAsia="Yu Mincho" w:hAnsiTheme="majorHAnsi" w:cstheme="majorHAnsi"/>
          <w:i/>
          <w:color w:val="000000" w:themeColor="text1"/>
          <w:sz w:val="18"/>
          <w:szCs w:val="18"/>
          <w:lang w:eastAsia="ja-JP"/>
        </w:rPr>
        <w:br/>
      </w:r>
      <w:r w:rsidRPr="005E6B7C">
        <w:rPr>
          <w:rFonts w:asciiTheme="majorHAnsi" w:eastAsia="Yu Mincho" w:hAnsiTheme="majorHAnsi" w:cstheme="majorHAnsi"/>
          <w:i/>
          <w:color w:val="000000" w:themeColor="text1"/>
          <w:sz w:val="18"/>
          <w:szCs w:val="18"/>
          <w:lang w:val="vi-VN" w:eastAsia="ja-JP"/>
        </w:rPr>
        <w:t xml:space="preserve"> </w:t>
      </w:r>
      <w:r w:rsidRPr="005E6B7C">
        <w:rPr>
          <w:rFonts w:asciiTheme="majorHAnsi" w:eastAsia="Yu Mincho" w:hAnsiTheme="majorHAnsi" w:cstheme="majorHAnsi"/>
          <w:i/>
          <w:color w:val="000000" w:themeColor="text1"/>
          <w:sz w:val="18"/>
          <w:szCs w:val="18"/>
          <w:vertAlign w:val="superscript"/>
          <w:lang w:val="vi-VN" w:eastAsia="ja-JP"/>
        </w:rPr>
        <w:t xml:space="preserve">## </w:t>
      </w:r>
      <w:r w:rsidRPr="005E6B7C">
        <w:rPr>
          <w:rFonts w:asciiTheme="majorHAnsi" w:eastAsia="Yu Mincho" w:hAnsiTheme="majorHAnsi" w:cstheme="majorHAnsi"/>
          <w:i/>
          <w:color w:val="000000" w:themeColor="text1"/>
          <w:sz w:val="18"/>
          <w:szCs w:val="18"/>
          <w:lang w:val="vi-VN" w:eastAsia="ja-JP"/>
        </w:rPr>
        <w:t>p &lt;0.01 compared to carrageenan</w:t>
      </w:r>
    </w:p>
    <w:p w14:paraId="1509D3D7"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3510ABAF" w14:textId="77777777" w:rsidR="007C2B6D"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val="vi-VN" w:eastAsia="ja-JP"/>
        </w:rPr>
        <w:t>To investigate the therapeutic effect of the CH</w:t>
      </w:r>
      <w:r w:rsidRPr="005E6B7C">
        <w:rPr>
          <w:rFonts w:asciiTheme="majorHAnsi" w:eastAsia="Yu Mincho" w:hAnsiTheme="majorHAnsi" w:cstheme="majorHAnsi"/>
          <w:color w:val="000000" w:themeColor="text1"/>
          <w:spacing w:val="4"/>
          <w:sz w:val="22"/>
          <w:szCs w:val="22"/>
          <w:vertAlign w:val="subscript"/>
          <w:lang w:val="vi-VN" w:eastAsia="ja-JP"/>
        </w:rPr>
        <w:t>2</w:t>
      </w:r>
      <w:r w:rsidRPr="005E6B7C">
        <w:rPr>
          <w:rFonts w:asciiTheme="majorHAnsi" w:eastAsia="Yu Mincho" w:hAnsiTheme="majorHAnsi" w:cstheme="majorHAnsi"/>
          <w:color w:val="000000" w:themeColor="text1"/>
          <w:spacing w:val="4"/>
          <w:sz w:val="22"/>
          <w:szCs w:val="22"/>
          <w:lang w:val="vi-VN" w:eastAsia="ja-JP"/>
        </w:rPr>
        <w:t>Cl</w:t>
      </w:r>
      <w:r w:rsidRPr="005E6B7C">
        <w:rPr>
          <w:rFonts w:asciiTheme="majorHAnsi" w:eastAsia="Yu Mincho" w:hAnsiTheme="majorHAnsi" w:cstheme="majorHAnsi"/>
          <w:color w:val="000000" w:themeColor="text1"/>
          <w:spacing w:val="4"/>
          <w:sz w:val="22"/>
          <w:szCs w:val="22"/>
          <w:vertAlign w:val="subscript"/>
          <w:lang w:val="vi-VN" w:eastAsia="ja-JP"/>
        </w:rPr>
        <w:t>2</w:t>
      </w:r>
      <w:r w:rsidRPr="005E6B7C">
        <w:rPr>
          <w:rFonts w:asciiTheme="majorHAnsi" w:eastAsia="Yu Mincho" w:hAnsiTheme="majorHAnsi" w:cstheme="majorHAnsi"/>
          <w:color w:val="000000" w:themeColor="text1"/>
          <w:spacing w:val="4"/>
          <w:sz w:val="22"/>
          <w:szCs w:val="22"/>
          <w:lang w:val="vi-VN" w:eastAsia="ja-JP"/>
        </w:rPr>
        <w:t xml:space="preserve"> extract on endotoxemia, we examined </w:t>
      </w:r>
      <w:r w:rsidRPr="005E6B7C">
        <w:rPr>
          <w:rFonts w:asciiTheme="majorHAnsi" w:eastAsia="Yu Mincho" w:hAnsiTheme="majorHAnsi" w:cstheme="majorHAnsi"/>
          <w:color w:val="000000" w:themeColor="text1"/>
          <w:spacing w:val="4"/>
          <w:sz w:val="22"/>
          <w:szCs w:val="22"/>
          <w:lang w:val="vi-VN" w:eastAsia="ja-JP"/>
        </w:rPr>
        <w:t xml:space="preserve">the survival rate of rats with LPS-induced sepsis. As shown in </w:t>
      </w:r>
      <w:r w:rsidR="00517F81" w:rsidRPr="005E6B7C">
        <w:rPr>
          <w:rFonts w:asciiTheme="majorHAnsi" w:eastAsia="Yu Mincho" w:hAnsiTheme="majorHAnsi" w:cstheme="majorHAnsi"/>
          <w:color w:val="000000" w:themeColor="text1"/>
          <w:spacing w:val="4"/>
          <w:sz w:val="22"/>
          <w:szCs w:val="22"/>
          <w:lang w:val="vi-VN" w:eastAsia="ja-JP"/>
        </w:rPr>
        <w:t xml:space="preserve">Fig. </w:t>
      </w:r>
      <w:r w:rsidRPr="005E6B7C">
        <w:rPr>
          <w:rFonts w:asciiTheme="majorHAnsi" w:eastAsia="Yu Mincho" w:hAnsiTheme="majorHAnsi" w:cstheme="majorHAnsi"/>
          <w:color w:val="000000" w:themeColor="text1"/>
          <w:spacing w:val="4"/>
          <w:sz w:val="22"/>
          <w:szCs w:val="22"/>
          <w:lang w:val="vi-VN" w:eastAsia="ja-JP"/>
        </w:rPr>
        <w:t xml:space="preserve">3, 20% of rats survived </w:t>
      </w:r>
      <w:r w:rsidRPr="005E6B7C">
        <w:rPr>
          <w:rFonts w:asciiTheme="majorHAnsi" w:eastAsia="Yu Mincho" w:hAnsiTheme="majorHAnsi" w:cstheme="majorHAnsi"/>
          <w:color w:val="000000" w:themeColor="text1"/>
          <w:spacing w:val="4"/>
          <w:sz w:val="22"/>
          <w:szCs w:val="22"/>
          <w:lang w:val="vi-VN" w:eastAsia="ja-JP"/>
        </w:rPr>
        <w:lastRenderedPageBreak/>
        <w:t>endotoxin shock during the 72</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val="vi-VN" w:eastAsia="ja-JP"/>
        </w:rPr>
        <w:t xml:space="preserve">h after LPS injection, whereas treatment with the extract in </w:t>
      </w:r>
      <w:r w:rsidRPr="005E6B7C">
        <w:rPr>
          <w:rFonts w:asciiTheme="majorHAnsi" w:eastAsia="Yu Mincho" w:hAnsiTheme="majorHAnsi" w:cstheme="majorHAnsi"/>
          <w:color w:val="000000" w:themeColor="text1"/>
          <w:spacing w:val="4"/>
          <w:sz w:val="22"/>
          <w:szCs w:val="22"/>
          <w:lang w:val="vi-VN" w:eastAsia="ja-JP"/>
        </w:rPr>
        <w:t>two doses increased the survival rate to 60%.</w:t>
      </w:r>
    </w:p>
    <w:p w14:paraId="5B97247A"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7C2B6D" w:rsidRPr="005E6B7C" w:rsidSect="007C2B6D">
          <w:type w:val="continuous"/>
          <w:pgSz w:w="10773" w:h="15309" w:code="9"/>
          <w:pgMar w:top="907" w:right="851" w:bottom="1418" w:left="851" w:header="397" w:footer="851" w:gutter="0"/>
          <w:cols w:num="2" w:space="284"/>
          <w:docGrid w:linePitch="360"/>
        </w:sectPr>
      </w:pPr>
    </w:p>
    <w:p w14:paraId="505F363C" w14:textId="77777777" w:rsidR="0047080C"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 </w:t>
      </w:r>
    </w:p>
    <w:p w14:paraId="6FB0746F" w14:textId="77777777" w:rsidR="00DE0EE1" w:rsidRPr="005E6B7C" w:rsidRDefault="00DE0EE1" w:rsidP="008C0D47">
      <w:pPr>
        <w:tabs>
          <w:tab w:val="left" w:pos="270"/>
          <w:tab w:val="left" w:pos="540"/>
          <w:tab w:val="left" w:pos="9270"/>
        </w:tabs>
        <w:ind w:right="-20"/>
        <w:jc w:val="center"/>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noProof/>
          <w:color w:val="000000" w:themeColor="text1"/>
          <w:sz w:val="22"/>
          <w:szCs w:val="22"/>
        </w:rPr>
        <w:drawing>
          <wp:inline distT="0" distB="0" distL="0" distR="0" wp14:anchorId="6B485D5E" wp14:editId="5232D396">
            <wp:extent cx="5111750" cy="317920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2" cstate="print">
                      <a:extLst>
                        <a:ext uri="{BEBA8EAE-BF5A-486C-A8C5-ECC9F3942E4B}">
                          <a14:imgProps xmlns:a14="http://schemas.microsoft.com/office/drawing/2010/main">
                            <a14:imgLayer r:embed="rId1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112656" cy="3179768"/>
                    </a:xfrm>
                    <a:prstGeom prst="rect">
                      <a:avLst/>
                    </a:prstGeom>
                  </pic:spPr>
                </pic:pic>
              </a:graphicData>
            </a:graphic>
          </wp:inline>
        </w:drawing>
      </w:r>
    </w:p>
    <w:p w14:paraId="5F6FC1F4" w14:textId="77777777" w:rsidR="00E049CB" w:rsidRPr="005E6B7C" w:rsidRDefault="00517F81" w:rsidP="008C0D47">
      <w:pPr>
        <w:tabs>
          <w:tab w:val="left" w:pos="9270"/>
        </w:tabs>
        <w:spacing w:before="120"/>
        <w:ind w:right="-20"/>
        <w:jc w:val="center"/>
        <w:rPr>
          <w:rFonts w:asciiTheme="majorHAnsi" w:eastAsia="Yu Mincho" w:hAnsiTheme="majorHAnsi" w:cstheme="majorHAnsi"/>
          <w:b/>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Fig. </w:t>
      </w:r>
      <w:r w:rsidR="00E049CB" w:rsidRPr="005E6B7C">
        <w:rPr>
          <w:rFonts w:asciiTheme="majorHAnsi" w:eastAsia="Yu Mincho" w:hAnsiTheme="majorHAnsi" w:cstheme="majorHAnsi"/>
          <w:b/>
          <w:bCs/>
          <w:color w:val="000000" w:themeColor="text1"/>
          <w:sz w:val="18"/>
          <w:szCs w:val="18"/>
          <w:lang w:eastAsia="ja-JP"/>
        </w:rPr>
        <w:t>3</w:t>
      </w:r>
      <w:r w:rsidR="00E049CB" w:rsidRPr="005E6B7C">
        <w:rPr>
          <w:rFonts w:asciiTheme="majorHAnsi" w:eastAsia="Yu Mincho" w:hAnsiTheme="majorHAnsi" w:cstheme="majorHAnsi"/>
          <w:b/>
          <w:bCs/>
          <w:color w:val="000000" w:themeColor="text1"/>
          <w:sz w:val="18"/>
          <w:szCs w:val="18"/>
          <w:lang w:val="vi-VN" w:eastAsia="ja-JP"/>
        </w:rPr>
        <w:t>.</w:t>
      </w:r>
      <w:r w:rsidR="00E049CB" w:rsidRPr="005E6B7C">
        <w:rPr>
          <w:rFonts w:asciiTheme="majorHAnsi" w:eastAsia="Yu Mincho" w:hAnsiTheme="majorHAnsi" w:cstheme="majorHAnsi"/>
          <w:b/>
          <w:color w:val="000000" w:themeColor="text1"/>
          <w:sz w:val="18"/>
          <w:szCs w:val="18"/>
          <w:lang w:val="vi-VN" w:eastAsia="ja-JP"/>
        </w:rPr>
        <w:t xml:space="preserve"> </w:t>
      </w:r>
      <w:r w:rsidR="00E049CB" w:rsidRPr="005E6B7C">
        <w:rPr>
          <w:rFonts w:asciiTheme="majorHAnsi" w:eastAsia="Yu Mincho" w:hAnsiTheme="majorHAnsi" w:cstheme="majorHAnsi"/>
          <w:color w:val="000000" w:themeColor="text1"/>
          <w:sz w:val="18"/>
          <w:szCs w:val="18"/>
          <w:lang w:eastAsia="ja-JP"/>
        </w:rPr>
        <w:t>Effects of the CH</w:t>
      </w:r>
      <w:r w:rsidR="00E049CB" w:rsidRPr="005E6B7C">
        <w:rPr>
          <w:rFonts w:asciiTheme="majorHAnsi" w:eastAsia="Yu Mincho" w:hAnsiTheme="majorHAnsi" w:cstheme="majorHAnsi"/>
          <w:color w:val="000000" w:themeColor="text1"/>
          <w:sz w:val="18"/>
          <w:szCs w:val="18"/>
          <w:vertAlign w:val="subscript"/>
          <w:lang w:eastAsia="ja-JP"/>
        </w:rPr>
        <w:t>2</w:t>
      </w:r>
      <w:r w:rsidR="00E049CB" w:rsidRPr="005E6B7C">
        <w:rPr>
          <w:rFonts w:asciiTheme="majorHAnsi" w:eastAsia="Yu Mincho" w:hAnsiTheme="majorHAnsi" w:cstheme="majorHAnsi"/>
          <w:color w:val="000000" w:themeColor="text1"/>
          <w:sz w:val="18"/>
          <w:szCs w:val="18"/>
          <w:lang w:eastAsia="ja-JP"/>
        </w:rPr>
        <w:t>Cl</w:t>
      </w:r>
      <w:r w:rsidR="00E049CB" w:rsidRPr="005E6B7C">
        <w:rPr>
          <w:rFonts w:asciiTheme="majorHAnsi" w:eastAsia="Yu Mincho" w:hAnsiTheme="majorHAnsi" w:cstheme="majorHAnsi"/>
          <w:color w:val="000000" w:themeColor="text1"/>
          <w:sz w:val="18"/>
          <w:szCs w:val="18"/>
          <w:vertAlign w:val="subscript"/>
          <w:lang w:eastAsia="ja-JP"/>
        </w:rPr>
        <w:t>2</w:t>
      </w:r>
      <w:r w:rsidR="00E049CB" w:rsidRPr="005E6B7C">
        <w:rPr>
          <w:rFonts w:asciiTheme="majorHAnsi" w:eastAsia="Yu Mincho" w:hAnsiTheme="majorHAnsi" w:cstheme="majorHAnsi"/>
          <w:color w:val="000000" w:themeColor="text1"/>
          <w:sz w:val="18"/>
          <w:szCs w:val="18"/>
          <w:lang w:eastAsia="ja-JP"/>
        </w:rPr>
        <w:t xml:space="preserve"> extract on an LPS-induced endotoxemia model in rats</w:t>
      </w:r>
    </w:p>
    <w:p w14:paraId="5D70A2C1" w14:textId="77777777" w:rsidR="00E049CB" w:rsidRPr="005E6B7C" w:rsidRDefault="00E049CB" w:rsidP="008C0D47">
      <w:pPr>
        <w:tabs>
          <w:tab w:val="left" w:pos="9270"/>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18"/>
          <w:szCs w:val="18"/>
          <w:lang w:eastAsia="ja-JP"/>
        </w:rPr>
        <w:t xml:space="preserve">(A) Survival rate after LPS challenge; (B–C) Serum cytokine levels (IL-1β and IL-6); </w:t>
      </w:r>
      <w:r w:rsidR="007C2B6D" w:rsidRPr="005E6B7C">
        <w:rPr>
          <w:rFonts w:asciiTheme="majorHAnsi" w:eastAsia="Yu Mincho" w:hAnsiTheme="majorHAnsi" w:cstheme="majorHAnsi"/>
          <w:i/>
          <w:color w:val="000000" w:themeColor="text1"/>
          <w:sz w:val="18"/>
          <w:szCs w:val="18"/>
          <w:lang w:eastAsia="ja-JP"/>
        </w:rPr>
        <w:br/>
      </w:r>
      <w:r w:rsidRPr="005E6B7C">
        <w:rPr>
          <w:rFonts w:asciiTheme="majorHAnsi" w:eastAsia="Yu Mincho" w:hAnsiTheme="majorHAnsi" w:cstheme="majorHAnsi"/>
          <w:i/>
          <w:color w:val="000000" w:themeColor="text1"/>
          <w:sz w:val="18"/>
          <w:szCs w:val="18"/>
          <w:lang w:eastAsia="ja-JP"/>
        </w:rPr>
        <w:t xml:space="preserve">(D) </w:t>
      </w:r>
      <w:r w:rsidRPr="005E6B7C">
        <w:rPr>
          <w:rFonts w:asciiTheme="majorHAnsi" w:eastAsia="Yu Mincho" w:hAnsiTheme="majorHAnsi" w:cstheme="majorHAnsi"/>
          <w:bCs/>
          <w:i/>
          <w:color w:val="000000" w:themeColor="text1"/>
          <w:sz w:val="18"/>
          <w:szCs w:val="18"/>
          <w:lang w:eastAsia="ja-JP"/>
        </w:rPr>
        <w:t>Peripheral white blood cell (WBC) count.</w:t>
      </w:r>
      <w:r w:rsidRPr="005E6B7C">
        <w:rPr>
          <w:rFonts w:asciiTheme="majorHAnsi" w:eastAsia="Yu Mincho" w:hAnsiTheme="majorHAnsi" w:cstheme="majorHAnsi"/>
          <w:i/>
          <w:color w:val="000000" w:themeColor="text1"/>
          <w:sz w:val="18"/>
          <w:szCs w:val="18"/>
          <w:lang w:val="vi-VN" w:eastAsia="ja-JP"/>
        </w:rPr>
        <w:t xml:space="preserve"> Each column represents the mean ± SD, </w:t>
      </w:r>
      <w:r w:rsidR="007C2B6D" w:rsidRPr="005E6B7C">
        <w:rPr>
          <w:rFonts w:asciiTheme="majorHAnsi" w:eastAsia="Yu Mincho" w:hAnsiTheme="majorHAnsi" w:cstheme="majorHAnsi"/>
          <w:i/>
          <w:color w:val="000000" w:themeColor="text1"/>
          <w:sz w:val="18"/>
          <w:szCs w:val="18"/>
          <w:lang w:eastAsia="ja-JP"/>
        </w:rPr>
        <w:br/>
      </w:r>
      <w:r w:rsidRPr="005E6B7C">
        <w:rPr>
          <w:rFonts w:asciiTheme="majorHAnsi" w:eastAsia="Yu Mincho" w:hAnsiTheme="majorHAnsi" w:cstheme="majorHAnsi"/>
          <w:i/>
          <w:color w:val="000000" w:themeColor="text1"/>
          <w:sz w:val="18"/>
          <w:szCs w:val="18"/>
          <w:lang w:val="vi-VN" w:eastAsia="ja-JP"/>
        </w:rPr>
        <w:t>### p&lt; 0.001 vs.</w:t>
      </w:r>
      <w:r w:rsidRPr="005E6B7C">
        <w:rPr>
          <w:rFonts w:asciiTheme="majorHAnsi" w:eastAsia="Yu Mincho" w:hAnsiTheme="majorHAnsi" w:cstheme="majorHAnsi"/>
          <w:i/>
          <w:color w:val="000000" w:themeColor="text1"/>
          <w:sz w:val="18"/>
          <w:szCs w:val="18"/>
          <w:lang w:eastAsia="ja-JP"/>
        </w:rPr>
        <w:t xml:space="preserve"> </w:t>
      </w:r>
      <w:r w:rsidRPr="005E6B7C">
        <w:rPr>
          <w:rFonts w:asciiTheme="majorHAnsi" w:eastAsia="Yu Mincho" w:hAnsiTheme="majorHAnsi" w:cstheme="majorHAnsi"/>
          <w:i/>
          <w:color w:val="000000" w:themeColor="text1"/>
          <w:sz w:val="18"/>
          <w:szCs w:val="18"/>
          <w:lang w:val="vi-VN" w:eastAsia="ja-JP"/>
        </w:rPr>
        <w:t>NOR group; * p&lt;0,05; ** p&lt; 0,01; *** p&lt; 0,001 vs LPS group</w:t>
      </w:r>
    </w:p>
    <w:p w14:paraId="45209C48" w14:textId="77777777" w:rsidR="004C259C" w:rsidRPr="005E6B7C" w:rsidRDefault="004C259C" w:rsidP="008C0D47">
      <w:pPr>
        <w:tabs>
          <w:tab w:val="left" w:pos="270"/>
          <w:tab w:val="left" w:pos="540"/>
          <w:tab w:val="left" w:pos="9270"/>
        </w:tabs>
        <w:ind w:right="-20"/>
        <w:jc w:val="both"/>
        <w:rPr>
          <w:rFonts w:asciiTheme="majorHAnsi" w:eastAsia="Yu Mincho" w:hAnsiTheme="majorHAnsi" w:cstheme="majorHAnsi"/>
          <w:color w:val="000000" w:themeColor="text1"/>
          <w:sz w:val="22"/>
          <w:szCs w:val="22"/>
          <w:lang w:eastAsia="ja-JP"/>
        </w:rPr>
      </w:pPr>
    </w:p>
    <w:p w14:paraId="0F184BA7"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val="vi-VN" w:eastAsia="ja-JP"/>
        </w:rPr>
        <w:sectPr w:rsidR="007C2B6D" w:rsidRPr="005E6B7C" w:rsidSect="002206BB">
          <w:type w:val="continuous"/>
          <w:pgSz w:w="10773" w:h="15309" w:code="9"/>
          <w:pgMar w:top="907" w:right="851" w:bottom="1418" w:left="851" w:header="397" w:footer="851" w:gutter="0"/>
          <w:cols w:space="284"/>
          <w:docGrid w:linePitch="360"/>
        </w:sectPr>
      </w:pPr>
    </w:p>
    <w:p w14:paraId="321B02D0" w14:textId="706D2C5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To determine the effects of the CH</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Cl</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xml:space="preserve"> extract on macrophage-mediated immune responses, rats were treated with or without the CH</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Cl</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xml:space="preserve"> extract, and serum cytokine levels were analyzed by ELISA. The levels of IL-1</w:t>
      </w:r>
      <w:r w:rsidRPr="005E6B7C">
        <w:rPr>
          <w:rFonts w:asciiTheme="majorHAnsi" w:eastAsia="Yu Mincho" w:hAnsiTheme="majorHAnsi" w:cstheme="majorHAnsi"/>
          <w:color w:val="000000" w:themeColor="text1"/>
          <w:sz w:val="22"/>
          <w:szCs w:val="22"/>
          <w:lang w:eastAsia="ja-JP"/>
        </w:rPr>
        <w:t>β</w:t>
      </w:r>
      <w:r w:rsidRPr="005E6B7C">
        <w:rPr>
          <w:rFonts w:asciiTheme="majorHAnsi" w:eastAsia="Yu Mincho" w:hAnsiTheme="majorHAnsi" w:cstheme="majorHAnsi"/>
          <w:color w:val="000000" w:themeColor="text1"/>
          <w:sz w:val="22"/>
          <w:szCs w:val="22"/>
          <w:lang w:val="vi-VN" w:eastAsia="ja-JP"/>
        </w:rPr>
        <w:t xml:space="preserve">  and IL-6 in serum were elevated in LPS-treated rats compared to the normal group, whereas pretreatment with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lang w:val="vi-VN" w:eastAsia="ja-JP"/>
        </w:rPr>
        <w:t>extract resulted in significant down-regulation of IL-1</w:t>
      </w:r>
      <w:r w:rsidRPr="005E6B7C">
        <w:rPr>
          <w:rFonts w:asciiTheme="majorHAnsi" w:eastAsia="Yu Mincho" w:hAnsiTheme="majorHAnsi" w:cstheme="majorHAnsi"/>
          <w:color w:val="000000" w:themeColor="text1"/>
          <w:sz w:val="22"/>
          <w:szCs w:val="22"/>
          <w:lang w:eastAsia="ja-JP"/>
        </w:rPr>
        <w:t>β</w:t>
      </w:r>
      <w:r w:rsidRPr="005E6B7C">
        <w:rPr>
          <w:rFonts w:asciiTheme="majorHAnsi" w:eastAsia="Yu Mincho" w:hAnsiTheme="majorHAnsi" w:cstheme="majorHAnsi"/>
          <w:color w:val="000000" w:themeColor="text1"/>
          <w:sz w:val="22"/>
          <w:szCs w:val="22"/>
          <w:lang w:val="vi-VN" w:eastAsia="ja-JP"/>
        </w:rPr>
        <w:t xml:space="preserve"> and IL-6. </w:t>
      </w:r>
      <w:r w:rsidRPr="005E6B7C">
        <w:rPr>
          <w:rFonts w:asciiTheme="majorHAnsi" w:eastAsia="Yu Mincho" w:hAnsiTheme="majorHAnsi" w:cstheme="majorHAnsi"/>
          <w:color w:val="000000" w:themeColor="text1"/>
          <w:sz w:val="22"/>
          <w:szCs w:val="22"/>
          <w:lang w:eastAsia="ja-JP"/>
        </w:rPr>
        <w:t>Furthermore</w:t>
      </w:r>
      <w:r w:rsidRPr="005E6B7C">
        <w:rPr>
          <w:rFonts w:asciiTheme="majorHAnsi" w:eastAsia="Yu Mincho" w:hAnsiTheme="majorHAnsi" w:cstheme="majorHAnsi"/>
          <w:b/>
          <w:bCs/>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w:t>
      </w:r>
      <w:r w:rsidRPr="005E6B7C">
        <w:rPr>
          <w:rFonts w:asciiTheme="majorHAnsi" w:eastAsia="Yu Mincho" w:hAnsiTheme="majorHAnsi" w:cstheme="majorHAnsi"/>
          <w:color w:val="000000" w:themeColor="text1"/>
          <w:sz w:val="22"/>
          <w:szCs w:val="22"/>
          <w:lang w:val="vi-VN" w:eastAsia="ja-JP"/>
        </w:rPr>
        <w:t>white blood cell counts in the extract-treated groups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decreased significantly </w:t>
      </w:r>
      <w:r w:rsidRPr="005E6B7C">
        <w:rPr>
          <w:rFonts w:asciiTheme="majorHAnsi" w:eastAsia="Yu Mincho" w:hAnsiTheme="majorHAnsi" w:cstheme="majorHAnsi"/>
          <w:color w:val="000000" w:themeColor="text1"/>
          <w:sz w:val="22"/>
          <w:szCs w:val="22"/>
          <w:lang w:eastAsia="ja-JP"/>
        </w:rPr>
        <w:t>compared to</w:t>
      </w:r>
      <w:r w:rsidRPr="005E6B7C">
        <w:rPr>
          <w:rFonts w:asciiTheme="majorHAnsi" w:eastAsia="Yu Mincho" w:hAnsiTheme="majorHAnsi" w:cstheme="majorHAnsi"/>
          <w:color w:val="000000" w:themeColor="text1"/>
          <w:sz w:val="22"/>
          <w:szCs w:val="22"/>
          <w:lang w:val="vi-VN" w:eastAsia="ja-JP"/>
        </w:rPr>
        <w:t xml:space="preserve"> Group 2 (LPS 35 mg/kg only)</w:t>
      </w:r>
      <w:r w:rsidR="00D54E9A" w:rsidRPr="005E6B7C">
        <w:rPr>
          <w:rFonts w:asciiTheme="majorHAnsi" w:eastAsia="Yu Mincho" w:hAnsiTheme="majorHAnsi" w:cstheme="majorHAnsi"/>
          <w:color w:val="000000" w:themeColor="text1"/>
          <w:sz w:val="22"/>
          <w:szCs w:val="22"/>
          <w:lang w:val="vi-VN" w:eastAsia="ja-JP"/>
        </w:rPr>
        <w:t>l</w:t>
      </w:r>
      <w:r w:rsidRPr="005E6B7C">
        <w:rPr>
          <w:rFonts w:asciiTheme="majorHAnsi" w:eastAsia="Yu Mincho" w:hAnsiTheme="majorHAnsi" w:cstheme="majorHAnsi"/>
          <w:color w:val="000000" w:themeColor="text1"/>
          <w:sz w:val="22"/>
          <w:szCs w:val="22"/>
          <w:lang w:eastAsia="ja-JP"/>
        </w:rPr>
        <w:t>.</w:t>
      </w:r>
    </w:p>
    <w:p w14:paraId="5147A16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val="vi-VN" w:eastAsia="ja-JP"/>
        </w:rPr>
      </w:pPr>
      <w:r w:rsidRPr="005E6B7C">
        <w:rPr>
          <w:rFonts w:asciiTheme="majorHAnsi" w:eastAsia="Yu Mincho" w:hAnsiTheme="majorHAnsi" w:cstheme="majorHAnsi"/>
          <w:b/>
          <w:color w:val="000000" w:themeColor="text1"/>
          <w:sz w:val="22"/>
          <w:szCs w:val="22"/>
          <w:lang w:eastAsia="ja-JP"/>
        </w:rPr>
        <w:t>4</w:t>
      </w:r>
      <w:r w:rsidRPr="005E6B7C">
        <w:rPr>
          <w:rFonts w:asciiTheme="majorHAnsi" w:eastAsia="Yu Mincho" w:hAnsiTheme="majorHAnsi" w:cstheme="majorHAnsi"/>
          <w:b/>
          <w:color w:val="000000" w:themeColor="text1"/>
          <w:sz w:val="22"/>
          <w:szCs w:val="22"/>
          <w:lang w:val="vi-VN" w:eastAsia="ja-JP"/>
        </w:rPr>
        <w:t>. Discussion</w:t>
      </w:r>
    </w:p>
    <w:p w14:paraId="4408D7D2"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Times New Roman" w:hAnsiTheme="majorHAnsi" w:cstheme="majorHAnsi"/>
          <w:color w:val="000000" w:themeColor="text1"/>
          <w:sz w:val="22"/>
          <w:szCs w:val="22"/>
        </w:rPr>
      </w:pPr>
      <w:r w:rsidRPr="005E6B7C">
        <w:rPr>
          <w:rFonts w:asciiTheme="majorHAnsi" w:eastAsia="Times New Roman" w:hAnsiTheme="majorHAnsi" w:cstheme="majorHAnsi"/>
          <w:color w:val="000000" w:themeColor="text1"/>
          <w:sz w:val="22"/>
          <w:szCs w:val="22"/>
          <w:lang w:val="vi-VN"/>
        </w:rPr>
        <w:t>I</w:t>
      </w:r>
      <w:r w:rsidRPr="005E6B7C">
        <w:rPr>
          <w:rFonts w:asciiTheme="majorHAnsi" w:eastAsia="Times New Roman" w:hAnsiTheme="majorHAnsi" w:cstheme="majorHAnsi"/>
          <w:color w:val="000000" w:themeColor="text1"/>
          <w:sz w:val="22"/>
          <w:szCs w:val="22"/>
        </w:rPr>
        <w:t xml:space="preserve">nflammation is a complex biological response involving the coordinated activation of immune cells and the release of pro-inflammatory mediators, including NO, PGE2, and cytokines such as TNF-α, IL-1β, and IL-6. Dysregulation of these mediators plays a critical role in the pathogenesis of both acute and systemic inflammatory conditions. In the present study, we demonstrated that extracts derived from </w:t>
      </w:r>
      <w:r w:rsidRPr="005E6B7C">
        <w:rPr>
          <w:rFonts w:asciiTheme="majorHAnsi" w:eastAsia="Times New Roman" w:hAnsiTheme="majorHAnsi" w:cstheme="majorHAnsi"/>
          <w:i/>
          <w:iCs/>
          <w:color w:val="000000" w:themeColor="text1"/>
          <w:sz w:val="22"/>
          <w:szCs w:val="22"/>
        </w:rPr>
        <w:t>P. amurense</w:t>
      </w:r>
      <w:r w:rsidRPr="005E6B7C">
        <w:rPr>
          <w:rFonts w:asciiTheme="majorHAnsi" w:eastAsia="Times New Roman" w:hAnsiTheme="majorHAnsi" w:cstheme="majorHAnsi"/>
          <w:color w:val="000000" w:themeColor="text1"/>
          <w:sz w:val="22"/>
          <w:szCs w:val="22"/>
        </w:rPr>
        <w:t xml:space="preserve"> bark exert significant anti-inflammatory effects through modulation of key inflammatory mediators and signaling pathways in both </w:t>
      </w:r>
      <w:r w:rsidR="00894500" w:rsidRPr="005E6B7C">
        <w:rPr>
          <w:rFonts w:asciiTheme="majorHAnsi" w:eastAsia="Times New Roman" w:hAnsiTheme="majorHAnsi" w:cstheme="majorHAnsi"/>
          <w:i/>
          <w:iCs/>
          <w:color w:val="000000" w:themeColor="text1"/>
          <w:sz w:val="22"/>
          <w:szCs w:val="22"/>
        </w:rPr>
        <w:t>in vitro</w:t>
      </w:r>
      <w:r w:rsidRPr="005E6B7C">
        <w:rPr>
          <w:rFonts w:asciiTheme="majorHAnsi" w:eastAsia="Times New Roman" w:hAnsiTheme="majorHAnsi" w:cstheme="majorHAnsi"/>
          <w:color w:val="000000" w:themeColor="text1"/>
          <w:sz w:val="22"/>
          <w:szCs w:val="22"/>
        </w:rPr>
        <w:t xml:space="preserve"> </w:t>
      </w:r>
      <w:r w:rsidRPr="005E6B7C">
        <w:rPr>
          <w:rFonts w:asciiTheme="majorHAnsi" w:eastAsia="Times New Roman" w:hAnsiTheme="majorHAnsi" w:cstheme="majorHAnsi"/>
          <w:color w:val="000000" w:themeColor="text1"/>
          <w:sz w:val="22"/>
          <w:szCs w:val="22"/>
        </w:rPr>
        <w:t xml:space="preserve">and </w:t>
      </w:r>
      <w:r w:rsidR="00894500" w:rsidRPr="005E6B7C">
        <w:rPr>
          <w:rFonts w:asciiTheme="majorHAnsi" w:eastAsia="Times New Roman" w:hAnsiTheme="majorHAnsi" w:cstheme="majorHAnsi"/>
          <w:i/>
          <w:iCs/>
          <w:color w:val="000000" w:themeColor="text1"/>
          <w:sz w:val="22"/>
          <w:szCs w:val="22"/>
        </w:rPr>
        <w:t>in vivo</w:t>
      </w:r>
      <w:r w:rsidRPr="005E6B7C">
        <w:rPr>
          <w:rFonts w:asciiTheme="majorHAnsi" w:eastAsia="Times New Roman" w:hAnsiTheme="majorHAnsi" w:cstheme="majorHAnsi"/>
          <w:color w:val="000000" w:themeColor="text1"/>
          <w:sz w:val="22"/>
          <w:szCs w:val="22"/>
        </w:rPr>
        <w:t xml:space="preserve"> models.</w:t>
      </w:r>
    </w:p>
    <w:p w14:paraId="224C6B7B" w14:textId="54F08E60"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LPS</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stimulated RAW 264.7 macrophages were usually used to assess the anti-inflammatory effect of phytoconstituents. The stimulation of such cells with LPS produces proinflammatory cytokines and chemokines. The cells are either directly pre-treated with the supernatant of extracts (after centrifugation) or with pure phytochemicals, followed by LPS stimulation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&lt;EndNote&gt;&lt;Cite&gt;&lt;Author&gt;Eddouks M.&lt;/Author&gt;&lt;Year&gt;2012&lt;/Year&gt;&lt;RecNum&gt;9&lt;/RecNum&gt;&lt;DisplayText&gt;[10]&lt;/DisplayText&gt;&lt;record&gt;&lt;rec-number&gt;9&lt;/rec-number&gt;&lt;foreign-keys&gt;&lt;key app="EN" db-id="0zafr0r9ns5ttqeezd65a9zx9txppretrezr" timestamp="1772683231"&gt;9&lt;/key&gt;&lt;/foreign-keys&gt;&lt;ref-type name="Journal Article"&gt;17&lt;/ref-type&gt;&lt;contributors&gt;&lt;authors&gt;&lt;author&gt;Eddouks M.,&lt;/author&gt;&lt;author&gt;Chattopadhyay D.,&lt;/author&gt;&lt;author&gt;Zeggwagh N. A.&lt;/author&gt;&lt;/authors&gt;&lt;/contributors&gt;&lt;titles&gt;&lt;title&gt;Animal models as tools to investigate antidiabetic and anti</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inflammatory plants&lt;/title&gt;&lt;secondary-title&gt;Evidence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Medicine&lt;/secondary-title&gt;&lt;/titles&gt;&lt;periodical&gt;&lt;full-title&gt;Evidence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full-title&gt;&lt;/periodical&gt;&lt;pages&gt;142087&lt;/pages&gt;&lt;volume&gt;2012&lt;/volume&gt;&lt;number&gt;1&lt;/number&gt;&lt;dates&gt;&lt;year&gt;2012&lt;/year&gt;&lt;/dates&gt;&lt;isbn&gt;1741-4288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0" w:tooltip="Eddouks M., 2012 #9" w:history="1">
        <w:r w:rsidRPr="005E6B7C">
          <w:rPr>
            <w:rFonts w:asciiTheme="majorHAnsi" w:eastAsia="Yu Mincho" w:hAnsiTheme="majorHAnsi" w:cstheme="majorHAnsi"/>
            <w:noProof/>
            <w:color w:val="000000" w:themeColor="text1"/>
            <w:sz w:val="22"/>
            <w:szCs w:val="22"/>
            <w:lang w:eastAsia="ja-JP"/>
          </w:rPr>
          <w:t>10</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The severity of inflammation is assessed through the manifestation of pro-inflammatory mediators like TNF-α, IL-1β, NO, and cyclooxygenase (COX-1 and COX-2) in cell supernatants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&lt;EndNote&gt;&lt;Cite&gt;&lt;Author&gt;Kim J. H.&lt;/Author&gt;&lt;Year&gt;2011&lt;/Year&gt;&lt;RecNum&gt;10&lt;/RecNum&gt;&lt;DisplayText&gt;[11]&lt;/DisplayText&gt;&lt;record&gt;&lt;rec-number&gt;10&lt;/rec-number&gt;&lt;foreign-keys&gt;&lt;key app="EN" db-id="0zafr0r9ns5ttqeezd65a9zx9txppretrezr" timestamp="1772683231"&gt;10&lt;/key&gt;&lt;/foreign-keys&gt;&lt;ref-type name="Journal Article"&gt;17&lt;/ref-type&gt;&lt;contributors&gt;&lt;authors&gt;&lt;author&gt;Kim J. H.,&lt;/author&gt;&lt;author&gt;Huh J. E.,&lt;/author&gt;&lt;author&gt;Baek Y. H.,&lt;/author&gt;&lt;author&gt;Lee J. D.,&lt;/author&gt;&lt;author&gt;Choi D. Y.,&lt;/author&gt;&lt;author&gt;Park D. S.&lt;/author&gt;&lt;/authors&gt;&lt;/contributors&gt;&lt;titles&gt;&lt;title&gt;&lt;style face="normal" font="default" size="100%"&gt;Effect of &lt;/style&gt;&lt;style face="italic" font="default" size="100%"&gt;Phellodendron amurense&lt;/style&gt;&lt;style face="normal" font="default" size="100%"&gt; in protecting human osteoarthritic cartilage and chondrocytes&lt;/style&gt;&lt;/title&gt;&lt;secondary-title&gt;Journal of Ethnopharmacology&lt;/secondary-title&gt;&lt;/titles&gt;&lt;periodical&gt;&lt;full-title&gt;Journal of Ethnopharmacology&lt;/full-title&gt;&lt;/periodical&gt;&lt;pages&gt;234-242&lt;/pages&gt;&lt;volume&gt;134&lt;/volume&gt;&lt;number&gt;2&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1" w:tooltip="Kim J. H., 2011 #10" w:history="1">
        <w:r w:rsidRPr="005E6B7C">
          <w:rPr>
            <w:rFonts w:asciiTheme="majorHAnsi" w:eastAsia="Yu Mincho" w:hAnsiTheme="majorHAnsi" w:cstheme="majorHAnsi"/>
            <w:noProof/>
            <w:color w:val="000000" w:themeColor="text1"/>
            <w:sz w:val="22"/>
            <w:szCs w:val="22"/>
            <w:lang w:eastAsia="ja-JP"/>
          </w:rPr>
          <w:t>11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The enzyme immunoassay (EIA) kits can be used to quantify mediators like PGE2, interleukins, prostaglandins, and TNF-α</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&lt;EndNote&gt;&lt;Cite&gt;&lt;Author&gt;Kim J. H.&lt;/Author&gt;&lt;Year&gt;2011&lt;/Year&gt;&lt;RecNum&gt;10&lt;/RecNum&gt;&lt;DisplayText&gt;[11]&lt;/DisplayText&gt;&lt;record&gt;&lt;rec-number&gt;10&lt;/rec-number&gt;&lt;foreign-keys&gt;&lt;key app="EN" db-id="0zafr0r9ns5ttqeezd65a9zx9txppretrezr" timestamp="1772683231"&gt;10&lt;/key&gt;&lt;/foreign-keys&gt;&lt;ref-type name="Journal Article"&gt;17&lt;/ref-type&gt;&lt;contributors&gt;&lt;authors&gt;&lt;author&gt;Kim J. H.,&lt;/author&gt;&lt;author&gt;Huh J. E.,&lt;/author&gt;&lt;author&gt;Baek Y. H.,&lt;/author&gt;&lt;author&gt;Lee J. D.,&lt;/author&gt;&lt;author&gt;Choi D. Y.,&lt;/author&gt;&lt;author&gt;Park D. S.&lt;/author&gt;&lt;/authors&gt;&lt;/contributors&gt;&lt;titles&gt;&lt;title&gt;&lt;style face="normal" font="default" size="100%"&gt;Effect of &lt;/style&gt;&lt;style face="italic" font="default" size="100%"&gt;Phellodendron amurense&lt;/style&gt;&lt;style face="normal" font="default" size="100%"&gt; in protecting human osteoarthritic cartilage and chondrocytes&lt;/style&gt;&lt;/title&gt;&lt;secondary-title&gt;Journal of Ethnopharmacology&lt;/secondary-title&gt;&lt;/titles&gt;&lt;periodical&gt;&lt;full-title&gt;Journal of Ethnopharmacology&lt;/full-title&gt;&lt;/periodical&gt;&lt;pages&gt;234-242&lt;/pages&gt;&lt;volume&gt;134&lt;/volume&gt;&lt;number&gt;2&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1" w:tooltip="Kim J. H., 2011 #10" w:history="1">
        <w:r w:rsidRPr="005E6B7C">
          <w:rPr>
            <w:rFonts w:asciiTheme="majorHAnsi" w:eastAsia="Yu Mincho" w:hAnsiTheme="majorHAnsi" w:cstheme="majorHAnsi"/>
            <w:noProof/>
            <w:color w:val="000000" w:themeColor="text1"/>
            <w:sz w:val="22"/>
            <w:szCs w:val="22"/>
            <w:lang w:eastAsia="ja-JP"/>
          </w:rPr>
          <w:t>11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xml:space="preserve">. The cytokine levels can be measured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color w:val="000000" w:themeColor="text1"/>
          <w:sz w:val="22"/>
          <w:szCs w:val="22"/>
          <w:lang w:val="vi-VN" w:eastAsia="ja-JP"/>
        </w:rPr>
        <w:t xml:space="preserve"> using sandwich ELISA kits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&lt;EndNote&gt;&lt;Cite&gt;&lt;Author&gt;Liao C. H.&lt;/Author&gt;&lt;Year&gt;2011&lt;/Year&gt;&lt;RecNum&gt;11&lt;/RecNum&gt;&lt;DisplayText&gt;[12]&lt;/DisplayText&gt;&lt;record&gt;&lt;rec-number&gt;11&lt;/rec-number&gt;&lt;foreign-keys&gt;&lt;key app="EN" db-id="0zafr0r9ns5ttqeezd65a9zx9txppretrezr" timestamp="1772683231"&gt;11&lt;/key&gt;&lt;/foreign-keys&gt;&lt;ref-type name="Journal Article"&gt;17&lt;/ref-type&gt;&lt;contributors&gt;&lt;authors&gt;&lt;author&gt;Liao C. H.,&lt;/author&gt;&lt;author&gt;Guo S. J.,&lt;/author&gt;&lt;author&gt;Lin J. Y.&lt;/author&gt;&lt;/authors&gt;&lt;/contributors&gt;&lt;titles&gt;&lt;title&gt;&lt;style face="normal" font="default" size="100%"&gt;Characterisation of the chemical composition and &lt;/style&gt;&lt;style face="italic" font="default" size="100%"&gt;in vitro&lt;/style&gt;&lt;style face="normal" font="default" size="100%"&gt; anti-inflammation assessment of a novel lotus (&lt;/style&gt;&lt;style face="italic" font="default" size="100%"&gt;Nelumbo nucifera&lt;/style&gt;&lt;style face="normal" font="default" size="100%"&gt; Gaertn) plumule polysaccharide&lt;/style&gt;&lt;/title&gt;&lt;secondary-title&gt;Food Chemistry&lt;/secondary-title&gt;&lt;/titles&gt;&lt;periodical&gt;&lt;full-title&gt;Food Chemistry&lt;/full-title&gt;&lt;/periodical&gt;&lt;pages&gt;930-935&lt;/pages&gt;&lt;volume&gt;125&lt;/volume&gt;&lt;number&gt;3&lt;/number&gt;&lt;dates&gt;&lt;year&gt;2011&lt;/year&gt;&lt;/dates&gt;&lt;isbn&gt;0308-8146&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2" w:tooltip="Liao C. H., 2011 #11" w:history="1">
        <w:r w:rsidRPr="005E6B7C">
          <w:rPr>
            <w:rFonts w:asciiTheme="majorHAnsi" w:eastAsia="Yu Mincho" w:hAnsiTheme="majorHAnsi" w:cstheme="majorHAnsi"/>
            <w:noProof/>
            <w:color w:val="000000" w:themeColor="text1"/>
            <w:sz w:val="22"/>
            <w:szCs w:val="22"/>
            <w:lang w:eastAsia="ja-JP"/>
          </w:rPr>
          <w:t>12</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NO produced by activated macrophages plays a critical role in inflammatory diseases as a potent mediator of cellular damage in a wide range of pathological conditions. Overproduction of NO is mediated primarily by iNOS, which can be up-regulated in macrophages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&lt;EndNote&gt;&lt;Cite&gt;&lt;Author&gt;Xie Q. W.&lt;/Author&gt;&lt;Year&gt;1994&lt;/Year&gt;&lt;RecNum&gt;12&lt;/RecNum&gt;&lt;DisplayText&gt;[13]&lt;/DisplayText&gt;&lt;record&gt;&lt;rec-number&gt;12&lt;/rec-number&gt;&lt;foreign-keys&gt;&lt;key app="EN" db-id="0zafr0r9ns5ttqeezd65a9zx9txppretrezr" timestamp="1772683231"&gt;12&lt;/key&gt;&lt;/foreign-keys&gt;&lt;ref-type name="Journal Article"&gt;17&lt;/ref-type&gt;&lt;contributors&gt;&lt;authors&gt;&lt;author&gt;Xie Q. W.,&lt;/author&gt;&lt;author&gt;Nathan C.&lt;/author&gt;&lt;/authors&gt;&lt;/contributors&gt;&lt;titles&gt;&lt;title&gt;The high-output nitric oxide pathway: role and regulation&lt;/title&gt;&lt;secondary-title&gt;Journal of Leucocyte Biology&lt;/secondary-title&gt;&lt;/titles&gt;&lt;periodical&gt;&lt;full-title&gt;Journal of Leucocyte Biology&lt;/full-title&gt;&lt;/periodical&gt;&lt;pages&gt;576-582&lt;/pages&gt;&lt;volume&gt;56&lt;/volume&gt;&lt;number&gt;5&lt;/number&gt;&lt;dates&gt;&lt;year&gt;1994&lt;/year&gt;&lt;/dates&gt;&lt;isbn&gt;0741-5400&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3" w:tooltip="Xie Q. W., 1994 #12" w:history="1">
        <w:r w:rsidRPr="005E6B7C">
          <w:rPr>
            <w:rFonts w:asciiTheme="majorHAnsi" w:eastAsia="Yu Mincho" w:hAnsiTheme="majorHAnsi" w:cstheme="majorHAnsi"/>
            <w:noProof/>
            <w:color w:val="000000" w:themeColor="text1"/>
            <w:sz w:val="22"/>
            <w:szCs w:val="22"/>
            <w:lang w:eastAsia="ja-JP"/>
          </w:rPr>
          <w:t>13</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xml:space="preserve">. Thus, NO may regulate most stages of the development of inflammation, particularly the </w:t>
      </w:r>
      <w:r w:rsidRPr="005E6B7C">
        <w:rPr>
          <w:rFonts w:asciiTheme="majorHAnsi" w:eastAsia="Yu Mincho" w:hAnsiTheme="majorHAnsi" w:cstheme="majorHAnsi"/>
          <w:color w:val="000000" w:themeColor="text1"/>
          <w:sz w:val="22"/>
          <w:szCs w:val="22"/>
          <w:lang w:val="vi-VN" w:eastAsia="ja-JP"/>
        </w:rPr>
        <w:lastRenderedPageBreak/>
        <w:t>early stages of inflammatory cell transmigration to sites of inflammation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&lt;EndNote&gt;&lt;Cite&gt;&lt;Author&gt;Zamora R.&lt;/Author&gt;&lt;Year&gt;2000&lt;/Year&gt;&lt;RecNum&gt;13&lt;/RecNum&gt;&lt;DisplayText&gt;[14]&lt;/DisplayText&gt;&lt;record&gt;&lt;rec-number&gt;13&lt;/rec-number&gt;&lt;foreign-keys&gt;&lt;key app="EN" db-id="0zafr0r9ns5ttqeezd65a9zx9txppretrezr" timestamp="1772683231"&gt;13&lt;/key&gt;&lt;/foreign-keys&gt;&lt;ref-type name="Journal Article"&gt;17&lt;/ref-type&gt;&lt;contributors&gt;&lt;authors&gt;&lt;author&gt;Zamora R.,&lt;/author&gt;&lt;author&gt;Vodovotz Y.,&lt;/author&gt;&lt;author&gt;Billiar T.&lt;/author&gt;&lt;/authors&gt;&lt;/contributors&gt;&lt;titles&gt;&lt;title&gt;Inducible nitric oxide synthase and inflammatory diseases&lt;/title&gt;&lt;secondary-title&gt;Molecular Medicine&lt;/secondary-title&gt;&lt;/titles&gt;&lt;periodical&gt;&lt;full-title&gt;Molecular Medicine&lt;/full-title&gt;&lt;/periodical&gt;&lt;pages&gt;347-373&lt;/pages&gt;&lt;volume&gt;6&lt;/volume&gt;&lt;number&gt;5&lt;/number&gt;&lt;dates&gt;&lt;year&gt;2000&lt;/year&gt;&lt;/dates&gt;&lt;isbn&gt;1076-1551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4" w:tooltip="Zamora R., 2000 #13" w:history="1">
        <w:r w:rsidRPr="005E6B7C">
          <w:rPr>
            <w:rFonts w:asciiTheme="majorHAnsi" w:eastAsia="Yu Mincho" w:hAnsiTheme="majorHAnsi" w:cstheme="majorHAnsi"/>
            <w:noProof/>
            <w:color w:val="000000" w:themeColor="text1"/>
            <w:sz w:val="22"/>
            <w:szCs w:val="22"/>
            <w:lang w:eastAsia="ja-JP"/>
          </w:rPr>
          <w:t>14</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xml:space="preserve">. In our experiments, </w:t>
      </w:r>
      <w:r w:rsidRPr="005E6B7C">
        <w:rPr>
          <w:rFonts w:asciiTheme="majorHAnsi" w:eastAsia="Yu Mincho" w:hAnsiTheme="majorHAnsi" w:cstheme="majorHAnsi"/>
          <w:color w:val="000000" w:themeColor="text1"/>
          <w:sz w:val="22"/>
          <w:szCs w:val="22"/>
          <w:lang w:eastAsia="ja-JP"/>
        </w:rPr>
        <w:t>the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extract of </w:t>
      </w:r>
      <w:r w:rsidRPr="005E6B7C">
        <w:rPr>
          <w:rFonts w:asciiTheme="majorHAnsi" w:eastAsia="Yu Mincho" w:hAnsiTheme="majorHAnsi" w:cstheme="majorHAnsi"/>
          <w:i/>
          <w:color w:val="000000" w:themeColor="text1"/>
          <w:sz w:val="22"/>
          <w:szCs w:val="22"/>
          <w:lang w:val="vi-VN" w:eastAsia="ja-JP"/>
        </w:rPr>
        <w:t>P. amurense</w:t>
      </w:r>
      <w:r w:rsidRPr="005E6B7C">
        <w:rPr>
          <w:rFonts w:asciiTheme="majorHAnsi" w:eastAsia="Yu Mincho" w:hAnsiTheme="majorHAnsi" w:cstheme="majorHAnsi"/>
          <w:color w:val="000000" w:themeColor="text1"/>
          <w:sz w:val="22"/>
          <w:szCs w:val="22"/>
          <w:lang w:eastAsia="ja-JP"/>
        </w:rPr>
        <w:t> (CPA)</w:t>
      </w:r>
      <w:r w:rsidRPr="005E6B7C">
        <w:rPr>
          <w:rFonts w:asciiTheme="majorHAnsi" w:eastAsia="Yu Mincho" w:hAnsiTheme="majorHAnsi" w:cstheme="majorHAnsi"/>
          <w:color w:val="000000" w:themeColor="text1"/>
          <w:sz w:val="22"/>
          <w:szCs w:val="22"/>
          <w:lang w:val="vi-VN" w:eastAsia="ja-JP"/>
        </w:rPr>
        <w:t xml:space="preserve"> exhibited an inhibitory effect on the production of NO in LPS-stimulated macrophage RAW 264.7 cells. The results showed that in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color w:val="000000" w:themeColor="text1"/>
          <w:sz w:val="22"/>
          <w:szCs w:val="22"/>
          <w:lang w:val="vi-VN" w:eastAsia="ja-JP"/>
        </w:rPr>
        <w:t xml:space="preserve"> experiment</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i/>
          <w:color w:val="000000" w:themeColor="text1"/>
          <w:sz w:val="22"/>
          <w:szCs w:val="22"/>
          <w:lang w:val="vi-VN" w:eastAsia="ja-JP"/>
        </w:rPr>
        <w:t>n</w:t>
      </w:r>
      <w:r w:rsidRPr="005E6B7C">
        <w:rPr>
          <w:rFonts w:asciiTheme="majorHAnsi" w:eastAsia="Yu Mincho" w:hAnsiTheme="majorHAnsi" w:cstheme="majorHAnsi"/>
          <w:color w:val="000000" w:themeColor="text1"/>
          <w:sz w:val="22"/>
          <w:szCs w:val="22"/>
          <w:lang w:val="vi-VN" w:eastAsia="ja-JP"/>
        </w:rPr>
        <w:t>-hexane</w:t>
      </w:r>
      <w:r w:rsidRPr="005E6B7C">
        <w:rPr>
          <w:rFonts w:asciiTheme="majorHAnsi" w:eastAsia="Yu Mincho" w:hAnsiTheme="majorHAnsi" w:cstheme="majorHAnsi"/>
          <w:color w:val="000000" w:themeColor="text1"/>
          <w:sz w:val="22"/>
          <w:szCs w:val="22"/>
          <w:lang w:eastAsia="ja-JP"/>
        </w:rPr>
        <w:t xml:space="preserve"> and</w:t>
      </w:r>
      <w:r w:rsidRPr="005E6B7C">
        <w:rPr>
          <w:rFonts w:asciiTheme="majorHAnsi" w:eastAsia="Yu Mincho" w:hAnsiTheme="majorHAnsi" w:cstheme="majorHAnsi"/>
          <w:color w:val="000000" w:themeColor="text1"/>
          <w:sz w:val="22"/>
          <w:szCs w:val="22"/>
          <w:lang w:val="vi-VN" w:eastAsia="ja-JP"/>
        </w:rPr>
        <w:t xml:space="preserve"> EtOAc extracts tested did not have PGE2 production inhibition activity. The CH</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Cl</w:t>
      </w:r>
      <w:r w:rsidRPr="005E6B7C">
        <w:rPr>
          <w:rFonts w:asciiTheme="majorHAnsi" w:eastAsia="Yu Mincho" w:hAnsiTheme="majorHAnsi" w:cstheme="majorHAnsi"/>
          <w:color w:val="000000" w:themeColor="text1"/>
          <w:sz w:val="22"/>
          <w:szCs w:val="22"/>
          <w:vertAlign w:val="subscript"/>
          <w:lang w:val="vi-VN" w:eastAsia="ja-JP"/>
        </w:rPr>
        <w:t>2</w:t>
      </w:r>
      <w:r w:rsidRPr="005E6B7C">
        <w:rPr>
          <w:rFonts w:asciiTheme="majorHAnsi" w:eastAsia="Yu Mincho" w:hAnsiTheme="majorHAnsi" w:cstheme="majorHAnsi"/>
          <w:color w:val="000000" w:themeColor="text1"/>
          <w:sz w:val="22"/>
          <w:szCs w:val="22"/>
          <w:lang w:val="vi-VN" w:eastAsia="ja-JP"/>
        </w:rPr>
        <w:t xml:space="preserve"> extract was the most active extract with IC</w:t>
      </w:r>
      <w:r w:rsidRPr="005E6B7C">
        <w:rPr>
          <w:rFonts w:asciiTheme="majorHAnsi" w:eastAsia="Yu Mincho" w:hAnsiTheme="majorHAnsi" w:cstheme="majorHAnsi"/>
          <w:color w:val="000000" w:themeColor="text1"/>
          <w:sz w:val="22"/>
          <w:szCs w:val="22"/>
          <w:vertAlign w:val="subscript"/>
          <w:lang w:val="vi-VN" w:eastAsia="ja-JP"/>
        </w:rPr>
        <w:t>50</w:t>
      </w:r>
      <w:r w:rsidRPr="005E6B7C">
        <w:rPr>
          <w:rFonts w:asciiTheme="majorHAnsi" w:eastAsia="Yu Mincho" w:hAnsiTheme="majorHAnsi" w:cstheme="majorHAnsi"/>
          <w:color w:val="000000" w:themeColor="text1"/>
          <w:sz w:val="22"/>
          <w:szCs w:val="22"/>
          <w:lang w:val="vi-VN" w:eastAsia="ja-JP"/>
        </w:rPr>
        <w:t xml:space="preserve"> values of 10.88 ± 2.88 and 10.82 ± 1.22.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g/mL for NO and PGE2 inhibition, respectively</w:t>
      </w:r>
      <w:r w:rsidRPr="005E6B7C">
        <w:rPr>
          <w:rFonts w:asciiTheme="majorHAnsi" w:eastAsia="Yu Mincho" w:hAnsiTheme="majorHAnsi" w:cstheme="majorHAnsi"/>
          <w:color w:val="000000" w:themeColor="text1"/>
          <w:sz w:val="22"/>
          <w:szCs w:val="22"/>
          <w:lang w:val="vi-VN" w:eastAsia="ja-JP"/>
        </w:rPr>
        <w:t xml:space="preserve">. These results support the use of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lang w:val="vi-VN" w:eastAsia="ja-JP"/>
        </w:rPr>
        <w:t xml:space="preserve">bark of </w:t>
      </w:r>
      <w:r w:rsidRPr="005E6B7C">
        <w:rPr>
          <w:rFonts w:asciiTheme="majorHAnsi" w:eastAsia="Yu Mincho" w:hAnsiTheme="majorHAnsi" w:cstheme="majorHAnsi"/>
          <w:i/>
          <w:color w:val="000000" w:themeColor="text1"/>
          <w:sz w:val="22"/>
          <w:szCs w:val="22"/>
          <w:lang w:val="vi-VN" w:eastAsia="ja-JP"/>
        </w:rPr>
        <w:t>P.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as </w:t>
      </w:r>
      <w:r w:rsidRPr="005E6B7C">
        <w:rPr>
          <w:rFonts w:asciiTheme="majorHAnsi" w:eastAsia="Yu Mincho" w:hAnsiTheme="majorHAnsi" w:cstheme="majorHAnsi"/>
          <w:color w:val="000000" w:themeColor="text1"/>
          <w:sz w:val="22"/>
          <w:szCs w:val="22"/>
          <w:lang w:eastAsia="ja-JP"/>
        </w:rPr>
        <w:t xml:space="preserve">an </w:t>
      </w:r>
      <w:r w:rsidRPr="005E6B7C">
        <w:rPr>
          <w:rFonts w:asciiTheme="majorHAnsi" w:eastAsia="Yu Mincho" w:hAnsiTheme="majorHAnsi" w:cstheme="majorHAnsi"/>
          <w:color w:val="000000" w:themeColor="text1"/>
          <w:sz w:val="22"/>
          <w:szCs w:val="22"/>
          <w:lang w:val="vi-VN" w:eastAsia="ja-JP"/>
        </w:rPr>
        <w:t xml:space="preserve">anti-inflammatory drug in traditional medicine. These results were consistent with the anti-inflammatory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t xml:space="preserve">effect, indicating that </w:t>
      </w:r>
      <w:r w:rsidRPr="005E6B7C">
        <w:rPr>
          <w:rFonts w:asciiTheme="majorHAnsi" w:eastAsia="Yu Mincho" w:hAnsiTheme="majorHAnsi" w:cstheme="majorHAnsi"/>
          <w:color w:val="000000" w:themeColor="text1"/>
          <w:sz w:val="22"/>
          <w:szCs w:val="22"/>
          <w:lang w:eastAsia="ja-JP"/>
        </w:rPr>
        <w:t>CPA</w:t>
      </w:r>
      <w:r w:rsidRPr="005E6B7C">
        <w:rPr>
          <w:rFonts w:asciiTheme="majorHAnsi" w:eastAsia="Yu Mincho" w:hAnsiTheme="majorHAnsi" w:cstheme="majorHAnsi"/>
          <w:color w:val="000000" w:themeColor="text1"/>
          <w:sz w:val="22"/>
          <w:szCs w:val="22"/>
          <w:lang w:val="vi-VN" w:eastAsia="ja-JP"/>
        </w:rPr>
        <w:t xml:space="preserve"> had the strongest anti-inflammatory effect by suppressing the LPS-induced production of NO and PGE2. Thereby, </w:t>
      </w:r>
      <w:r w:rsidRPr="005E6B7C">
        <w:rPr>
          <w:rFonts w:asciiTheme="majorHAnsi" w:eastAsia="Yu Mincho" w:hAnsiTheme="majorHAnsi" w:cstheme="majorHAnsi"/>
          <w:color w:val="000000" w:themeColor="text1"/>
          <w:sz w:val="22"/>
          <w:szCs w:val="22"/>
          <w:lang w:eastAsia="ja-JP"/>
        </w:rPr>
        <w:t>CPA</w:t>
      </w:r>
      <w:r w:rsidRPr="005E6B7C">
        <w:rPr>
          <w:rFonts w:asciiTheme="majorHAnsi" w:eastAsia="Yu Mincho" w:hAnsiTheme="majorHAnsi" w:cstheme="majorHAnsi"/>
          <w:color w:val="000000" w:themeColor="text1"/>
          <w:sz w:val="22"/>
          <w:szCs w:val="22"/>
          <w:lang w:val="vi-VN" w:eastAsia="ja-JP"/>
        </w:rPr>
        <w:t xml:space="preserve"> has the most potential </w:t>
      </w:r>
      <w:r w:rsidRPr="005E6B7C">
        <w:rPr>
          <w:rFonts w:asciiTheme="majorHAnsi" w:eastAsia="Yu Mincho" w:hAnsiTheme="majorHAnsi" w:cstheme="majorHAnsi"/>
          <w:color w:val="000000" w:themeColor="text1"/>
          <w:sz w:val="22"/>
          <w:szCs w:val="22"/>
          <w:lang w:eastAsia="ja-JP"/>
        </w:rPr>
        <w:t>for</w:t>
      </w:r>
      <w:r w:rsidRPr="005E6B7C">
        <w:rPr>
          <w:rFonts w:asciiTheme="majorHAnsi" w:eastAsia="Yu Mincho" w:hAnsiTheme="majorHAnsi" w:cstheme="majorHAnsi"/>
          <w:color w:val="000000" w:themeColor="text1"/>
          <w:sz w:val="22"/>
          <w:szCs w:val="22"/>
          <w:lang w:val="vi-VN" w:eastAsia="ja-JP"/>
        </w:rPr>
        <w:t xml:space="preserve"> evaluat</w:t>
      </w:r>
      <w:r w:rsidRPr="005E6B7C">
        <w:rPr>
          <w:rFonts w:asciiTheme="majorHAnsi" w:eastAsia="Yu Mincho" w:hAnsiTheme="majorHAnsi" w:cstheme="majorHAnsi"/>
          <w:color w:val="000000" w:themeColor="text1"/>
          <w:sz w:val="22"/>
          <w:szCs w:val="22"/>
          <w:lang w:eastAsia="ja-JP"/>
        </w:rPr>
        <w:t>ion in</w:t>
      </w:r>
      <w:r w:rsidRPr="005E6B7C">
        <w:rPr>
          <w:rFonts w:asciiTheme="majorHAnsi" w:eastAsia="Yu Mincho" w:hAnsiTheme="majorHAnsi" w:cstheme="majorHAnsi"/>
          <w:color w:val="000000" w:themeColor="text1"/>
          <w:sz w:val="22"/>
          <w:szCs w:val="22"/>
          <w:lang w:val="vi-VN" w:eastAsia="ja-JP"/>
        </w:rPr>
        <w:t xml:space="preserve"> </w:t>
      </w:r>
      <w:r w:rsidR="00894500" w:rsidRPr="005E6B7C">
        <w:rPr>
          <w:rFonts w:asciiTheme="majorHAnsi" w:eastAsia="Yu Mincho" w:hAnsiTheme="majorHAnsi" w:cstheme="majorHAnsi"/>
          <w:i/>
          <w:iCs/>
          <w:color w:val="000000" w:themeColor="text1"/>
          <w:sz w:val="22"/>
          <w:szCs w:val="22"/>
          <w:lang w:val="vi-VN" w:eastAsia="ja-JP"/>
        </w:rPr>
        <w:t>in vivo</w:t>
      </w:r>
      <w:r w:rsidRPr="005E6B7C">
        <w:rPr>
          <w:rFonts w:asciiTheme="majorHAnsi" w:eastAsia="Yu Mincho" w:hAnsiTheme="majorHAnsi" w:cstheme="majorHAnsi"/>
          <w:color w:val="000000" w:themeColor="text1"/>
          <w:sz w:val="22"/>
          <w:szCs w:val="22"/>
          <w:lang w:val="vi-VN" w:eastAsia="ja-JP"/>
        </w:rPr>
        <w:t xml:space="preserve"> model</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The </w:t>
      </w:r>
      <w:r w:rsidR="00894500" w:rsidRPr="005E6B7C">
        <w:rPr>
          <w:rFonts w:asciiTheme="majorHAnsi" w:eastAsia="Yu Mincho" w:hAnsiTheme="majorHAnsi" w:cstheme="majorHAnsi"/>
          <w:i/>
          <w:iCs/>
          <w:color w:val="000000" w:themeColor="text1"/>
          <w:sz w:val="22"/>
          <w:szCs w:val="22"/>
          <w:lang w:val="vi-VN" w:eastAsia="ja-JP"/>
        </w:rPr>
        <w:t>in vivo</w:t>
      </w:r>
      <w:r w:rsidRPr="005E6B7C">
        <w:rPr>
          <w:rFonts w:asciiTheme="majorHAnsi" w:eastAsia="Yu Mincho" w:hAnsiTheme="majorHAnsi" w:cstheme="majorHAnsi"/>
          <w:color w:val="000000" w:themeColor="text1"/>
          <w:sz w:val="22"/>
          <w:szCs w:val="22"/>
          <w:lang w:val="vi-VN" w:eastAsia="ja-JP"/>
        </w:rPr>
        <w:t xml:space="preserve"> anti-inflammatory activity of </w:t>
      </w:r>
      <w:r w:rsidRPr="005E6B7C">
        <w:rPr>
          <w:rFonts w:asciiTheme="majorHAnsi" w:eastAsia="Yu Mincho" w:hAnsiTheme="majorHAnsi" w:cstheme="majorHAnsi"/>
          <w:color w:val="000000" w:themeColor="text1"/>
          <w:sz w:val="22"/>
          <w:szCs w:val="22"/>
          <w:lang w:eastAsia="ja-JP"/>
        </w:rPr>
        <w:t>CPA</w:t>
      </w:r>
      <w:r w:rsidRPr="005E6B7C">
        <w:rPr>
          <w:rFonts w:asciiTheme="majorHAnsi" w:eastAsia="Yu Mincho" w:hAnsiTheme="majorHAnsi" w:cstheme="majorHAnsi"/>
          <w:color w:val="000000" w:themeColor="text1"/>
          <w:sz w:val="22"/>
          <w:szCs w:val="22"/>
          <w:lang w:val="vi-VN" w:eastAsia="ja-JP"/>
        </w:rPr>
        <w:t xml:space="preserve"> was confirmed by the carrageenan-induced paw edema model. Several inflammatory mediators, for example, histamine, serotonin, kinins, PGs, complement, and pro</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 xml:space="preserve">inflammatory cytokines, play a major role in paw edema caused by </w:t>
      </w:r>
      <w:r w:rsidRPr="005E6B7C">
        <w:rPr>
          <w:rFonts w:asciiTheme="majorHAnsi" w:eastAsia="Yu Mincho" w:hAnsiTheme="majorHAnsi" w:cstheme="majorHAnsi"/>
          <w:i/>
          <w:iCs/>
          <w:color w:val="000000" w:themeColor="text1"/>
          <w:sz w:val="22"/>
          <w:szCs w:val="22"/>
          <w:lang w:val="vi-VN" w:eastAsia="ja-JP"/>
        </w:rPr>
        <w:t>c</w:t>
      </w:r>
      <w:r w:rsidRPr="005E6B7C">
        <w:rPr>
          <w:rFonts w:asciiTheme="majorHAnsi" w:eastAsia="Yu Mincho" w:hAnsiTheme="majorHAnsi" w:cstheme="majorHAnsi"/>
          <w:i/>
          <w:iCs/>
          <w:color w:val="000000" w:themeColor="text1"/>
          <w:sz w:val="22"/>
          <w:szCs w:val="22"/>
          <w:lang w:eastAsia="ja-JP"/>
        </w:rPr>
        <w:t>arrageenan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&lt;EndNote&gt;&lt;Cite&gt;&lt;Author&gt;Di Rosa M. L.&lt;/Author&gt;&lt;Year&gt;1971&lt;/Year&gt;&lt;RecNum&gt;14&lt;/RecNum&gt;&lt;DisplayText&gt;[15]&lt;/DisplayText&gt;&lt;record&gt;&lt;rec-number&gt;14&lt;/rec-number&gt;&lt;foreign-keys&gt;&lt;key app="EN" db-id="0zafr0r9ns5ttqeezd65a9zx9txppretrezr" timestamp="1772683231"&gt;14&lt;/key&gt;&lt;/foreign-keys&gt;&lt;ref-type name="Journal Article"&gt;17&lt;/ref-type&gt;&lt;contributors&gt;&lt;authors&gt;&lt;author&gt;Di Rosa M. L.,&lt;/author&gt;&lt;author&gt;Giroud J. P.,&lt;/author&gt;&lt;author&gt;Willoughby D, A.&lt;/author&gt;&lt;/authors&gt;&lt;/contributors&gt;&lt;titles&gt;&lt;title&gt;Studies of the mediators of the acute inflammatory response induced in rats in different sites by carrageenan and turpentine&lt;/title&gt;&lt;secondary-title&gt;The Journal of Pathology&lt;/secondary-title&gt;&lt;/titles&gt;&lt;periodical&gt;&lt;full-title&gt;The Journal of Pathology&lt;/full-title&gt;&lt;/periodical&gt;&lt;pages&gt;15-29&lt;/pages&gt;&lt;volume&gt;104&lt;/volume&gt;&lt;number&gt;1&lt;/number&gt;&lt;dates&gt;&lt;year&gt;1971&lt;/year&gt;&lt;/dates&gt;&lt;isbn&gt;0022-3417&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5" w:tooltip="Di Rosa M. L., 1971 #14" w:history="1">
        <w:r w:rsidRPr="005E6B7C">
          <w:rPr>
            <w:rFonts w:asciiTheme="majorHAnsi" w:eastAsia="Yu Mincho" w:hAnsiTheme="majorHAnsi" w:cstheme="majorHAnsi"/>
            <w:noProof/>
            <w:color w:val="000000" w:themeColor="text1"/>
            <w:sz w:val="22"/>
            <w:szCs w:val="22"/>
            <w:lang w:eastAsia="ja-JP"/>
          </w:rPr>
          <w:t>15</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&lt;EndNote&gt;&lt;Cite&gt;&lt;Author&gt;Hirschelmann R.&lt;/Author&gt;&lt;Year&gt;1981&lt;/Year&gt;&lt;RecNum&gt;15&lt;/RecNum&gt;&lt;DisplayText&gt;[16]&lt;/DisplayText&gt;&lt;record&gt;&lt;rec-number&gt;15&lt;/rec-number&gt;&lt;foreign-keys&gt;&lt;key app="EN" db-id="0zafr0r9ns5ttqeezd65a9zx9txppretrezr" timestamp="1772683232"&gt;15&lt;/key&gt;&lt;/foreign-keys&gt;&lt;ref-type name="Journal Article"&gt;17&lt;/ref-type&gt;&lt;contributors&gt;&lt;authors&gt;&lt;author&gt;Hirschelmann R.,&lt;/author&gt;&lt;author&gt;Bekemeier H.&lt;/author&gt;&lt;/authors&gt;&lt;/contributors&gt;&lt;titles&gt;&lt;title&gt;Effects of catalase, peroxidase, superoxide dismutase and 10 scavengers of oxygen radicals in carrageenin edema and in adjuvant arthritis of rats&lt;/title&gt;&lt;secondary-title&gt;Experientia&lt;/secondary-title&gt;&lt;/titles&gt;&lt;periodical&gt;&lt;full-title&gt;Experientia&lt;/full-title&gt;&lt;/periodical&gt;&lt;pages&gt;1313-1314&lt;/pages&gt;&lt;volume&gt;37&lt;/volume&gt;&lt;number&gt;12&lt;/number&gt;&lt;dates&gt;&lt;year&gt;1981&lt;/year&gt;&lt;/dates&gt;&lt;isbn&gt;0014-4754&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6" w:tooltip="Hirschelmann R., 1981 #15" w:history="1">
        <w:r w:rsidRPr="005E6B7C">
          <w:rPr>
            <w:rFonts w:asciiTheme="majorHAnsi" w:eastAsia="Yu Mincho" w:hAnsiTheme="majorHAnsi" w:cstheme="majorHAnsi"/>
            <w:noProof/>
            <w:color w:val="000000" w:themeColor="text1"/>
            <w:sz w:val="22"/>
            <w:szCs w:val="22"/>
            <w:lang w:eastAsia="ja-JP"/>
          </w:rPr>
          <w:t>16</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The initial phase is caused by the release of histamine and serotonin, followed by the release of bradykinin during 1</w:t>
      </w:r>
      <w:r w:rsidRPr="005E6B7C">
        <w:rPr>
          <w:rFonts w:asciiTheme="majorHAnsi" w:eastAsia="Yu Mincho" w:hAnsiTheme="majorHAnsi" w:cstheme="majorHAnsi"/>
          <w:color w:val="000000" w:themeColor="text1"/>
          <w:sz w:val="22"/>
          <w:szCs w:val="22"/>
          <w:lang w:val="vi-VN" w:eastAsia="ja-JP"/>
        </w:rPr>
        <w:sym w:font="Symbol" w:char="F02D"/>
      </w:r>
      <w:r w:rsidRPr="005E6B7C">
        <w:rPr>
          <w:rFonts w:asciiTheme="majorHAnsi" w:eastAsia="Yu Mincho" w:hAnsiTheme="majorHAnsi" w:cstheme="majorHAnsi"/>
          <w:color w:val="000000" w:themeColor="text1"/>
          <w:sz w:val="22"/>
          <w:szCs w:val="22"/>
          <w:lang w:val="vi-VN" w:eastAsia="ja-JP"/>
        </w:rPr>
        <w:t>2 h after carrageenan injection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&lt;EndNote&gt;&lt;Cite&gt;&lt;Author&gt;Crunkhorn P.&lt;/Author&gt;&lt;Year&gt;1971&lt;/Year&gt;&lt;RecNum&gt;16&lt;/RecNum&gt;&lt;DisplayText&gt;[17]&lt;/DisplayText&gt;&lt;record&gt;&lt;rec-number&gt;16&lt;/rec-number&gt;&lt;foreign-keys&gt;&lt;key app="EN" db-id="0zafr0r9ns5ttqeezd65a9zx9txppretrezr" timestamp="1772683232"&gt;16&lt;/key&gt;&lt;/foreign-keys&gt;&lt;ref-type name="Journal Article"&gt;17&lt;/ref-type&gt;&lt;contributors&gt;&lt;authors&gt;&lt;author&gt;Crunkhorn P.,&lt;/author&gt;&lt;author&gt;Meacock S. C. R.&lt;/author&gt;&lt;/authors&gt;&lt;/contributors&gt;&lt;titles&gt;&lt;title&gt;Mediators of the inflammation induced in the rat paw by carrageenin&lt;/title&gt;&lt;secondary-title&gt;British Journal of Pharmacology&lt;/secondary-title&gt;&lt;/titles&gt;&lt;periodical&gt;&lt;full-title&gt;British Journal of Pharmacology&lt;/full-title&gt;&lt;/periodical&gt;&lt;pages&gt;392-402&lt;/pages&gt;&lt;volume&gt;42&lt;/volume&gt;&lt;number&gt;3&lt;/number&gt;&lt;dates&gt;&lt;year&gt;1971&lt;/year&gt;&lt;/dates&gt;&lt;isbn&gt;0007-1188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7" w:tooltip="Crunkhorn P., 1971 #16" w:history="1">
        <w:r w:rsidRPr="005E6B7C">
          <w:rPr>
            <w:rFonts w:asciiTheme="majorHAnsi" w:eastAsia="Yu Mincho" w:hAnsiTheme="majorHAnsi" w:cstheme="majorHAnsi"/>
            <w:noProof/>
            <w:color w:val="000000" w:themeColor="text1"/>
            <w:sz w:val="22"/>
            <w:szCs w:val="22"/>
            <w:lang w:eastAsia="ja-JP"/>
          </w:rPr>
          <w:t>17</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The release of PGs is closely associated with leukocyte migration to the inflamed site. The presence of PGs, particularly PGE2, in the inflammatory exudates from the injected foot can be demonstrated at 3 hours and thereafter</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&lt;EndNote&gt;&lt;Cite&gt;&lt;Author&gt;Di Rosa M.&lt;/Author&gt;&lt;Year&gt;1968&lt;/Year&gt;&lt;RecNum&gt;17&lt;/RecNum&gt;&lt;DisplayText&gt;[18]&lt;/DisplayText&gt;&lt;record&gt;&lt;rec-number&gt;17&lt;/rec-number&gt;&lt;foreign-keys&gt;&lt;key app="EN" db-id="0zafr0r9ns5ttqeezd65a9zx9txppretrezr" timestamp="1772683232"&gt;17&lt;/key&gt;&lt;/foreign-keys&gt;&lt;ref-type name="Journal Article"&gt;17&lt;/ref-type&gt;&lt;contributors&gt;&lt;authors&gt;&lt;author&gt;Di Rosa M.,&lt;/author&gt;&lt;author&gt;Sorrentino L.&lt;/author&gt;&lt;/authors&gt;&lt;/contributors&gt;&lt;titles&gt;&lt;title&gt;The mechanism of the inflammatory effect of carrageenin&lt;/title&gt;&lt;secondary-title&gt;European Journal of Pharmacology&lt;/secondary-title&gt;&lt;/titles&gt;&lt;periodical&gt;&lt;full-title&gt;European Journal of Pharmacology&lt;/full-title&gt;&lt;/periodical&gt;&lt;pages&gt;340-342&lt;/pages&gt;&lt;volume&gt;4&lt;/volume&gt;&lt;number&gt;3&lt;/number&gt;&lt;dates&gt;&lt;year&gt;1968&lt;/year&gt;&lt;/dates&gt;&lt;isbn&gt;0014-2999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8" w:tooltip="Di Rosa M., 1968 #17" w:history="1">
        <w:r w:rsidRPr="005E6B7C">
          <w:rPr>
            <w:rFonts w:asciiTheme="majorHAnsi" w:eastAsia="Yu Mincho" w:hAnsiTheme="majorHAnsi" w:cstheme="majorHAnsi"/>
            <w:noProof/>
            <w:color w:val="000000" w:themeColor="text1"/>
            <w:sz w:val="22"/>
            <w:szCs w:val="22"/>
            <w:lang w:eastAsia="ja-JP"/>
          </w:rPr>
          <w:t>18</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xml:space="preserve">. Oral administration of </w:t>
      </w:r>
      <w:r w:rsidRPr="005E6B7C">
        <w:rPr>
          <w:rFonts w:asciiTheme="majorHAnsi" w:eastAsia="Yu Mincho" w:hAnsiTheme="majorHAnsi" w:cstheme="majorHAnsi"/>
          <w:color w:val="000000" w:themeColor="text1"/>
          <w:sz w:val="22"/>
          <w:szCs w:val="22"/>
          <w:lang w:eastAsia="ja-JP"/>
        </w:rPr>
        <w:t>CPA</w:t>
      </w:r>
      <w:r w:rsidRPr="005E6B7C">
        <w:rPr>
          <w:rFonts w:asciiTheme="majorHAnsi" w:eastAsia="Yu Mincho" w:hAnsiTheme="majorHAnsi" w:cstheme="majorHAnsi"/>
          <w:color w:val="000000" w:themeColor="text1"/>
          <w:sz w:val="22"/>
          <w:szCs w:val="22"/>
          <w:lang w:val="vi-VN" w:eastAsia="ja-JP"/>
        </w:rPr>
        <w:t xml:space="preserve"> at two doses could reduce the swelling of carrageenan-induced paw edema with significant differences from control at 1,</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2,</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3, and 4 h, and was not different from the standard drug, aspirin. Oral administration of </w:t>
      </w:r>
      <w:r w:rsidRPr="005E6B7C">
        <w:rPr>
          <w:rFonts w:asciiTheme="majorHAnsi" w:eastAsia="Yu Mincho" w:hAnsiTheme="majorHAnsi" w:cstheme="majorHAnsi"/>
          <w:color w:val="000000" w:themeColor="text1"/>
          <w:sz w:val="22"/>
          <w:szCs w:val="22"/>
          <w:lang w:eastAsia="ja-JP"/>
        </w:rPr>
        <w:t>CPA</w:t>
      </w:r>
      <w:r w:rsidRPr="005E6B7C">
        <w:rPr>
          <w:rFonts w:asciiTheme="majorHAnsi" w:eastAsia="Yu Mincho" w:hAnsiTheme="majorHAnsi" w:cstheme="majorHAnsi"/>
          <w:color w:val="000000" w:themeColor="text1"/>
          <w:sz w:val="22"/>
          <w:szCs w:val="22"/>
          <w:lang w:val="vi-VN" w:eastAsia="ja-JP"/>
        </w:rPr>
        <w:t xml:space="preserve"> at a concentration of two doses showed the anti-inflammatory activity by inhibiting the acute phase of inflammation. The main mechanism of action may be due to inhibition of PGs synthesis. Moreover, the inhibitory effect of the extract may partly involve other acute inflammatory mediators such as histamine, serotonin, bradykinin, and proinflammatory cytokines, which are released during the 1</w:t>
      </w:r>
      <w:r w:rsidRPr="005E6B7C">
        <w:rPr>
          <w:rFonts w:asciiTheme="majorHAnsi" w:eastAsia="Yu Mincho" w:hAnsiTheme="majorHAnsi" w:cstheme="majorHAnsi"/>
          <w:color w:val="000000" w:themeColor="text1"/>
          <w:sz w:val="22"/>
          <w:szCs w:val="22"/>
          <w:vertAlign w:val="superscript"/>
          <w:lang w:val="vi-VN" w:eastAsia="ja-JP"/>
        </w:rPr>
        <w:t>st</w:t>
      </w:r>
      <w:r w:rsidRPr="005E6B7C">
        <w:rPr>
          <w:rFonts w:asciiTheme="majorHAnsi" w:eastAsia="Yu Mincho" w:hAnsiTheme="majorHAnsi" w:cstheme="majorHAnsi"/>
          <w:color w:val="000000" w:themeColor="text1"/>
          <w:sz w:val="22"/>
          <w:szCs w:val="22"/>
          <w:lang w:val="vi-VN" w:eastAsia="ja-JP"/>
        </w:rPr>
        <w:t xml:space="preserve"> hr after carrageenan injection. Using an LPS-induced systemic inflammation model in rats, we demonstrated that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lang w:val="vi-VN" w:eastAsia="ja-JP"/>
        </w:rPr>
        <w:t xml:space="preserve">bark of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ha</w:t>
      </w:r>
      <w:r w:rsidRPr="005E6B7C">
        <w:rPr>
          <w:rFonts w:asciiTheme="majorHAnsi" w:eastAsia="Yu Mincho" w:hAnsiTheme="majorHAnsi" w:cstheme="majorHAnsi"/>
          <w:color w:val="000000" w:themeColor="text1"/>
          <w:sz w:val="22"/>
          <w:szCs w:val="22"/>
          <w:lang w:eastAsia="ja-JP"/>
        </w:rPr>
        <w:t>s</w:t>
      </w:r>
      <w:r w:rsidRPr="005E6B7C">
        <w:rPr>
          <w:rFonts w:asciiTheme="majorHAnsi" w:eastAsia="Yu Mincho" w:hAnsiTheme="majorHAnsi" w:cstheme="majorHAnsi"/>
          <w:color w:val="000000" w:themeColor="text1"/>
          <w:sz w:val="22"/>
          <w:szCs w:val="22"/>
          <w:lang w:val="vi-VN" w:eastAsia="ja-JP"/>
        </w:rPr>
        <w:t xml:space="preserve"> anti-inflammatory activity via the regulation </w:t>
      </w:r>
      <w:r w:rsidRPr="005E6B7C">
        <w:rPr>
          <w:rFonts w:asciiTheme="majorHAnsi" w:eastAsia="Yu Mincho" w:hAnsiTheme="majorHAnsi" w:cstheme="majorHAnsi"/>
          <w:color w:val="000000" w:themeColor="text1"/>
          <w:sz w:val="22"/>
          <w:szCs w:val="22"/>
          <w:lang w:val="vi-VN" w:eastAsia="ja-JP"/>
        </w:rPr>
        <w:t xml:space="preserve">of pro- and anti-inflammatory cytokines. Treatment with barks of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rescued rats from lethal sepsis and protected them against LPS-induced endotoxemia; most LPS-treated rats died within 48 h after LPS injection and treatment with the bark extract of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improved the survival rate. In response to LPS, macrophages readily respond to the release of pro-inflammatory cytokines and chemokines such as IL-6</w:t>
      </w:r>
      <w:r w:rsidRPr="005E6B7C">
        <w:rPr>
          <w:rFonts w:asciiTheme="majorHAnsi" w:eastAsia="Yu Mincho" w:hAnsiTheme="majorHAnsi" w:cstheme="majorHAnsi"/>
          <w:color w:val="000000" w:themeColor="text1"/>
          <w:sz w:val="22"/>
          <w:szCs w:val="22"/>
          <w:lang w:eastAsia="ja-JP"/>
        </w:rPr>
        <w:t xml:space="preserve"> and</w:t>
      </w:r>
      <w:r w:rsidRPr="005E6B7C">
        <w:rPr>
          <w:rFonts w:asciiTheme="majorHAnsi" w:eastAsia="Yu Mincho" w:hAnsiTheme="majorHAnsi" w:cstheme="majorHAnsi"/>
          <w:color w:val="000000" w:themeColor="text1"/>
          <w:sz w:val="22"/>
          <w:szCs w:val="22"/>
          <w:lang w:val="vi-VN" w:eastAsia="ja-JP"/>
        </w:rPr>
        <w:t xml:space="preserve"> IL-1β</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&lt;EndNote&gt;&lt;Cite&gt;&lt;Author&gt;Kim N. H.&lt;/Author&gt;&lt;Year&gt;2010&lt;/Year&gt;&lt;RecNum&gt;18&lt;/RecNum&gt;&lt;DisplayText&gt;[19]&lt;/DisplayText&gt;&lt;record&gt;&lt;rec-number&gt;18&lt;/rec-number&gt;&lt;foreign-keys&gt;&lt;key app="EN" db-id="0zafr0r9ns5ttqeezd65a9zx9txppretrezr" timestamp="1772683232"&gt;18&lt;/key&gt;&lt;/foreign-keys&gt;&lt;ref-type name="Journal Article"&gt;17&lt;/ref-type&gt;&lt;contributors&gt;&lt;authors&gt;&lt;author&gt;Kim N. H.,&lt;/author&gt;&lt;author&gt;Son Y.,&lt;/author&gt;&lt;author&gt;Jeong S. O.,&lt;/author&gt;&lt;author&gt;Hur J. M.,&lt;/author&gt;&lt;author&gt;Bang H. S.,&lt;/author&gt;&lt;author&gt;Lee K. N.,&lt;/author&gt;&lt;author&gt;Kim E. C.,&lt;/author&gt;&lt;author&gt;Chung H. T.&lt;/author&gt;&lt;author&gt;Pae H. O.&lt;/author&gt;&lt;/authors&gt;&lt;/contributors&gt;&lt;titles&gt;&lt;title&gt;Tetrahydroabietic acid, a reduced abietic acid, inhibits the production of inflammatory mediators in RAW264. 7 macrophages activated with lipopolysaccharide&lt;/title&gt;&lt;secondary-title&gt;Journal of Clinical Biochemistry Nutrition&lt;/secondary-title&gt;&lt;/titles&gt;&lt;periodical&gt;&lt;full-title&gt;Journal of Clinical Biochemistry Nutrition&lt;/full-title&gt;&lt;/periodical&gt;&lt;pages&gt;119-125&lt;/pages&gt;&lt;volume&gt;46&lt;/volume&gt;&lt;number&gt;2&lt;/number&gt;&lt;dates&gt;&lt;year&gt;2010&lt;/year&gt;&lt;/dates&gt;&lt;isbn&gt;0912-0009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9" w:tooltip="Kim N. H., 2010 #18" w:history="1">
        <w:r w:rsidRPr="005E6B7C">
          <w:rPr>
            <w:rFonts w:asciiTheme="majorHAnsi" w:eastAsia="Yu Mincho" w:hAnsiTheme="majorHAnsi" w:cstheme="majorHAnsi"/>
            <w:noProof/>
            <w:color w:val="000000" w:themeColor="text1"/>
            <w:sz w:val="22"/>
            <w:szCs w:val="22"/>
            <w:lang w:eastAsia="ja-JP"/>
          </w:rPr>
          <w:t>19</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IL-6 and IL-1β play critical roles in macrophage activation and are associated with acute and chronic inflammation</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&lt;EndNote&gt;&lt;Cite&gt;&lt;Author&gt;Sampaio A. L. F.&lt;/Author&gt;&lt;Year&gt;2013&lt;/Year&gt;&lt;RecNum&gt;19&lt;/RecNum&gt;&lt;DisplayText&gt;[20]&lt;/DisplayText&gt;&lt;record&gt;&lt;rec-number&gt;19&lt;/rec-number&gt;&lt;foreign-keys&gt;&lt;key app="EN" db-id="0zafr0r9ns5ttqeezd65a9zx9txppretrezr" timestamp="1772683232"&gt;19&lt;/key&gt;&lt;/foreign-keys&gt;&lt;ref-type name="Journal Article"&gt;17&lt;/ref-type&gt;&lt;contributors&gt;&lt;authors&gt;&lt;author&gt;Sampaio A. L. F.,&lt;/author&gt;&lt;author&gt;Dalli J.,&lt;/author&gt;&lt;author&gt;Brancaleone V.,&lt;/author&gt;&lt;author&gt;D</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 xml:space="preserve"> Acquisto F.,&lt;/author&gt;&lt;author&gt;Perretti M.,&lt;/author&gt;&lt;author&gt;Wheatley C.&lt;/author&gt;&lt;/authors&gt;&lt;/contributors&gt;&lt;titles&gt;&lt;title&gt;Biphasic modulation of NOS expression, protein and nitrite products by hydroxocobalamin underlies its protective effect in endotoxemic shock: downstream regulation of COX</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2, IL</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1</w:instrText>
      </w:r>
      <w:r w:rsidRPr="005E6B7C">
        <w:rPr>
          <w:rFonts w:asciiTheme="majorHAnsi" w:eastAsia="Yu Mincho" w:hAnsiTheme="majorHAnsi" w:cstheme="majorHAnsi" w:hint="eastAsia"/>
          <w:color w:val="000000" w:themeColor="text1"/>
          <w:sz w:val="22"/>
          <w:szCs w:val="22"/>
          <w:lang w:eastAsia="ja-JP"/>
        </w:rPr>
        <w:instrText>β</w:instrText>
      </w:r>
      <w:r w:rsidRPr="005E6B7C">
        <w:rPr>
          <w:rFonts w:asciiTheme="majorHAnsi" w:eastAsia="Yu Mincho" w:hAnsiTheme="majorHAnsi" w:cstheme="majorHAnsi" w:hint="eastAsia"/>
          <w:color w:val="000000" w:themeColor="text1"/>
          <w:sz w:val="22"/>
          <w:szCs w:val="22"/>
          <w:lang w:eastAsia="ja-JP"/>
        </w:rPr>
        <w:instrText>, TNF</w:instrText>
      </w:r>
      <w:r w:rsidRPr="005E6B7C">
        <w:rPr>
          <w:rFonts w:asciiTheme="majorHAnsi" w:eastAsia="Yu Mincho" w:hAnsiTheme="majorHAnsi" w:cstheme="majorHAnsi" w:hint="eastAsia"/>
          <w:color w:val="000000" w:themeColor="text1"/>
          <w:sz w:val="22"/>
          <w:szCs w:val="22"/>
          <w:lang w:eastAsia="ja-JP"/>
        </w:rPr>
        <w:instrText>‐α</w:instrText>
      </w:r>
      <w:r w:rsidRPr="005E6B7C">
        <w:rPr>
          <w:rFonts w:asciiTheme="majorHAnsi" w:eastAsia="Yu Mincho" w:hAnsiTheme="majorHAnsi" w:cstheme="majorHAnsi" w:hint="eastAsia"/>
          <w:color w:val="000000" w:themeColor="text1"/>
          <w:sz w:val="22"/>
          <w:szCs w:val="22"/>
          <w:lang w:eastAsia="ja-JP"/>
        </w:rPr>
        <w:instrText>, IL</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6, and HMGB1 expression&lt;/title&gt;&lt;secondary-title&gt;Mediators of Inflammation&lt;/secondary-title&gt;&lt;/titles&gt;&lt;periodical&gt;&lt;full-title&gt;Mediators of Inflammation&lt;/full-title&gt;&lt;/periodical&gt;&lt;pages&gt;741804&lt;/pages&gt;&lt;volume&gt;2013&lt;/volume&gt;&lt;number&gt;1&lt;/number&gt;&lt;dates&gt;&lt;year&gt;2013&lt;/year&gt;&lt;/dates&gt;&lt;isbn&gt;1466-1861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0" w:tooltip="Sampaio A. L. F., 2013 #19" w:history="1">
        <w:r w:rsidRPr="005E6B7C">
          <w:rPr>
            <w:rFonts w:asciiTheme="majorHAnsi" w:eastAsia="Yu Mincho" w:hAnsiTheme="majorHAnsi" w:cstheme="majorHAnsi"/>
            <w:noProof/>
            <w:color w:val="000000" w:themeColor="text1"/>
            <w:sz w:val="22"/>
            <w:szCs w:val="22"/>
            <w:lang w:eastAsia="ja-JP"/>
          </w:rPr>
          <w:t>20</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&lt;EndNote&gt;&lt;Cite&gt;&lt;Author&gt;Xie C.&lt;/Author&gt;&lt;Year&gt;2012&lt;/Year&gt;&lt;RecNum&gt;20&lt;/RecNum&gt;&lt;DisplayText&gt;[21]&lt;/DisplayText&gt;&lt;record&gt;&lt;rec-number&gt;20&lt;/rec-number&gt;&lt;foreign-keys&gt;&lt;key app="EN" db-id="0zafr0r9ns5ttqeezd65a9zx9txppretrezr" timestamp="1772683232"&gt;20&lt;/key&gt;&lt;/foreign-keys&gt;&lt;ref-type name="Journal Article"&gt;17&lt;/ref-type&gt;&lt;contributors&gt;&lt;authors&gt;&lt;author&gt;Xie C.,&lt;/author&gt;&lt;author&gt;Kang J.,&lt;/author&gt;&lt;author&gt;Li Z.,&lt;/author&gt;&lt;author&gt;Schauss A. G.,&lt;/author&gt;&lt;author&gt;Badger T. M.,&lt;/author&gt;&lt;author&gt;Nagarajan S.,&lt;/author&gt;&lt;author&gt;Wu T.,&lt;/author&gt;&lt;author&gt;Wu X.&lt;/author&gt;&lt;/authors&gt;&lt;/contributors&gt;&lt;titles&gt;&lt;title&gt;The açaí flavonoid velutin is a potent anti-inflammatory agent: blockade of LPS-mediated TNF-α and IL-6 production through inhibiting NF-κB activation and MAPK pathway&lt;/title&gt;&lt;secondary-title&gt;The Journal of Nutritional Biochemistry&lt;/secondary-title&gt;&lt;/titles&gt;&lt;periodical&gt;&lt;full-title&gt;The Journal of Nutritional Biochemistry&lt;/full-title&gt;&lt;/periodical&gt;&lt;pages&gt;1184-1191&lt;/pages&gt;&lt;volume&gt;23&lt;/volume&gt;&lt;number&gt;9&lt;/number&gt;&lt;dates&gt;&lt;year&gt;2012&lt;/year&gt;&lt;/dates&gt;&lt;isbn&gt;0955-2863&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1" w:tooltip="Xie C., 2012 #20" w:history="1">
        <w:r w:rsidRPr="005E6B7C">
          <w:rPr>
            <w:rFonts w:asciiTheme="majorHAnsi" w:eastAsia="Yu Mincho" w:hAnsiTheme="majorHAnsi" w:cstheme="majorHAnsi"/>
            <w:noProof/>
            <w:color w:val="000000" w:themeColor="text1"/>
            <w:sz w:val="22"/>
            <w:szCs w:val="22"/>
            <w:lang w:eastAsia="ja-JP"/>
          </w:rPr>
          <w:t>21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In this study, CPA inhibited IL-6</w:t>
      </w:r>
      <w:r w:rsidRPr="005E6B7C">
        <w:rPr>
          <w:rFonts w:asciiTheme="majorHAnsi" w:eastAsia="Yu Mincho" w:hAnsiTheme="majorHAnsi" w:cstheme="majorHAnsi"/>
          <w:color w:val="000000" w:themeColor="text1"/>
          <w:sz w:val="22"/>
          <w:szCs w:val="22"/>
          <w:lang w:eastAsia="ja-JP"/>
        </w:rPr>
        <w:t xml:space="preserve"> and</w:t>
      </w:r>
      <w:r w:rsidRPr="005E6B7C">
        <w:rPr>
          <w:rFonts w:asciiTheme="majorHAnsi" w:eastAsia="Yu Mincho" w:hAnsiTheme="majorHAnsi" w:cstheme="majorHAnsi"/>
          <w:color w:val="000000" w:themeColor="text1"/>
          <w:sz w:val="22"/>
          <w:szCs w:val="22"/>
          <w:lang w:val="vi-VN" w:eastAsia="ja-JP"/>
        </w:rPr>
        <w:t xml:space="preserve"> IL-1β. These results indicate that </w:t>
      </w:r>
      <w:r w:rsidRPr="005E6B7C">
        <w:rPr>
          <w:rFonts w:asciiTheme="majorHAnsi" w:eastAsia="Yu Mincho" w:hAnsiTheme="majorHAnsi" w:cstheme="majorHAnsi"/>
          <w:color w:val="000000" w:themeColor="text1"/>
          <w:sz w:val="22"/>
          <w:szCs w:val="22"/>
          <w:lang w:eastAsia="ja-JP"/>
        </w:rPr>
        <w:t xml:space="preserve">the </w:t>
      </w:r>
      <w:r w:rsidRPr="005E6B7C">
        <w:rPr>
          <w:rFonts w:asciiTheme="majorHAnsi" w:eastAsia="Yu Mincho" w:hAnsiTheme="majorHAnsi" w:cstheme="majorHAnsi"/>
          <w:color w:val="000000" w:themeColor="text1"/>
          <w:sz w:val="22"/>
          <w:szCs w:val="22"/>
          <w:lang w:val="vi-VN" w:eastAsia="ja-JP"/>
        </w:rPr>
        <w:t xml:space="preserve">bark of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suppresses the inflammatory response via inhibition of pro-inflammatory cytokines.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and </w:t>
      </w:r>
      <w:r w:rsidRPr="005E6B7C">
        <w:rPr>
          <w:rFonts w:asciiTheme="majorHAnsi" w:eastAsia="Yu Mincho" w:hAnsiTheme="majorHAnsi" w:cstheme="majorHAnsi"/>
          <w:color w:val="000000" w:themeColor="text1"/>
          <w:sz w:val="22"/>
          <w:szCs w:val="22"/>
          <w:lang w:eastAsia="ja-JP"/>
        </w:rPr>
        <w:t xml:space="preserve">its </w:t>
      </w:r>
      <w:r w:rsidRPr="005E6B7C">
        <w:rPr>
          <w:rFonts w:asciiTheme="majorHAnsi" w:eastAsia="Yu Mincho" w:hAnsiTheme="majorHAnsi" w:cstheme="majorHAnsi"/>
          <w:color w:val="000000" w:themeColor="text1"/>
          <w:sz w:val="22"/>
          <w:szCs w:val="22"/>
          <w:lang w:val="vi-VN" w:eastAsia="ja-JP"/>
        </w:rPr>
        <w:t xml:space="preserve">components </w:t>
      </w:r>
      <w:r w:rsidRPr="005E6B7C">
        <w:rPr>
          <w:rFonts w:asciiTheme="majorHAnsi" w:eastAsia="Yu Mincho" w:hAnsiTheme="majorHAnsi" w:cstheme="majorHAnsi"/>
          <w:color w:val="000000" w:themeColor="text1"/>
          <w:sz w:val="22"/>
          <w:szCs w:val="22"/>
          <w:lang w:eastAsia="ja-JP"/>
        </w:rPr>
        <w:t xml:space="preserve">contain many alkaloids (e.g., berberine, palmatine, phellodendrine) known as anti-inflammatory agents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&lt;EndNote&gt;&lt;Cite&gt;&lt;Author&gt;Kim J. H.&lt;/Author&gt;&lt;Year&gt;2011&lt;/Year&gt;&lt;RecNum&gt;10&lt;/RecNum&gt;&lt;DisplayText&gt;[11]&lt;/DisplayText&gt;&lt;record&gt;&lt;rec-number&gt;10&lt;/rec-number&gt;&lt;foreign-keys&gt;&lt;key app="EN" db-id="0zafr0r9ns5ttqeezd65a9zx9txppretrezr" timestamp="1772683231"&gt;10&lt;/key&gt;&lt;/foreign-keys&gt;&lt;ref-type name="Journal Article"&gt;17&lt;/ref-type&gt;&lt;contributors&gt;&lt;authors&gt;&lt;author&gt;Kim J. H.,&lt;/author&gt;&lt;author&gt;Huh J. E.,&lt;/author&gt;&lt;author&gt;Baek Y. H.,&lt;/author&gt;&lt;author&gt;Lee J. D.,&lt;/author&gt;&lt;author&gt;Choi D. Y.,&lt;/author&gt;&lt;author&gt;Park D. S.&lt;/author&gt;&lt;/authors&gt;&lt;/contributors&gt;&lt;titles&gt;&lt;title&gt;&lt;style face="normal" font="default" size="100%"&gt;Effect of &lt;/style&gt;&lt;style face="italic" font="default" size="100%"&gt;Phellodendron amurense&lt;/style&gt;&lt;style face="normal" font="default" size="100%"&gt; in protecting human osteoarthritic cartilage and chondrocytes&lt;/style&gt;&lt;/title&gt;&lt;secondary-title&gt;Journal of Ethnopharmacology&lt;/secondary-title&gt;&lt;/titles&gt;&lt;periodical&gt;&lt;full-title&gt;Journal of Ethnopharmacology&lt;/full-title&gt;&lt;/periodical&gt;&lt;pages&gt;234-242&lt;/pages&gt;&lt;volume&gt;134&lt;/volume&gt;&lt;number&gt;2&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1" w:tooltip="Kim J. H., 2011 #10" w:history="1">
        <w:r w:rsidRPr="005E6B7C">
          <w:rPr>
            <w:rFonts w:asciiTheme="majorHAnsi" w:eastAsia="Yu Mincho" w:hAnsiTheme="majorHAnsi" w:cstheme="majorHAnsi"/>
            <w:noProof/>
            <w:color w:val="000000" w:themeColor="text1"/>
            <w:sz w:val="22"/>
            <w:szCs w:val="22"/>
            <w:lang w:eastAsia="ja-JP"/>
          </w:rPr>
          <w:t>11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&lt;EndNote&gt;&lt;Cite&gt;&lt;Author&gt;Choi Y. Y.&lt;/Author&gt;&lt;Year&gt;2014&lt;/Year&gt;&lt;RecNum&gt;21&lt;/RecNum&gt;&lt;DisplayText&gt;[22]&lt;/DisplayText&gt;&lt;record&gt;&lt;rec-number&gt;21&lt;/rec-number&gt;&lt;foreign-keys&gt;&lt;key app="EN" db-id="0zafr0r9ns5ttqeezd65a9zx9txppretrezr" timestamp="1772683232"&gt;21&lt;/key&gt;&lt;/foreign-keys&gt;&lt;ref-type name="Journal Article"&gt;17&lt;/ref-type&gt;&lt;contributors&gt;&lt;authors&gt;&lt;author&gt;Choi Y. Y.,&lt;/author&gt;&lt;author&gt;Kim M. H.,&lt;/author&gt;&lt;author&gt;Han J. M.,&lt;/author&gt;&lt;author&gt;Hong J.,&lt;/author&gt;&lt;author&gt;Lee T. H.,&lt;/author&gt;&lt;author&gt;Kim S. H.,&lt;/author&gt;&lt;author&gt;Yang W. M.&lt;/author&gt;&lt;/authors&gt;&lt;/contributors&gt;&lt;titles&gt;&lt;title&gt;&lt;style face="normal" font="default" size="100%"&gt;The anti-inflammatory potential of &lt;/style&gt;&lt;style face="italic" font="default" size="100%"&gt;Cortex Phellodendron in vivo &lt;/style&gt;&lt;style face="normal" font="default" size="100%"&gt;and &lt;/style&gt;&lt;style face="italic" font="default" size="100%"&gt;in vitro&lt;/style&gt;&lt;style face="normal" font="default" size="100%"&gt;: down-regulation of NO and iNOS through suppression of NF-κB and MAPK activation&lt;/style&gt;&lt;/title&gt;&lt;secondary-title&gt;International Immunopharmacology&lt;/secondary-title&gt;&lt;/titles&gt;&lt;periodical&gt;&lt;full-title&gt;International Immunopharmacology&lt;/full-title&gt;&lt;/periodical&gt;&lt;pages&gt;214-220&lt;/pages&gt;&lt;volume&gt;19&lt;/volume&gt;&lt;number&gt;2&lt;/number&gt;&lt;dates&gt;&lt;year&gt;2014&lt;/year&gt;&lt;/dates&gt;&lt;isbn&gt;1567-5769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2" w:tooltip="Choi Y. Y., 2014 #21" w:history="1">
        <w:r w:rsidRPr="005E6B7C">
          <w:rPr>
            <w:rFonts w:asciiTheme="majorHAnsi" w:eastAsia="Yu Mincho" w:hAnsiTheme="majorHAnsi" w:cstheme="majorHAnsi"/>
            <w:noProof/>
            <w:color w:val="000000" w:themeColor="text1"/>
            <w:sz w:val="22"/>
            <w:szCs w:val="22"/>
            <w:lang w:eastAsia="ja-JP"/>
          </w:rPr>
          <w:t>22</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&lt;EndNote&gt;&lt;Cite&gt;&lt;Author&gt;Sun Y.&lt;/Author&gt;&lt;Year&gt;2019&lt;/Year&gt;&lt;RecNum&gt;22&lt;/RecNum&gt;&lt;DisplayText&gt;[23]&lt;/DisplayText&gt;&lt;record&gt;&lt;rec-number&gt;22&lt;/rec-number&gt;&lt;foreign-keys&gt;&lt;key app="EN" db-id="0zafr0r9ns5ttqeezd65a9zx9txppretrezr" timestamp="1772683232"&gt;22&lt;/key&gt;&lt;/foreign-keys&gt;&lt;ref-type name="Journal Article"&gt;17&lt;/ref-type&gt;&lt;contributors&gt;&lt;authors&gt;&lt;author&gt;Sun Y.,&lt;/author&gt;&lt;author&gt;Lenon G. B.&lt;/author&gt;&lt;author&gt;Yang A. W. H.&lt;/author&gt;&lt;/authors&gt;&lt;/contributors&gt;&lt;titles&gt;&lt;title&gt;Phellodendri cortex: a phytochemical, pharmacological, and pharmacokinetic review&lt;/title&gt;&lt;secondary-title&gt;Evidence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Medicine&lt;/secondary-title&gt;&lt;/titles&gt;&lt;periodical&gt;&lt;full-title&gt;Evidence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full-title&gt;&lt;/periodical&gt;&lt;pages&gt;7621929&lt;/pages&gt;&lt;volume&gt;2019&lt;/volume&gt;&lt;number&gt;1&lt;/number&gt;&lt;dates&gt;&lt;year&gt;2019&lt;/year&gt;&lt;/dates&gt;&lt;isbn&gt;1741-4288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3" w:tooltip="Sun Y., 2019 #22" w:history="1">
        <w:r w:rsidRPr="005E6B7C">
          <w:rPr>
            <w:rFonts w:asciiTheme="majorHAnsi" w:eastAsia="Yu Mincho" w:hAnsiTheme="majorHAnsi" w:cstheme="majorHAnsi"/>
            <w:noProof/>
            <w:color w:val="000000" w:themeColor="text1"/>
            <w:sz w:val="22"/>
            <w:szCs w:val="22"/>
            <w:lang w:eastAsia="ja-JP"/>
          </w:rPr>
          <w:t>23</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&lt;EndNote&gt;&lt;Cite&gt;&lt;Author&gt;Xian Y. F.&lt;/Author&gt;&lt;Year&gt;2011&lt;/Year&gt;&lt;RecNum&gt;23&lt;/RecNum&gt;&lt;DisplayText&gt;[24]&lt;/DisplayText&gt;&lt;record&gt;&lt;rec-number&gt;23&lt;/rec-number&gt;&lt;foreign-keys&gt;&lt;key app="EN" db-id="0zafr0r9ns5ttqeezd65a9zx9txppretrezr" timestamp="1772683232"&gt;23&lt;/key&gt;&lt;/foreign-keys&gt;&lt;ref-type name="Journal Article"&gt;17&lt;/ref-type&gt;&lt;contributors&gt;&lt;authors&gt;&lt;author&gt;Xian Y. F.,&lt;/author&gt;&lt;author&gt;Mao Q. Q.,&lt;/author&gt;&lt;author&gt;Ip S. P.,&lt;/author&gt;&lt;author&gt;Lin Z. X.,&lt;/author&gt;&lt;author&gt;Che C. T.&lt;/author&gt;&lt;/authors&gt;&lt;/contributors&gt;&lt;titles&gt;&lt;title&gt;&lt;style face="normal" font="default" size="100%"&gt;Comparison on the anti-inflammatory effect of &lt;/style&gt;&lt;style face="italic" font="default" size="100%"&gt;Cortex Phellodendri Chinensis&lt;/style&gt;&lt;style face="normal" font="default" size="100%"&gt; and &lt;/style&gt;&lt;style face="italic" font="default" size="100%"&gt;Cortex Phellodendri Amurensis&lt;/style&gt;&lt;style face="normal" font="default" size="100%"&gt; in 12-&lt;/style&gt;&lt;style face="italic" font="default" size="100%"&gt;O&lt;/style&gt;&lt;style face="normal" font="default" size="100%"&gt;-tetradecanoyl-phorbol-13-acetate-induced ear edema in mice&lt;/style&gt;&lt;/title&gt;&lt;secondary-title&gt;Journal of Ethnopharmacology&lt;/secondary-title&gt;&lt;/titles&gt;&lt;periodical&gt;&lt;full-title&gt;Journal of Ethnopharmacology&lt;/full-title&gt;&lt;/periodical&gt;&lt;pages&gt;1425-1430&lt;/pages&gt;&lt;volume&gt;137&lt;/volume&gt;&lt;number&gt;3&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4" w:tooltip="Xian Y. F., 2011 #23" w:history="1">
        <w:r w:rsidRPr="005E6B7C">
          <w:rPr>
            <w:rFonts w:asciiTheme="majorHAnsi" w:eastAsia="Yu Mincho" w:hAnsiTheme="majorHAnsi" w:cstheme="majorHAnsi"/>
            <w:noProof/>
            <w:color w:val="000000" w:themeColor="text1"/>
            <w:sz w:val="22"/>
            <w:szCs w:val="22"/>
            <w:lang w:eastAsia="ja-JP"/>
          </w:rPr>
          <w:t>24</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val="vi-VN" w:eastAsia="ja-JP"/>
        </w:rPr>
        <w:t xml:space="preserve">. The results we obtained are similar to those reported worldwide regarding the anti-inflammatory effects of the bark of the </w:t>
      </w:r>
      <w:r w:rsidRPr="005E6B7C">
        <w:rPr>
          <w:rFonts w:asciiTheme="majorHAnsi" w:eastAsia="Yu Mincho" w:hAnsiTheme="majorHAnsi" w:cstheme="majorHAnsi"/>
          <w:i/>
          <w:color w:val="000000" w:themeColor="text1"/>
          <w:sz w:val="22"/>
          <w:szCs w:val="22"/>
          <w:lang w:val="vi-VN" w:eastAsia="ja-JP"/>
        </w:rPr>
        <w:t>P.</w:t>
      </w:r>
      <w:r w:rsidRPr="005E6B7C">
        <w:rPr>
          <w:rFonts w:asciiTheme="majorHAnsi" w:eastAsia="Yu Mincho" w:hAnsiTheme="majorHAnsi" w:cstheme="majorHAnsi"/>
          <w:i/>
          <w:color w:val="000000" w:themeColor="text1"/>
          <w:sz w:val="22"/>
          <w:szCs w:val="22"/>
          <w:lang w:eastAsia="ja-JP"/>
        </w:rPr>
        <w:t xml:space="preserve"> amurense</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tree and its components </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&lt;EndNote&gt;&lt;Cite&gt;&lt;Author&gt;Kim J. H.&lt;/Author&gt;&lt;Year&gt;2011&lt;/Year&gt;&lt;RecNum&gt;10&lt;/RecNum&gt;&lt;DisplayText&gt;[11]&lt;/DisplayText&gt;&lt;record&gt;&lt;rec-number&gt;10&lt;/rec-number&gt;&lt;foreign-keys&gt;&lt;key app="EN" db-id="0zafr0r9ns5ttqeezd65a9zx9txppretrezr" timestamp="1772683231"&gt;10&lt;/key&gt;&lt;/foreign-keys&gt;&lt;ref-type name="Journal Article"&gt;17&lt;/ref-type&gt;&lt;contributors&gt;&lt;authors&gt;&lt;author&gt;Kim J. H.,&lt;/author&gt;&lt;author&gt;Huh J. E.,&lt;/author&gt;&lt;author&gt;Baek Y. H.,&lt;/author&gt;&lt;author&gt;Lee J. D.,&lt;/author&gt;&lt;author&gt;Choi D. Y.,&lt;/author&gt;&lt;author&gt;Park D. S.&lt;/author&gt;&lt;/authors&gt;&lt;/contributors&gt;&lt;titles&gt;&lt;title&gt;&lt;style face="normal" font="default" size="100%"&gt;Effect of &lt;/style&gt;&lt;style face="italic" font="default" size="100%"&gt;Phellodendron amurense&lt;/style&gt;&lt;style face="normal" font="default" size="100%"&gt; in protecting human osteoarthritic cartilage and chondrocytes&lt;/style&gt;&lt;/title&gt;&lt;secondary-title&gt;Journal of Ethnopharmacology&lt;/secondary-title&gt;&lt;/titles&gt;&lt;periodical&gt;&lt;full-title&gt;Journal of Ethnopharmacology&lt;/full-title&gt;&lt;/periodical&gt;&lt;pages&gt;234-242&lt;/pages&gt;&lt;volume&gt;134&lt;/volume&gt;&lt;number&gt;2&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11" w:tooltip="Kim J. H., 2011 #10" w:history="1">
        <w:r w:rsidRPr="005E6B7C">
          <w:rPr>
            <w:rFonts w:asciiTheme="majorHAnsi" w:eastAsia="Yu Mincho" w:hAnsiTheme="majorHAnsi" w:cstheme="majorHAnsi"/>
            <w:noProof/>
            <w:color w:val="000000" w:themeColor="text1"/>
            <w:sz w:val="22"/>
            <w:szCs w:val="22"/>
            <w:lang w:eastAsia="ja-JP"/>
          </w:rPr>
          <w:t>11</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&lt;EndNote&gt;&lt;Cite&gt;&lt;Author&gt;Choi Y. Y.&lt;/Author&gt;&lt;Year&gt;2014&lt;/Year&gt;&lt;RecNum&gt;21&lt;/RecNum&gt;&lt;DisplayText&gt;[22]&lt;/DisplayText&gt;&lt;record&gt;&lt;rec-number&gt;21&lt;/rec-number&gt;&lt;foreign-keys&gt;&lt;key app="EN" db-id="0zafr0r9ns5ttqeezd65a9zx9txppretrezr" timestamp="1772683232"&gt;21&lt;/key&gt;&lt;/foreign-keys&gt;&lt;ref-type name="Journal Article"&gt;17&lt;/ref-type&gt;&lt;contributors&gt;&lt;authors&gt;&lt;author&gt;Choi Y. Y.,&lt;/author&gt;&lt;author&gt;Kim M. H.,&lt;/author&gt;&lt;author&gt;Han J. M.,&lt;/author&gt;&lt;author&gt;Hong J.,&lt;/author&gt;&lt;author&gt;Lee T. H.,&lt;/author&gt;&lt;author&gt;Kim S. H.,&lt;/author&gt;&lt;author&gt;Yang W. M.&lt;/author&gt;&lt;/authors&gt;&lt;/contributors&gt;&lt;titles&gt;&lt;title&gt;&lt;style face="normal" font="default" size="100%"&gt;The anti-inflammatory potential of &lt;/style&gt;&lt;style face="italic" font="default" size="100%"&gt;Cortex Phellodendron in vivo &lt;/style&gt;&lt;style face="normal" font="default" size="100%"&gt;and &lt;/style&gt;&lt;style face="italic" font="default" size="100%"&gt;in vitro&lt;/style&gt;&lt;style face="normal" font="default" size="100%"&gt;: down-regulation of NO and iNOS through suppression of NF-κB and MAPK activation&lt;/style&gt;&lt;/title&gt;&lt;secondary-title&gt;International Immunopharmacology&lt;/secondary-title&gt;&lt;/titles&gt;&lt;periodical&gt;&lt;full-title&gt;International Immunopharmacology&lt;/full-title&gt;&lt;/periodical&gt;&lt;pages&gt;214-220&lt;/pages&gt;&lt;volume&gt;19&lt;/volume&gt;&lt;number&gt;2&lt;/number&gt;&lt;dates&gt;&lt;year&gt;2014&lt;/year&gt;&lt;/dates&gt;&lt;isbn&gt;1567-5769&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2" w:tooltip="Choi Y. Y., 2014 #21" w:history="1">
        <w:r w:rsidRPr="005E6B7C">
          <w:rPr>
            <w:rFonts w:asciiTheme="majorHAnsi" w:eastAsia="Yu Mincho" w:hAnsiTheme="majorHAnsi" w:cstheme="majorHAnsi"/>
            <w:noProof/>
            <w:color w:val="000000" w:themeColor="text1"/>
            <w:sz w:val="22"/>
            <w:szCs w:val="22"/>
            <w:lang w:eastAsia="ja-JP"/>
          </w:rPr>
          <w:t>22</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hint="eastAsia"/>
          <w:color w:val="000000" w:themeColor="text1"/>
          <w:sz w:val="22"/>
          <w:szCs w:val="22"/>
          <w:lang w:eastAsia="ja-JP"/>
        </w:rPr>
        <w:instrText xml:space="preserve"> ADDIN EN.CITE &lt;EndNote&gt;&lt;Cite&gt;&lt;Author&gt;Sun Y.&lt;/Author&gt;&lt;Year&gt;2019&lt;/Year&gt;&lt;RecNum&gt;22&lt;/RecNum&gt;&lt;DisplayText&gt;[23]&lt;/DisplayText&gt;&lt;record&gt;&lt;rec-number&gt;22&lt;/rec-number&gt;&lt;foreign-keys&gt;&lt;key app="EN" db-id="0zafr0r9ns5ttqeezd65a9zx9txppretrezr" timestamp="1772683232"&gt;22&lt;/key&gt;&lt;/foreign-keys&gt;&lt;ref-type name="Journal Article"&gt;17&lt;/ref-type&gt;&lt;contributors&gt;&lt;authors&gt;&lt;author&gt;Sun Y.,&lt;/author&gt;&lt;author&gt;Lenon G. B.&lt;/author&gt;&lt;author&gt;Yang A. W. H.&lt;/author&gt;&lt;/authors&gt;&lt;/contributors&gt;&lt;titles&gt;&lt;title&gt;Phellodendri cortex: a phytochemical, pharmacological, and pharmacokinetic review&lt;/title&gt;&lt;secondary-title&gt;Evidence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Medicine&lt;/secondary-title&gt;&lt;/titles&gt;&lt;periodical&gt;&lt;full-title&gt;Evidence</w:instrText>
      </w:r>
      <w:r w:rsidRPr="005E6B7C">
        <w:rPr>
          <w:rFonts w:asciiTheme="majorHAnsi" w:eastAsia="Yu Mincho" w:hAnsiTheme="majorHAnsi" w:cstheme="majorHAnsi" w:hint="eastAsia"/>
          <w:color w:val="000000" w:themeColor="text1"/>
          <w:sz w:val="22"/>
          <w:szCs w:val="22"/>
          <w:lang w:eastAsia="ja-JP"/>
        </w:rPr>
        <w:instrText>‐</w:instrText>
      </w:r>
      <w:r w:rsidRPr="005E6B7C">
        <w:rPr>
          <w:rFonts w:asciiTheme="majorHAnsi" w:eastAsia="Yu Mincho" w:hAnsiTheme="majorHAnsi" w:cstheme="majorHAnsi" w:hint="eastAsia"/>
          <w:color w:val="000000" w:themeColor="text1"/>
          <w:sz w:val="22"/>
          <w:szCs w:val="22"/>
          <w:lang w:eastAsia="ja-JP"/>
        </w:rPr>
        <w:instrText>Based Complementary Alternative Medicine&lt;/full-title&gt;&lt;/periodical&gt;&lt;pages&gt;7621929&lt;/pages&gt;&lt;volume&gt;2019&lt;/volume&gt;&lt;number&gt;1&lt;/number&gt;&lt;dates&gt;&lt;year&gt;2019&lt;/year&gt;&lt;/dates&gt;&lt;isbn&gt;1741-4288&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3" w:tooltip="Sun Y., 2019 #22" w:history="1">
        <w:r w:rsidRPr="005E6B7C">
          <w:rPr>
            <w:rFonts w:asciiTheme="majorHAnsi" w:eastAsia="Yu Mincho" w:hAnsiTheme="majorHAnsi" w:cstheme="majorHAnsi"/>
            <w:noProof/>
            <w:color w:val="000000" w:themeColor="text1"/>
            <w:sz w:val="22"/>
            <w:szCs w:val="22"/>
            <w:lang w:eastAsia="ja-JP"/>
          </w:rPr>
          <w:t>23</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begin"/>
      </w:r>
      <w:r w:rsidRPr="005E6B7C">
        <w:rPr>
          <w:rFonts w:asciiTheme="majorHAnsi" w:eastAsia="Yu Mincho" w:hAnsiTheme="majorHAnsi" w:cstheme="majorHAnsi"/>
          <w:color w:val="000000" w:themeColor="text1"/>
          <w:sz w:val="22"/>
          <w:szCs w:val="22"/>
          <w:lang w:eastAsia="ja-JP"/>
        </w:rPr>
        <w:instrText xml:space="preserve"> ADDIN EN.CITE &lt;EndNote&gt;&lt;Cite&gt;&lt;Author&gt;Xian Y. F.&lt;/Author&gt;&lt;Year&gt;2011&lt;/Year&gt;&lt;RecNum&gt;23&lt;/RecNum&gt;&lt;DisplayText&gt;[24]&lt;/DisplayText&gt;&lt;record&gt;&lt;rec-number&gt;23&lt;/rec-number&gt;&lt;foreign-keys&gt;&lt;key app="EN" db-id="0zafr0r9ns5ttqeezd65a9zx9txppretrezr" timestamp="1772683232"&gt;23&lt;/key&gt;&lt;/foreign-keys&gt;&lt;ref-type name="Journal Article"&gt;17&lt;/ref-type&gt;&lt;contributors&gt;&lt;authors&gt;&lt;author&gt;Xian Y. F.,&lt;/author&gt;&lt;author&gt;Mao Q. Q.,&lt;/author&gt;&lt;author&gt;Ip S. P.,&lt;/author&gt;&lt;author&gt;Lin Z. X.,&lt;/author&gt;&lt;author&gt;Che C. T.&lt;/author&gt;&lt;/authors&gt;&lt;/contributors&gt;&lt;titles&gt;&lt;title&gt;&lt;style face="normal" font="default" size="100%"&gt;Comparison on the anti-inflammatory effect of &lt;/style&gt;&lt;style face="italic" font="default" size="100%"&gt;Cortex Phellodendri Chinensis&lt;/style&gt;&lt;style face="normal" font="default" size="100%"&gt; and &lt;/style&gt;&lt;style face="italic" font="default" size="100%"&gt;Cortex Phellodendri Amurensis&lt;/style&gt;&lt;style face="normal" font="default" size="100%"&gt; in 12-&lt;/style&gt;&lt;style face="italic" font="default" size="100%"&gt;O&lt;/style&gt;&lt;style face="normal" font="default" size="100%"&gt;-tetradecanoyl-phorbol-13-acetate-induced ear edema in mice&lt;/style&gt;&lt;/title&gt;&lt;secondary-title&gt;Journal of Ethnopharmacology&lt;/secondary-title&gt;&lt;/titles&gt;&lt;periodical&gt;&lt;full-title&gt;Journal of Ethnopharmacology&lt;/full-title&gt;&lt;/periodical&gt;&lt;pages&gt;1425-1430&lt;/pages&gt;&lt;volume&gt;137&lt;/volume&gt;&lt;number&gt;3&lt;/number&gt;&lt;dates&gt;&lt;year&gt;2011&lt;/year&gt;&lt;/dates&gt;&lt;isbn&gt;0378-8741&lt;/isbn&gt;&lt;urls&gt;&lt;/urls&gt;&lt;/record&gt;&lt;/Cite&gt;&lt;/EndNote&gt;</w:instrText>
      </w:r>
      <w:r w:rsidRPr="005E6B7C">
        <w:rPr>
          <w:rFonts w:asciiTheme="majorHAnsi" w:eastAsia="Yu Mincho" w:hAnsiTheme="majorHAnsi" w:cstheme="majorHAnsi"/>
          <w:color w:val="000000" w:themeColor="text1"/>
          <w:sz w:val="22"/>
          <w:szCs w:val="22"/>
          <w:lang w:eastAsia="ja-JP"/>
        </w:rPr>
        <w:fldChar w:fldCharType="separate"/>
      </w:r>
      <w:r w:rsidRPr="005E6B7C">
        <w:rPr>
          <w:rFonts w:asciiTheme="majorHAnsi" w:eastAsia="Yu Mincho" w:hAnsiTheme="majorHAnsi" w:cstheme="majorHAnsi"/>
          <w:noProof/>
          <w:color w:val="000000" w:themeColor="text1"/>
          <w:sz w:val="22"/>
          <w:szCs w:val="22"/>
          <w:lang w:eastAsia="ja-JP"/>
        </w:rPr>
        <w:t>[</w:t>
      </w:r>
      <w:hyperlink w:anchor="_ENREF_24" w:tooltip="Xian Y. F., 2011 #23" w:history="1">
        <w:r w:rsidRPr="005E6B7C">
          <w:rPr>
            <w:rFonts w:asciiTheme="majorHAnsi" w:eastAsia="Yu Mincho" w:hAnsiTheme="majorHAnsi" w:cstheme="majorHAnsi"/>
            <w:noProof/>
            <w:color w:val="000000" w:themeColor="text1"/>
            <w:sz w:val="22"/>
            <w:szCs w:val="22"/>
            <w:lang w:eastAsia="ja-JP"/>
          </w:rPr>
          <w:t>24</w:t>
        </w:r>
      </w:hyperlink>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fldChar w:fldCharType="end"/>
      </w:r>
      <w:r w:rsidRPr="005E6B7C">
        <w:rPr>
          <w:rFonts w:asciiTheme="majorHAnsi" w:eastAsia="Yu Mincho" w:hAnsiTheme="majorHAnsi" w:cstheme="majorHAnsi"/>
          <w:color w:val="000000" w:themeColor="text1"/>
          <w:sz w:val="22"/>
          <w:szCs w:val="22"/>
          <w:lang w:eastAsia="ja-JP"/>
        </w:rPr>
        <w:t>.</w:t>
      </w:r>
    </w:p>
    <w:p w14:paraId="68C41F8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color w:val="000000" w:themeColor="text1"/>
          <w:sz w:val="22"/>
          <w:szCs w:val="22"/>
          <w:lang w:val="vi-VN" w:eastAsia="ja-JP"/>
        </w:rPr>
      </w:pPr>
      <w:r w:rsidRPr="005E6B7C">
        <w:rPr>
          <w:rFonts w:asciiTheme="majorHAnsi" w:eastAsia="Yu Mincho" w:hAnsiTheme="majorHAnsi" w:cstheme="majorHAnsi"/>
          <w:b/>
          <w:color w:val="000000" w:themeColor="text1"/>
          <w:sz w:val="22"/>
          <w:szCs w:val="22"/>
          <w:lang w:eastAsia="ja-JP"/>
        </w:rPr>
        <w:t>5</w:t>
      </w:r>
      <w:r w:rsidRPr="005E6B7C">
        <w:rPr>
          <w:rFonts w:asciiTheme="majorHAnsi" w:eastAsia="Yu Mincho" w:hAnsiTheme="majorHAnsi" w:cstheme="majorHAnsi"/>
          <w:b/>
          <w:color w:val="000000" w:themeColor="text1"/>
          <w:sz w:val="22"/>
          <w:szCs w:val="22"/>
          <w:lang w:val="vi-VN" w:eastAsia="ja-JP"/>
        </w:rPr>
        <w:t>. Conclusion</w:t>
      </w:r>
    </w:p>
    <w:p w14:paraId="46F97F3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This study demonstrated that the anti-inflammatory effects of </w:t>
      </w:r>
      <w:r w:rsidRPr="005E6B7C">
        <w:rPr>
          <w:rFonts w:asciiTheme="majorHAnsi" w:eastAsia="Yu Mincho" w:hAnsiTheme="majorHAnsi" w:cstheme="majorHAnsi"/>
          <w:i/>
          <w:iCs/>
          <w:color w:val="000000" w:themeColor="text1"/>
          <w:spacing w:val="4"/>
          <w:sz w:val="22"/>
          <w:szCs w:val="22"/>
          <w:lang w:eastAsia="ja-JP"/>
        </w:rPr>
        <w:t>P. amurense</w:t>
      </w:r>
      <w:r w:rsidRPr="005E6B7C">
        <w:rPr>
          <w:rFonts w:asciiTheme="majorHAnsi" w:eastAsia="Yu Mincho" w:hAnsiTheme="majorHAnsi" w:cstheme="majorHAnsi"/>
          <w:color w:val="000000" w:themeColor="text1"/>
          <w:spacing w:val="4"/>
          <w:sz w:val="22"/>
          <w:szCs w:val="22"/>
          <w:lang w:eastAsia="ja-JP"/>
        </w:rPr>
        <w:t xml:space="preserve"> bark are closely associated with the inhibition of key inflammatory mediators, including NO, PGE2, and pro-inflammatory cytokines such as IL-6 and IL-1β. Initial </w:t>
      </w:r>
      <w:r w:rsidR="00894500" w:rsidRPr="005E6B7C">
        <w:rPr>
          <w:rFonts w:asciiTheme="majorHAnsi" w:eastAsia="Yu Mincho" w:hAnsiTheme="majorHAnsi" w:cstheme="majorHAnsi"/>
          <w:i/>
          <w:iCs/>
          <w:color w:val="000000" w:themeColor="text1"/>
          <w:spacing w:val="4"/>
          <w:sz w:val="22"/>
          <w:szCs w:val="22"/>
          <w:lang w:eastAsia="ja-JP"/>
        </w:rPr>
        <w:t>in vitro</w:t>
      </w:r>
      <w:r w:rsidRPr="005E6B7C">
        <w:rPr>
          <w:rFonts w:asciiTheme="majorHAnsi" w:eastAsia="Yu Mincho" w:hAnsiTheme="majorHAnsi" w:cstheme="majorHAnsi"/>
          <w:color w:val="000000" w:themeColor="text1"/>
          <w:spacing w:val="4"/>
          <w:sz w:val="22"/>
          <w:szCs w:val="22"/>
          <w:lang w:eastAsia="ja-JP"/>
        </w:rPr>
        <w:t xml:space="preserve"> screening in LPS-stimulated RAW 264.7 macrophages identified the CH</w:t>
      </w:r>
      <w:r w:rsidRPr="005E6B7C">
        <w:rPr>
          <w:rFonts w:asciiTheme="majorHAnsi" w:eastAsia="Yu Mincho" w:hAnsiTheme="majorHAnsi" w:cstheme="majorHAnsi"/>
          <w:color w:val="000000" w:themeColor="text1"/>
          <w:spacing w:val="4"/>
          <w:sz w:val="22"/>
          <w:szCs w:val="22"/>
          <w:vertAlign w:val="subscript"/>
          <w:lang w:eastAsia="ja-JP"/>
        </w:rPr>
        <w:t>2</w:t>
      </w:r>
      <w:r w:rsidRPr="005E6B7C">
        <w:rPr>
          <w:rFonts w:asciiTheme="majorHAnsi" w:eastAsia="Yu Mincho" w:hAnsiTheme="majorHAnsi" w:cstheme="majorHAnsi"/>
          <w:color w:val="000000" w:themeColor="text1"/>
          <w:spacing w:val="4"/>
          <w:sz w:val="22"/>
          <w:szCs w:val="22"/>
          <w:lang w:eastAsia="ja-JP"/>
        </w:rPr>
        <w:t>Cl</w:t>
      </w:r>
      <w:r w:rsidRPr="005E6B7C">
        <w:rPr>
          <w:rFonts w:asciiTheme="majorHAnsi" w:eastAsia="Yu Mincho" w:hAnsiTheme="majorHAnsi" w:cstheme="majorHAnsi"/>
          <w:color w:val="000000" w:themeColor="text1"/>
          <w:spacing w:val="4"/>
          <w:sz w:val="22"/>
          <w:szCs w:val="22"/>
          <w:vertAlign w:val="subscript"/>
          <w:lang w:eastAsia="ja-JP"/>
        </w:rPr>
        <w:t>2</w:t>
      </w:r>
      <w:r w:rsidRPr="005E6B7C">
        <w:rPr>
          <w:rFonts w:asciiTheme="majorHAnsi" w:eastAsia="Yu Mincho" w:hAnsiTheme="majorHAnsi" w:cstheme="majorHAnsi"/>
          <w:color w:val="000000" w:themeColor="text1"/>
          <w:spacing w:val="4"/>
          <w:sz w:val="22"/>
          <w:szCs w:val="22"/>
          <w:lang w:eastAsia="ja-JP"/>
        </w:rPr>
        <w:t xml:space="preserve"> extract as the most potent extract, showing strong inhibition of NO and PGE2 production with low IC</w:t>
      </w:r>
      <w:r w:rsidRPr="005E6B7C">
        <w:rPr>
          <w:rFonts w:asciiTheme="majorHAnsi" w:eastAsia="Yu Mincho" w:hAnsiTheme="majorHAnsi" w:cstheme="majorHAnsi"/>
          <w:color w:val="000000" w:themeColor="text1"/>
          <w:spacing w:val="4"/>
          <w:sz w:val="22"/>
          <w:szCs w:val="22"/>
          <w:vertAlign w:val="subscript"/>
          <w:lang w:eastAsia="ja-JP"/>
        </w:rPr>
        <w:t>50</w:t>
      </w:r>
      <w:r w:rsidRPr="005E6B7C">
        <w:rPr>
          <w:rFonts w:asciiTheme="majorHAnsi" w:eastAsia="Yu Mincho" w:hAnsiTheme="majorHAnsi" w:cstheme="majorHAnsi"/>
          <w:color w:val="000000" w:themeColor="text1"/>
          <w:spacing w:val="4"/>
          <w:sz w:val="22"/>
          <w:szCs w:val="22"/>
          <w:lang w:eastAsia="ja-JP"/>
        </w:rPr>
        <w:t xml:space="preserve"> values and no significant cytotoxicity.</w:t>
      </w:r>
    </w:p>
    <w:p w14:paraId="6C9140C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Based on these </w:t>
      </w:r>
      <w:r w:rsidR="00894500" w:rsidRPr="005E6B7C">
        <w:rPr>
          <w:rFonts w:asciiTheme="majorHAnsi" w:eastAsia="Yu Mincho" w:hAnsiTheme="majorHAnsi" w:cstheme="majorHAnsi"/>
          <w:i/>
          <w:iCs/>
          <w:color w:val="000000" w:themeColor="text1"/>
          <w:sz w:val="22"/>
          <w:szCs w:val="22"/>
          <w:lang w:eastAsia="ja-JP"/>
        </w:rPr>
        <w:t>in vitro</w:t>
      </w:r>
      <w:r w:rsidRPr="005E6B7C">
        <w:rPr>
          <w:rFonts w:asciiTheme="majorHAnsi" w:eastAsia="Yu Mincho" w:hAnsiTheme="majorHAnsi" w:cstheme="majorHAnsi"/>
          <w:color w:val="000000" w:themeColor="text1"/>
          <w:sz w:val="22"/>
          <w:szCs w:val="22"/>
          <w:lang w:eastAsia="ja-JP"/>
        </w:rPr>
        <w:t xml:space="preserve"> findings, the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 xml:space="preserve"> extract was selected for subsequent </w:t>
      </w:r>
      <w:r w:rsidR="00894500" w:rsidRPr="005E6B7C">
        <w:rPr>
          <w:rFonts w:asciiTheme="majorHAnsi" w:eastAsia="Yu Mincho" w:hAnsiTheme="majorHAnsi" w:cstheme="majorHAnsi"/>
          <w:i/>
          <w:iCs/>
          <w:color w:val="000000" w:themeColor="text1"/>
          <w:sz w:val="22"/>
          <w:szCs w:val="22"/>
          <w:lang w:eastAsia="ja-JP"/>
        </w:rPr>
        <w:t>in vivo</w:t>
      </w:r>
      <w:r w:rsidRPr="005E6B7C">
        <w:rPr>
          <w:rFonts w:asciiTheme="majorHAnsi" w:eastAsia="Yu Mincho" w:hAnsiTheme="majorHAnsi" w:cstheme="majorHAnsi"/>
          <w:color w:val="000000" w:themeColor="text1"/>
          <w:sz w:val="22"/>
          <w:szCs w:val="22"/>
          <w:lang w:eastAsia="ja-JP"/>
        </w:rPr>
        <w:t xml:space="preserve"> evaluation, where it effectively attenuated carrageenan-induced paw edema and improved outcomes in an LPS-induced endotoxemia model. Collectively, these results highlight the CH</w:t>
      </w:r>
      <w:r w:rsidRPr="005E6B7C">
        <w:rPr>
          <w:rFonts w:asciiTheme="majorHAnsi" w:eastAsia="Yu Mincho" w:hAnsiTheme="majorHAnsi" w:cstheme="majorHAnsi"/>
          <w:color w:val="000000" w:themeColor="text1"/>
          <w:sz w:val="22"/>
          <w:szCs w:val="22"/>
          <w:vertAlign w:val="subscript"/>
          <w:lang w:eastAsia="ja-JP"/>
        </w:rPr>
        <w:t>2</w:t>
      </w:r>
      <w:r w:rsidRPr="005E6B7C">
        <w:rPr>
          <w:rFonts w:asciiTheme="majorHAnsi" w:eastAsia="Yu Mincho" w:hAnsiTheme="majorHAnsi" w:cstheme="majorHAnsi"/>
          <w:color w:val="000000" w:themeColor="text1"/>
          <w:sz w:val="22"/>
          <w:szCs w:val="22"/>
          <w:lang w:eastAsia="ja-JP"/>
        </w:rPr>
        <w:t>Cl</w:t>
      </w:r>
      <w:r w:rsidRPr="005E6B7C">
        <w:rPr>
          <w:rFonts w:asciiTheme="majorHAnsi" w:eastAsia="Yu Mincho" w:hAnsiTheme="majorHAnsi" w:cstheme="majorHAnsi"/>
          <w:color w:val="000000" w:themeColor="text1"/>
          <w:sz w:val="22"/>
          <w:szCs w:val="22"/>
          <w:vertAlign w:val="subscript"/>
          <w:lang w:eastAsia="ja-JP"/>
        </w:rPr>
        <w:t xml:space="preserve">2 </w:t>
      </w:r>
      <w:r w:rsidRPr="005E6B7C">
        <w:rPr>
          <w:rFonts w:asciiTheme="majorHAnsi" w:eastAsia="Yu Mincho" w:hAnsiTheme="majorHAnsi" w:cstheme="majorHAnsi"/>
          <w:color w:val="000000" w:themeColor="text1"/>
          <w:sz w:val="22"/>
          <w:szCs w:val="22"/>
          <w:lang w:eastAsia="ja-JP"/>
        </w:rPr>
        <w:t xml:space="preserve">extract of </w:t>
      </w:r>
      <w:r w:rsidRPr="005E6B7C">
        <w:rPr>
          <w:rFonts w:asciiTheme="majorHAnsi" w:eastAsia="Yu Mincho" w:hAnsiTheme="majorHAnsi" w:cstheme="majorHAnsi"/>
          <w:i/>
          <w:iCs/>
          <w:color w:val="000000" w:themeColor="text1"/>
          <w:sz w:val="22"/>
          <w:szCs w:val="22"/>
          <w:lang w:eastAsia="ja-JP"/>
        </w:rPr>
        <w:t>P. amurense</w:t>
      </w:r>
      <w:r w:rsidRPr="005E6B7C">
        <w:rPr>
          <w:rFonts w:asciiTheme="majorHAnsi" w:eastAsia="Yu Mincho" w:hAnsiTheme="majorHAnsi" w:cstheme="majorHAnsi"/>
          <w:color w:val="000000" w:themeColor="text1"/>
          <w:sz w:val="22"/>
          <w:szCs w:val="22"/>
          <w:lang w:eastAsia="ja-JP"/>
        </w:rPr>
        <w:t xml:space="preserve"> bark as a promising source of anti-inflammatory agents and support further investigation into its active constituents and underlying molecular mechanisms.</w:t>
      </w:r>
    </w:p>
    <w:p w14:paraId="1B6F2B86" w14:textId="77777777" w:rsidR="007C2B6D"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 xml:space="preserve">Acknowledgments: </w:t>
      </w:r>
      <w:r w:rsidRPr="005E6B7C">
        <w:rPr>
          <w:rFonts w:asciiTheme="majorHAnsi" w:eastAsia="Yu Mincho" w:hAnsiTheme="majorHAnsi" w:cstheme="majorHAnsi"/>
          <w:i/>
          <w:iCs/>
          <w:color w:val="000000" w:themeColor="text1"/>
          <w:sz w:val="20"/>
          <w:szCs w:val="20"/>
          <w:lang w:eastAsia="ja-JP"/>
        </w:rPr>
        <w:t>This research received a grant from the Vietnam National University Project “</w:t>
      </w:r>
      <w:r w:rsidRPr="005E6B7C">
        <w:rPr>
          <w:rFonts w:asciiTheme="majorHAnsi" w:eastAsia="Yu Mincho" w:hAnsiTheme="majorHAnsi" w:cstheme="majorHAnsi"/>
          <w:bCs/>
          <w:i/>
          <w:iCs/>
          <w:color w:val="000000" w:themeColor="text1"/>
          <w:sz w:val="20"/>
          <w:szCs w:val="20"/>
          <w:lang w:eastAsia="ja-JP"/>
        </w:rPr>
        <w:t>Studying on the hypoglycemic action of Phellodendron amurense on experimental</w:t>
      </w:r>
      <w:r w:rsidRPr="005E6B7C">
        <w:rPr>
          <w:rFonts w:asciiTheme="majorHAnsi" w:eastAsia="Yu Mincho" w:hAnsiTheme="majorHAnsi" w:cstheme="majorHAnsi"/>
          <w:i/>
          <w:iCs/>
          <w:color w:val="000000" w:themeColor="text1"/>
          <w:sz w:val="20"/>
          <w:szCs w:val="20"/>
          <w:lang w:eastAsia="ja-JP"/>
        </w:rPr>
        <w:t>” [number grant QG.25.45].</w:t>
      </w:r>
    </w:p>
    <w:p w14:paraId="12E578B1" w14:textId="77777777" w:rsidR="007C2B6D" w:rsidRPr="005E6B7C" w:rsidRDefault="007C2B6D"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7C2B6D" w:rsidRPr="005E6B7C" w:rsidSect="007C2B6D">
          <w:type w:val="continuous"/>
          <w:pgSz w:w="10773" w:h="15309" w:code="9"/>
          <w:pgMar w:top="907" w:right="851" w:bottom="1418" w:left="851" w:header="397" w:footer="851" w:gutter="0"/>
          <w:cols w:num="2" w:space="284"/>
          <w:docGrid w:linePitch="360"/>
        </w:sectPr>
      </w:pPr>
    </w:p>
    <w:p w14:paraId="0853DCF2" w14:textId="77777777" w:rsidR="00E049CB" w:rsidRPr="005E6B7C" w:rsidRDefault="00E049CB" w:rsidP="008C0D47">
      <w:pPr>
        <w:tabs>
          <w:tab w:val="left" w:pos="270"/>
          <w:tab w:val="left" w:pos="540"/>
          <w:tab w:val="left" w:pos="9270"/>
        </w:tabs>
        <w:spacing w:after="120"/>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References</w:t>
      </w:r>
    </w:p>
    <w:p w14:paraId="144FDDB3"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Calibri" w:hAnsiTheme="majorHAnsi" w:cstheme="majorHAnsi"/>
          <w:b/>
          <w:bCs/>
          <w:noProof/>
          <w:color w:val="000000" w:themeColor="text1"/>
          <w:sz w:val="18"/>
          <w:szCs w:val="18"/>
          <w:lang w:val="vi-VN" w:eastAsia="ja-JP"/>
        </w:rPr>
        <w:lastRenderedPageBreak/>
        <w:fldChar w:fldCharType="begin"/>
      </w:r>
      <w:r w:rsidRPr="005E6B7C">
        <w:rPr>
          <w:rFonts w:asciiTheme="majorHAnsi" w:eastAsia="Yu Mincho" w:hAnsiTheme="majorHAnsi" w:cstheme="majorHAnsi"/>
          <w:b/>
          <w:bCs/>
          <w:noProof/>
          <w:color w:val="000000" w:themeColor="text1"/>
          <w:sz w:val="18"/>
          <w:szCs w:val="18"/>
          <w:lang w:val="vi-VN" w:eastAsia="ja-JP"/>
        </w:rPr>
        <w:instrText xml:space="preserve"> ADDIN EN.REFLIST </w:instrText>
      </w:r>
      <w:r w:rsidRPr="005E6B7C">
        <w:rPr>
          <w:rFonts w:asciiTheme="majorHAnsi" w:eastAsia="Calibri" w:hAnsiTheme="majorHAnsi" w:cstheme="majorHAnsi"/>
          <w:b/>
          <w:bCs/>
          <w:noProof/>
          <w:color w:val="000000" w:themeColor="text1"/>
          <w:sz w:val="18"/>
          <w:szCs w:val="18"/>
          <w:lang w:val="vi-VN" w:eastAsia="ja-JP"/>
        </w:rPr>
        <w:fldChar w:fldCharType="separate"/>
      </w: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ab/>
        <w:t xml:space="preserve">Brown K. L., Cosseau C., Gardy J. L., Hancock R. E. W. (2007), Complexities of targeting innate immunity to treat infection, </w:t>
      </w:r>
      <w:r w:rsidRPr="005E6B7C">
        <w:rPr>
          <w:rFonts w:asciiTheme="majorHAnsi" w:eastAsia="Yu Mincho" w:hAnsiTheme="majorHAnsi" w:cstheme="majorHAnsi"/>
          <w:i/>
          <w:noProof/>
          <w:color w:val="000000" w:themeColor="text1"/>
          <w:sz w:val="18"/>
          <w:szCs w:val="18"/>
          <w:lang w:eastAsia="ja-JP"/>
        </w:rPr>
        <w:t>TRENDS in Immunology</w:t>
      </w:r>
      <w:r w:rsidRPr="005E6B7C">
        <w:rPr>
          <w:rFonts w:asciiTheme="majorHAnsi" w:eastAsia="Yu Mincho" w:hAnsiTheme="majorHAnsi" w:cstheme="majorHAnsi"/>
          <w:noProof/>
          <w:color w:val="000000" w:themeColor="text1"/>
          <w:sz w:val="18"/>
          <w:szCs w:val="18"/>
          <w:lang w:eastAsia="ja-JP"/>
        </w:rPr>
        <w:t>, 28(6), 260-266.</w:t>
      </w:r>
    </w:p>
    <w:p w14:paraId="56F8CED4"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ab/>
        <w:t>Choi Y. Y., Kim M. H., Hong J., Kim S. H., Yang W. M. (2013), Dried ginger (</w:t>
      </w:r>
      <w:r w:rsidRPr="005E6B7C">
        <w:rPr>
          <w:rFonts w:asciiTheme="majorHAnsi" w:eastAsia="Yu Mincho" w:hAnsiTheme="majorHAnsi" w:cstheme="majorHAnsi"/>
          <w:i/>
          <w:noProof/>
          <w:color w:val="000000" w:themeColor="text1"/>
          <w:sz w:val="18"/>
          <w:szCs w:val="18"/>
          <w:lang w:eastAsia="ja-JP"/>
        </w:rPr>
        <w:t>Zingiber officinalis</w:t>
      </w:r>
      <w:r w:rsidRPr="005E6B7C">
        <w:rPr>
          <w:rFonts w:asciiTheme="majorHAnsi" w:eastAsia="Yu Mincho" w:hAnsiTheme="majorHAnsi" w:cstheme="majorHAnsi" w:hint="eastAsia"/>
          <w:noProof/>
          <w:color w:val="000000" w:themeColor="text1"/>
          <w:sz w:val="18"/>
          <w:szCs w:val="18"/>
          <w:lang w:eastAsia="ja-JP"/>
        </w:rPr>
        <w:t>) inhibits inflammation in a lipopolysaccharide</w:t>
      </w:r>
      <w:r w:rsidRPr="005E6B7C">
        <w:rPr>
          <w:rFonts w:asciiTheme="majorHAnsi" w:eastAsia="Yu Mincho" w:hAnsiTheme="majorHAnsi" w:cstheme="majorHAnsi" w:hint="eastAsia"/>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 xml:space="preserve">induced mouse model, </w:t>
      </w:r>
      <w:r w:rsidRPr="005E6B7C">
        <w:rPr>
          <w:rFonts w:asciiTheme="majorHAnsi" w:eastAsia="Yu Mincho" w:hAnsiTheme="majorHAnsi" w:cstheme="majorHAnsi" w:hint="eastAsia"/>
          <w:i/>
          <w:noProof/>
          <w:color w:val="000000" w:themeColor="text1"/>
          <w:sz w:val="18"/>
          <w:szCs w:val="18"/>
          <w:lang w:eastAsia="ja-JP"/>
        </w:rPr>
        <w:t>Evidence</w:t>
      </w:r>
      <w:r w:rsidRPr="005E6B7C">
        <w:rPr>
          <w:rFonts w:asciiTheme="majorHAnsi" w:eastAsia="Yu Mincho" w:hAnsiTheme="majorHAnsi" w:cstheme="majorHAnsi" w:hint="eastAsia"/>
          <w:i/>
          <w:noProof/>
          <w:color w:val="000000" w:themeColor="text1"/>
          <w:sz w:val="18"/>
          <w:szCs w:val="18"/>
          <w:lang w:eastAsia="ja-JP"/>
        </w:rPr>
        <w:t>‐</w:t>
      </w:r>
      <w:r w:rsidRPr="005E6B7C">
        <w:rPr>
          <w:rFonts w:asciiTheme="majorHAnsi" w:eastAsia="Yu Mincho" w:hAnsiTheme="majorHAnsi" w:cstheme="majorHAnsi" w:hint="eastAsia"/>
          <w:i/>
          <w:noProof/>
          <w:color w:val="000000" w:themeColor="text1"/>
          <w:sz w:val="18"/>
          <w:szCs w:val="18"/>
          <w:lang w:eastAsia="ja-JP"/>
        </w:rPr>
        <w:t>Based Complementary Alternative Medicine</w:t>
      </w:r>
      <w:r w:rsidRPr="005E6B7C">
        <w:rPr>
          <w:rFonts w:asciiTheme="majorHAnsi" w:eastAsia="Yu Mincho" w:hAnsiTheme="majorHAnsi" w:cstheme="majorHAnsi"/>
          <w:noProof/>
          <w:color w:val="000000" w:themeColor="text1"/>
          <w:sz w:val="18"/>
          <w:szCs w:val="18"/>
          <w:lang w:eastAsia="ja-JP"/>
        </w:rPr>
        <w:t>, 2013(1), 914563.</w:t>
      </w:r>
    </w:p>
    <w:p w14:paraId="22237AB4"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ab/>
        <w:t xml:space="preserve">Du P., Zhu S., Lü P. (2001), Antibacterial activity of 20 kinds of Chinese medicinal materials for </w:t>
      </w:r>
      <w:r w:rsidRPr="005E6B7C">
        <w:rPr>
          <w:rFonts w:asciiTheme="majorHAnsi" w:eastAsia="Yu Mincho" w:hAnsiTheme="majorHAnsi" w:cstheme="majorHAnsi"/>
          <w:i/>
          <w:noProof/>
          <w:color w:val="000000" w:themeColor="text1"/>
          <w:sz w:val="18"/>
          <w:szCs w:val="18"/>
          <w:lang w:eastAsia="ja-JP"/>
        </w:rPr>
        <w:t xml:space="preserve">Helicobacter pylori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noProof/>
          <w:color w:val="000000" w:themeColor="text1"/>
          <w:sz w:val="18"/>
          <w:szCs w:val="18"/>
          <w:lang w:eastAsia="ja-JP"/>
        </w:rPr>
        <w:t>Journal of Chinese Medicinal Materials</w:t>
      </w:r>
      <w:r w:rsidRPr="005E6B7C">
        <w:rPr>
          <w:rFonts w:asciiTheme="majorHAnsi" w:eastAsia="Yu Mincho" w:hAnsiTheme="majorHAnsi" w:cstheme="majorHAnsi"/>
          <w:noProof/>
          <w:color w:val="000000" w:themeColor="text1"/>
          <w:sz w:val="18"/>
          <w:szCs w:val="18"/>
          <w:lang w:eastAsia="ja-JP"/>
        </w:rPr>
        <w:t>, 24(3), 188-189.</w:t>
      </w:r>
    </w:p>
    <w:p w14:paraId="4626FD25"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ab/>
        <w:t xml:space="preserve">Mori H., Fuchigami M., Inoue N., Nagai H., Koda A., Nishioka I., Meguro K. (1995), Principle of the bark of </w:t>
      </w:r>
      <w:r w:rsidRPr="005E6B7C">
        <w:rPr>
          <w:rFonts w:asciiTheme="majorHAnsi" w:eastAsia="Yu Mincho" w:hAnsiTheme="majorHAnsi" w:cstheme="majorHAnsi"/>
          <w:i/>
          <w:noProof/>
          <w:color w:val="000000" w:themeColor="text1"/>
          <w:sz w:val="18"/>
          <w:szCs w:val="18"/>
          <w:lang w:eastAsia="ja-JP"/>
        </w:rPr>
        <w:t>Phellodendron amurense</w:t>
      </w:r>
      <w:r w:rsidRPr="005E6B7C">
        <w:rPr>
          <w:rFonts w:asciiTheme="majorHAnsi" w:eastAsia="Yu Mincho" w:hAnsiTheme="majorHAnsi" w:cstheme="majorHAnsi"/>
          <w:noProof/>
          <w:color w:val="000000" w:themeColor="text1"/>
          <w:sz w:val="18"/>
          <w:szCs w:val="18"/>
          <w:lang w:eastAsia="ja-JP"/>
        </w:rPr>
        <w:t xml:space="preserve"> to suppress the cellular immune response: effect of phellodendrine on cellular and humoral immune responses, </w:t>
      </w:r>
      <w:r w:rsidRPr="005E6B7C">
        <w:rPr>
          <w:rFonts w:asciiTheme="majorHAnsi" w:eastAsia="Yu Mincho" w:hAnsiTheme="majorHAnsi" w:cstheme="majorHAnsi"/>
          <w:i/>
          <w:noProof/>
          <w:color w:val="000000" w:themeColor="text1"/>
          <w:sz w:val="18"/>
          <w:szCs w:val="18"/>
          <w:lang w:eastAsia="ja-JP"/>
        </w:rPr>
        <w:t>Planta Medica</w:t>
      </w:r>
      <w:r w:rsidRPr="005E6B7C">
        <w:rPr>
          <w:rFonts w:asciiTheme="majorHAnsi" w:eastAsia="Yu Mincho" w:hAnsiTheme="majorHAnsi" w:cstheme="majorHAnsi"/>
          <w:noProof/>
          <w:color w:val="000000" w:themeColor="text1"/>
          <w:sz w:val="18"/>
          <w:szCs w:val="18"/>
          <w:lang w:eastAsia="ja-JP"/>
        </w:rPr>
        <w:t>, 61(01), 45-49.</w:t>
      </w:r>
    </w:p>
    <w:p w14:paraId="60CA3F4B"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ab/>
        <w:t xml:space="preserve">Nguyen T. H. L., Do T. H., Nguyen M. K. (2024), Quality evaluation of </w:t>
      </w:r>
      <w:r w:rsidRPr="005E6B7C">
        <w:rPr>
          <w:rFonts w:asciiTheme="majorHAnsi" w:eastAsia="Yu Mincho" w:hAnsiTheme="majorHAnsi" w:cstheme="majorHAnsi"/>
          <w:i/>
          <w:noProof/>
          <w:color w:val="000000" w:themeColor="text1"/>
          <w:sz w:val="18"/>
          <w:szCs w:val="18"/>
          <w:lang w:eastAsia="ja-JP"/>
        </w:rPr>
        <w:t>Phellodendron amurense</w:t>
      </w:r>
      <w:r w:rsidRPr="005E6B7C">
        <w:rPr>
          <w:rFonts w:asciiTheme="majorHAnsi" w:eastAsia="Yu Mincho" w:hAnsiTheme="majorHAnsi" w:cstheme="majorHAnsi"/>
          <w:noProof/>
          <w:color w:val="000000" w:themeColor="text1"/>
          <w:sz w:val="18"/>
          <w:szCs w:val="18"/>
          <w:lang w:eastAsia="ja-JP"/>
        </w:rPr>
        <w:t xml:space="preserve"> collected in Vietnam using HPLC-DAD and QAMS methods, </w:t>
      </w:r>
      <w:r w:rsidRPr="005E6B7C">
        <w:rPr>
          <w:rFonts w:asciiTheme="majorHAnsi" w:eastAsia="Yu Mincho" w:hAnsiTheme="majorHAnsi" w:cstheme="majorHAnsi"/>
          <w:i/>
          <w:noProof/>
          <w:color w:val="000000" w:themeColor="text1"/>
          <w:sz w:val="18"/>
          <w:szCs w:val="18"/>
          <w:lang w:eastAsia="ja-JP"/>
        </w:rPr>
        <w:t>Journal of Medicinal Materials</w:t>
      </w:r>
      <w:r w:rsidRPr="005E6B7C">
        <w:rPr>
          <w:rFonts w:asciiTheme="majorHAnsi" w:eastAsia="Yu Mincho" w:hAnsiTheme="majorHAnsi" w:cstheme="majorHAnsi"/>
          <w:noProof/>
          <w:color w:val="000000" w:themeColor="text1"/>
          <w:sz w:val="18"/>
          <w:szCs w:val="18"/>
          <w:lang w:eastAsia="ja-JP"/>
        </w:rPr>
        <w:t>, 29(6), 347-353.</w:t>
      </w:r>
    </w:p>
    <w:p w14:paraId="49EB0BB1"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ab/>
        <w:t xml:space="preserve">Park Y., Yoo S. A., Kim W. U., Cho C. S., Woo J. M., Yoon C. H. (2016), Anti-inflammatory effects of essential oils extracted from </w:t>
      </w:r>
      <w:r w:rsidRPr="005E6B7C">
        <w:rPr>
          <w:rFonts w:asciiTheme="majorHAnsi" w:eastAsia="Yu Mincho" w:hAnsiTheme="majorHAnsi" w:cstheme="majorHAnsi"/>
          <w:i/>
          <w:noProof/>
          <w:color w:val="000000" w:themeColor="text1"/>
          <w:sz w:val="18"/>
          <w:szCs w:val="18"/>
          <w:lang w:eastAsia="ja-JP"/>
        </w:rPr>
        <w:t xml:space="preserve">Chamaecyparis obtusa </w:t>
      </w:r>
      <w:r w:rsidRPr="005E6B7C">
        <w:rPr>
          <w:rFonts w:asciiTheme="majorHAnsi" w:eastAsia="Yu Mincho" w:hAnsiTheme="majorHAnsi" w:cstheme="majorHAnsi"/>
          <w:noProof/>
          <w:color w:val="000000" w:themeColor="text1"/>
          <w:sz w:val="18"/>
          <w:szCs w:val="18"/>
          <w:lang w:eastAsia="ja-JP"/>
        </w:rPr>
        <w:t xml:space="preserve">on murine models of inflammation and RAW 264.7 cells, </w:t>
      </w:r>
      <w:r w:rsidRPr="005E6B7C">
        <w:rPr>
          <w:rFonts w:asciiTheme="majorHAnsi" w:eastAsia="Yu Mincho" w:hAnsiTheme="majorHAnsi" w:cstheme="majorHAnsi"/>
          <w:i/>
          <w:noProof/>
          <w:color w:val="000000" w:themeColor="text1"/>
          <w:sz w:val="18"/>
          <w:szCs w:val="18"/>
          <w:lang w:eastAsia="ja-JP"/>
        </w:rPr>
        <w:t>Molecular Medicine Reports</w:t>
      </w:r>
      <w:r w:rsidRPr="005E6B7C">
        <w:rPr>
          <w:rFonts w:asciiTheme="majorHAnsi" w:eastAsia="Yu Mincho" w:hAnsiTheme="majorHAnsi" w:cstheme="majorHAnsi"/>
          <w:noProof/>
          <w:color w:val="000000" w:themeColor="text1"/>
          <w:sz w:val="18"/>
          <w:szCs w:val="18"/>
          <w:lang w:eastAsia="ja-JP"/>
        </w:rPr>
        <w:t>, 13(4), 3335-3341.</w:t>
      </w:r>
    </w:p>
    <w:p w14:paraId="592C7145" w14:textId="0105B14E"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ab/>
        <w:t>Chen J. N., De Mejia E. G., Wu J. S. B. (2011), Inhibitory effect of a glycoprotein isolated from golden oyster mushroom (</w:t>
      </w:r>
      <w:r w:rsidRPr="005E6B7C">
        <w:rPr>
          <w:rFonts w:asciiTheme="majorHAnsi" w:eastAsia="Yu Mincho" w:hAnsiTheme="majorHAnsi" w:cstheme="majorHAnsi"/>
          <w:i/>
          <w:noProof/>
          <w:color w:val="000000" w:themeColor="text1"/>
          <w:sz w:val="18"/>
          <w:szCs w:val="18"/>
          <w:lang w:eastAsia="ja-JP"/>
        </w:rPr>
        <w:t>Pleurotus citrinopileatus</w:t>
      </w:r>
      <w:r w:rsidRPr="005E6B7C">
        <w:rPr>
          <w:rFonts w:asciiTheme="majorHAnsi" w:eastAsia="Yu Mincho" w:hAnsiTheme="majorHAnsi" w:cstheme="majorHAnsi"/>
          <w:noProof/>
          <w:color w:val="000000" w:themeColor="text1"/>
          <w:sz w:val="18"/>
          <w:szCs w:val="18"/>
          <w:lang w:eastAsia="ja-JP"/>
        </w:rPr>
        <w:t xml:space="preserve">) on the lipopolysaccharide-induced inflammatory reaction in RAW 264.7 macrophage, </w:t>
      </w:r>
      <w:r w:rsidRPr="005E6B7C">
        <w:rPr>
          <w:rFonts w:asciiTheme="majorHAnsi" w:eastAsia="Yu Mincho" w:hAnsiTheme="majorHAnsi" w:cstheme="majorHAnsi"/>
          <w:i/>
          <w:noProof/>
          <w:color w:val="000000" w:themeColor="text1"/>
          <w:sz w:val="18"/>
          <w:szCs w:val="18"/>
          <w:lang w:eastAsia="ja-JP"/>
        </w:rPr>
        <w:t>Journal of Agricultural</w:t>
      </w:r>
      <w:r w:rsidR="00FC4B3F" w:rsidRPr="005E6B7C">
        <w:rPr>
          <w:rFonts w:asciiTheme="majorHAnsi" w:eastAsia="Yu Mincho" w:hAnsiTheme="majorHAnsi" w:cstheme="majorHAnsi"/>
          <w:i/>
          <w:noProof/>
          <w:color w:val="000000" w:themeColor="text1"/>
          <w:sz w:val="18"/>
          <w:szCs w:val="18"/>
          <w:lang w:val="vi-VN" w:eastAsia="ja-JP"/>
        </w:rPr>
        <w:t xml:space="preserve"> </w:t>
      </w:r>
      <w:r w:rsidR="00FC4B3F" w:rsidRPr="005E6B7C">
        <w:rPr>
          <w:rFonts w:asciiTheme="majorHAnsi" w:eastAsia="Yu Mincho" w:hAnsiTheme="majorHAnsi" w:cstheme="majorHAnsi"/>
          <w:i/>
          <w:noProof/>
          <w:color w:val="000000" w:themeColor="text1"/>
          <w:sz w:val="18"/>
          <w:szCs w:val="18"/>
          <w:lang w:eastAsia="ja-JP"/>
        </w:rPr>
        <w:t>and</w:t>
      </w:r>
      <w:r w:rsidRPr="005E6B7C">
        <w:rPr>
          <w:rFonts w:asciiTheme="majorHAnsi" w:eastAsia="Yu Mincho" w:hAnsiTheme="majorHAnsi" w:cstheme="majorHAnsi"/>
          <w:i/>
          <w:noProof/>
          <w:color w:val="000000" w:themeColor="text1"/>
          <w:sz w:val="18"/>
          <w:szCs w:val="18"/>
          <w:lang w:eastAsia="ja-JP"/>
        </w:rPr>
        <w:t xml:space="preserve"> Food Chemistry</w:t>
      </w:r>
      <w:r w:rsidRPr="005E6B7C">
        <w:rPr>
          <w:rFonts w:asciiTheme="majorHAnsi" w:eastAsia="Yu Mincho" w:hAnsiTheme="majorHAnsi" w:cstheme="majorHAnsi"/>
          <w:noProof/>
          <w:color w:val="000000" w:themeColor="text1"/>
          <w:sz w:val="18"/>
          <w:szCs w:val="18"/>
          <w:lang w:eastAsia="ja-JP"/>
        </w:rPr>
        <w:t>, 59(13), 7092-7097.</w:t>
      </w:r>
    </w:p>
    <w:p w14:paraId="19025A75"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ab/>
        <w:t xml:space="preserve">Winter C. A., Risley E. A., Nuss G. W. (1962), Carrageenin-induced edema in hind paw of the rat as an assay for antiinflammatory drugs, </w:t>
      </w:r>
      <w:r w:rsidRPr="005E6B7C">
        <w:rPr>
          <w:rFonts w:asciiTheme="majorHAnsi" w:eastAsia="Yu Mincho" w:hAnsiTheme="majorHAnsi" w:cstheme="majorHAnsi"/>
          <w:i/>
          <w:noProof/>
          <w:color w:val="000000" w:themeColor="text1"/>
          <w:sz w:val="18"/>
          <w:szCs w:val="18"/>
          <w:lang w:eastAsia="ja-JP"/>
        </w:rPr>
        <w:t>Proceedings of the Society for Experimental Biology and Medicine</w:t>
      </w:r>
      <w:r w:rsidRPr="005E6B7C">
        <w:rPr>
          <w:rFonts w:asciiTheme="majorHAnsi" w:eastAsia="Yu Mincho" w:hAnsiTheme="majorHAnsi" w:cstheme="majorHAnsi"/>
          <w:noProof/>
          <w:color w:val="000000" w:themeColor="text1"/>
          <w:sz w:val="18"/>
          <w:szCs w:val="18"/>
          <w:lang w:eastAsia="ja-JP"/>
        </w:rPr>
        <w:t>, 111(3), 544-547.</w:t>
      </w:r>
    </w:p>
    <w:p w14:paraId="0A54EDAF"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ab/>
        <w:t xml:space="preserve">Butterweck V., Nahrstedt A. (2012), What is the best strategy for preclinical testing of botanicals? A critical perspective, </w:t>
      </w:r>
      <w:r w:rsidRPr="005E6B7C">
        <w:rPr>
          <w:rFonts w:asciiTheme="majorHAnsi" w:eastAsia="Yu Mincho" w:hAnsiTheme="majorHAnsi" w:cstheme="majorHAnsi"/>
          <w:i/>
          <w:noProof/>
          <w:color w:val="000000" w:themeColor="text1"/>
          <w:sz w:val="18"/>
          <w:szCs w:val="18"/>
          <w:lang w:eastAsia="ja-JP"/>
        </w:rPr>
        <w:t>Planta Medica</w:t>
      </w:r>
      <w:r w:rsidRPr="005E6B7C">
        <w:rPr>
          <w:rFonts w:asciiTheme="majorHAnsi" w:eastAsia="Yu Mincho" w:hAnsiTheme="majorHAnsi" w:cstheme="majorHAnsi"/>
          <w:noProof/>
          <w:color w:val="000000" w:themeColor="text1"/>
          <w:sz w:val="18"/>
          <w:szCs w:val="18"/>
          <w:lang w:eastAsia="ja-JP"/>
        </w:rPr>
        <w:t>, 78(08), 747-754.</w:t>
      </w:r>
    </w:p>
    <w:p w14:paraId="772F085F" w14:textId="695EF208"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ab/>
      </w:r>
      <w:r w:rsidRPr="005E6B7C">
        <w:rPr>
          <w:rFonts w:asciiTheme="majorHAnsi" w:eastAsia="Yu Mincho" w:hAnsiTheme="majorHAnsi" w:cstheme="majorHAnsi" w:hint="eastAsia"/>
          <w:noProof/>
          <w:color w:val="000000" w:themeColor="text1"/>
          <w:sz w:val="18"/>
          <w:szCs w:val="18"/>
          <w:lang w:eastAsia="ja-JP"/>
        </w:rPr>
        <w:t>Eddouks M., Chattopadhyay D., Zeggwagh N. A. (2012), Animal models as tools to investigate antidiabetic and anti</w:t>
      </w:r>
      <w:r w:rsidR="007A051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 xml:space="preserve">inflammatory plants, </w:t>
      </w:r>
      <w:r w:rsidRPr="005E6B7C">
        <w:rPr>
          <w:rFonts w:asciiTheme="majorHAnsi" w:eastAsia="Yu Mincho" w:hAnsiTheme="majorHAnsi" w:cstheme="majorHAnsi" w:hint="eastAsia"/>
          <w:i/>
          <w:noProof/>
          <w:color w:val="000000" w:themeColor="text1"/>
          <w:sz w:val="18"/>
          <w:szCs w:val="18"/>
          <w:lang w:eastAsia="ja-JP"/>
        </w:rPr>
        <w:t>Evidence</w:t>
      </w:r>
      <w:r w:rsidR="007A051F"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hint="eastAsia"/>
          <w:i/>
          <w:noProof/>
          <w:color w:val="000000" w:themeColor="text1"/>
          <w:sz w:val="18"/>
          <w:szCs w:val="18"/>
          <w:lang w:eastAsia="ja-JP"/>
        </w:rPr>
        <w:t>based Complementary Alternative Medicine</w:t>
      </w:r>
      <w:r w:rsidRPr="005E6B7C">
        <w:rPr>
          <w:rFonts w:asciiTheme="majorHAnsi" w:eastAsia="Yu Mincho" w:hAnsiTheme="majorHAnsi" w:cstheme="majorHAnsi"/>
          <w:noProof/>
          <w:color w:val="000000" w:themeColor="text1"/>
          <w:sz w:val="18"/>
          <w:szCs w:val="18"/>
          <w:lang w:eastAsia="ja-JP"/>
        </w:rPr>
        <w:t>, 2012(1), 142087.</w:t>
      </w:r>
    </w:p>
    <w:p w14:paraId="62610E62"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ab/>
        <w:t xml:space="preserve">Kim J. H., Huh J. E., Baek Y. H., Lee J. D., Choi D. Y., Park D. S. (2011), Effect of </w:t>
      </w:r>
      <w:r w:rsidRPr="005E6B7C">
        <w:rPr>
          <w:rFonts w:asciiTheme="majorHAnsi" w:eastAsia="Yu Mincho" w:hAnsiTheme="majorHAnsi" w:cstheme="majorHAnsi"/>
          <w:i/>
          <w:noProof/>
          <w:color w:val="000000" w:themeColor="text1"/>
          <w:sz w:val="18"/>
          <w:szCs w:val="18"/>
          <w:lang w:eastAsia="ja-JP"/>
        </w:rPr>
        <w:t>Phellodendron amurense</w:t>
      </w:r>
      <w:r w:rsidRPr="005E6B7C">
        <w:rPr>
          <w:rFonts w:asciiTheme="majorHAnsi" w:eastAsia="Yu Mincho" w:hAnsiTheme="majorHAnsi" w:cstheme="majorHAnsi"/>
          <w:noProof/>
          <w:color w:val="000000" w:themeColor="text1"/>
          <w:sz w:val="18"/>
          <w:szCs w:val="18"/>
          <w:lang w:eastAsia="ja-JP"/>
        </w:rPr>
        <w:t xml:space="preserve"> in protecting human osteoarthritic cartilage and chondrocytes, </w:t>
      </w:r>
      <w:r w:rsidRPr="005E6B7C">
        <w:rPr>
          <w:rFonts w:asciiTheme="majorHAnsi" w:eastAsia="Yu Mincho" w:hAnsiTheme="majorHAnsi" w:cstheme="majorHAnsi"/>
          <w:i/>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 134(2), 234-242.</w:t>
      </w:r>
    </w:p>
    <w:p w14:paraId="4071B8C4"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ab/>
        <w:t xml:space="preserve">Liao C. H., Guo S. J., Lin J. Y. (2011), Characterisation of the chemical composition and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anti-inflammation assessment of a novel lotus (</w:t>
      </w:r>
      <w:r w:rsidRPr="005E6B7C">
        <w:rPr>
          <w:rFonts w:asciiTheme="majorHAnsi" w:eastAsia="Yu Mincho" w:hAnsiTheme="majorHAnsi" w:cstheme="majorHAnsi"/>
          <w:i/>
          <w:noProof/>
          <w:color w:val="000000" w:themeColor="text1"/>
          <w:sz w:val="18"/>
          <w:szCs w:val="18"/>
          <w:lang w:eastAsia="ja-JP"/>
        </w:rPr>
        <w:t>Nelumbo nucifera</w:t>
      </w:r>
      <w:r w:rsidRPr="005E6B7C">
        <w:rPr>
          <w:rFonts w:asciiTheme="majorHAnsi" w:eastAsia="Yu Mincho" w:hAnsiTheme="majorHAnsi" w:cstheme="majorHAnsi"/>
          <w:noProof/>
          <w:color w:val="000000" w:themeColor="text1"/>
          <w:sz w:val="18"/>
          <w:szCs w:val="18"/>
          <w:lang w:eastAsia="ja-JP"/>
        </w:rPr>
        <w:t xml:space="preserve"> Gaertn) plumule polysaccharide, </w:t>
      </w:r>
      <w:r w:rsidRPr="005E6B7C">
        <w:rPr>
          <w:rFonts w:asciiTheme="majorHAnsi" w:eastAsia="Yu Mincho" w:hAnsiTheme="majorHAnsi" w:cstheme="majorHAnsi"/>
          <w:i/>
          <w:noProof/>
          <w:color w:val="000000" w:themeColor="text1"/>
          <w:sz w:val="18"/>
          <w:szCs w:val="18"/>
          <w:lang w:eastAsia="ja-JP"/>
        </w:rPr>
        <w:t>Food Chemistry</w:t>
      </w:r>
      <w:r w:rsidRPr="005E6B7C">
        <w:rPr>
          <w:rFonts w:asciiTheme="majorHAnsi" w:eastAsia="Yu Mincho" w:hAnsiTheme="majorHAnsi" w:cstheme="majorHAnsi"/>
          <w:noProof/>
          <w:color w:val="000000" w:themeColor="text1"/>
          <w:sz w:val="18"/>
          <w:szCs w:val="18"/>
          <w:lang w:eastAsia="ja-JP"/>
        </w:rPr>
        <w:t>, 125(3), 930-935.</w:t>
      </w:r>
    </w:p>
    <w:p w14:paraId="65CA1802"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ab/>
        <w:t xml:space="preserve">Xie Q. W., Nathan C. (1994), The high-output nitric oxide pathway: role and regulation, </w:t>
      </w:r>
      <w:r w:rsidRPr="005E6B7C">
        <w:rPr>
          <w:rFonts w:asciiTheme="majorHAnsi" w:eastAsia="Yu Mincho" w:hAnsiTheme="majorHAnsi" w:cstheme="majorHAnsi"/>
          <w:i/>
          <w:noProof/>
          <w:color w:val="000000" w:themeColor="text1"/>
          <w:sz w:val="18"/>
          <w:szCs w:val="18"/>
          <w:lang w:eastAsia="ja-JP"/>
        </w:rPr>
        <w:t>Journal of Leucocyte Biology</w:t>
      </w:r>
      <w:r w:rsidRPr="005E6B7C">
        <w:rPr>
          <w:rFonts w:asciiTheme="majorHAnsi" w:eastAsia="Yu Mincho" w:hAnsiTheme="majorHAnsi" w:cstheme="majorHAnsi"/>
          <w:noProof/>
          <w:color w:val="000000" w:themeColor="text1"/>
          <w:sz w:val="18"/>
          <w:szCs w:val="18"/>
          <w:lang w:eastAsia="ja-JP"/>
        </w:rPr>
        <w:t>, 56(5), 576-582.</w:t>
      </w:r>
    </w:p>
    <w:p w14:paraId="1507F8A5"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ab/>
        <w:t xml:space="preserve">Zamora R., Vodovotz Y., Billiar T. (2000), Inducible nitric oxide synthase and inflammatory diseases, </w:t>
      </w:r>
      <w:r w:rsidRPr="005E6B7C">
        <w:rPr>
          <w:rFonts w:asciiTheme="majorHAnsi" w:eastAsia="Yu Mincho" w:hAnsiTheme="majorHAnsi" w:cstheme="majorHAnsi"/>
          <w:i/>
          <w:noProof/>
          <w:color w:val="000000" w:themeColor="text1"/>
          <w:sz w:val="18"/>
          <w:szCs w:val="18"/>
          <w:lang w:eastAsia="ja-JP"/>
        </w:rPr>
        <w:t>Molecular Medicine</w:t>
      </w:r>
      <w:r w:rsidRPr="005E6B7C">
        <w:rPr>
          <w:rFonts w:asciiTheme="majorHAnsi" w:eastAsia="Yu Mincho" w:hAnsiTheme="majorHAnsi" w:cstheme="majorHAnsi"/>
          <w:noProof/>
          <w:color w:val="000000" w:themeColor="text1"/>
          <w:sz w:val="18"/>
          <w:szCs w:val="18"/>
          <w:lang w:eastAsia="ja-JP"/>
        </w:rPr>
        <w:t>, 6(5), 347-373.</w:t>
      </w:r>
    </w:p>
    <w:p w14:paraId="6DDA8557"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15.</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Di Rosa M. L., Giroud J. P., A. Willoughby D (1971), Studies of the mediators of the acute inflammatory response induced in rats in different sites by carrageenan and turpentine, </w:t>
      </w:r>
      <w:r w:rsidRPr="005E6B7C">
        <w:rPr>
          <w:rFonts w:asciiTheme="majorHAnsi" w:eastAsia="Yu Mincho" w:hAnsiTheme="majorHAnsi" w:cstheme="majorHAnsi"/>
          <w:i/>
          <w:noProof/>
          <w:color w:val="000000" w:themeColor="text1"/>
          <w:sz w:val="18"/>
          <w:szCs w:val="18"/>
          <w:lang w:eastAsia="ja-JP"/>
        </w:rPr>
        <w:t>The Journal of Pathology</w:t>
      </w:r>
      <w:r w:rsidRPr="005E6B7C">
        <w:rPr>
          <w:rFonts w:asciiTheme="majorHAnsi" w:eastAsia="Yu Mincho" w:hAnsiTheme="majorHAnsi" w:cstheme="majorHAnsi"/>
          <w:noProof/>
          <w:color w:val="000000" w:themeColor="text1"/>
          <w:sz w:val="18"/>
          <w:szCs w:val="18"/>
          <w:lang w:eastAsia="ja-JP"/>
        </w:rPr>
        <w:t>, 104(1), 15-29.</w:t>
      </w:r>
    </w:p>
    <w:p w14:paraId="733A4BAB"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ab/>
        <w:t xml:space="preserve">Hirschelmann R., Bekemeier H. (1981), Effects of catalase, peroxidase, superoxide dismutase and 10 scavengers of oxygen radicals in carrageenin edema and in adjuvant arthritis of rats, </w:t>
      </w:r>
      <w:r w:rsidRPr="005E6B7C">
        <w:rPr>
          <w:rFonts w:asciiTheme="majorHAnsi" w:eastAsia="Yu Mincho" w:hAnsiTheme="majorHAnsi" w:cstheme="majorHAnsi"/>
          <w:i/>
          <w:noProof/>
          <w:color w:val="000000" w:themeColor="text1"/>
          <w:sz w:val="18"/>
          <w:szCs w:val="18"/>
          <w:lang w:eastAsia="ja-JP"/>
        </w:rPr>
        <w:t>Experientia</w:t>
      </w:r>
      <w:r w:rsidRPr="005E6B7C">
        <w:rPr>
          <w:rFonts w:asciiTheme="majorHAnsi" w:eastAsia="Yu Mincho" w:hAnsiTheme="majorHAnsi" w:cstheme="majorHAnsi"/>
          <w:noProof/>
          <w:color w:val="000000" w:themeColor="text1"/>
          <w:sz w:val="18"/>
          <w:szCs w:val="18"/>
          <w:lang w:eastAsia="ja-JP"/>
        </w:rPr>
        <w:t>, 37(12), 1313-1314.</w:t>
      </w:r>
    </w:p>
    <w:p w14:paraId="1E75E312"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ab/>
        <w:t xml:space="preserve">Crunkhorn P., Meacock S. C. R. (1971), Mediators of the inflammation induced in the rat paw by carrageenin, </w:t>
      </w:r>
      <w:r w:rsidRPr="005E6B7C">
        <w:rPr>
          <w:rFonts w:asciiTheme="majorHAnsi" w:eastAsia="Yu Mincho" w:hAnsiTheme="majorHAnsi" w:cstheme="majorHAnsi"/>
          <w:i/>
          <w:noProof/>
          <w:color w:val="000000" w:themeColor="text1"/>
          <w:sz w:val="18"/>
          <w:szCs w:val="18"/>
          <w:lang w:eastAsia="ja-JP"/>
        </w:rPr>
        <w:t>British Journal of Pharmacology</w:t>
      </w:r>
      <w:r w:rsidRPr="005E6B7C">
        <w:rPr>
          <w:rFonts w:asciiTheme="majorHAnsi" w:eastAsia="Yu Mincho" w:hAnsiTheme="majorHAnsi" w:cstheme="majorHAnsi"/>
          <w:noProof/>
          <w:color w:val="000000" w:themeColor="text1"/>
          <w:sz w:val="18"/>
          <w:szCs w:val="18"/>
          <w:lang w:eastAsia="ja-JP"/>
        </w:rPr>
        <w:t>, 42(3), 392-402.</w:t>
      </w:r>
    </w:p>
    <w:p w14:paraId="2B94FE6F"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18.</w:t>
      </w:r>
      <w:r w:rsidRPr="005E6B7C">
        <w:rPr>
          <w:rFonts w:asciiTheme="majorHAnsi" w:eastAsia="Yu Mincho" w:hAnsiTheme="majorHAnsi" w:cstheme="majorHAnsi"/>
          <w:noProof/>
          <w:color w:val="000000" w:themeColor="text1"/>
          <w:sz w:val="18"/>
          <w:szCs w:val="18"/>
          <w:lang w:eastAsia="ja-JP"/>
        </w:rPr>
        <w:tab/>
        <w:t xml:space="preserve">Di Rosa M., Sorrentino L. (1968), The mechanism of the inflammatory effect of carrageenin, </w:t>
      </w:r>
      <w:r w:rsidRPr="005E6B7C">
        <w:rPr>
          <w:rFonts w:asciiTheme="majorHAnsi" w:eastAsia="Yu Mincho" w:hAnsiTheme="majorHAnsi" w:cstheme="majorHAnsi"/>
          <w:i/>
          <w:noProof/>
          <w:color w:val="000000" w:themeColor="text1"/>
          <w:sz w:val="18"/>
          <w:szCs w:val="18"/>
          <w:lang w:eastAsia="ja-JP"/>
        </w:rPr>
        <w:t>European Journal of Pharmacology</w:t>
      </w:r>
      <w:r w:rsidRPr="005E6B7C">
        <w:rPr>
          <w:rFonts w:asciiTheme="majorHAnsi" w:eastAsia="Yu Mincho" w:hAnsiTheme="majorHAnsi" w:cstheme="majorHAnsi"/>
          <w:noProof/>
          <w:color w:val="000000" w:themeColor="text1"/>
          <w:sz w:val="18"/>
          <w:szCs w:val="18"/>
          <w:lang w:eastAsia="ja-JP"/>
        </w:rPr>
        <w:t>, 4(3), 340-342.</w:t>
      </w:r>
    </w:p>
    <w:p w14:paraId="0DF1BA73" w14:textId="056C877E"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0" w:name="_ENREF_19"/>
      <w:r w:rsidRPr="005E6B7C">
        <w:rPr>
          <w:rFonts w:asciiTheme="majorHAnsi" w:eastAsia="Yu Mincho" w:hAnsiTheme="majorHAnsi" w:cstheme="majorHAnsi"/>
          <w:b/>
          <w:bCs/>
          <w:noProof/>
          <w:color w:val="000000" w:themeColor="text1"/>
          <w:sz w:val="18"/>
          <w:szCs w:val="18"/>
          <w:lang w:eastAsia="ja-JP"/>
        </w:rPr>
        <w:t>19.</w:t>
      </w:r>
      <w:r w:rsidRPr="005E6B7C">
        <w:rPr>
          <w:rFonts w:asciiTheme="majorHAnsi" w:eastAsia="Yu Mincho" w:hAnsiTheme="majorHAnsi" w:cstheme="majorHAnsi"/>
          <w:noProof/>
          <w:color w:val="000000" w:themeColor="text1"/>
          <w:sz w:val="18"/>
          <w:szCs w:val="18"/>
          <w:lang w:eastAsia="ja-JP"/>
        </w:rPr>
        <w:tab/>
        <w:t xml:space="preserve">Kim N. H., Son Y., Jeong S. O., Hur J. M., Bang H. S., Lee K. N., Kim E. C., Chung H. T., Pae H. O. (2010), Tetrahydroabietic acid, a reduced abietic acid, inhibits the production of inflammatory mediators in </w:t>
      </w:r>
      <w:r w:rsidR="00FC4B3F" w:rsidRPr="005E6B7C">
        <w:rPr>
          <w:rFonts w:asciiTheme="majorHAnsi" w:eastAsia="Yu Mincho" w:hAnsiTheme="majorHAnsi" w:cstheme="majorHAnsi"/>
          <w:noProof/>
          <w:color w:val="000000" w:themeColor="text1"/>
          <w:sz w:val="18"/>
          <w:szCs w:val="18"/>
          <w:lang w:eastAsia="ja-JP"/>
        </w:rPr>
        <w:t>RAW 264.7</w:t>
      </w:r>
      <w:r w:rsidR="00FC4B3F"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macrophages activated with lipopolysaccharide, </w:t>
      </w:r>
      <w:r w:rsidRPr="005E6B7C">
        <w:rPr>
          <w:rFonts w:asciiTheme="majorHAnsi" w:eastAsia="Yu Mincho" w:hAnsiTheme="majorHAnsi" w:cstheme="majorHAnsi"/>
          <w:i/>
          <w:noProof/>
          <w:color w:val="000000" w:themeColor="text1"/>
          <w:sz w:val="18"/>
          <w:szCs w:val="18"/>
          <w:lang w:eastAsia="ja-JP"/>
        </w:rPr>
        <w:t xml:space="preserve">Journal of Clinical Biochemistry </w:t>
      </w:r>
      <w:r w:rsidR="00FC4B3F" w:rsidRPr="005E6B7C">
        <w:rPr>
          <w:rFonts w:asciiTheme="majorHAnsi" w:eastAsia="Yu Mincho" w:hAnsiTheme="majorHAnsi" w:cstheme="majorHAnsi"/>
          <w:i/>
          <w:noProof/>
          <w:color w:val="000000" w:themeColor="text1"/>
          <w:sz w:val="18"/>
          <w:szCs w:val="18"/>
          <w:lang w:eastAsia="ja-JP"/>
        </w:rPr>
        <w:t>and</w:t>
      </w:r>
      <w:r w:rsidR="00FC4B3F" w:rsidRPr="005E6B7C">
        <w:rPr>
          <w:rFonts w:asciiTheme="majorHAnsi" w:eastAsia="Yu Mincho" w:hAnsiTheme="majorHAnsi" w:cstheme="majorHAnsi"/>
          <w:i/>
          <w:noProof/>
          <w:color w:val="000000" w:themeColor="text1"/>
          <w:sz w:val="18"/>
          <w:szCs w:val="18"/>
          <w:lang w:val="vi-VN" w:eastAsia="ja-JP"/>
        </w:rPr>
        <w:t xml:space="preserve"> </w:t>
      </w:r>
      <w:r w:rsidRPr="005E6B7C">
        <w:rPr>
          <w:rFonts w:asciiTheme="majorHAnsi" w:eastAsia="Yu Mincho" w:hAnsiTheme="majorHAnsi" w:cstheme="majorHAnsi"/>
          <w:i/>
          <w:noProof/>
          <w:color w:val="000000" w:themeColor="text1"/>
          <w:sz w:val="18"/>
          <w:szCs w:val="18"/>
          <w:lang w:eastAsia="ja-JP"/>
        </w:rPr>
        <w:t>Nutrition</w:t>
      </w:r>
      <w:r w:rsidRPr="005E6B7C">
        <w:rPr>
          <w:rFonts w:asciiTheme="majorHAnsi" w:eastAsia="Yu Mincho" w:hAnsiTheme="majorHAnsi" w:cstheme="majorHAnsi"/>
          <w:noProof/>
          <w:color w:val="000000" w:themeColor="text1"/>
          <w:sz w:val="18"/>
          <w:szCs w:val="18"/>
          <w:lang w:eastAsia="ja-JP"/>
        </w:rPr>
        <w:t>, 46(2), 119-125.</w:t>
      </w:r>
      <w:bookmarkEnd w:id="50"/>
    </w:p>
    <w:p w14:paraId="0D8A8441" w14:textId="07841096"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1" w:name="_ENREF_20"/>
      <w:r w:rsidRPr="005E6B7C">
        <w:rPr>
          <w:rFonts w:asciiTheme="majorHAnsi" w:eastAsia="Yu Mincho" w:hAnsiTheme="majorHAnsi" w:cstheme="majorHAnsi"/>
          <w:b/>
          <w:bCs/>
          <w:noProof/>
          <w:color w:val="000000" w:themeColor="text1"/>
          <w:sz w:val="18"/>
          <w:szCs w:val="18"/>
          <w:lang w:eastAsia="ja-JP"/>
        </w:rPr>
        <w:t>20.</w:t>
      </w:r>
      <w:r w:rsidRPr="005E6B7C">
        <w:rPr>
          <w:rFonts w:asciiTheme="majorHAnsi" w:eastAsia="Yu Mincho" w:hAnsiTheme="majorHAnsi" w:cstheme="majorHAnsi"/>
          <w:noProof/>
          <w:color w:val="000000" w:themeColor="text1"/>
          <w:sz w:val="18"/>
          <w:szCs w:val="18"/>
          <w:lang w:eastAsia="ja-JP"/>
        </w:rPr>
        <w:tab/>
      </w:r>
      <w:r w:rsidRPr="005E6B7C">
        <w:rPr>
          <w:rFonts w:asciiTheme="majorHAnsi" w:eastAsia="Yu Mincho" w:hAnsiTheme="majorHAnsi" w:cstheme="majorHAnsi" w:hint="eastAsia"/>
          <w:noProof/>
          <w:color w:val="000000" w:themeColor="text1"/>
          <w:sz w:val="18"/>
          <w:szCs w:val="18"/>
          <w:lang w:eastAsia="ja-JP"/>
        </w:rPr>
        <w:t>Sampaio A. L. F., Dalli J., Brancaleone V., D</w:t>
      </w:r>
      <w:r w:rsidR="007A051F" w:rsidRPr="005E6B7C">
        <w:rPr>
          <w:rFonts w:asciiTheme="majorHAnsi" w:eastAsia="Yu Mincho" w:hAnsiTheme="majorHAnsi" w:cstheme="majorHAnsi"/>
          <w:noProof/>
          <w:color w:val="000000" w:themeColor="text1"/>
          <w:sz w:val="18"/>
          <w:szCs w:val="18"/>
          <w:lang w:eastAsia="ja-JP"/>
        </w:rPr>
        <w:t>ʹ</w:t>
      </w:r>
      <w:r w:rsidRPr="005E6B7C">
        <w:rPr>
          <w:rFonts w:asciiTheme="majorHAnsi" w:eastAsia="Yu Mincho" w:hAnsiTheme="majorHAnsi" w:cstheme="majorHAnsi" w:hint="eastAsia"/>
          <w:noProof/>
          <w:color w:val="000000" w:themeColor="text1"/>
          <w:sz w:val="18"/>
          <w:szCs w:val="18"/>
          <w:lang w:eastAsia="ja-JP"/>
        </w:rPr>
        <w:t xml:space="preserve"> Acquisto F., Perretti M., Wheatley C. (2013), Biphasic modulation of NOS expression, protein and nitrite products by hydroxocobalamin underlies its protective effect in endotoxemic shock: downstream regulation of COX</w:t>
      </w:r>
      <w:r w:rsidR="007A051F" w:rsidRPr="005E6B7C">
        <w:rPr>
          <w:rFonts w:asciiTheme="majorHAnsi" w:eastAsia="Yu Mincho" w:hAnsiTheme="majorHAnsi" w:cstheme="majorHAnsi" w:hint="eastAsia"/>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2, IL</w:t>
      </w:r>
      <w:r w:rsidR="007A051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1</w:t>
      </w:r>
      <w:r w:rsidR="007A051F" w:rsidRPr="005E6B7C">
        <w:rPr>
          <w:rFonts w:asciiTheme="majorHAnsi" w:eastAsia="Yu Mincho" w:hAnsiTheme="majorHAnsi" w:cstheme="majorHAnsi"/>
          <w:i/>
          <w:noProof/>
          <w:color w:val="000000" w:themeColor="text1"/>
          <w:sz w:val="18"/>
          <w:szCs w:val="18"/>
          <w:lang w:eastAsia="ja-JP"/>
        </w:rPr>
        <w:t>β</w:t>
      </w:r>
      <w:r w:rsidRPr="005E6B7C">
        <w:rPr>
          <w:rFonts w:asciiTheme="majorHAnsi" w:eastAsia="Yu Mincho" w:hAnsiTheme="majorHAnsi" w:cstheme="majorHAnsi" w:hint="eastAsia"/>
          <w:noProof/>
          <w:color w:val="000000" w:themeColor="text1"/>
          <w:sz w:val="18"/>
          <w:szCs w:val="18"/>
          <w:lang w:eastAsia="ja-JP"/>
        </w:rPr>
        <w:t>, TNF</w:t>
      </w:r>
      <w:r w:rsidR="007A051F" w:rsidRPr="005E6B7C">
        <w:rPr>
          <w:rFonts w:asciiTheme="majorHAnsi" w:eastAsia="Yu Mincho" w:hAnsiTheme="majorHAnsi" w:cstheme="majorHAnsi"/>
          <w:noProof/>
          <w:color w:val="000000" w:themeColor="text1"/>
          <w:sz w:val="18"/>
          <w:szCs w:val="18"/>
          <w:lang w:eastAsia="ja-JP"/>
        </w:rPr>
        <w:t>-</w:t>
      </w:r>
      <w:r w:rsidR="007A051F" w:rsidRPr="005E6B7C">
        <w:rPr>
          <w:rFonts w:asciiTheme="majorHAnsi" w:eastAsia="Yu Mincho" w:hAnsiTheme="majorHAnsi" w:cstheme="majorHAnsi"/>
          <w:i/>
          <w:noProof/>
          <w:color w:val="000000" w:themeColor="text1"/>
          <w:sz w:val="18"/>
          <w:szCs w:val="18"/>
          <w:lang w:eastAsia="ja-JP"/>
        </w:rPr>
        <w:t>α</w:t>
      </w:r>
      <w:r w:rsidRPr="005E6B7C">
        <w:rPr>
          <w:rFonts w:asciiTheme="majorHAnsi" w:eastAsia="Yu Mincho" w:hAnsiTheme="majorHAnsi" w:cstheme="majorHAnsi" w:hint="eastAsia"/>
          <w:noProof/>
          <w:color w:val="000000" w:themeColor="text1"/>
          <w:sz w:val="18"/>
          <w:szCs w:val="18"/>
          <w:lang w:eastAsia="ja-JP"/>
        </w:rPr>
        <w:t>, IL</w:t>
      </w:r>
      <w:r w:rsidR="007A051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hint="eastAsia"/>
          <w:noProof/>
          <w:color w:val="000000" w:themeColor="text1"/>
          <w:sz w:val="18"/>
          <w:szCs w:val="18"/>
          <w:lang w:eastAsia="ja-JP"/>
        </w:rPr>
        <w:t xml:space="preserve">6, and HMGB1 expression, </w:t>
      </w:r>
      <w:r w:rsidRPr="005E6B7C">
        <w:rPr>
          <w:rFonts w:asciiTheme="majorHAnsi" w:eastAsia="Yu Mincho" w:hAnsiTheme="majorHAnsi" w:cstheme="majorHAnsi"/>
          <w:i/>
          <w:noProof/>
          <w:color w:val="000000" w:themeColor="text1"/>
          <w:sz w:val="18"/>
          <w:szCs w:val="18"/>
          <w:lang w:eastAsia="ja-JP"/>
        </w:rPr>
        <w:t>Mediators of Inflammation</w:t>
      </w:r>
      <w:r w:rsidRPr="005E6B7C">
        <w:rPr>
          <w:rFonts w:asciiTheme="majorHAnsi" w:eastAsia="Yu Mincho" w:hAnsiTheme="majorHAnsi" w:cstheme="majorHAnsi"/>
          <w:noProof/>
          <w:color w:val="000000" w:themeColor="text1"/>
          <w:sz w:val="18"/>
          <w:szCs w:val="18"/>
          <w:lang w:eastAsia="ja-JP"/>
        </w:rPr>
        <w:t>, 2013(1), 741804.</w:t>
      </w:r>
      <w:bookmarkEnd w:id="51"/>
    </w:p>
    <w:p w14:paraId="1600671D"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2" w:name="_ENREF_21"/>
      <w:r w:rsidRPr="005E6B7C">
        <w:rPr>
          <w:rFonts w:asciiTheme="majorHAnsi" w:eastAsia="Yu Mincho" w:hAnsiTheme="majorHAnsi" w:cstheme="majorHAnsi"/>
          <w:b/>
          <w:b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ab/>
        <w:t xml:space="preserve">Xie C., Kang J., Li Z., Schauss A. G., Badger T. M., Nagarajan S., Wu T., Wu X. (2012), The açaí flavonoid velutin is a potent anti-inflammatory agent: blockade of LPS-mediated TNF-α and IL-6 production through inhibiting NF-κB activation and MAPK pathway, </w:t>
      </w:r>
      <w:r w:rsidRPr="005E6B7C">
        <w:rPr>
          <w:rFonts w:asciiTheme="majorHAnsi" w:eastAsia="Yu Mincho" w:hAnsiTheme="majorHAnsi" w:cstheme="majorHAnsi"/>
          <w:i/>
          <w:noProof/>
          <w:color w:val="000000" w:themeColor="text1"/>
          <w:sz w:val="18"/>
          <w:szCs w:val="18"/>
          <w:lang w:eastAsia="ja-JP"/>
        </w:rPr>
        <w:t>The Journal of Nutritional Biochemistry</w:t>
      </w:r>
      <w:r w:rsidRPr="005E6B7C">
        <w:rPr>
          <w:rFonts w:asciiTheme="majorHAnsi" w:eastAsia="Yu Mincho" w:hAnsiTheme="majorHAnsi" w:cstheme="majorHAnsi"/>
          <w:noProof/>
          <w:color w:val="000000" w:themeColor="text1"/>
          <w:sz w:val="18"/>
          <w:szCs w:val="18"/>
          <w:lang w:eastAsia="ja-JP"/>
        </w:rPr>
        <w:t>, 23(9), 1184-1191.</w:t>
      </w:r>
      <w:bookmarkEnd w:id="52"/>
    </w:p>
    <w:p w14:paraId="2880918A"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3" w:name="_ENREF_22"/>
      <w:r w:rsidRPr="005E6B7C">
        <w:rPr>
          <w:rFonts w:asciiTheme="majorHAnsi" w:eastAsia="Yu Mincho" w:hAnsiTheme="majorHAnsi" w:cstheme="majorHAnsi"/>
          <w:b/>
          <w:bCs/>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ab/>
        <w:t xml:space="preserve">Choi Y. Y., Kim M. H., Han J. M., Hong J., Lee T. H., Kim S. H., Yang W. M. (2014), The anti-inflammatory potential of </w:t>
      </w:r>
      <w:r w:rsidRPr="005E6B7C">
        <w:rPr>
          <w:rFonts w:asciiTheme="majorHAnsi" w:eastAsia="Yu Mincho" w:hAnsiTheme="majorHAnsi" w:cstheme="majorHAnsi"/>
          <w:i/>
          <w:noProof/>
          <w:color w:val="000000" w:themeColor="text1"/>
          <w:sz w:val="18"/>
          <w:szCs w:val="18"/>
          <w:lang w:eastAsia="ja-JP"/>
        </w:rPr>
        <w:t xml:space="preserve">Cortex Phellodendron </w:t>
      </w:r>
      <w:r w:rsidR="00894500" w:rsidRPr="005E6B7C">
        <w:rPr>
          <w:rFonts w:asciiTheme="majorHAnsi" w:eastAsia="Yu Mincho" w:hAnsiTheme="majorHAnsi" w:cstheme="majorHAnsi"/>
          <w:i/>
          <w:iCs/>
          <w:noProof/>
          <w:color w:val="000000" w:themeColor="text1"/>
          <w:sz w:val="18"/>
          <w:szCs w:val="18"/>
          <w:lang w:eastAsia="ja-JP"/>
        </w:rPr>
        <w:t>in vivo</w:t>
      </w:r>
      <w:r w:rsidRPr="005E6B7C">
        <w:rPr>
          <w:rFonts w:asciiTheme="majorHAnsi" w:eastAsia="Yu Mincho" w:hAnsiTheme="majorHAnsi" w:cstheme="majorHAnsi"/>
          <w: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 xml:space="preserve">and </w:t>
      </w:r>
      <w:r w:rsidR="00894500" w:rsidRPr="005E6B7C">
        <w:rPr>
          <w:rFonts w:asciiTheme="majorHAnsi" w:eastAsia="Yu Mincho" w:hAnsiTheme="majorHAnsi" w:cstheme="majorHAnsi"/>
          <w:i/>
          <w:iCs/>
          <w:noProof/>
          <w:color w:val="000000" w:themeColor="text1"/>
          <w:sz w:val="18"/>
          <w:szCs w:val="18"/>
          <w:lang w:eastAsia="ja-JP"/>
        </w:rPr>
        <w:t>in vitro</w:t>
      </w:r>
      <w:r w:rsidRPr="005E6B7C">
        <w:rPr>
          <w:rFonts w:asciiTheme="majorHAnsi" w:eastAsia="Yu Mincho" w:hAnsiTheme="majorHAnsi" w:cstheme="majorHAnsi"/>
          <w:noProof/>
          <w:color w:val="000000" w:themeColor="text1"/>
          <w:sz w:val="18"/>
          <w:szCs w:val="18"/>
          <w:lang w:eastAsia="ja-JP"/>
        </w:rPr>
        <w:t xml:space="preserve">: down-regulation of NO and iNOS through suppression of NF-κB and MAPK activation, </w:t>
      </w:r>
      <w:r w:rsidRPr="005E6B7C">
        <w:rPr>
          <w:rFonts w:asciiTheme="majorHAnsi" w:eastAsia="Yu Mincho" w:hAnsiTheme="majorHAnsi" w:cstheme="majorHAnsi"/>
          <w:i/>
          <w:noProof/>
          <w:color w:val="000000" w:themeColor="text1"/>
          <w:sz w:val="18"/>
          <w:szCs w:val="18"/>
          <w:lang w:eastAsia="ja-JP"/>
        </w:rPr>
        <w:t>International Immunopharmacology</w:t>
      </w:r>
      <w:r w:rsidRPr="005E6B7C">
        <w:rPr>
          <w:rFonts w:asciiTheme="majorHAnsi" w:eastAsia="Yu Mincho" w:hAnsiTheme="majorHAnsi" w:cstheme="majorHAnsi"/>
          <w:noProof/>
          <w:color w:val="000000" w:themeColor="text1"/>
          <w:sz w:val="18"/>
          <w:szCs w:val="18"/>
          <w:lang w:eastAsia="ja-JP"/>
        </w:rPr>
        <w:t>, 19(2), 214-220.</w:t>
      </w:r>
      <w:bookmarkEnd w:id="53"/>
    </w:p>
    <w:p w14:paraId="675C11FA"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4" w:name="_ENREF_23"/>
      <w:r w:rsidRPr="005E6B7C">
        <w:rPr>
          <w:rFonts w:asciiTheme="majorHAnsi" w:eastAsia="Yu Mincho" w:hAnsiTheme="majorHAnsi" w:cstheme="majorHAnsi"/>
          <w:b/>
          <w:bCs/>
          <w:noProof/>
          <w:color w:val="000000" w:themeColor="text1"/>
          <w:sz w:val="18"/>
          <w:szCs w:val="18"/>
          <w:lang w:eastAsia="ja-JP"/>
        </w:rPr>
        <w:t>23.</w:t>
      </w:r>
      <w:r w:rsidRPr="005E6B7C">
        <w:rPr>
          <w:rFonts w:asciiTheme="majorHAnsi" w:eastAsia="Yu Mincho" w:hAnsiTheme="majorHAnsi" w:cstheme="majorHAnsi"/>
          <w:b/>
          <w:bCs/>
          <w:noProof/>
          <w:color w:val="000000" w:themeColor="text1"/>
          <w:sz w:val="18"/>
          <w:szCs w:val="18"/>
          <w:lang w:eastAsia="ja-JP"/>
        </w:rPr>
        <w:tab/>
      </w:r>
      <w:r w:rsidRPr="005E6B7C">
        <w:rPr>
          <w:rFonts w:asciiTheme="majorHAnsi" w:eastAsia="Yu Mincho" w:hAnsiTheme="majorHAnsi" w:cstheme="majorHAnsi"/>
          <w:noProof/>
          <w:color w:val="000000" w:themeColor="text1"/>
          <w:sz w:val="18"/>
          <w:szCs w:val="18"/>
          <w:lang w:eastAsia="ja-JP"/>
        </w:rPr>
        <w:t xml:space="preserve">Sun Y., Lenon G. B., Yang A. W. H. (2019), Phellodendri cortex: a phytochemical, pharmacological, and pharmacokinetic review, </w:t>
      </w:r>
      <w:r w:rsidRPr="005E6B7C">
        <w:rPr>
          <w:rFonts w:asciiTheme="majorHAnsi" w:eastAsia="Yu Mincho" w:hAnsiTheme="majorHAnsi" w:cstheme="majorHAnsi" w:hint="eastAsia"/>
          <w:i/>
          <w:noProof/>
          <w:color w:val="000000" w:themeColor="text1"/>
          <w:sz w:val="18"/>
          <w:szCs w:val="18"/>
          <w:lang w:eastAsia="ja-JP"/>
        </w:rPr>
        <w:t>Evidence</w:t>
      </w:r>
      <w:r w:rsidRPr="005E6B7C">
        <w:rPr>
          <w:rFonts w:asciiTheme="majorHAnsi" w:eastAsia="Yu Mincho" w:hAnsiTheme="majorHAnsi" w:cstheme="majorHAnsi" w:hint="eastAsia"/>
          <w:i/>
          <w:noProof/>
          <w:color w:val="000000" w:themeColor="text1"/>
          <w:sz w:val="18"/>
          <w:szCs w:val="18"/>
          <w:lang w:eastAsia="ja-JP"/>
        </w:rPr>
        <w:t>‐</w:t>
      </w:r>
      <w:r w:rsidRPr="005E6B7C">
        <w:rPr>
          <w:rFonts w:asciiTheme="majorHAnsi" w:eastAsia="Yu Mincho" w:hAnsiTheme="majorHAnsi" w:cstheme="majorHAnsi" w:hint="eastAsia"/>
          <w:i/>
          <w:noProof/>
          <w:color w:val="000000" w:themeColor="text1"/>
          <w:sz w:val="18"/>
          <w:szCs w:val="18"/>
          <w:lang w:eastAsia="ja-JP"/>
        </w:rPr>
        <w:t>Based Complementary Alternative Medicine</w:t>
      </w:r>
      <w:r w:rsidRPr="005E6B7C">
        <w:rPr>
          <w:rFonts w:asciiTheme="majorHAnsi" w:eastAsia="Yu Mincho" w:hAnsiTheme="majorHAnsi" w:cstheme="majorHAnsi"/>
          <w:noProof/>
          <w:color w:val="000000" w:themeColor="text1"/>
          <w:sz w:val="18"/>
          <w:szCs w:val="18"/>
          <w:lang w:eastAsia="ja-JP"/>
        </w:rPr>
        <w:t>, 2019(1), 7621929.</w:t>
      </w:r>
      <w:bookmarkEnd w:id="54"/>
    </w:p>
    <w:p w14:paraId="522AA286" w14:textId="77777777" w:rsidR="00E049CB" w:rsidRPr="005E6B7C" w:rsidRDefault="00E049CB" w:rsidP="008C0D47">
      <w:pPr>
        <w:tabs>
          <w:tab w:val="left" w:pos="270"/>
          <w:tab w:val="left" w:pos="540"/>
          <w:tab w:val="left" w:pos="9270"/>
        </w:tabs>
        <w:jc w:val="both"/>
        <w:rPr>
          <w:rFonts w:asciiTheme="majorHAnsi" w:eastAsia="Yu Mincho" w:hAnsiTheme="majorHAnsi" w:cstheme="majorHAnsi"/>
          <w:noProof/>
          <w:color w:val="000000" w:themeColor="text1"/>
          <w:sz w:val="18"/>
          <w:szCs w:val="18"/>
          <w:lang w:eastAsia="ja-JP"/>
        </w:rPr>
      </w:pPr>
      <w:bookmarkStart w:id="55" w:name="_ENREF_24"/>
      <w:r w:rsidRPr="005E6B7C">
        <w:rPr>
          <w:rFonts w:asciiTheme="majorHAnsi" w:eastAsia="Yu Mincho" w:hAnsiTheme="majorHAnsi" w:cstheme="majorHAnsi"/>
          <w:b/>
          <w:bCs/>
          <w:noProof/>
          <w:color w:val="000000" w:themeColor="text1"/>
          <w:sz w:val="18"/>
          <w:szCs w:val="18"/>
          <w:lang w:eastAsia="ja-JP"/>
        </w:rPr>
        <w:t>24.</w:t>
      </w:r>
      <w:r w:rsidRPr="005E6B7C">
        <w:rPr>
          <w:rFonts w:asciiTheme="majorHAnsi" w:eastAsia="Yu Mincho" w:hAnsiTheme="majorHAnsi" w:cstheme="majorHAnsi"/>
          <w:noProof/>
          <w:color w:val="000000" w:themeColor="text1"/>
          <w:sz w:val="18"/>
          <w:szCs w:val="18"/>
          <w:lang w:eastAsia="ja-JP"/>
        </w:rPr>
        <w:tab/>
        <w:t xml:space="preserve">Xian Y. F., Mao Q. Q., Ip S. P., Lin Z. X., Che C. T. (2011), Comparison on the anti-inflammatory effect of </w:t>
      </w:r>
      <w:r w:rsidRPr="005E6B7C">
        <w:rPr>
          <w:rFonts w:asciiTheme="majorHAnsi" w:eastAsia="Yu Mincho" w:hAnsiTheme="majorHAnsi" w:cstheme="majorHAnsi"/>
          <w:i/>
          <w:noProof/>
          <w:color w:val="000000" w:themeColor="text1"/>
          <w:sz w:val="18"/>
          <w:szCs w:val="18"/>
          <w:lang w:eastAsia="ja-JP"/>
        </w:rPr>
        <w:t>Cortex Phellodendri Chinensis</w:t>
      </w:r>
      <w:r w:rsidRPr="005E6B7C">
        <w:rPr>
          <w:rFonts w:asciiTheme="majorHAnsi" w:eastAsia="Yu Mincho" w:hAnsiTheme="majorHAnsi" w:cstheme="majorHAnsi"/>
          <w:noProof/>
          <w:color w:val="000000" w:themeColor="text1"/>
          <w:sz w:val="18"/>
          <w:szCs w:val="18"/>
          <w:lang w:eastAsia="ja-JP"/>
        </w:rPr>
        <w:t xml:space="preserve"> and </w:t>
      </w:r>
      <w:r w:rsidRPr="005E6B7C">
        <w:rPr>
          <w:rFonts w:asciiTheme="majorHAnsi" w:eastAsia="Yu Mincho" w:hAnsiTheme="majorHAnsi" w:cstheme="majorHAnsi"/>
          <w:i/>
          <w:noProof/>
          <w:color w:val="000000" w:themeColor="text1"/>
          <w:sz w:val="18"/>
          <w:szCs w:val="18"/>
          <w:lang w:eastAsia="ja-JP"/>
        </w:rPr>
        <w:t>Cortex Phellodendri Amurensis</w:t>
      </w:r>
      <w:r w:rsidRPr="005E6B7C">
        <w:rPr>
          <w:rFonts w:asciiTheme="majorHAnsi" w:eastAsia="Yu Mincho" w:hAnsiTheme="majorHAnsi" w:cstheme="majorHAnsi"/>
          <w:noProof/>
          <w:color w:val="000000" w:themeColor="text1"/>
          <w:sz w:val="18"/>
          <w:szCs w:val="18"/>
          <w:lang w:eastAsia="ja-JP"/>
        </w:rPr>
        <w:t xml:space="preserve"> in 12-</w:t>
      </w:r>
      <w:r w:rsidRPr="005E6B7C">
        <w:rPr>
          <w:rFonts w:asciiTheme="majorHAnsi" w:eastAsia="Yu Mincho" w:hAnsiTheme="majorHAnsi" w:cstheme="majorHAnsi"/>
          <w:i/>
          <w:noProof/>
          <w:color w:val="000000" w:themeColor="text1"/>
          <w:sz w:val="18"/>
          <w:szCs w:val="18"/>
          <w:lang w:eastAsia="ja-JP"/>
        </w:rPr>
        <w:t>O</w:t>
      </w:r>
      <w:r w:rsidRPr="005E6B7C">
        <w:rPr>
          <w:rFonts w:asciiTheme="majorHAnsi" w:eastAsia="Yu Mincho" w:hAnsiTheme="majorHAnsi" w:cstheme="majorHAnsi"/>
          <w:noProof/>
          <w:color w:val="000000" w:themeColor="text1"/>
          <w:sz w:val="18"/>
          <w:szCs w:val="18"/>
          <w:lang w:eastAsia="ja-JP"/>
        </w:rPr>
        <w:t xml:space="preserve">-tetradecanoyl-phorbol-13-acetate-induced ear edema in mice, </w:t>
      </w:r>
      <w:r w:rsidRPr="005E6B7C">
        <w:rPr>
          <w:rFonts w:asciiTheme="majorHAnsi" w:eastAsia="Yu Mincho" w:hAnsiTheme="majorHAnsi" w:cstheme="majorHAnsi"/>
          <w:i/>
          <w:noProof/>
          <w:color w:val="000000" w:themeColor="text1"/>
          <w:sz w:val="18"/>
          <w:szCs w:val="18"/>
          <w:lang w:eastAsia="ja-JP"/>
        </w:rPr>
        <w:t>Journal of Ethnopharmacology</w:t>
      </w:r>
      <w:r w:rsidRPr="005E6B7C">
        <w:rPr>
          <w:rFonts w:asciiTheme="majorHAnsi" w:eastAsia="Yu Mincho" w:hAnsiTheme="majorHAnsi" w:cstheme="majorHAnsi"/>
          <w:noProof/>
          <w:color w:val="000000" w:themeColor="text1"/>
          <w:sz w:val="18"/>
          <w:szCs w:val="18"/>
          <w:lang w:eastAsia="ja-JP"/>
        </w:rPr>
        <w:t>, 137(3), 1425-1430.</w:t>
      </w:r>
      <w:bookmarkEnd w:id="55"/>
    </w:p>
    <w:p w14:paraId="35617DC6" w14:textId="31391F23" w:rsidR="00367819" w:rsidRPr="005E6B7C" w:rsidRDefault="00E049CB" w:rsidP="008C0D47">
      <w:pPr>
        <w:tabs>
          <w:tab w:val="left" w:pos="270"/>
          <w:tab w:val="left" w:pos="9270"/>
        </w:tabs>
        <w:ind w:right="-20"/>
        <w:jc w:val="both"/>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color w:val="000000" w:themeColor="text1"/>
          <w:sz w:val="18"/>
          <w:szCs w:val="18"/>
          <w:lang w:val="vi-VN" w:eastAsia="ja-JP"/>
        </w:rPr>
        <w:fldChar w:fldCharType="end"/>
      </w:r>
      <w:r w:rsidR="00367819" w:rsidRPr="005E6B7C">
        <w:rPr>
          <w:rFonts w:asciiTheme="majorHAnsi" w:eastAsia="Yu Mincho" w:hAnsiTheme="majorHAnsi" w:cstheme="majorHAnsi"/>
          <w:b/>
          <w:bCs/>
          <w:i/>
          <w:color w:val="000000" w:themeColor="text1"/>
          <w:sz w:val="26"/>
          <w:szCs w:val="26"/>
          <w:lang w:eastAsia="ja-JP"/>
        </w:rPr>
        <w:t>Journal of Medicinal Materials, 2026, Vol. 31, No. 1+2 (pp</w:t>
      </w:r>
      <w:r w:rsidR="00BD35FA" w:rsidRPr="005E6B7C">
        <w:rPr>
          <w:rFonts w:asciiTheme="majorHAnsi" w:eastAsia="Yu Mincho" w:hAnsiTheme="majorHAnsi" w:cstheme="majorHAnsi"/>
          <w:b/>
          <w:bCs/>
          <w:i/>
          <w:color w:val="000000" w:themeColor="text1"/>
          <w:sz w:val="26"/>
          <w:szCs w:val="26"/>
          <w:lang w:eastAsia="ja-JP"/>
        </w:rPr>
        <w:t>. 138 - 146</w:t>
      </w:r>
      <w:r w:rsidR="00367819" w:rsidRPr="005E6B7C">
        <w:rPr>
          <w:rFonts w:asciiTheme="majorHAnsi" w:eastAsia="Yu Mincho" w:hAnsiTheme="majorHAnsi" w:cstheme="majorHAnsi"/>
          <w:b/>
          <w:bCs/>
          <w:i/>
          <w:color w:val="000000" w:themeColor="text1"/>
          <w:sz w:val="26"/>
          <w:szCs w:val="26"/>
          <w:lang w:eastAsia="ja-JP"/>
        </w:rPr>
        <w:t>)</w:t>
      </w:r>
    </w:p>
    <w:p w14:paraId="7822DBA9" w14:textId="77777777" w:rsidR="00367819" w:rsidRPr="005E6B7C" w:rsidRDefault="00367819" w:rsidP="008C0D47">
      <w:pPr>
        <w:tabs>
          <w:tab w:val="left" w:pos="270"/>
          <w:tab w:val="left" w:pos="9270"/>
        </w:tabs>
        <w:ind w:right="-20"/>
        <w:jc w:val="both"/>
        <w:rPr>
          <w:rFonts w:asciiTheme="majorHAnsi" w:eastAsia="Yu Mincho" w:hAnsiTheme="majorHAnsi" w:cstheme="majorHAnsi"/>
          <w:b/>
          <w:bCs/>
          <w:color w:val="000000" w:themeColor="text1"/>
          <w:sz w:val="22"/>
          <w:szCs w:val="22"/>
          <w:lang w:eastAsia="ja-JP"/>
        </w:rPr>
      </w:pPr>
    </w:p>
    <w:p w14:paraId="6C51CE37" w14:textId="77777777" w:rsidR="00297440" w:rsidRPr="005E6B7C" w:rsidRDefault="00E049CB" w:rsidP="008C0D47">
      <w:pPr>
        <w:tabs>
          <w:tab w:val="left" w:pos="270"/>
          <w:tab w:val="left" w:pos="2127"/>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val="vi-VN" w:eastAsia="ja-JP"/>
        </w:rPr>
        <w:t xml:space="preserve">NEUROPROTECTIVE EFFECTS OF TIANMA GOUTENG DECOCTION </w:t>
      </w:r>
    </w:p>
    <w:p w14:paraId="1960FC82" w14:textId="77777777" w:rsidR="00297440" w:rsidRPr="005E6B7C" w:rsidRDefault="00E049CB" w:rsidP="008C0D47">
      <w:pPr>
        <w:tabs>
          <w:tab w:val="left" w:pos="270"/>
          <w:tab w:val="left" w:pos="2127"/>
        </w:tabs>
        <w:ind w:right="-20"/>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val="vi-VN" w:eastAsia="ja-JP"/>
        </w:rPr>
        <w:t xml:space="preserve">IN A MIDDLE CEREBRAL ARTERY OCCLUSION MODEL </w:t>
      </w:r>
    </w:p>
    <w:p w14:paraId="38C3C9B0" w14:textId="77777777" w:rsidR="00E049CB" w:rsidRPr="005E6B7C" w:rsidRDefault="00E049CB" w:rsidP="008C0D47">
      <w:pPr>
        <w:tabs>
          <w:tab w:val="left" w:pos="270"/>
          <w:tab w:val="left" w:pos="2127"/>
        </w:tabs>
        <w:ind w:right="-20"/>
        <w:jc w:val="center"/>
        <w:rPr>
          <w:rFonts w:asciiTheme="majorHAnsi" w:eastAsia="Yu Mincho" w:hAnsiTheme="majorHAnsi" w:cstheme="majorHAnsi"/>
          <w:b/>
          <w:color w:val="000000" w:themeColor="text1"/>
          <w:sz w:val="26"/>
          <w:szCs w:val="26"/>
          <w:lang w:val="vi-VN" w:eastAsia="ja-JP"/>
        </w:rPr>
      </w:pPr>
      <w:r w:rsidRPr="005E6B7C">
        <w:rPr>
          <w:rFonts w:asciiTheme="majorHAnsi" w:eastAsia="Yu Mincho" w:hAnsiTheme="majorHAnsi" w:cstheme="majorHAnsi"/>
          <w:b/>
          <w:color w:val="000000" w:themeColor="text1"/>
          <w:sz w:val="26"/>
          <w:szCs w:val="26"/>
          <w:lang w:val="vi-VN" w:eastAsia="ja-JP"/>
        </w:rPr>
        <w:lastRenderedPageBreak/>
        <w:t>OF ISCHEMIC STROKE</w:t>
      </w:r>
    </w:p>
    <w:p w14:paraId="4A1D4332" w14:textId="0CFF817D" w:rsidR="00A0756D" w:rsidRPr="005E6B7C" w:rsidRDefault="00E049CB" w:rsidP="008C0D47">
      <w:pPr>
        <w:tabs>
          <w:tab w:val="left" w:pos="270"/>
          <w:tab w:val="left" w:pos="2127"/>
        </w:tabs>
        <w:ind w:right="-20"/>
        <w:jc w:val="center"/>
        <w:rPr>
          <w:rFonts w:asciiTheme="majorHAnsi" w:eastAsia="Yu Mincho" w:hAnsiTheme="majorHAnsi" w:cstheme="majorHAnsi"/>
          <w:b/>
          <w:i/>
          <w:color w:val="000000" w:themeColor="text1"/>
          <w:sz w:val="22"/>
          <w:szCs w:val="22"/>
          <w:lang w:val="vi-VN" w:eastAsia="ja-JP"/>
        </w:rPr>
      </w:pPr>
      <w:r w:rsidRPr="005E6B7C">
        <w:rPr>
          <w:rFonts w:asciiTheme="majorHAnsi" w:eastAsia="Yu Mincho" w:hAnsiTheme="majorHAnsi" w:cstheme="majorHAnsi"/>
          <w:b/>
          <w:i/>
          <w:color w:val="000000" w:themeColor="text1"/>
          <w:sz w:val="22"/>
          <w:szCs w:val="22"/>
          <w:lang w:val="vi-VN" w:eastAsia="ja-JP"/>
        </w:rPr>
        <w:t>Le Thi Xoan</w:t>
      </w:r>
      <w:r w:rsidRPr="005E6B7C">
        <w:rPr>
          <w:rFonts w:asciiTheme="majorHAnsi" w:eastAsia="Yu Mincho" w:hAnsiTheme="majorHAnsi" w:cstheme="majorHAnsi"/>
          <w:b/>
          <w:i/>
          <w:color w:val="000000" w:themeColor="text1"/>
          <w:sz w:val="22"/>
          <w:szCs w:val="22"/>
          <w:vertAlign w:val="superscript"/>
          <w:lang w:val="vi-VN" w:eastAsia="ja-JP"/>
        </w:rPr>
        <w:t>1,</w:t>
      </w:r>
      <w:r w:rsidRPr="005E6B7C">
        <w:rPr>
          <w:rFonts w:asciiTheme="majorHAnsi" w:eastAsia="Yu Mincho" w:hAnsiTheme="majorHAnsi" w:cstheme="majorHAnsi"/>
          <w:b/>
          <w:i/>
          <w:color w:val="000000" w:themeColor="text1"/>
          <w:sz w:val="22"/>
          <w:szCs w:val="22"/>
          <w:lang w:val="vi-VN" w:eastAsia="ja-JP"/>
        </w:rPr>
        <w:t>*, Trinh Lan Ph</w:t>
      </w:r>
      <w:r w:rsidR="008C0D47" w:rsidRPr="005E6B7C">
        <w:rPr>
          <w:rFonts w:asciiTheme="majorHAnsi" w:eastAsia="Yu Mincho" w:hAnsiTheme="majorHAnsi" w:cstheme="majorHAnsi"/>
          <w:b/>
          <w:i/>
          <w:color w:val="000000" w:themeColor="text1"/>
          <w:sz w:val="22"/>
          <w:szCs w:val="22"/>
          <w:lang w:val="vi-VN" w:eastAsia="ja-JP"/>
        </w:rPr>
        <w:t>uon</w:t>
      </w:r>
      <w:r w:rsidRPr="005E6B7C">
        <w:rPr>
          <w:rFonts w:asciiTheme="majorHAnsi" w:eastAsia="Yu Mincho" w:hAnsiTheme="majorHAnsi" w:cstheme="majorHAnsi"/>
          <w:b/>
          <w:i/>
          <w:color w:val="000000" w:themeColor="text1"/>
          <w:sz w:val="22"/>
          <w:szCs w:val="22"/>
          <w:lang w:val="vi-VN" w:eastAsia="ja-JP"/>
        </w:rPr>
        <w:t>g</w:t>
      </w:r>
      <w:r w:rsidRPr="005E6B7C">
        <w:rPr>
          <w:rFonts w:asciiTheme="majorHAnsi" w:eastAsia="Yu Mincho" w:hAnsiTheme="majorHAnsi" w:cstheme="majorHAnsi"/>
          <w:b/>
          <w:i/>
          <w:color w:val="000000" w:themeColor="text1"/>
          <w:sz w:val="22"/>
          <w:szCs w:val="22"/>
          <w:vertAlign w:val="superscript"/>
          <w:lang w:val="vi-VN" w:eastAsia="ja-JP"/>
        </w:rPr>
        <w:t>2</w:t>
      </w:r>
      <w:r w:rsidRPr="005E6B7C">
        <w:rPr>
          <w:rFonts w:asciiTheme="majorHAnsi" w:eastAsia="Yu Mincho" w:hAnsiTheme="majorHAnsi" w:cstheme="majorHAnsi"/>
          <w:b/>
          <w:i/>
          <w:color w:val="000000" w:themeColor="text1"/>
          <w:sz w:val="22"/>
          <w:szCs w:val="22"/>
          <w:lang w:val="vi-VN" w:eastAsia="ja-JP"/>
        </w:rPr>
        <w:t>, Nguyen Van Hiep</w:t>
      </w:r>
      <w:r w:rsidRPr="005E6B7C">
        <w:rPr>
          <w:rFonts w:asciiTheme="majorHAnsi" w:eastAsia="Yu Mincho" w:hAnsiTheme="majorHAnsi" w:cstheme="majorHAnsi"/>
          <w:b/>
          <w:i/>
          <w:color w:val="000000" w:themeColor="text1"/>
          <w:sz w:val="22"/>
          <w:szCs w:val="22"/>
          <w:vertAlign w:val="superscript"/>
          <w:lang w:val="vi-VN" w:eastAsia="ja-JP"/>
        </w:rPr>
        <w:t>1</w:t>
      </w:r>
      <w:r w:rsidRPr="005E6B7C">
        <w:rPr>
          <w:rFonts w:asciiTheme="majorHAnsi" w:eastAsia="Yu Mincho" w:hAnsiTheme="majorHAnsi" w:cstheme="majorHAnsi"/>
          <w:b/>
          <w:i/>
          <w:color w:val="000000" w:themeColor="text1"/>
          <w:sz w:val="22"/>
          <w:szCs w:val="22"/>
          <w:lang w:val="vi-VN" w:eastAsia="ja-JP"/>
        </w:rPr>
        <w:t>, Pham Thi Nguyet Hang</w:t>
      </w:r>
      <w:r w:rsidRPr="005E6B7C">
        <w:rPr>
          <w:rFonts w:asciiTheme="majorHAnsi" w:eastAsia="Yu Mincho" w:hAnsiTheme="majorHAnsi" w:cstheme="majorHAnsi"/>
          <w:b/>
          <w:i/>
          <w:color w:val="000000" w:themeColor="text1"/>
          <w:sz w:val="22"/>
          <w:szCs w:val="22"/>
          <w:vertAlign w:val="superscript"/>
          <w:lang w:val="vi-VN" w:eastAsia="ja-JP"/>
        </w:rPr>
        <w:t>1</w:t>
      </w:r>
      <w:r w:rsidRPr="005E6B7C">
        <w:rPr>
          <w:rFonts w:asciiTheme="majorHAnsi" w:eastAsia="Yu Mincho" w:hAnsiTheme="majorHAnsi" w:cstheme="majorHAnsi"/>
          <w:b/>
          <w:i/>
          <w:color w:val="000000" w:themeColor="text1"/>
          <w:sz w:val="22"/>
          <w:szCs w:val="22"/>
          <w:lang w:val="vi-VN" w:eastAsia="ja-JP"/>
        </w:rPr>
        <w:t xml:space="preserve">, </w:t>
      </w:r>
    </w:p>
    <w:p w14:paraId="5FA7C255" w14:textId="77777777" w:rsidR="00E049CB" w:rsidRPr="005E6B7C" w:rsidRDefault="00E049CB" w:rsidP="008C0D47">
      <w:pPr>
        <w:tabs>
          <w:tab w:val="left" w:pos="270"/>
          <w:tab w:val="left" w:pos="2127"/>
        </w:tabs>
        <w:ind w:right="-20"/>
        <w:jc w:val="center"/>
        <w:rPr>
          <w:rFonts w:asciiTheme="majorHAnsi" w:eastAsia="Yu Mincho" w:hAnsiTheme="majorHAnsi" w:cstheme="majorHAnsi"/>
          <w:i/>
          <w:color w:val="000000" w:themeColor="text1"/>
          <w:sz w:val="22"/>
          <w:szCs w:val="22"/>
          <w:vertAlign w:val="superscript"/>
          <w:lang w:val="vi-VN" w:eastAsia="ja-JP"/>
        </w:rPr>
      </w:pPr>
      <w:r w:rsidRPr="005E6B7C">
        <w:rPr>
          <w:rFonts w:asciiTheme="majorHAnsi" w:eastAsia="Yu Mincho" w:hAnsiTheme="majorHAnsi" w:cstheme="majorHAnsi"/>
          <w:b/>
          <w:i/>
          <w:color w:val="000000" w:themeColor="text1"/>
          <w:sz w:val="22"/>
          <w:szCs w:val="22"/>
          <w:lang w:val="vi-VN" w:eastAsia="ja-JP"/>
        </w:rPr>
        <w:t xml:space="preserve">Nguyen Van </w:t>
      </w:r>
      <w:r w:rsidR="004275A4" w:rsidRPr="005E6B7C">
        <w:rPr>
          <w:rFonts w:asciiTheme="majorHAnsi" w:eastAsia="Yu Mincho" w:hAnsiTheme="majorHAnsi" w:cstheme="majorHAnsi"/>
          <w:b/>
          <w:i/>
          <w:color w:val="000000" w:themeColor="text1"/>
          <w:sz w:val="22"/>
          <w:szCs w:val="22"/>
          <w:lang w:val="vi-VN" w:eastAsia="ja-JP"/>
        </w:rPr>
        <w:t>Tai</w:t>
      </w:r>
      <w:r w:rsidR="004275A4" w:rsidRPr="005E6B7C">
        <w:rPr>
          <w:rFonts w:asciiTheme="majorHAnsi" w:eastAsia="Yu Mincho" w:hAnsiTheme="majorHAnsi" w:cstheme="majorHAnsi"/>
          <w:b/>
          <w:i/>
          <w:color w:val="000000" w:themeColor="text1"/>
          <w:sz w:val="22"/>
          <w:szCs w:val="22"/>
          <w:vertAlign w:val="superscript"/>
          <w:lang w:val="vi-VN" w:eastAsia="ja-JP"/>
        </w:rPr>
        <w:t>1</w:t>
      </w:r>
      <w:r w:rsidRPr="005E6B7C">
        <w:rPr>
          <w:rFonts w:asciiTheme="majorHAnsi" w:eastAsia="Yu Mincho" w:hAnsiTheme="majorHAnsi" w:cstheme="majorHAnsi"/>
          <w:b/>
          <w:i/>
          <w:color w:val="000000" w:themeColor="text1"/>
          <w:sz w:val="22"/>
          <w:szCs w:val="22"/>
          <w:lang w:val="vi-VN" w:eastAsia="ja-JP"/>
        </w:rPr>
        <w:t xml:space="preserve">, Nguyen Thi Thu </w:t>
      </w:r>
      <w:r w:rsidR="004275A4" w:rsidRPr="005E6B7C">
        <w:rPr>
          <w:rFonts w:asciiTheme="majorHAnsi" w:eastAsia="Yu Mincho" w:hAnsiTheme="majorHAnsi" w:cstheme="majorHAnsi"/>
          <w:b/>
          <w:i/>
          <w:color w:val="000000" w:themeColor="text1"/>
          <w:sz w:val="22"/>
          <w:szCs w:val="22"/>
          <w:lang w:val="vi-VN" w:eastAsia="ja-JP"/>
        </w:rPr>
        <w:t>Trang</w:t>
      </w:r>
      <w:r w:rsidR="004275A4" w:rsidRPr="005E6B7C">
        <w:rPr>
          <w:rFonts w:asciiTheme="majorHAnsi" w:eastAsia="Yu Mincho" w:hAnsiTheme="majorHAnsi" w:cstheme="majorHAnsi"/>
          <w:b/>
          <w:i/>
          <w:color w:val="000000" w:themeColor="text1"/>
          <w:sz w:val="22"/>
          <w:szCs w:val="22"/>
          <w:vertAlign w:val="superscript"/>
          <w:lang w:val="vi-VN" w:eastAsia="ja-JP"/>
        </w:rPr>
        <w:t>1</w:t>
      </w:r>
      <w:r w:rsidRPr="005E6B7C">
        <w:rPr>
          <w:rFonts w:asciiTheme="majorHAnsi" w:eastAsia="Yu Mincho" w:hAnsiTheme="majorHAnsi" w:cstheme="majorHAnsi"/>
          <w:b/>
          <w:i/>
          <w:color w:val="000000" w:themeColor="text1"/>
          <w:sz w:val="22"/>
          <w:szCs w:val="22"/>
          <w:lang w:val="vi-VN" w:eastAsia="ja-JP"/>
        </w:rPr>
        <w:t xml:space="preserve">, Nguyen Thi Thanh </w:t>
      </w:r>
      <w:r w:rsidR="004275A4" w:rsidRPr="005E6B7C">
        <w:rPr>
          <w:rFonts w:asciiTheme="majorHAnsi" w:eastAsia="Yu Mincho" w:hAnsiTheme="majorHAnsi" w:cstheme="majorHAnsi"/>
          <w:b/>
          <w:i/>
          <w:color w:val="000000" w:themeColor="text1"/>
          <w:sz w:val="22"/>
          <w:szCs w:val="22"/>
          <w:lang w:val="vi-VN" w:eastAsia="ja-JP"/>
        </w:rPr>
        <w:t>Loan</w:t>
      </w:r>
      <w:r w:rsidR="004275A4" w:rsidRPr="005E6B7C">
        <w:rPr>
          <w:rFonts w:asciiTheme="majorHAnsi" w:eastAsia="Yu Mincho" w:hAnsiTheme="majorHAnsi" w:cstheme="majorHAnsi"/>
          <w:b/>
          <w:i/>
          <w:color w:val="000000" w:themeColor="text1"/>
          <w:sz w:val="22"/>
          <w:szCs w:val="22"/>
          <w:vertAlign w:val="superscript"/>
          <w:lang w:val="vi-VN" w:eastAsia="ja-JP"/>
        </w:rPr>
        <w:t>3</w:t>
      </w:r>
      <w:r w:rsidRPr="005E6B7C">
        <w:rPr>
          <w:rFonts w:asciiTheme="majorHAnsi" w:eastAsia="Yu Mincho" w:hAnsiTheme="majorHAnsi" w:cstheme="majorHAnsi"/>
          <w:b/>
          <w:i/>
          <w:color w:val="000000" w:themeColor="text1"/>
          <w:sz w:val="22"/>
          <w:szCs w:val="22"/>
          <w:lang w:val="vi-VN" w:eastAsia="ja-JP"/>
        </w:rPr>
        <w:t xml:space="preserve">, Nguyen Hung </w:t>
      </w:r>
      <w:r w:rsidR="004275A4" w:rsidRPr="005E6B7C">
        <w:rPr>
          <w:rFonts w:asciiTheme="majorHAnsi" w:eastAsia="Yu Mincho" w:hAnsiTheme="majorHAnsi" w:cstheme="majorHAnsi"/>
          <w:b/>
          <w:i/>
          <w:color w:val="000000" w:themeColor="text1"/>
          <w:sz w:val="22"/>
          <w:szCs w:val="22"/>
          <w:lang w:val="vi-VN" w:eastAsia="ja-JP"/>
        </w:rPr>
        <w:t>Son</w:t>
      </w:r>
      <w:r w:rsidR="004275A4" w:rsidRPr="005E6B7C">
        <w:rPr>
          <w:rFonts w:asciiTheme="majorHAnsi" w:eastAsia="Yu Mincho" w:hAnsiTheme="majorHAnsi" w:cstheme="majorHAnsi"/>
          <w:i/>
          <w:color w:val="000000" w:themeColor="text1"/>
          <w:sz w:val="22"/>
          <w:szCs w:val="22"/>
          <w:vertAlign w:val="superscript"/>
          <w:lang w:val="vi-VN" w:eastAsia="ja-JP"/>
        </w:rPr>
        <w:t>4</w:t>
      </w:r>
    </w:p>
    <w:p w14:paraId="41D729AB" w14:textId="124AF563" w:rsidR="004275A4" w:rsidRPr="005E6B7C" w:rsidRDefault="00E049CB" w:rsidP="008C0D47">
      <w:pPr>
        <w:tabs>
          <w:tab w:val="left" w:pos="270"/>
          <w:tab w:val="left" w:pos="2127"/>
        </w:tabs>
        <w:ind w:right="-20"/>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1</w:t>
      </w:r>
      <w:r w:rsidR="004275A4" w:rsidRPr="005E6B7C">
        <w:rPr>
          <w:rFonts w:asciiTheme="majorHAnsi" w:eastAsia="Yu Mincho" w:hAnsiTheme="majorHAnsi" w:cstheme="majorHAnsi"/>
          <w:i/>
          <w:iCs/>
          <w:color w:val="000000" w:themeColor="text1"/>
          <w:sz w:val="22"/>
          <w:szCs w:val="22"/>
          <w:lang w:eastAsia="ja-JP"/>
        </w:rPr>
        <w:t>National Institute of Medic</w:t>
      </w:r>
      <w:r w:rsidR="00AB4AFD" w:rsidRPr="005E6B7C">
        <w:rPr>
          <w:rFonts w:asciiTheme="majorHAnsi" w:eastAsia="Yu Mincho" w:hAnsiTheme="majorHAnsi" w:cstheme="majorHAnsi"/>
          <w:i/>
          <w:iCs/>
          <w:color w:val="000000" w:themeColor="text1"/>
          <w:sz w:val="22"/>
          <w:szCs w:val="22"/>
          <w:lang w:eastAsia="ja-JP"/>
        </w:rPr>
        <w:t>in</w:t>
      </w:r>
      <w:r w:rsidR="004275A4" w:rsidRPr="005E6B7C">
        <w:rPr>
          <w:rFonts w:asciiTheme="majorHAnsi" w:eastAsia="Yu Mincho" w:hAnsiTheme="majorHAnsi" w:cstheme="majorHAnsi"/>
          <w:i/>
          <w:iCs/>
          <w:color w:val="000000" w:themeColor="text1"/>
          <w:sz w:val="22"/>
          <w:szCs w:val="22"/>
          <w:lang w:eastAsia="ja-JP"/>
        </w:rPr>
        <w:t>al Materials (NIMM), Hanoi 11018, Vietnam;</w:t>
      </w:r>
    </w:p>
    <w:p w14:paraId="76666972" w14:textId="77777777" w:rsidR="00E049CB" w:rsidRPr="005E6B7C" w:rsidRDefault="00E049CB" w:rsidP="008C0D47">
      <w:pPr>
        <w:tabs>
          <w:tab w:val="left" w:pos="270"/>
          <w:tab w:val="left" w:pos="2127"/>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2</w:t>
      </w:r>
      <w:r w:rsidRPr="005E6B7C">
        <w:rPr>
          <w:rFonts w:asciiTheme="majorHAnsi" w:eastAsia="Yu Mincho" w:hAnsiTheme="majorHAnsi" w:cstheme="majorHAnsi"/>
          <w:i/>
          <w:color w:val="000000" w:themeColor="text1"/>
          <w:sz w:val="22"/>
          <w:szCs w:val="22"/>
          <w:lang w:eastAsia="ja-JP"/>
        </w:rPr>
        <w:t>Hanoi University of Pharmacy</w:t>
      </w:r>
      <w:r w:rsidR="004275A4" w:rsidRPr="005E6B7C">
        <w:rPr>
          <w:rFonts w:asciiTheme="majorHAnsi" w:eastAsia="Yu Mincho" w:hAnsiTheme="majorHAnsi" w:cstheme="majorHAnsi"/>
          <w:i/>
          <w:color w:val="000000" w:themeColor="text1"/>
          <w:sz w:val="22"/>
          <w:szCs w:val="22"/>
          <w:lang w:eastAsia="ja-JP"/>
        </w:rPr>
        <w:t>, Vietnam;</w:t>
      </w:r>
    </w:p>
    <w:p w14:paraId="51E842EF" w14:textId="597A3DAE" w:rsidR="00E049CB" w:rsidRPr="005E6B7C" w:rsidRDefault="004275A4" w:rsidP="008C0D47">
      <w:pPr>
        <w:tabs>
          <w:tab w:val="left" w:pos="270"/>
          <w:tab w:val="left" w:pos="2127"/>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3</w:t>
      </w:r>
      <w:r w:rsidR="00E049CB" w:rsidRPr="005E6B7C">
        <w:rPr>
          <w:rFonts w:asciiTheme="majorHAnsi" w:eastAsia="Yu Mincho" w:hAnsiTheme="majorHAnsi" w:cstheme="majorHAnsi"/>
          <w:i/>
          <w:color w:val="000000" w:themeColor="text1"/>
          <w:sz w:val="22"/>
          <w:szCs w:val="22"/>
          <w:lang w:eastAsia="ja-JP"/>
        </w:rPr>
        <w:t>Department of Pharmacology, Hanoi Medical University</w:t>
      </w:r>
      <w:r w:rsidR="00EC7B01">
        <w:rPr>
          <w:rFonts w:asciiTheme="majorHAnsi" w:eastAsia="Yu Mincho" w:hAnsiTheme="majorHAnsi" w:cstheme="majorHAnsi"/>
          <w:i/>
          <w:color w:val="000000" w:themeColor="text1"/>
          <w:sz w:val="22"/>
          <w:szCs w:val="22"/>
          <w:lang w:eastAsia="ja-JP"/>
        </w:rPr>
        <w:t>, Vietnam</w:t>
      </w:r>
      <w:r w:rsidRPr="005E6B7C">
        <w:rPr>
          <w:rFonts w:asciiTheme="majorHAnsi" w:eastAsia="Yu Mincho" w:hAnsiTheme="majorHAnsi" w:cstheme="majorHAnsi"/>
          <w:i/>
          <w:color w:val="000000" w:themeColor="text1"/>
          <w:sz w:val="22"/>
          <w:szCs w:val="22"/>
          <w:lang w:eastAsia="ja-JP"/>
        </w:rPr>
        <w:t>;</w:t>
      </w:r>
    </w:p>
    <w:p w14:paraId="565CA2DD" w14:textId="2B74928F" w:rsidR="00E049CB" w:rsidRPr="005E6B7C" w:rsidRDefault="004275A4" w:rsidP="008C0D47">
      <w:pPr>
        <w:tabs>
          <w:tab w:val="left" w:pos="270"/>
          <w:tab w:val="left" w:pos="2127"/>
        </w:tabs>
        <w:ind w:right="-20"/>
        <w:jc w:val="center"/>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vertAlign w:val="superscript"/>
          <w:lang w:eastAsia="ja-JP"/>
        </w:rPr>
        <w:t>4</w:t>
      </w:r>
      <w:r w:rsidRPr="005E6B7C">
        <w:rPr>
          <w:rFonts w:asciiTheme="majorHAnsi" w:eastAsia="Yu Mincho" w:hAnsiTheme="majorHAnsi" w:cstheme="majorHAnsi"/>
          <w:i/>
          <w:color w:val="000000" w:themeColor="text1"/>
          <w:sz w:val="22"/>
          <w:szCs w:val="22"/>
          <w:lang w:eastAsia="ja-JP"/>
        </w:rPr>
        <w:t xml:space="preserve">Military </w:t>
      </w:r>
      <w:r w:rsidR="00E049CB" w:rsidRPr="005E6B7C">
        <w:rPr>
          <w:rFonts w:asciiTheme="majorHAnsi" w:eastAsia="Yu Mincho" w:hAnsiTheme="majorHAnsi" w:cstheme="majorHAnsi"/>
          <w:i/>
          <w:color w:val="000000" w:themeColor="text1"/>
          <w:sz w:val="22"/>
          <w:szCs w:val="22"/>
          <w:lang w:eastAsia="ja-JP"/>
        </w:rPr>
        <w:t xml:space="preserve">Institute </w:t>
      </w:r>
      <w:r w:rsidR="00AB4AFD" w:rsidRPr="005E6B7C">
        <w:rPr>
          <w:rFonts w:asciiTheme="majorHAnsi" w:eastAsia="Yu Mincho" w:hAnsiTheme="majorHAnsi" w:cstheme="majorHAnsi"/>
          <w:i/>
          <w:color w:val="000000" w:themeColor="text1"/>
          <w:sz w:val="22"/>
          <w:szCs w:val="22"/>
          <w:lang w:eastAsia="ja-JP"/>
        </w:rPr>
        <w:t>of</w:t>
      </w:r>
      <w:r w:rsidR="00AB4AFD" w:rsidRPr="005E6B7C">
        <w:rPr>
          <w:rFonts w:asciiTheme="majorHAnsi" w:eastAsia="Yu Mincho" w:hAnsiTheme="majorHAnsi" w:cstheme="majorHAnsi"/>
          <w:i/>
          <w:color w:val="000000" w:themeColor="text1"/>
          <w:sz w:val="22"/>
          <w:szCs w:val="22"/>
          <w:lang w:val="vi-VN" w:eastAsia="ja-JP"/>
        </w:rPr>
        <w:t xml:space="preserve"> </w:t>
      </w:r>
      <w:r w:rsidR="00E049CB" w:rsidRPr="005E6B7C">
        <w:rPr>
          <w:rFonts w:asciiTheme="majorHAnsi" w:eastAsia="Yu Mincho" w:hAnsiTheme="majorHAnsi" w:cstheme="majorHAnsi"/>
          <w:i/>
          <w:color w:val="000000" w:themeColor="text1"/>
          <w:sz w:val="22"/>
          <w:szCs w:val="22"/>
          <w:lang w:eastAsia="ja-JP"/>
        </w:rPr>
        <w:t>Traditional Medicine</w:t>
      </w:r>
      <w:r w:rsidR="00EC7B01">
        <w:rPr>
          <w:rFonts w:asciiTheme="majorHAnsi" w:eastAsia="Yu Mincho" w:hAnsiTheme="majorHAnsi" w:cstheme="majorHAnsi"/>
          <w:i/>
          <w:color w:val="000000" w:themeColor="text1"/>
          <w:sz w:val="22"/>
          <w:szCs w:val="22"/>
          <w:lang w:eastAsia="ja-JP"/>
        </w:rPr>
        <w:t>, Vietnam</w:t>
      </w:r>
    </w:p>
    <w:p w14:paraId="3AE0E289" w14:textId="77777777" w:rsidR="00E049CB" w:rsidRPr="005E6B7C" w:rsidRDefault="00E049CB" w:rsidP="008C0D47">
      <w:pPr>
        <w:tabs>
          <w:tab w:val="left" w:pos="270"/>
          <w:tab w:val="left" w:pos="2127"/>
        </w:tabs>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xoanle@nimm.org.vn</w:t>
      </w:r>
    </w:p>
    <w:p w14:paraId="605F6AF9" w14:textId="77777777" w:rsidR="00A0756D" w:rsidRPr="005E6B7C" w:rsidRDefault="00A0756D" w:rsidP="008C0D47">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March 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               Accepted March 20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4797BE0E" w14:textId="77777777" w:rsidR="00E049CB" w:rsidRPr="005E6B7C" w:rsidRDefault="00E049CB" w:rsidP="008C0D47">
      <w:pPr>
        <w:tabs>
          <w:tab w:val="left" w:pos="270"/>
          <w:tab w:val="left" w:pos="2127"/>
        </w:tabs>
        <w:ind w:right="-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2362F2A2" w14:textId="77777777" w:rsidR="00E049CB" w:rsidRPr="005E6B7C" w:rsidRDefault="00E049CB" w:rsidP="008C0D47">
      <w:pPr>
        <w:tabs>
          <w:tab w:val="left" w:pos="270"/>
          <w:tab w:val="left" w:pos="2127"/>
        </w:tabs>
        <w:spacing w:line="180" w:lineRule="exact"/>
        <w:ind w:right="-23" w:firstLine="28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 xml:space="preserve">This study aimed to evaluate the neuroprotective effects of Tianma Gouteng Decoction (TGD) in </w:t>
      </w:r>
      <w:r w:rsidRPr="005E6B7C">
        <w:rPr>
          <w:rFonts w:asciiTheme="majorHAnsi" w:eastAsia="Yu Mincho" w:hAnsiTheme="majorHAnsi" w:cstheme="majorHAnsi"/>
          <w:color w:val="000000" w:themeColor="text1"/>
          <w:sz w:val="18"/>
          <w:szCs w:val="18"/>
          <w:lang w:val="vi-VN" w:eastAsia="ja-JP"/>
        </w:rPr>
        <w:t>a m</w:t>
      </w:r>
      <w:r w:rsidRPr="005E6B7C">
        <w:rPr>
          <w:rFonts w:asciiTheme="majorHAnsi" w:eastAsia="Yu Mincho" w:hAnsiTheme="majorHAnsi" w:cstheme="majorHAnsi"/>
          <w:color w:val="000000" w:themeColor="text1"/>
          <w:sz w:val="18"/>
          <w:szCs w:val="18"/>
          <w:lang w:eastAsia="ja-JP"/>
        </w:rPr>
        <w:t>iddle cerebral artery occlusion-and-reperfusion (MCAO/R)</w:t>
      </w:r>
      <w:r w:rsidRPr="005E6B7C">
        <w:rPr>
          <w:rFonts w:asciiTheme="majorHAnsi" w:eastAsia="Yu Mincho" w:hAnsiTheme="majorHAnsi" w:cstheme="majorHAnsi"/>
          <w:color w:val="000000" w:themeColor="text1"/>
          <w:sz w:val="18"/>
          <w:szCs w:val="18"/>
          <w:lang w:val="vi-VN" w:eastAsia="ja-JP"/>
        </w:rPr>
        <w:t xml:space="preserve"> model</w:t>
      </w:r>
      <w:r w:rsidRPr="005E6B7C">
        <w:rPr>
          <w:rFonts w:asciiTheme="majorHAnsi" w:eastAsia="Yu Mincho" w:hAnsiTheme="majorHAnsi" w:cstheme="majorHAnsi" w:hint="eastAsia"/>
          <w:color w:val="000000" w:themeColor="text1"/>
          <w:sz w:val="18"/>
          <w:szCs w:val="18"/>
          <w:lang w:eastAsia="ja-JP"/>
        </w:rPr>
        <w:t>. Neurological scores, body weight changes, and cerebral infarct volume were evaluated. In addition, the concentrations of gastrodin, baicalin, 2,3,5,4</w:t>
      </w:r>
      <w:r w:rsidRPr="005E6B7C">
        <w:rPr>
          <w:rFonts w:asciiTheme="majorHAnsi" w:eastAsia="Yu Mincho" w:hAnsiTheme="majorHAnsi" w:cstheme="majorHAnsi" w:hint="eastAsia"/>
          <w:color w:val="000000" w:themeColor="text1"/>
          <w:sz w:val="18"/>
          <w:szCs w:val="18"/>
          <w:lang w:eastAsia="ja-JP"/>
        </w:rPr>
        <w:t>′</w:t>
      </w:r>
      <w:r w:rsidRPr="005E6B7C">
        <w:rPr>
          <w:rFonts w:asciiTheme="majorHAnsi" w:eastAsia="Yu Mincho" w:hAnsiTheme="majorHAnsi" w:cstheme="majorHAnsi" w:hint="eastAsia"/>
          <w:color w:val="000000" w:themeColor="text1"/>
          <w:sz w:val="18"/>
          <w:szCs w:val="18"/>
          <w:lang w:eastAsia="ja-JP"/>
        </w:rPr>
        <w:t>-tetrahydroxystilbene-2-O-</w:t>
      </w:r>
      <w:r w:rsidRPr="005E6B7C">
        <w:rPr>
          <w:rFonts w:asciiTheme="majorHAnsi" w:eastAsia="Yu Mincho" w:hAnsiTheme="majorHAnsi" w:cstheme="majorHAnsi"/>
          <w:i/>
          <w:iCs/>
          <w:color w:val="000000" w:themeColor="text1"/>
          <w:sz w:val="18"/>
          <w:szCs w:val="18"/>
          <w:lang w:eastAsia="ja-JP"/>
        </w:rPr>
        <w:t>β</w:t>
      </w:r>
      <w:r w:rsidRPr="005E6B7C">
        <w:rPr>
          <w:rFonts w:asciiTheme="majorHAnsi" w:eastAsia="Yu Mincho" w:hAnsiTheme="majorHAnsi" w:cstheme="majorHAnsi"/>
          <w:color w:val="000000" w:themeColor="text1"/>
          <w:sz w:val="18"/>
          <w:szCs w:val="18"/>
          <w:lang w:eastAsia="ja-JP"/>
        </w:rPr>
        <w:t>-D-glucoside</w:t>
      </w:r>
      <w:r w:rsidRPr="005E6B7C">
        <w:rPr>
          <w:rFonts w:asciiTheme="majorHAnsi" w:eastAsia="Yu Mincho" w:hAnsiTheme="majorHAnsi" w:cstheme="majorHAnsi"/>
          <w:color w:val="000000" w:themeColor="text1"/>
          <w:sz w:val="18"/>
          <w:szCs w:val="18"/>
          <w:lang w:val="vi-VN" w:eastAsia="ja-JP"/>
        </w:rPr>
        <w:t xml:space="preserve"> (THSG), </w:t>
      </w:r>
      <w:r w:rsidRPr="005E6B7C">
        <w:rPr>
          <w:rFonts w:asciiTheme="majorHAnsi" w:eastAsia="Yu Mincho" w:hAnsiTheme="majorHAnsi" w:cstheme="majorHAnsi"/>
          <w:color w:val="000000" w:themeColor="text1"/>
          <w:sz w:val="18"/>
          <w:szCs w:val="18"/>
          <w:lang w:eastAsia="ja-JP"/>
        </w:rPr>
        <w:t xml:space="preserve">and geniposide in the TGD extract were </w:t>
      </w:r>
      <w:r w:rsidRPr="005E6B7C">
        <w:rPr>
          <w:rFonts w:asciiTheme="majorHAnsi" w:eastAsia="Yu Mincho" w:hAnsiTheme="majorHAnsi" w:cstheme="majorHAnsi"/>
          <w:iCs/>
          <w:color w:val="000000" w:themeColor="text1"/>
          <w:sz w:val="18"/>
          <w:szCs w:val="18"/>
          <w:lang w:val="vi-VN" w:eastAsia="ja-JP"/>
        </w:rPr>
        <w:t>analyzed by HPLC</w:t>
      </w:r>
      <w:r w:rsidRPr="005E6B7C">
        <w:rPr>
          <w:rFonts w:asciiTheme="majorHAnsi" w:eastAsia="Yu Mincho" w:hAnsiTheme="majorHAnsi" w:cstheme="majorHAnsi"/>
          <w:color w:val="000000" w:themeColor="text1"/>
          <w:sz w:val="18"/>
          <w:szCs w:val="18"/>
          <w:lang w:eastAsia="ja-JP"/>
        </w:rPr>
        <w:t xml:space="preserve"> to characterize its chemical composition. The results indicated that TGD at 13.7 g/kg</w:t>
      </w:r>
      <w:r w:rsidRPr="005E6B7C">
        <w:rPr>
          <w:rFonts w:asciiTheme="majorHAnsi" w:eastAsia="Yu Mincho" w:hAnsiTheme="majorHAnsi" w:cstheme="majorHAnsi"/>
          <w:color w:val="000000" w:themeColor="text1"/>
          <w:sz w:val="18"/>
          <w:szCs w:val="18"/>
          <w:lang w:val="vi-VN" w:eastAsia="ja-JP"/>
        </w:rPr>
        <w:t xml:space="preserve"> (raw herbal materials)</w:t>
      </w:r>
      <w:r w:rsidRPr="005E6B7C">
        <w:rPr>
          <w:rFonts w:asciiTheme="majorHAnsi" w:eastAsia="Yu Mincho" w:hAnsiTheme="majorHAnsi" w:cstheme="majorHAnsi"/>
          <w:color w:val="000000" w:themeColor="text1"/>
          <w:sz w:val="18"/>
          <w:szCs w:val="18"/>
          <w:lang w:eastAsia="ja-JP"/>
        </w:rPr>
        <w:t xml:space="preserve"> significantly attenuated MCAO/R-induced cerebral infarction, improved neurological deficits, and attenuated body weight loss</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compared with the vehicle-treated group. TGD at 6.8 g/kg</w:t>
      </w:r>
      <w:r w:rsidRPr="005E6B7C">
        <w:rPr>
          <w:rFonts w:asciiTheme="majorHAnsi" w:eastAsia="Yu Mincho" w:hAnsiTheme="majorHAnsi" w:cstheme="majorHAnsi"/>
          <w:color w:val="000000" w:themeColor="text1"/>
          <w:sz w:val="18"/>
          <w:szCs w:val="18"/>
          <w:lang w:val="vi-VN" w:eastAsia="ja-JP"/>
        </w:rPr>
        <w:t xml:space="preserve"> (raw herbal materials)</w:t>
      </w:r>
      <w:r w:rsidRPr="005E6B7C">
        <w:rPr>
          <w:rFonts w:asciiTheme="majorHAnsi" w:eastAsia="Yu Mincho" w:hAnsiTheme="majorHAnsi" w:cstheme="majorHAnsi"/>
          <w:color w:val="000000" w:themeColor="text1"/>
          <w:sz w:val="18"/>
          <w:szCs w:val="18"/>
          <w:lang w:eastAsia="ja-JP"/>
        </w:rPr>
        <w:t xml:space="preserve"> also conferred neuroprotective effects, with early functional improvement observed 24 h after reperfusion, whereas TGD at 27.4 g/kg </w:t>
      </w:r>
      <w:r w:rsidRPr="005E6B7C">
        <w:rPr>
          <w:rFonts w:asciiTheme="majorHAnsi" w:eastAsia="Yu Mincho" w:hAnsiTheme="majorHAnsi" w:cstheme="majorHAnsi"/>
          <w:color w:val="000000" w:themeColor="text1"/>
          <w:sz w:val="18"/>
          <w:szCs w:val="18"/>
          <w:lang w:val="vi-VN" w:eastAsia="ja-JP"/>
        </w:rPr>
        <w:t>(raw herbal materials)</w:t>
      </w:r>
      <w:r w:rsidRPr="005E6B7C">
        <w:rPr>
          <w:rFonts w:asciiTheme="majorHAnsi" w:eastAsia="Yu Mincho" w:hAnsiTheme="majorHAnsi" w:cstheme="majorHAnsi"/>
          <w:color w:val="000000" w:themeColor="text1"/>
          <w:sz w:val="18"/>
          <w:szCs w:val="18"/>
          <w:lang w:eastAsia="ja-JP"/>
        </w:rPr>
        <w:t xml:space="preserve"> did not produce significant protection. The TGD extract contained gastrodin (1.4 mg/mL), baicalin (10.09</w:t>
      </w:r>
      <w:r w:rsidRPr="005E6B7C">
        <w:rPr>
          <w:rFonts w:asciiTheme="majorHAnsi" w:eastAsia="Yu Mincho" w:hAnsiTheme="majorHAnsi" w:cstheme="majorHAnsi"/>
          <w:color w:val="000000" w:themeColor="text1"/>
          <w:sz w:val="18"/>
          <w:szCs w:val="18"/>
          <w:lang w:val="vi-VN" w:eastAsia="ja-JP"/>
        </w:rPr>
        <w:t>1</w:t>
      </w:r>
      <w:r w:rsidRPr="005E6B7C">
        <w:rPr>
          <w:rFonts w:asciiTheme="majorHAnsi" w:eastAsia="Yu Mincho" w:hAnsiTheme="majorHAnsi" w:cstheme="majorHAnsi"/>
          <w:color w:val="000000" w:themeColor="text1"/>
          <w:sz w:val="18"/>
          <w:szCs w:val="18"/>
          <w:lang w:eastAsia="ja-JP"/>
        </w:rPr>
        <w:t xml:space="preserve"> mg/mL)</w:t>
      </w:r>
      <w:r w:rsidRPr="005E6B7C">
        <w:rPr>
          <w:rFonts w:asciiTheme="majorHAnsi" w:eastAsia="Yu Mincho" w:hAnsiTheme="majorHAnsi" w:cstheme="majorHAnsi"/>
          <w:color w:val="000000" w:themeColor="text1"/>
          <w:sz w:val="18"/>
          <w:szCs w:val="18"/>
          <w:lang w:val="vi-VN" w:eastAsia="ja-JP"/>
        </w:rPr>
        <w:t>, THSG (0.0203 mg/mL)</w:t>
      </w:r>
      <w:r w:rsidRPr="005E6B7C">
        <w:rPr>
          <w:rFonts w:asciiTheme="majorHAnsi" w:eastAsia="Yu Mincho" w:hAnsiTheme="majorHAnsi" w:cstheme="majorHAnsi"/>
          <w:color w:val="000000" w:themeColor="text1"/>
          <w:sz w:val="18"/>
          <w:szCs w:val="18"/>
          <w:lang w:eastAsia="ja-JP"/>
        </w:rPr>
        <w:t>, and geniposide (9.02</w:t>
      </w:r>
      <w:r w:rsidRPr="005E6B7C">
        <w:rPr>
          <w:rFonts w:asciiTheme="majorHAnsi" w:eastAsia="Yu Mincho" w:hAnsiTheme="majorHAnsi" w:cstheme="majorHAnsi"/>
          <w:color w:val="000000" w:themeColor="text1"/>
          <w:sz w:val="18"/>
          <w:szCs w:val="18"/>
          <w:lang w:val="vi-VN" w:eastAsia="ja-JP"/>
        </w:rPr>
        <w:t>3</w:t>
      </w:r>
      <w:r w:rsidRPr="005E6B7C">
        <w:rPr>
          <w:rFonts w:asciiTheme="majorHAnsi" w:eastAsia="Yu Mincho" w:hAnsiTheme="majorHAnsi" w:cstheme="majorHAnsi"/>
          <w:color w:val="000000" w:themeColor="text1"/>
          <w:sz w:val="18"/>
          <w:szCs w:val="18"/>
          <w:lang w:eastAsia="ja-JP"/>
        </w:rPr>
        <w:t xml:space="preserve"> mg/mL), which may collectively contribute to its pharmacological activity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Overall, these findings demonstrate that TGD exerts neuroprotective effects against transient ischemia-induced brain injury, with optimal efficacy observed at 13.7 g/kg</w:t>
      </w:r>
      <w:r w:rsidRPr="005E6B7C">
        <w:rPr>
          <w:rFonts w:asciiTheme="majorHAnsi" w:eastAsia="Yu Mincho" w:hAnsiTheme="majorHAnsi" w:cstheme="majorHAnsi"/>
          <w:color w:val="000000" w:themeColor="text1"/>
          <w:sz w:val="18"/>
          <w:szCs w:val="18"/>
          <w:lang w:val="vi-VN" w:eastAsia="ja-JP"/>
        </w:rPr>
        <w:t xml:space="preserve"> (raw herbal materials)</w:t>
      </w:r>
      <w:r w:rsidRPr="005E6B7C">
        <w:rPr>
          <w:rFonts w:asciiTheme="majorHAnsi" w:eastAsia="Yu Mincho" w:hAnsiTheme="majorHAnsi" w:cstheme="majorHAnsi"/>
          <w:color w:val="000000" w:themeColor="text1"/>
          <w:sz w:val="18"/>
          <w:szCs w:val="18"/>
          <w:lang w:eastAsia="ja-JP"/>
        </w:rPr>
        <w:t>, suggesting its potential as a promising therapeutic candidate for ischemic stroke.</w:t>
      </w:r>
    </w:p>
    <w:p w14:paraId="2602F8A3" w14:textId="4EC98689" w:rsidR="00E049CB" w:rsidRPr="005E6B7C" w:rsidRDefault="00E049CB" w:rsidP="008C0D47">
      <w:pPr>
        <w:tabs>
          <w:tab w:val="left" w:pos="270"/>
          <w:tab w:val="left" w:pos="2127"/>
        </w:tabs>
        <w:spacing w:line="180" w:lineRule="exact"/>
        <w:ind w:right="-23" w:firstLine="284"/>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Keywords</w:t>
      </w:r>
      <w:r w:rsidRPr="005E6B7C">
        <w:rPr>
          <w:rFonts w:asciiTheme="majorHAnsi" w:eastAsia="Yu Mincho" w:hAnsiTheme="majorHAnsi" w:cstheme="majorHAnsi"/>
          <w:b/>
          <w:bCs/>
          <w:i/>
          <w:iCs/>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Tianma Gouteng Decoction</w:t>
      </w:r>
      <w:r w:rsidR="00297440" w:rsidRPr="005E6B7C">
        <w:rPr>
          <w:rFonts w:asciiTheme="majorHAnsi" w:eastAsia="Yu Mincho" w:hAnsiTheme="majorHAnsi" w:cstheme="majorHAnsi"/>
          <w: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w:t>
      </w:r>
      <w:r w:rsidR="00297440" w:rsidRPr="005E6B7C">
        <w:rPr>
          <w:rFonts w:asciiTheme="majorHAnsi" w:eastAsia="Yu Mincho" w:hAnsiTheme="majorHAnsi" w:cstheme="majorHAnsi"/>
          <w:bCs/>
          <w:i/>
          <w:iCs/>
          <w:color w:val="000000" w:themeColor="text1"/>
          <w:sz w:val="18"/>
          <w:szCs w:val="18"/>
          <w:lang w:eastAsia="ja-JP"/>
        </w:rPr>
        <w:t>N</w:t>
      </w:r>
      <w:r w:rsidRPr="005E6B7C">
        <w:rPr>
          <w:rFonts w:asciiTheme="majorHAnsi" w:eastAsia="Yu Mincho" w:hAnsiTheme="majorHAnsi" w:cstheme="majorHAnsi"/>
          <w:bCs/>
          <w:i/>
          <w:iCs/>
          <w:color w:val="000000" w:themeColor="text1"/>
          <w:sz w:val="18"/>
          <w:szCs w:val="18"/>
          <w:lang w:eastAsia="ja-JP"/>
        </w:rPr>
        <w:t>europrotective effect</w:t>
      </w:r>
      <w:r w:rsidR="00AB4AFD" w:rsidRPr="005E6B7C">
        <w:rPr>
          <w:rFonts w:asciiTheme="majorHAnsi" w:eastAsia="Yu Mincho" w:hAnsiTheme="majorHAnsi" w:cstheme="majorHAnsi"/>
          <w:bCs/>
          <w:i/>
          <w:iCs/>
          <w:color w:val="000000" w:themeColor="text1"/>
          <w:sz w:val="18"/>
          <w:szCs w:val="18"/>
          <w:lang w:eastAsia="ja-JP"/>
        </w:rPr>
        <w:t>s</w:t>
      </w:r>
      <w:r w:rsidR="00297440" w:rsidRPr="005E6B7C">
        <w:rPr>
          <w:rFonts w:asciiTheme="majorHAnsi" w:eastAsia="Yu Mincho" w:hAnsiTheme="majorHAnsi" w:cstheme="majorHAnsi"/>
          <w:bCs/>
          <w:i/>
          <w:iCs/>
          <w:color w:val="000000" w:themeColor="text1"/>
          <w:sz w:val="18"/>
          <w:szCs w:val="18"/>
          <w:lang w:eastAsia="ja-JP"/>
        </w:rPr>
        <w:t>;</w:t>
      </w:r>
      <w:r w:rsidRPr="005E6B7C">
        <w:rPr>
          <w:rFonts w:asciiTheme="majorHAnsi" w:eastAsia="Yu Mincho" w:hAnsiTheme="majorHAnsi" w:cstheme="majorHAnsi"/>
          <w:bCs/>
          <w:i/>
          <w:iCs/>
          <w:color w:val="000000" w:themeColor="text1"/>
          <w:sz w:val="18"/>
          <w:szCs w:val="18"/>
          <w:lang w:eastAsia="ja-JP"/>
        </w:rPr>
        <w:t xml:space="preserve"> </w:t>
      </w:r>
      <w:r w:rsidR="00297440" w:rsidRPr="005E6B7C">
        <w:rPr>
          <w:rFonts w:asciiTheme="majorHAnsi" w:eastAsia="Yu Mincho" w:hAnsiTheme="majorHAnsi" w:cstheme="majorHAnsi"/>
          <w:bCs/>
          <w:i/>
          <w:iCs/>
          <w:color w:val="000000" w:themeColor="text1"/>
          <w:sz w:val="18"/>
          <w:szCs w:val="18"/>
          <w:lang w:eastAsia="ja-JP"/>
        </w:rPr>
        <w:t xml:space="preserve">Ischemic </w:t>
      </w:r>
      <w:r w:rsidRPr="005E6B7C">
        <w:rPr>
          <w:rFonts w:asciiTheme="majorHAnsi" w:eastAsia="Yu Mincho" w:hAnsiTheme="majorHAnsi" w:cstheme="majorHAnsi"/>
          <w:bCs/>
          <w:i/>
          <w:iCs/>
          <w:color w:val="000000" w:themeColor="text1"/>
          <w:sz w:val="18"/>
          <w:szCs w:val="18"/>
          <w:lang w:eastAsia="ja-JP"/>
        </w:rPr>
        <w:t>stroke</w:t>
      </w:r>
      <w:r w:rsidRPr="005E6B7C">
        <w:rPr>
          <w:rFonts w:asciiTheme="majorHAnsi" w:eastAsia="Yu Mincho" w:hAnsiTheme="majorHAnsi" w:cstheme="majorHAnsi"/>
          <w:i/>
          <w:iCs/>
          <w:color w:val="000000" w:themeColor="text1"/>
          <w:sz w:val="18"/>
          <w:szCs w:val="18"/>
          <w:lang w:eastAsia="ja-JP"/>
        </w:rPr>
        <w:t>.</w:t>
      </w:r>
    </w:p>
    <w:p w14:paraId="5B093924" w14:textId="77777777" w:rsidR="004C259C" w:rsidRPr="005E6B7C" w:rsidRDefault="004C259C" w:rsidP="008C0D47">
      <w:pPr>
        <w:tabs>
          <w:tab w:val="left" w:pos="270"/>
          <w:tab w:val="left" w:pos="2127"/>
        </w:tabs>
        <w:ind w:right="-20"/>
        <w:jc w:val="both"/>
        <w:rPr>
          <w:rFonts w:asciiTheme="majorHAnsi" w:eastAsia="Yu Mincho" w:hAnsiTheme="majorHAnsi" w:cstheme="majorHAnsi"/>
          <w:b/>
          <w:color w:val="000000" w:themeColor="text1"/>
          <w:sz w:val="22"/>
          <w:szCs w:val="22"/>
          <w:lang w:eastAsia="ja-JP"/>
        </w:rPr>
      </w:pPr>
    </w:p>
    <w:p w14:paraId="0BE1EF33"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sectPr w:rsidR="00BD35FA" w:rsidRPr="005E6B7C" w:rsidSect="002206BB">
          <w:type w:val="continuous"/>
          <w:pgSz w:w="10773" w:h="15309" w:code="9"/>
          <w:pgMar w:top="907" w:right="851" w:bottom="1418" w:left="851" w:header="397" w:footer="851" w:gutter="0"/>
          <w:cols w:space="284"/>
          <w:docGrid w:linePitch="360"/>
        </w:sectPr>
      </w:pPr>
    </w:p>
    <w:p w14:paraId="75A23830"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6B528045"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Ischemic stroke, a common cerebrovascular disease, is the second leading cause of death and a major contributor to long-term disability worldwide. It results from the sudden occlusion of cerebral arteries, leading to insufficient blood supply, oxygen deprivation, and subsequent neuronal injury. Despite advances in acute stroke management, the global burden of ischemic stroke continues to rise due to ageing populations and the increasing prevalence of vascular risk factors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&lt;EndNote&gt;&lt;Cite&gt;&lt;Author&gt;Campbell&lt;/Author&gt;&lt;Year&gt;2019&lt;/Year&gt;&lt;RecNum&gt;62&lt;/RecNum&gt;&lt;DisplayText&gt;[1]&lt;/DisplayText&gt;&lt;record&gt;&lt;rec-number&gt;62&lt;/rec-number&gt;&lt;foreign-keys&gt;&lt;key app="EN" db-id="x5wwsrv9mt9rs5e22flvsff0axeds900xdz2" timestamp="1772376858"&gt;62&lt;/key&gt;&lt;/foreign-keys&gt;&lt;ref-type name="Journal Article"&gt;17&lt;/ref-type&gt;&lt;contributors&gt;&lt;authors&gt;&lt;author&gt;Campbell, Bruce C. V.&lt;/author&gt;&lt;author&gt;De Silva, Deidre A.&lt;/author&gt;&lt;author&gt;Macleod, Malcolm R.&lt;/author&gt;&lt;author&gt;Coutts, Shelagh B.&lt;/author&gt;&lt;author&gt;Schwamm, Lee H.&lt;/author&gt;&lt;author&gt;Davis, Stephen M.&lt;/author&gt;&lt;author&gt;Donnan, Geoffrey A.&lt;/author&gt;&lt;/authors&gt;&lt;/contributors&gt;&lt;titles&gt;&lt;title&gt;Ischaemic stroke&lt;/title&gt;&lt;secondary-title&gt;Nature Reviews Disease Primers&lt;/secondary-title&gt;&lt;/titles&gt;&lt;periodical&gt;&lt;full-title&gt;Nature Reviews Disease Primers&lt;/full-title&gt;&lt;/periodical&gt;&lt;pages&gt;70&lt;/pages&gt;&lt;volume&gt;5&lt;/volume&gt;&lt;number&gt;1&lt;/number&gt;&lt;dates&gt;&lt;year&gt;2019&lt;/year&gt;&lt;pub-dates&gt;&lt;date&gt;2019/10/10&lt;/date&gt;&lt;/pub-dates&gt;&lt;/dates&gt;&lt;isbn&gt;2056-676X&lt;/isbn&gt;&lt;urls&gt;&lt;related-urls&gt;&lt;url&gt;https://doi.org/10.1038/s41572-019-0118-8&lt;/url&gt;&lt;/related-urls&gt;&lt;/urls&gt;&lt;electronic-resource-num&gt;10.1038/s41572-019-0118-8&lt;/electronic-resource-num&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[1]</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To date, recombinant tissue plasminogen activator (rtPA) remains the only approved pharmacological therapy for acute ischemic stroke. However, its clinical use is limited by a narrow therapeutic time window and the risk of hemorrhagic complications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&lt;EndNote&gt;&lt;Cite&gt;&lt;Author&gt;Lyden&lt;/Author&gt;&lt;Year&gt;2022&lt;/Year&gt;&lt;RecNum&gt;63&lt;/RecNum&gt;&lt;DisplayText&gt;[2]&lt;/DisplayText&gt;&lt;record&gt;&lt;rec-number&gt;63&lt;/rec-number&gt;&lt;foreign-keys&gt;&lt;key app="EN" db-id="x5wwsrv9mt9rs5e22flvsff0axeds900xdz2" timestamp="1772376909"&gt;63&lt;/key&gt;&lt;/foreign-keys&gt;&lt;ref-type name="Journal Article"&gt;17&lt;/ref-type&gt;&lt;contributors&gt;&lt;authors&gt;&lt;author&gt;Lyden, S.&lt;/author&gt;&lt;author&gt;Wold, J.&lt;/author&gt;&lt;/authors&gt;&lt;/contributors&gt;&lt;auth-address&gt;Department of Neurology, University of Utah School of Medicine, 175 North Medical Drive, Salt Lake City, UT 84132, USA.&amp;#xD;Department of Neurology, University of Utah School of Medicine, 175 North Medical Drive, Salt Lake City, UT 84132, USA. Electronic address: jana.wold@hsc.utah.edu.&lt;/auth-address&gt;&lt;titles&gt;&lt;title&gt;Acute Treatment of Ischemic Stroke&lt;/title&gt;&lt;secondary-title&gt;Neurol Clin&lt;/secondary-title&gt;&lt;/titles&gt;&lt;periodical&gt;&lt;full-title&gt;Neurol Clin&lt;/full-title&gt;&lt;/periodical&gt;&lt;pages&gt;17-32&lt;/pages&gt;&lt;volume&gt;40&lt;/volume&gt;&lt;number&gt;1&lt;/number&gt;&lt;keywords&gt;&lt;keyword&gt;*Brain Ischemia/complications/drug therapy&lt;/keyword&gt;&lt;keyword&gt;Fibrinolytic Agents/therapeutic use&lt;/keyword&gt;&lt;keyword&gt;Humans&lt;/keyword&gt;&lt;keyword&gt;*Ischemic Stroke&lt;/keyword&gt;&lt;keyword&gt;*Stroke/drug therapy&lt;/keyword&gt;&lt;keyword&gt;Tenecteplase/therapeutic use&lt;/keyword&gt;&lt;keyword&gt;Thrombolytic Therapy&lt;/keyword&gt;&lt;keyword&gt;Tissue Plasminogen Activator/therapeutic use&lt;/keyword&gt;&lt;keyword&gt;Treatment Outcome&lt;/keyword&gt;&lt;keyword&gt;United States&lt;/keyword&gt;&lt;keyword&gt;Acute ischemic stroke&lt;/keyword&gt;&lt;keyword&gt;Endovascular treatment&lt;/keyword&gt;&lt;keyword&gt;Thrombolysis&lt;/keyword&gt;&lt;/keywords&gt;&lt;dates&gt;&lt;year&gt;2022&lt;/year&gt;&lt;pub-dates&gt;&lt;date&gt;Feb&lt;/date&gt;&lt;/pub-dates&gt;&lt;/dates&gt;&lt;isbn&gt;0733-8619&lt;/isbn&gt;&lt;accession-num&gt;34798968&lt;/accession-num&gt;&lt;urls&gt;&lt;/urls&gt;&lt;custom1&gt;Disclosure The authors have nothing to disclose.&lt;/custom1&gt;&lt;electronic-resource-num&gt;10.1016/j.ncl.2021.08.002&lt;/electronic-resource-num&gt;&lt;remote-database-provider&gt;NLM&lt;/remote-database-provider&gt;&lt;language&gt;eng&lt;/language&gt;&lt;/record&gt;&lt;/Cite&gt;&lt;/EndNote&gt;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[2]</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Consequently, only a limited proportion of patients are eligible for rtPA treatment. These limitations highlight the urgent need for the development of alternative or adjunctive therapeutic strategies that can provide neuroprotection, extend the therapeutic window, and improve functional recovery following ischemic stroke.</w:t>
      </w:r>
    </w:p>
    <w:p w14:paraId="570FDA91" w14:textId="429CAF58"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Tianma Gouteng Decoction (TGD) is a traditional Chinese medicinal formula widely used to treat hypertension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&lt;EndNote&gt;&lt;Cite&gt;&lt;RecNum&gt;47&lt;/RecNum&gt;&lt;DisplayText&gt;[3]&lt;/DisplayText&gt;&lt;record&gt;&lt;rec-number&gt;47&lt;/rec-number&gt;&lt;foreign-keys&gt;&lt;key app="EN" db-id="x5wwsrv9mt9rs5e22flvsff0axeds900xdz2" timestamp="1772328679"&gt;47&lt;/key&gt;&lt;/foreign-keys&gt;&lt;ref-type name="Journal Article"&gt;17&lt;/ref-type&gt;&lt;contributors&gt;&lt;/contributors&gt;&lt;titles&gt;&lt;title&gt;Trường Đại học Y Hà Nội Khoa Y học cổ truyền (2005), Bài giảng Y học cổ truyền tập I, NXB Y học NXB Y học pp.322.&lt;/title&gt;&lt;/titles&gt;&lt;dates&gt;&lt;/dates&gt;&lt;urls&gt;&lt;/urls&gt;&lt;/record&gt;&lt;/Cite&gt;&lt;/EndNote&gt;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[3]</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These conditions are closely associated with cerebrovascular dysfunction and represent important risk factors for ischemic stroke. Because of its long-standing use in the management of hypertension and neurological symptoms, TGD has attracted </w:t>
      </w:r>
      <w:r w:rsidRPr="005E6B7C">
        <w:rPr>
          <w:rFonts w:asciiTheme="majorHAnsi" w:eastAsia="Yu Mincho" w:hAnsiTheme="majorHAnsi" w:cstheme="majorHAnsi"/>
          <w:color w:val="000000" w:themeColor="text1"/>
          <w:sz w:val="22"/>
          <w:szCs w:val="22"/>
          <w:lang w:val="vi-VN" w:eastAsia="ja-JP"/>
        </w:rPr>
        <w:t xml:space="preserve">increasing interest as a potential therapeutic strategy for cerebrovascular diseases. Yuh-Chiang Shen et al. reported that Tianma Gouteng Decoction, formulated according to traditional Chinese herbal medicine and containing 11 medicinal herbs similar to those used in the TGD extract of the present study, improved neurological outcomes, reduced infarct volume, and attenuated neuronal damage in experimental stroke models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TnVtPjQ4PC9SZWNOdW0+PERpc3BsYXlUZXh0Pls0XTwvRGlzcGxheVRleHQ+PHJlY29yZD48cmVj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TnVtPjQ4PC9SZWNOdW0+PERpc3BsYXlUZXh0Pls0XTwvRGlzcGxheVRleHQ+PHJlY29yZD48cmVj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[4]</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These findings suggest that TGD may possess dual pharmacological actions, combining antihypertensive effects with direct neuroprotective activity, thereby highlighting its potential relevance in the management of ischemic stroke. However, despite these promising indications, several limitations remain in the current literature. Different studies have employed modified versions of the formula, varying in herbal composition, dosage ratios, and extraction procedures, leading to inconsistent pharmacological outcomes and limiting reproducibility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TnVtPjQ4PC9SZWNOdW0+PERpc3BsYXlUZXh0Pls0LCA1XTwvRGlzcGxheVRleHQ+PHJlY29yZD48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TnVtPjQ4PC9SZWNOdW0+PERpc3BsYXlUZXh0Pls0LCA1XTwvRGlzcGxheVRleHQ+PHJlY29yZD48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[4</w:t>
      </w:r>
      <w:r w:rsidR="007A051F"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w:t>
      </w:r>
      <w:r w:rsidR="007A051F"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5]</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In addition, few studies have systematically evaluated the dose–response relationship of a chemically characterized TGD extract in a standardized experimental ischemia model. The lack of quantitative characterization of major bioactive constituents further limits mechanistic interpretation and quality control.</w:t>
      </w:r>
    </w:p>
    <w:p w14:paraId="1640BE20"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8"/>
          <w:sz w:val="22"/>
          <w:szCs w:val="22"/>
          <w:lang w:val="vi-VN" w:eastAsia="ja-JP"/>
        </w:rPr>
      </w:pPr>
      <w:r w:rsidRPr="005E6B7C">
        <w:rPr>
          <w:rFonts w:asciiTheme="majorHAnsi" w:eastAsia="Yu Mincho" w:hAnsiTheme="majorHAnsi" w:cstheme="majorHAnsi"/>
          <w:color w:val="000000" w:themeColor="text1"/>
          <w:spacing w:val="-8"/>
          <w:sz w:val="22"/>
          <w:szCs w:val="22"/>
          <w:lang w:val="vi-VN" w:eastAsia="ja-JP"/>
        </w:rPr>
        <w:t xml:space="preserve">Therefore, the present study was conducted to evaluate the neuroprotective effects of Tianma Gouteng Decoction (TGD) in a middle cerebral artery occlusion (MCAO) model of ischemic stroke. In </w:t>
      </w:r>
      <w:r w:rsidRPr="005E6B7C">
        <w:rPr>
          <w:rFonts w:asciiTheme="majorHAnsi" w:eastAsia="Yu Mincho" w:hAnsiTheme="majorHAnsi" w:cstheme="majorHAnsi"/>
          <w:color w:val="000000" w:themeColor="text1"/>
          <w:spacing w:val="-8"/>
          <w:sz w:val="22"/>
          <w:szCs w:val="22"/>
          <w:lang w:val="vi-VN" w:eastAsia="ja-JP"/>
        </w:rPr>
        <w:lastRenderedPageBreak/>
        <w:t>addition, several major bioactive constituents of TGD were quantitatively determined.</w:t>
      </w:r>
    </w:p>
    <w:p w14:paraId="4CCA961C"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12ED8AC3"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2.1. Plant materials</w:t>
      </w:r>
    </w:p>
    <w:p w14:paraId="3DF12578" w14:textId="77777777" w:rsidR="00BD35FA"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The composition of Tianma Gouteng Decoction (TGD) used in this study followed the formula reported by Liu LF et al.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PEVuZE5vdGU+PENpdGU+PEF1dGhvcj5MaXU8L0F1dGhvcj48WWVhcj4yMDE1PC9ZZWFyPjxSZWNO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PEVuZE5vdGU+PENpdGU+PEF1dGhvcj5MaXU8L0F1dGhvcj48WWVhcj4yMDE1PC9ZZWFyPjxSZWNO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[5]</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The TGD </w:t>
      </w:r>
      <w:r w:rsidRPr="005E6B7C">
        <w:rPr>
          <w:rFonts w:asciiTheme="majorHAnsi" w:eastAsia="Yu Mincho" w:hAnsiTheme="majorHAnsi" w:cstheme="majorHAnsi"/>
          <w:color w:val="000000" w:themeColor="text1"/>
          <w:sz w:val="22"/>
          <w:szCs w:val="22"/>
          <w:lang w:val="vi-VN" w:eastAsia="ja-JP"/>
        </w:rPr>
        <w:t>formula consisted of the raw herbal materials listed in Table 1. All materials were supplied by Indochina Medicinal Materials Company (Vietnam) and complied with the quality standards of the Chinese Pharmacopoeia and the Vietnamese Pharmacopoeia V.</w:t>
      </w:r>
    </w:p>
    <w:p w14:paraId="67374322"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sectPr w:rsidR="00BD35FA" w:rsidRPr="005E6B7C" w:rsidSect="00BD35FA">
          <w:type w:val="continuous"/>
          <w:pgSz w:w="10773" w:h="15309" w:code="9"/>
          <w:pgMar w:top="907" w:right="851" w:bottom="1418" w:left="851" w:header="397" w:footer="851" w:gutter="0"/>
          <w:cols w:num="2" w:space="284"/>
          <w:docGrid w:linePitch="360"/>
        </w:sectPr>
      </w:pPr>
    </w:p>
    <w:p w14:paraId="4E1767B0" w14:textId="77777777" w:rsidR="00E049CB" w:rsidRPr="005E6B7C" w:rsidRDefault="00E049CB" w:rsidP="008C0D47">
      <w:pPr>
        <w:tabs>
          <w:tab w:val="left" w:pos="270"/>
          <w:tab w:val="left" w:pos="2127"/>
        </w:tabs>
        <w:spacing w:before="120" w:after="1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Table 1. </w:t>
      </w:r>
      <w:r w:rsidRPr="005E6B7C">
        <w:rPr>
          <w:rFonts w:asciiTheme="majorHAnsi" w:eastAsia="Yu Mincho" w:hAnsiTheme="majorHAnsi" w:cstheme="majorHAnsi"/>
          <w:color w:val="000000" w:themeColor="text1"/>
          <w:sz w:val="18"/>
          <w:szCs w:val="18"/>
          <w:lang w:val="vi-VN" w:eastAsia="ja-JP"/>
        </w:rPr>
        <w:t>Raw materials used in the Tianma Gouteng Decoction formula</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45"/>
        <w:gridCol w:w="2329"/>
        <w:gridCol w:w="2160"/>
        <w:gridCol w:w="1038"/>
      </w:tblGrid>
      <w:tr w:rsidR="00573010" w:rsidRPr="005E6B7C" w14:paraId="0D8D1271" w14:textId="77777777" w:rsidTr="00991AEC">
        <w:trPr>
          <w:jc w:val="center"/>
        </w:trPr>
        <w:tc>
          <w:tcPr>
            <w:tcW w:w="3545" w:type="dxa"/>
            <w:vAlign w:val="center"/>
          </w:tcPr>
          <w:p w14:paraId="72F199D6" w14:textId="77777777" w:rsidR="00E049CB" w:rsidRPr="005E6B7C" w:rsidRDefault="00E049CB" w:rsidP="008C0D47">
            <w:pPr>
              <w:tabs>
                <w:tab w:val="left" w:pos="270"/>
                <w:tab w:val="left" w:pos="2127"/>
              </w:tabs>
              <w:spacing w:line="160" w:lineRule="exact"/>
              <w:ind w:right="-20"/>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Materials</w:t>
            </w:r>
          </w:p>
        </w:tc>
        <w:tc>
          <w:tcPr>
            <w:tcW w:w="2329" w:type="dxa"/>
            <w:vAlign w:val="center"/>
          </w:tcPr>
          <w:p w14:paraId="39A78AD9" w14:textId="77777777" w:rsidR="00E049CB" w:rsidRPr="005E6B7C" w:rsidRDefault="00E049CB" w:rsidP="008C0D47">
            <w:pPr>
              <w:tabs>
                <w:tab w:val="left" w:pos="270"/>
                <w:tab w:val="left" w:pos="2127"/>
              </w:tabs>
              <w:spacing w:line="160" w:lineRule="exact"/>
              <w:ind w:right="-20"/>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Origin of materials</w:t>
            </w:r>
          </w:p>
        </w:tc>
        <w:tc>
          <w:tcPr>
            <w:tcW w:w="2160" w:type="dxa"/>
            <w:vAlign w:val="center"/>
          </w:tcPr>
          <w:p w14:paraId="6B867415" w14:textId="77777777" w:rsidR="00E049CB" w:rsidRPr="005E6B7C" w:rsidRDefault="00E049CB" w:rsidP="008C0D47">
            <w:pPr>
              <w:tabs>
                <w:tab w:val="left" w:pos="270"/>
                <w:tab w:val="left" w:pos="2127"/>
              </w:tabs>
              <w:spacing w:line="160" w:lineRule="exact"/>
              <w:ind w:right="-20"/>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Used parts</w:t>
            </w:r>
          </w:p>
        </w:tc>
        <w:tc>
          <w:tcPr>
            <w:tcW w:w="1038" w:type="dxa"/>
            <w:vAlign w:val="center"/>
          </w:tcPr>
          <w:p w14:paraId="20202DE3" w14:textId="77777777" w:rsidR="00E049CB" w:rsidRPr="005E6B7C" w:rsidRDefault="00E049CB" w:rsidP="008C0D47">
            <w:pPr>
              <w:tabs>
                <w:tab w:val="left" w:pos="270"/>
                <w:tab w:val="left" w:pos="2127"/>
              </w:tabs>
              <w:spacing w:line="160" w:lineRule="exact"/>
              <w:ind w:right="-20"/>
              <w:jc w:val="center"/>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Amount</w:t>
            </w:r>
          </w:p>
        </w:tc>
      </w:tr>
      <w:tr w:rsidR="00573010" w:rsidRPr="005E6B7C" w14:paraId="4C774423" w14:textId="77777777" w:rsidTr="00991AEC">
        <w:trPr>
          <w:jc w:val="center"/>
        </w:trPr>
        <w:tc>
          <w:tcPr>
            <w:tcW w:w="3545" w:type="dxa"/>
            <w:vAlign w:val="center"/>
          </w:tcPr>
          <w:p w14:paraId="78093CA2"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 xml:space="preserve">Gastrodia elata </w:t>
            </w:r>
            <w:r w:rsidRPr="005E6B7C">
              <w:rPr>
                <w:rFonts w:asciiTheme="majorHAnsi" w:eastAsia="Yu Mincho" w:hAnsiTheme="majorHAnsi" w:cstheme="majorHAnsi"/>
                <w:color w:val="000000" w:themeColor="text1"/>
                <w:sz w:val="18"/>
                <w:szCs w:val="18"/>
                <w:lang w:val="vi-VN" w:eastAsia="ja-JP"/>
              </w:rPr>
              <w:t>Blume</w:t>
            </w:r>
          </w:p>
        </w:tc>
        <w:tc>
          <w:tcPr>
            <w:tcW w:w="2329" w:type="dxa"/>
            <w:vAlign w:val="center"/>
          </w:tcPr>
          <w:p w14:paraId="15680CEA"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Anhui (China)</w:t>
            </w:r>
          </w:p>
        </w:tc>
        <w:tc>
          <w:tcPr>
            <w:tcW w:w="2160" w:type="dxa"/>
            <w:vAlign w:val="center"/>
          </w:tcPr>
          <w:p w14:paraId="53C41C70"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rhizome</w:t>
            </w:r>
          </w:p>
        </w:tc>
        <w:tc>
          <w:tcPr>
            <w:tcW w:w="1038" w:type="dxa"/>
            <w:vAlign w:val="center"/>
          </w:tcPr>
          <w:p w14:paraId="2583CDB4"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03BEA1BC" w14:textId="77777777" w:rsidTr="00991AEC">
        <w:trPr>
          <w:jc w:val="center"/>
        </w:trPr>
        <w:tc>
          <w:tcPr>
            <w:tcW w:w="3545" w:type="dxa"/>
            <w:vAlign w:val="center"/>
          </w:tcPr>
          <w:p w14:paraId="167DD313"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Haliotis diversicolor</w:t>
            </w:r>
            <w:r w:rsidRPr="005E6B7C">
              <w:rPr>
                <w:rFonts w:asciiTheme="majorHAnsi" w:eastAsia="Yu Mincho" w:hAnsiTheme="majorHAnsi" w:cstheme="majorHAnsi"/>
                <w:color w:val="000000" w:themeColor="text1"/>
                <w:sz w:val="18"/>
                <w:szCs w:val="18"/>
                <w:lang w:val="vi-VN" w:eastAsia="ja-JP"/>
              </w:rPr>
              <w:t xml:space="preserve"> Reeve</w:t>
            </w:r>
          </w:p>
        </w:tc>
        <w:tc>
          <w:tcPr>
            <w:tcW w:w="2329" w:type="dxa"/>
            <w:vAlign w:val="center"/>
          </w:tcPr>
          <w:p w14:paraId="74174A01"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Hung Yen (Vietnam)</w:t>
            </w:r>
          </w:p>
        </w:tc>
        <w:tc>
          <w:tcPr>
            <w:tcW w:w="2160" w:type="dxa"/>
            <w:vAlign w:val="center"/>
          </w:tcPr>
          <w:p w14:paraId="3C7EFADB"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dried shell</w:t>
            </w:r>
          </w:p>
        </w:tc>
        <w:tc>
          <w:tcPr>
            <w:tcW w:w="1038" w:type="dxa"/>
            <w:vAlign w:val="center"/>
          </w:tcPr>
          <w:p w14:paraId="6E6A6C03"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18 g</w:t>
            </w:r>
          </w:p>
        </w:tc>
      </w:tr>
      <w:tr w:rsidR="00573010" w:rsidRPr="005E6B7C" w14:paraId="6A8DB21C" w14:textId="77777777" w:rsidTr="00991AEC">
        <w:trPr>
          <w:jc w:val="center"/>
        </w:trPr>
        <w:tc>
          <w:tcPr>
            <w:tcW w:w="3545" w:type="dxa"/>
            <w:vAlign w:val="center"/>
          </w:tcPr>
          <w:p w14:paraId="434F597A"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Gardenia jasminoides</w:t>
            </w:r>
            <w:r w:rsidRPr="005E6B7C">
              <w:rPr>
                <w:rFonts w:asciiTheme="majorHAnsi" w:eastAsia="Yu Mincho" w:hAnsiTheme="majorHAnsi" w:cstheme="majorHAnsi"/>
                <w:color w:val="000000" w:themeColor="text1"/>
                <w:sz w:val="18"/>
                <w:szCs w:val="18"/>
                <w:lang w:val="vi-VN" w:eastAsia="ja-JP"/>
              </w:rPr>
              <w:t xml:space="preserve"> Ellis</w:t>
            </w:r>
          </w:p>
        </w:tc>
        <w:tc>
          <w:tcPr>
            <w:tcW w:w="2329" w:type="dxa"/>
            <w:vAlign w:val="center"/>
          </w:tcPr>
          <w:p w14:paraId="56286F4A"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Quang Nam (Vietnam)</w:t>
            </w:r>
          </w:p>
        </w:tc>
        <w:tc>
          <w:tcPr>
            <w:tcW w:w="2160" w:type="dxa"/>
            <w:vAlign w:val="center"/>
          </w:tcPr>
          <w:p w14:paraId="68425F25"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ripe fruit</w:t>
            </w:r>
          </w:p>
        </w:tc>
        <w:tc>
          <w:tcPr>
            <w:tcW w:w="1038" w:type="dxa"/>
            <w:vAlign w:val="center"/>
          </w:tcPr>
          <w:p w14:paraId="5548F28B"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282F0C70" w14:textId="77777777" w:rsidTr="00991AEC">
        <w:trPr>
          <w:jc w:val="center"/>
        </w:trPr>
        <w:tc>
          <w:tcPr>
            <w:tcW w:w="3545" w:type="dxa"/>
            <w:vAlign w:val="center"/>
          </w:tcPr>
          <w:p w14:paraId="58F6C06D"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Scutellaria baicalensis</w:t>
            </w:r>
            <w:r w:rsidRPr="005E6B7C">
              <w:rPr>
                <w:rFonts w:asciiTheme="majorHAnsi" w:eastAsia="Yu Mincho" w:hAnsiTheme="majorHAnsi" w:cstheme="majorHAnsi"/>
                <w:color w:val="000000" w:themeColor="text1"/>
                <w:sz w:val="18"/>
                <w:szCs w:val="18"/>
                <w:lang w:val="vi-VN" w:eastAsia="ja-JP"/>
              </w:rPr>
              <w:t xml:space="preserve"> Georgi</w:t>
            </w:r>
          </w:p>
        </w:tc>
        <w:tc>
          <w:tcPr>
            <w:tcW w:w="2329" w:type="dxa"/>
            <w:vAlign w:val="center"/>
          </w:tcPr>
          <w:p w14:paraId="0D40F0CA"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Anhui (China)</w:t>
            </w:r>
          </w:p>
        </w:tc>
        <w:tc>
          <w:tcPr>
            <w:tcW w:w="2160" w:type="dxa"/>
            <w:vAlign w:val="center"/>
          </w:tcPr>
          <w:p w14:paraId="0F622B09"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root</w:t>
            </w:r>
          </w:p>
        </w:tc>
        <w:tc>
          <w:tcPr>
            <w:tcW w:w="1038" w:type="dxa"/>
            <w:vAlign w:val="center"/>
          </w:tcPr>
          <w:p w14:paraId="4419ADD8"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1260023A" w14:textId="77777777" w:rsidTr="00991AEC">
        <w:trPr>
          <w:jc w:val="center"/>
        </w:trPr>
        <w:tc>
          <w:tcPr>
            <w:tcW w:w="3545" w:type="dxa"/>
            <w:vAlign w:val="center"/>
          </w:tcPr>
          <w:p w14:paraId="2FFCFDC7"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Achyranthes bidentata</w:t>
            </w:r>
            <w:r w:rsidRPr="005E6B7C">
              <w:rPr>
                <w:rFonts w:asciiTheme="majorHAnsi" w:eastAsia="Yu Mincho" w:hAnsiTheme="majorHAnsi" w:cstheme="majorHAnsi"/>
                <w:color w:val="000000" w:themeColor="text1"/>
                <w:sz w:val="18"/>
                <w:szCs w:val="18"/>
                <w:lang w:val="vi-VN" w:eastAsia="ja-JP"/>
              </w:rPr>
              <w:t xml:space="preserve"> Blume</w:t>
            </w:r>
          </w:p>
        </w:tc>
        <w:tc>
          <w:tcPr>
            <w:tcW w:w="2329" w:type="dxa"/>
            <w:vAlign w:val="center"/>
          </w:tcPr>
          <w:p w14:paraId="17A09403"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Anhui (China)</w:t>
            </w:r>
          </w:p>
        </w:tc>
        <w:tc>
          <w:tcPr>
            <w:tcW w:w="2160" w:type="dxa"/>
            <w:vAlign w:val="center"/>
          </w:tcPr>
          <w:p w14:paraId="065AECF8"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root</w:t>
            </w:r>
          </w:p>
        </w:tc>
        <w:tc>
          <w:tcPr>
            <w:tcW w:w="1038" w:type="dxa"/>
            <w:vAlign w:val="center"/>
          </w:tcPr>
          <w:p w14:paraId="69418A35"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12 g</w:t>
            </w:r>
          </w:p>
        </w:tc>
      </w:tr>
      <w:tr w:rsidR="00573010" w:rsidRPr="005E6B7C" w14:paraId="51438795" w14:textId="77777777" w:rsidTr="00991AEC">
        <w:trPr>
          <w:jc w:val="center"/>
        </w:trPr>
        <w:tc>
          <w:tcPr>
            <w:tcW w:w="3545" w:type="dxa"/>
            <w:vAlign w:val="center"/>
          </w:tcPr>
          <w:p w14:paraId="08421EED"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Eucommia ulmoides</w:t>
            </w:r>
            <w:r w:rsidRPr="005E6B7C">
              <w:rPr>
                <w:rFonts w:asciiTheme="majorHAnsi" w:eastAsia="Yu Mincho" w:hAnsiTheme="majorHAnsi" w:cstheme="majorHAnsi"/>
                <w:color w:val="000000" w:themeColor="text1"/>
                <w:sz w:val="18"/>
                <w:szCs w:val="18"/>
                <w:lang w:val="vi-VN" w:eastAsia="ja-JP"/>
              </w:rPr>
              <w:t xml:space="preserve"> Oliv.</w:t>
            </w:r>
          </w:p>
        </w:tc>
        <w:tc>
          <w:tcPr>
            <w:tcW w:w="2329" w:type="dxa"/>
            <w:vAlign w:val="center"/>
          </w:tcPr>
          <w:p w14:paraId="6BA911E2"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Anhui (China)</w:t>
            </w:r>
          </w:p>
        </w:tc>
        <w:tc>
          <w:tcPr>
            <w:tcW w:w="2160" w:type="dxa"/>
            <w:vAlign w:val="center"/>
          </w:tcPr>
          <w:p w14:paraId="501FF640"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bark</w:t>
            </w:r>
          </w:p>
        </w:tc>
        <w:tc>
          <w:tcPr>
            <w:tcW w:w="1038" w:type="dxa"/>
            <w:vAlign w:val="center"/>
          </w:tcPr>
          <w:p w14:paraId="7536C57F"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14448C77" w14:textId="77777777" w:rsidTr="00991AEC">
        <w:trPr>
          <w:jc w:val="center"/>
        </w:trPr>
        <w:tc>
          <w:tcPr>
            <w:tcW w:w="3545" w:type="dxa"/>
            <w:vAlign w:val="center"/>
          </w:tcPr>
          <w:p w14:paraId="26B52F14"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Leonurus japonicus</w:t>
            </w:r>
            <w:r w:rsidRPr="005E6B7C">
              <w:rPr>
                <w:rFonts w:asciiTheme="majorHAnsi" w:eastAsia="Yu Mincho" w:hAnsiTheme="majorHAnsi" w:cstheme="majorHAnsi"/>
                <w:color w:val="000000" w:themeColor="text1"/>
                <w:sz w:val="18"/>
                <w:szCs w:val="18"/>
                <w:lang w:val="vi-VN" w:eastAsia="ja-JP"/>
              </w:rPr>
              <w:t xml:space="preserve"> Houtt.</w:t>
            </w:r>
          </w:p>
        </w:tc>
        <w:tc>
          <w:tcPr>
            <w:tcW w:w="2329" w:type="dxa"/>
            <w:vAlign w:val="center"/>
          </w:tcPr>
          <w:p w14:paraId="0FDBE4D7"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Hung Yen (Vietnam)</w:t>
            </w:r>
          </w:p>
        </w:tc>
        <w:tc>
          <w:tcPr>
            <w:tcW w:w="2160" w:type="dxa"/>
            <w:vAlign w:val="center"/>
          </w:tcPr>
          <w:p w14:paraId="01E6C607"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whole plant</w:t>
            </w:r>
          </w:p>
        </w:tc>
        <w:tc>
          <w:tcPr>
            <w:tcW w:w="1038" w:type="dxa"/>
            <w:vAlign w:val="center"/>
          </w:tcPr>
          <w:p w14:paraId="0D47BDAF"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783A1C55" w14:textId="77777777" w:rsidTr="00991AEC">
        <w:trPr>
          <w:jc w:val="center"/>
        </w:trPr>
        <w:tc>
          <w:tcPr>
            <w:tcW w:w="3545" w:type="dxa"/>
            <w:vAlign w:val="center"/>
          </w:tcPr>
          <w:p w14:paraId="24CD69F2"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Taxillus chinensis</w:t>
            </w:r>
            <w:r w:rsidRPr="005E6B7C">
              <w:rPr>
                <w:rFonts w:asciiTheme="majorHAnsi" w:eastAsia="Yu Mincho" w:hAnsiTheme="majorHAnsi" w:cstheme="majorHAnsi"/>
                <w:color w:val="000000" w:themeColor="text1"/>
                <w:sz w:val="18"/>
                <w:szCs w:val="18"/>
                <w:lang w:val="vi-VN" w:eastAsia="ja-JP"/>
              </w:rPr>
              <w:t xml:space="preserve"> (DC.) Danser</w:t>
            </w:r>
          </w:p>
        </w:tc>
        <w:tc>
          <w:tcPr>
            <w:tcW w:w="2329" w:type="dxa"/>
            <w:vAlign w:val="center"/>
          </w:tcPr>
          <w:p w14:paraId="77662065"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Hung Yen (Vietnam)</w:t>
            </w:r>
          </w:p>
        </w:tc>
        <w:tc>
          <w:tcPr>
            <w:tcW w:w="2160" w:type="dxa"/>
            <w:vAlign w:val="center"/>
          </w:tcPr>
          <w:p w14:paraId="23F5C315"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stems and branches</w:t>
            </w:r>
          </w:p>
        </w:tc>
        <w:tc>
          <w:tcPr>
            <w:tcW w:w="1038" w:type="dxa"/>
            <w:vAlign w:val="center"/>
          </w:tcPr>
          <w:p w14:paraId="2649CC94"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003BB5DC" w14:textId="77777777" w:rsidTr="00991AEC">
        <w:trPr>
          <w:jc w:val="center"/>
        </w:trPr>
        <w:tc>
          <w:tcPr>
            <w:tcW w:w="3545" w:type="dxa"/>
            <w:vAlign w:val="center"/>
          </w:tcPr>
          <w:p w14:paraId="685DEF86"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Polygonum multiflorum</w:t>
            </w:r>
            <w:r w:rsidRPr="005E6B7C">
              <w:rPr>
                <w:rFonts w:asciiTheme="majorHAnsi" w:eastAsia="Yu Mincho" w:hAnsiTheme="majorHAnsi" w:cstheme="majorHAnsi"/>
                <w:color w:val="000000" w:themeColor="text1"/>
                <w:sz w:val="18"/>
                <w:szCs w:val="18"/>
                <w:lang w:val="vi-VN" w:eastAsia="ja-JP"/>
              </w:rPr>
              <w:t xml:space="preserve"> Thunb.</w:t>
            </w:r>
          </w:p>
        </w:tc>
        <w:tc>
          <w:tcPr>
            <w:tcW w:w="2329" w:type="dxa"/>
            <w:vAlign w:val="center"/>
          </w:tcPr>
          <w:p w14:paraId="76BAD140"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Son La (Vietnam)</w:t>
            </w:r>
          </w:p>
        </w:tc>
        <w:tc>
          <w:tcPr>
            <w:tcW w:w="2160" w:type="dxa"/>
            <w:vAlign w:val="center"/>
          </w:tcPr>
          <w:p w14:paraId="77FA81D4"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stem</w:t>
            </w:r>
          </w:p>
        </w:tc>
        <w:tc>
          <w:tcPr>
            <w:tcW w:w="1038" w:type="dxa"/>
            <w:vAlign w:val="center"/>
          </w:tcPr>
          <w:p w14:paraId="60538C56"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6CDC460E" w14:textId="77777777" w:rsidTr="00991AEC">
        <w:trPr>
          <w:jc w:val="center"/>
        </w:trPr>
        <w:tc>
          <w:tcPr>
            <w:tcW w:w="3545" w:type="dxa"/>
            <w:vAlign w:val="center"/>
          </w:tcPr>
          <w:p w14:paraId="0DBC5AA5"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Poria cocos</w:t>
            </w:r>
            <w:r w:rsidRPr="005E6B7C">
              <w:rPr>
                <w:rFonts w:asciiTheme="majorHAnsi" w:eastAsia="Yu Mincho" w:hAnsiTheme="majorHAnsi" w:cstheme="majorHAnsi"/>
                <w:color w:val="000000" w:themeColor="text1"/>
                <w:sz w:val="18"/>
                <w:szCs w:val="18"/>
                <w:lang w:val="vi-VN" w:eastAsia="ja-JP"/>
              </w:rPr>
              <w:t xml:space="preserve"> (Schw.) Wolf</w:t>
            </w:r>
          </w:p>
        </w:tc>
        <w:tc>
          <w:tcPr>
            <w:tcW w:w="2329" w:type="dxa"/>
            <w:vAlign w:val="center"/>
          </w:tcPr>
          <w:p w14:paraId="0DEE1562"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Anhui (China)</w:t>
            </w:r>
          </w:p>
        </w:tc>
        <w:tc>
          <w:tcPr>
            <w:tcW w:w="2160" w:type="dxa"/>
            <w:vAlign w:val="center"/>
          </w:tcPr>
          <w:p w14:paraId="01B6FD3F"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val="vi-VN" w:eastAsia="ja-JP"/>
              </w:rPr>
              <w:t>sclerotium</w:t>
            </w:r>
          </w:p>
        </w:tc>
        <w:tc>
          <w:tcPr>
            <w:tcW w:w="1038" w:type="dxa"/>
            <w:vAlign w:val="center"/>
          </w:tcPr>
          <w:p w14:paraId="641DF8BD"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9 g</w:t>
            </w:r>
          </w:p>
        </w:tc>
      </w:tr>
      <w:tr w:rsidR="00573010" w:rsidRPr="005E6B7C" w14:paraId="4CBBD7F5" w14:textId="77777777" w:rsidTr="00991AEC">
        <w:trPr>
          <w:jc w:val="center"/>
        </w:trPr>
        <w:tc>
          <w:tcPr>
            <w:tcW w:w="3545" w:type="dxa"/>
            <w:vAlign w:val="center"/>
          </w:tcPr>
          <w:p w14:paraId="59787082" w14:textId="77777777" w:rsidR="00E049CB" w:rsidRPr="005E6B7C" w:rsidRDefault="00E049CB" w:rsidP="005E65C5">
            <w:pPr>
              <w:tabs>
                <w:tab w:val="left" w:pos="270"/>
                <w:tab w:val="left" w:pos="2127"/>
              </w:tabs>
              <w:spacing w:line="200" w:lineRule="exact"/>
              <w:ind w:right="-14"/>
              <w:jc w:val="both"/>
              <w:rPr>
                <w:rFonts w:asciiTheme="majorHAnsi" w:eastAsia="Yu Mincho" w:hAnsiTheme="majorHAnsi" w:cstheme="majorHAnsi"/>
                <w:i/>
                <w:iCs/>
                <w:color w:val="000000" w:themeColor="text1"/>
                <w:sz w:val="18"/>
                <w:szCs w:val="18"/>
                <w:lang w:val="vi-VN" w:eastAsia="ja-JP"/>
              </w:rPr>
            </w:pPr>
            <w:r w:rsidRPr="005E6B7C">
              <w:rPr>
                <w:rFonts w:asciiTheme="majorHAnsi" w:eastAsia="Yu Mincho" w:hAnsiTheme="majorHAnsi" w:cstheme="majorHAnsi"/>
                <w:i/>
                <w:iCs/>
                <w:color w:val="000000" w:themeColor="text1"/>
                <w:sz w:val="18"/>
                <w:szCs w:val="18"/>
                <w:lang w:val="vi-VN" w:eastAsia="ja-JP"/>
              </w:rPr>
              <w:t>Uncaria rhynchophylla</w:t>
            </w:r>
            <w:r w:rsidRPr="005E6B7C">
              <w:rPr>
                <w:rFonts w:asciiTheme="majorHAnsi" w:eastAsia="Yu Mincho" w:hAnsiTheme="majorHAnsi" w:cstheme="majorHAnsi"/>
                <w:color w:val="000000" w:themeColor="text1"/>
                <w:sz w:val="18"/>
                <w:szCs w:val="18"/>
                <w:lang w:val="vi-VN" w:eastAsia="ja-JP"/>
              </w:rPr>
              <w:t xml:space="preserve"> (Miq.) Miq. ex Havil.</w:t>
            </w:r>
          </w:p>
        </w:tc>
        <w:tc>
          <w:tcPr>
            <w:tcW w:w="2329" w:type="dxa"/>
            <w:vAlign w:val="center"/>
          </w:tcPr>
          <w:p w14:paraId="7C811AF1"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Hung Yen (Vietnam)</w:t>
            </w:r>
          </w:p>
        </w:tc>
        <w:tc>
          <w:tcPr>
            <w:tcW w:w="2160" w:type="dxa"/>
            <w:vAlign w:val="center"/>
          </w:tcPr>
          <w:p w14:paraId="7FF38915"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hook-bearing stems</w:t>
            </w:r>
          </w:p>
        </w:tc>
        <w:tc>
          <w:tcPr>
            <w:tcW w:w="1038" w:type="dxa"/>
            <w:vAlign w:val="center"/>
          </w:tcPr>
          <w:p w14:paraId="3CDEDC72" w14:textId="77777777" w:rsidR="00E049CB" w:rsidRPr="005E6B7C" w:rsidRDefault="00E049CB" w:rsidP="005E65C5">
            <w:pPr>
              <w:tabs>
                <w:tab w:val="left" w:pos="270"/>
                <w:tab w:val="left" w:pos="2127"/>
              </w:tabs>
              <w:spacing w:line="200" w:lineRule="exact"/>
              <w:ind w:right="-14"/>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12 g</w:t>
            </w:r>
          </w:p>
        </w:tc>
      </w:tr>
    </w:tbl>
    <w:p w14:paraId="5D58A3F9" w14:textId="77777777" w:rsidR="004C259C" w:rsidRPr="005E6B7C" w:rsidRDefault="004C259C" w:rsidP="008C0D47">
      <w:pPr>
        <w:tabs>
          <w:tab w:val="left" w:pos="270"/>
          <w:tab w:val="left" w:pos="2127"/>
        </w:tabs>
        <w:jc w:val="both"/>
        <w:rPr>
          <w:rFonts w:asciiTheme="majorHAnsi" w:eastAsia="Yu Mincho" w:hAnsiTheme="majorHAnsi" w:cstheme="majorHAnsi"/>
          <w:i/>
          <w:color w:val="000000" w:themeColor="text1"/>
          <w:sz w:val="22"/>
          <w:szCs w:val="22"/>
          <w:lang w:eastAsia="ja-JP"/>
        </w:rPr>
      </w:pPr>
    </w:p>
    <w:p w14:paraId="2C977CB9"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i/>
          <w:color w:val="000000" w:themeColor="text1"/>
          <w:sz w:val="22"/>
          <w:szCs w:val="22"/>
          <w:lang w:eastAsia="ja-JP"/>
        </w:rPr>
        <w:sectPr w:rsidR="00BD35FA" w:rsidRPr="005E6B7C" w:rsidSect="002206BB">
          <w:type w:val="continuous"/>
          <w:pgSz w:w="10773" w:h="15309" w:code="9"/>
          <w:pgMar w:top="907" w:right="851" w:bottom="1418" w:left="851" w:header="397" w:footer="851" w:gutter="0"/>
          <w:cols w:space="284"/>
          <w:docGrid w:linePitch="360"/>
        </w:sectPr>
      </w:pPr>
    </w:p>
    <w:p w14:paraId="4A9882F3"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w:t>
      </w:r>
      <w:r w:rsidRPr="005E6B7C">
        <w:rPr>
          <w:rFonts w:asciiTheme="majorHAnsi" w:eastAsia="Yu Mincho" w:hAnsiTheme="majorHAnsi" w:cstheme="majorHAnsi"/>
          <w:i/>
          <w:color w:val="000000" w:themeColor="text1"/>
          <w:sz w:val="22"/>
          <w:szCs w:val="22"/>
          <w:lang w:val="vi-VN" w:eastAsia="ja-JP"/>
        </w:rPr>
        <w:t>2</w:t>
      </w:r>
      <w:r w:rsidRPr="005E6B7C">
        <w:rPr>
          <w:rFonts w:asciiTheme="majorHAnsi" w:eastAsia="Yu Mincho" w:hAnsiTheme="majorHAnsi" w:cstheme="majorHAnsi"/>
          <w: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 xml:space="preserve">Animals </w:t>
      </w:r>
    </w:p>
    <w:p w14:paraId="57E47187"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eastAsia="ja-JP"/>
        </w:rPr>
        <w:t xml:space="preserve">Male </w:t>
      </w:r>
      <w:r w:rsidRPr="005E6B7C">
        <w:rPr>
          <w:rFonts w:asciiTheme="majorHAnsi" w:eastAsia="Yu Mincho" w:hAnsiTheme="majorHAnsi" w:cstheme="majorHAnsi"/>
          <w:i/>
          <w:iCs/>
          <w:color w:val="000000" w:themeColor="text1"/>
          <w:sz w:val="22"/>
          <w:szCs w:val="22"/>
          <w:lang w:eastAsia="ja-JP"/>
        </w:rPr>
        <w:t>Swiss albino</w:t>
      </w:r>
      <w:r w:rsidRPr="005E6B7C">
        <w:rPr>
          <w:rFonts w:asciiTheme="majorHAnsi" w:eastAsia="Yu Mincho" w:hAnsiTheme="majorHAnsi" w:cstheme="majorHAnsi"/>
          <w:color w:val="000000" w:themeColor="text1"/>
          <w:sz w:val="22"/>
          <w:szCs w:val="22"/>
          <w:lang w:eastAsia="ja-JP"/>
        </w:rPr>
        <w:t xml:space="preserve"> mice (5–6 weeks old, weighing 35–45 g at the time of surgery) were supplied by the National Institute of Hygiene and Epidemiology (Hanoi, Vietnam). The animals were housed in a controlled environment at 25 ± 1°C with appropriate humidity and a standard 12-h light/dark cycle. Standard laboratory chow provided by the National Institute of Hygiene and Epidemiology and tap water were available ad libitum. The animals were acclimatized for at least one week before starting the experiments.</w:t>
      </w:r>
    </w:p>
    <w:p w14:paraId="71E42C4B"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2.3. Methods</w:t>
      </w:r>
    </w:p>
    <w:p w14:paraId="59843ACC"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b/>
          <w:bCs/>
          <w:iCs/>
          <w:color w:val="000000" w:themeColor="text1"/>
          <w:sz w:val="22"/>
          <w:szCs w:val="22"/>
          <w:lang w:eastAsia="ja-JP"/>
        </w:rPr>
      </w:pPr>
      <w:r w:rsidRPr="005E6B7C">
        <w:rPr>
          <w:rFonts w:asciiTheme="majorHAnsi" w:eastAsia="Yu Mincho" w:hAnsiTheme="majorHAnsi" w:cstheme="majorHAnsi"/>
          <w:b/>
          <w:bCs/>
          <w:iCs/>
          <w:color w:val="000000" w:themeColor="text1"/>
          <w:sz w:val="22"/>
          <w:szCs w:val="22"/>
          <w:lang w:eastAsia="ja-JP"/>
        </w:rPr>
        <w:t>Herbal extract preparation</w:t>
      </w:r>
    </w:p>
    <w:p w14:paraId="40D08032"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b/>
          <w:bCs/>
          <w: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The raw herbs were cut into small pieces and soaked in cold water for 30 min prior to extraction. Reflux extraction was then performed with water for 1 h, and the procedure was repeated twice. Briefly, 228 g of raw materials (equivalent to two formulations) were placed in a 2-L round-bottom flask and heated at 85°C for 1 h with a water-to-herb ratio of 5:1 (v/w). After heating, the mixture was allowed to cool and filtered three times through cloth and cotton to obtain the first extract. A second extraction was performed under the same conditions to obtain the final TGD extract. The extracts from the first and second extractions were combined and concentrated in a water bath at 60°C for 2 days, yielding 76 mL of condensed extract (corresponding to a raw herb-to-extract ratio of 3:1, w/v). The concentrated extract was stored at 4°C to −20°C until further use.</w:t>
      </w:r>
    </w:p>
    <w:p w14:paraId="19D2E112"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b/>
          <w:bCs/>
          <w: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TGD is clinically administered in humans at a </w:t>
      </w:r>
      <w:r w:rsidRPr="005E6B7C">
        <w:rPr>
          <w:rFonts w:asciiTheme="majorHAnsi" w:eastAsia="Yu Mincho" w:hAnsiTheme="majorHAnsi" w:cstheme="majorHAnsi"/>
          <w:color w:val="000000" w:themeColor="text1"/>
          <w:sz w:val="22"/>
          <w:szCs w:val="22"/>
          <w:lang w:val="vi-VN" w:eastAsia="ja-JP"/>
        </w:rPr>
        <w:t xml:space="preserve">dose equivalent to 114 g of raw herbal materials per day. Based on interspecies dose conversion, the corresponding dose in </w:t>
      </w:r>
      <w:r w:rsidRPr="005E6B7C">
        <w:rPr>
          <w:rFonts w:asciiTheme="majorHAnsi" w:eastAsia="Yu Mincho" w:hAnsiTheme="majorHAnsi" w:cstheme="majorHAnsi"/>
          <w:color w:val="000000" w:themeColor="text1"/>
          <w:sz w:val="22"/>
          <w:szCs w:val="22"/>
          <w:lang w:eastAsia="ja-JP"/>
        </w:rPr>
        <w:t>mice</w:t>
      </w:r>
      <w:r w:rsidRPr="005E6B7C">
        <w:rPr>
          <w:rFonts w:asciiTheme="majorHAnsi" w:eastAsia="Yu Mincho" w:hAnsiTheme="majorHAnsi" w:cstheme="majorHAnsi"/>
          <w:color w:val="000000" w:themeColor="text1"/>
          <w:sz w:val="22"/>
          <w:szCs w:val="22"/>
          <w:lang w:val="vi-VN" w:eastAsia="ja-JP"/>
        </w:rPr>
        <w:t xml:space="preserve"> was calculated to be 27.4 g of raw herbal materials per kg body weight. In this study, three dose levels of TGD were evaluated: a high dose of 27.4 g/kg (equivalent dose), a medium dose of 13.7 g/kg, and a low dose of 6.8 g/kg.</w:t>
      </w:r>
    </w:p>
    <w:p w14:paraId="4A114063"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Model of transient focal ischemia in mice and drug administration</w:t>
      </w:r>
    </w:p>
    <w:p w14:paraId="12DFEF6F" w14:textId="77777777" w:rsidR="00E049CB" w:rsidRPr="005E6B7C" w:rsidRDefault="00E049CB" w:rsidP="008C0D47">
      <w:pPr>
        <w:tabs>
          <w:tab w:val="left" w:pos="270"/>
          <w:tab w:val="left" w:pos="2127"/>
        </w:tabs>
        <w:spacing w:line="244"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Middle cerebral artery occlusion and reperfusion (MCAO/R)-induced transient focal cerebral ischemia in mice was performed as previously described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PEVuZE5vdGU+PENpdGU+PEF1dGhvcj5OZ3V5ZW48L0F1dGhvcj48WWVhcj4yMDIzPC9ZZWFyPjxS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PEVuZE5vdGU+PENpdGU+PEF1dGhvcj5OZ3V5ZW48L0F1dGhvcj48WWVhcj4yMDIzPC9ZZWFyPjxS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[6]</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Briefly, mice were deeply anesthetized by intraperitoneal injection of a ketamine (Rotexmedica, Germany) and xylazine (Vemedim) mixture (0.1 mL/10 g body weight). The common carotid artery (CCA) was carefully exposed and temporarily occluded with a 5-0 silk suture. Two permanent knots using 4-0 silk sutures were placed at the distal portion of the external carotid artery (ECA). To prevent bleeding, the internal carotid artery (ICA) was temporarily clamped with a vascular clip. A 12-mm-long 6-0 nylon monofilament (Alfresa Pharma Co., Osaka, Japan) with a silicone-coated tip was introduced into the ECA through a small incision between the two knots and advanced into the ICA. The filament was secured with a 4-0 silk suture to prevent bleeding and displacement. It was then advanced 9–10 mm beyond the bifurcation of the CCA and ECA to occlude the origin of the middle cerebral artery (MCA) at the circle of Willis and </w:t>
      </w:r>
      <w:r w:rsidRPr="005E6B7C">
        <w:rPr>
          <w:rFonts w:asciiTheme="majorHAnsi" w:eastAsia="Yu Mincho" w:hAnsiTheme="majorHAnsi" w:cstheme="majorHAnsi"/>
          <w:color w:val="000000" w:themeColor="text1"/>
          <w:sz w:val="22"/>
          <w:szCs w:val="22"/>
          <w:lang w:val="vi-VN" w:eastAsia="ja-JP"/>
        </w:rPr>
        <w:lastRenderedPageBreak/>
        <w:t>fixed in position. The temporary ligature on the CCA was removed.</w:t>
      </w:r>
    </w:p>
    <w:p w14:paraId="33F12428" w14:textId="77777777" w:rsidR="00E049CB" w:rsidRPr="005E6B7C" w:rsidRDefault="00E049CB" w:rsidP="008C0D47">
      <w:pPr>
        <w:tabs>
          <w:tab w:val="left" w:pos="270"/>
          <w:tab w:val="left" w:pos="2127"/>
        </w:tabs>
        <w:spacing w:line="236"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The mice were randomly allocated into five groups as follows: Group 1, vehicle-treated MCAO/R mice (n = 8); Group 2, TGD 6.8 g/kg-treated MCAO/R mice (n = 8); Group 3, TGD 13.7 g/kg-treated MCAO/R mice (n = 8); Group 4, TGD 27.4 g/kg-treated MCAO/R mice (n = 7); and Group 5, edaravone 6 mg/kg-treated MCAO/R mice (n = 7).</w:t>
      </w:r>
    </w:p>
    <w:p w14:paraId="4504DA2A" w14:textId="77777777" w:rsidR="00E049CB" w:rsidRPr="005E6B7C" w:rsidRDefault="00E049CB" w:rsidP="008C0D47">
      <w:pPr>
        <w:tabs>
          <w:tab w:val="left" w:pos="270"/>
          <w:tab w:val="left" w:pos="2127"/>
        </w:tabs>
        <w:spacing w:line="236" w:lineRule="exact"/>
        <w:ind w:firstLine="284"/>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color w:val="000000" w:themeColor="text1"/>
          <w:spacing w:val="-4"/>
          <w:sz w:val="22"/>
          <w:szCs w:val="22"/>
          <w:lang w:val="vi-VN" w:eastAsia="ja-JP"/>
        </w:rPr>
        <w:t>Edaravone (5-methyl-2-phenyl-2,4-dihydro-3</w:t>
      </w:r>
      <w:r w:rsidRPr="005E6B7C">
        <w:rPr>
          <w:rFonts w:asciiTheme="majorHAnsi" w:eastAsia="Yu Mincho" w:hAnsiTheme="majorHAnsi" w:cstheme="majorHAnsi"/>
          <w:i/>
          <w:color w:val="000000" w:themeColor="text1"/>
          <w:spacing w:val="-4"/>
          <w:sz w:val="22"/>
          <w:szCs w:val="22"/>
          <w:lang w:val="vi-VN" w:eastAsia="ja-JP"/>
        </w:rPr>
        <w:t>H</w:t>
      </w:r>
      <w:r w:rsidRPr="005E6B7C">
        <w:rPr>
          <w:rFonts w:asciiTheme="majorHAnsi" w:eastAsia="Yu Mincho" w:hAnsiTheme="majorHAnsi" w:cstheme="majorHAnsi"/>
          <w:color w:val="000000" w:themeColor="text1"/>
          <w:spacing w:val="-4"/>
          <w:sz w:val="22"/>
          <w:szCs w:val="22"/>
          <w:lang w:val="vi-VN" w:eastAsia="ja-JP"/>
        </w:rPr>
        <w:t>-pyrazol-3-one; Sigma-Aldrich, St. Louis, MO, USA) was solubilized in DMSO as a stock solution and then diluted in physiological saline before tail-vein injection. TGD (6.8, 13.7, and 27.4 g/kg, p.o.) or edaravone (6 mg/kg, i.v.) was administered immediately after reperfusion and continued daily throughout the experimental period (</w:t>
      </w:r>
      <w:r w:rsidR="00517F81" w:rsidRPr="005E6B7C">
        <w:rPr>
          <w:rFonts w:asciiTheme="majorHAnsi" w:eastAsia="Yu Mincho" w:hAnsiTheme="majorHAnsi" w:cstheme="majorHAnsi"/>
          <w:color w:val="000000" w:themeColor="text1"/>
          <w:spacing w:val="-4"/>
          <w:sz w:val="22"/>
          <w:szCs w:val="22"/>
          <w:lang w:val="vi-VN" w:eastAsia="ja-JP"/>
        </w:rPr>
        <w:t xml:space="preserve">Fig. </w:t>
      </w:r>
      <w:r w:rsidRPr="005E6B7C">
        <w:rPr>
          <w:rFonts w:asciiTheme="majorHAnsi" w:eastAsia="Yu Mincho" w:hAnsiTheme="majorHAnsi" w:cstheme="majorHAnsi"/>
          <w:color w:val="000000" w:themeColor="text1"/>
          <w:spacing w:val="-4"/>
          <w:sz w:val="22"/>
          <w:szCs w:val="22"/>
          <w:lang w:val="vi-VN" w:eastAsia="ja-JP"/>
        </w:rPr>
        <w:t>1).</w:t>
      </w:r>
    </w:p>
    <w:p w14:paraId="6632499C" w14:textId="77777777" w:rsidR="00E049CB" w:rsidRPr="005E6B7C" w:rsidRDefault="00E049CB" w:rsidP="008C0D47">
      <w:pPr>
        <w:tabs>
          <w:tab w:val="left" w:pos="270"/>
          <w:tab w:val="left" w:pos="2127"/>
        </w:tabs>
        <w:spacing w:line="236"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2,3,5-triphenyltetrazolium chloride (TTC) staining</w:t>
      </w:r>
    </w:p>
    <w:p w14:paraId="323EC309" w14:textId="77777777" w:rsidR="00E049CB" w:rsidRPr="005E6B7C" w:rsidRDefault="00E049CB" w:rsidP="008C0D47">
      <w:pPr>
        <w:tabs>
          <w:tab w:val="left" w:pos="270"/>
          <w:tab w:val="left" w:pos="2127"/>
        </w:tabs>
        <w:spacing w:line="236"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The MCAO mice were decapitated three days after reperfusion to determine the cerebral infarct using TTC (Sigma-Aldrich, St. Louis, MO, USA) staining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PEVuZE5vdGU+PENpdGU+PEF1dGhvcj5OZ3V5ZW48L0F1dGhvcj48WWVhcj4yMDIzPC9ZZWFyPjxS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PEVuZE5vdGU+PENpdGU+PEF1dGhvcj5OZ3V5ZW48L0F1dGhvcj48WWVhcj4yMDIzPC9ZZWFyPjxS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[6]</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In brief, the brain was quickly removed from the skull and placed in ice-cold 0.9 % saline. The coronal tissue was cut to a thickness of 2 mm using a tissue slicer and then immersed in a 0.9% saline solution containing 0.8% TTC at 37°C for 10 min under light-proof conditions. The sections were captured with a high-resolution digital camera and analysed using ImageJ software (ver. 1.41, NIH; Bethesda, MD, USA). The area of the infarction was measured using the equation reported by Swanson RA et al.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&lt;EndNote&gt;&lt;Cite&gt;&lt;Author&gt;Swanson&lt;/Author&gt;&lt;Year&gt;1990&lt;/Year&gt;&lt;RecNum&gt;52&lt;/RecNum&gt;&lt;DisplayText&gt;[7]&lt;/DisplayText&gt;&lt;record&gt;&lt;rec-number&gt;52&lt;/rec-number&gt;&lt;foreign-keys&gt;&lt;key app="EN" db-id="x5wwsrv9mt9rs5e22flvsff0axeds900xdz2" timestamp="1772354114"&gt;52&lt;/key&gt;&lt;/foreign-keys&gt;&lt;ref-type name="Journal Article"&gt;17&lt;/ref-type&gt;&lt;contributors&gt;&lt;authors&gt;&lt;author&gt;Swanson, R. A.&lt;/author&gt;&lt;author&gt;Morton, M. T.&lt;/author&gt;&lt;author&gt;Tsao-Wu, G.&lt;/author&gt;&lt;author&gt;Savalos, R. A.&lt;/author&gt;&lt;author&gt;Davidson, C.&lt;/author&gt;&lt;author&gt;Sharp, F. R.&lt;/author&gt;&lt;/authors&gt;&lt;/contributors&gt;&lt;auth-address&gt;Department of Neurology, University of California, San Francisco.&lt;/auth-address&gt;&lt;titles&gt;&lt;title&gt;A semiautomated method for measuring brain infarct volume&lt;/title&gt;&lt;secondary-title&gt;J Cereb Blood Flow Metab&lt;/secondary-title&gt;&lt;/titles&gt;&lt;periodical&gt;&lt;full-title&gt;J Cereb Blood Flow Metab&lt;/full-title&gt;&lt;/periodical&gt;&lt;pages&gt;290-3&lt;/pages&gt;&lt;volume&gt;10&lt;/volume&gt;&lt;number&gt;2&lt;/number&gt;&lt;keywords&gt;&lt;keyword&gt;Animals&lt;/keyword&gt;&lt;keyword&gt;Basal Ganglia/pathology&lt;/keyword&gt;&lt;keyword&gt;Cerebral Cortex/pathology&lt;/keyword&gt;&lt;keyword&gt;Cerebral Infarction/*pathology&lt;/keyword&gt;&lt;keyword&gt;*Image Processing, Computer-Assisted&lt;/keyword&gt;&lt;keyword&gt;Male&lt;/keyword&gt;&lt;keyword&gt;Rats&lt;/keyword&gt;&lt;keyword&gt;Rats, Inbred Strains&lt;/keyword&gt;&lt;keyword&gt;Reproducibility of Results&lt;/keyword&gt;&lt;keyword&gt;Staining and Labeling&lt;/keyword&gt;&lt;/keywords&gt;&lt;dates&gt;&lt;year&gt;1990&lt;/year&gt;&lt;pub-dates&gt;&lt;date&gt;Mar&lt;/date&gt;&lt;/pub-dates&gt;&lt;/dates&gt;&lt;isbn&gt;0271-678X (Print)&amp;#xD;0271-678x&lt;/isbn&gt;&lt;accession-num&gt;1689322&lt;/accession-num&gt;&lt;urls&gt;&lt;/urls&gt;&lt;electronic-resource-num&gt;10.1038/jcbfm.1990.47&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[7]</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and represented as the percentage of the cerebral infarct volume: Percentage of the cerebral infarct volume = [(contralateral hemispheric volume - ipsilateral non-infarcted volume)/contralateral hemispheric volume]*100.</w:t>
      </w:r>
    </w:p>
    <w:p w14:paraId="2CCCF02F" w14:textId="77777777" w:rsidR="00E049CB" w:rsidRPr="005E6B7C" w:rsidRDefault="00E049CB" w:rsidP="008C0D47">
      <w:pPr>
        <w:tabs>
          <w:tab w:val="left" w:pos="270"/>
          <w:tab w:val="left" w:pos="2127"/>
        </w:tabs>
        <w:spacing w:line="236"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Neurological scores</w:t>
      </w:r>
    </w:p>
    <w:p w14:paraId="4D271297"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The neurological symptom of each mouse was evaluated according to Menzies et al.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PEVuZE5vdGU+PENpdGU+PEF1dGhvcj5NZW56aWVzPC9BdXRob3I+PFllYXI+MTk5MjwvWWVhcj48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==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PEVuZE5vdGU+PENpdGU+PEF1dGhvcj5NZW56aWVzPC9BdXRob3I+PFllYXI+MTk5MjwvWWVhcj48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==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color w:val="000000" w:themeColor="text1"/>
          <w:sz w:val="22"/>
          <w:szCs w:val="22"/>
          <w:lang w:val="vi-VN" w:eastAsia="ja-JP"/>
        </w:rPr>
        <w:t>[8]</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of a four-level score: 4 = spontaneous right circling; 3 = spontaneous movement in all directions (right circling if pulled by the tail); 2 = decreased grip of the right forelimb while tail pulled; 1 = right forelimb flexion; 0 = no apparent deficits. The test was performed daily from immediately after reperfusion to day 3 by a blinded researcher.</w:t>
      </w:r>
    </w:p>
    <w:p w14:paraId="6F010AB0" w14:textId="77777777" w:rsidR="00E049CB" w:rsidRPr="005E6B7C" w:rsidRDefault="00E049CB" w:rsidP="008C0D47">
      <w:pPr>
        <w:tabs>
          <w:tab w:val="left" w:pos="270"/>
          <w:tab w:val="left" w:pos="2127"/>
        </w:tabs>
        <w:ind w:right="-20"/>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noProof/>
          <w:color w:val="000000" w:themeColor="text1"/>
          <w:sz w:val="22"/>
          <w:szCs w:val="22"/>
        </w:rPr>
        <w:drawing>
          <wp:inline distT="0" distB="0" distL="0" distR="0" wp14:anchorId="02EC05D3" wp14:editId="33A82B72">
            <wp:extent cx="2790619" cy="756932"/>
            <wp:effectExtent l="0" t="0" r="0" b="5080"/>
            <wp:docPr id="1947721240" name="Picture 7" descr="A blue lin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ine with a black background&#10;&#10;AI-generated content may be incorrect."/>
                    <pic:cNvPicPr>
                      <a:picLocks noChangeAspect="1" noChangeArrowheads="1"/>
                    </pic:cNvPicPr>
                  </pic:nvPicPr>
                  <pic:blipFill>
                    <a:blip r:embed="rId124" cstate="print">
                      <a:extLst>
                        <a:ext uri="{BEBA8EAE-BF5A-486C-A8C5-ECC9F3942E4B}">
                          <a14:imgProps xmlns:a14="http://schemas.microsoft.com/office/drawing/2010/main">
                            <a14:imgLayer r:embed="rId1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05328" cy="760922"/>
                    </a:xfrm>
                    <a:prstGeom prst="rect">
                      <a:avLst/>
                    </a:prstGeom>
                    <a:noFill/>
                    <a:ln>
                      <a:noFill/>
                    </a:ln>
                  </pic:spPr>
                </pic:pic>
              </a:graphicData>
            </a:graphic>
          </wp:inline>
        </w:drawing>
      </w:r>
    </w:p>
    <w:p w14:paraId="1603E7FE" w14:textId="77777777" w:rsidR="00E049CB" w:rsidRPr="005E6B7C" w:rsidRDefault="00517F81" w:rsidP="008C0D47">
      <w:pPr>
        <w:tabs>
          <w:tab w:val="left" w:pos="270"/>
          <w:tab w:val="left" w:pos="2127"/>
        </w:tabs>
        <w:spacing w:before="120"/>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 xml:space="preserve">1. </w:t>
      </w:r>
      <w:r w:rsidR="00E049CB" w:rsidRPr="005E6B7C">
        <w:rPr>
          <w:rFonts w:asciiTheme="majorHAnsi" w:eastAsia="Yu Mincho" w:hAnsiTheme="majorHAnsi" w:cstheme="majorHAnsi"/>
          <w:color w:val="000000" w:themeColor="text1"/>
          <w:sz w:val="18"/>
          <w:szCs w:val="18"/>
          <w:lang w:val="vi-VN" w:eastAsia="ja-JP"/>
        </w:rPr>
        <w:t>Experimental protocols.</w:t>
      </w:r>
    </w:p>
    <w:p w14:paraId="2EE7BE09" w14:textId="77777777" w:rsidR="004C259C" w:rsidRPr="005E6B7C" w:rsidRDefault="004C259C" w:rsidP="008C0D47">
      <w:pPr>
        <w:tabs>
          <w:tab w:val="left" w:pos="270"/>
          <w:tab w:val="left" w:pos="2127"/>
        </w:tabs>
        <w:ind w:right="-20"/>
        <w:jc w:val="both"/>
        <w:rPr>
          <w:rFonts w:asciiTheme="majorHAnsi" w:eastAsia="Yu Mincho" w:hAnsiTheme="majorHAnsi" w:cstheme="majorHAnsi"/>
          <w:b/>
          <w:bCs/>
          <w:color w:val="000000" w:themeColor="text1"/>
          <w:sz w:val="22"/>
          <w:szCs w:val="22"/>
          <w:lang w:eastAsia="ja-JP"/>
        </w:rPr>
      </w:pPr>
    </w:p>
    <w:p w14:paraId="0B72330B"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Determination of gastrodin, baicalin, THSG, and geniposide contents</w:t>
      </w:r>
    </w:p>
    <w:p w14:paraId="371CE352" w14:textId="03D048B6"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Reference preparation: Precisely weighed baicalin (ChemFaces - China, Cat. No.: CFN99111) was dissolved in 70% ethanol; gastrodin (ChemFaces - China, Cat. No.: CFN99549) </w:t>
      </w:r>
      <w:r w:rsidRPr="005E6B7C">
        <w:rPr>
          <w:rFonts w:asciiTheme="majorHAnsi" w:eastAsia="Yu Mincho" w:hAnsiTheme="majorHAnsi" w:cstheme="majorHAnsi" w:hint="eastAsia"/>
          <w:color w:val="000000" w:themeColor="text1"/>
          <w:sz w:val="22"/>
          <w:szCs w:val="22"/>
          <w:lang w:val="vi-VN" w:eastAsia="ja-JP"/>
        </w:rPr>
        <w:t>was dissolved in 50% methanol; 2,3,5,4</w:t>
      </w:r>
      <w:r w:rsidR="008C0D47" w:rsidRPr="005E6B7C">
        <w:rPr>
          <w:rFonts w:eastAsia="Yu Mincho"/>
          <w:color w:val="000000" w:themeColor="text1"/>
          <w:sz w:val="22"/>
          <w:szCs w:val="22"/>
          <w:lang w:val="vi-VN" w:eastAsia="ja-JP"/>
        </w:rPr>
        <w:t>ʹ</w:t>
      </w:r>
      <w:r w:rsidRPr="005E6B7C">
        <w:rPr>
          <w:rFonts w:asciiTheme="majorHAnsi" w:eastAsia="Yu Mincho" w:hAnsiTheme="majorHAnsi" w:cstheme="majorHAnsi" w:hint="eastAsia"/>
          <w:color w:val="000000" w:themeColor="text1"/>
          <w:sz w:val="22"/>
          <w:szCs w:val="22"/>
          <w:lang w:val="vi-VN" w:eastAsia="ja-JP"/>
        </w:rPr>
        <w:t>-tetrahydroxystilbene-2-</w:t>
      </w:r>
      <w:r w:rsidRPr="005E6B7C">
        <w:rPr>
          <w:rFonts w:asciiTheme="majorHAnsi" w:eastAsia="Yu Mincho" w:hAnsiTheme="majorHAnsi" w:cstheme="majorHAnsi" w:hint="eastAsia"/>
          <w:i/>
          <w:color w:val="000000" w:themeColor="text1"/>
          <w:sz w:val="22"/>
          <w:szCs w:val="22"/>
          <w:lang w:val="vi-VN" w:eastAsia="ja-JP"/>
        </w:rPr>
        <w:t>O</w:t>
      </w:r>
      <w:r w:rsidRPr="005E6B7C">
        <w:rPr>
          <w:rFonts w:asciiTheme="majorHAnsi" w:eastAsia="Yu Mincho" w:hAnsiTheme="majorHAnsi" w:cstheme="majorHAnsi" w:hint="eastAsia"/>
          <w:color w:val="000000" w:themeColor="text1"/>
          <w:sz w:val="22"/>
          <w:szCs w:val="22"/>
          <w:lang w:val="vi-VN" w:eastAsia="ja-JP"/>
        </w:rPr>
        <w:t>-</w:t>
      </w:r>
      <w:r w:rsidR="007A051F" w:rsidRPr="005E6B7C">
        <w:rPr>
          <w:rFonts w:eastAsia="Yu Mincho"/>
          <w:i/>
          <w:color w:val="000000" w:themeColor="text1"/>
          <w:sz w:val="22"/>
          <w:szCs w:val="22"/>
          <w:lang w:eastAsia="ja-JP"/>
        </w:rPr>
        <w:t>β</w:t>
      </w:r>
      <w:r w:rsidRPr="005E6B7C">
        <w:rPr>
          <w:rFonts w:asciiTheme="majorHAnsi" w:eastAsia="Yu Mincho" w:hAnsiTheme="majorHAnsi" w:cstheme="majorHAnsi" w:hint="eastAsia"/>
          <w:color w:val="000000" w:themeColor="text1"/>
          <w:sz w:val="22"/>
          <w:szCs w:val="22"/>
          <w:lang w:val="vi-VN" w:eastAsia="ja-JP"/>
        </w:rPr>
        <w:t>-D-glucoside (THSG, ChemFaces</w:t>
      </w:r>
      <w:r w:rsidRPr="005E6B7C">
        <w:rPr>
          <w:rFonts w:asciiTheme="majorHAnsi" w:eastAsia="Yu Mincho" w:hAnsiTheme="majorHAnsi" w:cstheme="majorHAnsi"/>
          <w:color w:val="000000" w:themeColor="text1"/>
          <w:sz w:val="22"/>
          <w:szCs w:val="22"/>
          <w:lang w:val="vi-VN" w:eastAsia="ja-JP"/>
        </w:rPr>
        <w:t xml:space="preserve"> - China, Cat. No.: CFN99995) and geniposide (ChemFaces - China, Cat. No.: CFN98261) were dissolved in methanol to prepare standard solutions at concentrations ranging from 0.1-1 mg/mL.</w:t>
      </w:r>
    </w:p>
    <w:p w14:paraId="6A498EB6" w14:textId="4C1C6A5F"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contents of gastrodin, baicalin, THSG, and geniposide in TG</w:t>
      </w:r>
      <w:r w:rsidRPr="005E6B7C">
        <w:rPr>
          <w:rFonts w:asciiTheme="majorHAnsi" w:eastAsia="Yu Mincho" w:hAnsiTheme="majorHAnsi" w:cstheme="majorHAnsi"/>
          <w:color w:val="000000" w:themeColor="text1"/>
          <w:sz w:val="22"/>
          <w:szCs w:val="22"/>
          <w:lang w:val="vi-VN" w:eastAsia="ja-JP"/>
        </w:rPr>
        <w:t>D</w:t>
      </w:r>
      <w:r w:rsidRPr="005E6B7C">
        <w:rPr>
          <w:rFonts w:asciiTheme="majorHAnsi" w:eastAsia="Yu Mincho" w:hAnsiTheme="majorHAnsi" w:cstheme="majorHAnsi"/>
          <w:color w:val="000000" w:themeColor="text1"/>
          <w:sz w:val="22"/>
          <w:szCs w:val="22"/>
          <w:lang w:eastAsia="ja-JP"/>
        </w:rPr>
        <w:t xml:space="preserve"> were determined using a Shimadzu HPLC–UV system. The TG</w:t>
      </w:r>
      <w:r w:rsidRPr="005E6B7C">
        <w:rPr>
          <w:rFonts w:asciiTheme="majorHAnsi" w:eastAsia="Yu Mincho" w:hAnsiTheme="majorHAnsi" w:cstheme="majorHAnsi"/>
          <w:color w:val="000000" w:themeColor="text1"/>
          <w:sz w:val="22"/>
          <w:szCs w:val="22"/>
          <w:lang w:val="vi-VN" w:eastAsia="ja-JP"/>
        </w:rPr>
        <w:t>D</w:t>
      </w:r>
      <w:r w:rsidRPr="005E6B7C">
        <w:rPr>
          <w:rFonts w:asciiTheme="majorHAnsi" w:eastAsia="Yu Mincho" w:hAnsiTheme="majorHAnsi" w:cstheme="majorHAnsi"/>
          <w:color w:val="000000" w:themeColor="text1"/>
          <w:sz w:val="22"/>
          <w:szCs w:val="22"/>
          <w:lang w:eastAsia="ja-JP"/>
        </w:rPr>
        <w:t xml:space="preserve"> extract was diluted 10-fold, filtered through a 0.45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 xml:space="preserve">m membrane filter, and a 20 </w:t>
      </w:r>
      <w:r w:rsidR="00266B26" w:rsidRPr="005E6B7C">
        <w:rPr>
          <w:rFonts w:asciiTheme="majorHAnsi" w:eastAsia="Yu Mincho" w:hAnsiTheme="majorHAnsi" w:cstheme="majorHAnsi"/>
          <w:i/>
          <w:iCs/>
          <w:color w:val="000000" w:themeColor="text1"/>
          <w:sz w:val="22"/>
          <w:szCs w:val="22"/>
          <w:lang w:eastAsia="ja-JP"/>
        </w:rPr>
        <w:t>µ</w:t>
      </w:r>
      <w:r w:rsidRPr="005E6B7C">
        <w:rPr>
          <w:rFonts w:asciiTheme="majorHAnsi" w:eastAsia="Yu Mincho" w:hAnsiTheme="majorHAnsi" w:cstheme="majorHAnsi"/>
          <w:color w:val="000000" w:themeColor="text1"/>
          <w:sz w:val="22"/>
          <w:szCs w:val="22"/>
          <w:lang w:eastAsia="ja-JP"/>
        </w:rPr>
        <w:t>L aliquot was injected into the system using an autosampler.</w:t>
      </w:r>
    </w:p>
    <w:p w14:paraId="22F4D8BA"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Assay of gastrodin: The mobile phase consisted of solvent A (0.1% phosphoric acid in methanol) and solvent B (0.1% phosphoric acid in water). A linear gradient was applied as follows: 3–6% A from 0–15 min; 6–50% A from 15–45 min; 50–3% A from 45–46 min; and maintained at 3% A from 46–50 min. The column temperature was maintained at 40 °C. The solvent flow rate was 1 mL/min. A spectrophotometric detector was set at 220 nm</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val="vi-VN" w:eastAsia="ja-JP"/>
        </w:rPr>
        <w:fldChar w:fldCharType="begin"/>
      </w:r>
      <w:r w:rsidRPr="005E6B7C">
        <w:rPr>
          <w:rFonts w:asciiTheme="majorHAnsi" w:eastAsia="Yu Mincho" w:hAnsiTheme="majorHAnsi" w:cstheme="majorHAnsi"/>
          <w:color w:val="000000" w:themeColor="text1"/>
          <w:spacing w:val="-4"/>
          <w:sz w:val="22"/>
          <w:szCs w:val="22"/>
          <w:lang w:val="vi-VN" w:eastAsia="ja-JP"/>
        </w:rPr>
        <w:instrText xml:space="preserve"> ADDIN EN.CITE &lt;EndNote&gt;&lt;Cite&gt;&lt;RecNum&gt;67&lt;/RecNum&gt;&lt;DisplayText&gt;[9]&lt;/DisplayText&gt;&lt;record&gt;&lt;rec-number&gt;67&lt;/rec-number&gt;&lt;foreign-keys&gt;&lt;key app="EN" db-id="x5wwsrv9mt9rs5e22flvsff0axeds900xdz2" timestamp="1772638143"&gt;67&lt;/key&gt;&lt;/foreign-keys&gt;&lt;ref-type name="Journal Article"&gt;17&lt;/ref-type&gt;&lt;contributors&gt;&lt;/contributors&gt;&lt;titles&gt;&lt;title&gt;Chinese Pharmacopoeia Commission. Pharmacopoeia of the people’s republic of China, China Medical Science Press, 2015, tr.1648-1649&lt;/title&gt;&lt;/titles&gt;&lt;dates&gt;&lt;/dates&gt;&lt;urls&gt;&lt;/urls&gt;&lt;/record&gt;&lt;/Cite&gt;&lt;/EndNote&gt;</w:instrText>
      </w:r>
      <w:r w:rsidRPr="005E6B7C">
        <w:rPr>
          <w:rFonts w:asciiTheme="majorHAnsi" w:eastAsia="Yu Mincho" w:hAnsiTheme="majorHAnsi" w:cstheme="majorHAnsi"/>
          <w:color w:val="000000" w:themeColor="text1"/>
          <w:spacing w:val="-4"/>
          <w:sz w:val="22"/>
          <w:szCs w:val="22"/>
          <w:lang w:val="vi-VN" w:eastAsia="ja-JP"/>
        </w:rPr>
        <w:fldChar w:fldCharType="separate"/>
      </w:r>
      <w:r w:rsidRPr="005E6B7C">
        <w:rPr>
          <w:rFonts w:asciiTheme="majorHAnsi" w:eastAsia="Yu Mincho" w:hAnsiTheme="majorHAnsi" w:cstheme="majorHAnsi"/>
          <w:noProof/>
          <w:color w:val="000000" w:themeColor="text1"/>
          <w:spacing w:val="-4"/>
          <w:sz w:val="22"/>
          <w:szCs w:val="22"/>
          <w:lang w:val="vi-VN" w:eastAsia="ja-JP"/>
        </w:rPr>
        <w:t>[9]</w:t>
      </w:r>
      <w:r w:rsidRPr="005E6B7C">
        <w:rPr>
          <w:rFonts w:asciiTheme="majorHAnsi" w:eastAsia="Yu Mincho" w:hAnsiTheme="majorHAnsi" w:cstheme="majorHAnsi"/>
          <w:color w:val="000000" w:themeColor="text1"/>
          <w:spacing w:val="-4"/>
          <w:sz w:val="22"/>
          <w:szCs w:val="22"/>
          <w:lang w:val="vi-VN" w:eastAsia="ja-JP"/>
        </w:rPr>
        <w:fldChar w:fldCharType="end"/>
      </w:r>
      <w:r w:rsidRPr="005E6B7C">
        <w:rPr>
          <w:rFonts w:asciiTheme="majorHAnsi" w:eastAsia="Yu Mincho" w:hAnsiTheme="majorHAnsi" w:cstheme="majorHAnsi"/>
          <w:color w:val="000000" w:themeColor="text1"/>
          <w:spacing w:val="-4"/>
          <w:sz w:val="22"/>
          <w:szCs w:val="22"/>
          <w:lang w:eastAsia="ja-JP"/>
        </w:rPr>
        <w:t>.</w:t>
      </w:r>
    </w:p>
    <w:p w14:paraId="262B0DAC"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Assay of baicalin and THSG:</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The mobile phase consisted of solvent A (acetonitrile) and solvent B (0.125% phosphoric acid in water) (20:80, v/v). The flow rate was 1 mL/min. The detection wavelengths were set at 280 nm for baicalin and 320 nm for THSG</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&lt;EndNote&gt;&lt;Cite&gt;&lt;RecNum&gt;67&lt;/RecNum&gt;&lt;DisplayText&gt;[9]&lt;/DisplayText&gt;&lt;record&gt;&lt;rec-number&gt;67&lt;/rec-number&gt;&lt;foreign-keys&gt;&lt;key app="EN" db-id="x5wwsrv9mt9rs5e22flvsff0axeds900xdz2" timestamp="1772638143"&gt;67&lt;/key&gt;&lt;/foreign-keys&gt;&lt;ref-type name="Journal Article"&gt;17&lt;/ref-type&gt;&lt;contributors&gt;&lt;/contributors&gt;&lt;titles&gt;&lt;title&gt;Chinese Pharmacopoeia Commission. Pharmacopoeia of the people’s republic of China, China Medical Science Press, 2015, tr.1648-1649&lt;/title&gt;&lt;/titles&gt;&lt;dates&gt;&lt;/dates&gt;&lt;urls&gt;&lt;/urls&gt;&lt;/record&gt;&lt;/Cite&gt;&lt;/EndNote&gt;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[9]</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eastAsia="ja-JP"/>
        </w:rPr>
        <w:t>.</w:t>
      </w:r>
    </w:p>
    <w:p w14:paraId="5CB83881"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Assay of geniposide: The mobile phase consisted of acetonitrile and water (15:85, v/v). The solvent flow rate was 1 mL/min. The detection wavelength was set at 240 nm</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&lt;EndNote&gt;&lt;Cite&gt;&lt;RecNum&gt;70&lt;/RecNum&gt;&lt;DisplayText&gt;[10]&lt;/DisplayText&gt;&lt;record&gt;&lt;rec-number&gt;70&lt;/rec-number&gt;&lt;foreign-keys&gt;&lt;key app="EN" db-id="x5wwsrv9mt9rs5e22flvsff0axeds900xdz2" timestamp="1774329942"&gt;70&lt;/key&gt;&lt;/foreign-keys&gt;&lt;ref-type name="Journal Article"&gt;17&lt;/ref-type&gt;&lt;contributors&gt;&lt;/contributors&gt;&lt;titles&gt;&lt;title&gt;Ministry of Health (Vietnam). Vietnamese Pharmacopoeia V. Hanoi: Medical Publishing House; 2017:1132-1133.&lt;/title&gt;&lt;/titles&gt;&lt;dates&gt;&lt;/dates&gt;&lt;urls&gt;&lt;/urls&gt;&lt;/record&gt;&lt;/Cite&gt;&lt;/EndNote&gt;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[10]</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eastAsia="ja-JP"/>
        </w:rPr>
        <w:t>.</w:t>
      </w:r>
    </w:p>
    <w:p w14:paraId="225C8F79"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2.4. Statistical analysis </w:t>
      </w:r>
    </w:p>
    <w:p w14:paraId="53F8C9EE" w14:textId="52A4E5C0"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eastAsia="ja-JP"/>
        </w:rPr>
        <w:t>Statistical analyses were performed using SPSS version 20.0 (IBM Corp., Armonk, NY, USA). Body weight and cerebral infarct volume were expressed as mean ± standard error of the mean (SEM), whereas neurological scores were presented as median (first quartile; third quartile).</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Body weight </w:t>
      </w:r>
      <w:r w:rsidR="00AB4AFD" w:rsidRPr="005E6B7C">
        <w:rPr>
          <w:rFonts w:asciiTheme="majorHAnsi" w:eastAsia="Yu Mincho" w:hAnsiTheme="majorHAnsi" w:cstheme="majorHAnsi"/>
          <w:color w:val="000000" w:themeColor="text1"/>
          <w:sz w:val="22"/>
          <w:szCs w:val="22"/>
          <w:lang w:eastAsia="ja-JP"/>
        </w:rPr>
        <w:t>data</w:t>
      </w:r>
      <w:r w:rsidR="00AB4AFD"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was analyzed using one-way analysis of variance (ANOVA), followed by the least significant difference (LSD) post hoc test for pairwise comparisons among groups. Infarct volume and neurological deficit scores were analy</w:t>
      </w:r>
      <w:r w:rsidRPr="005E6B7C">
        <w:rPr>
          <w:rFonts w:asciiTheme="majorHAnsi" w:eastAsia="Yu Mincho" w:hAnsiTheme="majorHAnsi" w:cstheme="majorHAnsi"/>
          <w:color w:val="000000" w:themeColor="text1"/>
          <w:sz w:val="22"/>
          <w:szCs w:val="22"/>
          <w:lang w:val="vi-VN" w:eastAsia="ja-JP"/>
        </w:rPr>
        <w:t>z</w:t>
      </w:r>
      <w:r w:rsidRPr="005E6B7C">
        <w:rPr>
          <w:rFonts w:asciiTheme="majorHAnsi" w:eastAsia="Yu Mincho" w:hAnsiTheme="majorHAnsi" w:cstheme="majorHAnsi"/>
          <w:color w:val="000000" w:themeColor="text1"/>
          <w:sz w:val="22"/>
          <w:szCs w:val="22"/>
          <w:lang w:eastAsia="ja-JP"/>
        </w:rPr>
        <w:t>ed using the Kruskal–Wallis test, followed by the Mann–Whitney U test for multiple</w:t>
      </w: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 xml:space="preserve">group </w:t>
      </w:r>
      <w:r w:rsidRPr="005E6B7C">
        <w:rPr>
          <w:rFonts w:asciiTheme="majorHAnsi" w:eastAsia="Yu Mincho" w:hAnsiTheme="majorHAnsi" w:cstheme="majorHAnsi"/>
          <w:color w:val="000000" w:themeColor="text1"/>
          <w:sz w:val="22"/>
          <w:szCs w:val="22"/>
          <w:lang w:eastAsia="ja-JP"/>
        </w:rPr>
        <w:lastRenderedPageBreak/>
        <w:t>comparisons. A p-value &lt; 0.05 was considered statistically significant.</w:t>
      </w:r>
    </w:p>
    <w:p w14:paraId="0A67996A"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 xml:space="preserve">3. Results </w:t>
      </w:r>
    </w:p>
    <w:p w14:paraId="437524D7"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
          <w:color w:val="000000" w:themeColor="text1"/>
          <w:sz w:val="22"/>
          <w:szCs w:val="22"/>
          <w:lang w:val="vi-VN" w:eastAsia="ja-JP"/>
        </w:rPr>
      </w:pPr>
      <w:r w:rsidRPr="005E6B7C">
        <w:rPr>
          <w:rFonts w:asciiTheme="majorHAnsi" w:eastAsia="Yu Mincho" w:hAnsiTheme="majorHAnsi" w:cstheme="majorHAnsi"/>
          <w:i/>
          <w:color w:val="000000" w:themeColor="text1"/>
          <w:sz w:val="22"/>
          <w:szCs w:val="22"/>
          <w:lang w:eastAsia="ja-JP"/>
        </w:rPr>
        <w:t xml:space="preserve">3.1. TGD reduced cerebral infarct volume in transient cerebral ischemic mice </w:t>
      </w:r>
    </w:p>
    <w:p w14:paraId="001321D4"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Cerebral infarct volume is a critical parameter for evaluating brain injury in the MCAO/R-induced ischemic model. Therefore, TTC staining was performed to assess infarct size following transient cerebral ischemia–reperfusion injury.</w:t>
      </w:r>
    </w:p>
    <w:p w14:paraId="79056DB2" w14:textId="77777777" w:rsidR="00BD35FA"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pacing w:val="-2"/>
          <w:sz w:val="22"/>
          <w:szCs w:val="22"/>
          <w:lang w:eastAsia="ja-JP"/>
        </w:rPr>
      </w:pPr>
      <w:r w:rsidRPr="005E6B7C">
        <w:rPr>
          <w:rFonts w:asciiTheme="majorHAnsi" w:eastAsia="Yu Mincho" w:hAnsiTheme="majorHAnsi" w:cstheme="majorHAnsi"/>
          <w:iCs/>
          <w:color w:val="000000" w:themeColor="text1"/>
          <w:spacing w:val="-2"/>
          <w:sz w:val="22"/>
          <w:szCs w:val="22"/>
          <w:lang w:val="vi-VN" w:eastAsia="ja-JP"/>
        </w:rPr>
        <w:t xml:space="preserve">As shown in </w:t>
      </w:r>
      <w:r w:rsidR="00517F81" w:rsidRPr="005E6B7C">
        <w:rPr>
          <w:rFonts w:asciiTheme="majorHAnsi" w:eastAsia="Yu Mincho" w:hAnsiTheme="majorHAnsi" w:cstheme="majorHAnsi"/>
          <w:iCs/>
          <w:color w:val="000000" w:themeColor="text1"/>
          <w:spacing w:val="-2"/>
          <w:sz w:val="22"/>
          <w:szCs w:val="22"/>
          <w:lang w:val="vi-VN" w:eastAsia="ja-JP"/>
        </w:rPr>
        <w:t xml:space="preserve">Fig. </w:t>
      </w:r>
      <w:r w:rsidRPr="005E6B7C">
        <w:rPr>
          <w:rFonts w:asciiTheme="majorHAnsi" w:eastAsia="Yu Mincho" w:hAnsiTheme="majorHAnsi" w:cstheme="majorHAnsi"/>
          <w:iCs/>
          <w:color w:val="000000" w:themeColor="text1"/>
          <w:spacing w:val="-2"/>
          <w:sz w:val="22"/>
          <w:szCs w:val="22"/>
          <w:lang w:val="vi-VN" w:eastAsia="ja-JP"/>
        </w:rPr>
        <w:t xml:space="preserve">2, three days after MCAO, mice in the model group exhibited cerebral infarction involving approximately 30% of the left hemispheric volume. Treatment with edaravone (6 mg/kg/day, i.v.), used as a reference drug, </w:t>
      </w:r>
      <w:r w:rsidRPr="005E6B7C">
        <w:rPr>
          <w:rFonts w:asciiTheme="majorHAnsi" w:eastAsia="Yu Mincho" w:hAnsiTheme="majorHAnsi" w:cstheme="majorHAnsi"/>
          <w:iCs/>
          <w:color w:val="000000" w:themeColor="text1"/>
          <w:spacing w:val="-2"/>
          <w:sz w:val="22"/>
          <w:szCs w:val="22"/>
          <w:lang w:val="vi-VN" w:eastAsia="ja-JP"/>
        </w:rPr>
        <w:t>significantly reduced cerebral infarct size compared to the vehicle-treated MCAO/R mice (p &lt; 0.01). Treatment with TGD at 6.8 g/kg reduced infarct volume to approximately 12% of the left hemisphere. This reduction was statistically significant compared with the vehicle-treated MCAO/R group (p &lt; 0.01). TGD at 13.7 g/kg markedly decreased infarct volume to below 10% of the left hemisphere (p &lt; 0.001), representing the greatest reduction among the treatment groups. In contrast, treatment with TGD at 27.4 g/kg did not significantly affect infarct volume, as no statistically significant difference was observed compared with the model group (p &gt; 0.05).</w:t>
      </w:r>
    </w:p>
    <w:p w14:paraId="604E41E5"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eastAsia="ja-JP"/>
        </w:rPr>
        <w:sectPr w:rsidR="00BD35FA" w:rsidRPr="005E6B7C" w:rsidSect="00BD35FA">
          <w:type w:val="continuous"/>
          <w:pgSz w:w="10773" w:h="15309" w:code="9"/>
          <w:pgMar w:top="907" w:right="851" w:bottom="1418" w:left="851" w:header="397" w:footer="851" w:gutter="0"/>
          <w:cols w:num="2" w:space="284"/>
          <w:docGrid w:linePitch="360"/>
        </w:sectPr>
      </w:pPr>
    </w:p>
    <w:p w14:paraId="3542DBF6" w14:textId="77777777" w:rsidR="00991AEC" w:rsidRPr="005E6B7C" w:rsidRDefault="00991AEC"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eastAsia="ja-JP"/>
        </w:rPr>
      </w:pPr>
    </w:p>
    <w:p w14:paraId="60FD4A2D" w14:textId="77777777" w:rsidR="00E049CB" w:rsidRPr="005E6B7C" w:rsidRDefault="00E049CB" w:rsidP="008C0D47">
      <w:pPr>
        <w:tabs>
          <w:tab w:val="left" w:pos="270"/>
          <w:tab w:val="left" w:pos="2127"/>
        </w:tabs>
        <w:ind w:right="-20"/>
        <w:jc w:val="center"/>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noProof/>
          <w:color w:val="000000" w:themeColor="text1"/>
          <w:sz w:val="22"/>
          <w:szCs w:val="22"/>
        </w:rPr>
        <w:drawing>
          <wp:inline distT="0" distB="0" distL="0" distR="0" wp14:anchorId="55978C4E" wp14:editId="31EE7FA7">
            <wp:extent cx="5184476" cy="2189922"/>
            <wp:effectExtent l="0" t="0" r="0" b="1270"/>
            <wp:docPr id="451580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BEBA8EAE-BF5A-486C-A8C5-ECC9F3942E4B}">
                          <a14:imgProps xmlns:a14="http://schemas.microsoft.com/office/drawing/2010/main">
                            <a14:imgLayer r:embed="rId1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83542" cy="2189528"/>
                    </a:xfrm>
                    <a:prstGeom prst="rect">
                      <a:avLst/>
                    </a:prstGeom>
                    <a:noFill/>
                    <a:ln>
                      <a:noFill/>
                    </a:ln>
                  </pic:spPr>
                </pic:pic>
              </a:graphicData>
            </a:graphic>
          </wp:inline>
        </w:drawing>
      </w:r>
    </w:p>
    <w:p w14:paraId="70138A12" w14:textId="54D4896D" w:rsidR="00E049CB" w:rsidRPr="005E6B7C" w:rsidRDefault="00517F81" w:rsidP="008C0D47">
      <w:pPr>
        <w:tabs>
          <w:tab w:val="left" w:pos="270"/>
          <w:tab w:val="left" w:pos="2127"/>
        </w:tabs>
        <w:ind w:right="-20"/>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iCs/>
          <w:color w:val="000000" w:themeColor="text1"/>
          <w:sz w:val="18"/>
          <w:szCs w:val="18"/>
          <w:lang w:val="vi-VN" w:eastAsia="ja-JP"/>
        </w:rPr>
        <w:t xml:space="preserve">Fig. </w:t>
      </w:r>
      <w:r w:rsidR="00E049CB" w:rsidRPr="005E6B7C">
        <w:rPr>
          <w:rFonts w:asciiTheme="majorHAnsi" w:eastAsia="Yu Mincho" w:hAnsiTheme="majorHAnsi" w:cstheme="majorHAnsi"/>
          <w:b/>
          <w:bCs/>
          <w:iCs/>
          <w:color w:val="000000" w:themeColor="text1"/>
          <w:sz w:val="18"/>
          <w:szCs w:val="18"/>
          <w:lang w:val="vi-VN" w:eastAsia="ja-JP"/>
        </w:rPr>
        <w:t xml:space="preserve">2. </w:t>
      </w:r>
      <w:r w:rsidR="00E049CB" w:rsidRPr="005E6B7C">
        <w:rPr>
          <w:rFonts w:asciiTheme="majorHAnsi" w:eastAsia="Yu Mincho" w:hAnsiTheme="majorHAnsi" w:cstheme="majorHAnsi"/>
          <w:iCs/>
          <w:color w:val="000000" w:themeColor="text1"/>
          <w:sz w:val="18"/>
          <w:szCs w:val="18"/>
          <w:lang w:val="vi-VN" w:eastAsia="ja-JP"/>
        </w:rPr>
        <w:t>Effects of TGD on the infarct volume of MCAO/R mice</w:t>
      </w:r>
    </w:p>
    <w:p w14:paraId="38A4B9B1" w14:textId="77777777" w:rsidR="00E049CB" w:rsidRPr="005E6B7C" w:rsidRDefault="00E049CB" w:rsidP="008C0D47">
      <w:pPr>
        <w:tabs>
          <w:tab w:val="left" w:pos="270"/>
          <w:tab w:val="left" w:pos="2127"/>
        </w:tabs>
        <w:ind w:right="-20"/>
        <w:jc w:val="center"/>
        <w:rPr>
          <w:rFonts w:asciiTheme="majorHAnsi" w:eastAsia="Yu Mincho" w:hAnsiTheme="majorHAnsi" w:cstheme="majorHAnsi"/>
          <w:iCs/>
          <w:color w:val="000000" w:themeColor="text1"/>
          <w:sz w:val="18"/>
          <w:szCs w:val="18"/>
          <w:lang w:val="vi-VN" w:eastAsia="ja-JP"/>
        </w:rPr>
      </w:pPr>
      <w:r w:rsidRPr="005E6B7C">
        <w:rPr>
          <w:rFonts w:asciiTheme="majorHAnsi" w:eastAsia="Yu Mincho" w:hAnsiTheme="majorHAnsi" w:cstheme="majorHAnsi"/>
          <w:iCs/>
          <w:color w:val="000000" w:themeColor="text1"/>
          <w:sz w:val="18"/>
          <w:szCs w:val="18"/>
          <w:lang w:val="vi-VN" w:eastAsia="ja-JP"/>
        </w:rPr>
        <w:t>(A) Representative brain images using TTC staining. (B) Quantitative analysis of infarct volume (%) in the mouse brain. Mouse brain tissue was collected 72 h after MCAO/R. Data were expressed as the mean ± S.E.M. (n=7-8). **p&lt;0.01, ***p&lt;0.001 compared to vehicle-treated MCAO/R mice (One-way-ANOVA followed by post hoc LSD test).</w:t>
      </w:r>
    </w:p>
    <w:p w14:paraId="22749D89" w14:textId="77777777" w:rsidR="004C259C" w:rsidRPr="005E6B7C" w:rsidRDefault="004C259C" w:rsidP="008C0D47">
      <w:pPr>
        <w:tabs>
          <w:tab w:val="left" w:pos="270"/>
          <w:tab w:val="left" w:pos="2127"/>
        </w:tabs>
        <w:ind w:right="-20"/>
        <w:jc w:val="both"/>
        <w:rPr>
          <w:rFonts w:asciiTheme="majorHAnsi" w:eastAsia="Yu Mincho" w:hAnsiTheme="majorHAnsi" w:cstheme="majorHAnsi"/>
          <w:i/>
          <w:color w:val="000000" w:themeColor="text1"/>
          <w:sz w:val="22"/>
          <w:szCs w:val="22"/>
          <w:lang w:eastAsia="ja-JP"/>
        </w:rPr>
      </w:pPr>
    </w:p>
    <w:p w14:paraId="6ECC4943" w14:textId="77777777" w:rsidR="00BD35FA" w:rsidRPr="005E6B7C" w:rsidRDefault="00BD35FA" w:rsidP="008C0D47">
      <w:pPr>
        <w:tabs>
          <w:tab w:val="left" w:pos="270"/>
          <w:tab w:val="left" w:pos="2127"/>
        </w:tabs>
        <w:ind w:firstLine="284"/>
        <w:jc w:val="both"/>
        <w:rPr>
          <w:rFonts w:asciiTheme="majorHAnsi" w:eastAsia="Yu Mincho" w:hAnsiTheme="majorHAnsi" w:cstheme="majorHAnsi"/>
          <w:i/>
          <w:color w:val="000000" w:themeColor="text1"/>
          <w:sz w:val="22"/>
          <w:szCs w:val="22"/>
          <w:lang w:eastAsia="ja-JP"/>
        </w:rPr>
        <w:sectPr w:rsidR="00BD35FA" w:rsidRPr="005E6B7C" w:rsidSect="002206BB">
          <w:type w:val="continuous"/>
          <w:pgSz w:w="10773" w:h="15309" w:code="9"/>
          <w:pgMar w:top="907" w:right="851" w:bottom="1418" w:left="851" w:header="397" w:footer="851" w:gutter="0"/>
          <w:cols w:space="284"/>
          <w:docGrid w:linePitch="360"/>
        </w:sectPr>
      </w:pPr>
    </w:p>
    <w:p w14:paraId="2E238DE5" w14:textId="77777777" w:rsidR="00E049CB" w:rsidRPr="005E6B7C" w:rsidRDefault="00E049CB" w:rsidP="008C0D47">
      <w:pPr>
        <w:tabs>
          <w:tab w:val="left" w:pos="270"/>
          <w:tab w:val="left" w:pos="2127"/>
        </w:tabs>
        <w:ind w:firstLine="284"/>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 xml:space="preserve">3.2. </w:t>
      </w:r>
      <w:r w:rsidRPr="005E6B7C">
        <w:rPr>
          <w:rFonts w:asciiTheme="majorHAnsi" w:eastAsia="Yu Mincho" w:hAnsiTheme="majorHAnsi" w:cstheme="majorHAnsi"/>
          <w:i/>
          <w:color w:val="000000" w:themeColor="text1"/>
          <w:sz w:val="22"/>
          <w:szCs w:val="22"/>
          <w:lang w:val="vi-VN" w:eastAsia="ja-JP"/>
        </w:rPr>
        <w:t>TGD attenuated the body weight loss and neurological symptoms in MCAO/R-induced ischemic mice</w:t>
      </w:r>
    </w:p>
    <w:p w14:paraId="25075C17" w14:textId="77777777" w:rsidR="00E049CB" w:rsidRPr="005E6B7C" w:rsidRDefault="00E049CB" w:rsidP="008C0D47">
      <w:pPr>
        <w:tabs>
          <w:tab w:val="left" w:pos="270"/>
          <w:tab w:val="left" w:pos="2127"/>
        </w:tabs>
        <w:spacing w:before="120" w:after="60"/>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noProof/>
          <w:color w:val="000000" w:themeColor="text1"/>
          <w:sz w:val="22"/>
          <w:szCs w:val="22"/>
        </w:rPr>
        <w:drawing>
          <wp:inline distT="0" distB="0" distL="0" distR="0" wp14:anchorId="25A3F20D" wp14:editId="1D89A209">
            <wp:extent cx="2790967" cy="1586097"/>
            <wp:effectExtent l="0" t="0" r="0" b="0"/>
            <wp:docPr id="2088536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97575" cy="1589852"/>
                    </a:xfrm>
                    <a:prstGeom prst="rect">
                      <a:avLst/>
                    </a:prstGeom>
                    <a:noFill/>
                    <a:ln>
                      <a:noFill/>
                    </a:ln>
                  </pic:spPr>
                </pic:pic>
              </a:graphicData>
            </a:graphic>
          </wp:inline>
        </w:drawing>
      </w:r>
    </w:p>
    <w:p w14:paraId="2664A64A" w14:textId="77777777" w:rsidR="00E049CB" w:rsidRPr="005E6B7C" w:rsidRDefault="00517F81" w:rsidP="008C0D47">
      <w:pPr>
        <w:tabs>
          <w:tab w:val="left" w:pos="270"/>
          <w:tab w:val="left" w:pos="2127"/>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 xml:space="preserve">3. </w:t>
      </w:r>
      <w:r w:rsidR="00E049CB" w:rsidRPr="005E6B7C">
        <w:rPr>
          <w:rFonts w:asciiTheme="majorHAnsi" w:eastAsia="Yu Mincho" w:hAnsiTheme="majorHAnsi" w:cstheme="majorHAnsi"/>
          <w:color w:val="000000" w:themeColor="text1"/>
          <w:sz w:val="18"/>
          <w:szCs w:val="18"/>
          <w:lang w:val="vi-VN" w:eastAsia="ja-JP"/>
        </w:rPr>
        <w:t>Effects of TGD on the body weight of mice following cerebral ischemia.</w:t>
      </w:r>
    </w:p>
    <w:p w14:paraId="7E4C26BE"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Data were expressed as the mean ± S.E.M. (n=7-8). *p&lt;0.05, **p&lt;0.01 compared to vehicle-treated MCAO/R mice (</w:t>
      </w:r>
      <w:r w:rsidRPr="005E6B7C">
        <w:rPr>
          <w:rFonts w:asciiTheme="majorHAnsi" w:eastAsia="Yu Mincho" w:hAnsiTheme="majorHAnsi" w:cstheme="majorHAnsi"/>
          <w:iCs/>
          <w:color w:val="000000" w:themeColor="text1"/>
          <w:sz w:val="22"/>
          <w:szCs w:val="22"/>
          <w:lang w:val="vi-VN" w:eastAsia="ja-JP"/>
        </w:rPr>
        <w:t xml:space="preserve">One-way-ANOVA </w:t>
      </w:r>
      <w:r w:rsidRPr="005E6B7C">
        <w:rPr>
          <w:rFonts w:asciiTheme="majorHAnsi" w:eastAsia="Yu Mincho" w:hAnsiTheme="majorHAnsi" w:cstheme="majorHAnsi"/>
          <w:iCs/>
          <w:color w:val="000000" w:themeColor="text1"/>
          <w:sz w:val="22"/>
          <w:szCs w:val="22"/>
          <w:lang w:val="vi-VN" w:eastAsia="ja-JP"/>
        </w:rPr>
        <w:t>followed by post hoc LSD test</w:t>
      </w:r>
      <w:r w:rsidRPr="005E6B7C">
        <w:rPr>
          <w:rFonts w:asciiTheme="majorHAnsi" w:eastAsia="Yu Mincho" w:hAnsiTheme="majorHAnsi" w:cstheme="majorHAnsi"/>
          <w:color w:val="000000" w:themeColor="text1"/>
          <w:sz w:val="22"/>
          <w:szCs w:val="22"/>
          <w:lang w:val="vi-VN" w:eastAsia="ja-JP"/>
        </w:rPr>
        <w:t>).</w:t>
      </w:r>
    </w:p>
    <w:p w14:paraId="4A773A43" w14:textId="77777777" w:rsidR="00BD35FA"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z w:val="22"/>
          <w:szCs w:val="22"/>
          <w:lang w:eastAsia="ja-JP"/>
        </w:rPr>
        <w:t xml:space="preserve">As shown in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val="vi-VN" w:eastAsia="ja-JP"/>
        </w:rPr>
        <w:t>3</w:t>
      </w:r>
      <w:r w:rsidRPr="005E6B7C">
        <w:rPr>
          <w:rFonts w:asciiTheme="majorHAnsi" w:eastAsia="Yu Mincho" w:hAnsiTheme="majorHAnsi" w:cstheme="majorHAnsi"/>
          <w:color w:val="000000" w:themeColor="text1"/>
          <w:sz w:val="22"/>
          <w:szCs w:val="22"/>
          <w:lang w:eastAsia="ja-JP"/>
        </w:rPr>
        <w:t>, mice in the vehicle-treated MCAO/R group exhibited a progressive decrease in body weight over time. Treatment with edaravone attenuated body weight loss, with a slight increase observed on day 3 compared with the vehicle-treated MCAO/R group, and the difference was statistically significant (p &lt; 0.01).</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Treatment with TGD at 6.8 g/kg improved body weight on day 1, and this change was statistically significant compared with the vehicle-treated MCAO/R group. However, no significant differences were observed on days 2 and 3 (p &gt; </w:t>
      </w:r>
      <w:r w:rsidRPr="005E6B7C">
        <w:rPr>
          <w:rFonts w:asciiTheme="majorHAnsi" w:eastAsia="Yu Mincho" w:hAnsiTheme="majorHAnsi" w:cstheme="majorHAnsi"/>
          <w:color w:val="000000" w:themeColor="text1"/>
          <w:spacing w:val="-4"/>
          <w:sz w:val="22"/>
          <w:szCs w:val="22"/>
          <w:lang w:eastAsia="ja-JP"/>
        </w:rPr>
        <w:t>0.05).</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Treatment with TGD at 13.7 g/kg resulted in significant improvement in body weight compared with the vehicle-treated MCAO/R group on days 1–3 (p &lt; 0.05).</w:t>
      </w:r>
      <w:r w:rsidRPr="005E6B7C">
        <w:rPr>
          <w:rFonts w:asciiTheme="majorHAnsi" w:eastAsia="Yu Mincho" w:hAnsiTheme="majorHAnsi" w:cstheme="majorHAnsi"/>
          <w:color w:val="000000" w:themeColor="text1"/>
          <w:spacing w:val="-4"/>
          <w:sz w:val="22"/>
          <w:szCs w:val="22"/>
          <w:lang w:val="vi-VN" w:eastAsia="ja-JP"/>
        </w:rPr>
        <w:t xml:space="preserve"> </w:t>
      </w:r>
      <w:r w:rsidRPr="005E6B7C">
        <w:rPr>
          <w:rFonts w:asciiTheme="majorHAnsi" w:eastAsia="Yu Mincho" w:hAnsiTheme="majorHAnsi" w:cstheme="majorHAnsi"/>
          <w:color w:val="000000" w:themeColor="text1"/>
          <w:spacing w:val="-4"/>
          <w:sz w:val="22"/>
          <w:szCs w:val="22"/>
          <w:lang w:eastAsia="ja-JP"/>
        </w:rPr>
        <w:t xml:space="preserve">In contrast, treatment with TGD at 27.4 g/kg did not significantly affect body weight, as no statistically significant differences were observed </w:t>
      </w:r>
      <w:r w:rsidRPr="005E6B7C">
        <w:rPr>
          <w:rFonts w:asciiTheme="majorHAnsi" w:eastAsia="Yu Mincho" w:hAnsiTheme="majorHAnsi" w:cstheme="majorHAnsi"/>
          <w:color w:val="000000" w:themeColor="text1"/>
          <w:spacing w:val="-4"/>
          <w:sz w:val="22"/>
          <w:szCs w:val="22"/>
          <w:lang w:eastAsia="ja-JP"/>
        </w:rPr>
        <w:lastRenderedPageBreak/>
        <w:t xml:space="preserve">compared with the vehicle-treated MCAO/R group </w:t>
      </w:r>
      <w:r w:rsidRPr="005E6B7C">
        <w:rPr>
          <w:rFonts w:asciiTheme="majorHAnsi" w:eastAsia="Yu Mincho" w:hAnsiTheme="majorHAnsi" w:cstheme="majorHAnsi"/>
          <w:color w:val="000000" w:themeColor="text1"/>
          <w:spacing w:val="-4"/>
          <w:sz w:val="22"/>
          <w:szCs w:val="22"/>
          <w:lang w:eastAsia="ja-JP"/>
        </w:rPr>
        <w:t>(p &gt; 0.05).</w:t>
      </w:r>
    </w:p>
    <w:p w14:paraId="5B030444"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4"/>
          <w:sz w:val="22"/>
          <w:szCs w:val="22"/>
          <w:lang w:eastAsia="ja-JP"/>
        </w:rPr>
        <w:sectPr w:rsidR="00BD35FA" w:rsidRPr="005E6B7C" w:rsidSect="00BD35FA">
          <w:type w:val="continuous"/>
          <w:pgSz w:w="10773" w:h="15309" w:code="9"/>
          <w:pgMar w:top="907" w:right="851" w:bottom="1418" w:left="851" w:header="397" w:footer="851" w:gutter="0"/>
          <w:cols w:num="2" w:space="284"/>
          <w:docGrid w:linePitch="360"/>
        </w:sectPr>
      </w:pPr>
    </w:p>
    <w:p w14:paraId="1DC77C12" w14:textId="77777777" w:rsidR="00E049CB" w:rsidRPr="005E6B7C" w:rsidRDefault="00E049CB" w:rsidP="008C0D47">
      <w:pPr>
        <w:tabs>
          <w:tab w:val="left" w:pos="270"/>
          <w:tab w:val="left" w:pos="2127"/>
        </w:tabs>
        <w:spacing w:before="120" w:after="120"/>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en-GB" w:eastAsia="ja-JP"/>
        </w:rPr>
        <w:t xml:space="preserve">Table </w:t>
      </w:r>
      <w:r w:rsidRPr="005E6B7C">
        <w:rPr>
          <w:rFonts w:asciiTheme="majorHAnsi" w:eastAsia="Yu Mincho" w:hAnsiTheme="majorHAnsi" w:cstheme="majorHAnsi"/>
          <w:b/>
          <w:bCs/>
          <w:color w:val="000000" w:themeColor="text1"/>
          <w:sz w:val="18"/>
          <w:szCs w:val="18"/>
          <w:lang w:val="vi-VN" w:eastAsia="ja-JP"/>
        </w:rPr>
        <w:t>2</w:t>
      </w:r>
      <w:r w:rsidRPr="005E6B7C">
        <w:rPr>
          <w:rFonts w:asciiTheme="majorHAnsi" w:eastAsia="Yu Mincho" w:hAnsiTheme="majorHAnsi" w:cstheme="majorHAnsi"/>
          <w:b/>
          <w:bCs/>
          <w:color w:val="000000" w:themeColor="text1"/>
          <w:sz w:val="18"/>
          <w:szCs w:val="18"/>
          <w:lang w:val="en-GB" w:eastAsia="ja-JP"/>
        </w:rPr>
        <w:t xml:space="preserve">. </w:t>
      </w:r>
      <w:r w:rsidRPr="005E6B7C">
        <w:rPr>
          <w:rFonts w:asciiTheme="majorHAnsi" w:eastAsia="Yu Mincho" w:hAnsiTheme="majorHAnsi" w:cstheme="majorHAnsi"/>
          <w:color w:val="000000" w:themeColor="text1"/>
          <w:sz w:val="18"/>
          <w:szCs w:val="18"/>
          <w:lang w:val="en-GB" w:eastAsia="ja-JP"/>
        </w:rPr>
        <w:t>Effects of TGD on neurological symptom</w:t>
      </w:r>
      <w:r w:rsidRPr="005E6B7C">
        <w:rPr>
          <w:rFonts w:asciiTheme="majorHAnsi" w:eastAsia="Yu Mincho" w:hAnsiTheme="majorHAnsi" w:cstheme="majorHAnsi"/>
          <w:color w:val="000000" w:themeColor="text1"/>
          <w:sz w:val="18"/>
          <w:szCs w:val="18"/>
          <w:lang w:eastAsia="ja-JP"/>
        </w:rPr>
        <w:t xml:space="preserve"> scores</w:t>
      </w:r>
      <w:r w:rsidRPr="005E6B7C">
        <w:rPr>
          <w:rFonts w:asciiTheme="majorHAnsi" w:eastAsia="Yu Mincho" w:hAnsiTheme="majorHAnsi" w:cstheme="majorHAnsi"/>
          <w:color w:val="000000" w:themeColor="text1"/>
          <w:sz w:val="18"/>
          <w:szCs w:val="18"/>
          <w:lang w:val="en-GB" w:eastAsia="ja-JP"/>
        </w:rPr>
        <w:t xml:space="preserve"> in</w:t>
      </w:r>
      <w:r w:rsidRPr="005E6B7C">
        <w:rPr>
          <w:rFonts w:asciiTheme="majorHAnsi" w:eastAsia="Yu Mincho" w:hAnsiTheme="majorHAnsi" w:cstheme="majorHAnsi"/>
          <w:color w:val="000000" w:themeColor="text1"/>
          <w:sz w:val="18"/>
          <w:szCs w:val="18"/>
          <w:lang w:eastAsia="ja-JP"/>
        </w:rPr>
        <w:t xml:space="preserve"> m</w:t>
      </w:r>
      <w:r w:rsidRPr="005E6B7C">
        <w:rPr>
          <w:rFonts w:asciiTheme="majorHAnsi" w:eastAsia="Yu Mincho" w:hAnsiTheme="majorHAnsi" w:cstheme="majorHAnsi"/>
          <w:color w:val="000000" w:themeColor="text1"/>
          <w:sz w:val="18"/>
          <w:szCs w:val="18"/>
          <w:lang w:val="en-GB" w:eastAsia="ja-JP"/>
        </w:rPr>
        <w:t>iddle cerebral artery occlusion-and-reperfusion</w:t>
      </w:r>
      <w:r w:rsidR="00BD35FA" w:rsidRPr="005E6B7C">
        <w:rPr>
          <w:rFonts w:asciiTheme="majorHAnsi" w:eastAsia="Yu Mincho" w:hAnsiTheme="majorHAnsi" w:cstheme="majorHAnsi"/>
          <w:color w:val="000000" w:themeColor="text1"/>
          <w:sz w:val="18"/>
          <w:szCs w:val="18"/>
          <w:lang w:val="en-GB" w:eastAsia="ja-JP"/>
        </w:rPr>
        <w:br/>
      </w:r>
      <w:r w:rsidRPr="005E6B7C">
        <w:rPr>
          <w:rFonts w:asciiTheme="majorHAnsi" w:eastAsia="Yu Mincho" w:hAnsiTheme="majorHAnsi" w:cstheme="majorHAnsi"/>
          <w:color w:val="000000" w:themeColor="text1"/>
          <w:sz w:val="18"/>
          <w:szCs w:val="18"/>
          <w:lang w:val="en-GB" w:eastAsia="ja-JP"/>
        </w:rPr>
        <w:t xml:space="preserve"> </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color w:val="000000" w:themeColor="text1"/>
          <w:sz w:val="18"/>
          <w:szCs w:val="18"/>
          <w:lang w:val="en-GB" w:eastAsia="ja-JP"/>
        </w:rPr>
        <w:t>MCAO</w:t>
      </w:r>
      <w:r w:rsidRPr="005E6B7C">
        <w:rPr>
          <w:rFonts w:asciiTheme="majorHAnsi" w:eastAsia="Yu Mincho" w:hAnsiTheme="majorHAnsi" w:cstheme="majorHAnsi"/>
          <w:color w:val="000000" w:themeColor="text1"/>
          <w:sz w:val="18"/>
          <w:szCs w:val="18"/>
          <w:lang w:eastAsia="ja-JP"/>
        </w:rPr>
        <w:t>/R)-</w:t>
      </w:r>
      <w:r w:rsidRPr="005E6B7C">
        <w:rPr>
          <w:rFonts w:asciiTheme="majorHAnsi" w:eastAsia="Yu Mincho" w:hAnsiTheme="majorHAnsi" w:cstheme="majorHAnsi"/>
          <w:color w:val="000000" w:themeColor="text1"/>
          <w:sz w:val="18"/>
          <w:szCs w:val="18"/>
          <w:lang w:val="en-GB" w:eastAsia="ja-JP"/>
        </w:rPr>
        <w:t>induced cerebral ische</w:t>
      </w:r>
      <w:r w:rsidR="00991AEC" w:rsidRPr="005E6B7C">
        <w:rPr>
          <w:rFonts w:asciiTheme="majorHAnsi" w:eastAsia="Yu Mincho" w:hAnsiTheme="majorHAnsi" w:cstheme="majorHAnsi"/>
          <w:color w:val="000000" w:themeColor="text1"/>
          <w:sz w:val="18"/>
          <w:szCs w:val="18"/>
          <w:lang w:val="en-GB" w:eastAsia="ja-JP"/>
        </w:rPr>
        <w:t>mic mice</w:t>
      </w:r>
    </w:p>
    <w:tbl>
      <w:tblPr>
        <w:tblW w:w="9072"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4A0" w:firstRow="1" w:lastRow="0" w:firstColumn="1" w:lastColumn="0" w:noHBand="0" w:noVBand="1"/>
      </w:tblPr>
      <w:tblGrid>
        <w:gridCol w:w="1281"/>
        <w:gridCol w:w="1851"/>
        <w:gridCol w:w="1417"/>
        <w:gridCol w:w="1408"/>
        <w:gridCol w:w="1426"/>
        <w:gridCol w:w="1689"/>
      </w:tblGrid>
      <w:tr w:rsidR="00E049CB" w:rsidRPr="005E6B7C" w14:paraId="68458FC6" w14:textId="77777777" w:rsidTr="004C259C">
        <w:trPr>
          <w:jc w:val="center"/>
        </w:trPr>
        <w:tc>
          <w:tcPr>
            <w:tcW w:w="706" w:type="pct"/>
            <w:vMerge w:val="restart"/>
            <w:tcMar>
              <w:top w:w="15" w:type="dxa"/>
              <w:left w:w="108" w:type="dxa"/>
              <w:bottom w:w="0" w:type="dxa"/>
              <w:right w:w="108" w:type="dxa"/>
            </w:tcMar>
            <w:vAlign w:val="center"/>
            <w:hideMark/>
          </w:tcPr>
          <w:p w14:paraId="08EF9070"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Operation</w:t>
            </w:r>
          </w:p>
        </w:tc>
        <w:tc>
          <w:tcPr>
            <w:tcW w:w="1020" w:type="pct"/>
            <w:vMerge w:val="restart"/>
            <w:tcMar>
              <w:top w:w="15" w:type="dxa"/>
              <w:left w:w="108" w:type="dxa"/>
              <w:bottom w:w="0" w:type="dxa"/>
              <w:right w:w="108" w:type="dxa"/>
            </w:tcMar>
            <w:vAlign w:val="center"/>
            <w:hideMark/>
          </w:tcPr>
          <w:p w14:paraId="6984E09E"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Treatment</w:t>
            </w:r>
          </w:p>
          <w:p w14:paraId="29A9F5A0"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(mg/kg/day)</w:t>
            </w:r>
          </w:p>
        </w:tc>
        <w:tc>
          <w:tcPr>
            <w:tcW w:w="3274" w:type="pct"/>
            <w:gridSpan w:val="4"/>
            <w:tcMar>
              <w:top w:w="15" w:type="dxa"/>
              <w:left w:w="108" w:type="dxa"/>
              <w:bottom w:w="0" w:type="dxa"/>
              <w:right w:w="108" w:type="dxa"/>
            </w:tcMar>
            <w:vAlign w:val="center"/>
            <w:hideMark/>
          </w:tcPr>
          <w:p w14:paraId="7840C800"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Neurological symptom scores after the operation</w:t>
            </w:r>
          </w:p>
        </w:tc>
      </w:tr>
      <w:tr w:rsidR="00E049CB" w:rsidRPr="005E6B7C" w14:paraId="39AD90E5" w14:textId="77777777" w:rsidTr="005E65C5">
        <w:trPr>
          <w:jc w:val="center"/>
        </w:trPr>
        <w:tc>
          <w:tcPr>
            <w:tcW w:w="706" w:type="pct"/>
            <w:vMerge/>
            <w:vAlign w:val="center"/>
            <w:hideMark/>
          </w:tcPr>
          <w:p w14:paraId="4FA98ECC"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p>
        </w:tc>
        <w:tc>
          <w:tcPr>
            <w:tcW w:w="1020" w:type="pct"/>
            <w:vMerge/>
            <w:vAlign w:val="center"/>
            <w:hideMark/>
          </w:tcPr>
          <w:p w14:paraId="36D80938" w14:textId="77777777" w:rsidR="00E049CB" w:rsidRPr="005E6B7C" w:rsidRDefault="00E049CB" w:rsidP="008C0D47">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p>
        </w:tc>
        <w:tc>
          <w:tcPr>
            <w:tcW w:w="781" w:type="pct"/>
            <w:tcMar>
              <w:top w:w="15" w:type="dxa"/>
              <w:left w:w="108" w:type="dxa"/>
              <w:bottom w:w="0" w:type="dxa"/>
              <w:right w:w="108" w:type="dxa"/>
            </w:tcMar>
            <w:vAlign w:val="center"/>
            <w:hideMark/>
          </w:tcPr>
          <w:p w14:paraId="18E66C68"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en-GB" w:eastAsia="ja-JP"/>
              </w:rPr>
              <w:t>0 hr after reperfusion</w:t>
            </w:r>
          </w:p>
        </w:tc>
        <w:tc>
          <w:tcPr>
            <w:tcW w:w="776" w:type="pct"/>
            <w:tcMar>
              <w:top w:w="15" w:type="dxa"/>
              <w:left w:w="108" w:type="dxa"/>
              <w:bottom w:w="0" w:type="dxa"/>
              <w:right w:w="108" w:type="dxa"/>
            </w:tcMar>
            <w:vAlign w:val="center"/>
            <w:hideMark/>
          </w:tcPr>
          <w:p w14:paraId="5AD99B0F"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Day 1</w:t>
            </w:r>
          </w:p>
        </w:tc>
        <w:tc>
          <w:tcPr>
            <w:tcW w:w="786" w:type="pct"/>
            <w:tcMar>
              <w:top w:w="15" w:type="dxa"/>
              <w:left w:w="108" w:type="dxa"/>
              <w:bottom w:w="0" w:type="dxa"/>
              <w:right w:w="108" w:type="dxa"/>
            </w:tcMar>
            <w:vAlign w:val="center"/>
            <w:hideMark/>
          </w:tcPr>
          <w:p w14:paraId="691E8103"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Day 2</w:t>
            </w:r>
          </w:p>
        </w:tc>
        <w:tc>
          <w:tcPr>
            <w:tcW w:w="931" w:type="pct"/>
            <w:tcMar>
              <w:top w:w="15" w:type="dxa"/>
              <w:left w:w="108" w:type="dxa"/>
              <w:bottom w:w="0" w:type="dxa"/>
              <w:right w:w="108" w:type="dxa"/>
            </w:tcMar>
            <w:vAlign w:val="center"/>
            <w:hideMark/>
          </w:tcPr>
          <w:p w14:paraId="524845E0"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Day 3</w:t>
            </w:r>
          </w:p>
        </w:tc>
      </w:tr>
      <w:tr w:rsidR="00E049CB" w:rsidRPr="005E6B7C" w14:paraId="795C1DDC" w14:textId="77777777" w:rsidTr="005E65C5">
        <w:trPr>
          <w:jc w:val="center"/>
        </w:trPr>
        <w:tc>
          <w:tcPr>
            <w:tcW w:w="706" w:type="pct"/>
            <w:vMerge w:val="restart"/>
            <w:tcMar>
              <w:top w:w="15" w:type="dxa"/>
              <w:left w:w="108" w:type="dxa"/>
              <w:bottom w:w="0" w:type="dxa"/>
              <w:right w:w="108" w:type="dxa"/>
            </w:tcMar>
            <w:vAlign w:val="center"/>
            <w:hideMark/>
          </w:tcPr>
          <w:p w14:paraId="529C77F5"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MCAO/R</w:t>
            </w:r>
          </w:p>
        </w:tc>
        <w:tc>
          <w:tcPr>
            <w:tcW w:w="1020" w:type="pct"/>
            <w:tcMar>
              <w:top w:w="15" w:type="dxa"/>
              <w:left w:w="108" w:type="dxa"/>
              <w:bottom w:w="0" w:type="dxa"/>
              <w:right w:w="108" w:type="dxa"/>
            </w:tcMar>
            <w:vAlign w:val="center"/>
            <w:hideMark/>
          </w:tcPr>
          <w:p w14:paraId="57B2D8E1"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vehicle</w:t>
            </w:r>
          </w:p>
        </w:tc>
        <w:tc>
          <w:tcPr>
            <w:tcW w:w="781" w:type="pct"/>
            <w:tcMar>
              <w:top w:w="15" w:type="dxa"/>
              <w:left w:w="108" w:type="dxa"/>
              <w:bottom w:w="0" w:type="dxa"/>
              <w:right w:w="108" w:type="dxa"/>
            </w:tcMar>
            <w:vAlign w:val="center"/>
            <w:hideMark/>
          </w:tcPr>
          <w:p w14:paraId="033718A4"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4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 4)</w:t>
            </w:r>
          </w:p>
        </w:tc>
        <w:tc>
          <w:tcPr>
            <w:tcW w:w="776" w:type="pct"/>
            <w:tcMar>
              <w:top w:w="15" w:type="dxa"/>
              <w:left w:w="108" w:type="dxa"/>
              <w:bottom w:w="0" w:type="dxa"/>
              <w:right w:w="108" w:type="dxa"/>
            </w:tcMar>
            <w:vAlign w:val="center"/>
            <w:hideMark/>
          </w:tcPr>
          <w:p w14:paraId="73B90A71"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4)</w:t>
            </w:r>
          </w:p>
        </w:tc>
        <w:tc>
          <w:tcPr>
            <w:tcW w:w="786" w:type="pct"/>
            <w:tcMar>
              <w:top w:w="15" w:type="dxa"/>
              <w:left w:w="108" w:type="dxa"/>
              <w:bottom w:w="0" w:type="dxa"/>
              <w:right w:w="108" w:type="dxa"/>
            </w:tcMar>
            <w:vAlign w:val="center"/>
            <w:hideMark/>
          </w:tcPr>
          <w:p w14:paraId="1CD27A1B"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4)</w:t>
            </w:r>
          </w:p>
        </w:tc>
        <w:tc>
          <w:tcPr>
            <w:tcW w:w="931" w:type="pct"/>
            <w:tcMar>
              <w:top w:w="15" w:type="dxa"/>
              <w:left w:w="108" w:type="dxa"/>
              <w:bottom w:w="0" w:type="dxa"/>
              <w:right w:w="108" w:type="dxa"/>
            </w:tcMar>
            <w:vAlign w:val="center"/>
            <w:hideMark/>
          </w:tcPr>
          <w:p w14:paraId="51A31B53"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 xml:space="preserve">3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4)</w:t>
            </w:r>
          </w:p>
        </w:tc>
      </w:tr>
      <w:tr w:rsidR="00E049CB" w:rsidRPr="005E6B7C" w14:paraId="40BDAE52" w14:textId="77777777" w:rsidTr="005E65C5">
        <w:trPr>
          <w:jc w:val="center"/>
        </w:trPr>
        <w:tc>
          <w:tcPr>
            <w:tcW w:w="706" w:type="pct"/>
            <w:vMerge/>
            <w:vAlign w:val="center"/>
            <w:hideMark/>
          </w:tcPr>
          <w:p w14:paraId="5DF2718A"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p>
        </w:tc>
        <w:tc>
          <w:tcPr>
            <w:tcW w:w="1020" w:type="pct"/>
            <w:tcMar>
              <w:top w:w="15" w:type="dxa"/>
              <w:left w:w="108" w:type="dxa"/>
              <w:bottom w:w="0" w:type="dxa"/>
              <w:right w:w="108" w:type="dxa"/>
            </w:tcMar>
            <w:vAlign w:val="center"/>
            <w:hideMark/>
          </w:tcPr>
          <w:p w14:paraId="38FA9546"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TGD 6.8 g/kg</w:t>
            </w:r>
          </w:p>
        </w:tc>
        <w:tc>
          <w:tcPr>
            <w:tcW w:w="781" w:type="pct"/>
            <w:tcMar>
              <w:top w:w="15" w:type="dxa"/>
              <w:left w:w="108" w:type="dxa"/>
              <w:bottom w:w="0" w:type="dxa"/>
              <w:right w:w="108" w:type="dxa"/>
            </w:tcMar>
            <w:vAlign w:val="center"/>
            <w:hideMark/>
          </w:tcPr>
          <w:p w14:paraId="003D659E"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val="vi-VN" w:eastAsia="ja-JP"/>
              </w:rPr>
              <w:t>4</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 4)</w:t>
            </w:r>
          </w:p>
        </w:tc>
        <w:tc>
          <w:tcPr>
            <w:tcW w:w="776" w:type="pct"/>
            <w:tcMar>
              <w:top w:w="15" w:type="dxa"/>
              <w:left w:w="108" w:type="dxa"/>
              <w:bottom w:w="0" w:type="dxa"/>
              <w:right w:w="108" w:type="dxa"/>
            </w:tcMar>
            <w:vAlign w:val="center"/>
            <w:hideMark/>
          </w:tcPr>
          <w:p w14:paraId="4E7000F1"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3)</w:t>
            </w:r>
          </w:p>
        </w:tc>
        <w:tc>
          <w:tcPr>
            <w:tcW w:w="786" w:type="pct"/>
            <w:tcMar>
              <w:top w:w="15" w:type="dxa"/>
              <w:left w:w="108" w:type="dxa"/>
              <w:bottom w:w="0" w:type="dxa"/>
              <w:right w:w="108" w:type="dxa"/>
            </w:tcMar>
            <w:vAlign w:val="center"/>
            <w:hideMark/>
          </w:tcPr>
          <w:p w14:paraId="39E0ED47"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2*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3)</w:t>
            </w:r>
          </w:p>
        </w:tc>
        <w:tc>
          <w:tcPr>
            <w:tcW w:w="931" w:type="pct"/>
            <w:tcMar>
              <w:top w:w="15" w:type="dxa"/>
              <w:left w:w="108" w:type="dxa"/>
              <w:bottom w:w="0" w:type="dxa"/>
              <w:right w:w="108" w:type="dxa"/>
            </w:tcMar>
            <w:vAlign w:val="center"/>
            <w:hideMark/>
          </w:tcPr>
          <w:p w14:paraId="04FB88D9"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(1; 2)</w:t>
            </w:r>
          </w:p>
        </w:tc>
      </w:tr>
      <w:tr w:rsidR="00E049CB" w:rsidRPr="005E6B7C" w14:paraId="2D76D970" w14:textId="77777777" w:rsidTr="005E65C5">
        <w:trPr>
          <w:jc w:val="center"/>
        </w:trPr>
        <w:tc>
          <w:tcPr>
            <w:tcW w:w="706" w:type="pct"/>
            <w:vMerge/>
            <w:vAlign w:val="center"/>
            <w:hideMark/>
          </w:tcPr>
          <w:p w14:paraId="47D55030"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p>
        </w:tc>
        <w:tc>
          <w:tcPr>
            <w:tcW w:w="1020" w:type="pct"/>
            <w:tcMar>
              <w:top w:w="15" w:type="dxa"/>
              <w:left w:w="108" w:type="dxa"/>
              <w:bottom w:w="0" w:type="dxa"/>
              <w:right w:w="108" w:type="dxa"/>
            </w:tcMar>
            <w:vAlign w:val="center"/>
            <w:hideMark/>
          </w:tcPr>
          <w:p w14:paraId="5D721774"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TGD 13.7 g/kg</w:t>
            </w:r>
          </w:p>
        </w:tc>
        <w:tc>
          <w:tcPr>
            <w:tcW w:w="781" w:type="pct"/>
            <w:tcMar>
              <w:top w:w="15" w:type="dxa"/>
              <w:left w:w="108" w:type="dxa"/>
              <w:bottom w:w="0" w:type="dxa"/>
              <w:right w:w="108" w:type="dxa"/>
            </w:tcMar>
            <w:vAlign w:val="center"/>
            <w:hideMark/>
          </w:tcPr>
          <w:p w14:paraId="7CFAAB0F"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val="vi-VN" w:eastAsia="ja-JP"/>
              </w:rPr>
              <w:t>3.5</w:t>
            </w:r>
            <w:r w:rsidRPr="005E6B7C">
              <w:rPr>
                <w:rFonts w:asciiTheme="majorHAnsi" w:eastAsia="Yu Mincho" w:hAnsiTheme="majorHAnsi" w:cstheme="majorHAnsi"/>
                <w:bCs/>
                <w:color w:val="000000" w:themeColor="text1"/>
                <w:sz w:val="18"/>
                <w:szCs w:val="18"/>
                <w:lang w:eastAsia="ja-JP"/>
              </w:rPr>
              <w:t xml:space="preserve">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 4)</w:t>
            </w:r>
          </w:p>
        </w:tc>
        <w:tc>
          <w:tcPr>
            <w:tcW w:w="776" w:type="pct"/>
            <w:tcMar>
              <w:top w:w="15" w:type="dxa"/>
              <w:left w:w="108" w:type="dxa"/>
              <w:bottom w:w="0" w:type="dxa"/>
              <w:right w:w="108" w:type="dxa"/>
            </w:tcMar>
            <w:vAlign w:val="center"/>
            <w:hideMark/>
          </w:tcPr>
          <w:p w14:paraId="37814A32"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3)</w:t>
            </w:r>
          </w:p>
        </w:tc>
        <w:tc>
          <w:tcPr>
            <w:tcW w:w="786" w:type="pct"/>
            <w:tcMar>
              <w:top w:w="15" w:type="dxa"/>
              <w:left w:w="108" w:type="dxa"/>
              <w:bottom w:w="0" w:type="dxa"/>
              <w:right w:w="108" w:type="dxa"/>
            </w:tcMar>
            <w:vAlign w:val="center"/>
            <w:hideMark/>
          </w:tcPr>
          <w:p w14:paraId="760841CB"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2** (</w:t>
            </w:r>
            <w:r w:rsidRPr="005E6B7C">
              <w:rPr>
                <w:rFonts w:asciiTheme="majorHAnsi" w:eastAsia="Yu Mincho" w:hAnsiTheme="majorHAnsi" w:cstheme="majorHAnsi"/>
                <w:bCs/>
                <w:color w:val="000000" w:themeColor="text1"/>
                <w:sz w:val="18"/>
                <w:szCs w:val="18"/>
                <w:lang w:val="vi-VN" w:eastAsia="ja-JP"/>
              </w:rPr>
              <w:t>1</w:t>
            </w:r>
            <w:r w:rsidRPr="005E6B7C">
              <w:rPr>
                <w:rFonts w:asciiTheme="majorHAnsi" w:eastAsia="Yu Mincho" w:hAnsiTheme="majorHAnsi" w:cstheme="majorHAnsi"/>
                <w:bCs/>
                <w:color w:val="000000" w:themeColor="text1"/>
                <w:sz w:val="18"/>
                <w:szCs w:val="18"/>
                <w:lang w:eastAsia="ja-JP"/>
              </w:rPr>
              <w:t>; 3)</w:t>
            </w:r>
          </w:p>
        </w:tc>
        <w:tc>
          <w:tcPr>
            <w:tcW w:w="931" w:type="pct"/>
            <w:tcMar>
              <w:top w:w="15" w:type="dxa"/>
              <w:left w:w="108" w:type="dxa"/>
              <w:bottom w:w="0" w:type="dxa"/>
              <w:right w:w="108" w:type="dxa"/>
            </w:tcMar>
            <w:vAlign w:val="center"/>
            <w:hideMark/>
          </w:tcPr>
          <w:p w14:paraId="35D0FC96"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val="vi-VN" w:eastAsia="ja-JP"/>
              </w:rPr>
              <w:t>1.5</w:t>
            </w:r>
            <w:r w:rsidRPr="005E6B7C">
              <w:rPr>
                <w:rFonts w:asciiTheme="majorHAnsi" w:eastAsia="Yu Mincho" w:hAnsiTheme="majorHAnsi" w:cstheme="majorHAnsi"/>
                <w:bCs/>
                <w:color w:val="000000" w:themeColor="text1"/>
                <w:sz w:val="18"/>
                <w:szCs w:val="18"/>
                <w:lang w:eastAsia="ja-JP"/>
              </w:rPr>
              <w:t>** (1; 2)</w:t>
            </w:r>
          </w:p>
        </w:tc>
      </w:tr>
      <w:tr w:rsidR="00E049CB" w:rsidRPr="005E6B7C" w14:paraId="11C8AA75" w14:textId="77777777" w:rsidTr="005E65C5">
        <w:trPr>
          <w:jc w:val="center"/>
        </w:trPr>
        <w:tc>
          <w:tcPr>
            <w:tcW w:w="706" w:type="pct"/>
            <w:vMerge/>
            <w:vAlign w:val="center"/>
          </w:tcPr>
          <w:p w14:paraId="43807A73"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p>
        </w:tc>
        <w:tc>
          <w:tcPr>
            <w:tcW w:w="1020" w:type="pct"/>
            <w:tcMar>
              <w:top w:w="15" w:type="dxa"/>
              <w:left w:w="108" w:type="dxa"/>
              <w:bottom w:w="0" w:type="dxa"/>
              <w:right w:w="108" w:type="dxa"/>
            </w:tcMar>
            <w:vAlign w:val="center"/>
          </w:tcPr>
          <w:p w14:paraId="32E662AC"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TGD 27.4 g/kg</w:t>
            </w:r>
          </w:p>
        </w:tc>
        <w:tc>
          <w:tcPr>
            <w:tcW w:w="781" w:type="pct"/>
            <w:tcMar>
              <w:top w:w="15" w:type="dxa"/>
              <w:left w:w="108" w:type="dxa"/>
              <w:bottom w:w="0" w:type="dxa"/>
              <w:right w:w="108" w:type="dxa"/>
            </w:tcMar>
            <w:vAlign w:val="center"/>
          </w:tcPr>
          <w:p w14:paraId="4B64329B"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4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 4)</w:t>
            </w:r>
          </w:p>
        </w:tc>
        <w:tc>
          <w:tcPr>
            <w:tcW w:w="776" w:type="pct"/>
            <w:tcMar>
              <w:top w:w="15" w:type="dxa"/>
              <w:left w:w="108" w:type="dxa"/>
              <w:bottom w:w="0" w:type="dxa"/>
              <w:right w:w="108" w:type="dxa"/>
            </w:tcMar>
            <w:vAlign w:val="center"/>
          </w:tcPr>
          <w:p w14:paraId="5DF64125"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3 (</w:t>
            </w:r>
            <w:r w:rsidRPr="005E6B7C">
              <w:rPr>
                <w:rFonts w:asciiTheme="majorHAnsi" w:eastAsia="Yu Mincho" w:hAnsiTheme="majorHAnsi" w:cstheme="majorHAnsi"/>
                <w:bCs/>
                <w:color w:val="000000" w:themeColor="text1"/>
                <w:sz w:val="18"/>
                <w:szCs w:val="18"/>
                <w:lang w:val="vi-VN" w:eastAsia="ja-JP"/>
              </w:rPr>
              <w:t>2</w:t>
            </w:r>
            <w:r w:rsidRPr="005E6B7C">
              <w:rPr>
                <w:rFonts w:asciiTheme="majorHAnsi" w:eastAsia="Yu Mincho" w:hAnsiTheme="majorHAnsi" w:cstheme="majorHAnsi"/>
                <w:bCs/>
                <w:color w:val="000000" w:themeColor="text1"/>
                <w:sz w:val="18"/>
                <w:szCs w:val="18"/>
                <w:lang w:eastAsia="ja-JP"/>
              </w:rPr>
              <w:t>; 3)</w:t>
            </w:r>
          </w:p>
        </w:tc>
        <w:tc>
          <w:tcPr>
            <w:tcW w:w="786" w:type="pct"/>
            <w:tcMar>
              <w:top w:w="15" w:type="dxa"/>
              <w:left w:w="108" w:type="dxa"/>
              <w:bottom w:w="0" w:type="dxa"/>
              <w:right w:w="108" w:type="dxa"/>
            </w:tcMar>
            <w:vAlign w:val="center"/>
          </w:tcPr>
          <w:p w14:paraId="4B2E044E"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2</w:t>
            </w:r>
            <w:r w:rsidRPr="005E6B7C">
              <w:rPr>
                <w:rFonts w:asciiTheme="majorHAnsi" w:eastAsia="Yu Mincho" w:hAnsiTheme="majorHAnsi" w:cstheme="majorHAnsi"/>
                <w:bCs/>
                <w:color w:val="000000" w:themeColor="text1"/>
                <w:sz w:val="18"/>
                <w:szCs w:val="18"/>
                <w:lang w:val="vi-VN" w:eastAsia="ja-JP"/>
              </w:rPr>
              <w:t xml:space="preserve">.5 </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color w:val="000000" w:themeColor="text1"/>
                <w:sz w:val="18"/>
                <w:szCs w:val="18"/>
                <w:lang w:val="vi-VN" w:eastAsia="ja-JP"/>
              </w:rPr>
              <w:t>1</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color w:val="000000" w:themeColor="text1"/>
                <w:sz w:val="18"/>
                <w:szCs w:val="18"/>
                <w:lang w:val="vi-VN" w:eastAsia="ja-JP"/>
              </w:rPr>
              <w:t xml:space="preserve"> 3</w:t>
            </w:r>
            <w:r w:rsidRPr="005E6B7C">
              <w:rPr>
                <w:rFonts w:asciiTheme="majorHAnsi" w:eastAsia="Yu Mincho" w:hAnsiTheme="majorHAnsi" w:cstheme="majorHAnsi"/>
                <w:bCs/>
                <w:color w:val="000000" w:themeColor="text1"/>
                <w:sz w:val="18"/>
                <w:szCs w:val="18"/>
                <w:lang w:eastAsia="ja-JP"/>
              </w:rPr>
              <w:t>)</w:t>
            </w:r>
          </w:p>
        </w:tc>
        <w:tc>
          <w:tcPr>
            <w:tcW w:w="931" w:type="pct"/>
            <w:tcMar>
              <w:top w:w="15" w:type="dxa"/>
              <w:left w:w="108" w:type="dxa"/>
              <w:bottom w:w="0" w:type="dxa"/>
              <w:right w:w="108" w:type="dxa"/>
            </w:tcMar>
            <w:vAlign w:val="center"/>
          </w:tcPr>
          <w:p w14:paraId="3F67F256"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 xml:space="preserve">2 (2;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w:t>
            </w:r>
          </w:p>
        </w:tc>
      </w:tr>
      <w:tr w:rsidR="00E049CB" w:rsidRPr="005E6B7C" w14:paraId="421D5F6D" w14:textId="77777777" w:rsidTr="005E65C5">
        <w:trPr>
          <w:jc w:val="center"/>
        </w:trPr>
        <w:tc>
          <w:tcPr>
            <w:tcW w:w="706" w:type="pct"/>
            <w:vMerge/>
            <w:vAlign w:val="center"/>
            <w:hideMark/>
          </w:tcPr>
          <w:p w14:paraId="5A3FFC7B"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p>
        </w:tc>
        <w:tc>
          <w:tcPr>
            <w:tcW w:w="1020" w:type="pct"/>
            <w:tcMar>
              <w:top w:w="15" w:type="dxa"/>
              <w:left w:w="108" w:type="dxa"/>
              <w:bottom w:w="0" w:type="dxa"/>
              <w:right w:w="108" w:type="dxa"/>
            </w:tcMar>
            <w:vAlign w:val="center"/>
            <w:hideMark/>
          </w:tcPr>
          <w:p w14:paraId="63C5DA71"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 xml:space="preserve">edaravone </w:t>
            </w:r>
          </w:p>
          <w:p w14:paraId="385A0023" w14:textId="77777777" w:rsidR="00E049CB" w:rsidRPr="005E6B7C" w:rsidRDefault="00E049CB" w:rsidP="008C0D47">
            <w:pPr>
              <w:tabs>
                <w:tab w:val="left" w:pos="270"/>
                <w:tab w:val="left" w:pos="2127"/>
              </w:tabs>
              <w:spacing w:line="160" w:lineRule="exact"/>
              <w:ind w:right="-23"/>
              <w:jc w:val="both"/>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6 mg/kg</w:t>
            </w:r>
          </w:p>
        </w:tc>
        <w:tc>
          <w:tcPr>
            <w:tcW w:w="781" w:type="pct"/>
            <w:tcMar>
              <w:top w:w="15" w:type="dxa"/>
              <w:left w:w="108" w:type="dxa"/>
              <w:bottom w:w="0" w:type="dxa"/>
              <w:right w:w="108" w:type="dxa"/>
            </w:tcMar>
            <w:vAlign w:val="center"/>
            <w:hideMark/>
          </w:tcPr>
          <w:p w14:paraId="6FC40572"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4 (3; 4)</w:t>
            </w:r>
          </w:p>
        </w:tc>
        <w:tc>
          <w:tcPr>
            <w:tcW w:w="776" w:type="pct"/>
            <w:tcMar>
              <w:top w:w="15" w:type="dxa"/>
              <w:left w:w="108" w:type="dxa"/>
              <w:bottom w:w="0" w:type="dxa"/>
              <w:right w:w="108" w:type="dxa"/>
            </w:tcMar>
            <w:vAlign w:val="center"/>
            <w:hideMark/>
          </w:tcPr>
          <w:p w14:paraId="4E11D23C"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 xml:space="preserve">3 (2; </w:t>
            </w:r>
            <w:r w:rsidRPr="005E6B7C">
              <w:rPr>
                <w:rFonts w:asciiTheme="majorHAnsi" w:eastAsia="Yu Mincho" w:hAnsiTheme="majorHAnsi" w:cstheme="majorHAnsi"/>
                <w:bCs/>
                <w:color w:val="000000" w:themeColor="text1"/>
                <w:sz w:val="18"/>
                <w:szCs w:val="18"/>
                <w:lang w:val="vi-VN" w:eastAsia="ja-JP"/>
              </w:rPr>
              <w:t>3</w:t>
            </w:r>
            <w:r w:rsidRPr="005E6B7C">
              <w:rPr>
                <w:rFonts w:asciiTheme="majorHAnsi" w:eastAsia="Yu Mincho" w:hAnsiTheme="majorHAnsi" w:cstheme="majorHAnsi"/>
                <w:bCs/>
                <w:color w:val="000000" w:themeColor="text1"/>
                <w:sz w:val="18"/>
                <w:szCs w:val="18"/>
                <w:lang w:eastAsia="ja-JP"/>
              </w:rPr>
              <w:t>)</w:t>
            </w:r>
          </w:p>
        </w:tc>
        <w:tc>
          <w:tcPr>
            <w:tcW w:w="786" w:type="pct"/>
            <w:tcMar>
              <w:top w:w="15" w:type="dxa"/>
              <w:left w:w="108" w:type="dxa"/>
              <w:bottom w:w="0" w:type="dxa"/>
              <w:right w:w="108" w:type="dxa"/>
            </w:tcMar>
            <w:vAlign w:val="center"/>
            <w:hideMark/>
          </w:tcPr>
          <w:p w14:paraId="1CBB3053"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2** (</w:t>
            </w:r>
            <w:r w:rsidRPr="005E6B7C">
              <w:rPr>
                <w:rFonts w:asciiTheme="majorHAnsi" w:eastAsia="Yu Mincho" w:hAnsiTheme="majorHAnsi" w:cstheme="majorHAnsi"/>
                <w:bCs/>
                <w:color w:val="000000" w:themeColor="text1"/>
                <w:sz w:val="18"/>
                <w:szCs w:val="18"/>
                <w:lang w:val="vi-VN" w:eastAsia="ja-JP"/>
              </w:rPr>
              <w:t>1</w:t>
            </w:r>
            <w:r w:rsidRPr="005E6B7C">
              <w:rPr>
                <w:rFonts w:asciiTheme="majorHAnsi" w:eastAsia="Yu Mincho" w:hAnsiTheme="majorHAnsi" w:cstheme="majorHAnsi"/>
                <w:bCs/>
                <w:color w:val="000000" w:themeColor="text1"/>
                <w:sz w:val="18"/>
                <w:szCs w:val="18"/>
                <w:lang w:eastAsia="ja-JP"/>
              </w:rPr>
              <w:t>;</w:t>
            </w:r>
            <w:r w:rsidRPr="005E6B7C">
              <w:rPr>
                <w:rFonts w:asciiTheme="majorHAnsi" w:eastAsia="Yu Mincho" w:hAnsiTheme="majorHAnsi" w:cstheme="majorHAnsi"/>
                <w:bCs/>
                <w:color w:val="000000" w:themeColor="text1"/>
                <w:sz w:val="18"/>
                <w:szCs w:val="18"/>
                <w:lang w:val="vi-VN" w:eastAsia="ja-JP"/>
              </w:rPr>
              <w:t xml:space="preserve"> 2</w:t>
            </w:r>
            <w:r w:rsidRPr="005E6B7C">
              <w:rPr>
                <w:rFonts w:asciiTheme="majorHAnsi" w:eastAsia="Yu Mincho" w:hAnsiTheme="majorHAnsi" w:cstheme="majorHAnsi"/>
                <w:bCs/>
                <w:color w:val="000000" w:themeColor="text1"/>
                <w:sz w:val="18"/>
                <w:szCs w:val="18"/>
                <w:lang w:eastAsia="ja-JP"/>
              </w:rPr>
              <w:t>)</w:t>
            </w:r>
          </w:p>
        </w:tc>
        <w:tc>
          <w:tcPr>
            <w:tcW w:w="931" w:type="pct"/>
            <w:tcMar>
              <w:top w:w="15" w:type="dxa"/>
              <w:left w:w="108" w:type="dxa"/>
              <w:bottom w:w="0" w:type="dxa"/>
              <w:right w:w="108" w:type="dxa"/>
            </w:tcMar>
            <w:vAlign w:val="center"/>
            <w:hideMark/>
          </w:tcPr>
          <w:p w14:paraId="5439A28A" w14:textId="77777777" w:rsidR="00E049CB" w:rsidRPr="005E6B7C" w:rsidRDefault="00E049CB" w:rsidP="005E65C5">
            <w:pPr>
              <w:tabs>
                <w:tab w:val="left" w:pos="270"/>
                <w:tab w:val="left" w:pos="2127"/>
              </w:tabs>
              <w:spacing w:line="160" w:lineRule="exact"/>
              <w:ind w:right="-23"/>
              <w:jc w:val="center"/>
              <w:rPr>
                <w:rFonts w:asciiTheme="majorHAnsi" w:eastAsia="Yu Mincho" w:hAnsiTheme="majorHAnsi" w:cstheme="majorHAnsi"/>
                <w:bCs/>
                <w:color w:val="000000" w:themeColor="text1"/>
                <w:sz w:val="18"/>
                <w:szCs w:val="18"/>
                <w:lang w:eastAsia="ja-JP"/>
              </w:rPr>
            </w:pPr>
            <w:r w:rsidRPr="005E6B7C">
              <w:rPr>
                <w:rFonts w:asciiTheme="majorHAnsi" w:eastAsia="Yu Mincho" w:hAnsiTheme="majorHAnsi" w:cstheme="majorHAnsi"/>
                <w:bCs/>
                <w:color w:val="000000" w:themeColor="text1"/>
                <w:sz w:val="18"/>
                <w:szCs w:val="18"/>
                <w:lang w:eastAsia="ja-JP"/>
              </w:rPr>
              <w:t>2** (</w:t>
            </w:r>
            <w:r w:rsidRPr="005E6B7C">
              <w:rPr>
                <w:rFonts w:asciiTheme="majorHAnsi" w:eastAsia="Yu Mincho" w:hAnsiTheme="majorHAnsi" w:cstheme="majorHAnsi"/>
                <w:bCs/>
                <w:color w:val="000000" w:themeColor="text1"/>
                <w:sz w:val="18"/>
                <w:szCs w:val="18"/>
                <w:lang w:val="vi-VN" w:eastAsia="ja-JP"/>
              </w:rPr>
              <w:t>1</w:t>
            </w:r>
            <w:r w:rsidRPr="005E6B7C">
              <w:rPr>
                <w:rFonts w:asciiTheme="majorHAnsi" w:eastAsia="Yu Mincho" w:hAnsiTheme="majorHAnsi" w:cstheme="majorHAnsi"/>
                <w:bCs/>
                <w:color w:val="000000" w:themeColor="text1"/>
                <w:sz w:val="18"/>
                <w:szCs w:val="18"/>
                <w:lang w:eastAsia="ja-JP"/>
              </w:rPr>
              <w:t>; 2)</w:t>
            </w:r>
          </w:p>
        </w:tc>
      </w:tr>
    </w:tbl>
    <w:p w14:paraId="7BE2A386" w14:textId="77777777" w:rsidR="004C259C" w:rsidRPr="005E6B7C" w:rsidRDefault="00991AEC" w:rsidP="008C0D47">
      <w:pPr>
        <w:tabs>
          <w:tab w:val="left" w:pos="270"/>
          <w:tab w:val="left" w:pos="2127"/>
        </w:tabs>
        <w:spacing w:before="120"/>
        <w:ind w:right="-20"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bCs/>
          <w:color w:val="000000" w:themeColor="text1"/>
          <w:sz w:val="18"/>
          <w:szCs w:val="18"/>
          <w:lang w:val="en-GB" w:eastAsia="ja-JP"/>
        </w:rPr>
        <w:t>Data were expressed as the median (25 and 75% interquartile range) (n=</w:t>
      </w:r>
      <w:r w:rsidRPr="005E6B7C">
        <w:rPr>
          <w:rFonts w:asciiTheme="majorHAnsi" w:eastAsia="Yu Mincho" w:hAnsiTheme="majorHAnsi" w:cstheme="majorHAnsi"/>
          <w:bCs/>
          <w:color w:val="000000" w:themeColor="text1"/>
          <w:sz w:val="18"/>
          <w:szCs w:val="18"/>
          <w:lang w:val="vi-VN" w:eastAsia="ja-JP"/>
        </w:rPr>
        <w:t>7-8</w:t>
      </w:r>
      <w:r w:rsidRPr="005E6B7C">
        <w:rPr>
          <w:rFonts w:asciiTheme="majorHAnsi" w:eastAsia="Yu Mincho" w:hAnsiTheme="majorHAnsi" w:cstheme="majorHAnsi"/>
          <w:bCs/>
          <w:color w:val="000000" w:themeColor="text1"/>
          <w:sz w:val="18"/>
          <w:szCs w:val="18"/>
          <w:lang w:val="en-GB" w:eastAsia="ja-JP"/>
        </w:rPr>
        <w:t>). *p&lt;0.05, **p&lt;0.01</w:t>
      </w:r>
      <w:r w:rsidRPr="005E6B7C">
        <w:rPr>
          <w:rFonts w:asciiTheme="majorHAnsi" w:eastAsia="Yu Mincho" w:hAnsiTheme="majorHAnsi" w:cstheme="majorHAnsi"/>
          <w:bCs/>
          <w:color w:val="000000" w:themeColor="text1"/>
          <w:sz w:val="18"/>
          <w:szCs w:val="18"/>
          <w:lang w:val="vi-VN" w:eastAsia="ja-JP"/>
        </w:rPr>
        <w:t xml:space="preserve"> </w:t>
      </w:r>
      <w:r w:rsidRPr="005E6B7C">
        <w:rPr>
          <w:rFonts w:asciiTheme="majorHAnsi" w:eastAsia="Yu Mincho" w:hAnsiTheme="majorHAnsi" w:cstheme="majorHAnsi"/>
          <w:bCs/>
          <w:color w:val="000000" w:themeColor="text1"/>
          <w:sz w:val="18"/>
          <w:szCs w:val="18"/>
          <w:lang w:val="en-GB" w:eastAsia="ja-JP"/>
        </w:rPr>
        <w:t>vs. vehicle - treated MCAO</w:t>
      </w:r>
      <w:r w:rsidRPr="005E6B7C">
        <w:rPr>
          <w:rFonts w:asciiTheme="majorHAnsi" w:eastAsia="Yu Mincho" w:hAnsiTheme="majorHAnsi" w:cstheme="majorHAnsi"/>
          <w:bCs/>
          <w:color w:val="000000" w:themeColor="text1"/>
          <w:sz w:val="18"/>
          <w:szCs w:val="18"/>
          <w:lang w:eastAsia="ja-JP"/>
        </w:rPr>
        <w:t>/R</w:t>
      </w:r>
      <w:r w:rsidRPr="005E6B7C">
        <w:rPr>
          <w:rFonts w:asciiTheme="majorHAnsi" w:eastAsia="Yu Mincho" w:hAnsiTheme="majorHAnsi" w:cstheme="majorHAnsi"/>
          <w:bCs/>
          <w:color w:val="000000" w:themeColor="text1"/>
          <w:sz w:val="18"/>
          <w:szCs w:val="18"/>
          <w:lang w:val="en-GB" w:eastAsia="ja-JP"/>
        </w:rPr>
        <w:t xml:space="preserve"> mice (Kruskall-Wallis and Mann-Whitney U-test)</w:t>
      </w:r>
      <w:r w:rsidRPr="005E6B7C">
        <w:rPr>
          <w:rFonts w:asciiTheme="majorHAnsi" w:eastAsia="Yu Mincho" w:hAnsiTheme="majorHAnsi" w:cstheme="majorHAnsi"/>
          <w:bCs/>
          <w:color w:val="000000" w:themeColor="text1"/>
          <w:sz w:val="18"/>
          <w:szCs w:val="18"/>
          <w:lang w:val="vi-VN" w:eastAsia="ja-JP"/>
        </w:rPr>
        <w:t>.</w:t>
      </w:r>
    </w:p>
    <w:p w14:paraId="40A83E18" w14:textId="77777777" w:rsidR="00991AEC" w:rsidRPr="005E6B7C" w:rsidRDefault="00991AEC" w:rsidP="008C0D47">
      <w:pPr>
        <w:tabs>
          <w:tab w:val="left" w:pos="270"/>
          <w:tab w:val="left" w:pos="2127"/>
        </w:tabs>
        <w:ind w:right="-20"/>
        <w:jc w:val="both"/>
        <w:rPr>
          <w:rFonts w:asciiTheme="majorHAnsi" w:eastAsia="Yu Mincho" w:hAnsiTheme="majorHAnsi" w:cstheme="majorHAnsi"/>
          <w:iCs/>
          <w:color w:val="000000" w:themeColor="text1"/>
          <w:sz w:val="22"/>
          <w:szCs w:val="22"/>
          <w:lang w:eastAsia="ja-JP"/>
        </w:rPr>
      </w:pPr>
    </w:p>
    <w:p w14:paraId="116306A6"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val="vi-VN" w:eastAsia="ja-JP"/>
        </w:rPr>
        <w:sectPr w:rsidR="00BD35FA" w:rsidRPr="005E6B7C" w:rsidSect="002206BB">
          <w:type w:val="continuous"/>
          <w:pgSz w:w="10773" w:h="15309" w:code="9"/>
          <w:pgMar w:top="907" w:right="851" w:bottom="1418" w:left="851" w:header="397" w:footer="851" w:gutter="0"/>
          <w:cols w:space="284"/>
          <w:docGrid w:linePitch="360"/>
        </w:sectPr>
      </w:pPr>
    </w:p>
    <w:p w14:paraId="1F02BF4F"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As shown in Table 2, various extents of neurological symptoms were observed in the MCAO/R mice from day 0 (0 hr reperfusion) to day 3 after the cerebral ischemia and reperfusion operations. Neurological scores remained high (score 3–4) in the vehicle-treated MCAO/R group from day 0 to day 3 after reperfusion. There were no significant differences in neurological scores between the edaravone-treated MCAO/R group and the vehicle-treated MCAO/R group on days 0 and 1. However, significant improvement in neurological function was observed in the edaravone-treated MCAO/R group on days 2 and 3 compared with the vehicle-treated MCAO/R group (p &lt; 0.05).</w:t>
      </w:r>
    </w:p>
    <w:p w14:paraId="47720B99"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val="vi-VN" w:eastAsia="ja-JP"/>
        </w:rPr>
      </w:pPr>
      <w:r w:rsidRPr="005E6B7C">
        <w:rPr>
          <w:rFonts w:asciiTheme="majorHAnsi" w:eastAsia="Yu Mincho" w:hAnsiTheme="majorHAnsi" w:cstheme="majorHAnsi"/>
          <w:iCs/>
          <w:color w:val="000000" w:themeColor="text1"/>
          <w:sz w:val="22"/>
          <w:szCs w:val="22"/>
          <w:lang w:val="vi-VN" w:eastAsia="ja-JP"/>
        </w:rPr>
        <w:t>Significant improvement of neurological scores was observed earlier in the MCAO/R group treated with TGD at 6.8 g/kg, with statistically significant differences compared with the vehicle-</w:t>
      </w:r>
      <w:r w:rsidRPr="005E6B7C">
        <w:rPr>
          <w:rFonts w:asciiTheme="majorHAnsi" w:eastAsia="Yu Mincho" w:hAnsiTheme="majorHAnsi" w:cstheme="majorHAnsi"/>
          <w:iCs/>
          <w:color w:val="000000" w:themeColor="text1"/>
          <w:sz w:val="22"/>
          <w:szCs w:val="22"/>
          <w:lang w:val="vi-VN" w:eastAsia="ja-JP"/>
        </w:rPr>
        <w:t xml:space="preserve">treated MCAO/R group on days 1, 2, and 3 (p &lt; 0.05). In the MCAO/R group treated with TGD at 13.7 g/kg, neurological function progressively improved over time, reaching </w:t>
      </w:r>
      <w:r w:rsidRPr="005E6B7C">
        <w:rPr>
          <w:rFonts w:asciiTheme="majorHAnsi" w:eastAsia="Yu Mincho" w:hAnsiTheme="majorHAnsi" w:cstheme="majorHAnsi"/>
          <w:iCs/>
          <w:color w:val="000000" w:themeColor="text1"/>
          <w:spacing w:val="-4"/>
          <w:sz w:val="22"/>
          <w:szCs w:val="22"/>
          <w:lang w:val="vi-VN" w:eastAsia="ja-JP"/>
        </w:rPr>
        <w:t>statistical significance compared with the vehicle-treated MCAO/R group on days 2 and 3 (p &lt; 0.05). Although neurological scores gradually decreased in the MCAO/R group treated with TGD at 27.4 g/kg, no statistically significant differences were observed compared with the vehicle-treated MCAO/R group (p &gt; 0.05).</w:t>
      </w:r>
    </w:p>
    <w:p w14:paraId="7D33B483"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
          <w:iCs/>
          <w:color w:val="000000" w:themeColor="text1"/>
          <w:sz w:val="22"/>
          <w:szCs w:val="22"/>
          <w:lang w:val="vi-VN" w:eastAsia="ja-JP"/>
        </w:rPr>
      </w:pPr>
      <w:r w:rsidRPr="005E6B7C">
        <w:rPr>
          <w:rFonts w:asciiTheme="majorHAnsi" w:eastAsia="Yu Mincho" w:hAnsiTheme="majorHAnsi" w:cstheme="majorHAnsi"/>
          <w:i/>
          <w:iCs/>
          <w:color w:val="000000" w:themeColor="text1"/>
          <w:sz w:val="22"/>
          <w:szCs w:val="22"/>
          <w:lang w:eastAsia="ja-JP"/>
        </w:rPr>
        <w:t xml:space="preserve">3.3. </w:t>
      </w:r>
      <w:r w:rsidRPr="005E6B7C">
        <w:rPr>
          <w:rFonts w:asciiTheme="majorHAnsi" w:eastAsia="Yu Mincho" w:hAnsiTheme="majorHAnsi" w:cstheme="majorHAnsi"/>
          <w:i/>
          <w:iCs/>
          <w:color w:val="000000" w:themeColor="text1"/>
          <w:sz w:val="22"/>
          <w:szCs w:val="22"/>
          <w:lang w:val="vi-VN" w:eastAsia="ja-JP"/>
        </w:rPr>
        <w:t>Determination of gastrodin, baicalin, THSG, and geniposide contents</w:t>
      </w:r>
    </w:p>
    <w:p w14:paraId="43A0EDD1" w14:textId="77777777" w:rsidR="00BD35FA"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val="vi-VN" w:eastAsia="ja-JP"/>
        </w:rPr>
        <w:t xml:space="preserve">The four major components in TGD (0.3 g/mL) were analyzed by HPLC, as shown in </w:t>
      </w:r>
      <w:r w:rsidR="00517F81" w:rsidRPr="005E6B7C">
        <w:rPr>
          <w:rFonts w:asciiTheme="majorHAnsi" w:eastAsia="Yu Mincho" w:hAnsiTheme="majorHAnsi" w:cstheme="majorHAnsi"/>
          <w:iCs/>
          <w:color w:val="000000" w:themeColor="text1"/>
          <w:sz w:val="22"/>
          <w:szCs w:val="22"/>
          <w:lang w:val="vi-VN" w:eastAsia="ja-JP"/>
        </w:rPr>
        <w:t xml:space="preserve">Fig. </w:t>
      </w:r>
      <w:r w:rsidRPr="005E6B7C">
        <w:rPr>
          <w:rFonts w:asciiTheme="majorHAnsi" w:eastAsia="Yu Mincho" w:hAnsiTheme="majorHAnsi" w:cstheme="majorHAnsi"/>
          <w:iCs/>
          <w:color w:val="000000" w:themeColor="text1"/>
          <w:sz w:val="22"/>
          <w:szCs w:val="22"/>
          <w:lang w:val="vi-VN" w:eastAsia="ja-JP"/>
        </w:rPr>
        <w:t xml:space="preserve">4. The results indicated that the contents of gastrodin, baicalin, THSG, and geniposide were </w:t>
      </w:r>
      <w:r w:rsidRPr="005E6B7C">
        <w:rPr>
          <w:rFonts w:asciiTheme="majorHAnsi" w:eastAsia="Yu Mincho" w:hAnsiTheme="majorHAnsi" w:cstheme="majorHAnsi"/>
          <w:color w:val="000000" w:themeColor="text1"/>
          <w:sz w:val="22"/>
          <w:szCs w:val="22"/>
          <w:lang w:eastAsia="ja-JP"/>
        </w:rPr>
        <w:t>1.4 mg/m</w:t>
      </w:r>
      <w:r w:rsidRPr="005E6B7C">
        <w:rPr>
          <w:rFonts w:asciiTheme="majorHAnsi" w:eastAsia="Yu Mincho" w:hAnsiTheme="majorHAnsi" w:cstheme="majorHAnsi"/>
          <w:iCs/>
          <w:color w:val="000000" w:themeColor="text1"/>
          <w:sz w:val="22"/>
          <w:szCs w:val="22"/>
          <w:lang w:val="vi-VN" w:eastAsia="ja-JP"/>
        </w:rPr>
        <w:t>L, 10.091 mg/mL, 0.0203 mg/mL, and 9.023 mg/mL, respectively.</w:t>
      </w:r>
    </w:p>
    <w:p w14:paraId="0FD037E1"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eastAsia="ja-JP"/>
        </w:rPr>
        <w:sectPr w:rsidR="00BD35FA" w:rsidRPr="005E6B7C" w:rsidSect="00BD35FA">
          <w:type w:val="continuous"/>
          <w:pgSz w:w="10773" w:h="15309" w:code="9"/>
          <w:pgMar w:top="907" w:right="851" w:bottom="1418" w:left="851" w:header="397" w:footer="851" w:gutter="0"/>
          <w:cols w:num="2" w:space="284"/>
          <w:docGrid w:linePitch="360"/>
        </w:sectPr>
      </w:pPr>
    </w:p>
    <w:p w14:paraId="41FC7B1F"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iCs/>
          <w:color w:val="000000" w:themeColor="text1"/>
          <w:sz w:val="22"/>
          <w:szCs w:val="22"/>
          <w:lang w:eastAsia="ja-JP"/>
        </w:rPr>
      </w:pPr>
    </w:p>
    <w:p w14:paraId="0E0C1993" w14:textId="77777777" w:rsidR="00E049CB" w:rsidRPr="005E6B7C" w:rsidRDefault="00E049CB" w:rsidP="008C0D47">
      <w:pPr>
        <w:tabs>
          <w:tab w:val="left" w:pos="270"/>
          <w:tab w:val="left" w:pos="2127"/>
        </w:tabs>
        <w:ind w:right="-20"/>
        <w:jc w:val="center"/>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noProof/>
          <w:color w:val="000000" w:themeColor="text1"/>
          <w:sz w:val="22"/>
          <w:szCs w:val="22"/>
        </w:rPr>
        <w:drawing>
          <wp:inline distT="0" distB="0" distL="0" distR="0" wp14:anchorId="4419E76B" wp14:editId="30CFDDE5">
            <wp:extent cx="5220268" cy="2440645"/>
            <wp:effectExtent l="0" t="0" r="0" b="0"/>
            <wp:docPr id="1121829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BEBA8EAE-BF5A-486C-A8C5-ECC9F3942E4B}">
                          <a14:imgProps xmlns:a14="http://schemas.microsoft.com/office/drawing/2010/main">
                            <a14:imgLayer r:embed="rId1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22475" cy="2441677"/>
                    </a:xfrm>
                    <a:prstGeom prst="rect">
                      <a:avLst/>
                    </a:prstGeom>
                    <a:noFill/>
                    <a:ln>
                      <a:noFill/>
                    </a:ln>
                  </pic:spPr>
                </pic:pic>
              </a:graphicData>
            </a:graphic>
          </wp:inline>
        </w:drawing>
      </w:r>
    </w:p>
    <w:p w14:paraId="013DD08E" w14:textId="77777777" w:rsidR="00E049CB" w:rsidRPr="005E6B7C" w:rsidRDefault="00E049CB" w:rsidP="008C0D47">
      <w:pPr>
        <w:tabs>
          <w:tab w:val="left" w:pos="270"/>
          <w:tab w:val="left" w:pos="2127"/>
        </w:tabs>
        <w:ind w:right="-20"/>
        <w:jc w:val="center"/>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noProof/>
          <w:color w:val="000000" w:themeColor="text1"/>
          <w:sz w:val="22"/>
          <w:szCs w:val="22"/>
        </w:rPr>
        <w:lastRenderedPageBreak/>
        <w:drawing>
          <wp:inline distT="0" distB="0" distL="0" distR="0" wp14:anchorId="318074DB" wp14:editId="280FC728">
            <wp:extent cx="5194300" cy="2127272"/>
            <wp:effectExtent l="0" t="0" r="6350" b="6350"/>
            <wp:docPr id="255977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extLst>
                        <a:ext uri="{BEBA8EAE-BF5A-486C-A8C5-ECC9F3942E4B}">
                          <a14:imgProps xmlns:a14="http://schemas.microsoft.com/office/drawing/2010/main">
                            <a14:imgLayer r:embed="rId1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14322" cy="2135472"/>
                    </a:xfrm>
                    <a:prstGeom prst="rect">
                      <a:avLst/>
                    </a:prstGeom>
                    <a:noFill/>
                    <a:ln>
                      <a:noFill/>
                    </a:ln>
                  </pic:spPr>
                </pic:pic>
              </a:graphicData>
            </a:graphic>
          </wp:inline>
        </w:drawing>
      </w:r>
    </w:p>
    <w:p w14:paraId="3B769B3F" w14:textId="77777777" w:rsidR="00E049CB" w:rsidRPr="005E6B7C" w:rsidRDefault="00E049CB" w:rsidP="008C0D47">
      <w:pPr>
        <w:tabs>
          <w:tab w:val="left" w:pos="270"/>
          <w:tab w:val="left" w:pos="2127"/>
        </w:tabs>
        <w:ind w:right="-20"/>
        <w:jc w:val="center"/>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noProof/>
          <w:color w:val="000000" w:themeColor="text1"/>
          <w:sz w:val="22"/>
          <w:szCs w:val="22"/>
        </w:rPr>
        <w:drawing>
          <wp:inline distT="0" distB="0" distL="0" distR="0" wp14:anchorId="00581BF5" wp14:editId="4F3531FC">
            <wp:extent cx="5168900" cy="2092774"/>
            <wp:effectExtent l="0" t="0" r="0" b="3175"/>
            <wp:docPr id="226403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extLst>
                        <a:ext uri="{BEBA8EAE-BF5A-486C-A8C5-ECC9F3942E4B}">
                          <a14:imgProps xmlns:a14="http://schemas.microsoft.com/office/drawing/2010/main">
                            <a14:imgLayer r:embed="rId1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76403" cy="2095812"/>
                    </a:xfrm>
                    <a:prstGeom prst="rect">
                      <a:avLst/>
                    </a:prstGeom>
                    <a:noFill/>
                    <a:ln>
                      <a:noFill/>
                    </a:ln>
                  </pic:spPr>
                </pic:pic>
              </a:graphicData>
            </a:graphic>
          </wp:inline>
        </w:drawing>
      </w:r>
    </w:p>
    <w:p w14:paraId="502E9A8D" w14:textId="5CA66BB6" w:rsidR="00E049CB" w:rsidRPr="005E6B7C" w:rsidRDefault="00852DF0" w:rsidP="008C0D47">
      <w:pPr>
        <w:tabs>
          <w:tab w:val="left" w:pos="270"/>
          <w:tab w:val="left" w:pos="2127"/>
        </w:tabs>
        <w:ind w:right="-20"/>
        <w:jc w:val="center"/>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noProof/>
          <w:color w:val="000000" w:themeColor="text1"/>
          <w:sz w:val="22"/>
          <w:szCs w:val="22"/>
        </w:rPr>
        <w:drawing>
          <wp:inline distT="0" distB="0" distL="0" distR="0" wp14:anchorId="387A7D62" wp14:editId="3CA99C98">
            <wp:extent cx="5273813" cy="2107916"/>
            <wp:effectExtent l="0" t="0" r="0" b="6985"/>
            <wp:docPr id="18241088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320078" cy="2126408"/>
                    </a:xfrm>
                    <a:prstGeom prst="rect">
                      <a:avLst/>
                    </a:prstGeom>
                    <a:noFill/>
                  </pic:spPr>
                </pic:pic>
              </a:graphicData>
            </a:graphic>
          </wp:inline>
        </w:drawing>
      </w:r>
    </w:p>
    <w:p w14:paraId="26EBF049" w14:textId="77777777" w:rsidR="00E049CB" w:rsidRPr="005E6B7C" w:rsidRDefault="00517F81" w:rsidP="008C0D47">
      <w:pPr>
        <w:tabs>
          <w:tab w:val="left" w:pos="270"/>
          <w:tab w:val="left" w:pos="2127"/>
        </w:tabs>
        <w:spacing w:before="120"/>
        <w:ind w:right="-20"/>
        <w:jc w:val="center"/>
        <w:rPr>
          <w:rFonts w:asciiTheme="majorHAnsi" w:eastAsia="Yu Mincho" w:hAnsiTheme="majorHAnsi" w:cstheme="majorHAns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 xml:space="preserve">4. </w:t>
      </w:r>
      <w:r w:rsidR="00E049CB" w:rsidRPr="005E6B7C">
        <w:rPr>
          <w:rFonts w:asciiTheme="majorHAnsi" w:eastAsia="Yu Mincho" w:hAnsiTheme="majorHAnsi" w:cstheme="majorHAnsi"/>
          <w:color w:val="000000" w:themeColor="text1"/>
          <w:sz w:val="18"/>
          <w:szCs w:val="18"/>
          <w:lang w:val="vi-VN" w:eastAsia="ja-JP"/>
        </w:rPr>
        <w:t>HPLC chromatograms of TGD</w:t>
      </w:r>
    </w:p>
    <w:p w14:paraId="446DEAEC" w14:textId="77777777" w:rsidR="004C259C" w:rsidRPr="005E6B7C" w:rsidRDefault="004C259C" w:rsidP="008C0D47">
      <w:pPr>
        <w:tabs>
          <w:tab w:val="left" w:pos="270"/>
          <w:tab w:val="left" w:pos="2127"/>
        </w:tabs>
        <w:ind w:right="-20"/>
        <w:jc w:val="both"/>
        <w:rPr>
          <w:rFonts w:asciiTheme="majorHAnsi" w:eastAsia="Yu Mincho" w:hAnsiTheme="majorHAnsi" w:cstheme="majorHAnsi"/>
          <w:b/>
          <w:color w:val="000000" w:themeColor="text1"/>
          <w:sz w:val="22"/>
          <w:szCs w:val="22"/>
          <w:lang w:eastAsia="ja-JP"/>
        </w:rPr>
      </w:pPr>
    </w:p>
    <w:p w14:paraId="47DA47BC"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sectPr w:rsidR="00BD35FA" w:rsidRPr="005E6B7C" w:rsidSect="002206BB">
          <w:type w:val="continuous"/>
          <w:pgSz w:w="10773" w:h="15309" w:code="9"/>
          <w:pgMar w:top="907" w:right="851" w:bottom="1418" w:left="851" w:header="397" w:footer="851" w:gutter="0"/>
          <w:cols w:space="284"/>
          <w:docGrid w:linePitch="360"/>
        </w:sectPr>
      </w:pPr>
    </w:p>
    <w:p w14:paraId="1BFED5A2"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Discussion</w:t>
      </w:r>
    </w:p>
    <w:p w14:paraId="1A5675A1" w14:textId="6A4E603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The present study demonstrated that TGD exerts significant neuroprotective effects in a 60-min MCAO model of transient focal cerebral ischemia. Among the three tested doses, TGD at 13.7 g/kg produced the most pronounced therapeutic effects, as evidenced by improved neurological scores, reduced body weight loss, and a marked reduction in infarct volume. TGD at 6.8 g/kg also showed effects comparable to those </w:t>
      </w:r>
      <w:r w:rsidRPr="005E6B7C">
        <w:rPr>
          <w:rFonts w:asciiTheme="majorHAnsi" w:eastAsia="Yu Mincho" w:hAnsiTheme="majorHAnsi" w:cstheme="majorHAnsi"/>
          <w:color w:val="000000" w:themeColor="text1"/>
          <w:sz w:val="22"/>
          <w:szCs w:val="22"/>
          <w:lang w:val="vi-VN" w:eastAsia="ja-JP"/>
        </w:rPr>
        <w:t xml:space="preserve">of edaravone. </w:t>
      </w:r>
    </w:p>
    <w:p w14:paraId="01EB69CC" w14:textId="654850F0"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In experimental stroke research, therapeutic efficacy is commonly evaluated using neurological scores, body weight changes, and infarct volume. Neurological scoring reflects motor and sensory dysfunction and provides functional evidence of recovery. In this study, TGD, particularly at 13.7 g/kg, significantly improved neurological outcomes compared with the vehicle-treated MCAO/R group. Body weight </w:t>
      </w:r>
      <w:r w:rsidRPr="005E6B7C">
        <w:rPr>
          <w:rFonts w:asciiTheme="majorHAnsi" w:eastAsia="Yu Mincho" w:hAnsiTheme="majorHAnsi" w:cstheme="majorHAnsi"/>
          <w:color w:val="000000" w:themeColor="text1"/>
          <w:sz w:val="22"/>
          <w:szCs w:val="22"/>
          <w:lang w:val="vi-VN" w:eastAsia="ja-JP"/>
        </w:rPr>
        <w:lastRenderedPageBreak/>
        <w:t xml:space="preserve">monitoring served as an indirect indicator of general health status; attenuation of body weight loss further supported the functional benefits of TGD treatment. However, infarct volume assessment by TTC staining remains the most objective indicator of structural brain injury. The marked reduction in infarct size observed in the TGD-treated groups confirms its protective effect at the tissue level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&lt;EndNote&gt;&lt;Cite&gt;&lt;Author&gt;Sun&lt;/Author&gt;&lt;Year&gt;2012&lt;/Year&gt;&lt;RecNum&gt;54&lt;/RecNum&gt;&lt;DisplayText&gt;[11]&lt;/DisplayText&gt;&lt;record&gt;&lt;rec-number&gt;54&lt;/rec-number&gt;&lt;foreign-keys&gt;&lt;key app="EN" db-id="x5wwsrv9mt9rs5e22flvsff0axeds900xdz2" timestamp="1772361519"&gt;54&lt;/key&gt;&lt;/foreign-keys&gt;&lt;ref-type name="Journal Article"&gt;17&lt;/ref-type&gt;&lt;contributors&gt;&lt;authors&gt;&lt;author&gt;Sun, Y. Y.&lt;/author&gt;&lt;author&gt;Yang, D.&lt;/author&gt;&lt;author&gt;Kuan, C. Y.&lt;/author&gt;&lt;/authors&gt;&lt;/contributors&gt;&lt;auth-address&gt;Division of Developmental Biology, Division of Neurology, Cincinnati Children&amp;apos;s Hospital Medical Center, Cincinnati, OH 45229, United States.&lt;/auth-address&gt;&lt;titles&gt;&lt;title&gt;Mannitol-facilitated perfusion staining with 2,3,5-triphenyltetrazolium chloride (TTC) for detection of experimental cerebral infarction and biochemical analysis&lt;/title&gt;&lt;secondary-title&gt;J Neurosci Methods&lt;/secondary-title&gt;&lt;/titles&gt;&lt;periodical&gt;&lt;full-title&gt;J Neurosci Methods&lt;/full-title&gt;&lt;/periodical&gt;&lt;pages&gt;122-9&lt;/pages&gt;&lt;volume&gt;203&lt;/volume&gt;&lt;number&gt;1&lt;/number&gt;&lt;edition&gt;20111001&lt;/edition&gt;&lt;keywords&gt;&lt;keyword&gt;Animals&lt;/keyword&gt;&lt;keyword&gt;Blood-Brain Barrier/drug effects&lt;/keyword&gt;&lt;keyword&gt;Cerebral Infarction/*pathology&lt;/keyword&gt;&lt;keyword&gt;*Coloring Agents&lt;/keyword&gt;&lt;keyword&gt;Disease Models, Animal&lt;/keyword&gt;&lt;keyword&gt;Immunoblotting&lt;/keyword&gt;&lt;keyword&gt;Immunohistochemistry&lt;/keyword&gt;&lt;keyword&gt;Male&lt;/keyword&gt;&lt;keyword&gt;Mannitol/*pharmacology&lt;/keyword&gt;&lt;keyword&gt;Mice&lt;/keyword&gt;&lt;keyword&gt;Perfusion&lt;/keyword&gt;&lt;keyword&gt;Reverse Transcriptase Polymerase Chain Reaction&lt;/keyword&gt;&lt;keyword&gt;Staining and Labeling/*methods&lt;/keyword&gt;&lt;keyword&gt;*Tetrazolium Salts&lt;/keyword&gt;&lt;/keywords&gt;&lt;dates&gt;&lt;year&gt;2012&lt;/year&gt;&lt;pub-dates&gt;&lt;date&gt;Jan 15&lt;/date&gt;&lt;/pub-dates&gt;&lt;/dates&gt;&lt;isbn&gt;0165-0270 (Print)&amp;#xD;0165-0270&lt;/isbn&gt;&lt;accession-num&gt;21982741&lt;/accession-num&gt;&lt;urls&gt;&lt;/urls&gt;&lt;custom2&gt;PMC3268057&lt;/custom2&gt;&lt;custom6&gt;NIHMS332422&lt;/custom6&gt;&lt;electronic-resource-num&gt;10.1016/j.jneumeth.2011.09.029&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[11]</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However, the highest tested dose (27.4 g/kg) did not produce significant neuroprotective effects. One possible explanation may be related to the traditional therapeutic context of TGD. Clinically, TGD has long been prescribed for the management of hypertension and hypertension-related neurological symptoms. Therefore, its pharmacological effects may involve both antihypertensive activity and direct neuroprotective mechanisms. In the present study, the MCAO model was established in normotensive animals, which may not fully reproduce the complex pathological conditions associated with ischemic stroke in patients with chronic hypertension. Under such conditions, the antihypertensive component of TGD pharmacology may play a limited role, potentially affecting the overall observable therapeutic response at higher doses. In addition, this phenomenon may be related to a hormetic effect, as reported in pharmacological studies of herbal medicines. Hormesis describes a biphasic dose–response relationship in which low or moderate doses produce beneficial effects, whereas higher doses may result in diminished therapeutic responses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&lt;EndNote&gt;&lt;Cite&gt;&lt;Author&gt;Calabrese&lt;/Author&gt;&lt;Year&gt;2003&lt;/Year&gt;&lt;RecNum&gt;69&lt;/RecNum&gt;&lt;DisplayText&gt;[12]&lt;/DisplayText&gt;&lt;record&gt;&lt;rec-number&gt;69&lt;/rec-number&gt;&lt;foreign-keys&gt;&lt;key app="EN" db-id="x5wwsrv9mt9rs5e22flvsff0axeds900xdz2" timestamp="1773203775"&gt;69&lt;/key&gt;&lt;/foreign-keys&gt;&lt;ref-type name="Journal Article"&gt;17&lt;/ref-type&gt;&lt;contributors&gt;&lt;authors&gt;&lt;author&gt;Calabrese, E. J.&lt;/author&gt;&lt;author&gt;Baldwin, L. A.&lt;/author&gt;&lt;/authors&gt;&lt;/contributors&gt;&lt;auth-address&gt;Environmental Health Sciences, University of Massachusetts, Amherst, Massachusetts 01003, USA. edwardc@schoolph.umass.edu&lt;/auth-address&gt;&lt;titles&gt;&lt;title&gt;Hormesis: the dose-response revolution&lt;/title&gt;&lt;secondary-title&gt;Annu Rev Pharmacol Toxicol&lt;/secondary-title&gt;&lt;/titles&gt;&lt;periodical&gt;&lt;full-title&gt;Annu Rev Pharmacol Toxicol&lt;/full-title&gt;&lt;/periodical&gt;&lt;pages&gt;175-97&lt;/pages&gt;&lt;volume&gt;43&lt;/volume&gt;&lt;edition&gt;20020110&lt;/edition&gt;&lt;keywords&gt;&lt;keyword&gt;Animals&lt;/keyword&gt;&lt;keyword&gt;*Dose-Response Relationship, Drug&lt;/keyword&gt;&lt;keyword&gt;Humans&lt;/keyword&gt;&lt;keyword&gt;*Risk Assessment&lt;/keyword&gt;&lt;keyword&gt;Xenobiotics/*toxicity&lt;/keyword&gt;&lt;/keywords&gt;&lt;dates&gt;&lt;year&gt;2003&lt;/year&gt;&lt;/dates&gt;&lt;isbn&gt;0362-1642 (Print)&amp;#xD;0362-1642&lt;/isbn&gt;&lt;accession-num&gt;12195028&lt;/accession-num&gt;&lt;urls&gt;&lt;/urls&gt;&lt;electronic-resource-num&gt;10.1146/annurev.pharmtox.43.100901.140223&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[12]</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Therefore, the lack of neuroprotective efficacy at the highest tested dose may partly reflect a hormetic dose–response pattern in TGD.</w:t>
      </w:r>
    </w:p>
    <w:p w14:paraId="3F467573"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Several studies worldwide have reported that the neuroprotective mechanisms of TGD include suppression of ROS overproduction, attenuation of oxidative damage in both </w:t>
      </w:r>
      <w:r w:rsidR="00894500" w:rsidRPr="005E6B7C">
        <w:rPr>
          <w:rFonts w:asciiTheme="majorHAnsi" w:eastAsia="Yu Mincho" w:hAnsiTheme="majorHAnsi" w:cstheme="majorHAnsi"/>
          <w:i/>
          <w:iCs/>
          <w:color w:val="000000" w:themeColor="text1"/>
          <w:sz w:val="22"/>
          <w:szCs w:val="22"/>
          <w:lang w:val="vi-VN" w:eastAsia="ja-JP"/>
        </w:rPr>
        <w:t>in vitro</w:t>
      </w:r>
      <w:r w:rsidRPr="005E6B7C">
        <w:rPr>
          <w:rFonts w:asciiTheme="majorHAnsi" w:eastAsia="Yu Mincho" w:hAnsiTheme="majorHAnsi" w:cstheme="majorHAnsi"/>
          <w:color w:val="000000" w:themeColor="text1"/>
          <w:sz w:val="22"/>
          <w:szCs w:val="22"/>
          <w:lang w:val="vi-VN" w:eastAsia="ja-JP"/>
        </w:rPr>
        <w:t xml:space="preserve"> and </w:t>
      </w:r>
      <w:r w:rsidR="00894500" w:rsidRPr="005E6B7C">
        <w:rPr>
          <w:rFonts w:asciiTheme="majorHAnsi" w:eastAsia="Yu Mincho" w:hAnsiTheme="majorHAnsi" w:cstheme="majorHAnsi"/>
          <w:i/>
          <w:iCs/>
          <w:color w:val="000000" w:themeColor="text1"/>
          <w:sz w:val="22"/>
          <w:szCs w:val="22"/>
          <w:lang w:val="vi-VN" w:eastAsia="ja-JP"/>
        </w:rPr>
        <w:t>in vivo</w:t>
      </w:r>
      <w:r w:rsidRPr="005E6B7C">
        <w:rPr>
          <w:rFonts w:asciiTheme="majorHAnsi" w:eastAsia="Yu Mincho" w:hAnsiTheme="majorHAnsi" w:cstheme="majorHAnsi"/>
          <w:color w:val="000000" w:themeColor="text1"/>
          <w:sz w:val="22"/>
          <w:szCs w:val="22"/>
          <w:lang w:val="vi-VN" w:eastAsia="ja-JP"/>
        </w:rPr>
        <w:t xml:space="preserve"> ischemic models, modulation of oxidative stress, and inhibition of the AGE/RAGE signalling pathway </w: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TnVtPjQ4PC9SZWNOdW0+PERpc3BsYXlUZXh0Pls0LCAxM108L0Rpc3BsYXlUZXh0PjxyZWNvcmQ+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</w:fldData>
        </w:fldChar>
      </w:r>
      <w:r w:rsidRPr="005E6B7C">
        <w:rPr>
          <w:rFonts w:asciiTheme="majorHAnsi" w:eastAsia="Yu Mincho" w:hAnsiTheme="majorHAnsi" w:cstheme="majorHAnsi"/>
          <w:color w:val="000000" w:themeColor="text1"/>
          <w:sz w:val="22"/>
          <w:szCs w:val="22"/>
          <w:lang w:val="vi-VN" w:eastAsia="ja-JP"/>
        </w:rPr>
        <w:instrText xml:space="preserve"> ADDIN EN.CITE </w:instrText>
      </w:r>
      <w:r w:rsidRPr="005E6B7C">
        <w:rPr>
          <w:rFonts w:asciiTheme="majorHAnsi" w:eastAsia="Yu Mincho" w:hAnsiTheme="majorHAnsi" w:cstheme="majorHAnsi"/>
          <w:color w:val="000000" w:themeColor="text1"/>
          <w:sz w:val="22"/>
          <w:szCs w:val="22"/>
          <w:lang w:val="vi-VN" w:eastAsia="ja-JP"/>
        </w:rPr>
        <w:fldChar w:fldCharType="begin">
          <w:fldData xml:space="preserve">PEVuZE5vdGU+PENpdGU+PEF1dGhvcj5TaGVuPC9BdXRob3I+PFllYXI+MjAxNTwvWWVhcj48UmVj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</w:fldData>
        </w:fldChar>
      </w:r>
      <w:r w:rsidRPr="005E6B7C">
        <w:rPr>
          <w:rFonts w:asciiTheme="majorHAnsi" w:eastAsia="Yu Mincho" w:hAnsiTheme="majorHAnsi" w:cstheme="majorHAnsi"/>
          <w:color w:val="000000" w:themeColor="text1"/>
          <w:sz w:val="22"/>
          <w:szCs w:val="22"/>
          <w:lang w:val="vi-VN" w:eastAsia="ja-JP"/>
        </w:rPr>
        <w:instrText xml:space="preserve"> ADDIN EN.CITE.DATA </w:instrText>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[4</w:t>
      </w:r>
      <w:r w:rsidR="00382C9E"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val="vi-VN" w:eastAsia="ja-JP"/>
        </w:rPr>
        <w:t>,</w:t>
      </w:r>
      <w:r w:rsidR="00382C9E"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val="vi-VN" w:eastAsia="ja-JP"/>
        </w:rPr>
        <w:t>13]</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These mechanisms contribute to elucidating the neuroprotective effects of TGD. Given that TGD is a multi-component formula, characterization of its major bioactive constituents is essential for understanding its mechanistic basis. In the present study, we further quantified selected bioactive constituents of TGD to better characterize the formulation and provide additional insight into its potential pharmacological effects. In general, a single herbal medicine may contain dozens of natural </w:t>
      </w:r>
      <w:r w:rsidRPr="005E6B7C">
        <w:rPr>
          <w:rFonts w:asciiTheme="majorHAnsi" w:eastAsia="Yu Mincho" w:hAnsiTheme="majorHAnsi" w:cstheme="majorHAnsi"/>
          <w:color w:val="000000" w:themeColor="text1"/>
          <w:sz w:val="22"/>
          <w:szCs w:val="22"/>
          <w:lang w:val="vi-VN" w:eastAsia="ja-JP"/>
        </w:rPr>
        <w:t xml:space="preserve">bioactive compounds, whereas a traditional prescription may consist of several herbs. Therefore, identifying the active components in such complex formulations remains a significant challenge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&lt;EndNote&gt;&lt;Cite&gt;&lt;Author&gt;Duan&lt;/Author&gt;&lt;Year&gt;2021&lt;/Year&gt;&lt;RecNum&gt;66&lt;/RecNum&gt;&lt;DisplayText&gt;[14]&lt;/DisplayText&gt;&lt;record&gt;&lt;rec-number&gt;66&lt;/rec-number&gt;&lt;foreign-keys&gt;&lt;key app="EN" db-id="x5wwsrv9mt9rs5e22flvsff0axeds900xdz2" timestamp="1772637954"&gt;66&lt;/key&gt;&lt;/foreign-keys&gt;&lt;ref-type name="Journal Article"&gt;17&lt;/ref-type&gt;&lt;contributors&gt;&lt;authors&gt;&lt;author&gt;Duan, F.&lt;/author&gt;&lt;author&gt;Li, Y.&lt;/author&gt;&lt;author&gt;Zhao, M.&lt;/author&gt;&lt;author&gt;Hu, T.&lt;/author&gt;&lt;author&gt;Pan, X.&lt;/author&gt;&lt;author&gt;Feng, Y.&lt;/author&gt;&lt;author&gt;Ma, F.&lt;/author&gt;&lt;author&gt;Qiu, S.&lt;/author&gt;&lt;author&gt;Zheng, Y.&lt;/author&gt;&lt;/authors&gt;&lt;/contributors&gt;&lt;auth-address&gt;Department of Otolaryngology, Longgang E. N. T Hospital and Shenzhen Key Laboratory of E. N. T, Institute of E. N. T, Shenzhen 518172, China.&amp;#xD;Institute of Otolaryngology, Institute of Hearing and Speech of Sun Yat-sen University, Sun Yat-sen Memorial Hospital, Sun Yat-sen University, Guangzhou 510520, China.&lt;/auth-address&gt;&lt;titles&gt;&lt;title&gt;Screening of Anti-Inflammatory Components of Qin Jin Hua Tan Tang by a Multivariate Statistical Analysis Approach for Spectrum-Effect Relationships&lt;/title&gt;&lt;secondary-title&gt;J Anal Methods Chem&lt;/secondary-title&gt;&lt;/titles&gt;&lt;periodical&gt;&lt;full-title&gt;J Anal Methods Chem&lt;/full-title&gt;&lt;/periodical&gt;&lt;pages&gt;6348979&lt;/pages&gt;&lt;volume&gt;2021&lt;/volume&gt;&lt;edition&gt;20210813&lt;/edition&gt;&lt;dates&gt;&lt;year&gt;2021&lt;/year&gt;&lt;/dates&gt;&lt;isbn&gt;2090-8865 (Print)&amp;#xD;2090-8873&lt;/isbn&gt;&lt;accession-num&gt;34426776&lt;/accession-num&gt;&lt;urls&gt;&lt;/urls&gt;&lt;custom1&gt;The authors declare that there are no conflicts of interest regarding the publication of this paper.&lt;/custom1&gt;&lt;custom2&gt;PMC8380171&lt;/custom2&gt;&lt;electronic-resource-num&gt;10.1155/2021/6348979&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[14]</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w:t>
      </w:r>
    </w:p>
    <w:p w14:paraId="0D149B6B"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The TGD formula consists of 11 medicinal herbs. The four major compounds quantified in the extract were gastrodin (from </w:t>
      </w:r>
      <w:r w:rsidRPr="005E6B7C">
        <w:rPr>
          <w:rFonts w:asciiTheme="majorHAnsi" w:eastAsia="Yu Mincho" w:hAnsiTheme="majorHAnsi" w:cstheme="majorHAnsi"/>
          <w:i/>
          <w:iCs/>
          <w:color w:val="000000" w:themeColor="text1"/>
          <w:sz w:val="22"/>
          <w:szCs w:val="22"/>
          <w:lang w:val="vi-VN" w:eastAsia="ja-JP"/>
        </w:rPr>
        <w:t xml:space="preserve">Gastrodia elata </w:t>
      </w:r>
      <w:r w:rsidRPr="005E6B7C">
        <w:rPr>
          <w:rFonts w:asciiTheme="majorHAnsi" w:eastAsia="Yu Mincho" w:hAnsiTheme="majorHAnsi" w:cstheme="majorHAnsi"/>
          <w:color w:val="000000" w:themeColor="text1"/>
          <w:sz w:val="22"/>
          <w:szCs w:val="22"/>
          <w:lang w:val="vi-VN" w:eastAsia="ja-JP"/>
        </w:rPr>
        <w:t xml:space="preserve">Blume (rhizome)), baicalin (from </w:t>
      </w:r>
      <w:r w:rsidRPr="005E6B7C">
        <w:rPr>
          <w:rFonts w:asciiTheme="majorHAnsi" w:eastAsia="Yu Mincho" w:hAnsiTheme="majorHAnsi" w:cstheme="majorHAnsi"/>
          <w:i/>
          <w:iCs/>
          <w:color w:val="000000" w:themeColor="text1"/>
          <w:sz w:val="22"/>
          <w:szCs w:val="22"/>
          <w:lang w:val="vi-VN" w:eastAsia="ja-JP"/>
        </w:rPr>
        <w:t>Scutellaria baicalensis</w:t>
      </w:r>
      <w:r w:rsidRPr="005E6B7C">
        <w:rPr>
          <w:rFonts w:asciiTheme="majorHAnsi" w:eastAsia="Yu Mincho" w:hAnsiTheme="majorHAnsi" w:cstheme="majorHAnsi"/>
          <w:color w:val="000000" w:themeColor="text1"/>
          <w:sz w:val="22"/>
          <w:szCs w:val="22"/>
          <w:lang w:val="vi-VN" w:eastAsia="ja-JP"/>
        </w:rPr>
        <w:t xml:space="preserve"> Georgi (root)), THSG (from </w:t>
      </w:r>
      <w:r w:rsidRPr="005E6B7C">
        <w:rPr>
          <w:rFonts w:asciiTheme="majorHAnsi" w:eastAsia="Yu Mincho" w:hAnsiTheme="majorHAnsi" w:cstheme="majorHAnsi"/>
          <w:i/>
          <w:iCs/>
          <w:color w:val="000000" w:themeColor="text1"/>
          <w:sz w:val="22"/>
          <w:szCs w:val="22"/>
          <w:lang w:val="vi-VN" w:eastAsia="ja-JP"/>
        </w:rPr>
        <w:t>Polygonum multiflorum</w:t>
      </w:r>
      <w:r w:rsidRPr="005E6B7C">
        <w:rPr>
          <w:rFonts w:asciiTheme="majorHAnsi" w:eastAsia="Yu Mincho" w:hAnsiTheme="majorHAnsi" w:cstheme="majorHAnsi"/>
          <w:color w:val="000000" w:themeColor="text1"/>
          <w:sz w:val="22"/>
          <w:szCs w:val="22"/>
          <w:lang w:val="vi-VN" w:eastAsia="ja-JP"/>
        </w:rPr>
        <w:t xml:space="preserve"> Thunb. (caulis)), and geniposide (from </w:t>
      </w:r>
      <w:r w:rsidRPr="005E6B7C">
        <w:rPr>
          <w:rFonts w:asciiTheme="majorHAnsi" w:eastAsia="Yu Mincho" w:hAnsiTheme="majorHAnsi" w:cstheme="majorHAnsi"/>
          <w:i/>
          <w:iCs/>
          <w:color w:val="000000" w:themeColor="text1"/>
          <w:sz w:val="22"/>
          <w:szCs w:val="22"/>
          <w:lang w:val="vi-VN" w:eastAsia="ja-JP"/>
        </w:rPr>
        <w:t>Gardenia jasminoides</w:t>
      </w:r>
      <w:r w:rsidRPr="005E6B7C">
        <w:rPr>
          <w:rFonts w:asciiTheme="majorHAnsi" w:eastAsia="Yu Mincho" w:hAnsiTheme="majorHAnsi" w:cstheme="majorHAnsi"/>
          <w:color w:val="000000" w:themeColor="text1"/>
          <w:sz w:val="22"/>
          <w:szCs w:val="22"/>
          <w:lang w:val="vi-VN" w:eastAsia="ja-JP"/>
        </w:rPr>
        <w:t xml:space="preserve"> Ellis (ripe fruit)).</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t xml:space="preserve">According to </w:t>
      </w:r>
      <w:r w:rsidRPr="005E6B7C">
        <w:rPr>
          <w:rFonts w:asciiTheme="majorHAnsi" w:eastAsia="Yu Mincho" w:hAnsiTheme="majorHAnsi" w:cstheme="majorHAnsi"/>
          <w:color w:val="000000" w:themeColor="text1"/>
          <w:sz w:val="22"/>
          <w:szCs w:val="22"/>
          <w:lang w:eastAsia="ja-JP"/>
        </w:rPr>
        <w:t>our analysis</w:t>
      </w:r>
      <w:r w:rsidRPr="005E6B7C">
        <w:rPr>
          <w:rFonts w:asciiTheme="majorHAnsi" w:eastAsia="Yu Mincho" w:hAnsiTheme="majorHAnsi" w:cstheme="majorHAnsi"/>
          <w:color w:val="000000" w:themeColor="text1"/>
          <w:sz w:val="22"/>
          <w:szCs w:val="22"/>
          <w:lang w:val="vi-VN" w:eastAsia="ja-JP"/>
        </w:rPr>
        <w:t>, the TGD extract contained gastrodin (1.4 mg/mL), baicalin (10.091 mg/mL), geniposide (9.023 mg/mL)</w:t>
      </w:r>
      <w:r w:rsidRPr="005E6B7C">
        <w:rPr>
          <w:rFonts w:asciiTheme="majorHAnsi" w:eastAsia="Yu Mincho" w:hAnsiTheme="majorHAnsi" w:cstheme="majorHAnsi"/>
          <w:color w:val="000000" w:themeColor="text1"/>
          <w:sz w:val="22"/>
          <w:szCs w:val="22"/>
          <w:lang w:eastAsia="ja-JP"/>
        </w:rPr>
        <w:t>, and a small amoun</w:t>
      </w:r>
      <w:r w:rsidRPr="005E6B7C">
        <w:rPr>
          <w:rFonts w:asciiTheme="majorHAnsi" w:eastAsia="Yu Mincho" w:hAnsiTheme="majorHAnsi" w:cstheme="majorHAnsi"/>
          <w:color w:val="000000" w:themeColor="text1"/>
          <w:sz w:val="22"/>
          <w:szCs w:val="22"/>
          <w:lang w:val="vi-VN" w:eastAsia="ja-JP"/>
        </w:rPr>
        <w:t>t</w:t>
      </w:r>
      <w:r w:rsidRPr="005E6B7C">
        <w:rPr>
          <w:rFonts w:asciiTheme="majorHAnsi" w:eastAsia="Yu Mincho" w:hAnsiTheme="majorHAnsi" w:cstheme="majorHAnsi"/>
          <w:color w:val="000000" w:themeColor="text1"/>
          <w:sz w:val="22"/>
          <w:szCs w:val="22"/>
          <w:lang w:eastAsia="ja-JP"/>
        </w:rPr>
        <w:t xml:space="preserve"> of </w:t>
      </w:r>
      <w:r w:rsidRPr="005E6B7C">
        <w:rPr>
          <w:rFonts w:asciiTheme="majorHAnsi" w:eastAsia="Yu Mincho" w:hAnsiTheme="majorHAnsi" w:cstheme="majorHAnsi"/>
          <w:color w:val="000000" w:themeColor="text1"/>
          <w:sz w:val="22"/>
          <w:szCs w:val="22"/>
          <w:lang w:val="vi-VN" w:eastAsia="ja-JP"/>
        </w:rPr>
        <w:t>THSG (0.0203 mg/mL). The formula Tianma Gouteng Keli in the Pharmacopoeia of the People's Republic of China has a composition similar to TGD and specifies baicalin and gastrodin as quality control markers</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&lt;EndNote&gt;&lt;Cite&gt;&lt;RecNum&gt;67&lt;/RecNum&gt;&lt;DisplayText&gt;[9]&lt;/DisplayText&gt;&lt;record&gt;&lt;rec-number&gt;67&lt;/rec-number&gt;&lt;foreign-keys&gt;&lt;key app="EN" db-id="x5wwsrv9mt9rs5e22flvsff0axeds900xdz2" timestamp="1772638143"&gt;67&lt;/key&gt;&lt;/foreign-keys&gt;&lt;ref-type name="Journal Article"&gt;17&lt;/ref-type&gt;&lt;contributors&gt;&lt;/contributors&gt;&lt;titles&gt;&lt;title&gt;Chinese Pharmacopoeia Commission. Pharmacopoeia of the people’s republic of China, China Medical Science Press, 2015, tr.1648-1649&lt;/title&gt;&lt;/titles&gt;&lt;dates&gt;&lt;/dates&gt;&lt;urls&gt;&lt;/urls&gt;&lt;/record&gt;&lt;/Cite&gt;&lt;/EndNote&gt;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[9]</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This finding suggests that </w:t>
      </w:r>
      <w:r w:rsidRPr="005E6B7C">
        <w:rPr>
          <w:rFonts w:asciiTheme="majorHAnsi" w:eastAsia="Yu Mincho" w:hAnsiTheme="majorHAnsi" w:cstheme="majorHAnsi"/>
          <w:color w:val="000000" w:themeColor="text1"/>
          <w:sz w:val="22"/>
          <w:szCs w:val="22"/>
          <w:lang w:val="vi-VN" w:eastAsia="ja-JP"/>
        </w:rPr>
        <w:t>gastrodin, baicalin, and geniposide</w:t>
      </w:r>
      <w:r w:rsidRPr="005E6B7C">
        <w:rPr>
          <w:rFonts w:asciiTheme="majorHAnsi" w:eastAsia="Yu Mincho" w:hAnsiTheme="majorHAnsi" w:cstheme="majorHAnsi"/>
          <w:color w:val="000000" w:themeColor="text1"/>
          <w:sz w:val="22"/>
          <w:szCs w:val="22"/>
          <w:lang w:eastAsia="ja-JP"/>
        </w:rPr>
        <w:t xml:space="preserve"> contributed to TGD's actions</w:t>
      </w:r>
      <w:r w:rsidRPr="005E6B7C">
        <w:rPr>
          <w:rFonts w:asciiTheme="majorHAnsi" w:eastAsia="Yu Mincho" w:hAnsiTheme="majorHAnsi" w:cstheme="majorHAnsi"/>
          <w:color w:val="000000" w:themeColor="text1"/>
          <w:sz w:val="22"/>
          <w:szCs w:val="22"/>
          <w:lang w:val="vi-VN" w:eastAsia="ja-JP"/>
        </w:rPr>
        <w:t>.</w:t>
      </w:r>
    </w:p>
    <w:p w14:paraId="6A9B0BCB"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Gastrodin, one of the principal bioactive constituents of TGD, has been widely investigated for its neuroprotective properties. Clinical evidence from randomized controlled trials indicates that gastrodin, when used as an adjuvant therapy, significantly improves neurological outcomes in patients with acute stroke, as reflected by reductions in the National Institutes of Health Stroke Scale (NIHSS) score, a standardized measure of stroke severity. In addition, gastrodin has been associated with d</w:t>
      </w:r>
      <w:r w:rsidRPr="005E6B7C">
        <w:rPr>
          <w:rFonts w:asciiTheme="majorHAnsi" w:eastAsia="Yu Mincho" w:hAnsiTheme="majorHAnsi" w:cstheme="majorHAnsi"/>
          <w:color w:val="000000" w:themeColor="text1"/>
          <w:spacing w:val="-2"/>
          <w:sz w:val="22"/>
          <w:szCs w:val="22"/>
          <w:lang w:val="vi-VN" w:eastAsia="ja-JP"/>
        </w:rPr>
        <w:t xml:space="preserve">ecreased biomarkers of neuronal injury and increased levels of brain-derived neurotrophic factor </w:t>
      </w:r>
      <w:r w:rsidRPr="005E6B7C">
        <w:rPr>
          <w:rFonts w:asciiTheme="majorHAnsi" w:eastAsia="Yu Mincho" w:hAnsiTheme="majorHAnsi" w:cstheme="majorHAnsi"/>
          <w:color w:val="000000" w:themeColor="text1"/>
          <w:spacing w:val="-2"/>
          <w:sz w:val="22"/>
          <w:szCs w:val="22"/>
          <w:lang w:val="vi-VN" w:eastAsia="ja-JP"/>
        </w:rPr>
        <w:fldChar w:fldCharType="begin"/>
      </w:r>
      <w:r w:rsidRPr="005E6B7C">
        <w:rPr>
          <w:rFonts w:asciiTheme="majorHAnsi" w:eastAsia="Yu Mincho" w:hAnsiTheme="majorHAnsi" w:cstheme="majorHAnsi"/>
          <w:color w:val="000000" w:themeColor="text1"/>
          <w:spacing w:val="-2"/>
          <w:sz w:val="22"/>
          <w:szCs w:val="22"/>
          <w:lang w:val="vi-VN" w:eastAsia="ja-JP"/>
        </w:rPr>
        <w:instrText xml:space="preserve"> ADDIN EN.CITE &lt;EndNote&gt;&lt;Cite&gt;&lt;Author&gt;Wu&lt;/Author&gt;&lt;Year&gt;2024&lt;/Year&gt;&lt;RecNum&gt;55&lt;/RecNum&gt;&lt;DisplayText&gt;[15]&lt;/DisplayText&gt;&lt;record&gt;&lt;rec-number&gt;55&lt;/rec-number&gt;&lt;foreign-keys&gt;&lt;key app="EN" db-id="x5wwsrv9mt9rs5e22flvsff0axeds900xdz2" timestamp="1772362850"&gt;55&lt;/key&gt;&lt;/foreign-keys&gt;&lt;ref-type name="Journal Article"&gt;17&lt;/ref-type&gt;&lt;contributors&gt;&lt;authors&gt;&lt;author&gt;Wu, Xiaojiao&lt;/author&gt;&lt;author&gt;Chen, Zelian&lt;/author&gt;&lt;author&gt;Du, Sishi&lt;/author&gt;&lt;author&gt;Chang, Liming&lt;/author&gt;&lt;author&gt;Zhang, Jian&lt;/author&gt;&lt;/authors&gt;&lt;/contributors&gt;&lt;titles&gt;&lt;title&gt;Gastrodin as Adjuvant Therapy Improves Neuroprotective Effect in Acute Stroke Patients: A Systematic Review With Meta-analysis of Randomised Controlled Trials&lt;/title&gt;&lt;secondary-title&gt;Journal of Herbal Medicine&lt;/secondary-title&gt;&lt;/titles&gt;&lt;periodical&gt;&lt;full-title&gt;Journal of Herbal Medicine&lt;/full-title&gt;&lt;/periodical&gt;&lt;pages&gt;100895&lt;/pages&gt;&lt;volume&gt;46&lt;/volume&gt;&lt;keywords&gt;&lt;keyword&gt;Gastrodin&lt;/keyword&gt;&lt;keyword&gt;Acute stroke&lt;/keyword&gt;&lt;keyword&gt;National Institutes of Health Stroke Scale&lt;/keyword&gt;&lt;keyword&gt;Haematoma&lt;/keyword&gt;&lt;keyword&gt;Meta-analysis&lt;/keyword&gt;&lt;/keywords&gt;&lt;dates&gt;&lt;year&gt;2024&lt;/year&gt;&lt;pub-dates&gt;&lt;date&gt;2024/08/01/&lt;/date&gt;&lt;/pub-dates&gt;&lt;/dates&gt;&lt;isbn&gt;2210-8033&lt;/isbn&gt;&lt;urls&gt;&lt;related-urls&gt;&lt;url&gt;https://www.sciencedirect.com/science/article/pii/S2210803324000526&lt;/url&gt;&lt;/related-urls&gt;&lt;/urls&gt;&lt;electronic-resource-num&gt;https://doi.org/10.1016/j.hermed.2024.100895&lt;/electronic-resource-num&gt;&lt;/record&gt;&lt;/Cite&gt;&lt;/EndNote&gt;</w:instrText>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[15]</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xml:space="preserve">. In experimental animal studies, gastrodin and its derivatives have demonstrated significant neuroprotective effects in models of cerebral ischemia. In a rat MCAO model, a gastrodin derivative (Gas-D) improved neurological deficits, reduced infarct volume, and attenuated neuropathological changes by suppressing inflammatory responses through modulation of the Prx–TLR4 signalling pathway, and by reducing oxidative stress after reperfusion </w:t>
      </w:r>
      <w:r w:rsidRPr="005E6B7C">
        <w:rPr>
          <w:rFonts w:asciiTheme="majorHAnsi" w:eastAsia="Yu Mincho" w:hAnsiTheme="majorHAnsi" w:cstheme="majorHAnsi"/>
          <w:color w:val="000000" w:themeColor="text1"/>
          <w:spacing w:val="-2"/>
          <w:sz w:val="22"/>
          <w:szCs w:val="22"/>
          <w:lang w:val="vi-VN" w:eastAsia="ja-JP"/>
        </w:rPr>
        <w:fldChar w:fldCharType="begin"/>
      </w:r>
      <w:r w:rsidRPr="005E6B7C">
        <w:rPr>
          <w:rFonts w:asciiTheme="majorHAnsi" w:eastAsia="Yu Mincho" w:hAnsiTheme="majorHAnsi" w:cstheme="majorHAnsi"/>
          <w:color w:val="000000" w:themeColor="text1"/>
          <w:spacing w:val="-2"/>
          <w:sz w:val="22"/>
          <w:szCs w:val="22"/>
          <w:lang w:val="vi-VN" w:eastAsia="ja-JP"/>
        </w:rPr>
        <w:instrText xml:space="preserve"> ADDIN EN.CITE &lt;EndNote&gt;&lt;Cite&gt;&lt;Author&gt;Mao&lt;/Author&gt;&lt;Year&gt;2017&lt;/Year&gt;&lt;RecNum&gt;56&lt;/RecNum&gt;&lt;DisplayText&gt;[16]&lt;/DisplayText&gt;&lt;record&gt;&lt;rec-number&gt;56&lt;/rec-number&gt;&lt;foreign-keys&gt;&lt;key app="EN" db-id="x5wwsrv9mt9rs5e22flvsff0axeds900xdz2" timestamp="1772363456"&gt;56&lt;/key&gt;&lt;/foreign-keys&gt;&lt;ref-type name="Journal Article"&gt;17&lt;/ref-type&gt;&lt;contributors&gt;&lt;authors&gt;&lt;author&gt;Mao, X. N.&lt;/author&gt;&lt;author&gt;Zhou, H. J.&lt;/author&gt;&lt;author&gt;Yang, X. J.&lt;/author&gt;&lt;author&gt;Zhao, L. X.&lt;/author&gt;&lt;author&gt;Kuang, X.&lt;/author&gt;&lt;author&gt;Chen, C.&lt;/author&gt;&lt;author&gt;Liu, D. L.&lt;/author&gt;&lt;author&gt;Du, J. R.&lt;/author&gt;&lt;/authors&gt;&lt;/contributors&gt;&lt;auth-address&gt;Department of Pharmacology, Key Laboratory of Drug Targeting and Drug Delivery Systems, West China School of Pharmacy, Sichuan University, Chengdu, 610041, China.&amp;#xD;Sichuan Academy of Chinese Medicine Sciences, Chengdu, 610041, China.&lt;/auth-address&gt;&lt;titles&gt;&lt;title&gt;Neuroprotective effect of a novel gastrodin derivative against ischemic brain injury: involvement of peroxiredoxin and TLR4 signaling inhibition&lt;/title&gt;&lt;secondary-title&gt;Oncotarget&lt;/secondary-title&gt;&lt;/titles&gt;&lt;periodical&gt;&lt;full-title&gt;Oncotarget&lt;/full-title&gt;&lt;/periodical&gt;&lt;pages&gt;90979-90995&lt;/pages&gt;&lt;volume&gt;8&lt;/volume&gt;&lt;number&gt;53&lt;/number&gt;&lt;edition&gt;20170628&lt;/edition&gt;&lt;keywords&gt;&lt;keyword&gt;gastrodin derivative&lt;/keyword&gt;&lt;keyword&gt;ischemic stroke&lt;/keyword&gt;&lt;keyword&gt;neuroinflammation&lt;/keyword&gt;&lt;keyword&gt;peroxiredoxins&lt;/keyword&gt;&lt;keyword&gt;therapeutic window&lt;/keyword&gt;&lt;/keywords&gt;&lt;dates&gt;&lt;year&gt;2017&lt;/year&gt;&lt;pub-dates&gt;&lt;date&gt;Oct 31&lt;/date&gt;&lt;/pub-dates&gt;&lt;/dates&gt;&lt;isbn&gt;1949-2553&lt;/isbn&gt;&lt;accession-num&gt;29207618&lt;/accession-num&gt;&lt;urls&gt;&lt;/urls&gt;&lt;custom1&gt;CONFLICTS OF INTEREST No potential conflicts of interest were disclosed.&lt;/custom1&gt;&lt;custom2&gt;PMC5710899&lt;/custom2&gt;&lt;electronic-resource-num&gt;10.18632/oncotarget.18773&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[16]</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xml:space="preserve">. Recent reviews further indicate that gastrodin exerts multiple neuroprotective mechanisms, including anti-inflammatory and antioxidant effects, regulation of mitochondrial function, inhibition of autophagy and ferroptosis, and modulation of neuronal signalling pathways. In addition, gastrodin exhibits relatively low blood–brain barrier (BBB) permeability under physiological conditions. However, cerebral ischemia is known to disrupt the integrity of the BBB. Therefore, the </w:t>
      </w:r>
      <w:r w:rsidRPr="005E6B7C">
        <w:rPr>
          <w:rFonts w:asciiTheme="majorHAnsi" w:eastAsia="Yu Mincho" w:hAnsiTheme="majorHAnsi" w:cstheme="majorHAnsi"/>
          <w:color w:val="000000" w:themeColor="text1"/>
          <w:spacing w:val="-2"/>
          <w:sz w:val="22"/>
          <w:szCs w:val="22"/>
          <w:lang w:val="vi-VN" w:eastAsia="ja-JP"/>
        </w:rPr>
        <w:lastRenderedPageBreak/>
        <w:t xml:space="preserve">BBB disruption observed in MCAO models may facilitate the entry of gastrodin into brain tissue. Despite its limited blood–brain barrier permeability, advances in drug delivery systems may enhance its bioavailability and therapeutic potential in neurological disorders </w:t>
      </w:r>
      <w:r w:rsidRPr="005E6B7C">
        <w:rPr>
          <w:rFonts w:asciiTheme="majorHAnsi" w:eastAsia="Yu Mincho" w:hAnsiTheme="majorHAnsi" w:cstheme="majorHAnsi"/>
          <w:color w:val="000000" w:themeColor="text1"/>
          <w:spacing w:val="-2"/>
          <w:sz w:val="22"/>
          <w:szCs w:val="22"/>
          <w:lang w:val="vi-VN" w:eastAsia="ja-JP"/>
        </w:rPr>
        <w:fldChar w:fldCharType="begin"/>
      </w:r>
      <w:r w:rsidRPr="005E6B7C">
        <w:rPr>
          <w:rFonts w:asciiTheme="majorHAnsi" w:eastAsia="Yu Mincho" w:hAnsiTheme="majorHAnsi" w:cstheme="majorHAnsi"/>
          <w:color w:val="000000" w:themeColor="text1"/>
          <w:spacing w:val="-2"/>
          <w:sz w:val="22"/>
          <w:szCs w:val="22"/>
          <w:lang w:val="vi-VN" w:eastAsia="ja-JP"/>
        </w:rPr>
        <w:instrText xml:space="preserve"> ADDIN EN.CITE &lt;EndNote&gt;&lt;Cite&gt;&lt;Author&gt;Shi&lt;/Author&gt;&lt;Year&gt;2024&lt;/Year&gt;&lt;RecNum&gt;57&lt;/RecNum&gt;&lt;DisplayText&gt;[17]&lt;/DisplayText&gt;&lt;record&gt;&lt;rec-number&gt;57&lt;/rec-number&gt;&lt;foreign-keys&gt;&lt;key app="EN" db-id="x5wwsrv9mt9rs5e22flvsff0axeds900xdz2" timestamp="1772363476"&gt;57&lt;/key&gt;&lt;/foreign-keys&gt;&lt;ref-type name="Journal Article"&gt;17&lt;/ref-type&gt;&lt;contributors&gt;&lt;authors&gt;&lt;author&gt;Shi,Zhouying&lt;/author&gt;&lt;author&gt;Zhang,Yali&lt;/author&gt;&lt;author&gt;Xiao,Yuhua&lt;/author&gt;&lt;author&gt;Shi,Zhoujing&lt;/author&gt;&lt;author&gt;Wei,Xiaotong&lt;/author&gt;&lt;author&gt;Wang,Bin&lt;/author&gt;&lt;author&gt;Yuan,Yue&lt;/author&gt;&lt;author&gt;Li,Ping&lt;/author&gt;&lt;/authors&gt;&lt;/contributors&gt;&lt;titles&gt;&lt;title&gt;The protective effects of gastrodin on neurological disorders: an update and future perspectives&lt;/title&gt;&lt;secondary-title&gt;Frontiers in Pharmacology&lt;/secondary-title&gt;&lt;short-title&gt;he Protective Effects of Gastrodin&lt;/short-title&gt;&lt;/titles&gt;&lt;periodical&gt;&lt;full-title&gt;Frontiers in Pharmacology&lt;/full-title&gt;&lt;/periodical&gt;&lt;volume&gt;Volume 15 - 2024&lt;/volume&gt;&lt;keywords&gt;&lt;keyword&gt;Gastrodin,neurological disorders,molecular mechanism,Pharmacological effects,pharmacokinetics,drug delivery system&lt;/keyword&gt;&lt;/keywords&gt;&lt;dates&gt;&lt;year&gt;2024&lt;/year&gt;&lt;pub-dates&gt;&lt;date&gt;2024-December-24&lt;/date&gt;&lt;/pub-dates&gt;&lt;/dates&gt;&lt;isbn&gt;1663-9812&lt;/isbn&gt;&lt;work-type&gt;Review&lt;/work-type&gt;&lt;urls&gt;&lt;related-urls&gt;&lt;url&gt;https://www.frontiersin.org/journals/pharmacology/articles/10.3389/fphar.2024.1494277&lt;/url&gt;&lt;/related-urls&gt;&lt;/urls&gt;&lt;electronic-resource-num&gt;10.3389/fphar.2024.1494277&lt;/electronic-resource-num&gt;&lt;language&gt;English&lt;/language&gt;&lt;/record&gt;&lt;/Cite&gt;&lt;/EndNote&gt;</w:instrText>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[17]</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Overall, these findings highlight the important contribution of gastrodin to TGD's neuroprotective profile in ischemic stroke.</w:t>
      </w:r>
    </w:p>
    <w:p w14:paraId="5920663A"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2"/>
          <w:sz w:val="22"/>
          <w:szCs w:val="22"/>
          <w:lang w:val="vi-VN" w:eastAsia="ja-JP"/>
        </w:rPr>
      </w:pPr>
      <w:r w:rsidRPr="005E6B7C">
        <w:rPr>
          <w:rFonts w:asciiTheme="majorHAnsi" w:eastAsia="Yu Mincho" w:hAnsiTheme="majorHAnsi" w:cstheme="majorHAnsi"/>
          <w:color w:val="000000" w:themeColor="text1"/>
          <w:spacing w:val="-2"/>
          <w:sz w:val="22"/>
          <w:szCs w:val="22"/>
          <w:lang w:val="vi-VN" w:eastAsia="ja-JP"/>
        </w:rPr>
        <w:t xml:space="preserve">Recent studies have demonstrated the neuroprotective effects of baicalin in ischemic stroke. Baicalin, a major flavonoid derived from </w:t>
      </w:r>
      <w:r w:rsidRPr="005E6B7C">
        <w:rPr>
          <w:rFonts w:asciiTheme="majorHAnsi" w:eastAsia="Yu Mincho" w:hAnsiTheme="majorHAnsi" w:cstheme="majorHAnsi"/>
          <w:i/>
          <w:iCs/>
          <w:color w:val="000000" w:themeColor="text1"/>
          <w:spacing w:val="-2"/>
          <w:sz w:val="22"/>
          <w:szCs w:val="22"/>
          <w:lang w:val="vi-VN" w:eastAsia="ja-JP"/>
        </w:rPr>
        <w:t>Scutellaria baicalensis</w:t>
      </w:r>
      <w:r w:rsidRPr="005E6B7C">
        <w:rPr>
          <w:rFonts w:asciiTheme="majorHAnsi" w:eastAsia="Yu Mincho" w:hAnsiTheme="majorHAnsi" w:cstheme="majorHAnsi"/>
          <w:color w:val="000000" w:themeColor="text1"/>
          <w:spacing w:val="-2"/>
          <w:sz w:val="22"/>
          <w:szCs w:val="22"/>
          <w:lang w:val="vi-VN" w:eastAsia="ja-JP"/>
        </w:rPr>
        <w:t xml:space="preserve">, has been extensively investigated for its protective role in cerebral ischemia. A recent review highlighted that baicalin exerts multifactorial actions, including antioxidant, anti-inflammatory, and anti-apoptotic effects, as well as mitochondrial protection and upregulation of neurotrophic factors, supporting its therapeutic potential in ischemic stroke </w:t>
      </w:r>
      <w:r w:rsidRPr="005E6B7C">
        <w:rPr>
          <w:rFonts w:asciiTheme="majorHAnsi" w:eastAsia="Yu Mincho" w:hAnsiTheme="majorHAnsi" w:cstheme="majorHAnsi"/>
          <w:color w:val="000000" w:themeColor="text1"/>
          <w:spacing w:val="-2"/>
          <w:sz w:val="22"/>
          <w:szCs w:val="22"/>
          <w:lang w:val="vi-VN" w:eastAsia="ja-JP"/>
        </w:rPr>
        <w:fldChar w:fldCharType="begin"/>
      </w:r>
      <w:r w:rsidRPr="005E6B7C">
        <w:rPr>
          <w:rFonts w:asciiTheme="majorHAnsi" w:eastAsia="Yu Mincho" w:hAnsiTheme="majorHAnsi" w:cstheme="majorHAnsi"/>
          <w:color w:val="000000" w:themeColor="text1"/>
          <w:spacing w:val="-2"/>
          <w:sz w:val="22"/>
          <w:szCs w:val="22"/>
          <w:lang w:val="vi-VN" w:eastAsia="ja-JP"/>
        </w:rPr>
        <w:instrText xml:space="preserve"> ADDIN EN.CITE &lt;EndNote&gt;&lt;Cite&gt;&lt;Author&gt;He&lt;/Author&gt;&lt;Year&gt;2025&lt;/Year&gt;&lt;RecNum&gt;58&lt;/RecNum&gt;&lt;DisplayText&gt;[18]&lt;/DisplayText&gt;&lt;record&gt;&lt;rec-number&gt;58&lt;/rec-number&gt;&lt;foreign-keys&gt;&lt;key app="EN" db-id="x5wwsrv9mt9rs5e22flvsff0axeds900xdz2" timestamp="1772373809"&gt;58&lt;/key&gt;&lt;/foreign-keys&gt;&lt;ref-type name="Journal Article"&gt;17&lt;/ref-type&gt;&lt;contributors&gt;&lt;authors&gt;&lt;author&gt;He, P.&lt;/author&gt;&lt;author&gt;Qiao, R.&lt;/author&gt;&lt;author&gt;Liu, C.&lt;/author&gt;&lt;author&gt;Zhang, W.&lt;/author&gt;&lt;author&gt;Li, H.&lt;/author&gt;&lt;author&gt;He, F.&lt;/author&gt;&lt;/authors&gt;&lt;/contributors&gt;&lt;auth-address&gt;Pharmacy College, Hunan University of Chinese Medicine, Changsha, Hunan 410208, China.&amp;#xD;Hunan Key Laboratory of Druggability and Preparation Modification for Traditional Chinese Medicine, Changsha, Hunan 410208, China.&amp;#xD;The First Affiliated Hospital of Hunan University of Traditional Chinese Medicine, Changsha, Hunan 410007, China.&lt;/auth-address&gt;&lt;titles&gt;&lt;title&gt;Neuroprotective Mechanisms of Baicalin in Ischemia Stroke&lt;/title&gt;&lt;secondary-title&gt;ACS Chem Neurosci&lt;/secondary-title&gt;&lt;/titles&gt;&lt;periodical&gt;&lt;full-title&gt;ACS Chem Neurosci&lt;/full-title&gt;&lt;/periodical&gt;&lt;pages&gt;1978-1995&lt;/pages&gt;&lt;volume&gt;16&lt;/volume&gt;&lt;number&gt;11&lt;/number&gt;&lt;edition&gt;20250522&lt;/edition&gt;&lt;keywords&gt;&lt;keyword&gt;*Flavonoids/pharmacology/therapeutic use&lt;/keyword&gt;&lt;keyword&gt;Humans&lt;/keyword&gt;&lt;keyword&gt;*Neuroprotective Agents/pharmacology/therapeutic use&lt;/keyword&gt;&lt;keyword&gt;*Ischemic Stroke/drug therapy/metabolism&lt;/keyword&gt;&lt;keyword&gt;Animals&lt;/keyword&gt;&lt;keyword&gt;*Brain Ischemia/drug therapy&lt;/keyword&gt;&lt;keyword&gt;anti-inflammatory&lt;/keyword&gt;&lt;keyword&gt;antiapoptotic&lt;/keyword&gt;&lt;keyword&gt;antiexcitotoxicity&lt;/keyword&gt;&lt;keyword&gt;antioxidant&lt;/keyword&gt;&lt;keyword&gt;baicalin&lt;/keyword&gt;&lt;keyword&gt;ischemic stroke&lt;/keyword&gt;&lt;keyword&gt;neuroprotection&lt;/keyword&gt;&lt;/keywords&gt;&lt;dates&gt;&lt;year&gt;2025&lt;/year&gt;&lt;pub-dates&gt;&lt;date&gt;Jun 4&lt;/date&gt;&lt;/pub-dates&gt;&lt;/dates&gt;&lt;isbn&gt;1948-7193&lt;/isbn&gt;&lt;accession-num&gt;40402033&lt;/accession-num&gt;&lt;urls&gt;&lt;/urls&gt;&lt;electronic-resource-num&gt;10.1021/acschemneuro.4c00842&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[18]</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xml:space="preserve">. In experimental MCAO models, baicalin (100 mg/kg) significantly improved neurological deficits and reduced histopathological damage compared with vehicle-treated animals. Mechanistically, baicalin attenuated ROS overproduction and lipid peroxidation, restored the balance of apoptosis-related proteins (increased Bcl-2 and decreased Bax expression), and suppressed caspase-3 activation, thereby inhibiting neuronal apoptosis </w:t>
      </w:r>
      <w:r w:rsidRPr="005E6B7C">
        <w:rPr>
          <w:rFonts w:asciiTheme="majorHAnsi" w:eastAsia="Yu Mincho" w:hAnsiTheme="majorHAnsi" w:cstheme="majorHAnsi"/>
          <w:color w:val="000000" w:themeColor="text1"/>
          <w:spacing w:val="-2"/>
          <w:sz w:val="22"/>
          <w:szCs w:val="22"/>
          <w:lang w:val="vi-VN" w:eastAsia="ja-JP"/>
        </w:rPr>
        <w:fldChar w:fldCharType="begin"/>
      </w:r>
      <w:r w:rsidRPr="005E6B7C">
        <w:rPr>
          <w:rFonts w:asciiTheme="majorHAnsi" w:eastAsia="Yu Mincho" w:hAnsiTheme="majorHAnsi" w:cstheme="majorHAnsi"/>
          <w:color w:val="000000" w:themeColor="text1"/>
          <w:spacing w:val="-2"/>
          <w:sz w:val="22"/>
          <w:szCs w:val="22"/>
          <w:lang w:val="vi-VN" w:eastAsia="ja-JP"/>
        </w:rPr>
        <w:instrText xml:space="preserve"> ADDIN EN.CITE &lt;EndNote&gt;&lt;Cite&gt;&lt;Author&gt;Son&lt;/Author&gt;&lt;Year&gt;2025&lt;/Year&gt;&lt;RecNum&gt;59&lt;/RecNum&gt;&lt;DisplayText&gt;[19]&lt;/DisplayText&gt;&lt;record&gt;&lt;rec-number&gt;59&lt;/rec-number&gt;&lt;foreign-keys&gt;&lt;key app="EN" db-id="x5wwsrv9mt9rs5e22flvsff0axeds900xdz2" timestamp="1772373884"&gt;59&lt;/key&gt;&lt;/foreign-keys&gt;&lt;ref-type name="Journal Article"&gt;17&lt;/ref-type&gt;&lt;contributors&gt;&lt;authors&gt;&lt;author&gt;Son, Hyun-Kyoung&lt;/author&gt;&lt;author&gt;Park, Dong-Ju&lt;/author&gt;&lt;author&gt;Kang, Ju-Bin&lt;/author&gt;&lt;author&gt;Koh, Phil-Ok&lt;/author&gt;&lt;/authors&gt;&lt;/contributors&gt;&lt;titles&gt;&lt;title&gt;Baicalin confers neuroprotection in animal models of stroke through its antioxidant and anti-apoptotic effects&lt;/title&gt;&lt;secondary-title&gt;J Vet Sci&lt;/secondary-title&gt;&lt;/titles&gt;&lt;periodical&gt;&lt;full-title&gt;J Vet Sci&lt;/full-title&gt;&lt;/periodical&gt;&lt;volume&gt;26&lt;/volume&gt;&lt;number&gt;4&lt;/number&gt;&lt;keywords&gt;&lt;keyword&gt;baicalin&lt;/keyword&gt;&lt;keyword&gt;Cerebral ischemia&lt;/keyword&gt;&lt;keyword&gt;Neuroprotection&lt;/keyword&gt;&lt;keyword&gt;stroke&lt;/keyword&gt;&lt;/keywords&gt;&lt;dates&gt;&lt;year&gt;2025&lt;/year&gt;&lt;pub-dates&gt;&lt;date&gt;7/&lt;/date&gt;&lt;/pub-dates&gt;&lt;/dates&gt;&lt;publisher&gt;The Korean Society of Veterinary Science&lt;/publisher&gt;&lt;isbn&gt;1229-845X&lt;/isbn&gt;&lt;urls&gt;&lt;related-urls&gt;&lt;url&gt;https://doi.org/10.4142/jvs.25055&lt;/url&gt;&lt;/related-urls&gt;&lt;/urls&gt;&lt;/record&gt;&lt;/Cite&gt;&lt;/EndNote&gt;</w:instrText>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[19]</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xml:space="preserve">. Additionally, recent studies have demonstrated that THSG exerts significant neuroprotective effects against cerebral ischemia/reperfusion injury. In tMCAO/R and OGD/R models, THSG reduced infarct volume, improved neurological outcomes, and attenuated neuronal apoptosis. Mechanistically, THSG enhanced PINK1–PARK2-mediated mitophagy by activating the GluN2B–CaMKII–ERK1/2 signalling pathway, and these effects were abolished by pharmacological inhibition of mitophagy or GluN2B </w:t>
      </w:r>
      <w:r w:rsidRPr="005E6B7C">
        <w:rPr>
          <w:rFonts w:asciiTheme="majorHAnsi" w:eastAsia="Yu Mincho" w:hAnsiTheme="majorHAnsi" w:cstheme="majorHAnsi"/>
          <w:color w:val="000000" w:themeColor="text1"/>
          <w:spacing w:val="-2"/>
          <w:sz w:val="22"/>
          <w:szCs w:val="22"/>
          <w:lang w:val="vi-VN" w:eastAsia="ja-JP"/>
        </w:rPr>
        <w:fldChar w:fldCharType="begin">
          <w:fldData xml:space="preserve">PEVuZE5vdGU+PENpdGU+PEF1dGhvcj5MaXU8L0F1dGhvcj48WWVhcj4yMDI0PC9ZZWFyPjxSZWNO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</w:fldData>
        </w:fldChar>
      </w:r>
      <w:r w:rsidRPr="005E6B7C">
        <w:rPr>
          <w:rFonts w:asciiTheme="majorHAnsi" w:eastAsia="Yu Mincho" w:hAnsiTheme="majorHAnsi" w:cstheme="majorHAnsi"/>
          <w:color w:val="000000" w:themeColor="text1"/>
          <w:spacing w:val="-2"/>
          <w:sz w:val="22"/>
          <w:szCs w:val="22"/>
          <w:lang w:val="vi-VN" w:eastAsia="ja-JP"/>
        </w:rPr>
        <w:instrText xml:space="preserve"> ADDIN EN.CITE </w:instrText>
      </w:r>
      <w:r w:rsidRPr="005E6B7C">
        <w:rPr>
          <w:rFonts w:asciiTheme="majorHAnsi" w:eastAsia="Yu Mincho" w:hAnsiTheme="majorHAnsi" w:cstheme="majorHAnsi"/>
          <w:color w:val="000000" w:themeColor="text1"/>
          <w:spacing w:val="-2"/>
          <w:sz w:val="22"/>
          <w:szCs w:val="22"/>
          <w:lang w:val="vi-VN" w:eastAsia="ja-JP"/>
        </w:rPr>
        <w:fldChar w:fldCharType="begin">
          <w:fldData xml:space="preserve">PEVuZE5vdGU+PENpdGU+PEF1dGhvcj5MaXU8L0F1dGhvcj48WWVhcj4yMDI0PC9ZZWFyPjxSZWNO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</w:fldData>
        </w:fldChar>
      </w:r>
      <w:r w:rsidRPr="005E6B7C">
        <w:rPr>
          <w:rFonts w:asciiTheme="majorHAnsi" w:eastAsia="Yu Mincho" w:hAnsiTheme="majorHAnsi" w:cstheme="majorHAnsi"/>
          <w:color w:val="000000" w:themeColor="text1"/>
          <w:spacing w:val="-2"/>
          <w:sz w:val="22"/>
          <w:szCs w:val="22"/>
          <w:lang w:val="vi-VN" w:eastAsia="ja-JP"/>
        </w:rPr>
        <w:instrText xml:space="preserve"> ADDIN EN.CITE.DATA </w:instrText>
      </w:r>
      <w:r w:rsidRPr="005E6B7C">
        <w:rPr>
          <w:rFonts w:asciiTheme="majorHAnsi" w:eastAsia="Yu Mincho" w:hAnsiTheme="majorHAnsi" w:cstheme="majorHAnsi"/>
          <w:color w:val="000000" w:themeColor="text1"/>
          <w:spacing w:val="-2"/>
          <w:sz w:val="22"/>
          <w:szCs w:val="22"/>
          <w:lang w:val="vi-VN" w:eastAsia="ja-JP"/>
        </w:rPr>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r>
      <w:r w:rsidRPr="005E6B7C">
        <w:rPr>
          <w:rFonts w:asciiTheme="majorHAnsi" w:eastAsia="Yu Mincho" w:hAnsiTheme="majorHAnsi" w:cstheme="majorHAnsi"/>
          <w:color w:val="000000" w:themeColor="text1"/>
          <w:spacing w:val="-2"/>
          <w:sz w:val="22"/>
          <w:szCs w:val="22"/>
          <w:lang w:val="vi-VN" w:eastAsia="ja-JP"/>
        </w:rPr>
        <w:fldChar w:fldCharType="separate"/>
      </w:r>
      <w:r w:rsidRPr="005E6B7C">
        <w:rPr>
          <w:rFonts w:asciiTheme="majorHAnsi" w:eastAsia="Yu Mincho" w:hAnsiTheme="majorHAnsi" w:cstheme="majorHAnsi"/>
          <w:noProof/>
          <w:color w:val="000000" w:themeColor="text1"/>
          <w:spacing w:val="-2"/>
          <w:sz w:val="22"/>
          <w:szCs w:val="22"/>
          <w:lang w:val="vi-VN" w:eastAsia="ja-JP"/>
        </w:rPr>
        <w:t>[20]</w:t>
      </w:r>
      <w:r w:rsidRPr="005E6B7C">
        <w:rPr>
          <w:rFonts w:asciiTheme="majorHAnsi" w:eastAsia="Yu Mincho" w:hAnsiTheme="majorHAnsi" w:cstheme="majorHAnsi"/>
          <w:color w:val="000000" w:themeColor="text1"/>
          <w:spacing w:val="-2"/>
          <w:sz w:val="22"/>
          <w:szCs w:val="22"/>
          <w:lang w:val="vi-VN" w:eastAsia="ja-JP"/>
        </w:rPr>
        <w:fldChar w:fldCharType="end"/>
      </w:r>
      <w:r w:rsidRPr="005E6B7C">
        <w:rPr>
          <w:rFonts w:asciiTheme="majorHAnsi" w:eastAsia="Yu Mincho" w:hAnsiTheme="majorHAnsi" w:cstheme="majorHAnsi"/>
          <w:color w:val="000000" w:themeColor="text1"/>
          <w:spacing w:val="-2"/>
          <w:sz w:val="22"/>
          <w:szCs w:val="22"/>
          <w:lang w:val="vi-VN" w:eastAsia="ja-JP"/>
        </w:rPr>
        <w:t xml:space="preserve">. These mechanistic insights further support the role of baicalin and THSG as a key component contributing to the multi-target effects of TGD. Although the quantitative analysis in the present study indicated that the THSG content in the TGD extract was considerably lower than that of baicalin or geniposide, this compound may still contribute to the overall neuroprotective efficacy of the formula </w:t>
      </w:r>
      <w:r w:rsidR="00894500" w:rsidRPr="005E6B7C">
        <w:rPr>
          <w:rFonts w:asciiTheme="majorHAnsi" w:eastAsia="Yu Mincho" w:hAnsiTheme="majorHAnsi" w:cstheme="majorHAnsi"/>
          <w:i/>
          <w:iCs/>
          <w:color w:val="000000" w:themeColor="text1"/>
          <w:spacing w:val="-2"/>
          <w:sz w:val="22"/>
          <w:szCs w:val="22"/>
          <w:lang w:val="vi-VN" w:eastAsia="ja-JP"/>
        </w:rPr>
        <w:t>in vivo</w:t>
      </w:r>
      <w:r w:rsidRPr="005E6B7C">
        <w:rPr>
          <w:rFonts w:asciiTheme="majorHAnsi" w:eastAsia="Yu Mincho" w:hAnsiTheme="majorHAnsi" w:cstheme="majorHAnsi"/>
          <w:color w:val="000000" w:themeColor="text1"/>
          <w:spacing w:val="-2"/>
          <w:sz w:val="22"/>
          <w:szCs w:val="22"/>
          <w:lang w:val="vi-VN" w:eastAsia="ja-JP"/>
        </w:rPr>
        <w:t>, possibly through synergistic interactions with other bioactive constituents.</w:t>
      </w:r>
    </w:p>
    <w:p w14:paraId="4AFEA619"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In the MCAO model, both the neuroprotective effects and underlying mechanisms of geniposide have been extensively investigated. Geniposide administration significantly improved neurological deficits, reduced brain oedema and </w:t>
      </w:r>
      <w:r w:rsidRPr="005E6B7C">
        <w:rPr>
          <w:rFonts w:asciiTheme="majorHAnsi" w:eastAsia="Yu Mincho" w:hAnsiTheme="majorHAnsi" w:cstheme="majorHAnsi"/>
          <w:color w:val="000000" w:themeColor="text1"/>
          <w:sz w:val="22"/>
          <w:szCs w:val="22"/>
          <w:lang w:val="vi-VN" w:eastAsia="ja-JP"/>
        </w:rPr>
        <w:t xml:space="preserve">infarct volume, and showed no evident toxicity at doses up to 150 mg/kg. Mechanistically, its protective effects were closely associated with attenuation of inflammatory responses, as geniposide suppressed IL-6 and iNOS expression, upregulated A20, and inhibited activation of the TNF receptor–associated factor-6 (TRAF6)/NF-κB signalling pathway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&lt;EndNote&gt;&lt;Cite&gt;&lt;Author&gt;Sun&lt;/Author&gt;&lt;Year&gt;2023&lt;/Year&gt;&lt;RecNum&gt;60&lt;/RecNum&gt;&lt;DisplayText&gt;[21]&lt;/DisplayText&gt;&lt;record&gt;&lt;rec-number&gt;60&lt;/rec-number&gt;&lt;foreign-keys&gt;&lt;key app="EN" db-id="x5wwsrv9mt9rs5e22flvsff0axeds900xdz2" timestamp="1772374443"&gt;60&lt;/key&gt;&lt;/foreign-keys&gt;&lt;ref-type name="Journal Article"&gt;17&lt;/ref-type&gt;&lt;contributors&gt;&lt;authors&gt;&lt;author&gt;Sun, Q.&lt;/author&gt;&lt;author&gt;Zhang, X.&lt;/author&gt;&lt;author&gt;Fan, J.&lt;/author&gt;&lt;author&gt;Zhang, L.&lt;/author&gt;&lt;author&gt;Ji, H.&lt;/author&gt;&lt;author&gt;Xue, J.&lt;/author&gt;&lt;author&gt;Zhang, C.&lt;/author&gt;&lt;author&gt;Chen, R.&lt;/author&gt;&lt;author&gt;Zhao, J.&lt;/author&gt;&lt;author&gt;Chen, J.&lt;/author&gt;&lt;author&gt;Liu, X.&lt;/author&gt;&lt;author&gt;Song, D.&lt;/author&gt;&lt;/authors&gt;&lt;/contributors&gt;&lt;auth-address&gt;Department of Neurology, Second Hospital of Hebei Medical University, Shijiazhuang, Hebei, 050000, China.&amp;#xD;Hebei Collaborative Innovation Center for Cardio-Cerebrovascular Disease and Hebei Key Laboratory of Vascular Homeostasis, Shijiazhuang, Hebei, China.&amp;#xD;Department of Neurology, First Hospital of Qinhuangdao, Hebei, China.&lt;/auth-address&gt;&lt;titles&gt;&lt;title&gt;Geniposide protected against cerebral ischemic injury through the anti-inflammatory effect via the NF-κB signaling pathway&lt;/title&gt;&lt;secondary-title&gt;Transl Neurosci&lt;/secondary-title&gt;&lt;/titles&gt;&lt;periodical&gt;&lt;full-title&gt;Transl Neurosci&lt;/full-title&gt;&lt;/periodical&gt;&lt;pages&gt;20220273&lt;/pages&gt;&lt;volume&gt;14&lt;/volume&gt;&lt;number&gt;1&lt;/number&gt;&lt;edition&gt;20230609&lt;/edition&gt;&lt;keywords&gt;&lt;keyword&gt;A20&lt;/keyword&gt;&lt;keyword&gt;Mcao&lt;/keyword&gt;&lt;keyword&gt;NF-Kb&lt;/keyword&gt;&lt;keyword&gt;Traf6&lt;/keyword&gt;&lt;keyword&gt;neuroinflammation&lt;/keyword&gt;&lt;/keywords&gt;&lt;dates&gt;&lt;year&gt;2023&lt;/year&gt;&lt;pub-dates&gt;&lt;date&gt;Jan 1&lt;/date&gt;&lt;/pub-dates&gt;&lt;/dates&gt;&lt;isbn&gt;2081-3856 (Print)&amp;#xD;2081-6936&lt;/isbn&gt;&lt;accession-num&gt;37333874&lt;/accession-num&gt;&lt;urls&gt;&lt;/urls&gt;&lt;custom1&gt;Conflict of interest: Authors state no conflict of interest.&lt;/custom1&gt;&lt;custom2&gt;PMC10276575&lt;/custom2&gt;&lt;electronic-resource-num&gt;10.1515/tnsci-2022-0273&lt;/electronic-resource-num&gt;&lt;remote-database-provider&gt;NLM&lt;/remote-database-provider&gt;&lt;language&gt;eng&lt;/language&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[21]</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In addition, in both OGD/R-treated BV2 microglial cells and MCAO mice, geniposide further demonstrated anti-apoptotic, anti-inflammatory, and anti-autophagic effects. It modulated Bcl-2/Bax expression, reduced pro-inflammatory cytokines such as TNF-α and IL-1β, and regulated microglial polarization. Notably, geniposide was shown to exert its protective effect by modulating the SOX2/RIPK1 signalling axis, thereby alleviating cerebral ischemic injury </w:t>
      </w:r>
      <w:r w:rsidR="00894500" w:rsidRPr="005E6B7C">
        <w:rPr>
          <w:rFonts w:asciiTheme="majorHAnsi" w:eastAsia="Yu Mincho" w:hAnsiTheme="majorHAnsi" w:cstheme="majorHAnsi"/>
          <w:i/>
          <w:iCs/>
          <w:color w:val="000000" w:themeColor="text1"/>
          <w:sz w:val="22"/>
          <w:szCs w:val="22"/>
          <w:lang w:val="vi-VN" w:eastAsia="ja-JP"/>
        </w:rPr>
        <w:t>in vivo</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val="vi-VN" w:eastAsia="ja-JP"/>
        </w:rPr>
        <w:fldChar w:fldCharType="begin"/>
      </w:r>
      <w:r w:rsidRPr="005E6B7C">
        <w:rPr>
          <w:rFonts w:asciiTheme="majorHAnsi" w:eastAsia="Yu Mincho" w:hAnsiTheme="majorHAnsi" w:cstheme="majorHAnsi"/>
          <w:color w:val="000000" w:themeColor="text1"/>
          <w:sz w:val="22"/>
          <w:szCs w:val="22"/>
          <w:lang w:val="vi-VN" w:eastAsia="ja-JP"/>
        </w:rPr>
        <w:instrText xml:space="preserve"> ADDIN EN.CITE &lt;EndNote&gt;&lt;Cite&gt;&lt;Author&gt;He&lt;/Author&gt;&lt;Year&gt;2025&lt;/Year&gt;&lt;RecNum&gt;61&lt;/RecNum&gt;&lt;DisplayText&gt;[22]&lt;/DisplayText&gt;&lt;record&gt;&lt;rec-number&gt;61&lt;/rec-number&gt;&lt;foreign-keys&gt;&lt;key app="EN" db-id="x5wwsrv9mt9rs5e22flvsff0axeds900xdz2" timestamp="1772374508"&gt;61&lt;/key&gt;&lt;/foreign-keys&gt;&lt;ref-type name="Journal Article"&gt;17&lt;/ref-type&gt;&lt;contributors&gt;&lt;authors&gt;&lt;author&gt;He, Xiaogang&lt;/author&gt;&lt;author&gt;Zhang, Yi&lt;/author&gt;&lt;author&gt;Xu, Chunyang&lt;/author&gt;&lt;author&gt;Zhang, Rong&lt;/author&gt;&lt;author&gt;Li, Ya&lt;/author&gt;&lt;/authors&gt;&lt;/contributors&gt;&lt;titles&gt;&lt;title&gt;Geniposide protects against cerebral ischemic injury by targeting SOX2/RIPK1 axis&lt;/title&gt;&lt;secondary-title&gt;Naunyn-Schmiedeberg&amp;apos;s Archives of Pharmacology&lt;/secondary-title&gt;&lt;/titles&gt;&lt;periodical&gt;&lt;full-title&gt;Naunyn-Schmiedeberg&amp;apos;s Archives of Pharmacology&lt;/full-title&gt;&lt;/periodical&gt;&lt;pages&gt;13981-13993&lt;/pages&gt;&lt;volume&gt;398&lt;/volume&gt;&lt;number&gt;10&lt;/number&gt;&lt;dates&gt;&lt;year&gt;2025&lt;/year&gt;&lt;/dates&gt;&lt;isbn&gt;0028-1298&lt;/isbn&gt;&lt;urls&gt;&lt;/urls&gt;&lt;/record&gt;&lt;/Cite&gt;&lt;/EndNote&gt;</w:instrText>
      </w:r>
      <w:r w:rsidRPr="005E6B7C">
        <w:rPr>
          <w:rFonts w:asciiTheme="majorHAnsi" w:eastAsia="Yu Mincho" w:hAnsiTheme="majorHAnsi" w:cstheme="majorHAnsi"/>
          <w:color w:val="000000" w:themeColor="text1"/>
          <w:sz w:val="22"/>
          <w:szCs w:val="22"/>
          <w:lang w:val="vi-VN" w:eastAsia="ja-JP"/>
        </w:rPr>
        <w:fldChar w:fldCharType="separate"/>
      </w:r>
      <w:r w:rsidRPr="005E6B7C">
        <w:rPr>
          <w:rFonts w:asciiTheme="majorHAnsi" w:eastAsia="Yu Mincho" w:hAnsiTheme="majorHAnsi" w:cstheme="majorHAnsi"/>
          <w:noProof/>
          <w:color w:val="000000" w:themeColor="text1"/>
          <w:sz w:val="22"/>
          <w:szCs w:val="22"/>
          <w:lang w:val="vi-VN" w:eastAsia="ja-JP"/>
        </w:rPr>
        <w:t>[22]</w:t>
      </w:r>
      <w:r w:rsidRPr="005E6B7C">
        <w:rPr>
          <w:rFonts w:asciiTheme="majorHAnsi" w:eastAsia="Yu Mincho" w:hAnsiTheme="majorHAnsi" w:cstheme="majorHAnsi"/>
          <w:color w:val="000000" w:themeColor="text1"/>
          <w:sz w:val="22"/>
          <w:szCs w:val="22"/>
          <w:lang w:val="vi-VN" w:eastAsia="ja-JP"/>
        </w:rPr>
        <w:fldChar w:fldCharType="end"/>
      </w:r>
      <w:r w:rsidRPr="005E6B7C">
        <w:rPr>
          <w:rFonts w:asciiTheme="majorHAnsi" w:eastAsia="Yu Mincho" w:hAnsiTheme="majorHAnsi" w:cstheme="majorHAnsi"/>
          <w:color w:val="000000" w:themeColor="text1"/>
          <w:sz w:val="22"/>
          <w:szCs w:val="22"/>
          <w:lang w:val="vi-VN" w:eastAsia="ja-JP"/>
        </w:rPr>
        <w:t xml:space="preserve">. Together, these findings reinforce the notion that geniposide contributes to the integrated neuroprotective mechanisms of TGD. </w:t>
      </w:r>
    </w:p>
    <w:p w14:paraId="2636DD8F"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z w:val="22"/>
          <w:szCs w:val="22"/>
          <w:lang w:val="vi-VN" w:eastAsia="ja-JP"/>
        </w:rPr>
      </w:pPr>
      <w:r w:rsidRPr="005E6B7C">
        <w:rPr>
          <w:rFonts w:asciiTheme="majorHAnsi" w:eastAsia="Yu Mincho" w:hAnsiTheme="majorHAnsi" w:cstheme="majorHAnsi"/>
          <w:color w:val="000000" w:themeColor="text1"/>
          <w:sz w:val="22"/>
          <w:szCs w:val="22"/>
          <w:lang w:val="vi-VN" w:eastAsia="ja-JP"/>
        </w:rPr>
        <w:t xml:space="preserve">According to traditional Chinese medicine theory, TGD is traditionally used to calm the liver, extinguish internal wind, clear heat, promote blood circulation, and nourish the liver and kidneys. Within this formula, </w:t>
      </w:r>
      <w:r w:rsidRPr="005E6B7C">
        <w:rPr>
          <w:rFonts w:asciiTheme="majorHAnsi" w:eastAsia="Yu Mincho" w:hAnsiTheme="majorHAnsi" w:cstheme="majorHAnsi"/>
          <w:i/>
          <w:iCs/>
          <w:color w:val="000000" w:themeColor="text1"/>
          <w:sz w:val="22"/>
          <w:szCs w:val="22"/>
          <w:lang w:val="vi-VN" w:eastAsia="ja-JP"/>
        </w:rPr>
        <w:t>Gastrodia elata</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i/>
          <w:iCs/>
          <w:color w:val="000000" w:themeColor="text1"/>
          <w:sz w:val="22"/>
          <w:szCs w:val="22"/>
          <w:lang w:val="vi-VN" w:eastAsia="ja-JP"/>
        </w:rPr>
        <w:t>Uncaria rhynchophylla</w:t>
      </w:r>
      <w:r w:rsidRPr="005E6B7C">
        <w:rPr>
          <w:rFonts w:asciiTheme="majorHAnsi" w:eastAsia="Yu Mincho" w:hAnsiTheme="majorHAnsi" w:cstheme="majorHAnsi"/>
          <w:color w:val="000000" w:themeColor="text1"/>
          <w:sz w:val="22"/>
          <w:szCs w:val="22"/>
          <w:lang w:val="vi-VN" w:eastAsia="ja-JP"/>
        </w:rPr>
        <w:t xml:space="preserve">, and </w:t>
      </w:r>
      <w:r w:rsidRPr="005E6B7C">
        <w:rPr>
          <w:rFonts w:asciiTheme="majorHAnsi" w:eastAsia="Yu Mincho" w:hAnsiTheme="majorHAnsi" w:cstheme="majorHAnsi"/>
          <w:i/>
          <w:iCs/>
          <w:color w:val="000000" w:themeColor="text1"/>
          <w:sz w:val="22"/>
          <w:szCs w:val="22"/>
          <w:lang w:val="vi-VN" w:eastAsia="ja-JP"/>
        </w:rPr>
        <w:t>Haliotis diversicolor</w:t>
      </w:r>
      <w:r w:rsidRPr="005E6B7C">
        <w:rPr>
          <w:rFonts w:asciiTheme="majorHAnsi" w:eastAsia="Yu Mincho" w:hAnsiTheme="majorHAnsi" w:cstheme="majorHAnsi"/>
          <w:color w:val="000000" w:themeColor="text1"/>
          <w:sz w:val="22"/>
          <w:szCs w:val="22"/>
          <w:lang w:val="vi-VN" w:eastAsia="ja-JP"/>
        </w:rPr>
        <w:t xml:space="preserve"> function as the “Jun” (principal herbs), primarily responsible for calming liver wind and relieving neurological symptoms. </w:t>
      </w:r>
      <w:r w:rsidRPr="005E6B7C">
        <w:rPr>
          <w:rFonts w:asciiTheme="majorHAnsi" w:eastAsia="Yu Mincho" w:hAnsiTheme="majorHAnsi" w:cstheme="majorHAnsi"/>
          <w:i/>
          <w:iCs/>
          <w:color w:val="000000" w:themeColor="text1"/>
          <w:sz w:val="22"/>
          <w:szCs w:val="22"/>
          <w:lang w:val="vi-VN" w:eastAsia="ja-JP"/>
        </w:rPr>
        <w:t>Gardenia jasminoides</w:t>
      </w:r>
      <w:r w:rsidRPr="005E6B7C">
        <w:rPr>
          <w:rFonts w:asciiTheme="majorHAnsi" w:eastAsia="Yu Mincho" w:hAnsiTheme="majorHAnsi" w:cstheme="majorHAnsi"/>
          <w:color w:val="000000" w:themeColor="text1"/>
          <w:sz w:val="22"/>
          <w:szCs w:val="22"/>
          <w:lang w:val="vi-VN" w:eastAsia="ja-JP"/>
        </w:rPr>
        <w:t xml:space="preserve"> and </w:t>
      </w:r>
      <w:r w:rsidRPr="005E6B7C">
        <w:rPr>
          <w:rFonts w:asciiTheme="majorHAnsi" w:eastAsia="Yu Mincho" w:hAnsiTheme="majorHAnsi" w:cstheme="majorHAnsi"/>
          <w:i/>
          <w:iCs/>
          <w:color w:val="000000" w:themeColor="text1"/>
          <w:sz w:val="22"/>
          <w:szCs w:val="22"/>
          <w:lang w:val="vi-VN" w:eastAsia="ja-JP"/>
        </w:rPr>
        <w:t>Scutellaria baicalensis</w:t>
      </w:r>
      <w:r w:rsidRPr="005E6B7C">
        <w:rPr>
          <w:rFonts w:asciiTheme="majorHAnsi" w:eastAsia="Yu Mincho" w:hAnsiTheme="majorHAnsi" w:cstheme="majorHAnsi"/>
          <w:color w:val="000000" w:themeColor="text1"/>
          <w:sz w:val="22"/>
          <w:szCs w:val="22"/>
          <w:lang w:val="vi-VN" w:eastAsia="ja-JP"/>
        </w:rPr>
        <w:t xml:space="preserve"> serve as the “Chen” (minister herbs), clearing heat and suppressing excessive liver fire. Other components, including </w:t>
      </w:r>
      <w:r w:rsidRPr="005E6B7C">
        <w:rPr>
          <w:rFonts w:asciiTheme="majorHAnsi" w:eastAsia="Yu Mincho" w:hAnsiTheme="majorHAnsi" w:cstheme="majorHAnsi"/>
          <w:i/>
          <w:iCs/>
          <w:color w:val="000000" w:themeColor="text1"/>
          <w:sz w:val="22"/>
          <w:szCs w:val="22"/>
          <w:lang w:val="vi-VN" w:eastAsia="ja-JP"/>
        </w:rPr>
        <w:t>Leonurus japonicus</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i/>
          <w:iCs/>
          <w:color w:val="000000" w:themeColor="text1"/>
          <w:sz w:val="22"/>
          <w:szCs w:val="22"/>
          <w:lang w:val="vi-VN" w:eastAsia="ja-JP"/>
        </w:rPr>
        <w:t>Achyranthes bidentata</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i/>
          <w:iCs/>
          <w:color w:val="000000" w:themeColor="text1"/>
          <w:sz w:val="22"/>
          <w:szCs w:val="22"/>
          <w:lang w:val="vi-VN" w:eastAsia="ja-JP"/>
        </w:rPr>
        <w:t>Eucommia ulmoides</w:t>
      </w:r>
      <w:r w:rsidRPr="005E6B7C">
        <w:rPr>
          <w:rFonts w:asciiTheme="majorHAnsi" w:eastAsia="Yu Mincho" w:hAnsiTheme="majorHAnsi" w:cstheme="majorHAnsi"/>
          <w:color w:val="000000" w:themeColor="text1"/>
          <w:sz w:val="22"/>
          <w:szCs w:val="22"/>
          <w:lang w:val="vi-VN" w:eastAsia="ja-JP"/>
        </w:rPr>
        <w:t xml:space="preserve">, and </w:t>
      </w:r>
      <w:r w:rsidRPr="005E6B7C">
        <w:rPr>
          <w:rFonts w:asciiTheme="majorHAnsi" w:eastAsia="Yu Mincho" w:hAnsiTheme="majorHAnsi" w:cstheme="majorHAnsi"/>
          <w:i/>
          <w:iCs/>
          <w:color w:val="000000" w:themeColor="text1"/>
          <w:sz w:val="22"/>
          <w:szCs w:val="22"/>
          <w:lang w:val="vi-VN" w:eastAsia="ja-JP"/>
        </w:rPr>
        <w:t>Taxillus chinensis</w:t>
      </w:r>
      <w:r w:rsidRPr="005E6B7C">
        <w:rPr>
          <w:rFonts w:asciiTheme="majorHAnsi" w:eastAsia="Yu Mincho" w:hAnsiTheme="majorHAnsi" w:cstheme="majorHAnsi"/>
          <w:color w:val="000000" w:themeColor="text1"/>
          <w:sz w:val="22"/>
          <w:szCs w:val="22"/>
          <w:lang w:val="vi-VN" w:eastAsia="ja-JP"/>
        </w:rPr>
        <w:t xml:space="preserve">, promote blood circulation and nourish the liver and kidney, while </w:t>
      </w:r>
      <w:r w:rsidRPr="005E6B7C">
        <w:rPr>
          <w:rFonts w:asciiTheme="majorHAnsi" w:eastAsia="Yu Mincho" w:hAnsiTheme="majorHAnsi" w:cstheme="majorHAnsi"/>
          <w:i/>
          <w:iCs/>
          <w:color w:val="000000" w:themeColor="text1"/>
          <w:sz w:val="22"/>
          <w:szCs w:val="22"/>
          <w:lang w:val="vi-VN" w:eastAsia="ja-JP"/>
        </w:rPr>
        <w:t>Polygonum multiflorum</w:t>
      </w:r>
      <w:r w:rsidRPr="005E6B7C">
        <w:rPr>
          <w:rFonts w:asciiTheme="majorHAnsi" w:eastAsia="Yu Mincho" w:hAnsiTheme="majorHAnsi" w:cstheme="majorHAnsi"/>
          <w:color w:val="000000" w:themeColor="text1"/>
          <w:sz w:val="22"/>
          <w:szCs w:val="22"/>
          <w:lang w:val="vi-VN" w:eastAsia="ja-JP"/>
        </w:rPr>
        <w:t xml:space="preserve"> and </w:t>
      </w:r>
      <w:r w:rsidRPr="005E6B7C">
        <w:rPr>
          <w:rFonts w:asciiTheme="majorHAnsi" w:eastAsia="Yu Mincho" w:hAnsiTheme="majorHAnsi" w:cstheme="majorHAnsi"/>
          <w:i/>
          <w:iCs/>
          <w:color w:val="000000" w:themeColor="text1"/>
          <w:sz w:val="22"/>
          <w:szCs w:val="22"/>
          <w:lang w:val="vi-VN" w:eastAsia="ja-JP"/>
        </w:rPr>
        <w:t xml:space="preserve">Poria cocos </w:t>
      </w:r>
      <w:r w:rsidRPr="005E6B7C">
        <w:rPr>
          <w:rFonts w:asciiTheme="majorHAnsi" w:eastAsia="Yu Mincho" w:hAnsiTheme="majorHAnsi" w:cstheme="majorHAnsi"/>
          <w:color w:val="000000" w:themeColor="text1"/>
          <w:sz w:val="22"/>
          <w:szCs w:val="22"/>
          <w:lang w:val="vi-VN" w:eastAsia="ja-JP"/>
        </w:rPr>
        <w:t>exert calming and sedative effects; these herbs function as the “Zuo” and “Shi” components that support and harmonize the overall therapeutic action of the formula. The traditional formulation principle of “Jun–Chen–Zuo–Shi” may provide a theoretical basis supporting the neuroprotective efficacy of TGD observed in experimental ischemic stroke.</w:t>
      </w:r>
    </w:p>
    <w:p w14:paraId="21DE6D93"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2"/>
          <w:sz w:val="22"/>
          <w:szCs w:val="22"/>
          <w:lang w:val="vi-VN" w:eastAsia="ja-JP"/>
        </w:rPr>
      </w:pPr>
      <w:r w:rsidRPr="005E6B7C">
        <w:rPr>
          <w:rFonts w:asciiTheme="majorHAnsi" w:eastAsia="Yu Mincho" w:hAnsiTheme="majorHAnsi" w:cstheme="majorHAnsi"/>
          <w:color w:val="000000" w:themeColor="text1"/>
          <w:spacing w:val="-2"/>
          <w:sz w:val="22"/>
          <w:szCs w:val="22"/>
          <w:lang w:val="vi-VN" w:eastAsia="ja-JP"/>
        </w:rPr>
        <w:t xml:space="preserve">Thus, the neuroprotective effects of TGD observed in the MCAO mouse model may be partially explained by the pharmacological actions of its bioactive constituents. Importantly, the multi-component and multi-target characteristics of TGD may underlie its superior efficacy at the optimal dose identified in this study. Further studies with longer observation periods are required to determine whether TGD can provide sustained </w:t>
      </w:r>
      <w:r w:rsidRPr="005E6B7C">
        <w:rPr>
          <w:rFonts w:asciiTheme="majorHAnsi" w:eastAsia="Yu Mincho" w:hAnsiTheme="majorHAnsi" w:cstheme="majorHAnsi"/>
          <w:color w:val="000000" w:themeColor="text1"/>
          <w:spacing w:val="-2"/>
          <w:sz w:val="22"/>
          <w:szCs w:val="22"/>
          <w:lang w:val="vi-VN" w:eastAsia="ja-JP"/>
        </w:rPr>
        <w:lastRenderedPageBreak/>
        <w:t>neuroprotective effects and improve long-term neurological outcomes after stroke.</w:t>
      </w:r>
    </w:p>
    <w:p w14:paraId="41E8F4DD" w14:textId="77777777" w:rsidR="00E049CB" w:rsidRPr="005E6B7C" w:rsidRDefault="00E049CB" w:rsidP="008C0D47">
      <w:pPr>
        <w:tabs>
          <w:tab w:val="left" w:pos="270"/>
          <w:tab w:val="left" w:pos="2127"/>
        </w:tabs>
        <w:spacing w:line="240"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 xml:space="preserve">5. </w:t>
      </w:r>
      <w:r w:rsidRPr="005E6B7C">
        <w:rPr>
          <w:rFonts w:asciiTheme="majorHAnsi" w:eastAsia="Yu Mincho" w:hAnsiTheme="majorHAnsi" w:cstheme="majorHAnsi"/>
          <w:b/>
          <w:bCs/>
          <w:color w:val="000000" w:themeColor="text1"/>
          <w:sz w:val="22"/>
          <w:szCs w:val="22"/>
          <w:lang w:eastAsia="ja-JP"/>
        </w:rPr>
        <w:t>Conclusion</w:t>
      </w:r>
    </w:p>
    <w:p w14:paraId="2106A053" w14:textId="5F3B5802" w:rsidR="00BD35FA" w:rsidRPr="005E6B7C" w:rsidRDefault="00E049CB"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val="vi-VN" w:eastAsia="ja-JP"/>
        </w:rPr>
        <w:t xml:space="preserve">Tianma Gouteng Decoction (TGD) exhibited neuroprotective effects in a 60-min MCAO model of transient focal cerebral ischemia. TGD at 13.7 g/kg produced the most pronounced effects, significantly reducing infarct volume, improving </w:t>
      </w:r>
      <w:r w:rsidRPr="005E6B7C">
        <w:rPr>
          <w:rFonts w:asciiTheme="majorHAnsi" w:eastAsia="Yu Mincho" w:hAnsiTheme="majorHAnsi" w:cstheme="majorHAnsi"/>
          <w:color w:val="000000" w:themeColor="text1"/>
          <w:spacing w:val="-2"/>
          <w:sz w:val="22"/>
          <w:szCs w:val="22"/>
          <w:lang w:val="vi-VN" w:eastAsia="ja-JP"/>
        </w:rPr>
        <w:t xml:space="preserve">neurological deficits, and attenuating body weight loss compared with the vehicle-treated group. Chemical analysis demonstrated that the TGD extract contained gastrodin (1.4 mg/mL), baicalin (10.091 mg/mL), </w:t>
      </w:r>
      <w:r w:rsidRPr="005E6B7C">
        <w:rPr>
          <w:rFonts w:asciiTheme="majorHAnsi" w:eastAsia="Yu Mincho" w:hAnsiTheme="majorHAnsi" w:cstheme="majorHAnsi" w:hint="eastAsia"/>
          <w:color w:val="000000" w:themeColor="text1"/>
          <w:spacing w:val="-2"/>
          <w:sz w:val="22"/>
          <w:szCs w:val="22"/>
          <w:lang w:eastAsia="ja-JP"/>
        </w:rPr>
        <w:t>2,3,5,4</w:t>
      </w:r>
      <w:r w:rsidR="007A051F" w:rsidRPr="005E6B7C">
        <w:rPr>
          <w:rFonts w:eastAsia="Yu Mincho"/>
          <w:color w:val="000000" w:themeColor="text1"/>
          <w:spacing w:val="-2"/>
          <w:sz w:val="22"/>
          <w:szCs w:val="22"/>
          <w:lang w:eastAsia="ja-JP"/>
        </w:rPr>
        <w:t>ʹ</w:t>
      </w:r>
      <w:r w:rsidRPr="005E6B7C">
        <w:rPr>
          <w:rFonts w:asciiTheme="majorHAnsi" w:eastAsia="Yu Mincho" w:hAnsiTheme="majorHAnsi" w:cstheme="majorHAnsi" w:hint="eastAsia"/>
          <w:color w:val="000000" w:themeColor="text1"/>
          <w:spacing w:val="-2"/>
          <w:sz w:val="22"/>
          <w:szCs w:val="22"/>
          <w:lang w:eastAsia="ja-JP"/>
        </w:rPr>
        <w:t>-tetrahydroxystilbene-2-</w:t>
      </w:r>
      <w:r w:rsidRPr="005E6B7C">
        <w:rPr>
          <w:rFonts w:asciiTheme="majorHAnsi" w:eastAsia="Yu Mincho" w:hAnsiTheme="majorHAnsi" w:cstheme="majorHAnsi"/>
          <w:i/>
          <w:color w:val="000000" w:themeColor="text1"/>
          <w:spacing w:val="-2"/>
          <w:sz w:val="22"/>
          <w:szCs w:val="22"/>
          <w:lang w:eastAsia="ja-JP"/>
        </w:rPr>
        <w:t>O</w:t>
      </w:r>
      <w:r w:rsidRPr="005E6B7C">
        <w:rPr>
          <w:rFonts w:asciiTheme="majorHAnsi" w:eastAsia="Yu Mincho" w:hAnsiTheme="majorHAnsi" w:cstheme="majorHAnsi"/>
          <w:color w:val="000000" w:themeColor="text1"/>
          <w:spacing w:val="-2"/>
          <w:sz w:val="22"/>
          <w:szCs w:val="22"/>
          <w:lang w:eastAsia="ja-JP"/>
        </w:rPr>
        <w:t>-</w:t>
      </w:r>
      <w:r w:rsidRPr="005E6B7C">
        <w:rPr>
          <w:rFonts w:asciiTheme="majorHAnsi" w:eastAsia="Yu Mincho" w:hAnsiTheme="majorHAnsi" w:cstheme="majorHAnsi"/>
          <w:i/>
          <w:iCs/>
          <w:color w:val="000000" w:themeColor="text1"/>
          <w:spacing w:val="-2"/>
          <w:sz w:val="22"/>
          <w:szCs w:val="22"/>
          <w:lang w:eastAsia="ja-JP"/>
        </w:rPr>
        <w:t>β</w:t>
      </w:r>
      <w:r w:rsidRPr="005E6B7C">
        <w:rPr>
          <w:rFonts w:asciiTheme="majorHAnsi" w:eastAsia="Yu Mincho" w:hAnsiTheme="majorHAnsi" w:cstheme="majorHAnsi"/>
          <w:color w:val="000000" w:themeColor="text1"/>
          <w:spacing w:val="-2"/>
          <w:sz w:val="22"/>
          <w:szCs w:val="22"/>
          <w:lang w:eastAsia="ja-JP"/>
        </w:rPr>
        <w:t>-D-glucoside</w:t>
      </w:r>
      <w:r w:rsidRPr="005E6B7C">
        <w:rPr>
          <w:rFonts w:asciiTheme="majorHAnsi" w:eastAsia="Yu Mincho" w:hAnsiTheme="majorHAnsi" w:cstheme="majorHAnsi"/>
          <w:color w:val="000000" w:themeColor="text1"/>
          <w:spacing w:val="-2"/>
          <w:sz w:val="22"/>
          <w:szCs w:val="22"/>
          <w:lang w:val="vi-VN" w:eastAsia="ja-JP"/>
        </w:rPr>
        <w:t xml:space="preserve"> (0.0203 mg/mL), and geniposide (9.023 mg/mL), which may contribute to the observed pharmacological effects.</w:t>
      </w:r>
    </w:p>
    <w:p w14:paraId="1641420F" w14:textId="77777777" w:rsidR="00BD35FA" w:rsidRPr="005E6B7C" w:rsidRDefault="00BD35FA" w:rsidP="008C0D47">
      <w:pPr>
        <w:tabs>
          <w:tab w:val="left" w:pos="270"/>
          <w:tab w:val="left" w:pos="2127"/>
        </w:tabs>
        <w:spacing w:line="240" w:lineRule="exact"/>
        <w:ind w:firstLine="284"/>
        <w:jc w:val="both"/>
        <w:rPr>
          <w:rFonts w:asciiTheme="majorHAnsi" w:eastAsia="Yu Mincho" w:hAnsiTheme="majorHAnsi" w:cstheme="majorHAnsi"/>
          <w:color w:val="000000" w:themeColor="text1"/>
          <w:spacing w:val="-2"/>
          <w:sz w:val="22"/>
          <w:szCs w:val="22"/>
          <w:lang w:eastAsia="ja-JP"/>
        </w:rPr>
        <w:sectPr w:rsidR="00BD35FA" w:rsidRPr="005E6B7C" w:rsidSect="00BD35FA">
          <w:type w:val="continuous"/>
          <w:pgSz w:w="10773" w:h="15309" w:code="9"/>
          <w:pgMar w:top="907" w:right="851" w:bottom="1418" w:left="851" w:header="397" w:footer="851" w:gutter="0"/>
          <w:cols w:num="2" w:space="284"/>
          <w:docGrid w:linePitch="360"/>
        </w:sectPr>
      </w:pPr>
    </w:p>
    <w:p w14:paraId="608FEBE0" w14:textId="77777777" w:rsidR="00991AEC" w:rsidRPr="005E6B7C" w:rsidRDefault="00991AEC" w:rsidP="008C0D47">
      <w:pPr>
        <w:tabs>
          <w:tab w:val="left" w:pos="270"/>
          <w:tab w:val="left" w:pos="2127"/>
        </w:tabs>
        <w:ind w:right="-20"/>
        <w:jc w:val="center"/>
        <w:rPr>
          <w:rFonts w:asciiTheme="majorHAnsi" w:eastAsia="Yu Mincho" w:hAnsiTheme="majorHAnsi" w:cstheme="majorHAnsi"/>
          <w:b/>
          <w:color w:val="000000" w:themeColor="text1"/>
          <w:sz w:val="18"/>
          <w:szCs w:val="18"/>
          <w:lang w:eastAsia="ja-JP"/>
        </w:rPr>
      </w:pPr>
    </w:p>
    <w:p w14:paraId="0C58D395" w14:textId="77777777" w:rsidR="00E049CB" w:rsidRPr="005E6B7C" w:rsidRDefault="00E049CB" w:rsidP="008C0D47">
      <w:pPr>
        <w:tabs>
          <w:tab w:val="left" w:pos="270"/>
          <w:tab w:val="left" w:pos="2127"/>
        </w:tabs>
        <w:spacing w:after="1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color w:val="000000" w:themeColor="text1"/>
          <w:sz w:val="18"/>
          <w:szCs w:val="18"/>
          <w:lang w:eastAsia="ja-JP"/>
        </w:rPr>
        <w:t>References</w:t>
      </w:r>
    </w:p>
    <w:p w14:paraId="46B9C17D"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Campbell B. 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V., De Silva D. A., Macleod M. R., Coutts S. B., Schwamm L. H., Davis S.  M., Donnan G. A. (2019), Ischaemic stroke, </w:t>
      </w:r>
      <w:r w:rsidRPr="005E6B7C">
        <w:rPr>
          <w:rFonts w:asciiTheme="majorHAnsi" w:eastAsia="Yu Mincho" w:hAnsiTheme="majorHAnsi" w:cstheme="majorHAnsi"/>
          <w:i/>
          <w:color w:val="000000" w:themeColor="text1"/>
          <w:sz w:val="18"/>
          <w:szCs w:val="18"/>
          <w:lang w:eastAsia="ja-JP"/>
        </w:rPr>
        <w:t>Nature Reviews Disease Primers</w:t>
      </w:r>
      <w:r w:rsidRPr="005E6B7C">
        <w:rPr>
          <w:rFonts w:asciiTheme="majorHAnsi" w:eastAsia="Yu Mincho" w:hAnsiTheme="majorHAnsi" w:cstheme="majorHAnsi"/>
          <w:color w:val="000000" w:themeColor="text1"/>
          <w:sz w:val="18"/>
          <w:szCs w:val="18"/>
          <w:lang w:eastAsia="ja-JP"/>
        </w:rPr>
        <w:t>, 5(1), 70.</w:t>
      </w:r>
    </w:p>
    <w:p w14:paraId="5F40A164"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Lyden S., Wold J. (2022)</w:t>
      </w:r>
      <w:r w:rsidRPr="005E6B7C">
        <w:rPr>
          <w:rFonts w:asciiTheme="majorHAnsi" w:eastAsia="Yu Mincho" w:hAnsiTheme="majorHAnsi" w:cstheme="majorHAnsi"/>
          <w:color w:val="000000" w:themeColor="text1"/>
          <w:sz w:val="18"/>
          <w:szCs w:val="18"/>
          <w:lang w:val="vi-VN" w:eastAsia="ja-JP"/>
        </w:rPr>
        <w:t>,</w:t>
      </w:r>
      <w:r w:rsidRPr="005E6B7C">
        <w:rPr>
          <w:rFonts w:asciiTheme="majorHAnsi" w:eastAsia="Yu Mincho" w:hAnsiTheme="majorHAnsi" w:cstheme="majorHAnsi"/>
          <w:color w:val="000000" w:themeColor="text1"/>
          <w:sz w:val="18"/>
          <w:szCs w:val="18"/>
          <w:lang w:eastAsia="ja-JP"/>
        </w:rPr>
        <w:t xml:space="preserve"> Acute treatment of ischemic stroke, </w:t>
      </w:r>
      <w:r w:rsidRPr="005E6B7C">
        <w:rPr>
          <w:rFonts w:asciiTheme="majorHAnsi" w:eastAsia="Yu Mincho" w:hAnsiTheme="majorHAnsi" w:cstheme="majorHAnsi"/>
          <w:i/>
          <w:iCs/>
          <w:color w:val="000000" w:themeColor="text1"/>
          <w:sz w:val="18"/>
          <w:szCs w:val="18"/>
          <w:lang w:eastAsia="ja-JP"/>
        </w:rPr>
        <w:t>Neurologic Clinics</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40(1), 17-32.</w:t>
      </w:r>
    </w:p>
    <w:p w14:paraId="4D7C5005"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3.</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val="vi-VN" w:eastAsia="ja-JP"/>
        </w:rPr>
        <w:t xml:space="preserve">Hanoi Medical University, Faculty of Traditional Medicine (2005), Lectures on Traditional Medicine Volume I, </w:t>
      </w:r>
      <w:r w:rsidRPr="005E6B7C">
        <w:rPr>
          <w:rFonts w:asciiTheme="majorHAnsi" w:eastAsia="Yu Mincho" w:hAnsiTheme="majorHAnsi" w:cstheme="majorHAnsi"/>
          <w:i/>
          <w:iCs/>
          <w:color w:val="000000" w:themeColor="text1"/>
          <w:sz w:val="18"/>
          <w:szCs w:val="18"/>
          <w:lang w:val="vi-VN" w:eastAsia="ja-JP"/>
        </w:rPr>
        <w:t>Medical Publishing House</w:t>
      </w:r>
      <w:r w:rsidRPr="005E6B7C">
        <w:rPr>
          <w:rFonts w:asciiTheme="majorHAnsi" w:eastAsia="Yu Mincho" w:hAnsiTheme="majorHAnsi" w:cstheme="majorHAnsi"/>
          <w:color w:val="000000" w:themeColor="text1"/>
          <w:sz w:val="18"/>
          <w:szCs w:val="18"/>
          <w:lang w:val="vi-VN" w:eastAsia="ja-JP"/>
        </w:rPr>
        <w:t>, 322.</w:t>
      </w:r>
    </w:p>
    <w:p w14:paraId="3516AFBA"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4.</w:t>
      </w:r>
      <w:r w:rsidRPr="005E6B7C">
        <w:rPr>
          <w:rFonts w:asciiTheme="majorHAnsi" w:eastAsia="Yu Mincho" w:hAnsiTheme="majorHAnsi" w:cstheme="majorHAnsi"/>
          <w:color w:val="000000" w:themeColor="text1"/>
          <w:sz w:val="18"/>
          <w:szCs w:val="18"/>
          <w:lang w:eastAsia="ja-JP"/>
        </w:rPr>
        <w:t xml:space="preserve"> Shen 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C., Lu C.</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K., Liou K.</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T., Hou 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C., Lin 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L., Wang Y.</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H., Sun H.</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J., Liao K.</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H., Wang H.</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W. (2015), Common and unique mechanisms of Chinese herbal remedies on ischemic stroke mice revealed by transcriptome analyses, </w:t>
      </w:r>
      <w:r w:rsidRPr="005E6B7C">
        <w:rPr>
          <w:rFonts w:asciiTheme="majorHAnsi" w:eastAsia="Yu Mincho" w:hAnsiTheme="majorHAnsi" w:cstheme="majorHAnsi"/>
          <w:i/>
          <w:iCs/>
          <w:color w:val="000000" w:themeColor="text1"/>
          <w:sz w:val="18"/>
          <w:szCs w:val="18"/>
          <w:lang w:eastAsia="ja-JP"/>
        </w:rPr>
        <w:t>Journal of Ethnopharmacology</w:t>
      </w:r>
      <w:r w:rsidRPr="005E6B7C">
        <w:rPr>
          <w:rFonts w:asciiTheme="majorHAnsi" w:eastAsia="Yu Mincho" w:hAnsiTheme="majorHAnsi" w:cstheme="majorHAnsi"/>
          <w:color w:val="000000" w:themeColor="text1"/>
          <w:sz w:val="18"/>
          <w:szCs w:val="18"/>
          <w:lang w:eastAsia="ja-JP"/>
        </w:rPr>
        <w:t>, 173, 370-382.</w:t>
      </w:r>
    </w:p>
    <w:p w14:paraId="4260393A"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5.</w:t>
      </w:r>
      <w:r w:rsidRPr="005E6B7C">
        <w:rPr>
          <w:rFonts w:asciiTheme="majorHAnsi" w:eastAsia="Yu Mincho" w:hAnsiTheme="majorHAnsi" w:cstheme="majorHAnsi"/>
          <w:color w:val="000000" w:themeColor="text1"/>
          <w:sz w:val="18"/>
          <w:szCs w:val="18"/>
          <w:lang w:val="vi-VN" w:eastAsia="ja-JP"/>
        </w:rPr>
        <w:t xml:space="preserve"> Liu L. F., Song J. X., Lu J. H., Huang Y. Y., Zeng Y., Chen L. L., Durairajan S. S., Han Q. B., Li M. (2015), Tianma Gouteng Yin, a Traditional Chinese Medicine decoction, exerts neuroprotective effects in animal and cellular models of Parkinson's disease, </w:t>
      </w:r>
      <w:r w:rsidRPr="005E6B7C">
        <w:rPr>
          <w:rFonts w:asciiTheme="majorHAnsi" w:eastAsia="Yu Mincho" w:hAnsiTheme="majorHAnsi" w:cstheme="majorHAnsi"/>
          <w:i/>
          <w:iCs/>
          <w:color w:val="000000" w:themeColor="text1"/>
          <w:sz w:val="18"/>
          <w:szCs w:val="18"/>
          <w:lang w:val="vi-VN" w:eastAsia="ja-JP"/>
        </w:rPr>
        <w:t>Scientific Reports</w:t>
      </w:r>
      <w:r w:rsidRPr="005E6B7C">
        <w:rPr>
          <w:rFonts w:asciiTheme="majorHAnsi" w:eastAsia="Yu Mincho" w:hAnsiTheme="majorHAnsi" w:cstheme="majorHAnsi"/>
          <w:color w:val="000000" w:themeColor="text1"/>
          <w:sz w:val="18"/>
          <w:szCs w:val="18"/>
          <w:lang w:val="vi-VN" w:eastAsia="ja-JP"/>
        </w:rPr>
        <w:t>, 5, 16862.</w:t>
      </w:r>
    </w:p>
    <w:p w14:paraId="00804AEE"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6.</w:t>
      </w:r>
      <w:r w:rsidRPr="005E6B7C">
        <w:rPr>
          <w:rFonts w:asciiTheme="majorHAnsi" w:eastAsia="Yu Mincho" w:hAnsiTheme="majorHAnsi" w:cstheme="majorHAnsi"/>
          <w:color w:val="000000" w:themeColor="text1"/>
          <w:sz w:val="18"/>
          <w:szCs w:val="18"/>
          <w:lang w:val="vi-VN" w:eastAsia="ja-JP"/>
        </w:rPr>
        <w:t xml:space="preserve"> Nguyen L. T. T., Le X. T., Pham H. N. T., Nguyen V. T., Nguyen P. T., Pham T. V. A., Nguyen T. B. T., Matsumoto K. (2024), Therapeutic effects of a standardized-flavonoid </w:t>
      </w:r>
      <w:r w:rsidRPr="005E6B7C">
        <w:rPr>
          <w:rFonts w:asciiTheme="majorHAnsi" w:eastAsia="Yu Mincho" w:hAnsiTheme="majorHAnsi" w:cstheme="majorHAnsi"/>
          <w:i/>
          <w:iCs/>
          <w:color w:val="000000" w:themeColor="text1"/>
          <w:sz w:val="18"/>
          <w:szCs w:val="18"/>
          <w:lang w:val="vi-VN" w:eastAsia="ja-JP"/>
        </w:rPr>
        <w:t>Diospyros kaki</w:t>
      </w:r>
      <w:r w:rsidRPr="005E6B7C">
        <w:rPr>
          <w:rFonts w:asciiTheme="majorHAnsi" w:eastAsia="Yu Mincho" w:hAnsiTheme="majorHAnsi" w:cstheme="majorHAnsi"/>
          <w:color w:val="000000" w:themeColor="text1"/>
          <w:sz w:val="18"/>
          <w:szCs w:val="18"/>
          <w:lang w:val="vi-VN" w:eastAsia="ja-JP"/>
        </w:rPr>
        <w:t xml:space="preserve"> L.f. leaf extract on transient focal cerebral ischemia-induced brain injury in mice, </w:t>
      </w:r>
      <w:r w:rsidRPr="005E6B7C">
        <w:rPr>
          <w:rFonts w:asciiTheme="majorHAnsi" w:eastAsia="Yu Mincho" w:hAnsiTheme="majorHAnsi" w:cstheme="majorHAnsi"/>
          <w:i/>
          <w:iCs/>
          <w:color w:val="000000" w:themeColor="text1"/>
          <w:sz w:val="18"/>
          <w:szCs w:val="18"/>
          <w:lang w:val="vi-VN" w:eastAsia="ja-JP"/>
        </w:rPr>
        <w:t>Journal of Natural Medicines</w:t>
      </w:r>
      <w:r w:rsidRPr="005E6B7C">
        <w:rPr>
          <w:rFonts w:asciiTheme="majorHAnsi" w:eastAsia="Yu Mincho" w:hAnsiTheme="majorHAnsi" w:cstheme="majorHAnsi"/>
          <w:color w:val="000000" w:themeColor="text1"/>
          <w:sz w:val="18"/>
          <w:szCs w:val="18"/>
          <w:lang w:val="vi-VN" w:eastAsia="ja-JP"/>
        </w:rPr>
        <w:t>, 77(3), 544-560.</w:t>
      </w:r>
    </w:p>
    <w:p w14:paraId="54C72C4E"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val="vi-VN" w:eastAsia="ja-JP"/>
        </w:rPr>
        <w:t>7</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Swanson R.</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A., Morton M.</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T., Tsao-Wu G., Savalos R.</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A., Davidson C., Sharp F.</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R. (1990), A semiautomated method for measuring brain infarct volume, </w:t>
      </w:r>
      <w:r w:rsidRPr="005E6B7C">
        <w:rPr>
          <w:rFonts w:asciiTheme="majorHAnsi" w:eastAsia="Yu Mincho" w:hAnsiTheme="majorHAnsi" w:cstheme="majorHAnsi"/>
          <w:i/>
          <w:iCs/>
          <w:color w:val="000000" w:themeColor="text1"/>
          <w:sz w:val="18"/>
          <w:szCs w:val="18"/>
          <w:lang w:eastAsia="ja-JP"/>
        </w:rPr>
        <w:t>Journal of Cerebral Blood Flow &amp; Metabolism</w:t>
      </w:r>
      <w:r w:rsidRPr="005E6B7C">
        <w:rPr>
          <w:rFonts w:asciiTheme="majorHAnsi" w:eastAsia="Yu Mincho" w:hAnsiTheme="majorHAnsi" w:cstheme="majorHAnsi"/>
          <w:color w:val="000000" w:themeColor="text1"/>
          <w:sz w:val="18"/>
          <w:szCs w:val="18"/>
          <w:lang w:eastAsia="ja-JP"/>
        </w:rPr>
        <w:t>, 10(2), 290-293.</w:t>
      </w:r>
    </w:p>
    <w:p w14:paraId="77FB8DBE"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8</w:t>
      </w:r>
      <w:r w:rsidRPr="005E6B7C">
        <w:rPr>
          <w:rFonts w:asciiTheme="majorHAnsi" w:eastAsia="Yu Mincho" w:hAnsiTheme="majorHAnsi" w:cstheme="majorHAnsi"/>
          <w:b/>
          <w:b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Menzies S.</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A., Hoff J.</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T., Betz A.</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L. (1992), Middle cerebral artery occlusion in rats: a neurological and pathological evaluation of a reproducible model, </w:t>
      </w:r>
      <w:r w:rsidRPr="005E6B7C">
        <w:rPr>
          <w:rFonts w:asciiTheme="majorHAnsi" w:eastAsia="Yu Mincho" w:hAnsiTheme="majorHAnsi" w:cstheme="majorHAnsi"/>
          <w:i/>
          <w:iCs/>
          <w:color w:val="000000" w:themeColor="text1"/>
          <w:sz w:val="18"/>
          <w:szCs w:val="18"/>
          <w:lang w:eastAsia="ja-JP"/>
        </w:rPr>
        <w:t>Neurosurgery</w:t>
      </w:r>
      <w:r w:rsidRPr="005E6B7C">
        <w:rPr>
          <w:rFonts w:asciiTheme="majorHAnsi" w:eastAsia="Yu Mincho" w:hAnsiTheme="majorHAnsi" w:cstheme="majorHAnsi"/>
          <w:color w:val="000000" w:themeColor="text1"/>
          <w:sz w:val="18"/>
          <w:szCs w:val="18"/>
          <w:lang w:eastAsia="ja-JP"/>
        </w:rPr>
        <w:t>, 31(1), 100-106.</w:t>
      </w:r>
    </w:p>
    <w:p w14:paraId="08799C6D" w14:textId="2F96B05C"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9.</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Chinese Pharmacopoeia Commission</w:t>
      </w:r>
      <w:r w:rsidRPr="005E6B7C">
        <w:rPr>
          <w:rFonts w:asciiTheme="majorHAnsi" w:eastAsia="Yu Mincho" w:hAnsiTheme="majorHAnsi" w:cstheme="majorHAnsi"/>
          <w:noProof/>
          <w:color w:val="000000" w:themeColor="text1"/>
          <w:sz w:val="18"/>
          <w:szCs w:val="18"/>
          <w:lang w:val="vi-VN" w:eastAsia="ja-JP"/>
        </w:rPr>
        <w:t xml:space="preserve"> (2015),</w:t>
      </w:r>
      <w:r w:rsidRPr="005E6B7C">
        <w:rPr>
          <w:rFonts w:asciiTheme="majorHAnsi" w:eastAsia="Yu Mincho" w:hAnsiTheme="majorHAnsi" w:cstheme="majorHAnsi"/>
          <w:noProof/>
          <w:color w:val="000000" w:themeColor="text1"/>
          <w:sz w:val="18"/>
          <w:szCs w:val="18"/>
          <w:lang w:eastAsia="ja-JP"/>
        </w:rPr>
        <w:t xml:space="preserve"> </w:t>
      </w:r>
      <w:r w:rsidR="00AB4AFD" w:rsidRPr="005E6B7C">
        <w:rPr>
          <w:rFonts w:asciiTheme="majorHAnsi" w:eastAsia="Yu Mincho" w:hAnsiTheme="majorHAnsi" w:cstheme="majorHAnsi"/>
          <w:noProof/>
          <w:color w:val="000000" w:themeColor="text1"/>
          <w:sz w:val="18"/>
          <w:szCs w:val="18"/>
          <w:lang w:eastAsia="ja-JP"/>
        </w:rPr>
        <w:t>Pharmacopoeia of the People’s Republic of China</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China Medical Science Press</w:t>
      </w:r>
      <w:r w:rsidRPr="005E6B7C">
        <w:rPr>
          <w:rFonts w:asciiTheme="majorHAnsi" w:eastAsia="Yu Mincho" w:hAnsiTheme="majorHAnsi" w:cstheme="majorHAnsi"/>
          <w:noProof/>
          <w:color w:val="000000" w:themeColor="text1"/>
          <w:sz w:val="18"/>
          <w:szCs w:val="18"/>
          <w:lang w:eastAsia="ja-JP"/>
        </w:rPr>
        <w:t>, 1648-1649.</w:t>
      </w:r>
    </w:p>
    <w:p w14:paraId="3C72B260"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10.</w:t>
      </w:r>
      <w:r w:rsidRPr="005E6B7C">
        <w:rPr>
          <w:rFonts w:asciiTheme="majorHAnsi" w:eastAsia="Yu Mincho" w:hAnsiTheme="majorHAnsi" w:cstheme="majorHAnsi"/>
          <w:noProof/>
          <w:color w:val="000000" w:themeColor="text1"/>
          <w:sz w:val="18"/>
          <w:szCs w:val="18"/>
          <w:lang w:val="vi-VN" w:eastAsia="ja-JP"/>
        </w:rPr>
        <w:t xml:space="preserve"> Ministry of Health (2017), Vietnamese Pharmacopoeia V, </w:t>
      </w:r>
      <w:r w:rsidRPr="005E6B7C">
        <w:rPr>
          <w:rFonts w:asciiTheme="majorHAnsi" w:eastAsia="Yu Mincho" w:hAnsiTheme="majorHAnsi" w:cstheme="majorHAnsi"/>
          <w:i/>
          <w:iCs/>
          <w:noProof/>
          <w:color w:val="000000" w:themeColor="text1"/>
          <w:sz w:val="18"/>
          <w:szCs w:val="18"/>
          <w:lang w:val="vi-VN" w:eastAsia="ja-JP"/>
        </w:rPr>
        <w:t>Hanoi Medical Publishing House</w:t>
      </w:r>
      <w:r w:rsidRPr="005E6B7C">
        <w:rPr>
          <w:rFonts w:asciiTheme="majorHAnsi" w:eastAsia="Yu Mincho" w:hAnsiTheme="majorHAnsi" w:cstheme="majorHAnsi"/>
          <w:noProof/>
          <w:color w:val="000000" w:themeColor="text1"/>
          <w:sz w:val="18"/>
          <w:szCs w:val="18"/>
          <w:lang w:val="vi-VN" w:eastAsia="ja-JP"/>
        </w:rPr>
        <w:t>, 1132-1133.</w:t>
      </w:r>
    </w:p>
    <w:p w14:paraId="1731F03C"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11</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Sun Y.</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Y., Yang D., Kuan C.</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Y. (2012), Mannitol-facilitated perfusion staining with 2,3,5-triphenyltetrazolium chloride (TTC) for detection of experimental cerebral infarction and biochemical analysis, </w:t>
      </w:r>
      <w:r w:rsidRPr="005E6B7C">
        <w:rPr>
          <w:rFonts w:asciiTheme="majorHAnsi" w:eastAsia="Yu Mincho" w:hAnsiTheme="majorHAnsi" w:cstheme="majorHAnsi"/>
          <w:i/>
          <w:iCs/>
          <w:noProof/>
          <w:color w:val="000000" w:themeColor="text1"/>
          <w:sz w:val="18"/>
          <w:szCs w:val="18"/>
          <w:lang w:eastAsia="ja-JP"/>
        </w:rPr>
        <w:t>Journal of</w:t>
      </w:r>
      <w:r w:rsidRPr="005E6B7C">
        <w:rPr>
          <w:rFonts w:asciiTheme="majorHAnsi" w:eastAsia="Yu Mincho" w:hAnsiTheme="majorHAnsi" w:cstheme="majorHAnsi"/>
          <w:i/>
          <w:iCs/>
          <w:noProof/>
          <w:color w:val="000000" w:themeColor="text1"/>
          <w:sz w:val="18"/>
          <w:szCs w:val="18"/>
          <w:lang w:val="vi-VN" w:eastAsia="ja-JP"/>
        </w:rPr>
        <w:t xml:space="preserve"> </w:t>
      </w:r>
      <w:r w:rsidRPr="005E6B7C">
        <w:rPr>
          <w:rFonts w:asciiTheme="majorHAnsi" w:eastAsia="Yu Mincho" w:hAnsiTheme="majorHAnsi" w:cstheme="majorHAnsi"/>
          <w:i/>
          <w:iCs/>
          <w:noProof/>
          <w:color w:val="000000" w:themeColor="text1"/>
          <w:sz w:val="18"/>
          <w:szCs w:val="18"/>
          <w:lang w:eastAsia="ja-JP"/>
        </w:rPr>
        <w:t>Neuroscience Methods</w:t>
      </w:r>
      <w:r w:rsidRPr="005E6B7C">
        <w:rPr>
          <w:rFonts w:asciiTheme="majorHAnsi" w:eastAsia="Yu Mincho" w:hAnsiTheme="majorHAnsi" w:cstheme="majorHAnsi"/>
          <w:noProof/>
          <w:color w:val="000000" w:themeColor="text1"/>
          <w:sz w:val="18"/>
          <w:szCs w:val="18"/>
          <w:lang w:eastAsia="ja-JP"/>
        </w:rPr>
        <w:t>, 203(1), 122-129.</w:t>
      </w:r>
    </w:p>
    <w:p w14:paraId="71D9DBBA" w14:textId="77777777"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12.</w:t>
      </w:r>
      <w:r w:rsidRPr="005E6B7C">
        <w:rPr>
          <w:rFonts w:asciiTheme="majorHAnsi" w:eastAsia="Yu Mincho" w:hAnsiTheme="majorHAnsi" w:cstheme="majorHAnsi"/>
          <w:color w:val="000000" w:themeColor="text1"/>
          <w:sz w:val="18"/>
          <w:szCs w:val="18"/>
          <w:lang w:val="vi-VN" w:eastAsia="ja-JP"/>
        </w:rPr>
        <w:t xml:space="preserve"> Calabrese E. J., Baldwin L. A. (2003), Hormesis: the dose-response revolution, </w:t>
      </w:r>
      <w:r w:rsidRPr="005E6B7C">
        <w:rPr>
          <w:rFonts w:asciiTheme="majorHAnsi" w:eastAsia="Yu Mincho" w:hAnsiTheme="majorHAnsi" w:cstheme="majorHAnsi"/>
          <w:i/>
          <w:iCs/>
          <w:color w:val="000000" w:themeColor="text1"/>
          <w:sz w:val="18"/>
          <w:szCs w:val="18"/>
          <w:lang w:val="vi-VN" w:eastAsia="ja-JP"/>
        </w:rPr>
        <w:t>Annual Review of Pharmacology and Toxicology</w:t>
      </w:r>
      <w:r w:rsidRPr="005E6B7C">
        <w:rPr>
          <w:rFonts w:asciiTheme="majorHAnsi" w:eastAsia="Yu Mincho" w:hAnsiTheme="majorHAnsi" w:cstheme="majorHAnsi"/>
          <w:color w:val="000000" w:themeColor="text1"/>
          <w:sz w:val="18"/>
          <w:szCs w:val="18"/>
          <w:lang w:val="vi-VN" w:eastAsia="ja-JP"/>
        </w:rPr>
        <w:t>, 43, 175-197.</w:t>
      </w:r>
    </w:p>
    <w:p w14:paraId="4DCF55AC" w14:textId="42F88D1E" w:rsidR="00E049CB" w:rsidRPr="005E6B7C" w:rsidRDefault="00E049CB" w:rsidP="008C0D47">
      <w:pPr>
        <w:tabs>
          <w:tab w:val="left" w:pos="0"/>
          <w:tab w:val="left" w:pos="270"/>
          <w:tab w:val="left" w:pos="2127"/>
        </w:tabs>
        <w:spacing w:line="196"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13</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Zheng L., Weng L., Shou D. (2023), Tianma</w:t>
      </w:r>
      <w:r w:rsidR="00AB4AFD"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Gouteng </w:t>
      </w:r>
      <w:r w:rsidR="00AB4AFD" w:rsidRPr="005E6B7C">
        <w:rPr>
          <w:rFonts w:asciiTheme="majorHAnsi" w:eastAsia="Yu Mincho" w:hAnsiTheme="majorHAnsi" w:cstheme="majorHAnsi"/>
          <w:color w:val="000000" w:themeColor="text1"/>
          <w:sz w:val="18"/>
          <w:szCs w:val="18"/>
          <w:lang w:eastAsia="ja-JP"/>
        </w:rPr>
        <w:t>Y</w:t>
      </w:r>
      <w:r w:rsidRPr="005E6B7C">
        <w:rPr>
          <w:rFonts w:asciiTheme="majorHAnsi" w:eastAsia="Yu Mincho" w:hAnsiTheme="majorHAnsi" w:cstheme="majorHAnsi"/>
          <w:color w:val="000000" w:themeColor="text1"/>
          <w:sz w:val="18"/>
          <w:szCs w:val="18"/>
          <w:lang w:eastAsia="ja-JP"/>
        </w:rPr>
        <w:t xml:space="preserve">in attenuates ischemic stroke-induced brain injury by inhibiting the AGE/RAGE pathway, </w:t>
      </w:r>
      <w:r w:rsidRPr="005E6B7C">
        <w:rPr>
          <w:rFonts w:asciiTheme="majorHAnsi" w:eastAsia="Yu Mincho" w:hAnsiTheme="majorHAnsi" w:cstheme="majorHAnsi"/>
          <w:i/>
          <w:iCs/>
          <w:color w:val="000000" w:themeColor="text1"/>
          <w:sz w:val="18"/>
          <w:szCs w:val="18"/>
          <w:lang w:eastAsia="ja-JP"/>
        </w:rPr>
        <w:t>Biocell</w:t>
      </w:r>
      <w:r w:rsidRPr="005E6B7C">
        <w:rPr>
          <w:rFonts w:asciiTheme="majorHAnsi" w:eastAsia="Yu Mincho" w:hAnsiTheme="majorHAnsi" w:cstheme="majorHAnsi"/>
          <w:color w:val="000000" w:themeColor="text1"/>
          <w:sz w:val="18"/>
          <w:szCs w:val="18"/>
          <w:lang w:eastAsia="ja-JP"/>
        </w:rPr>
        <w:t>, 47(6), 1345-1352.</w:t>
      </w:r>
    </w:p>
    <w:p w14:paraId="26167EED"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14.</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Duan F</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Li Y</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Zhao M</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Hu T</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Pan X</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Feng Y</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Ma F</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Qiu 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Zheng Y</w:t>
      </w:r>
      <w:r w:rsidRPr="005E6B7C">
        <w:rPr>
          <w:rFonts w:asciiTheme="majorHAnsi" w:eastAsia="Yu Mincho" w:hAnsiTheme="majorHAnsi" w:cstheme="majorHAnsi"/>
          <w:noProof/>
          <w:color w:val="000000" w:themeColor="text1"/>
          <w:sz w:val="18"/>
          <w:szCs w:val="18"/>
          <w:lang w:val="vi-VN" w:eastAsia="ja-JP"/>
        </w:rPr>
        <w:t>. (2021),</w:t>
      </w:r>
      <w:r w:rsidRPr="005E6B7C">
        <w:rPr>
          <w:rFonts w:asciiTheme="majorHAnsi" w:eastAsia="Yu Mincho" w:hAnsiTheme="majorHAnsi" w:cstheme="majorHAnsi"/>
          <w:noProof/>
          <w:color w:val="000000" w:themeColor="text1"/>
          <w:sz w:val="18"/>
          <w:szCs w:val="18"/>
          <w:lang w:eastAsia="ja-JP"/>
        </w:rPr>
        <w:t xml:space="preserve"> Screening of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nti-</w:t>
      </w:r>
      <w:r w:rsidRPr="005E6B7C">
        <w:rPr>
          <w:rFonts w:asciiTheme="majorHAnsi" w:eastAsia="Yu Mincho" w:hAnsiTheme="majorHAnsi" w:cstheme="majorHAnsi"/>
          <w:noProof/>
          <w:color w:val="000000" w:themeColor="text1"/>
          <w:sz w:val="18"/>
          <w:szCs w:val="18"/>
          <w:lang w:val="vi-VN" w:eastAsia="ja-JP"/>
        </w:rPr>
        <w:t>i</w:t>
      </w:r>
      <w:r w:rsidRPr="005E6B7C">
        <w:rPr>
          <w:rFonts w:asciiTheme="majorHAnsi" w:eastAsia="Yu Mincho" w:hAnsiTheme="majorHAnsi" w:cstheme="majorHAnsi"/>
          <w:noProof/>
          <w:color w:val="000000" w:themeColor="text1"/>
          <w:sz w:val="18"/>
          <w:szCs w:val="18"/>
          <w:lang w:eastAsia="ja-JP"/>
        </w:rPr>
        <w:t xml:space="preserve">nflammatory </w:t>
      </w:r>
      <w:r w:rsidRPr="005E6B7C">
        <w:rPr>
          <w:rFonts w:asciiTheme="majorHAnsi" w:eastAsia="Yu Mincho" w:hAnsiTheme="majorHAnsi" w:cstheme="majorHAnsi"/>
          <w:noProof/>
          <w:color w:val="000000" w:themeColor="text1"/>
          <w:sz w:val="18"/>
          <w:szCs w:val="18"/>
          <w:lang w:val="vi-VN" w:eastAsia="ja-JP"/>
        </w:rPr>
        <w:t>c</w:t>
      </w:r>
      <w:r w:rsidRPr="005E6B7C">
        <w:rPr>
          <w:rFonts w:asciiTheme="majorHAnsi" w:eastAsia="Yu Mincho" w:hAnsiTheme="majorHAnsi" w:cstheme="majorHAnsi"/>
          <w:noProof/>
          <w:color w:val="000000" w:themeColor="text1"/>
          <w:sz w:val="18"/>
          <w:szCs w:val="18"/>
          <w:lang w:eastAsia="ja-JP"/>
        </w:rPr>
        <w:t xml:space="preserve">omponents of Qin Jin Hua Tan Tang by a </w:t>
      </w:r>
      <w:r w:rsidRPr="005E6B7C">
        <w:rPr>
          <w:rFonts w:asciiTheme="majorHAnsi" w:eastAsia="Yu Mincho" w:hAnsiTheme="majorHAnsi" w:cstheme="majorHAnsi"/>
          <w:noProof/>
          <w:color w:val="000000" w:themeColor="text1"/>
          <w:sz w:val="18"/>
          <w:szCs w:val="18"/>
          <w:lang w:val="vi-VN" w:eastAsia="ja-JP"/>
        </w:rPr>
        <w:t>m</w:t>
      </w:r>
      <w:r w:rsidRPr="005E6B7C">
        <w:rPr>
          <w:rFonts w:asciiTheme="majorHAnsi" w:eastAsia="Yu Mincho" w:hAnsiTheme="majorHAnsi" w:cstheme="majorHAnsi"/>
          <w:noProof/>
          <w:color w:val="000000" w:themeColor="text1"/>
          <w:sz w:val="18"/>
          <w:szCs w:val="18"/>
          <w:lang w:eastAsia="ja-JP"/>
        </w:rPr>
        <w:t xml:space="preserve">ultivariate </w:t>
      </w:r>
      <w:r w:rsidRPr="005E6B7C">
        <w:rPr>
          <w:rFonts w:asciiTheme="majorHAnsi" w:eastAsia="Yu Mincho" w:hAnsiTheme="majorHAnsi" w:cstheme="majorHAnsi"/>
          <w:noProof/>
          <w:color w:val="000000" w:themeColor="text1"/>
          <w:sz w:val="18"/>
          <w:szCs w:val="18"/>
          <w:lang w:val="vi-VN" w:eastAsia="ja-JP"/>
        </w:rPr>
        <w:t>s</w:t>
      </w:r>
      <w:r w:rsidRPr="005E6B7C">
        <w:rPr>
          <w:rFonts w:asciiTheme="majorHAnsi" w:eastAsia="Yu Mincho" w:hAnsiTheme="majorHAnsi" w:cstheme="majorHAnsi"/>
          <w:noProof/>
          <w:color w:val="000000" w:themeColor="text1"/>
          <w:sz w:val="18"/>
          <w:szCs w:val="18"/>
          <w:lang w:eastAsia="ja-JP"/>
        </w:rPr>
        <w:t xml:space="preserve">tatistical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nalysis </w:t>
      </w:r>
      <w:r w:rsidRPr="005E6B7C">
        <w:rPr>
          <w:rFonts w:asciiTheme="majorHAnsi" w:eastAsia="Yu Mincho" w:hAnsiTheme="majorHAnsi" w:cstheme="majorHAnsi"/>
          <w:noProof/>
          <w:color w:val="000000" w:themeColor="text1"/>
          <w:sz w:val="18"/>
          <w:szCs w:val="18"/>
          <w:lang w:val="vi-VN" w:eastAsia="ja-JP"/>
        </w:rPr>
        <w:t>a</w:t>
      </w:r>
      <w:r w:rsidRPr="005E6B7C">
        <w:rPr>
          <w:rFonts w:asciiTheme="majorHAnsi" w:eastAsia="Yu Mincho" w:hAnsiTheme="majorHAnsi" w:cstheme="majorHAnsi"/>
          <w:noProof/>
          <w:color w:val="000000" w:themeColor="text1"/>
          <w:sz w:val="18"/>
          <w:szCs w:val="18"/>
          <w:lang w:eastAsia="ja-JP"/>
        </w:rPr>
        <w:t xml:space="preserve">pproach for </w:t>
      </w:r>
      <w:r w:rsidRPr="005E6B7C">
        <w:rPr>
          <w:rFonts w:asciiTheme="majorHAnsi" w:eastAsia="Yu Mincho" w:hAnsiTheme="majorHAnsi" w:cstheme="majorHAnsi"/>
          <w:noProof/>
          <w:color w:val="000000" w:themeColor="text1"/>
          <w:sz w:val="18"/>
          <w:szCs w:val="18"/>
          <w:lang w:val="vi-VN" w:eastAsia="ja-JP"/>
        </w:rPr>
        <w:t>s</w:t>
      </w:r>
      <w:r w:rsidRPr="005E6B7C">
        <w:rPr>
          <w:rFonts w:asciiTheme="majorHAnsi" w:eastAsia="Yu Mincho" w:hAnsiTheme="majorHAnsi" w:cstheme="majorHAnsi"/>
          <w:noProof/>
          <w:color w:val="000000" w:themeColor="text1"/>
          <w:sz w:val="18"/>
          <w:szCs w:val="18"/>
          <w:lang w:eastAsia="ja-JP"/>
        </w:rPr>
        <w:t>pectrum-</w:t>
      </w:r>
      <w:r w:rsidRPr="005E6B7C">
        <w:rPr>
          <w:rFonts w:asciiTheme="majorHAnsi" w:eastAsia="Yu Mincho" w:hAnsiTheme="majorHAnsi" w:cstheme="majorHAnsi"/>
          <w:noProof/>
          <w:color w:val="000000" w:themeColor="text1"/>
          <w:sz w:val="18"/>
          <w:szCs w:val="18"/>
          <w:lang w:val="vi-VN" w:eastAsia="ja-JP"/>
        </w:rPr>
        <w:t>e</w:t>
      </w:r>
      <w:r w:rsidRPr="005E6B7C">
        <w:rPr>
          <w:rFonts w:asciiTheme="majorHAnsi" w:eastAsia="Yu Mincho" w:hAnsiTheme="majorHAnsi" w:cstheme="majorHAnsi"/>
          <w:noProof/>
          <w:color w:val="000000" w:themeColor="text1"/>
          <w:sz w:val="18"/>
          <w:szCs w:val="18"/>
          <w:lang w:eastAsia="ja-JP"/>
        </w:rPr>
        <w:t xml:space="preserve">ffect </w:t>
      </w:r>
      <w:r w:rsidRPr="005E6B7C">
        <w:rPr>
          <w:rFonts w:asciiTheme="majorHAnsi" w:eastAsia="Yu Mincho" w:hAnsiTheme="majorHAnsi" w:cstheme="majorHAnsi"/>
          <w:noProof/>
          <w:color w:val="000000" w:themeColor="text1"/>
          <w:sz w:val="18"/>
          <w:szCs w:val="18"/>
          <w:lang w:val="vi-VN" w:eastAsia="ja-JP"/>
        </w:rPr>
        <w:t>r</w:t>
      </w:r>
      <w:r w:rsidRPr="005E6B7C">
        <w:rPr>
          <w:rFonts w:asciiTheme="majorHAnsi" w:eastAsia="Yu Mincho" w:hAnsiTheme="majorHAnsi" w:cstheme="majorHAnsi"/>
          <w:noProof/>
          <w:color w:val="000000" w:themeColor="text1"/>
          <w:sz w:val="18"/>
          <w:szCs w:val="18"/>
          <w:lang w:eastAsia="ja-JP"/>
        </w:rPr>
        <w:t>elationships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Analytical Methods in Chemistry</w:t>
      </w:r>
      <w:r w:rsidRPr="005E6B7C">
        <w:rPr>
          <w:rFonts w:asciiTheme="majorHAnsi" w:eastAsia="Yu Mincho" w:hAnsiTheme="majorHAnsi" w:cstheme="majorHAnsi"/>
          <w:noProof/>
          <w:color w:val="000000" w:themeColor="text1"/>
          <w:sz w:val="18"/>
          <w:szCs w:val="18"/>
          <w:lang w:eastAsia="ja-JP"/>
        </w:rPr>
        <w:t>, 2021</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6348979.</w:t>
      </w:r>
    </w:p>
    <w:p w14:paraId="481022F6"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15.</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Wu X., Chen Z., Du S., Chang L., Zhang J. (2024), Gastrodin as adjuvant therapy improves neuroprotective effect in acute stroke patients: A systematic review with meta-analysis of randomised controlled trials</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Journal of Herbal Medicine</w:t>
      </w:r>
      <w:r w:rsidRPr="005E6B7C">
        <w:rPr>
          <w:rFonts w:asciiTheme="majorHAnsi" w:eastAsia="Yu Mincho" w:hAnsiTheme="majorHAnsi" w:cstheme="majorHAnsi"/>
          <w:noProof/>
          <w:color w:val="000000" w:themeColor="text1"/>
          <w:sz w:val="18"/>
          <w:szCs w:val="18"/>
          <w:lang w:eastAsia="ja-JP"/>
        </w:rPr>
        <w:t>, 46, 100895.</w:t>
      </w:r>
    </w:p>
    <w:p w14:paraId="2E1A218B"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16.</w:t>
      </w:r>
      <w:r w:rsidRPr="005E6B7C">
        <w:rPr>
          <w:rFonts w:asciiTheme="majorHAnsi" w:eastAsia="Yu Mincho" w:hAnsiTheme="majorHAnsi" w:cstheme="majorHAnsi"/>
          <w:noProof/>
          <w:color w:val="000000" w:themeColor="text1"/>
          <w:sz w:val="18"/>
          <w:szCs w:val="18"/>
          <w:lang w:val="vi-VN" w:eastAsia="ja-JP"/>
        </w:rPr>
        <w:t xml:space="preserve"> Mao X. N., Zhou H. J., Yang X. J., Zhao L. X., Kuang X., Chen C., Liu D. L., Du J. R. (2017), Neuroprotective effect of a novel gastrodin derivative against ischemic brain injury: involvement of peroxiredoxin and TLR4 signaling inhibition, </w:t>
      </w:r>
      <w:r w:rsidRPr="005E6B7C">
        <w:rPr>
          <w:rFonts w:asciiTheme="majorHAnsi" w:eastAsia="Yu Mincho" w:hAnsiTheme="majorHAnsi" w:cstheme="majorHAnsi"/>
          <w:i/>
          <w:iCs/>
          <w:noProof/>
          <w:color w:val="000000" w:themeColor="text1"/>
          <w:sz w:val="18"/>
          <w:szCs w:val="18"/>
          <w:lang w:val="vi-VN" w:eastAsia="ja-JP"/>
        </w:rPr>
        <w:t>Oncotarget</w:t>
      </w:r>
      <w:r w:rsidRPr="005E6B7C">
        <w:rPr>
          <w:rFonts w:asciiTheme="majorHAnsi" w:eastAsia="Yu Mincho" w:hAnsiTheme="majorHAnsi" w:cstheme="majorHAnsi"/>
          <w:noProof/>
          <w:color w:val="000000" w:themeColor="text1"/>
          <w:sz w:val="18"/>
          <w:szCs w:val="18"/>
          <w:lang w:val="vi-VN" w:eastAsia="ja-JP"/>
        </w:rPr>
        <w:t>, 8(53), 90979-90995.</w:t>
      </w:r>
    </w:p>
    <w:p w14:paraId="3B8593BC"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17.</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Shi Z., Zhang Y., Xiao Y., Shi Z., Wei X., Wang B., Yuan Y., Li P. (2024), The protective effects of gastrodin on neurological disorders: an update and future perspectives, </w:t>
      </w:r>
      <w:r w:rsidRPr="005E6B7C">
        <w:rPr>
          <w:rFonts w:asciiTheme="majorHAnsi" w:eastAsia="Yu Mincho" w:hAnsiTheme="majorHAnsi" w:cstheme="majorHAnsi"/>
          <w:i/>
          <w:iCs/>
          <w:noProof/>
          <w:color w:val="000000" w:themeColor="text1"/>
          <w:sz w:val="18"/>
          <w:szCs w:val="18"/>
          <w:lang w:eastAsia="ja-JP"/>
        </w:rPr>
        <w:t>Frontiers in Pharmacology</w:t>
      </w:r>
      <w:r w:rsidRPr="005E6B7C">
        <w:rPr>
          <w:rFonts w:asciiTheme="majorHAnsi" w:eastAsia="Yu Mincho" w:hAnsiTheme="majorHAnsi" w:cstheme="majorHAnsi"/>
          <w:noProof/>
          <w:color w:val="000000" w:themeColor="text1"/>
          <w:sz w:val="18"/>
          <w:szCs w:val="18"/>
          <w:lang w:eastAsia="ja-JP"/>
        </w:rPr>
        <w:t>, 15, 1494277</w:t>
      </w:r>
      <w:r w:rsidRPr="005E6B7C">
        <w:rPr>
          <w:rFonts w:asciiTheme="majorHAnsi" w:eastAsia="Yu Mincho" w:hAnsiTheme="majorHAnsi" w:cstheme="majorHAnsi"/>
          <w:noProof/>
          <w:color w:val="000000" w:themeColor="text1"/>
          <w:sz w:val="18"/>
          <w:szCs w:val="18"/>
          <w:lang w:val="vi-VN" w:eastAsia="ja-JP"/>
        </w:rPr>
        <w:t>.</w:t>
      </w:r>
    </w:p>
    <w:p w14:paraId="0E815CA8"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18.</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He P., Qiao R., Liu C., Zhang W., Li H., He F. (2025), Neuroprotective mechanisms of baicalin in ischemia stroke</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ACS Chemical Neuroscience</w:t>
      </w:r>
      <w:r w:rsidRPr="005E6B7C">
        <w:rPr>
          <w:rFonts w:asciiTheme="majorHAnsi" w:eastAsia="Yu Mincho" w:hAnsiTheme="majorHAnsi" w:cstheme="majorHAnsi"/>
          <w:noProof/>
          <w:color w:val="000000" w:themeColor="text1"/>
          <w:sz w:val="18"/>
          <w:szCs w:val="18"/>
          <w:lang w:eastAsia="ja-JP"/>
        </w:rPr>
        <w:t>, 16(11), 1978-1995.</w:t>
      </w:r>
    </w:p>
    <w:p w14:paraId="13CC45D7"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19.</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Son H.</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K., Park D.</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J., Kang J.</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B., Koh P.</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 xml:space="preserve">O. (2025), Baicalin confers neuroprotection in animal models of stroke through its antioxidant and anti-apoptotic effects, </w:t>
      </w:r>
      <w:r w:rsidRPr="005E6B7C">
        <w:rPr>
          <w:rFonts w:asciiTheme="majorHAnsi" w:eastAsia="Yu Mincho" w:hAnsiTheme="majorHAnsi" w:cstheme="majorHAnsi"/>
          <w:i/>
          <w:iCs/>
          <w:noProof/>
          <w:color w:val="000000" w:themeColor="text1"/>
          <w:sz w:val="18"/>
          <w:szCs w:val="18"/>
          <w:lang w:eastAsia="ja-JP"/>
        </w:rPr>
        <w:t>Journal of Veterinary Science</w:t>
      </w:r>
      <w:r w:rsidRPr="005E6B7C">
        <w:rPr>
          <w:rFonts w:asciiTheme="majorHAnsi" w:eastAsia="Yu Mincho" w:hAnsiTheme="majorHAnsi" w:cstheme="majorHAnsi"/>
          <w:noProof/>
          <w:color w:val="000000" w:themeColor="text1"/>
          <w:sz w:val="18"/>
          <w:szCs w:val="18"/>
          <w:lang w:eastAsia="ja-JP"/>
        </w:rPr>
        <w:t>, 26(4), e37.</w:t>
      </w:r>
    </w:p>
    <w:p w14:paraId="1EA01469"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20.</w:t>
      </w:r>
      <w:r w:rsidRPr="005E6B7C">
        <w:rPr>
          <w:rFonts w:asciiTheme="majorHAnsi" w:eastAsia="Yu Mincho" w:hAnsiTheme="majorHAnsi" w:cstheme="majorHAnsi"/>
          <w:noProof/>
          <w:color w:val="000000" w:themeColor="text1"/>
          <w:sz w:val="18"/>
          <w:szCs w:val="18"/>
          <w:lang w:val="vi-VN" w:eastAsia="ja-JP"/>
        </w:rPr>
        <w:t xml:space="preserve"> Liu T., Shi J., Wu D., Li D., Wang Y., Liu J., Meng P., Hu L., Fu C., Mei Z. (2024), THSG alleviates cerebral ischemia/reperfusion injury via the GluN2B-CaMKII-ERK1/2 pathway, </w:t>
      </w:r>
      <w:r w:rsidRPr="005E6B7C">
        <w:rPr>
          <w:rFonts w:asciiTheme="majorHAnsi" w:eastAsia="Yu Mincho" w:hAnsiTheme="majorHAnsi" w:cstheme="majorHAnsi"/>
          <w:i/>
          <w:iCs/>
          <w:noProof/>
          <w:color w:val="000000" w:themeColor="text1"/>
          <w:sz w:val="18"/>
          <w:szCs w:val="18"/>
          <w:lang w:val="vi-VN" w:eastAsia="ja-JP"/>
        </w:rPr>
        <w:t>Phytomedicine</w:t>
      </w:r>
      <w:r w:rsidRPr="005E6B7C">
        <w:rPr>
          <w:rFonts w:asciiTheme="majorHAnsi" w:eastAsia="Yu Mincho" w:hAnsiTheme="majorHAnsi" w:cstheme="majorHAnsi"/>
          <w:noProof/>
          <w:color w:val="000000" w:themeColor="text1"/>
          <w:sz w:val="18"/>
          <w:szCs w:val="18"/>
          <w:lang w:val="vi-VN" w:eastAsia="ja-JP"/>
        </w:rPr>
        <w:t>, 129, 155595.</w:t>
      </w:r>
    </w:p>
    <w:p w14:paraId="7E3BC8AC"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21</w:t>
      </w:r>
      <w:r w:rsidRPr="005E6B7C">
        <w:rPr>
          <w:rFonts w:asciiTheme="majorHAnsi" w:eastAsia="Yu Mincho" w:hAnsiTheme="majorHAnsi" w:cstheme="majorHAnsi"/>
          <w:noProof/>
          <w:color w:val="000000" w:themeColor="text1"/>
          <w:sz w:val="18"/>
          <w:szCs w:val="18"/>
          <w:lang w:val="vi-VN" w:eastAsia="ja-JP"/>
        </w:rPr>
        <w:t>. Sun Q., Zhang X., Fan J., Zhang L., Ji H., Xue J., Zhang C., Chen R., Zhao J., Chen J. (2023), Geniposide protected against cerebral ischemic injury through the anti-inflammatory effect via the NF-</w:t>
      </w:r>
      <w:r w:rsidRPr="005E6B7C">
        <w:rPr>
          <w:rFonts w:asciiTheme="majorHAnsi" w:eastAsia="Yu Mincho" w:hAnsiTheme="majorHAnsi" w:cstheme="majorHAnsi"/>
          <w:noProof/>
          <w:color w:val="000000" w:themeColor="text1"/>
          <w:sz w:val="18"/>
          <w:szCs w:val="18"/>
          <w:lang w:eastAsia="ja-JP"/>
        </w:rPr>
        <w:t>κ</w:t>
      </w:r>
      <w:r w:rsidRPr="005E6B7C">
        <w:rPr>
          <w:rFonts w:asciiTheme="majorHAnsi" w:eastAsia="Yu Mincho" w:hAnsiTheme="majorHAnsi" w:cstheme="majorHAnsi"/>
          <w:noProof/>
          <w:color w:val="000000" w:themeColor="text1"/>
          <w:sz w:val="18"/>
          <w:szCs w:val="18"/>
          <w:lang w:val="vi-VN" w:eastAsia="ja-JP"/>
        </w:rPr>
        <w:t xml:space="preserve">B signaling pathway, </w:t>
      </w:r>
      <w:r w:rsidRPr="005E6B7C">
        <w:rPr>
          <w:rFonts w:asciiTheme="majorHAnsi" w:eastAsia="Yu Mincho" w:hAnsiTheme="majorHAnsi" w:cstheme="majorHAnsi"/>
          <w:i/>
          <w:iCs/>
          <w:noProof/>
          <w:color w:val="000000" w:themeColor="text1"/>
          <w:sz w:val="18"/>
          <w:szCs w:val="18"/>
          <w:lang w:val="vi-VN" w:eastAsia="ja-JP"/>
        </w:rPr>
        <w:t>Translational Neuroscience</w:t>
      </w:r>
      <w:r w:rsidRPr="005E6B7C">
        <w:rPr>
          <w:rFonts w:asciiTheme="majorHAnsi" w:eastAsia="Yu Mincho" w:hAnsiTheme="majorHAnsi" w:cstheme="majorHAnsi"/>
          <w:noProof/>
          <w:color w:val="000000" w:themeColor="text1"/>
          <w:sz w:val="18"/>
          <w:szCs w:val="18"/>
          <w:lang w:val="vi-VN" w:eastAsia="ja-JP"/>
        </w:rPr>
        <w:t>, 14(1), 20220273.</w:t>
      </w:r>
    </w:p>
    <w:p w14:paraId="568E6818" w14:textId="77777777" w:rsidR="00E049CB" w:rsidRPr="005E6B7C" w:rsidRDefault="00E049CB" w:rsidP="008C0D47">
      <w:pPr>
        <w:tabs>
          <w:tab w:val="left" w:pos="270"/>
          <w:tab w:val="left" w:pos="2127"/>
        </w:tabs>
        <w:spacing w:line="196"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val="vi-VN" w:eastAsia="ja-JP"/>
        </w:rPr>
        <w:t>22.</w:t>
      </w:r>
      <w:r w:rsidRPr="005E6B7C">
        <w:rPr>
          <w:rFonts w:asciiTheme="majorHAnsi" w:eastAsia="Yu Mincho" w:hAnsiTheme="majorHAnsi" w:cstheme="majorHAnsi"/>
          <w:noProof/>
          <w:color w:val="000000" w:themeColor="text1"/>
          <w:sz w:val="18"/>
          <w:szCs w:val="18"/>
          <w:lang w:val="vi-VN" w:eastAsia="ja-JP"/>
        </w:rPr>
        <w:t xml:space="preserve"> He X., Zhang Y., Xu C., Zhang R., Li Y. (2025), Geniposide protects against cerebral ischemic injury by targeting SOX2/RIPK1 axis, </w:t>
      </w:r>
      <w:r w:rsidRPr="005E6B7C">
        <w:rPr>
          <w:rFonts w:asciiTheme="majorHAnsi" w:eastAsia="Yu Mincho" w:hAnsiTheme="majorHAnsi" w:cstheme="majorHAnsi"/>
          <w:i/>
          <w:iCs/>
          <w:noProof/>
          <w:color w:val="000000" w:themeColor="text1"/>
          <w:sz w:val="18"/>
          <w:szCs w:val="18"/>
          <w:lang w:val="vi-VN" w:eastAsia="ja-JP"/>
        </w:rPr>
        <w:t>Naunyn-Schmiedeberg's Archives of Pharmacology</w:t>
      </w:r>
      <w:r w:rsidRPr="005E6B7C">
        <w:rPr>
          <w:rFonts w:asciiTheme="majorHAnsi" w:eastAsia="Yu Mincho" w:hAnsiTheme="majorHAnsi" w:cstheme="majorHAnsi"/>
          <w:noProof/>
          <w:color w:val="000000" w:themeColor="text1"/>
          <w:sz w:val="18"/>
          <w:szCs w:val="18"/>
          <w:lang w:val="vi-VN" w:eastAsia="ja-JP"/>
        </w:rPr>
        <w:t>, 398(10), 13981-13993.</w:t>
      </w:r>
    </w:p>
    <w:p w14:paraId="303C3311" w14:textId="77777777" w:rsidR="006C6C8E" w:rsidRPr="005E6B7C" w:rsidRDefault="006C6C8E" w:rsidP="008C0D47">
      <w:pPr>
        <w:widowControl/>
        <w:spacing w:after="200" w:line="276" w:lineRule="auto"/>
        <w:rPr>
          <w:rFonts w:asciiTheme="majorHAnsi" w:eastAsia="Yu Mincho" w:hAnsiTheme="majorHAnsi" w:cstheme="majorHAnsi"/>
          <w:b/>
          <w:bCs/>
          <w:i/>
          <w:color w:val="000000" w:themeColor="text1"/>
          <w:sz w:val="26"/>
          <w:szCs w:val="26"/>
          <w:lang w:val="vi-VN" w:eastAsia="ja-JP"/>
        </w:rPr>
      </w:pPr>
      <w:r w:rsidRPr="005E6B7C">
        <w:rPr>
          <w:rFonts w:asciiTheme="majorHAnsi" w:eastAsia="Yu Mincho" w:hAnsiTheme="majorHAnsi" w:cstheme="majorHAnsi"/>
          <w:b/>
          <w:bCs/>
          <w:i/>
          <w:color w:val="000000" w:themeColor="text1"/>
          <w:sz w:val="26"/>
          <w:szCs w:val="26"/>
          <w:lang w:val="vi-VN" w:eastAsia="ja-JP"/>
        </w:rPr>
        <w:br w:type="page"/>
      </w:r>
    </w:p>
    <w:p w14:paraId="501885F3" w14:textId="77777777" w:rsidR="007B23ED" w:rsidRPr="005E6B7C" w:rsidRDefault="007B23ED" w:rsidP="007B23ED">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 147 - 153)</w:t>
      </w:r>
    </w:p>
    <w:p w14:paraId="57D7A812" w14:textId="77777777" w:rsidR="007B23ED" w:rsidRPr="005E6B7C" w:rsidRDefault="007B23ED" w:rsidP="007B23ED">
      <w:pPr>
        <w:tabs>
          <w:tab w:val="left" w:pos="270"/>
          <w:tab w:val="left" w:pos="9270"/>
        </w:tabs>
        <w:ind w:right="-20"/>
        <w:jc w:val="both"/>
        <w:rPr>
          <w:rFonts w:asciiTheme="majorHAnsi" w:eastAsia="Yu Mincho" w:hAnsiTheme="majorHAnsi" w:cstheme="majorHAnsi"/>
          <w:b/>
          <w:bCs/>
          <w:color w:val="000000" w:themeColor="text1"/>
          <w:sz w:val="22"/>
          <w:szCs w:val="22"/>
          <w:lang w:eastAsia="ja-JP"/>
        </w:rPr>
      </w:pPr>
    </w:p>
    <w:p w14:paraId="0757B0DB"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color w:val="000000" w:themeColor="text1"/>
          <w:sz w:val="26"/>
          <w:szCs w:val="26"/>
          <w:lang w:eastAsia="ja-JP"/>
        </w:rPr>
      </w:pPr>
      <w:r w:rsidRPr="005E6B7C">
        <w:rPr>
          <w:rFonts w:asciiTheme="majorHAnsi" w:eastAsia="Yu Mincho" w:hAnsiTheme="majorHAnsi" w:cstheme="majorHAnsi"/>
          <w:b/>
          <w:color w:val="000000" w:themeColor="text1"/>
          <w:sz w:val="26"/>
          <w:szCs w:val="26"/>
          <w:lang w:eastAsia="ja-JP"/>
        </w:rPr>
        <w:t xml:space="preserve">INVESTIGATION OF THE VARIATION OF GYMNEMAGENIN </w:t>
      </w:r>
      <w:r w:rsidRPr="005E6B7C">
        <w:rPr>
          <w:rFonts w:asciiTheme="majorHAnsi" w:eastAsia="Yu Mincho" w:hAnsiTheme="majorHAnsi" w:cstheme="majorHAnsi"/>
          <w:b/>
          <w:color w:val="000000" w:themeColor="text1"/>
          <w:sz w:val="26"/>
          <w:szCs w:val="26"/>
          <w:lang w:eastAsia="ja-JP"/>
        </w:rPr>
        <w:br/>
        <w:t xml:space="preserve">CONTENT IN </w:t>
      </w:r>
      <w:r w:rsidRPr="005E6B7C">
        <w:rPr>
          <w:rFonts w:asciiTheme="majorHAnsi" w:eastAsia="Yu Mincho" w:hAnsiTheme="majorHAnsi" w:cstheme="majorHAnsi"/>
          <w:b/>
          <w:i/>
          <w:color w:val="000000" w:themeColor="text1"/>
          <w:sz w:val="26"/>
          <w:szCs w:val="26"/>
          <w:lang w:eastAsia="ja-JP"/>
        </w:rPr>
        <w:t>GYMNEMA</w:t>
      </w:r>
      <w:r w:rsidRPr="005E6B7C">
        <w:rPr>
          <w:rFonts w:asciiTheme="majorHAnsi" w:eastAsia="Yu Mincho" w:hAnsiTheme="majorHAnsi" w:cstheme="majorHAnsi"/>
          <w:b/>
          <w:color w:val="000000" w:themeColor="text1"/>
          <w:sz w:val="26"/>
          <w:szCs w:val="26"/>
          <w:lang w:eastAsia="ja-JP"/>
        </w:rPr>
        <w:t xml:space="preserve"> R.BR UNDER THE INFLUENCE </w:t>
      </w:r>
      <w:r w:rsidRPr="005E6B7C">
        <w:rPr>
          <w:rFonts w:asciiTheme="majorHAnsi" w:eastAsia="Yu Mincho" w:hAnsiTheme="majorHAnsi" w:cstheme="majorHAnsi"/>
          <w:b/>
          <w:color w:val="000000" w:themeColor="text1"/>
          <w:sz w:val="26"/>
          <w:szCs w:val="26"/>
          <w:lang w:eastAsia="ja-JP"/>
        </w:rPr>
        <w:br/>
        <w:t>OF CERTAIN STRAINS OF BACTERIA</w:t>
      </w:r>
    </w:p>
    <w:p w14:paraId="4A286DC4"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bCs/>
          <w:i/>
          <w:iCs/>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Tong Thi Thanh Vuong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Tran Thi Minh Thuy</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Le Thi Kim Van</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w:t>
      </w:r>
    </w:p>
    <w:p w14:paraId="0C07D87D"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i/>
          <w:iCs/>
          <w:color w:val="000000" w:themeColor="text1"/>
          <w:spacing w:val="-6"/>
          <w:sz w:val="22"/>
          <w:szCs w:val="22"/>
          <w:lang w:eastAsia="ja-JP"/>
        </w:rPr>
      </w:pPr>
      <w:r w:rsidRPr="005E6B7C">
        <w:rPr>
          <w:rFonts w:asciiTheme="majorHAnsi" w:eastAsia="Yu Mincho" w:hAnsiTheme="majorHAnsi" w:cstheme="majorHAnsi"/>
          <w:i/>
          <w:iCs/>
          <w:color w:val="000000" w:themeColor="text1"/>
          <w:spacing w:val="-6"/>
          <w:sz w:val="22"/>
          <w:szCs w:val="22"/>
          <w:vertAlign w:val="superscript"/>
          <w:lang w:eastAsia="ja-JP"/>
        </w:rPr>
        <w:t>1</w:t>
      </w:r>
      <w:r w:rsidRPr="005E6B7C">
        <w:rPr>
          <w:rFonts w:asciiTheme="majorHAnsi" w:eastAsia="Yu Mincho" w:hAnsiTheme="majorHAnsi" w:cstheme="majorHAnsi"/>
          <w:i/>
          <w:iCs/>
          <w:color w:val="000000" w:themeColor="text1"/>
          <w:spacing w:val="-6"/>
          <w:sz w:val="22"/>
          <w:szCs w:val="22"/>
          <w:lang w:eastAsia="ja-JP"/>
        </w:rPr>
        <w:t>Faculty of Analytical Chemistry and Drug Quality Control, Hanoi University of Pharmacy, Hanoi, Vietnam;</w:t>
      </w:r>
    </w:p>
    <w:p w14:paraId="2408F68C"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Cs/>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iCs/>
          <w:color w:val="000000" w:themeColor="text1"/>
          <w:sz w:val="22"/>
          <w:szCs w:val="22"/>
          <w:lang w:eastAsia="ja-JP"/>
        </w:rPr>
        <w:t>National Institute of Medicinal Materials (NIMM), Hanoi 11018, Vietnam</w:t>
      </w:r>
    </w:p>
    <w:p w14:paraId="06E7291D"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 lethikimvannimm@gmail.com</w:t>
      </w:r>
    </w:p>
    <w:p w14:paraId="6D20DF40" w14:textId="77777777" w:rsidR="007B23ED" w:rsidRPr="005E6B7C" w:rsidRDefault="007B23ED" w:rsidP="007B23ED">
      <w:pPr>
        <w:tabs>
          <w:tab w:val="left" w:pos="270"/>
          <w:tab w:val="left" w:pos="540"/>
          <w:tab w:val="left" w:pos="9270"/>
        </w:tabs>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Received May 6</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2025              Accepted February 25</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2121906A"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Summary</w:t>
      </w:r>
    </w:p>
    <w:p w14:paraId="1FADF738" w14:textId="77777777" w:rsidR="007B23ED" w:rsidRPr="005E6B7C" w:rsidRDefault="007B23ED" w:rsidP="007B23ED">
      <w:pPr>
        <w:tabs>
          <w:tab w:val="left" w:pos="9270"/>
        </w:tabs>
        <w:ind w:right="-20" w:firstLine="284"/>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The capacity of </w:t>
      </w:r>
      <w:r w:rsidRPr="005E6B7C">
        <w:rPr>
          <w:rFonts w:asciiTheme="majorHAnsi" w:eastAsia="Yu Mincho" w:hAnsiTheme="majorHAnsi" w:cstheme="majorHAnsi"/>
          <w:i/>
          <w:iCs/>
          <w:color w:val="000000" w:themeColor="text1"/>
          <w:sz w:val="18"/>
          <w:szCs w:val="18"/>
          <w:lang w:eastAsia="ja-JP"/>
        </w:rPr>
        <w:t>Lactobacillus casei</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Lactobacillus rhamnosus</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i/>
          <w:iCs/>
          <w:color w:val="000000" w:themeColor="text1"/>
          <w:sz w:val="18"/>
          <w:szCs w:val="18"/>
          <w:lang w:eastAsia="ja-JP"/>
        </w:rPr>
        <w:t xml:space="preserve"> Bifidobacterium bifidum</w:t>
      </w:r>
      <w:r w:rsidRPr="005E6B7C">
        <w:rPr>
          <w:rFonts w:asciiTheme="majorHAnsi" w:eastAsia="Yu Mincho" w:hAnsiTheme="majorHAnsi" w:cstheme="majorHAnsi"/>
          <w:iCs/>
          <w:color w:val="000000" w:themeColor="text1"/>
          <w:sz w:val="18"/>
          <w:szCs w:val="18"/>
          <w:lang w:eastAsia="ja-JP"/>
        </w:rPr>
        <w:t>,</w:t>
      </w:r>
      <w:r w:rsidRPr="005E6B7C">
        <w:rPr>
          <w:rFonts w:asciiTheme="majorHAnsi" w:eastAsia="Yu Mincho" w:hAnsiTheme="majorHAnsi" w:cstheme="majorHAnsi"/>
          <w:color w:val="000000" w:themeColor="text1"/>
          <w:sz w:val="18"/>
          <w:szCs w:val="18"/>
          <w:lang w:eastAsia="ja-JP"/>
        </w:rPr>
        <w:t xml:space="preserve"> and </w:t>
      </w:r>
      <w:r w:rsidRPr="005E6B7C">
        <w:rPr>
          <w:rFonts w:asciiTheme="majorHAnsi" w:eastAsia="Yu Mincho" w:hAnsiTheme="majorHAnsi" w:cstheme="majorHAnsi"/>
          <w:i/>
          <w:color w:val="000000" w:themeColor="text1"/>
          <w:sz w:val="18"/>
          <w:szCs w:val="18"/>
          <w:lang w:eastAsia="ja-JP"/>
        </w:rPr>
        <w:t>Bacillus subtilis</w:t>
      </w:r>
      <w:r w:rsidRPr="005E6B7C">
        <w:rPr>
          <w:rFonts w:asciiTheme="majorHAnsi" w:eastAsia="Yu Mincho" w:hAnsiTheme="majorHAnsi" w:cstheme="majorHAnsi"/>
          <w:color w:val="000000" w:themeColor="text1"/>
          <w:sz w:val="18"/>
          <w:szCs w:val="18"/>
          <w:lang w:eastAsia="ja-JP"/>
        </w:rPr>
        <w:t xml:space="preserve"> to increase the content of gymnemagenin in </w:t>
      </w:r>
      <w:r w:rsidRPr="005E6B7C">
        <w:rPr>
          <w:rFonts w:asciiTheme="majorHAnsi" w:eastAsia="Yu Mincho" w:hAnsiTheme="majorHAnsi" w:cstheme="majorHAnsi"/>
          <w:i/>
          <w:color w:val="000000" w:themeColor="text1"/>
          <w:sz w:val="18"/>
          <w:szCs w:val="18"/>
          <w:lang w:eastAsia="ja-JP"/>
        </w:rPr>
        <w:t xml:space="preserve">Gymnema </w:t>
      </w:r>
      <w:r w:rsidRPr="005E6B7C">
        <w:rPr>
          <w:rFonts w:asciiTheme="majorHAnsi" w:eastAsia="Yu Mincho" w:hAnsiTheme="majorHAnsi" w:cstheme="majorHAnsi"/>
          <w:iCs/>
          <w:color w:val="000000" w:themeColor="text1"/>
          <w:sz w:val="18"/>
          <w:szCs w:val="18"/>
          <w:lang w:eastAsia="ja-JP"/>
        </w:rPr>
        <w:t>spp</w:t>
      </w:r>
      <w:r w:rsidRPr="005E6B7C">
        <w:rPr>
          <w:rFonts w:asciiTheme="majorHAnsi" w:eastAsia="Yu Mincho" w:hAnsiTheme="majorHAnsi" w:cstheme="majorHAnsi"/>
          <w:iCs/>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R.Br was investigated on two samples of </w:t>
      </w:r>
      <w:r w:rsidRPr="005E6B7C">
        <w:rPr>
          <w:rFonts w:asciiTheme="majorHAnsi" w:eastAsia="Yu Mincho" w:hAnsiTheme="majorHAnsi" w:cstheme="majorHAnsi"/>
          <w:i/>
          <w:color w:val="000000" w:themeColor="text1"/>
          <w:sz w:val="18"/>
          <w:szCs w:val="18"/>
          <w:lang w:eastAsia="ja-JP"/>
        </w:rPr>
        <w:t>G. sylvestre</w:t>
      </w:r>
      <w:r w:rsidRPr="005E6B7C">
        <w:rPr>
          <w:rFonts w:asciiTheme="majorHAnsi" w:eastAsia="Yu Mincho" w:hAnsiTheme="majorHAnsi" w:cstheme="majorHAnsi"/>
          <w:color w:val="000000" w:themeColor="text1"/>
          <w:sz w:val="18"/>
          <w:szCs w:val="18"/>
          <w:lang w:eastAsia="ja-JP"/>
        </w:rPr>
        <w:t xml:space="preserve"> and two samples of </w:t>
      </w:r>
      <w:r w:rsidRPr="005E6B7C">
        <w:rPr>
          <w:rFonts w:asciiTheme="majorHAnsi" w:eastAsia="Yu Mincho" w:hAnsiTheme="majorHAnsi" w:cstheme="majorHAnsi"/>
          <w:i/>
          <w:color w:val="000000" w:themeColor="text1"/>
          <w:sz w:val="18"/>
          <w:szCs w:val="18"/>
          <w:lang w:eastAsia="ja-JP"/>
        </w:rPr>
        <w:t>G. latifolium</w:t>
      </w:r>
      <w:r w:rsidRPr="005E6B7C">
        <w:rPr>
          <w:rFonts w:asciiTheme="majorHAnsi" w:eastAsia="Yu Mincho" w:hAnsiTheme="majorHAnsi" w:cstheme="majorHAnsi"/>
          <w:color w:val="000000" w:themeColor="text1"/>
          <w:sz w:val="18"/>
          <w:szCs w:val="18"/>
          <w:lang w:eastAsia="ja-JP"/>
        </w:rPr>
        <w:t xml:space="preserve"> by incubating these samples for 8 days with each strain of bacteria. The difference in content of gymnemagenin before and after incubation was determined by using a validated HPLC method meeting all requirements of AOAC International on analytical method performance. The four strains of bacteria were found to increase the content of gymnemagenin in the tested samples after incubation, but the change caused by </w:t>
      </w:r>
      <w:r w:rsidRPr="005E6B7C">
        <w:rPr>
          <w:rFonts w:asciiTheme="majorHAnsi" w:eastAsia="Yu Mincho" w:hAnsiTheme="majorHAnsi" w:cstheme="majorHAnsi"/>
          <w:i/>
          <w:color w:val="000000" w:themeColor="text1"/>
          <w:sz w:val="18"/>
          <w:szCs w:val="18"/>
          <w:lang w:eastAsia="ja-JP"/>
        </w:rPr>
        <w:t>B.subtilis</w:t>
      </w:r>
      <w:r w:rsidRPr="005E6B7C">
        <w:rPr>
          <w:rFonts w:asciiTheme="majorHAnsi" w:eastAsia="Yu Mincho" w:hAnsiTheme="majorHAnsi" w:cstheme="majorHAnsi"/>
          <w:color w:val="000000" w:themeColor="text1"/>
          <w:sz w:val="18"/>
          <w:szCs w:val="18"/>
          <w:lang w:eastAsia="ja-JP"/>
        </w:rPr>
        <w:t xml:space="preserve"> was not statistically significant. No significant strain-to-strain difference in the capacity to improve the content of gymnemagenin was found among the four strains of bacteria.</w:t>
      </w:r>
    </w:p>
    <w:p w14:paraId="6FF1E879" w14:textId="77777777" w:rsidR="007B23ED" w:rsidRPr="005E6B7C" w:rsidRDefault="007B23ED" w:rsidP="007B23ED">
      <w:pPr>
        <w:tabs>
          <w:tab w:val="left" w:pos="9270"/>
        </w:tabs>
        <w:ind w:right="-20" w:firstLine="284"/>
        <w:contextualSpacing/>
        <w:jc w:val="both"/>
        <w:rPr>
          <w:rFonts w:asciiTheme="majorHAnsi" w:eastAsia="Yu Mincho" w:hAnsiTheme="majorHAnsi" w:cstheme="majorHAnsi"/>
          <w:i/>
          <w:i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Keyword:</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i/>
          <w:iCs/>
          <w:color w:val="000000" w:themeColor="text1"/>
          <w:sz w:val="18"/>
          <w:szCs w:val="18"/>
          <w:lang w:eastAsia="ja-JP"/>
        </w:rPr>
        <w:t>Gymnemagenin; Biotransformation; Incubation.</w:t>
      </w:r>
    </w:p>
    <w:p w14:paraId="2E704E96"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b/>
          <w:color w:val="000000" w:themeColor="text1"/>
          <w:sz w:val="22"/>
          <w:szCs w:val="22"/>
          <w:lang w:eastAsia="ja-JP"/>
        </w:rPr>
      </w:pPr>
    </w:p>
    <w:p w14:paraId="2583A83C"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b/>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46D9D42C"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1. Introduction</w:t>
      </w:r>
    </w:p>
    <w:p w14:paraId="2DAD75AD"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Gymnemagenin is an aglycone existing either in free form in</w:t>
      </w:r>
      <w:r w:rsidRPr="005E6B7C">
        <w:rPr>
          <w:rFonts w:asciiTheme="majorHAnsi" w:eastAsia="Yu Mincho" w:hAnsiTheme="majorHAnsi" w:cstheme="majorHAnsi"/>
          <w:i/>
          <w:color w:val="000000" w:themeColor="text1"/>
          <w:sz w:val="22"/>
          <w:szCs w:val="22"/>
          <w:lang w:eastAsia="ja-JP"/>
        </w:rPr>
        <w:t xml:space="preserve"> Gymnema </w:t>
      </w:r>
      <w:r w:rsidRPr="005E6B7C">
        <w:rPr>
          <w:rFonts w:asciiTheme="majorHAnsi" w:eastAsia="Yu Mincho" w:hAnsiTheme="majorHAnsi" w:cstheme="majorHAnsi"/>
          <w:color w:val="000000" w:themeColor="text1"/>
          <w:sz w:val="22"/>
          <w:szCs w:val="22"/>
          <w:lang w:eastAsia="ja-JP"/>
        </w:rPr>
        <w:t xml:space="preserve">R.Br or in the form of </w:t>
      </w:r>
      <w:r w:rsidRPr="005E6B7C">
        <w:rPr>
          <w:rFonts w:asciiTheme="majorHAnsi" w:eastAsia="Yu Mincho" w:hAnsiTheme="majorHAnsi" w:cstheme="majorHAnsi"/>
          <w:color w:val="000000" w:themeColor="text1"/>
          <w:sz w:val="22"/>
          <w:szCs w:val="22"/>
          <w:lang w:eastAsia="ja-JP"/>
        </w:rPr>
        <w:t xml:space="preserve">gymnemic acids, which can be hydrolyzed chemically or enzymatically to release gymnemagenin (Fig. 1) [1]. </w:t>
      </w:r>
    </w:p>
    <w:p w14:paraId="72883194"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num="2" w:space="284"/>
          <w:docGrid w:linePitch="360"/>
        </w:sectPr>
      </w:pPr>
    </w:p>
    <w:p w14:paraId="6DE302C2"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eastAsia="ja-JP"/>
        </w:rPr>
      </w:pPr>
    </w:p>
    <w:tbl>
      <w:tblPr>
        <w:tblW w:w="8474" w:type="dxa"/>
        <w:tblLook w:val="04A0" w:firstRow="1" w:lastRow="0" w:firstColumn="1" w:lastColumn="0" w:noHBand="0" w:noVBand="1"/>
      </w:tblPr>
      <w:tblGrid>
        <w:gridCol w:w="4590"/>
        <w:gridCol w:w="3884"/>
      </w:tblGrid>
      <w:tr w:rsidR="00730E96" w:rsidRPr="005E6B7C" w14:paraId="0F5FC14C" w14:textId="77777777" w:rsidTr="00730E96">
        <w:trPr>
          <w:trHeight w:val="638"/>
        </w:trPr>
        <w:tc>
          <w:tcPr>
            <w:tcW w:w="4590" w:type="dxa"/>
          </w:tcPr>
          <w:p w14:paraId="4F1DD9E1" w14:textId="77777777" w:rsidR="00730E96" w:rsidRPr="005E6B7C" w:rsidRDefault="00730E96" w:rsidP="00730E96">
            <w:pPr>
              <w:ind w:right="600"/>
              <w:jc w:val="center"/>
            </w:pPr>
            <w:r w:rsidRPr="005E6B7C">
              <w:object w:dxaOrig="6222" w:dyaOrig="4250" w14:anchorId="6DC8E59E">
                <v:shape id="_x0000_i1034" type="#_x0000_t75" style="width:150pt;height:102pt" o:ole="">
                  <v:imagedata r:id="rId137" o:title=""/>
                </v:shape>
                <o:OLEObject Type="Embed" ProgID="ChemDraw.Document.6.0" ShapeID="_x0000_i1034" DrawAspect="Content" ObjectID="_1836572956" r:id="rId138"/>
              </w:object>
            </w:r>
          </w:p>
          <w:p w14:paraId="38EDC064" w14:textId="596B738F" w:rsidR="00730E96" w:rsidRPr="005E6B7C" w:rsidRDefault="00730E96" w:rsidP="00730E96">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pt-BR" w:eastAsia="ja-JP"/>
              </w:rPr>
            </w:pPr>
            <w:r w:rsidRPr="005E6B7C">
              <w:rPr>
                <w:rFonts w:ascii="Arial" w:hAnsi="Arial" w:cs="Arial"/>
                <w:sz w:val="20"/>
                <w:szCs w:val="20"/>
              </w:rPr>
              <w:t xml:space="preserve">                           </w:t>
            </w:r>
            <w:r w:rsidRPr="005E6B7C">
              <w:rPr>
                <w:rFonts w:ascii="Arial" w:hAnsi="Arial" w:cs="Arial"/>
                <w:sz w:val="18"/>
                <w:szCs w:val="18"/>
              </w:rPr>
              <w:t>Gymnemic acids</w:t>
            </w:r>
          </w:p>
        </w:tc>
        <w:tc>
          <w:tcPr>
            <w:tcW w:w="3884" w:type="dxa"/>
          </w:tcPr>
          <w:p w14:paraId="21008A58" w14:textId="77777777" w:rsidR="00730E96" w:rsidRPr="005E6B7C" w:rsidRDefault="00730E96" w:rsidP="00730E96">
            <w:pPr>
              <w:ind w:left="743"/>
              <w:jc w:val="center"/>
            </w:pPr>
            <w:r w:rsidRPr="005E6B7C">
              <w:rPr>
                <w:rFonts w:asciiTheme="majorHAnsi" w:eastAsia="Yu Mincho" w:hAnsiTheme="majorHAnsi" w:cstheme="majorHAnsi"/>
                <w:noProof/>
                <w:color w:val="000000" w:themeColor="text1"/>
                <w:sz w:val="22"/>
                <w:szCs w:val="22"/>
                <w14:ligatures w14:val="standardContextual"/>
              </w:rPr>
              <mc:AlternateContent>
                <mc:Choice Requires="wps">
                  <w:drawing>
                    <wp:anchor distT="0" distB="0" distL="114300" distR="114300" simplePos="0" relativeHeight="251668480" behindDoc="0" locked="0" layoutInCell="1" allowOverlap="1" wp14:anchorId="1085B817" wp14:editId="74F3FD61">
                      <wp:simplePos x="0" y="0"/>
                      <wp:positionH relativeFrom="column">
                        <wp:posOffset>-381000</wp:posOffset>
                      </wp:positionH>
                      <wp:positionV relativeFrom="paragraph">
                        <wp:posOffset>605790</wp:posOffset>
                      </wp:positionV>
                      <wp:extent cx="982980" cy="7620"/>
                      <wp:effectExtent l="0" t="76200" r="26670" b="87630"/>
                      <wp:wrapNone/>
                      <wp:docPr id="786668848" name="Straight Arrow Connector 786668848"/>
                      <wp:cNvGraphicFramePr/>
                      <a:graphic xmlns:a="http://schemas.openxmlformats.org/drawingml/2006/main">
                        <a:graphicData uri="http://schemas.microsoft.com/office/word/2010/wordprocessingShape">
                          <wps:wsp>
                            <wps:cNvCnPr/>
                            <wps:spPr>
                              <a:xfrm flipV="1">
                                <a:off x="0" y="0"/>
                                <a:ext cx="982980" cy="7620"/>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w:pict>
                    <v:shapetype w14:anchorId="4A0EDF3A" id="_x0000_t32" coordsize="21600,21600" o:spt="32" o:oned="t" path="m,l21600,21600e" filled="f">
                      <v:path arrowok="t" fillok="f" o:connecttype="none"/>
                      <o:lock v:ext="edit" shapetype="t"/>
                    </v:shapetype>
                    <v:shape id="Straight Arrow Connector 786668848" o:spid="_x0000_s1026" type="#_x0000_t32" style="position:absolute;margin-left:-30pt;margin-top:47.7pt;width:77.4pt;height:.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" strokecolor="windowText">
                      <v:stroke endarrow="block" joinstyle="miter"/>
                    </v:shape>
                  </w:pict>
                </mc:Fallback>
              </mc:AlternateContent>
            </w:r>
            <w:r w:rsidRPr="005E6B7C">
              <w:rPr>
                <w:rFonts w:asciiTheme="majorHAnsi" w:eastAsia="Yu Mincho" w:hAnsiTheme="majorHAnsi" w:cstheme="majorHAnsi"/>
                <w:noProof/>
                <w:color w:val="000000" w:themeColor="text1"/>
                <w:sz w:val="22"/>
                <w:szCs w:val="22"/>
              </w:rPr>
              <mc:AlternateContent>
                <mc:Choice Requires="wps">
                  <w:drawing>
                    <wp:anchor distT="45720" distB="45720" distL="114300" distR="114300" simplePos="0" relativeHeight="251669504" behindDoc="0" locked="0" layoutInCell="1" allowOverlap="1" wp14:anchorId="4F4C66D3" wp14:editId="41119EC5">
                      <wp:simplePos x="0" y="0"/>
                      <wp:positionH relativeFrom="column">
                        <wp:posOffset>-440055</wp:posOffset>
                      </wp:positionH>
                      <wp:positionV relativeFrom="paragraph">
                        <wp:posOffset>339090</wp:posOffset>
                      </wp:positionV>
                      <wp:extent cx="1043940" cy="327660"/>
                      <wp:effectExtent l="0" t="0" r="0" b="0"/>
                      <wp:wrapNone/>
                      <wp:docPr id="1762353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7660"/>
                              </a:xfrm>
                              <a:prstGeom prst="rect">
                                <a:avLst/>
                              </a:prstGeom>
                              <a:noFill/>
                              <a:ln w="9525">
                                <a:noFill/>
                                <a:miter lim="800000"/>
                                <a:headEnd/>
                                <a:tailEnd/>
                              </a:ln>
                            </wps:spPr>
                            <wps:txbx>
                              <w:txbxContent>
                                <w:p w14:paraId="2AF20041" w14:textId="77777777" w:rsidR="00730E96" w:rsidRPr="00730E96" w:rsidRDefault="00730E96" w:rsidP="006C26F8">
                                  <w:pPr>
                                    <w:jc w:val="center"/>
                                    <w:rPr>
                                      <w:rFonts w:ascii="Arial" w:hAnsi="Arial" w:cs="Arial"/>
                                      <w:sz w:val="16"/>
                                      <w:szCs w:val="16"/>
                                    </w:rPr>
                                  </w:pPr>
                                  <w:r w:rsidRPr="00730E96">
                                    <w:rPr>
                                      <w:rFonts w:ascii="Arial" w:hAnsi="Arial" w:cs="Arial"/>
                                      <w:sz w:val="16"/>
                                      <w:szCs w:val="16"/>
                                    </w:rPr>
                                    <w:t>Metabolism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C66D3" id="_x0000_t202" coordsize="21600,21600" o:spt="202" path="m,l,21600r21600,l21600,xe">
                      <v:stroke joinstyle="miter"/>
                      <v:path gradientshapeok="t" o:connecttype="rect"/>
                    </v:shapetype>
                    <v:shape id="Text Box 2" o:spid="_x0000_s1026" type="#_x0000_t202" style="position:absolute;left:0;text-align:left;margin-left:-34.65pt;margin-top:26.7pt;width:82.2pt;height:25.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" filled="f" stroked="f">
                      <v:textbox>
                        <w:txbxContent>
                          <w:p w14:paraId="2AF20041" w14:textId="77777777" w:rsidR="00730E96" w:rsidRPr="00730E96" w:rsidRDefault="00730E96" w:rsidP="006C26F8">
                            <w:pPr>
                              <w:jc w:val="center"/>
                              <w:rPr>
                                <w:rFonts w:ascii="Arial" w:hAnsi="Arial" w:cs="Arial"/>
                                <w:sz w:val="16"/>
                                <w:szCs w:val="16"/>
                              </w:rPr>
                            </w:pPr>
                            <w:r w:rsidRPr="00730E96">
                              <w:rPr>
                                <w:rFonts w:ascii="Arial" w:hAnsi="Arial" w:cs="Arial"/>
                                <w:sz w:val="16"/>
                                <w:szCs w:val="16"/>
                              </w:rPr>
                              <w:t>Metabolism</w:t>
                            </w:r>
                          </w:p>
                        </w:txbxContent>
                      </v:textbox>
                    </v:shape>
                  </w:pict>
                </mc:Fallback>
              </mc:AlternateContent>
            </w:r>
            <w:r w:rsidRPr="005E6B7C">
              <w:object w:dxaOrig="5965" w:dyaOrig="4250" w14:anchorId="18D127D6">
                <v:shape id="_x0000_i1035" type="#_x0000_t75" style="width:2in;height:102pt" o:ole="">
                  <v:imagedata r:id="rId139" o:title=""/>
                </v:shape>
                <o:OLEObject Type="Embed" ProgID="ChemDraw.Document.6.0" ShapeID="_x0000_i1035" DrawAspect="Content" ObjectID="_1836572957" r:id="rId140"/>
              </w:object>
            </w:r>
          </w:p>
          <w:p w14:paraId="13FA962C" w14:textId="31767AF9" w:rsidR="00730E96" w:rsidRPr="005E6B7C" w:rsidRDefault="00730E96" w:rsidP="00730E96">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val="pt-BR" w:eastAsia="ja-JP"/>
              </w:rPr>
            </w:pPr>
            <w:r w:rsidRPr="005E6B7C">
              <w:rPr>
                <w:rFonts w:ascii="Arial" w:hAnsi="Arial" w:cs="Arial"/>
                <w:sz w:val="18"/>
                <w:szCs w:val="18"/>
              </w:rPr>
              <w:t xml:space="preserve">                                  Gymnemagenin</w:t>
            </w:r>
          </w:p>
        </w:tc>
      </w:tr>
    </w:tbl>
    <w:p w14:paraId="678733A2"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b/>
          <w:bCs/>
          <w:color w:val="000000" w:themeColor="text1"/>
          <w:sz w:val="22"/>
          <w:szCs w:val="22"/>
          <w:lang w:eastAsia="ja-JP"/>
        </w:rPr>
      </w:pPr>
    </w:p>
    <w:p w14:paraId="48D4C271"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1.</w:t>
      </w:r>
      <w:r w:rsidRPr="005E6B7C">
        <w:rPr>
          <w:rFonts w:asciiTheme="majorHAnsi" w:eastAsia="Yu Mincho" w:hAnsiTheme="majorHAnsi" w:cstheme="majorHAnsi"/>
          <w:color w:val="000000" w:themeColor="text1"/>
          <w:sz w:val="18"/>
          <w:szCs w:val="18"/>
          <w:lang w:eastAsia="ja-JP"/>
        </w:rPr>
        <w:t xml:space="preserve"> Relationship between gymnemic acids and gymnemagenin</w:t>
      </w:r>
    </w:p>
    <w:p w14:paraId="253434CE"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eastAsia="ja-JP"/>
        </w:rPr>
      </w:pPr>
    </w:p>
    <w:p w14:paraId="5EDA8ED0"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01A5A273"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Gymnemagenin is able to reduce the glucose level in blood [2], possessing anti-obesity and anti-diabetes capacities [3], and it is considered to have important therapeutic potential. </w:t>
      </w:r>
    </w:p>
    <w:p w14:paraId="4A55C3E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During their growth phase, microorganisms produce enzymes capable of degrading natural compounds in plants to transform them into new entities [4]. The enzymatic transformation of natural products, such as that of gymnemic acids, can be catalyzed by different types of bacterial enzymes, such as glucosidases secreted by </w:t>
      </w:r>
      <w:r w:rsidRPr="005E6B7C">
        <w:rPr>
          <w:rFonts w:asciiTheme="majorHAnsi" w:eastAsia="Yu Mincho" w:hAnsiTheme="majorHAnsi" w:cstheme="majorHAnsi"/>
          <w:i/>
          <w:color w:val="000000" w:themeColor="text1"/>
          <w:spacing w:val="-4"/>
          <w:sz w:val="22"/>
          <w:szCs w:val="22"/>
          <w:lang w:eastAsia="ja-JP"/>
        </w:rPr>
        <w:t>L. casei</w:t>
      </w:r>
      <w:r w:rsidRPr="005E6B7C">
        <w:rPr>
          <w:rFonts w:asciiTheme="majorHAnsi" w:eastAsia="Yu Mincho" w:hAnsiTheme="majorHAnsi" w:cstheme="majorHAnsi"/>
          <w:color w:val="000000" w:themeColor="text1"/>
          <w:spacing w:val="-4"/>
          <w:sz w:val="22"/>
          <w:szCs w:val="22"/>
          <w:lang w:eastAsia="ja-JP"/>
        </w:rPr>
        <w:t xml:space="preserve"> [5], </w:t>
      </w:r>
      <w:r w:rsidRPr="005E6B7C">
        <w:rPr>
          <w:rFonts w:asciiTheme="majorHAnsi" w:eastAsia="Yu Mincho" w:hAnsiTheme="majorHAnsi" w:cstheme="majorHAnsi"/>
          <w:i/>
          <w:color w:val="000000" w:themeColor="text1"/>
          <w:spacing w:val="-4"/>
          <w:sz w:val="22"/>
          <w:szCs w:val="22"/>
          <w:lang w:eastAsia="ja-JP"/>
        </w:rPr>
        <w:t>L. rhamnosus</w:t>
      </w:r>
      <w:r w:rsidRPr="005E6B7C">
        <w:rPr>
          <w:rFonts w:asciiTheme="majorHAnsi" w:eastAsia="Yu Mincho" w:hAnsiTheme="majorHAnsi" w:cstheme="majorHAnsi"/>
          <w:color w:val="000000" w:themeColor="text1"/>
          <w:spacing w:val="-4"/>
          <w:sz w:val="22"/>
          <w:szCs w:val="22"/>
          <w:lang w:eastAsia="ja-JP"/>
        </w:rPr>
        <w:t xml:space="preserve"> [6], </w:t>
      </w:r>
      <w:r w:rsidRPr="005E6B7C">
        <w:rPr>
          <w:rFonts w:asciiTheme="majorHAnsi" w:eastAsia="Yu Mincho" w:hAnsiTheme="majorHAnsi" w:cstheme="majorHAnsi"/>
          <w:i/>
          <w:color w:val="000000" w:themeColor="text1"/>
          <w:spacing w:val="-4"/>
          <w:sz w:val="22"/>
          <w:szCs w:val="22"/>
          <w:lang w:eastAsia="ja-JP"/>
        </w:rPr>
        <w:t>B. subtilis</w:t>
      </w:r>
      <w:r w:rsidRPr="005E6B7C">
        <w:rPr>
          <w:rFonts w:asciiTheme="majorHAnsi" w:eastAsia="Yu Mincho" w:hAnsiTheme="majorHAnsi" w:cstheme="majorHAnsi"/>
          <w:color w:val="000000" w:themeColor="text1"/>
          <w:spacing w:val="-4"/>
          <w:sz w:val="22"/>
          <w:szCs w:val="22"/>
          <w:lang w:eastAsia="ja-JP"/>
        </w:rPr>
        <w:t xml:space="preserve"> [7], or </w:t>
      </w:r>
      <w:r w:rsidRPr="005E6B7C">
        <w:rPr>
          <w:rFonts w:asciiTheme="majorHAnsi" w:eastAsia="Yu Mincho" w:hAnsiTheme="majorHAnsi" w:cstheme="majorHAnsi"/>
          <w:i/>
          <w:color w:val="000000" w:themeColor="text1"/>
          <w:spacing w:val="-4"/>
          <w:sz w:val="22"/>
          <w:szCs w:val="22"/>
          <w:lang w:eastAsia="ja-JP"/>
        </w:rPr>
        <w:t>B. bifidum</w:t>
      </w:r>
      <w:r w:rsidRPr="005E6B7C">
        <w:rPr>
          <w:rFonts w:asciiTheme="majorHAnsi" w:eastAsia="Yu Mincho" w:hAnsiTheme="majorHAnsi" w:cstheme="majorHAnsi"/>
          <w:color w:val="000000" w:themeColor="text1"/>
          <w:spacing w:val="-4"/>
          <w:sz w:val="22"/>
          <w:szCs w:val="22"/>
          <w:lang w:eastAsia="ja-JP"/>
        </w:rPr>
        <w:t xml:space="preserve"> [8], etc. Among other cases, gymnemic acids in extracts from </w:t>
      </w:r>
      <w:r w:rsidRPr="005E6B7C">
        <w:rPr>
          <w:rFonts w:asciiTheme="majorHAnsi" w:eastAsia="Yu Mincho" w:hAnsiTheme="majorHAnsi" w:cstheme="majorHAnsi"/>
          <w:i/>
          <w:color w:val="000000" w:themeColor="text1"/>
          <w:spacing w:val="-4"/>
          <w:sz w:val="22"/>
          <w:szCs w:val="22"/>
          <w:lang w:eastAsia="ja-JP"/>
        </w:rPr>
        <w:t>G. sylvestre</w:t>
      </w:r>
      <w:r w:rsidRPr="005E6B7C">
        <w:rPr>
          <w:rFonts w:asciiTheme="majorHAnsi" w:eastAsia="Yu Mincho" w:hAnsiTheme="majorHAnsi" w:cstheme="majorHAnsi"/>
          <w:color w:val="000000" w:themeColor="text1"/>
          <w:spacing w:val="-4"/>
          <w:sz w:val="22"/>
          <w:szCs w:val="22"/>
          <w:lang w:eastAsia="ja-JP"/>
        </w:rPr>
        <w:t xml:space="preserve"> were found to be hydrolyzed to release gymnemagenin after incubation with </w:t>
      </w:r>
      <w:r w:rsidRPr="005E6B7C">
        <w:rPr>
          <w:rFonts w:asciiTheme="majorHAnsi" w:eastAsia="Yu Mincho" w:hAnsiTheme="majorHAnsi" w:cstheme="majorHAnsi"/>
          <w:i/>
          <w:color w:val="000000" w:themeColor="text1"/>
          <w:spacing w:val="-4"/>
          <w:sz w:val="22"/>
          <w:szCs w:val="22"/>
          <w:lang w:eastAsia="ja-JP"/>
        </w:rPr>
        <w:t>B. bifidum</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eastAsia="ja-JP"/>
        </w:rPr>
        <w:t xml:space="preserve"> L. casei</w:t>
      </w:r>
      <w:r w:rsidRPr="005E6B7C">
        <w:rPr>
          <w:rFonts w:asciiTheme="majorHAnsi" w:eastAsia="Yu Mincho" w:hAnsiTheme="majorHAnsi" w:cstheme="majorHAnsi"/>
          <w:color w:val="000000" w:themeColor="text1"/>
          <w:spacing w:val="-4"/>
          <w:sz w:val="22"/>
          <w:szCs w:val="22"/>
          <w:lang w:eastAsia="ja-JP"/>
        </w:rPr>
        <w:t xml:space="preserve">, and </w:t>
      </w:r>
      <w:r w:rsidRPr="005E6B7C">
        <w:rPr>
          <w:rFonts w:asciiTheme="majorHAnsi" w:eastAsia="Yu Mincho" w:hAnsiTheme="majorHAnsi" w:cstheme="majorHAnsi"/>
          <w:i/>
          <w:color w:val="000000" w:themeColor="text1"/>
          <w:spacing w:val="-4"/>
          <w:sz w:val="22"/>
          <w:szCs w:val="22"/>
          <w:lang w:eastAsia="ja-JP"/>
        </w:rPr>
        <w:t>L.rhamnosus</w:t>
      </w:r>
      <w:r w:rsidRPr="005E6B7C">
        <w:rPr>
          <w:rFonts w:asciiTheme="majorHAnsi" w:eastAsia="Yu Mincho" w:hAnsiTheme="majorHAnsi" w:cstheme="majorHAnsi"/>
          <w:color w:val="000000" w:themeColor="text1"/>
          <w:spacing w:val="-4"/>
          <w:sz w:val="22"/>
          <w:szCs w:val="22"/>
          <w:lang w:eastAsia="ja-JP"/>
        </w:rPr>
        <w:t xml:space="preserve"> [9]. Therefore, bacterial fermentation is a promising approach to transform gymnemic acids into free gymnemagenin to increase </w:t>
      </w:r>
      <w:r w:rsidRPr="005E6B7C">
        <w:rPr>
          <w:rFonts w:asciiTheme="majorHAnsi" w:eastAsia="Yu Mincho" w:hAnsiTheme="majorHAnsi" w:cstheme="majorHAnsi"/>
          <w:color w:val="000000" w:themeColor="text1"/>
          <w:spacing w:val="-4"/>
          <w:sz w:val="22"/>
          <w:szCs w:val="22"/>
          <w:lang w:eastAsia="ja-JP"/>
        </w:rPr>
        <w:t xml:space="preserve">the content of gymnemagenin in </w:t>
      </w:r>
      <w:r w:rsidRPr="005E6B7C">
        <w:rPr>
          <w:rFonts w:asciiTheme="majorHAnsi" w:eastAsia="Yu Mincho" w:hAnsiTheme="majorHAnsi" w:cstheme="majorHAnsi"/>
          <w:i/>
          <w:color w:val="000000" w:themeColor="text1"/>
          <w:spacing w:val="-4"/>
          <w:sz w:val="22"/>
          <w:szCs w:val="22"/>
          <w:lang w:eastAsia="ja-JP"/>
        </w:rPr>
        <w:t>Gymnema</w:t>
      </w:r>
      <w:r w:rsidRPr="005E6B7C">
        <w:rPr>
          <w:rFonts w:asciiTheme="majorHAnsi" w:eastAsia="Yu Mincho" w:hAnsiTheme="majorHAnsi" w:cstheme="majorHAnsi"/>
          <w:color w:val="000000" w:themeColor="text1"/>
          <w:spacing w:val="-4"/>
          <w:sz w:val="22"/>
          <w:szCs w:val="22"/>
          <w:lang w:eastAsia="ja-JP"/>
        </w:rPr>
        <w:t xml:space="preserve"> R.Br’s raw materials.</w:t>
      </w:r>
    </w:p>
    <w:p w14:paraId="574A7D78"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This study was carried out to investigate the capacity of four bacterial strains (</w:t>
      </w:r>
      <w:r w:rsidRPr="005E6B7C">
        <w:rPr>
          <w:rFonts w:asciiTheme="majorHAnsi" w:eastAsia="Yu Mincho" w:hAnsiTheme="majorHAnsi" w:cstheme="majorHAnsi"/>
          <w:i/>
          <w:color w:val="000000" w:themeColor="text1"/>
          <w:spacing w:val="-4"/>
          <w:sz w:val="22"/>
          <w:szCs w:val="22"/>
          <w:lang w:eastAsia="ja-JP"/>
        </w:rPr>
        <w:t>B. bifidum</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eastAsia="ja-JP"/>
        </w:rPr>
        <w:t xml:space="preserve"> B. subtilis</w:t>
      </w:r>
      <w:r w:rsidRPr="005E6B7C">
        <w:rPr>
          <w:rFonts w:asciiTheme="majorHAnsi" w:eastAsia="Yu Mincho" w:hAnsiTheme="majorHAnsi" w:cstheme="majorHAnsi"/>
          <w:color w:val="000000" w:themeColor="text1"/>
          <w:spacing w:val="-4"/>
          <w:sz w:val="22"/>
          <w:szCs w:val="22"/>
          <w:lang w:eastAsia="ja-JP"/>
        </w:rPr>
        <w:t>,</w:t>
      </w:r>
      <w:r w:rsidRPr="005E6B7C">
        <w:rPr>
          <w:rFonts w:asciiTheme="majorHAnsi" w:eastAsia="Yu Mincho" w:hAnsiTheme="majorHAnsi" w:cstheme="majorHAnsi"/>
          <w:i/>
          <w:color w:val="000000" w:themeColor="text1"/>
          <w:spacing w:val="-4"/>
          <w:sz w:val="22"/>
          <w:szCs w:val="22"/>
          <w:lang w:eastAsia="ja-JP"/>
        </w:rPr>
        <w:t xml:space="preserve"> L. casei</w:t>
      </w:r>
      <w:r w:rsidRPr="005E6B7C">
        <w:rPr>
          <w:rFonts w:asciiTheme="majorHAnsi" w:eastAsia="Yu Mincho" w:hAnsiTheme="majorHAnsi" w:cstheme="majorHAnsi"/>
          <w:color w:val="000000" w:themeColor="text1"/>
          <w:spacing w:val="-4"/>
          <w:sz w:val="22"/>
          <w:szCs w:val="22"/>
          <w:lang w:eastAsia="ja-JP"/>
        </w:rPr>
        <w:t xml:space="preserve">, and </w:t>
      </w:r>
      <w:r w:rsidRPr="005E6B7C">
        <w:rPr>
          <w:rFonts w:asciiTheme="majorHAnsi" w:eastAsia="Yu Mincho" w:hAnsiTheme="majorHAnsi" w:cstheme="majorHAnsi"/>
          <w:i/>
          <w:color w:val="000000" w:themeColor="text1"/>
          <w:spacing w:val="-4"/>
          <w:sz w:val="22"/>
          <w:szCs w:val="22"/>
          <w:lang w:eastAsia="ja-JP"/>
        </w:rPr>
        <w:t>L. rhamnosus</w:t>
      </w:r>
      <w:r w:rsidRPr="005E6B7C">
        <w:rPr>
          <w:rFonts w:asciiTheme="majorHAnsi" w:eastAsia="Yu Mincho" w:hAnsiTheme="majorHAnsi" w:cstheme="majorHAnsi"/>
          <w:color w:val="000000" w:themeColor="text1"/>
          <w:spacing w:val="-4"/>
          <w:sz w:val="22"/>
          <w:szCs w:val="22"/>
          <w:lang w:eastAsia="ja-JP"/>
        </w:rPr>
        <w:t xml:space="preserve">) to increase the content of gymnemagenin in </w:t>
      </w:r>
      <w:r w:rsidRPr="005E6B7C">
        <w:rPr>
          <w:rFonts w:asciiTheme="majorHAnsi" w:eastAsia="Yu Mincho" w:hAnsiTheme="majorHAnsi" w:cstheme="majorHAnsi"/>
          <w:i/>
          <w:color w:val="000000" w:themeColor="text1"/>
          <w:spacing w:val="-4"/>
          <w:sz w:val="22"/>
          <w:szCs w:val="22"/>
          <w:lang w:eastAsia="ja-JP"/>
        </w:rPr>
        <w:t xml:space="preserve">Gymnema </w:t>
      </w:r>
      <w:r w:rsidRPr="005E6B7C">
        <w:rPr>
          <w:rFonts w:asciiTheme="majorHAnsi" w:eastAsia="Yu Mincho" w:hAnsiTheme="majorHAnsi" w:cstheme="majorHAnsi"/>
          <w:color w:val="000000" w:themeColor="text1"/>
          <w:spacing w:val="-4"/>
          <w:sz w:val="22"/>
          <w:szCs w:val="22"/>
          <w:lang w:eastAsia="ja-JP"/>
        </w:rPr>
        <w:t>R.Br by enzymatic biotransformation of gymnemic acids, with focus on the impact of certain parameters of the fermentation process (incubation time, the ratio between the mass of plant material and the bacterial suspension during the incubation process, and the choice of bacterial strain) on the effectiveness of increasing the content of gymnemagenin.</w:t>
      </w:r>
    </w:p>
    <w:p w14:paraId="5FBC3B22"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effectiveness was quantitatively assessed by monitoring the content of gymnemagenin in </w:t>
      </w:r>
      <w:r w:rsidRPr="005E6B7C">
        <w:rPr>
          <w:rFonts w:asciiTheme="majorHAnsi" w:eastAsia="Yu Mincho" w:hAnsiTheme="majorHAnsi" w:cstheme="majorHAnsi"/>
          <w:i/>
          <w:color w:val="000000" w:themeColor="text1"/>
          <w:sz w:val="22"/>
          <w:szCs w:val="22"/>
          <w:lang w:eastAsia="ja-JP"/>
        </w:rPr>
        <w:t>Gymnema</w:t>
      </w:r>
      <w:r w:rsidRPr="005E6B7C">
        <w:rPr>
          <w:rFonts w:asciiTheme="majorHAnsi" w:eastAsia="Yu Mincho" w:hAnsiTheme="majorHAnsi" w:cstheme="majorHAnsi"/>
          <w:color w:val="000000" w:themeColor="text1"/>
          <w:sz w:val="22"/>
          <w:szCs w:val="22"/>
          <w:lang w:eastAsia="ja-JP"/>
        </w:rPr>
        <w:t xml:space="preserve"> R.Br samples before and after incubation with an HPLC method developed and validated according to current requirements of </w:t>
      </w:r>
      <w:r w:rsidRPr="005E6B7C">
        <w:rPr>
          <w:rFonts w:asciiTheme="majorHAnsi" w:eastAsia="Yu Mincho" w:hAnsiTheme="majorHAnsi" w:cstheme="majorHAnsi"/>
          <w:color w:val="000000" w:themeColor="text1"/>
          <w:sz w:val="22"/>
          <w:szCs w:val="22"/>
          <w:lang w:eastAsia="ja-JP"/>
        </w:rPr>
        <w:lastRenderedPageBreak/>
        <w:t xml:space="preserve">AOAC International [10]. </w:t>
      </w:r>
    </w:p>
    <w:p w14:paraId="53357FB0"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2. Materials and methods</w:t>
      </w:r>
    </w:p>
    <w:p w14:paraId="467051D6"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2.1. Materials</w:t>
      </w:r>
    </w:p>
    <w:p w14:paraId="5E0062D8"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2.1.1. Plant materials:</w:t>
      </w:r>
    </w:p>
    <w:p w14:paraId="4FDCEC15"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this study, four samples of </w:t>
      </w:r>
      <w:r w:rsidRPr="005E6B7C">
        <w:rPr>
          <w:rFonts w:asciiTheme="majorHAnsi" w:eastAsia="Yu Mincho" w:hAnsiTheme="majorHAnsi" w:cstheme="majorHAnsi"/>
          <w:i/>
          <w:color w:val="000000" w:themeColor="text1"/>
          <w:sz w:val="22"/>
          <w:szCs w:val="22"/>
          <w:lang w:eastAsia="ja-JP"/>
        </w:rPr>
        <w:t xml:space="preserve">Gymnema </w:t>
      </w:r>
      <w:r w:rsidRPr="005E6B7C">
        <w:rPr>
          <w:rFonts w:asciiTheme="majorHAnsi" w:eastAsia="Yu Mincho" w:hAnsiTheme="majorHAnsi" w:cstheme="majorHAnsi"/>
          <w:color w:val="000000" w:themeColor="text1"/>
          <w:sz w:val="22"/>
          <w:szCs w:val="22"/>
          <w:lang w:eastAsia="ja-JP"/>
        </w:rPr>
        <w:t xml:space="preserve">R.Br, including two samples of </w:t>
      </w:r>
      <w:r w:rsidRPr="005E6B7C">
        <w:rPr>
          <w:rFonts w:asciiTheme="majorHAnsi" w:eastAsia="Yu Mincho" w:hAnsiTheme="majorHAnsi" w:cstheme="majorHAnsi"/>
          <w:i/>
          <w:color w:val="000000" w:themeColor="text1"/>
          <w:sz w:val="22"/>
          <w:szCs w:val="22"/>
          <w:lang w:eastAsia="ja-JP"/>
        </w:rPr>
        <w:t>G.sylvestre</w:t>
      </w:r>
      <w:r w:rsidRPr="005E6B7C">
        <w:rPr>
          <w:rFonts w:asciiTheme="majorHAnsi" w:eastAsia="Yu Mincho" w:hAnsiTheme="majorHAnsi" w:cstheme="majorHAnsi"/>
          <w:color w:val="000000" w:themeColor="text1"/>
          <w:sz w:val="22"/>
          <w:szCs w:val="22"/>
          <w:lang w:eastAsia="ja-JP"/>
        </w:rPr>
        <w:t xml:space="preserve"> (coded as G5/2/2/2a, and G5/0) and two samples of </w:t>
      </w:r>
      <w:r w:rsidRPr="005E6B7C">
        <w:rPr>
          <w:rFonts w:asciiTheme="majorHAnsi" w:eastAsia="Yu Mincho" w:hAnsiTheme="majorHAnsi" w:cstheme="majorHAnsi"/>
          <w:i/>
          <w:color w:val="000000" w:themeColor="text1"/>
          <w:sz w:val="22"/>
          <w:szCs w:val="22"/>
          <w:lang w:eastAsia="ja-JP"/>
        </w:rPr>
        <w:t xml:space="preserve">G. latifolium </w:t>
      </w:r>
      <w:r w:rsidRPr="005E6B7C">
        <w:rPr>
          <w:rFonts w:asciiTheme="majorHAnsi" w:eastAsia="Yu Mincho" w:hAnsiTheme="majorHAnsi" w:cstheme="majorHAnsi"/>
          <w:color w:val="000000" w:themeColor="text1"/>
          <w:sz w:val="22"/>
          <w:szCs w:val="22"/>
          <w:lang w:eastAsia="ja-JP"/>
        </w:rPr>
        <w:t>(coded as G4/5 and G4/11), were used to investigate the capacity of bacteria to increase their content of free gymnemagenin. All samples (consisting of leaves and young stems) were harvested at Yen Ninh ward, Phu Luong district, Thai Nguyen province (currently Yen Trach ward, Thai Nguyen province) in November 2024. After being harvested, the samples were finely cut and dried at 55</w:t>
      </w:r>
      <w:r w:rsidRPr="005E6B7C">
        <w:rPr>
          <w:rFonts w:asciiTheme="majorHAnsi" w:eastAsia="Yu Mincho" w:hAnsiTheme="majorHAnsi" w:cstheme="majorHAnsi"/>
          <w:color w:val="000000" w:themeColor="text1"/>
          <w:sz w:val="22"/>
          <w:szCs w:val="22"/>
          <w:vertAlign w:val="superscript"/>
          <w:lang w:eastAsia="ja-JP"/>
        </w:rPr>
        <w:t>o</w:t>
      </w:r>
      <w:r w:rsidRPr="005E6B7C">
        <w:rPr>
          <w:rFonts w:asciiTheme="majorHAnsi" w:eastAsia="Yu Mincho" w:hAnsiTheme="majorHAnsi" w:cstheme="majorHAnsi"/>
          <w:color w:val="000000" w:themeColor="text1"/>
          <w:sz w:val="22"/>
          <w:szCs w:val="22"/>
          <w:lang w:eastAsia="ja-JP"/>
        </w:rPr>
        <w:t xml:space="preserve">C until their humidity did not exceed 8.5% and stored as such until they were used. The content of gymnemagenin in samples was determined by the HPLC method as described in section 2.2.2 before incubation. </w:t>
      </w:r>
    </w:p>
    <w:p w14:paraId="6959C5E1"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2.1.2. Strain of bacteria:</w:t>
      </w:r>
    </w:p>
    <w:p w14:paraId="34094A4A"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Bifidobacterium bifidum</w:t>
      </w:r>
      <w:r w:rsidRPr="005E6B7C">
        <w:rPr>
          <w:rFonts w:asciiTheme="majorHAnsi" w:eastAsia="Yu Mincho" w:hAnsiTheme="majorHAnsi" w:cstheme="majorHAnsi"/>
          <w:color w:val="000000" w:themeColor="text1"/>
          <w:sz w:val="22"/>
          <w:szCs w:val="22"/>
          <w:lang w:eastAsia="ja-JP"/>
        </w:rPr>
        <w:t xml:space="preserve"> (10</w:t>
      </w:r>
      <w:r w:rsidRPr="005E6B7C">
        <w:rPr>
          <w:rFonts w:asciiTheme="majorHAnsi" w:eastAsia="Yu Mincho" w:hAnsiTheme="majorHAnsi" w:cstheme="majorHAnsi"/>
          <w:color w:val="000000" w:themeColor="text1"/>
          <w:sz w:val="22"/>
          <w:szCs w:val="22"/>
          <w:vertAlign w:val="superscript"/>
          <w:lang w:eastAsia="ja-JP"/>
        </w:rPr>
        <w:t>10</w:t>
      </w:r>
      <w:r w:rsidRPr="005E6B7C">
        <w:rPr>
          <w:rFonts w:asciiTheme="majorHAnsi" w:eastAsia="Yu Mincho" w:hAnsiTheme="majorHAnsi" w:cstheme="majorHAnsi"/>
          <w:color w:val="000000" w:themeColor="text1"/>
          <w:sz w:val="22"/>
          <w:szCs w:val="22"/>
          <w:lang w:eastAsia="ja-JP"/>
        </w:rPr>
        <w:t xml:space="preserve"> CFU/g), </w:t>
      </w:r>
      <w:r w:rsidRPr="005E6B7C">
        <w:rPr>
          <w:rFonts w:asciiTheme="majorHAnsi" w:eastAsia="Yu Mincho" w:hAnsiTheme="majorHAnsi" w:cstheme="majorHAnsi"/>
          <w:i/>
          <w:color w:val="000000" w:themeColor="text1"/>
          <w:sz w:val="22"/>
          <w:szCs w:val="22"/>
          <w:lang w:eastAsia="ja-JP"/>
        </w:rPr>
        <w:t>Bacillus subtilis</w:t>
      </w:r>
      <w:r w:rsidRPr="005E6B7C">
        <w:rPr>
          <w:rFonts w:asciiTheme="majorHAnsi" w:eastAsia="Yu Mincho" w:hAnsiTheme="majorHAnsi" w:cstheme="majorHAnsi"/>
          <w:color w:val="000000" w:themeColor="text1"/>
          <w:sz w:val="22"/>
          <w:szCs w:val="22"/>
          <w:lang w:eastAsia="ja-JP"/>
        </w:rPr>
        <w:t xml:space="preserve"> (3×10</w:t>
      </w:r>
      <w:r w:rsidRPr="005E6B7C">
        <w:rPr>
          <w:rFonts w:asciiTheme="majorHAnsi" w:eastAsia="Yu Mincho" w:hAnsiTheme="majorHAnsi" w:cstheme="majorHAnsi"/>
          <w:color w:val="000000" w:themeColor="text1"/>
          <w:sz w:val="22"/>
          <w:szCs w:val="22"/>
          <w:vertAlign w:val="superscript"/>
          <w:lang w:eastAsia="ja-JP"/>
        </w:rPr>
        <w:t>10</w:t>
      </w:r>
      <w:r w:rsidRPr="005E6B7C">
        <w:rPr>
          <w:rFonts w:asciiTheme="majorHAnsi" w:eastAsia="Yu Mincho" w:hAnsiTheme="majorHAnsi" w:cstheme="majorHAnsi"/>
          <w:color w:val="000000" w:themeColor="text1"/>
          <w:sz w:val="22"/>
          <w:szCs w:val="22"/>
          <w:lang w:eastAsia="ja-JP"/>
        </w:rPr>
        <w:t xml:space="preserve"> CFU/g), </w:t>
      </w:r>
      <w:r w:rsidRPr="005E6B7C">
        <w:rPr>
          <w:rFonts w:asciiTheme="majorHAnsi" w:eastAsia="Yu Mincho" w:hAnsiTheme="majorHAnsi" w:cstheme="majorHAnsi"/>
          <w:i/>
          <w:color w:val="000000" w:themeColor="text1"/>
          <w:sz w:val="22"/>
          <w:szCs w:val="22"/>
          <w:lang w:eastAsia="ja-JP"/>
        </w:rPr>
        <w:t>Lactobacillus casei</w:t>
      </w:r>
      <w:r w:rsidRPr="005E6B7C">
        <w:rPr>
          <w:rFonts w:asciiTheme="majorHAnsi" w:eastAsia="Yu Mincho" w:hAnsiTheme="majorHAnsi" w:cstheme="majorHAnsi"/>
          <w:color w:val="000000" w:themeColor="text1"/>
          <w:sz w:val="22"/>
          <w:szCs w:val="22"/>
          <w:lang w:eastAsia="ja-JP"/>
        </w:rPr>
        <w:t xml:space="preserve"> (10</w:t>
      </w:r>
      <w:r w:rsidRPr="005E6B7C">
        <w:rPr>
          <w:rFonts w:asciiTheme="majorHAnsi" w:eastAsia="Yu Mincho" w:hAnsiTheme="majorHAnsi" w:cstheme="majorHAnsi"/>
          <w:color w:val="000000" w:themeColor="text1"/>
          <w:sz w:val="22"/>
          <w:szCs w:val="22"/>
          <w:vertAlign w:val="superscript"/>
          <w:lang w:eastAsia="ja-JP"/>
        </w:rPr>
        <w:t>10</w:t>
      </w:r>
      <w:r w:rsidRPr="005E6B7C">
        <w:rPr>
          <w:rFonts w:asciiTheme="majorHAnsi" w:eastAsia="Yu Mincho" w:hAnsiTheme="majorHAnsi" w:cstheme="majorHAnsi"/>
          <w:color w:val="000000" w:themeColor="text1"/>
          <w:sz w:val="22"/>
          <w:szCs w:val="22"/>
          <w:lang w:eastAsia="ja-JP"/>
        </w:rPr>
        <w:t xml:space="preserve"> CFU/g), and </w:t>
      </w:r>
      <w:r w:rsidRPr="005E6B7C">
        <w:rPr>
          <w:rFonts w:asciiTheme="majorHAnsi" w:eastAsia="Yu Mincho" w:hAnsiTheme="majorHAnsi" w:cstheme="majorHAnsi"/>
          <w:i/>
          <w:color w:val="000000" w:themeColor="text1"/>
          <w:sz w:val="22"/>
          <w:szCs w:val="22"/>
          <w:lang w:eastAsia="ja-JP"/>
        </w:rPr>
        <w:t>Lactobacillus rhamnosus</w:t>
      </w:r>
      <w:r w:rsidRPr="005E6B7C">
        <w:rPr>
          <w:rFonts w:asciiTheme="majorHAnsi" w:eastAsia="Yu Mincho" w:hAnsiTheme="majorHAnsi" w:cstheme="majorHAnsi"/>
          <w:color w:val="000000" w:themeColor="text1"/>
          <w:sz w:val="22"/>
          <w:szCs w:val="22"/>
          <w:lang w:eastAsia="ja-JP"/>
        </w:rPr>
        <w:t xml:space="preserve"> (10</w:t>
      </w:r>
      <w:r w:rsidRPr="005E6B7C">
        <w:rPr>
          <w:rFonts w:asciiTheme="majorHAnsi" w:eastAsia="Yu Mincho" w:hAnsiTheme="majorHAnsi" w:cstheme="majorHAnsi"/>
          <w:color w:val="000000" w:themeColor="text1"/>
          <w:sz w:val="22"/>
          <w:szCs w:val="22"/>
          <w:vertAlign w:val="superscript"/>
          <w:lang w:eastAsia="ja-JP"/>
        </w:rPr>
        <w:t>10</w:t>
      </w:r>
      <w:r w:rsidRPr="005E6B7C">
        <w:rPr>
          <w:rFonts w:asciiTheme="majorHAnsi" w:eastAsia="Yu Mincho" w:hAnsiTheme="majorHAnsi" w:cstheme="majorHAnsi"/>
          <w:color w:val="000000" w:themeColor="text1"/>
          <w:sz w:val="22"/>
          <w:szCs w:val="22"/>
          <w:lang w:eastAsia="ja-JP"/>
        </w:rPr>
        <w:t xml:space="preserve"> CFU/g) were used to investigate their capacity to increase the content of gymnemagenin in </w:t>
      </w:r>
      <w:r w:rsidRPr="005E6B7C">
        <w:rPr>
          <w:rFonts w:asciiTheme="majorHAnsi" w:eastAsia="Yu Mincho" w:hAnsiTheme="majorHAnsi" w:cstheme="majorHAnsi"/>
          <w:i/>
          <w:color w:val="000000" w:themeColor="text1"/>
          <w:sz w:val="22"/>
          <w:szCs w:val="22"/>
          <w:lang w:eastAsia="ja-JP"/>
        </w:rPr>
        <w:t xml:space="preserve">Gymnema </w:t>
      </w:r>
      <w:r w:rsidRPr="005E6B7C">
        <w:rPr>
          <w:rFonts w:asciiTheme="majorHAnsi" w:eastAsia="Yu Mincho" w:hAnsiTheme="majorHAnsi" w:cstheme="majorHAnsi"/>
          <w:color w:val="000000" w:themeColor="text1"/>
          <w:sz w:val="22"/>
          <w:szCs w:val="22"/>
          <w:lang w:eastAsia="ja-JP"/>
        </w:rPr>
        <w:t xml:space="preserve">R.Br. These strains of bacteria were provided by the Laboratory of Pharmacology and Biochemistry, National Institute of Medicinal Materials, and were used as such to prepare bacteria suspension following the procedure described in section 2.2.1.  </w:t>
      </w:r>
    </w:p>
    <w:p w14:paraId="6373D4E5"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2.1.3. Chemicals, reagents, and reference substances:</w:t>
      </w:r>
    </w:p>
    <w:p w14:paraId="6DBB3120"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Reference substance of gymnemagenin (purity: 98.1%, CAS: </w:t>
      </w:r>
      <w:r w:rsidRPr="005E6B7C">
        <w:rPr>
          <w:rFonts w:asciiTheme="majorHAnsi" w:eastAsia="Yu Mincho" w:hAnsiTheme="majorHAnsi" w:cstheme="majorHAnsi"/>
          <w:color w:val="000000" w:themeColor="text1"/>
          <w:sz w:val="22"/>
          <w:szCs w:val="22"/>
          <w:shd w:val="clear" w:color="auto" w:fill="FFFFFF"/>
          <w:lang w:eastAsia="ja-JP"/>
        </w:rPr>
        <w:t>22467-07-8</w:t>
      </w:r>
      <w:r w:rsidRPr="005E6B7C">
        <w:rPr>
          <w:rFonts w:asciiTheme="majorHAnsi" w:eastAsia="Yu Mincho" w:hAnsiTheme="majorHAnsi" w:cstheme="majorHAnsi"/>
          <w:color w:val="000000" w:themeColor="text1"/>
          <w:sz w:val="22"/>
          <w:szCs w:val="22"/>
          <w:lang w:eastAsia="ja-JP"/>
        </w:rPr>
        <w:t>, batch no: BCCM 9489) was purchased from Sigma Aldrich (St. Louis, MO, USA).</w:t>
      </w:r>
    </w:p>
    <w:p w14:paraId="415893F5"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HPLC-grade solvents (acetonitrile, methanol), PA-grade solvents (acetone, butanol, ethyl acetate, ethanol), and chemicals (potassium hydroxide, hydrochloric acid) were purchased from Merck Vietnam (Ho Chi Minh City, Vietnam). Tryptic soy agar and Tryptic soy broth were purchased from Hemidia (India) and prepared according to the Vietnamese Pharmacopoeia, 5</w:t>
      </w:r>
      <w:r w:rsidRPr="005E6B7C">
        <w:rPr>
          <w:rFonts w:asciiTheme="majorHAnsi" w:eastAsia="Yu Mincho" w:hAnsiTheme="majorHAnsi" w:cstheme="majorHAnsi"/>
          <w:color w:val="000000" w:themeColor="text1"/>
          <w:sz w:val="22"/>
          <w:szCs w:val="22"/>
          <w:vertAlign w:val="superscript"/>
          <w:lang w:eastAsia="ja-JP"/>
        </w:rPr>
        <w:t>th</w:t>
      </w:r>
      <w:r w:rsidRPr="005E6B7C">
        <w:rPr>
          <w:rFonts w:asciiTheme="majorHAnsi" w:eastAsia="Yu Mincho" w:hAnsiTheme="majorHAnsi" w:cstheme="majorHAnsi"/>
          <w:color w:val="000000" w:themeColor="text1"/>
          <w:sz w:val="22"/>
          <w:szCs w:val="22"/>
          <w:lang w:eastAsia="ja-JP"/>
        </w:rPr>
        <w:t xml:space="preserve"> Edition. Distilled water was employed in this study, with proper additional treatment wherever necessary to meet the corresponding requirements of specific works. </w:t>
      </w:r>
    </w:p>
    <w:p w14:paraId="7E30F73D"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2.1.4. Instruments and equipment:</w:t>
      </w:r>
    </w:p>
    <w:p w14:paraId="3789EC2D" w14:textId="4E9DC5A6" w:rsidR="007B23ED" w:rsidRPr="005E6B7C" w:rsidRDefault="007B23ED" w:rsidP="007B23ED">
      <w:pPr>
        <w:numPr>
          <w:ilvl w:val="0"/>
          <w:numId w:val="17"/>
        </w:numPr>
        <w:tabs>
          <w:tab w:val="left" w:pos="270"/>
          <w:tab w:val="left" w:pos="540"/>
          <w:tab w:val="left" w:pos="9270"/>
        </w:tabs>
        <w:spacing w:line="230" w:lineRule="exact"/>
        <w:ind w:left="0" w:firstLine="284"/>
        <w:jc w:val="both"/>
        <w:textAlignment w:val="baseline"/>
        <w:outlineLvl w:val="0"/>
        <w:rPr>
          <w:rFonts w:asciiTheme="majorHAnsi" w:eastAsia="Times New Roman" w:hAnsiTheme="majorHAnsi" w:cstheme="majorHAnsi"/>
          <w:color w:val="000000" w:themeColor="text1"/>
          <w:spacing w:val="-4"/>
          <w:sz w:val="22"/>
          <w:szCs w:val="22"/>
          <w:lang w:eastAsia="ja-JP"/>
        </w:rPr>
      </w:pPr>
      <w:r w:rsidRPr="005E6B7C">
        <w:rPr>
          <w:rFonts w:asciiTheme="majorHAnsi" w:eastAsia="Times New Roman" w:hAnsiTheme="majorHAnsi" w:cstheme="majorHAnsi"/>
          <w:color w:val="000000" w:themeColor="text1"/>
          <w:spacing w:val="-4"/>
          <w:sz w:val="22"/>
          <w:szCs w:val="22"/>
          <w:lang w:eastAsia="ja-JP"/>
        </w:rPr>
        <w:t xml:space="preserve">Sterilizing processes were done by using the autoclave HV- 110 of Hirayama (Tokyo, Japan). All HPLC analysis were carried out using an HPLC – DAD system of Thermo Fischer Scientific (Waltham, MA, USA) on a Luna® C18 column (250 </w:t>
      </w:r>
      <w:r w:rsidRPr="005E6B7C">
        <w:rPr>
          <w:rFonts w:asciiTheme="majorHAnsi" w:eastAsia="Times New Roman" w:hAnsiTheme="majorHAnsi" w:cstheme="majorHAnsi"/>
          <w:color w:val="000000" w:themeColor="text1"/>
          <w:spacing w:val="-4"/>
          <w:sz w:val="22"/>
          <w:szCs w:val="22"/>
          <w:lang w:eastAsia="ja-JP"/>
        </w:rPr>
        <w:t>mm × 4.6 mm, 5</w:t>
      </w:r>
      <w:r w:rsidR="00266B26" w:rsidRPr="005E6B7C">
        <w:rPr>
          <w:rFonts w:asciiTheme="majorHAnsi" w:eastAsia="Times New Roman" w:hAnsiTheme="majorHAnsi" w:cstheme="majorHAnsi"/>
          <w:i/>
          <w:iCs/>
          <w:color w:val="000000" w:themeColor="text1"/>
          <w:spacing w:val="-4"/>
          <w:sz w:val="22"/>
          <w:szCs w:val="22"/>
          <w:lang w:eastAsia="ja-JP"/>
        </w:rPr>
        <w:t>µ</w:t>
      </w:r>
      <w:r w:rsidRPr="005E6B7C">
        <w:rPr>
          <w:rFonts w:asciiTheme="majorHAnsi" w:eastAsia="Times New Roman" w:hAnsiTheme="majorHAnsi" w:cstheme="majorHAnsi"/>
          <w:color w:val="000000" w:themeColor="text1"/>
          <w:spacing w:val="-4"/>
          <w:sz w:val="22"/>
          <w:szCs w:val="22"/>
          <w:lang w:eastAsia="ja-JP"/>
        </w:rPr>
        <w:t xml:space="preserve">m) of </w:t>
      </w:r>
      <w:r w:rsidRPr="005E6B7C">
        <w:rPr>
          <w:rFonts w:asciiTheme="majorHAnsi" w:eastAsia="Times New Roman" w:hAnsiTheme="majorHAnsi" w:cstheme="majorHAnsi"/>
          <w:bCs/>
          <w:color w:val="000000" w:themeColor="text1"/>
          <w:spacing w:val="-4"/>
          <w:sz w:val="22"/>
          <w:szCs w:val="22"/>
          <w:lang w:eastAsia="ja-JP"/>
        </w:rPr>
        <w:t xml:space="preserve">Phenomenex (Torrance, CA, USA). </w:t>
      </w:r>
      <w:r w:rsidRPr="005E6B7C">
        <w:rPr>
          <w:rFonts w:asciiTheme="majorHAnsi" w:eastAsia="Times New Roman" w:hAnsiTheme="majorHAnsi" w:cstheme="majorHAnsi"/>
          <w:color w:val="000000" w:themeColor="text1"/>
          <w:spacing w:val="-4"/>
          <w:sz w:val="22"/>
          <w:szCs w:val="22"/>
          <w:lang w:eastAsia="ja-JP"/>
        </w:rPr>
        <w:t>The glassware and other instruments were of proper standards for general laboratory use, as well as meeting the particular requirements of each specific work</w:t>
      </w:r>
      <w:r w:rsidRPr="005E6B7C">
        <w:rPr>
          <w:rFonts w:asciiTheme="majorHAnsi" w:eastAsia="Times New Roman" w:hAnsiTheme="majorHAnsi" w:cstheme="majorHAnsi"/>
          <w:b/>
          <w:color w:val="000000" w:themeColor="text1"/>
          <w:spacing w:val="-4"/>
          <w:sz w:val="22"/>
          <w:szCs w:val="22"/>
          <w:lang w:eastAsia="ja-JP"/>
        </w:rPr>
        <w:t>.</w:t>
      </w:r>
    </w:p>
    <w:p w14:paraId="41364E7E"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2.2. Methods</w:t>
      </w:r>
    </w:p>
    <w:p w14:paraId="5B6E10F0"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2.2.1. Incubation of plant samples with bacteria:</w:t>
      </w:r>
    </w:p>
    <w:p w14:paraId="288CA6D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For each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about 0.75 g of plant sample, previously finely ground, homogenized, and the content of gymnemagenin was determined by HPLC analysis, was accurately weighed into a suitable flask and wetted by mixing with sufficient water, then sterilized in an autoclave at 121</w:t>
      </w:r>
      <w:r w:rsidRPr="005E6B7C">
        <w:rPr>
          <w:rFonts w:asciiTheme="majorHAnsi" w:eastAsia="Yu Mincho" w:hAnsiTheme="majorHAnsi" w:cstheme="majorHAnsi"/>
          <w:color w:val="000000" w:themeColor="text1"/>
          <w:sz w:val="22"/>
          <w:szCs w:val="22"/>
          <w:vertAlign w:val="superscript"/>
          <w:lang w:eastAsia="ja-JP"/>
        </w:rPr>
        <w:t>o</w:t>
      </w:r>
      <w:r w:rsidRPr="005E6B7C">
        <w:rPr>
          <w:rFonts w:asciiTheme="majorHAnsi" w:eastAsia="Yu Mincho" w:hAnsiTheme="majorHAnsi" w:cstheme="majorHAnsi"/>
          <w:color w:val="000000" w:themeColor="text1"/>
          <w:sz w:val="22"/>
          <w:szCs w:val="22"/>
          <w:lang w:eastAsia="ja-JP"/>
        </w:rPr>
        <w:t>C for 15 minutes and cooled down to room temperature before use.</w:t>
      </w:r>
    </w:p>
    <w:p w14:paraId="36EA9121"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Bacteria stock suspensions were prepared separately for each strain of bacteria by dispersing about 1.0 g, accurately weighed, of the strain in 20 mL of sterile Tryptic soy broth and incubating at </w:t>
      </w:r>
      <w:r w:rsidRPr="005E6B7C">
        <w:rPr>
          <w:rFonts w:asciiTheme="majorHAnsi" w:eastAsia="Yu Mincho" w:hAnsiTheme="majorHAnsi" w:cstheme="majorHAnsi"/>
          <w:iCs/>
          <w:color w:val="000000" w:themeColor="text1"/>
          <w:sz w:val="22"/>
          <w:szCs w:val="22"/>
          <w:lang w:eastAsia="ja-JP"/>
        </w:rPr>
        <w:t>35</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C ± 2</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C for 24 hours. Ten milliliters of each stock suspension were transferred into separate flasks, each containing 50 mL of sterile Tryptic soy broth and incubated at 35</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C ± 2</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C for 48 hours. The formed colony-forming units (CFU) were counted and the incubation process would be continued if necessary until suspensions containing about 10</w:t>
      </w:r>
      <w:r w:rsidRPr="005E6B7C">
        <w:rPr>
          <w:rFonts w:asciiTheme="majorHAnsi" w:eastAsia="Yu Mincho" w:hAnsiTheme="majorHAnsi" w:cstheme="majorHAnsi"/>
          <w:iCs/>
          <w:color w:val="000000" w:themeColor="text1"/>
          <w:sz w:val="22"/>
          <w:szCs w:val="22"/>
          <w:vertAlign w:val="superscript"/>
          <w:lang w:eastAsia="ja-JP"/>
        </w:rPr>
        <w:t>8</w:t>
      </w:r>
      <w:r w:rsidRPr="005E6B7C">
        <w:rPr>
          <w:rFonts w:asciiTheme="majorHAnsi" w:eastAsia="Yu Mincho" w:hAnsiTheme="majorHAnsi" w:cstheme="majorHAnsi"/>
          <w:iCs/>
          <w:color w:val="000000" w:themeColor="text1"/>
          <w:sz w:val="22"/>
          <w:szCs w:val="22"/>
          <w:lang w:eastAsia="ja-JP"/>
        </w:rPr>
        <w:t xml:space="preserve"> CFU/mL. These suspensions were used as </w:t>
      </w:r>
      <w:r w:rsidRPr="005E6B7C">
        <w:rPr>
          <w:rFonts w:asciiTheme="majorHAnsi" w:eastAsia="Yu Mincho" w:hAnsiTheme="majorHAnsi" w:cstheme="majorHAnsi"/>
          <w:i/>
          <w:iCs/>
          <w:color w:val="000000" w:themeColor="text1"/>
          <w:sz w:val="22"/>
          <w:szCs w:val="22"/>
          <w:lang w:eastAsia="ja-JP"/>
        </w:rPr>
        <w:t>bacteria suspension</w:t>
      </w:r>
      <w:r w:rsidRPr="005E6B7C">
        <w:rPr>
          <w:rFonts w:asciiTheme="majorHAnsi" w:eastAsia="Yu Mincho" w:hAnsiTheme="majorHAnsi" w:cstheme="majorHAnsi"/>
          <w:iCs/>
          <w:color w:val="000000" w:themeColor="text1"/>
          <w:sz w:val="22"/>
          <w:szCs w:val="22"/>
          <w:lang w:eastAsia="ja-JP"/>
        </w:rPr>
        <w:t>.</w:t>
      </w:r>
    </w:p>
    <w:p w14:paraId="5FCE69D7"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pacing w:val="-2"/>
          <w:sz w:val="22"/>
          <w:szCs w:val="22"/>
          <w:lang w:eastAsia="ja-JP"/>
        </w:rPr>
      </w:pPr>
      <w:r w:rsidRPr="005E6B7C">
        <w:rPr>
          <w:rFonts w:asciiTheme="majorHAnsi" w:eastAsia="Yu Mincho" w:hAnsiTheme="majorHAnsi" w:cstheme="majorHAnsi"/>
          <w:iCs/>
          <w:color w:val="000000" w:themeColor="text1"/>
          <w:spacing w:val="-2"/>
          <w:sz w:val="22"/>
          <w:szCs w:val="22"/>
          <w:lang w:eastAsia="ja-JP"/>
        </w:rPr>
        <w:t xml:space="preserve">In preliminary studies, in order to estimate the optimal ratio between the amount of plant sample and the volume of bacteria suspension, incubation time was fixed at 10 days and the volumes of </w:t>
      </w:r>
      <w:r w:rsidRPr="005E6B7C">
        <w:rPr>
          <w:rFonts w:asciiTheme="majorHAnsi" w:eastAsia="Yu Mincho" w:hAnsiTheme="majorHAnsi" w:cstheme="majorHAnsi"/>
          <w:i/>
          <w:iCs/>
          <w:color w:val="000000" w:themeColor="text1"/>
          <w:spacing w:val="-2"/>
          <w:sz w:val="22"/>
          <w:szCs w:val="22"/>
          <w:lang w:eastAsia="ja-JP"/>
        </w:rPr>
        <w:t>bacteria suspension</w:t>
      </w:r>
      <w:r w:rsidRPr="005E6B7C">
        <w:rPr>
          <w:rFonts w:asciiTheme="majorHAnsi" w:eastAsia="Yu Mincho" w:hAnsiTheme="majorHAnsi" w:cstheme="majorHAnsi"/>
          <w:iCs/>
          <w:color w:val="000000" w:themeColor="text1"/>
          <w:spacing w:val="-2"/>
          <w:sz w:val="22"/>
          <w:szCs w:val="22"/>
          <w:lang w:eastAsia="ja-JP"/>
        </w:rPr>
        <w:t xml:space="preserve"> were tested at 20, 50, 70, and 100 mL for each </w:t>
      </w:r>
      <w:r w:rsidRPr="005E6B7C">
        <w:rPr>
          <w:rFonts w:asciiTheme="majorHAnsi" w:eastAsia="Yu Mincho" w:hAnsiTheme="majorHAnsi" w:cstheme="majorHAnsi"/>
          <w:i/>
          <w:iCs/>
          <w:color w:val="000000" w:themeColor="text1"/>
          <w:spacing w:val="-2"/>
          <w:sz w:val="22"/>
          <w:szCs w:val="22"/>
          <w:lang w:eastAsia="ja-JP"/>
        </w:rPr>
        <w:t>sample preparation</w:t>
      </w:r>
      <w:r w:rsidRPr="005E6B7C">
        <w:rPr>
          <w:rFonts w:asciiTheme="majorHAnsi" w:eastAsia="Yu Mincho" w:hAnsiTheme="majorHAnsi" w:cstheme="majorHAnsi"/>
          <w:iCs/>
          <w:color w:val="000000" w:themeColor="text1"/>
          <w:spacing w:val="-2"/>
          <w:sz w:val="22"/>
          <w:szCs w:val="22"/>
          <w:lang w:eastAsia="ja-JP"/>
        </w:rPr>
        <w:t xml:space="preserve">; in order to find out the optimal incubation time for assessing the impact of bacteria on the content of gymnemagenin, the incubation times were tested at 2 days, 5 days, 8 days, and 10 days and one </w:t>
      </w:r>
      <w:r w:rsidRPr="005E6B7C">
        <w:rPr>
          <w:rFonts w:asciiTheme="majorHAnsi" w:eastAsia="Yu Mincho" w:hAnsiTheme="majorHAnsi" w:cstheme="majorHAnsi"/>
          <w:i/>
          <w:iCs/>
          <w:color w:val="000000" w:themeColor="text1"/>
          <w:spacing w:val="-2"/>
          <w:sz w:val="22"/>
          <w:szCs w:val="22"/>
          <w:lang w:eastAsia="ja-JP"/>
        </w:rPr>
        <w:t>sample preparation</w:t>
      </w:r>
      <w:r w:rsidRPr="005E6B7C">
        <w:rPr>
          <w:rFonts w:asciiTheme="majorHAnsi" w:eastAsia="Yu Mincho" w:hAnsiTheme="majorHAnsi" w:cstheme="majorHAnsi"/>
          <w:iCs/>
          <w:color w:val="000000" w:themeColor="text1"/>
          <w:spacing w:val="-2"/>
          <w:sz w:val="22"/>
          <w:szCs w:val="22"/>
          <w:lang w:eastAsia="ja-JP"/>
        </w:rPr>
        <w:t xml:space="preserve"> was incubated with 70 mL of </w:t>
      </w:r>
      <w:r w:rsidRPr="005E6B7C">
        <w:rPr>
          <w:rFonts w:asciiTheme="majorHAnsi" w:eastAsia="Yu Mincho" w:hAnsiTheme="majorHAnsi" w:cstheme="majorHAnsi"/>
          <w:i/>
          <w:iCs/>
          <w:color w:val="000000" w:themeColor="text1"/>
          <w:spacing w:val="-2"/>
          <w:sz w:val="22"/>
          <w:szCs w:val="22"/>
          <w:lang w:eastAsia="ja-JP"/>
        </w:rPr>
        <w:t>bacteria suspension</w:t>
      </w:r>
      <w:r w:rsidRPr="005E6B7C">
        <w:rPr>
          <w:rFonts w:asciiTheme="majorHAnsi" w:eastAsia="Yu Mincho" w:hAnsiTheme="majorHAnsi" w:cstheme="majorHAnsi"/>
          <w:iCs/>
          <w:color w:val="000000" w:themeColor="text1"/>
          <w:spacing w:val="-2"/>
          <w:sz w:val="22"/>
          <w:szCs w:val="22"/>
          <w:lang w:eastAsia="ja-JP"/>
        </w:rPr>
        <w:t>. A summary of these preliminary studies was provided in section 3.2.</w:t>
      </w:r>
    </w:p>
    <w:p w14:paraId="0CBF488E"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From the results of preliminary studies, to assess the capacity of bacteria to increase the content of gymnemagenin in samples, different portions of</w:t>
      </w:r>
      <w:r w:rsidRPr="005E6B7C">
        <w:rPr>
          <w:rFonts w:asciiTheme="majorHAnsi" w:eastAsia="Yu Mincho" w:hAnsiTheme="majorHAnsi" w:cstheme="majorHAnsi"/>
          <w:i/>
          <w:iCs/>
          <w:color w:val="000000" w:themeColor="text1"/>
          <w:sz w:val="22"/>
          <w:szCs w:val="22"/>
          <w:lang w:eastAsia="ja-JP"/>
        </w:rPr>
        <w:t xml:space="preserve"> sample preparation</w:t>
      </w:r>
      <w:r w:rsidRPr="005E6B7C">
        <w:rPr>
          <w:rFonts w:asciiTheme="majorHAnsi" w:eastAsia="Yu Mincho" w:hAnsiTheme="majorHAnsi" w:cstheme="majorHAnsi"/>
          <w:iCs/>
          <w:color w:val="000000" w:themeColor="text1"/>
          <w:sz w:val="22"/>
          <w:szCs w:val="22"/>
          <w:lang w:eastAsia="ja-JP"/>
        </w:rPr>
        <w:t xml:space="preserve"> were incubated separately with 70 mL of </w:t>
      </w:r>
      <w:r w:rsidRPr="005E6B7C">
        <w:rPr>
          <w:rFonts w:asciiTheme="majorHAnsi" w:eastAsia="Yu Mincho" w:hAnsiTheme="majorHAnsi" w:cstheme="majorHAnsi"/>
          <w:i/>
          <w:iCs/>
          <w:color w:val="000000" w:themeColor="text1"/>
          <w:sz w:val="22"/>
          <w:szCs w:val="22"/>
          <w:lang w:eastAsia="ja-JP"/>
        </w:rPr>
        <w:t>bacteria suspension</w:t>
      </w:r>
      <w:r w:rsidRPr="005E6B7C">
        <w:rPr>
          <w:rFonts w:asciiTheme="majorHAnsi" w:eastAsia="Yu Mincho" w:hAnsiTheme="majorHAnsi" w:cstheme="majorHAnsi"/>
          <w:iCs/>
          <w:color w:val="000000" w:themeColor="text1"/>
          <w:sz w:val="22"/>
          <w:szCs w:val="22"/>
          <w:lang w:eastAsia="ja-JP"/>
        </w:rPr>
        <w:t xml:space="preserve"> of each strain at 350°C ± 2°C for 8 days. After incubation, the content of gymnemagenin was determined by HPLC analysis.</w:t>
      </w:r>
    </w:p>
    <w:p w14:paraId="214F3532"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pacing w:val="-6"/>
          <w:sz w:val="22"/>
          <w:szCs w:val="22"/>
          <w:lang w:eastAsia="ja-JP"/>
        </w:rPr>
      </w:pPr>
      <w:r w:rsidRPr="005E6B7C">
        <w:rPr>
          <w:rFonts w:asciiTheme="majorHAnsi" w:eastAsia="Yu Mincho" w:hAnsiTheme="majorHAnsi" w:cstheme="majorHAnsi"/>
          <w:color w:val="000000" w:themeColor="text1"/>
          <w:spacing w:val="-6"/>
          <w:sz w:val="22"/>
          <w:szCs w:val="22"/>
          <w:lang w:eastAsia="ja-JP"/>
        </w:rPr>
        <w:t>2.2.2. Determination of gymnemagenin content:</w:t>
      </w:r>
    </w:p>
    <w:p w14:paraId="76B88F2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2.2.2.1. Sample preparation:</w:t>
      </w:r>
    </w:p>
    <w:p w14:paraId="2159FDFB"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To determine the gymnemagenin in samples before incubation, about 0.75 g of a plant sample, accurately weighed, was transferred into a flask, then 22.5 mL of ethanol 50%, 2 mL of 12% </w:t>
      </w:r>
      <w:r w:rsidRPr="005E6B7C">
        <w:rPr>
          <w:rFonts w:asciiTheme="majorHAnsi" w:eastAsia="Yu Mincho" w:hAnsiTheme="majorHAnsi" w:cstheme="majorHAnsi"/>
          <w:iCs/>
          <w:color w:val="000000" w:themeColor="text1"/>
          <w:sz w:val="22"/>
          <w:szCs w:val="22"/>
          <w:lang w:eastAsia="ja-JP"/>
        </w:rPr>
        <w:lastRenderedPageBreak/>
        <w:t>solution of potassium hydroxide were added into the flask. The flask was connected with a reflux condenser and heated in a water bath set at 100</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C for 1 hour, then it was cooled back to room temperature. About 5.5 mL of 4 N solution of hydrochloric acid was added into the flask, and it was heated again in a water bath set at 100</w:t>
      </w:r>
      <w:r w:rsidRPr="005E6B7C">
        <w:rPr>
          <w:rFonts w:asciiTheme="majorHAnsi" w:eastAsia="Yu Mincho" w:hAnsiTheme="majorHAnsi" w:cstheme="majorHAnsi"/>
          <w:iCs/>
          <w:color w:val="000000" w:themeColor="text1"/>
          <w:sz w:val="22"/>
          <w:szCs w:val="22"/>
          <w:vertAlign w:val="superscript"/>
          <w:lang w:eastAsia="ja-JP"/>
        </w:rPr>
        <w:t>o</w:t>
      </w:r>
      <w:r w:rsidRPr="005E6B7C">
        <w:rPr>
          <w:rFonts w:asciiTheme="majorHAnsi" w:eastAsia="Yu Mincho" w:hAnsiTheme="majorHAnsi" w:cstheme="majorHAnsi"/>
          <w:iCs/>
          <w:color w:val="000000" w:themeColor="text1"/>
          <w:sz w:val="22"/>
          <w:szCs w:val="22"/>
          <w:lang w:eastAsia="ja-JP"/>
        </w:rPr>
        <w:t xml:space="preserve">C for 2 hours and cooled back to room temperature. The pH of the liquid inside the flask was adjusted to 7.5 – 8.5 with 12% solution of potassium hydroxide, then the liquid was transferred to a 100-mL volumetric flask, and ethanol 50% was added to the volume. The obtained liquid was filtered through a 0.45 </w:t>
      </w:r>
      <w:r w:rsidRPr="005E6B7C">
        <w:rPr>
          <w:rFonts w:asciiTheme="majorHAnsi" w:eastAsia="Yu Mincho" w:hAnsiTheme="majorHAnsi" w:cstheme="majorHAnsi"/>
          <w:iCs/>
          <w:color w:val="000000" w:themeColor="text1"/>
          <w:sz w:val="22"/>
          <w:szCs w:val="22"/>
          <w:lang w:eastAsia="ja-JP"/>
        </w:rPr>
        <w:sym w:font="Symbol" w:char="F06D"/>
      </w:r>
      <w:r w:rsidRPr="005E6B7C">
        <w:rPr>
          <w:rFonts w:asciiTheme="majorHAnsi" w:eastAsia="Yu Mincho" w:hAnsiTheme="majorHAnsi" w:cstheme="majorHAnsi"/>
          <w:iCs/>
          <w:color w:val="000000" w:themeColor="text1"/>
          <w:sz w:val="22"/>
          <w:szCs w:val="22"/>
          <w:lang w:eastAsia="ja-JP"/>
        </w:rPr>
        <w:t>m filter membrane and injected into the HPLC system.</w:t>
      </w:r>
    </w:p>
    <w:p w14:paraId="14713C0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To determine the gymnemagenin in the sample after incubation with bacteria suspension, the sample was evaporated to dryness and prepared similarly to the sample before incubation.</w:t>
      </w:r>
    </w:p>
    <w:p w14:paraId="5719D5ED"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pacing w:val="-6"/>
          <w:sz w:val="22"/>
          <w:szCs w:val="22"/>
          <w:lang w:eastAsia="ja-JP"/>
        </w:rPr>
      </w:pPr>
      <w:r w:rsidRPr="005E6B7C">
        <w:rPr>
          <w:rFonts w:asciiTheme="majorHAnsi" w:eastAsia="Yu Mincho" w:hAnsiTheme="majorHAnsi" w:cstheme="majorHAnsi"/>
          <w:iCs/>
          <w:color w:val="000000" w:themeColor="text1"/>
          <w:spacing w:val="-6"/>
          <w:sz w:val="22"/>
          <w:szCs w:val="22"/>
          <w:lang w:eastAsia="ja-JP"/>
        </w:rPr>
        <w:t>Stock standard solution of gymnemagenin was prepared by dissolving about 30 mg reference substance of gymnemagenin, accurately weighed, in a 20-mL volumetric flask with methanol and diluting with methanol to volume. Working standard solutions were prepared by diluting the stock standard solution with ethanol 50% to targeted concentrations from 0.03 mg/mL to 0.3 mg/mL.</w:t>
      </w:r>
    </w:p>
    <w:p w14:paraId="1530D412"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For accuracy validation of the HPLC method by recovery studies, spiked solutions were prepared by adding an accurate quantity of standard gymnemagenin into the sample preparation at 3 different levels (corresponding to spiked concentrations of gymnemagenin in analyzed solutions of about 0.03 mg/mL, 0.06 mg/mL, and 0.12 mg/mL). For precision validation, six different portions of a sample were prepared and analyzed by the same analyst in the same day for assessment of repeatability and by each one of two different analysts for assessment of intermediate precision. For estimation of limit of quantitation (LOQ) and limit of detection (LOD) of gymnemagenin, spiked samples used for recovery studies were accurately diluted and analyzed to estimate the signal-to-noise (S/N) ratio for the gymnemagenin peak. The concentrations of gymnemagenin at LOD and LOQ corresponded to values of S/N about 3 and 10, respectively. The solvent solution for specificity validation was prepared similarly to sample preparation, without using a plant sample.</w:t>
      </w:r>
    </w:p>
    <w:p w14:paraId="0D446A65"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2.2.2.2. Chromatographic analysis:</w:t>
      </w:r>
    </w:p>
    <w:p w14:paraId="14B24C7B"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Chromatographic determination of </w:t>
      </w:r>
      <w:r w:rsidRPr="005E6B7C">
        <w:rPr>
          <w:rFonts w:asciiTheme="majorHAnsi" w:eastAsia="Yu Mincho" w:hAnsiTheme="majorHAnsi" w:cstheme="majorHAnsi"/>
          <w:color w:val="000000" w:themeColor="text1"/>
          <w:sz w:val="22"/>
          <w:szCs w:val="22"/>
          <w:lang w:eastAsia="ja-JP"/>
        </w:rPr>
        <w:t xml:space="preserve">gymnemagenin in samples was carried out on a Luna® C18 column (250 mm × 4.6 mm, 5 </w:t>
      </w:r>
      <w:r w:rsidRPr="005E6B7C">
        <w:rPr>
          <w:rFonts w:asciiTheme="majorHAnsi" w:eastAsia="Yu Mincho" w:hAnsiTheme="majorHAnsi" w:cstheme="majorHAnsi"/>
          <w:color w:val="000000" w:themeColor="text1"/>
          <w:sz w:val="22"/>
          <w:szCs w:val="22"/>
          <w:lang w:eastAsia="ja-JP"/>
        </w:rPr>
        <w:sym w:font="Symbol" w:char="F06D"/>
      </w:r>
      <w:r w:rsidRPr="005E6B7C">
        <w:rPr>
          <w:rFonts w:asciiTheme="majorHAnsi" w:eastAsia="Yu Mincho" w:hAnsiTheme="majorHAnsi" w:cstheme="majorHAnsi"/>
          <w:color w:val="000000" w:themeColor="text1"/>
          <w:sz w:val="22"/>
          <w:szCs w:val="22"/>
          <w:lang w:eastAsia="ja-JP"/>
        </w:rPr>
        <w:t xml:space="preserve">m) employing a mixture of acetonitrile – phosphate buffer maintained at a flow rate of 1.6 milliliter per minute as mobile phase. The composition of the mobile phase varied according to a gradient program: 0 – 20 minutes: 25 – 55% acetonitrile; 20 – 25 minutes: 55 - 60% acetonitrile; 25 – 30 minutes: 60% acetonitrile; 30 – 35 minutes: 60 – 25% acetonitrile; 35 – 40 minutes: 25% acetonitrile. The chromatograms were recorded at 210 nm using UV detection after injecting 50 </w:t>
      </w:r>
      <w:r w:rsidRPr="005E6B7C">
        <w:rPr>
          <w:rFonts w:asciiTheme="majorHAnsi" w:eastAsia="Yu Mincho" w:hAnsiTheme="majorHAnsi" w:cstheme="majorHAnsi"/>
          <w:color w:val="000000" w:themeColor="text1"/>
          <w:sz w:val="22"/>
          <w:szCs w:val="22"/>
          <w:lang w:eastAsia="ja-JP"/>
        </w:rPr>
        <w:sym w:font="Symbol" w:char="F06D"/>
      </w:r>
      <w:r w:rsidRPr="005E6B7C">
        <w:rPr>
          <w:rFonts w:asciiTheme="majorHAnsi" w:eastAsia="Yu Mincho" w:hAnsiTheme="majorHAnsi" w:cstheme="majorHAnsi"/>
          <w:color w:val="000000" w:themeColor="text1"/>
          <w:sz w:val="22"/>
          <w:szCs w:val="22"/>
          <w:lang w:eastAsia="ja-JP"/>
        </w:rPr>
        <w:t>L of sample into the HPLC system. The phosphate buffer was prepared by dissolving 0.14 g of potassium dihydrogen phosphate and 0.5 mL of phosphoric acid in 900 mL of water, then water was added to make 1000 mL.</w:t>
      </w:r>
    </w:p>
    <w:p w14:paraId="172CCF78"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HPLC method was validated according to current requirements on performance of analytical methods recommended by AOAC International [6]. A summary of validation results was provided in section 3.1.</w:t>
      </w:r>
    </w:p>
    <w:p w14:paraId="2D1FFEB2"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2.2.3. Assessing the capacity of bacteria to increase the content of gymnemagenin:</w:t>
      </w:r>
    </w:p>
    <w:p w14:paraId="3F7AACC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To evaluate the capacity of bacteria to increase the content of gymnemagenin in </w:t>
      </w:r>
      <w:r w:rsidRPr="005E6B7C">
        <w:rPr>
          <w:rFonts w:asciiTheme="majorHAnsi" w:eastAsia="Yu Mincho" w:hAnsiTheme="majorHAnsi" w:cstheme="majorHAnsi"/>
          <w:i/>
          <w:color w:val="000000" w:themeColor="text1"/>
          <w:sz w:val="22"/>
          <w:szCs w:val="22"/>
          <w:lang w:eastAsia="ja-JP"/>
        </w:rPr>
        <w:t>Gymnema</w:t>
      </w:r>
      <w:r w:rsidRPr="005E6B7C">
        <w:rPr>
          <w:rFonts w:asciiTheme="majorHAnsi" w:eastAsia="Yu Mincho" w:hAnsiTheme="majorHAnsi" w:cstheme="majorHAnsi"/>
          <w:color w:val="000000" w:themeColor="text1"/>
          <w:sz w:val="22"/>
          <w:szCs w:val="22"/>
          <w:lang w:eastAsia="ja-JP"/>
        </w:rPr>
        <w:t xml:space="preserve"> R.Br’s samples, the gymnemagenin content of each sample was determined before and after incubation to detect any change that occurred during the incubation with bacteria suspensions. The statistical significance of the change was assessed by a paired T-test.</w:t>
      </w:r>
    </w:p>
    <w:p w14:paraId="6044593D"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
          <w:color w:val="000000" w:themeColor="text1"/>
          <w:sz w:val="22"/>
          <w:szCs w:val="22"/>
          <w:lang w:eastAsia="ja-JP"/>
        </w:rPr>
      </w:pPr>
      <w:r w:rsidRPr="005E6B7C">
        <w:rPr>
          <w:rFonts w:asciiTheme="majorHAnsi" w:eastAsia="Yu Mincho" w:hAnsiTheme="majorHAnsi" w:cstheme="majorHAnsi"/>
          <w:i/>
          <w:color w:val="000000" w:themeColor="text1"/>
          <w:sz w:val="22"/>
          <w:szCs w:val="22"/>
          <w:lang w:eastAsia="ja-JP"/>
        </w:rPr>
        <w:t>2.3. Data processing</w:t>
      </w:r>
    </w:p>
    <w:p w14:paraId="39206369"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Chromatographic data were collected and processed by Chromeleon software of Thermo Fischer Scientific (Waltham, MA, USA). Statistical calculations were done using Microsoft Excel software (Redmond, WA, USA).</w:t>
      </w:r>
    </w:p>
    <w:p w14:paraId="2A927C5A"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3. Results and discussion</w:t>
      </w:r>
    </w:p>
    <w:p w14:paraId="50B94DEE"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3.1. Validation of the HPLC method for the determination of gymnemagenin</w:t>
      </w:r>
    </w:p>
    <w:p w14:paraId="6FEF7701"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color w:val="000000" w:themeColor="text1"/>
          <w:sz w:val="22"/>
          <w:szCs w:val="22"/>
          <w:lang w:eastAsia="ja-JP"/>
        </w:rPr>
        <w:t>The HPLC method gave a well-shaped peak of gymnemagenin, completely separated from other peaks in the chromatogram of sample preparation (Fig. 2, B) with the same retention time and with a similar UV spectrum (Fig. 2, D) to that of the peak of gymnemagenin in the chromatogram of standard solution (Fig. 2, A). In the chromatogram of the solvent solution (Fig. 2, C), no peak was detected at the retention time of gymnemagenin. Therefore, the method was sufficiently specific for the determination of gymnemagenin.</w:t>
      </w:r>
    </w:p>
    <w:p w14:paraId="50B54F82" w14:textId="77777777" w:rsidR="007B23ED" w:rsidRPr="005E6B7C" w:rsidRDefault="007B23ED" w:rsidP="007B23ED">
      <w:pPr>
        <w:tabs>
          <w:tab w:val="left" w:pos="270"/>
          <w:tab w:val="left" w:pos="3912"/>
        </w:tabs>
        <w:ind w:firstLine="284"/>
        <w:contextualSpacing/>
        <w:jc w:val="both"/>
        <w:rPr>
          <w:rFonts w:asciiTheme="majorHAnsi" w:eastAsia="Yu Mincho" w:hAnsiTheme="majorHAnsi" w:cstheme="majorHAnsi"/>
          <w:color w:val="000000" w:themeColor="text1"/>
          <w:sz w:val="2"/>
          <w:szCs w:val="2"/>
          <w:lang w:eastAsia="ja-JP"/>
        </w:rPr>
      </w:pPr>
      <w:r w:rsidRPr="005E6B7C">
        <w:rPr>
          <w:rFonts w:asciiTheme="majorHAnsi" w:eastAsia="Yu Mincho" w:hAnsiTheme="majorHAnsi" w:cstheme="majorHAnsi"/>
          <w:color w:val="000000" w:themeColor="text1"/>
          <w:sz w:val="2"/>
          <w:szCs w:val="2"/>
          <w:lang w:eastAsia="ja-JP"/>
        </w:rPr>
        <w:tab/>
      </w:r>
    </w:p>
    <w:tbl>
      <w:tblPr>
        <w:tblStyle w:val="TableGrid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7B23ED" w:rsidRPr="005E6B7C" w14:paraId="6D3144D0" w14:textId="77777777" w:rsidTr="00466852">
        <w:tc>
          <w:tcPr>
            <w:tcW w:w="9072" w:type="dxa"/>
          </w:tcPr>
          <w:p w14:paraId="56B808AA" w14:textId="77777777" w:rsidR="007B23ED" w:rsidRPr="005E6B7C" w:rsidRDefault="007B23ED" w:rsidP="00466852">
            <w:pPr>
              <w:tabs>
                <w:tab w:val="left" w:pos="270"/>
                <w:tab w:val="left" w:pos="540"/>
                <w:tab w:val="left" w:pos="9270"/>
              </w:tabs>
              <w:ind w:right="-20"/>
              <w:contextualSpacing/>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5E974C04" wp14:editId="6D4C265E">
                      <wp:simplePos x="0" y="0"/>
                      <wp:positionH relativeFrom="column">
                        <wp:posOffset>5298110</wp:posOffset>
                      </wp:positionH>
                      <wp:positionV relativeFrom="paragraph">
                        <wp:posOffset>81280</wp:posOffset>
                      </wp:positionV>
                      <wp:extent cx="487680" cy="1404620"/>
                      <wp:effectExtent l="0" t="0" r="0" b="0"/>
                      <wp:wrapNone/>
                      <wp:docPr id="727029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404620"/>
                              </a:xfrm>
                              <a:prstGeom prst="rect">
                                <a:avLst/>
                              </a:prstGeom>
                              <a:noFill/>
                              <a:ln w="9525">
                                <a:noFill/>
                                <a:miter lim="800000"/>
                                <a:headEnd/>
                                <a:tailEnd/>
                              </a:ln>
                            </wps:spPr>
                            <wps:txbx>
                              <w:txbxContent>
                                <w:p w14:paraId="43A7A9B5" w14:textId="77777777" w:rsidR="007B23ED" w:rsidRPr="00BF2735" w:rsidRDefault="007B23ED" w:rsidP="007B23ED">
                                  <w:pPr>
                                    <w:rPr>
                                      <w:b/>
                                      <w:sz w:val="28"/>
                                      <w:szCs w:val="28"/>
                                    </w:rPr>
                                  </w:pPr>
                                  <w:r w:rsidRPr="00BF2735">
                                    <w:rPr>
                                      <w:b/>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74C04" id="_x0000_s1027" type="#_x0000_t202" style="position:absolute;left:0;text-align:left;margin-left:417.15pt;margin-top:6.4pt;width:38.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" filled="f" stroked="f">
                      <v:textbox style="mso-fit-shape-to-text:t">
                        <w:txbxContent>
                          <w:p w14:paraId="43A7A9B5" w14:textId="77777777" w:rsidR="007B23ED" w:rsidRPr="00BF2735" w:rsidRDefault="007B23ED" w:rsidP="007B23ED">
                            <w:pPr>
                              <w:rPr>
                                <w:b/>
                                <w:sz w:val="28"/>
                                <w:szCs w:val="28"/>
                              </w:rPr>
                            </w:pPr>
                            <w:r w:rsidRPr="00BF2735">
                              <w:rPr>
                                <w:b/>
                                <w:sz w:val="28"/>
                                <w:szCs w:val="28"/>
                              </w:rPr>
                              <w:t>A</w:t>
                            </w:r>
                          </w:p>
                        </w:txbxContent>
                      </v:textbox>
                    </v:shape>
                  </w:pict>
                </mc:Fallback>
              </mc:AlternateContent>
            </w:r>
            <w:r w:rsidRPr="005E6B7C">
              <w:rPr>
                <w:rFonts w:asciiTheme="majorHAnsi" w:eastAsia="Yu Mincho" w:hAnsiTheme="majorHAnsi" w:cstheme="majorHAnsi"/>
                <w:noProof/>
                <w:color w:val="000000" w:themeColor="text1"/>
                <w:sz w:val="22"/>
                <w:szCs w:val="22"/>
              </w:rPr>
              <w:drawing>
                <wp:inline distT="0" distB="0" distL="0" distR="0" wp14:anchorId="1D68DA17" wp14:editId="5A83543C">
                  <wp:extent cx="4120738" cy="1435679"/>
                  <wp:effectExtent l="19050" t="19050" r="13335" b="12700"/>
                  <wp:docPr id="1030" name="Picture 1">
                    <a:extLst xmlns:a="http://schemas.openxmlformats.org/drawingml/2006/main">
                      <a:ext uri="{FF2B5EF4-FFF2-40B4-BE49-F238E27FC236}">
                        <a16:creationId xmlns:a16="http://schemas.microsoft.com/office/drawing/2014/main" id="{B14DD796-725F-4BE6-8FB7-FE0603B12B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1">
                            <a:extLst>
                              <a:ext uri="{FF2B5EF4-FFF2-40B4-BE49-F238E27FC236}">
                                <a16:creationId xmlns:a16="http://schemas.microsoft.com/office/drawing/2014/main" id="{B14DD796-725F-4BE6-8FB7-FE0603B12B88}"/>
                              </a:ext>
                            </a:extLs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75726" cy="1454837"/>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prstDash val="solid"/>
                            <a:miter lim="800000"/>
                            <a:headEnd/>
                            <a:tailEnd/>
                          </a:ln>
                        </pic:spPr>
                      </pic:pic>
                    </a:graphicData>
                  </a:graphic>
                </wp:inline>
              </w:drawing>
            </w:r>
          </w:p>
        </w:tc>
      </w:tr>
      <w:tr w:rsidR="007B23ED" w:rsidRPr="005E6B7C" w14:paraId="5A782DA1" w14:textId="77777777" w:rsidTr="00466852">
        <w:tc>
          <w:tcPr>
            <w:tcW w:w="9072" w:type="dxa"/>
          </w:tcPr>
          <w:p w14:paraId="1629BE5A" w14:textId="77777777" w:rsidR="007B23ED" w:rsidRPr="005E6B7C" w:rsidRDefault="007B23ED" w:rsidP="00466852">
            <w:pPr>
              <w:tabs>
                <w:tab w:val="left" w:pos="270"/>
                <w:tab w:val="left" w:pos="540"/>
                <w:tab w:val="left" w:pos="9270"/>
              </w:tabs>
              <w:ind w:right="-20"/>
              <w:contextualSpacing/>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mc:AlternateContent>
                <mc:Choice Requires="wps">
                  <w:drawing>
                    <wp:anchor distT="45720" distB="45720" distL="114300" distR="114300" simplePos="0" relativeHeight="251660288" behindDoc="0" locked="0" layoutInCell="1" allowOverlap="1" wp14:anchorId="7B435E41" wp14:editId="6283E95C">
                      <wp:simplePos x="0" y="0"/>
                      <wp:positionH relativeFrom="column">
                        <wp:posOffset>5304449</wp:posOffset>
                      </wp:positionH>
                      <wp:positionV relativeFrom="paragraph">
                        <wp:posOffset>137795</wp:posOffset>
                      </wp:positionV>
                      <wp:extent cx="487680" cy="1404620"/>
                      <wp:effectExtent l="0" t="0" r="0" b="0"/>
                      <wp:wrapNone/>
                      <wp:docPr id="957123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404620"/>
                              </a:xfrm>
                              <a:prstGeom prst="rect">
                                <a:avLst/>
                              </a:prstGeom>
                              <a:noFill/>
                              <a:ln w="9525">
                                <a:noFill/>
                                <a:miter lim="800000"/>
                                <a:headEnd/>
                                <a:tailEnd/>
                              </a:ln>
                            </wps:spPr>
                            <wps:txbx>
                              <w:txbxContent>
                                <w:p w14:paraId="12265348" w14:textId="77777777" w:rsidR="007B23ED" w:rsidRPr="00BF2735" w:rsidRDefault="007B23ED" w:rsidP="007B23ED">
                                  <w:pPr>
                                    <w:rPr>
                                      <w:b/>
                                      <w:sz w:val="28"/>
                                      <w:szCs w:val="28"/>
                                    </w:rPr>
                                  </w:pPr>
                                  <w:r>
                                    <w:rPr>
                                      <w:b/>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35E41" id="_x0000_s1028" type="#_x0000_t202" style="position:absolute;left:0;text-align:left;margin-left:417.65pt;margin-top:10.85pt;width:38.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" filled="f" stroked="f">
                      <v:textbox style="mso-fit-shape-to-text:t">
                        <w:txbxContent>
                          <w:p w14:paraId="12265348" w14:textId="77777777" w:rsidR="007B23ED" w:rsidRPr="00BF2735" w:rsidRDefault="007B23ED" w:rsidP="007B23ED">
                            <w:pPr>
                              <w:rPr>
                                <w:b/>
                                <w:sz w:val="28"/>
                                <w:szCs w:val="28"/>
                              </w:rPr>
                            </w:pPr>
                            <w:r>
                              <w:rPr>
                                <w:b/>
                                <w:sz w:val="28"/>
                                <w:szCs w:val="28"/>
                              </w:rPr>
                              <w:t>B</w:t>
                            </w:r>
                          </w:p>
                        </w:txbxContent>
                      </v:textbox>
                    </v:shape>
                  </w:pict>
                </mc:Fallback>
              </mc:AlternateContent>
            </w:r>
            <w:r w:rsidRPr="005E6B7C">
              <w:rPr>
                <w:rFonts w:asciiTheme="majorHAnsi" w:eastAsia="Yu Mincho" w:hAnsiTheme="majorHAnsi" w:cstheme="majorHAnsi"/>
                <w:noProof/>
                <w:color w:val="000000" w:themeColor="text1"/>
                <w:sz w:val="22"/>
                <w:szCs w:val="22"/>
              </w:rPr>
              <w:drawing>
                <wp:inline distT="0" distB="0" distL="0" distR="0" wp14:anchorId="799C5119" wp14:editId="7CE034BF">
                  <wp:extent cx="4131378" cy="1525980"/>
                  <wp:effectExtent l="19050" t="19050" r="21590" b="17145"/>
                  <wp:docPr id="1740572160" name="Picture 1">
                    <a:extLst xmlns:a="http://schemas.openxmlformats.org/drawingml/2006/main">
                      <a:ext uri="{FF2B5EF4-FFF2-40B4-BE49-F238E27FC236}">
                        <a16:creationId xmlns:a16="http://schemas.microsoft.com/office/drawing/2014/main" id="{A52E4E8E-D6AA-403E-9F37-0839A1C1E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a:extLst>
                              <a:ext uri="{FF2B5EF4-FFF2-40B4-BE49-F238E27FC236}">
                                <a16:creationId xmlns:a16="http://schemas.microsoft.com/office/drawing/2014/main" id="{A52E4E8E-D6AA-403E-9F37-0839A1C1E759}"/>
                              </a:ext>
                            </a:extLs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27473" cy="1561474"/>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prstDash val="solid"/>
                            <a:miter lim="800000"/>
                            <a:headEnd/>
                            <a:tailEnd/>
                          </a:ln>
                        </pic:spPr>
                      </pic:pic>
                    </a:graphicData>
                  </a:graphic>
                </wp:inline>
              </w:drawing>
            </w:r>
          </w:p>
        </w:tc>
      </w:tr>
      <w:tr w:rsidR="007B23ED" w:rsidRPr="005E6B7C" w14:paraId="49AE69E3" w14:textId="77777777" w:rsidTr="00466852">
        <w:tc>
          <w:tcPr>
            <w:tcW w:w="9072" w:type="dxa"/>
          </w:tcPr>
          <w:p w14:paraId="4F7B5666" w14:textId="77777777" w:rsidR="007B23ED" w:rsidRPr="005E6B7C" w:rsidRDefault="007B23ED" w:rsidP="00466852">
            <w:pPr>
              <w:tabs>
                <w:tab w:val="left" w:pos="270"/>
                <w:tab w:val="left" w:pos="540"/>
                <w:tab w:val="left" w:pos="9270"/>
              </w:tabs>
              <w:ind w:right="-20"/>
              <w:contextualSpacing/>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noProof/>
                <w:color w:val="000000" w:themeColor="text1"/>
                <w:sz w:val="22"/>
                <w:szCs w:val="22"/>
              </w:rPr>
              <mc:AlternateContent>
                <mc:Choice Requires="wps">
                  <w:drawing>
                    <wp:anchor distT="45720" distB="45720" distL="114300" distR="114300" simplePos="0" relativeHeight="251661312" behindDoc="0" locked="0" layoutInCell="1" allowOverlap="1" wp14:anchorId="40548F94" wp14:editId="0714F4EA">
                      <wp:simplePos x="0" y="0"/>
                      <wp:positionH relativeFrom="column">
                        <wp:posOffset>5311273</wp:posOffset>
                      </wp:positionH>
                      <wp:positionV relativeFrom="paragraph">
                        <wp:posOffset>137160</wp:posOffset>
                      </wp:positionV>
                      <wp:extent cx="487680" cy="1404620"/>
                      <wp:effectExtent l="0" t="0" r="0" b="0"/>
                      <wp:wrapNone/>
                      <wp:docPr id="1977928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404620"/>
                              </a:xfrm>
                              <a:prstGeom prst="rect">
                                <a:avLst/>
                              </a:prstGeom>
                              <a:noFill/>
                              <a:ln w="9525">
                                <a:noFill/>
                                <a:miter lim="800000"/>
                                <a:headEnd/>
                                <a:tailEnd/>
                              </a:ln>
                            </wps:spPr>
                            <wps:txbx>
                              <w:txbxContent>
                                <w:p w14:paraId="6355B26B" w14:textId="77777777" w:rsidR="007B23ED" w:rsidRPr="00BF2735" w:rsidRDefault="007B23ED" w:rsidP="007B23ED">
                                  <w:pPr>
                                    <w:rPr>
                                      <w:b/>
                                      <w:sz w:val="28"/>
                                      <w:szCs w:val="28"/>
                                    </w:rPr>
                                  </w:pPr>
                                  <w:r>
                                    <w:rPr>
                                      <w:b/>
                                      <w:sz w:val="28"/>
                                      <w:szCs w:val="2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48F94" id="_x0000_s1029" type="#_x0000_t202" style="position:absolute;left:0;text-align:left;margin-left:418.2pt;margin-top:10.8pt;width:38.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" filled="f" stroked="f">
                      <v:textbox style="mso-fit-shape-to-text:t">
                        <w:txbxContent>
                          <w:p w14:paraId="6355B26B" w14:textId="77777777" w:rsidR="007B23ED" w:rsidRPr="00BF2735" w:rsidRDefault="007B23ED" w:rsidP="007B23ED">
                            <w:pPr>
                              <w:rPr>
                                <w:b/>
                                <w:sz w:val="28"/>
                                <w:szCs w:val="28"/>
                              </w:rPr>
                            </w:pPr>
                            <w:r>
                              <w:rPr>
                                <w:b/>
                                <w:sz w:val="28"/>
                                <w:szCs w:val="28"/>
                              </w:rPr>
                              <w:t>C</w:t>
                            </w:r>
                          </w:p>
                        </w:txbxContent>
                      </v:textbox>
                    </v:shape>
                  </w:pict>
                </mc:Fallback>
              </mc:AlternateContent>
            </w:r>
            <w:r w:rsidRPr="005E6B7C">
              <w:rPr>
                <w:rFonts w:asciiTheme="majorHAnsi" w:eastAsia="Yu Mincho" w:hAnsiTheme="majorHAnsi" w:cstheme="majorHAnsi"/>
                <w:noProof/>
                <w:color w:val="000000" w:themeColor="text1"/>
                <w:sz w:val="22"/>
                <w:szCs w:val="22"/>
              </w:rPr>
              <w:drawing>
                <wp:inline distT="0" distB="0" distL="0" distR="0" wp14:anchorId="4A0467CF" wp14:editId="260F4FE2">
                  <wp:extent cx="4138551" cy="1357184"/>
                  <wp:effectExtent l="0" t="0" r="0" b="0"/>
                  <wp:docPr id="957976450" name="Picture 6">
                    <a:extLst xmlns:a="http://schemas.openxmlformats.org/drawingml/2006/main">
                      <a:ext uri="{FF2B5EF4-FFF2-40B4-BE49-F238E27FC236}">
                        <a16:creationId xmlns:a16="http://schemas.microsoft.com/office/drawing/2014/main" id="{1ACF0A5A-ADA5-400E-A124-A6BF3A13B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ACF0A5A-ADA5-400E-A124-A6BF3A13BF07}"/>
                              </a:ext>
                            </a:extLst>
                          </pic:cNvPr>
                          <pic:cNvPicPr>
                            <a:picLocks noChangeAspect="1"/>
                          </pic:cNvPicPr>
                        </pic:nvPicPr>
                        <pic:blipFill>
                          <a:blip r:embed="rId143">
                            <a:extLst>
                              <a:ext uri="{BEBA8EAE-BF5A-486C-A8C5-ECC9F3942E4B}">
                                <a14:imgProps xmlns:a14="http://schemas.microsoft.com/office/drawing/2010/main">
                                  <a14:imgLayer r:embed="rId144">
                                    <a14:imgEffect>
                                      <a14:saturation sat="0"/>
                                    </a14:imgEffect>
                                  </a14:imgLayer>
                                </a14:imgProps>
                              </a:ext>
                            </a:extLst>
                          </a:blip>
                          <a:stretch>
                            <a:fillRect/>
                          </a:stretch>
                        </pic:blipFill>
                        <pic:spPr>
                          <a:xfrm>
                            <a:off x="0" y="0"/>
                            <a:ext cx="4192668" cy="1374931"/>
                          </a:xfrm>
                          <a:prstGeom prst="rect">
                            <a:avLst/>
                          </a:prstGeom>
                        </pic:spPr>
                      </pic:pic>
                    </a:graphicData>
                  </a:graphic>
                </wp:inline>
              </w:drawing>
            </w:r>
          </w:p>
        </w:tc>
      </w:tr>
      <w:tr w:rsidR="007B23ED" w:rsidRPr="005E6B7C" w14:paraId="6224548D" w14:textId="77777777" w:rsidTr="00466852">
        <w:tc>
          <w:tcPr>
            <w:tcW w:w="9072" w:type="dxa"/>
          </w:tcPr>
          <w:p w14:paraId="4320F358" w14:textId="77777777" w:rsidR="007B23ED" w:rsidRPr="005E6B7C" w:rsidRDefault="007B23ED" w:rsidP="00466852">
            <w:pPr>
              <w:tabs>
                <w:tab w:val="left" w:pos="270"/>
                <w:tab w:val="left" w:pos="540"/>
                <w:tab w:val="left" w:pos="9270"/>
              </w:tabs>
              <w:ind w:right="-20"/>
              <w:contextualSpacing/>
              <w:jc w:val="center"/>
              <w:rPr>
                <w:rFonts w:asciiTheme="majorHAnsi" w:eastAsia="Yu Mincho" w:hAnsiTheme="majorHAnsi" w:cstheme="majorHAnsi"/>
                <w:noProof/>
                <w:color w:val="000000" w:themeColor="text1"/>
                <w:sz w:val="22"/>
                <w:szCs w:val="22"/>
                <w:lang w:eastAsia="ja-JP"/>
              </w:rPr>
            </w:pPr>
            <w:r w:rsidRPr="005E6B7C">
              <w:rPr>
                <w:rFonts w:asciiTheme="majorHAnsi" w:eastAsia="Yu Mincho" w:hAnsiTheme="majorHAnsi" w:cstheme="majorHAnsi"/>
                <w:noProof/>
                <w:color w:val="000000" w:themeColor="text1"/>
                <w:sz w:val="22"/>
                <w:szCs w:val="22"/>
              </w:rPr>
              <mc:AlternateContent>
                <mc:Choice Requires="wps">
                  <w:drawing>
                    <wp:anchor distT="45720" distB="45720" distL="114300" distR="114300" simplePos="0" relativeHeight="251662336" behindDoc="0" locked="0" layoutInCell="1" allowOverlap="1" wp14:anchorId="34786938" wp14:editId="0A695433">
                      <wp:simplePos x="0" y="0"/>
                      <wp:positionH relativeFrom="column">
                        <wp:posOffset>5308905</wp:posOffset>
                      </wp:positionH>
                      <wp:positionV relativeFrom="paragraph">
                        <wp:posOffset>251460</wp:posOffset>
                      </wp:positionV>
                      <wp:extent cx="487680" cy="1404620"/>
                      <wp:effectExtent l="0" t="0" r="0" b="0"/>
                      <wp:wrapNone/>
                      <wp:docPr id="125483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404620"/>
                              </a:xfrm>
                              <a:prstGeom prst="rect">
                                <a:avLst/>
                              </a:prstGeom>
                              <a:noFill/>
                              <a:ln w="9525">
                                <a:noFill/>
                                <a:miter lim="800000"/>
                                <a:headEnd/>
                                <a:tailEnd/>
                              </a:ln>
                            </wps:spPr>
                            <wps:txbx>
                              <w:txbxContent>
                                <w:p w14:paraId="69AA94BA" w14:textId="77777777" w:rsidR="007B23ED" w:rsidRPr="00BF2735" w:rsidRDefault="007B23ED" w:rsidP="007B23ED">
                                  <w:pPr>
                                    <w:rPr>
                                      <w:b/>
                                      <w:sz w:val="28"/>
                                      <w:szCs w:val="28"/>
                                    </w:rPr>
                                  </w:pPr>
                                  <w:r>
                                    <w:rPr>
                                      <w:b/>
                                      <w:sz w:val="28"/>
                                      <w:szCs w:val="2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86938" id="_x0000_s1030" type="#_x0000_t202" style="position:absolute;left:0;text-align:left;margin-left:418pt;margin-top:19.8pt;width:38.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" filled="f" stroked="f">
                      <v:textbox style="mso-fit-shape-to-text:t">
                        <w:txbxContent>
                          <w:p w14:paraId="69AA94BA" w14:textId="77777777" w:rsidR="007B23ED" w:rsidRPr="00BF2735" w:rsidRDefault="007B23ED" w:rsidP="007B23ED">
                            <w:pPr>
                              <w:rPr>
                                <w:b/>
                                <w:sz w:val="28"/>
                                <w:szCs w:val="28"/>
                              </w:rPr>
                            </w:pPr>
                            <w:r>
                              <w:rPr>
                                <w:b/>
                                <w:sz w:val="28"/>
                                <w:szCs w:val="28"/>
                              </w:rPr>
                              <w:t>D</w:t>
                            </w:r>
                          </w:p>
                        </w:txbxContent>
                      </v:textbox>
                    </v:shape>
                  </w:pict>
                </mc:Fallback>
              </mc:AlternateContent>
            </w:r>
            <w:r w:rsidRPr="005E6B7C">
              <w:rPr>
                <w:rFonts w:asciiTheme="majorHAnsi" w:eastAsia="Yu Mincho" w:hAnsiTheme="majorHAnsi" w:cstheme="majorHAnsi"/>
                <w:noProof/>
                <w:color w:val="000000" w:themeColor="text1"/>
                <w:sz w:val="22"/>
                <w:szCs w:val="22"/>
              </w:rPr>
              <w:drawing>
                <wp:inline distT="0" distB="0" distL="0" distR="0" wp14:anchorId="05CFED9D" wp14:editId="14DB65A6">
                  <wp:extent cx="4132613" cy="1389837"/>
                  <wp:effectExtent l="19050" t="19050" r="20320" b="20320"/>
                  <wp:docPr id="1026" name="Picture 1">
                    <a:extLst xmlns:a="http://schemas.openxmlformats.org/drawingml/2006/main">
                      <a:ext uri="{FF2B5EF4-FFF2-40B4-BE49-F238E27FC236}">
                        <a16:creationId xmlns:a16="http://schemas.microsoft.com/office/drawing/2014/main" id="{3C4F6931-85F7-4C44-82E6-09338D7C9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a:extLst>
                              <a:ext uri="{FF2B5EF4-FFF2-40B4-BE49-F238E27FC236}">
                                <a16:creationId xmlns:a16="http://schemas.microsoft.com/office/drawing/2014/main" id="{3C4F6931-85F7-4C44-82E6-09338D7C9D30}"/>
                              </a:ext>
                            </a:extLs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85313" cy="1441191"/>
                          </a:xfrm>
                          <a:prstGeom prst="rect">
                            <a:avLst/>
                          </a:prstGeom>
                          <a:solidFill>
                            <a:srgbClr xmlns:a14="http://schemas.microsoft.com/office/drawing/2010/main" val="FFFFFF" mc:Ignorable="a14" a14:legacySpreadsheetColorIndex="9"/>
                          </a:solidFill>
                          <a:ln w="1" cap="flat">
                            <a:solidFill>
                              <a:srgbClr xmlns:a14="http://schemas.microsoft.com/office/drawing/2010/main" val="000000" mc:Ignorable="a14" a14:legacySpreadsheetColorIndex="64"/>
                            </a:solidFill>
                            <a:prstDash val="solid"/>
                            <a:miter lim="800000"/>
                            <a:headEnd/>
                            <a:tailEnd/>
                          </a:ln>
                        </pic:spPr>
                      </pic:pic>
                    </a:graphicData>
                  </a:graphic>
                </wp:inline>
              </w:drawing>
            </w:r>
          </w:p>
        </w:tc>
      </w:tr>
    </w:tbl>
    <w:p w14:paraId="26CCA068" w14:textId="77777777" w:rsidR="007B23ED" w:rsidRPr="005E6B7C" w:rsidRDefault="007B23ED" w:rsidP="007B23ED">
      <w:pPr>
        <w:tabs>
          <w:tab w:val="left" w:pos="270"/>
          <w:tab w:val="left" w:pos="540"/>
          <w:tab w:val="left" w:pos="9270"/>
        </w:tabs>
        <w:contextualSpacing/>
        <w:jc w:val="center"/>
        <w:rPr>
          <w:rFonts w:asciiTheme="majorHAnsi" w:eastAsia="Yu Mincho" w:hAnsiTheme="majorHAnsi" w:cstheme="majorHAnsi"/>
          <w:b/>
          <w:bCs/>
          <w:color w:val="000000" w:themeColor="text1"/>
          <w:sz w:val="8"/>
          <w:szCs w:val="18"/>
          <w:lang w:eastAsia="ja-JP"/>
        </w:rPr>
      </w:pPr>
    </w:p>
    <w:p w14:paraId="133280F0" w14:textId="77777777" w:rsidR="007B23ED" w:rsidRPr="005E6B7C" w:rsidRDefault="007B23ED" w:rsidP="007B23ED">
      <w:pPr>
        <w:tabs>
          <w:tab w:val="left" w:pos="270"/>
          <w:tab w:val="left" w:pos="540"/>
          <w:tab w:val="left" w:pos="9270"/>
        </w:tabs>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Fig. 2.</w:t>
      </w:r>
      <w:r w:rsidRPr="005E6B7C">
        <w:rPr>
          <w:rFonts w:asciiTheme="majorHAnsi" w:eastAsia="Yu Mincho" w:hAnsiTheme="majorHAnsi" w:cstheme="majorHAnsi"/>
          <w:color w:val="000000" w:themeColor="text1"/>
          <w:sz w:val="18"/>
          <w:szCs w:val="18"/>
          <w:lang w:eastAsia="ja-JP"/>
        </w:rPr>
        <w:t xml:space="preserve"> Typical results for specificity validation (A: chromatogram of standard solution, B: chromatogram of sample preparation, C: chromatogram of solvent solution, D: overlaid UV-Vis spectra extracted from gymnemagenin’s peak on chromatograms of standard solution and sample preparation).</w:t>
      </w:r>
    </w:p>
    <w:p w14:paraId="138931C9"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p>
    <w:p w14:paraId="1147A126"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03FDD9F8"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suitability of the chromatographic system was assessed by six consecutive injections of the same standard solution. After six analyses, the RSD (%) values for retention time and area of gymnemagenin peak were 0.02% and 0.08%, respectively, and the gymnemagenin peak was symmetric (with asymmetric factor about 1.2) and the chromatographic system was efficient (number of theoretical plates higher than 2000 for peak of gymnemagenin), confirming the suitability of the chromatographic system for determination of gymnemagenin.</w:t>
      </w:r>
    </w:p>
    <w:p w14:paraId="3C9FA42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The validation results of accuracy, precision, and estimation of LOD and LOQ were summarized in Table 1. The accuracy and precision of the method were in line with the requirements of AOAC International [6]. The linearity was maintained between concentration and peak area of gymnemagenin within concentration range from 0.03 to 0.3 mg/mL (corresponding to gymnemagenin content in plant samples from 0.4% to 4%), and the LOQ for gymnemagenin content in plant samples was estimated at 1.4×10</w:t>
      </w:r>
      <w:r w:rsidRPr="005E6B7C">
        <w:rPr>
          <w:rFonts w:asciiTheme="majorHAnsi" w:eastAsia="Yu Mincho" w:hAnsiTheme="majorHAnsi" w:cstheme="majorHAnsi"/>
          <w:color w:val="000000" w:themeColor="text1"/>
          <w:sz w:val="22"/>
          <w:szCs w:val="22"/>
          <w:vertAlign w:val="superscript"/>
          <w:lang w:eastAsia="ja-JP"/>
        </w:rPr>
        <w:t>-2</w:t>
      </w:r>
      <w:r w:rsidRPr="005E6B7C">
        <w:rPr>
          <w:rFonts w:asciiTheme="majorHAnsi" w:eastAsia="Yu Mincho" w:hAnsiTheme="majorHAnsi" w:cstheme="majorHAnsi"/>
          <w:color w:val="000000" w:themeColor="text1"/>
          <w:sz w:val="22"/>
          <w:szCs w:val="22"/>
          <w:lang w:eastAsia="ja-JP"/>
        </w:rPr>
        <w:t xml:space="preserve"> % (w/w).</w:t>
      </w:r>
    </w:p>
    <w:p w14:paraId="536A758A"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num="2" w:space="284"/>
          <w:docGrid w:linePitch="360"/>
        </w:sectPr>
      </w:pPr>
    </w:p>
    <w:p w14:paraId="362C2080" w14:textId="77777777" w:rsidR="007B23ED" w:rsidRPr="005E6B7C" w:rsidRDefault="007B23ED" w:rsidP="007B23ED">
      <w:pPr>
        <w:spacing w:after="120"/>
        <w:jc w:val="center"/>
        <w:rPr>
          <w:sz w:val="18"/>
          <w:szCs w:val="18"/>
        </w:rPr>
      </w:pPr>
      <w:r w:rsidRPr="005E6B7C">
        <w:rPr>
          <w:b/>
          <w:sz w:val="18"/>
          <w:szCs w:val="18"/>
        </w:rPr>
        <w:lastRenderedPageBreak/>
        <w:t>Table 1.</w:t>
      </w:r>
      <w:r w:rsidRPr="005E6B7C">
        <w:rPr>
          <w:sz w:val="18"/>
          <w:szCs w:val="18"/>
        </w:rPr>
        <w:t xml:space="preserve"> Summary of validation results for HPLC method</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73"/>
        <w:gridCol w:w="2437"/>
        <w:gridCol w:w="3362"/>
      </w:tblGrid>
      <w:tr w:rsidR="007B23ED" w:rsidRPr="005E6B7C" w14:paraId="26CBFAD9" w14:textId="77777777" w:rsidTr="00466852">
        <w:trPr>
          <w:jc w:val="center"/>
        </w:trPr>
        <w:tc>
          <w:tcPr>
            <w:tcW w:w="3415" w:type="dxa"/>
            <w:vAlign w:val="center"/>
          </w:tcPr>
          <w:p w14:paraId="55E7A185" w14:textId="77777777" w:rsidR="007B23ED" w:rsidRPr="005E6B7C" w:rsidRDefault="007B23ED" w:rsidP="00466852">
            <w:pPr>
              <w:tabs>
                <w:tab w:val="left" w:pos="270"/>
                <w:tab w:val="left" w:pos="540"/>
                <w:tab w:val="left" w:pos="9270"/>
              </w:tabs>
              <w:spacing w:line="180" w:lineRule="exact"/>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Criteria</w:t>
            </w:r>
          </w:p>
        </w:tc>
        <w:tc>
          <w:tcPr>
            <w:tcW w:w="2520" w:type="dxa"/>
            <w:vAlign w:val="center"/>
          </w:tcPr>
          <w:p w14:paraId="322C4F0C" w14:textId="77777777" w:rsidR="007B23ED" w:rsidRPr="005E6B7C" w:rsidRDefault="007B23ED" w:rsidP="00466852">
            <w:pPr>
              <w:tabs>
                <w:tab w:val="left" w:pos="270"/>
                <w:tab w:val="left" w:pos="540"/>
                <w:tab w:val="left" w:pos="9270"/>
              </w:tabs>
              <w:spacing w:line="180" w:lineRule="exact"/>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Requirements</w:t>
            </w:r>
          </w:p>
        </w:tc>
        <w:tc>
          <w:tcPr>
            <w:tcW w:w="3510" w:type="dxa"/>
            <w:vAlign w:val="center"/>
          </w:tcPr>
          <w:p w14:paraId="68E15021" w14:textId="77777777" w:rsidR="007B23ED" w:rsidRPr="005E6B7C" w:rsidRDefault="007B23ED" w:rsidP="00466852">
            <w:pPr>
              <w:tabs>
                <w:tab w:val="left" w:pos="270"/>
                <w:tab w:val="left" w:pos="540"/>
                <w:tab w:val="left" w:pos="9270"/>
              </w:tabs>
              <w:spacing w:line="180" w:lineRule="exact"/>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Results</w:t>
            </w:r>
          </w:p>
        </w:tc>
      </w:tr>
      <w:tr w:rsidR="007B23ED" w:rsidRPr="005E6B7C" w14:paraId="3F44C56E" w14:textId="77777777" w:rsidTr="00466852">
        <w:trPr>
          <w:jc w:val="center"/>
        </w:trPr>
        <w:tc>
          <w:tcPr>
            <w:tcW w:w="3415" w:type="dxa"/>
            <w:vAlign w:val="center"/>
          </w:tcPr>
          <w:p w14:paraId="7A633025"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Linearity</w:t>
            </w:r>
          </w:p>
        </w:tc>
        <w:tc>
          <w:tcPr>
            <w:tcW w:w="2520" w:type="dxa"/>
            <w:vAlign w:val="center"/>
          </w:tcPr>
          <w:p w14:paraId="4A3AE910"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w:t>
            </w:r>
            <w:r w:rsidRPr="005E6B7C">
              <w:rPr>
                <w:rFonts w:asciiTheme="majorHAnsi" w:eastAsia="Yu Mincho" w:hAnsiTheme="majorHAnsi" w:cstheme="majorHAnsi"/>
                <w:color w:val="000000" w:themeColor="text1"/>
                <w:sz w:val="18"/>
                <w:szCs w:val="18"/>
                <w:vertAlign w:val="superscript"/>
                <w:lang w:eastAsia="ja-JP"/>
              </w:rPr>
              <w:t>2</w:t>
            </w:r>
            <w:r w:rsidRPr="005E6B7C">
              <w:rPr>
                <w:rFonts w:asciiTheme="majorHAnsi" w:eastAsia="Yu Mincho" w:hAnsiTheme="majorHAnsi" w:cstheme="majorHAns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sym w:font="Symbol" w:char="F0B3"/>
            </w:r>
            <w:r w:rsidRPr="005E6B7C">
              <w:rPr>
                <w:rFonts w:asciiTheme="majorHAnsi" w:eastAsia="Yu Mincho" w:hAnsiTheme="majorHAnsi" w:cstheme="majorHAnsi"/>
                <w:color w:val="000000" w:themeColor="text1"/>
                <w:sz w:val="18"/>
                <w:szCs w:val="18"/>
                <w:lang w:eastAsia="ja-JP"/>
              </w:rPr>
              <w:t xml:space="preserve">  0.999</w:t>
            </w:r>
          </w:p>
        </w:tc>
        <w:tc>
          <w:tcPr>
            <w:tcW w:w="3510" w:type="dxa"/>
            <w:vAlign w:val="center"/>
          </w:tcPr>
          <w:p w14:paraId="510BDAC3"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val="fr-FR" w:eastAsia="ja-JP"/>
              </w:rPr>
            </w:pPr>
            <w:r w:rsidRPr="005E6B7C">
              <w:rPr>
                <w:rFonts w:asciiTheme="majorHAnsi" w:eastAsia="Yu Mincho" w:hAnsiTheme="majorHAnsi" w:cstheme="majorHAnsi"/>
                <w:color w:val="000000" w:themeColor="text1"/>
                <w:sz w:val="18"/>
                <w:szCs w:val="18"/>
                <w:lang w:val="fr-FR" w:eastAsia="ja-JP"/>
              </w:rPr>
              <w:t>Concentration range: 0.03 – 0.3 mg/mL</w:t>
            </w:r>
          </w:p>
          <w:p w14:paraId="4ED43D69"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val="fr-FR" w:eastAsia="ja-JP"/>
              </w:rPr>
            </w:pPr>
            <w:r w:rsidRPr="005E6B7C">
              <w:rPr>
                <w:rFonts w:asciiTheme="majorHAnsi" w:eastAsia="Yu Mincho" w:hAnsiTheme="majorHAnsi" w:cstheme="majorHAnsi"/>
                <w:color w:val="000000" w:themeColor="text1"/>
                <w:sz w:val="18"/>
                <w:szCs w:val="18"/>
                <w:lang w:val="fr-FR" w:eastAsia="ja-JP"/>
              </w:rPr>
              <w:t>R</w:t>
            </w:r>
            <w:r w:rsidRPr="005E6B7C">
              <w:rPr>
                <w:rFonts w:asciiTheme="majorHAnsi" w:eastAsia="Yu Mincho" w:hAnsiTheme="majorHAnsi" w:cstheme="majorHAnsi"/>
                <w:color w:val="000000" w:themeColor="text1"/>
                <w:sz w:val="18"/>
                <w:szCs w:val="18"/>
                <w:vertAlign w:val="superscript"/>
                <w:lang w:val="fr-FR" w:eastAsia="ja-JP"/>
              </w:rPr>
              <w:t>2</w:t>
            </w:r>
            <w:r w:rsidRPr="005E6B7C">
              <w:rPr>
                <w:rFonts w:asciiTheme="majorHAnsi" w:eastAsia="Yu Mincho" w:hAnsiTheme="majorHAnsi" w:cstheme="majorHAnsi"/>
                <w:color w:val="000000" w:themeColor="text1"/>
                <w:sz w:val="18"/>
                <w:szCs w:val="18"/>
                <w:lang w:val="fr-FR" w:eastAsia="ja-JP"/>
              </w:rPr>
              <w:t xml:space="preserve"> = 0.9999</w:t>
            </w:r>
          </w:p>
        </w:tc>
      </w:tr>
      <w:tr w:rsidR="007B23ED" w:rsidRPr="005E6B7C" w14:paraId="27D3F82B" w14:textId="77777777" w:rsidTr="00466852">
        <w:trPr>
          <w:jc w:val="center"/>
        </w:trPr>
        <w:tc>
          <w:tcPr>
            <w:tcW w:w="3415" w:type="dxa"/>
            <w:vAlign w:val="center"/>
          </w:tcPr>
          <w:p w14:paraId="4C56D019"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Accuracy</w:t>
            </w:r>
          </w:p>
        </w:tc>
        <w:tc>
          <w:tcPr>
            <w:tcW w:w="2520" w:type="dxa"/>
            <w:vAlign w:val="center"/>
          </w:tcPr>
          <w:p w14:paraId="397A1F55"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3510" w:type="dxa"/>
            <w:vAlign w:val="center"/>
          </w:tcPr>
          <w:p w14:paraId="1D10C7F6"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r>
      <w:tr w:rsidR="007B23ED" w:rsidRPr="005E6B7C" w14:paraId="45FEBAB9" w14:textId="77777777" w:rsidTr="00466852">
        <w:trPr>
          <w:jc w:val="center"/>
        </w:trPr>
        <w:tc>
          <w:tcPr>
            <w:tcW w:w="3415" w:type="dxa"/>
            <w:vAlign w:val="center"/>
          </w:tcPr>
          <w:p w14:paraId="09E44E42"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Level 1 (0.03 mg/mL or 0.4% (w/w) in plant samples, n = 3)</w:t>
            </w:r>
          </w:p>
        </w:tc>
        <w:tc>
          <w:tcPr>
            <w:tcW w:w="2520" w:type="dxa"/>
            <w:vAlign w:val="center"/>
          </w:tcPr>
          <w:p w14:paraId="169AFC24"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95 – 105 %</w:t>
            </w:r>
          </w:p>
          <w:p w14:paraId="52C7B377"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RSD </w:t>
            </w:r>
            <w:r w:rsidRPr="005E6B7C">
              <w:rPr>
                <w:rFonts w:asciiTheme="majorHAnsi" w:eastAsia="Yu Mincho" w:hAnsiTheme="majorHAnsi" w:cstheme="majorHAnsi"/>
                <w:color w:val="000000" w:themeColor="text1"/>
                <w:sz w:val="18"/>
                <w:szCs w:val="18"/>
                <w:lang w:eastAsia="ja-JP"/>
              </w:rPr>
              <w:sym w:font="Symbol" w:char="F0A3"/>
            </w:r>
            <w:r w:rsidRPr="005E6B7C">
              <w:rPr>
                <w:rFonts w:asciiTheme="majorHAnsi" w:eastAsia="Yu Mincho" w:hAnsiTheme="majorHAnsi" w:cstheme="majorHAnsi"/>
                <w:color w:val="000000" w:themeColor="text1"/>
                <w:sz w:val="18"/>
                <w:szCs w:val="18"/>
                <w:lang w:eastAsia="ja-JP"/>
              </w:rPr>
              <w:t xml:space="preserve"> 3.7 %</w:t>
            </w:r>
          </w:p>
        </w:tc>
        <w:tc>
          <w:tcPr>
            <w:tcW w:w="3510" w:type="dxa"/>
            <w:vAlign w:val="center"/>
          </w:tcPr>
          <w:p w14:paraId="523CB385"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98.7 – 98.9 %</w:t>
            </w:r>
          </w:p>
          <w:p w14:paraId="7DBFE69B"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RSD = 0.1 %</w:t>
            </w:r>
          </w:p>
        </w:tc>
      </w:tr>
      <w:tr w:rsidR="007B23ED" w:rsidRPr="005E6B7C" w14:paraId="662A3386" w14:textId="77777777" w:rsidTr="00466852">
        <w:trPr>
          <w:jc w:val="center"/>
        </w:trPr>
        <w:tc>
          <w:tcPr>
            <w:tcW w:w="3415" w:type="dxa"/>
            <w:vAlign w:val="center"/>
          </w:tcPr>
          <w:p w14:paraId="584E3322"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Level 2 (0.06 mg/mL or 0.8% (w/w) in plant samples, n = 3)</w:t>
            </w:r>
          </w:p>
        </w:tc>
        <w:tc>
          <w:tcPr>
            <w:tcW w:w="2520" w:type="dxa"/>
            <w:vAlign w:val="center"/>
          </w:tcPr>
          <w:p w14:paraId="4B0C76B8"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95 – 105 %</w:t>
            </w:r>
          </w:p>
          <w:p w14:paraId="383342BE"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RSD </w:t>
            </w:r>
            <w:r w:rsidRPr="005E6B7C">
              <w:rPr>
                <w:rFonts w:asciiTheme="majorHAnsi" w:eastAsia="Yu Mincho" w:hAnsiTheme="majorHAnsi" w:cstheme="majorHAnsi"/>
                <w:color w:val="000000" w:themeColor="text1"/>
                <w:sz w:val="18"/>
                <w:szCs w:val="18"/>
                <w:lang w:eastAsia="ja-JP"/>
              </w:rPr>
              <w:sym w:font="Symbol" w:char="F0A3"/>
            </w:r>
            <w:r w:rsidRPr="005E6B7C">
              <w:rPr>
                <w:rFonts w:asciiTheme="majorHAnsi" w:eastAsia="Yu Mincho" w:hAnsiTheme="majorHAnsi" w:cstheme="majorHAnsi"/>
                <w:color w:val="000000" w:themeColor="text1"/>
                <w:sz w:val="18"/>
                <w:szCs w:val="18"/>
                <w:lang w:eastAsia="ja-JP"/>
              </w:rPr>
              <w:t xml:space="preserve"> 3.7 %</w:t>
            </w:r>
          </w:p>
        </w:tc>
        <w:tc>
          <w:tcPr>
            <w:tcW w:w="3510" w:type="dxa"/>
            <w:vAlign w:val="center"/>
          </w:tcPr>
          <w:p w14:paraId="21943AF5"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98.8 – 98.9 %</w:t>
            </w:r>
          </w:p>
          <w:p w14:paraId="4EA68ADE"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RSD = 0.1 %</w:t>
            </w:r>
          </w:p>
        </w:tc>
      </w:tr>
      <w:tr w:rsidR="007B23ED" w:rsidRPr="005E6B7C" w14:paraId="6A4409BB" w14:textId="77777777" w:rsidTr="00466852">
        <w:trPr>
          <w:jc w:val="center"/>
        </w:trPr>
        <w:tc>
          <w:tcPr>
            <w:tcW w:w="3415" w:type="dxa"/>
            <w:vAlign w:val="center"/>
          </w:tcPr>
          <w:p w14:paraId="7C078374"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Level 3 (0.12 mg/mL or 1.6% (w/w) in plant samples, n = 3)</w:t>
            </w:r>
          </w:p>
        </w:tc>
        <w:tc>
          <w:tcPr>
            <w:tcW w:w="2520" w:type="dxa"/>
            <w:vAlign w:val="center"/>
          </w:tcPr>
          <w:p w14:paraId="474AE8EF"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97 – 103 %</w:t>
            </w:r>
          </w:p>
          <w:p w14:paraId="1FD6F2F7"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RSD </w:t>
            </w:r>
            <w:r w:rsidRPr="005E6B7C">
              <w:rPr>
                <w:rFonts w:asciiTheme="majorHAnsi" w:eastAsia="Yu Mincho" w:hAnsiTheme="majorHAnsi" w:cstheme="majorHAnsi"/>
                <w:color w:val="000000" w:themeColor="text1"/>
                <w:sz w:val="18"/>
                <w:szCs w:val="18"/>
                <w:lang w:eastAsia="ja-JP"/>
              </w:rPr>
              <w:sym w:font="Symbol" w:char="F0A3"/>
            </w:r>
            <w:r w:rsidRPr="005E6B7C">
              <w:rPr>
                <w:rFonts w:asciiTheme="majorHAnsi" w:eastAsia="Yu Mincho" w:hAnsiTheme="majorHAnsi" w:cstheme="majorHAnsi"/>
                <w:color w:val="000000" w:themeColor="text1"/>
                <w:sz w:val="18"/>
                <w:szCs w:val="18"/>
                <w:lang w:eastAsia="ja-JP"/>
              </w:rPr>
              <w:t xml:space="preserve"> 2.7 %</w:t>
            </w:r>
          </w:p>
        </w:tc>
        <w:tc>
          <w:tcPr>
            <w:tcW w:w="3510" w:type="dxa"/>
            <w:vAlign w:val="center"/>
          </w:tcPr>
          <w:p w14:paraId="1433B4EA"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Recovery rates: 99.2 – 101.4 %</w:t>
            </w:r>
          </w:p>
          <w:p w14:paraId="1EB03DEA"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RSD = 1.2 %</w:t>
            </w:r>
          </w:p>
        </w:tc>
      </w:tr>
      <w:tr w:rsidR="007B23ED" w:rsidRPr="005E6B7C" w14:paraId="06B33F1F" w14:textId="77777777" w:rsidTr="00466852">
        <w:trPr>
          <w:jc w:val="center"/>
        </w:trPr>
        <w:tc>
          <w:tcPr>
            <w:tcW w:w="3415" w:type="dxa"/>
            <w:vAlign w:val="center"/>
          </w:tcPr>
          <w:p w14:paraId="4F362EF6"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Precision</w:t>
            </w:r>
          </w:p>
        </w:tc>
        <w:tc>
          <w:tcPr>
            <w:tcW w:w="2520" w:type="dxa"/>
            <w:vAlign w:val="center"/>
          </w:tcPr>
          <w:p w14:paraId="6CB48003"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3510" w:type="dxa"/>
            <w:vAlign w:val="center"/>
          </w:tcPr>
          <w:p w14:paraId="639FDB77"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r>
      <w:tr w:rsidR="007B23ED" w:rsidRPr="005E6B7C" w14:paraId="0EAF0090" w14:textId="77777777" w:rsidTr="00466852">
        <w:trPr>
          <w:jc w:val="center"/>
        </w:trPr>
        <w:tc>
          <w:tcPr>
            <w:tcW w:w="3415" w:type="dxa"/>
            <w:vAlign w:val="center"/>
          </w:tcPr>
          <w:p w14:paraId="25894867"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Repeatability (n = 6, 1 analyst), gymnemagenin content in the sample was about 2% (w/w)</w:t>
            </w:r>
          </w:p>
        </w:tc>
        <w:tc>
          <w:tcPr>
            <w:tcW w:w="2520" w:type="dxa"/>
            <w:vAlign w:val="center"/>
          </w:tcPr>
          <w:p w14:paraId="1EAB5D7A"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RSD </w:t>
            </w:r>
            <w:r w:rsidRPr="005E6B7C">
              <w:rPr>
                <w:rFonts w:asciiTheme="majorHAnsi" w:eastAsia="Yu Mincho" w:hAnsiTheme="majorHAnsi" w:cstheme="majorHAnsi"/>
                <w:color w:val="000000" w:themeColor="text1"/>
                <w:sz w:val="18"/>
                <w:szCs w:val="18"/>
                <w:lang w:eastAsia="ja-JP"/>
              </w:rPr>
              <w:sym w:font="Symbol" w:char="F0A3"/>
            </w:r>
            <w:r w:rsidRPr="005E6B7C">
              <w:rPr>
                <w:rFonts w:asciiTheme="majorHAnsi" w:eastAsia="Yu Mincho" w:hAnsiTheme="majorHAnsi" w:cstheme="majorHAnsi"/>
                <w:color w:val="000000" w:themeColor="text1"/>
                <w:sz w:val="18"/>
                <w:szCs w:val="18"/>
                <w:lang w:eastAsia="ja-JP"/>
              </w:rPr>
              <w:t xml:space="preserve"> 2.7 %</w:t>
            </w:r>
          </w:p>
        </w:tc>
        <w:tc>
          <w:tcPr>
            <w:tcW w:w="3510" w:type="dxa"/>
            <w:vAlign w:val="center"/>
          </w:tcPr>
          <w:p w14:paraId="2F2DE4CB"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RSD = 0.8 %</w:t>
            </w:r>
          </w:p>
        </w:tc>
      </w:tr>
      <w:tr w:rsidR="007B23ED" w:rsidRPr="005E6B7C" w14:paraId="787A8EE9" w14:textId="77777777" w:rsidTr="00466852">
        <w:trPr>
          <w:jc w:val="center"/>
        </w:trPr>
        <w:tc>
          <w:tcPr>
            <w:tcW w:w="3415" w:type="dxa"/>
            <w:vAlign w:val="center"/>
          </w:tcPr>
          <w:p w14:paraId="6AB54C5B"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Intermediate precision (2 analysts, n = 6 for each analyst), gymnemagenin content in the sample was about 2% (w/w)</w:t>
            </w:r>
          </w:p>
        </w:tc>
        <w:tc>
          <w:tcPr>
            <w:tcW w:w="2520" w:type="dxa"/>
            <w:vAlign w:val="center"/>
          </w:tcPr>
          <w:p w14:paraId="483F3A2A"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RSD </w:t>
            </w:r>
            <w:r w:rsidRPr="005E6B7C">
              <w:rPr>
                <w:rFonts w:asciiTheme="majorHAnsi" w:eastAsia="Yu Mincho" w:hAnsiTheme="majorHAnsi" w:cstheme="majorHAnsi"/>
                <w:color w:val="000000" w:themeColor="text1"/>
                <w:sz w:val="18"/>
                <w:szCs w:val="18"/>
                <w:lang w:eastAsia="ja-JP"/>
              </w:rPr>
              <w:sym w:font="Symbol" w:char="F0A3"/>
            </w:r>
            <w:r w:rsidRPr="005E6B7C">
              <w:rPr>
                <w:rFonts w:asciiTheme="majorHAnsi" w:eastAsia="Yu Mincho" w:hAnsiTheme="majorHAnsi" w:cstheme="majorHAnsi"/>
                <w:color w:val="000000" w:themeColor="text1"/>
                <w:sz w:val="18"/>
                <w:szCs w:val="18"/>
                <w:lang w:eastAsia="ja-JP"/>
              </w:rPr>
              <w:t xml:space="preserve"> 2.7 %</w:t>
            </w:r>
          </w:p>
        </w:tc>
        <w:tc>
          <w:tcPr>
            <w:tcW w:w="3510" w:type="dxa"/>
            <w:vAlign w:val="center"/>
          </w:tcPr>
          <w:p w14:paraId="3CA747CE"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RSD = 2.2 %</w:t>
            </w:r>
          </w:p>
        </w:tc>
      </w:tr>
      <w:tr w:rsidR="007B23ED" w:rsidRPr="005E6B7C" w14:paraId="2DB29B49" w14:textId="77777777" w:rsidTr="00466852">
        <w:trPr>
          <w:jc w:val="center"/>
        </w:trPr>
        <w:tc>
          <w:tcPr>
            <w:tcW w:w="3415" w:type="dxa"/>
            <w:vAlign w:val="center"/>
          </w:tcPr>
          <w:p w14:paraId="10C98220"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LOQ</w:t>
            </w:r>
          </w:p>
        </w:tc>
        <w:tc>
          <w:tcPr>
            <w:tcW w:w="2520" w:type="dxa"/>
            <w:vAlign w:val="center"/>
          </w:tcPr>
          <w:p w14:paraId="1D91B44F"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3510" w:type="dxa"/>
            <w:vAlign w:val="center"/>
          </w:tcPr>
          <w:p w14:paraId="79BEF464"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 xml:space="preserve">1.1 </w:t>
            </w:r>
            <w:r w:rsidRPr="005E6B7C">
              <w:rPr>
                <w:rFonts w:asciiTheme="majorHAnsi" w:eastAsia="Yu Mincho" w:hAnsiTheme="majorHAnsi" w:cstheme="majorHAnsi"/>
                <w:color w:val="000000" w:themeColor="text1"/>
                <w:sz w:val="18"/>
                <w:szCs w:val="18"/>
                <w:lang w:eastAsia="ja-JP"/>
              </w:rPr>
              <w:sym w:font="Symbol" w:char="F06D"/>
            </w:r>
            <w:r w:rsidRPr="005E6B7C">
              <w:rPr>
                <w:rFonts w:asciiTheme="majorHAnsi" w:eastAsia="Yu Mincho" w:hAnsiTheme="majorHAnsi" w:cstheme="majorHAnsi"/>
                <w:color w:val="000000" w:themeColor="text1"/>
                <w:sz w:val="18"/>
                <w:szCs w:val="18"/>
                <w:lang w:eastAsia="ja-JP"/>
              </w:rPr>
              <w:t>g/mL (equivalent to gymnemagenin content about 1.4*10</w:t>
            </w:r>
            <w:r w:rsidRPr="005E6B7C">
              <w:rPr>
                <w:rFonts w:asciiTheme="majorHAnsi" w:eastAsia="Yu Mincho" w:hAnsiTheme="majorHAnsi" w:cstheme="majorHAnsi"/>
                <w:color w:val="000000" w:themeColor="text1"/>
                <w:sz w:val="18"/>
                <w:szCs w:val="18"/>
                <w:vertAlign w:val="superscript"/>
                <w:lang w:eastAsia="ja-JP"/>
              </w:rPr>
              <w:t>-2</w:t>
            </w:r>
            <w:r w:rsidRPr="005E6B7C">
              <w:rPr>
                <w:rFonts w:asciiTheme="majorHAnsi" w:eastAsia="Yu Mincho" w:hAnsiTheme="majorHAnsi" w:cstheme="majorHAnsi"/>
                <w:color w:val="000000" w:themeColor="text1"/>
                <w:sz w:val="18"/>
                <w:szCs w:val="18"/>
                <w:lang w:eastAsia="ja-JP"/>
              </w:rPr>
              <w:t xml:space="preserve"> % (w/w) in plant samples)</w:t>
            </w:r>
          </w:p>
        </w:tc>
      </w:tr>
      <w:tr w:rsidR="007B23ED" w:rsidRPr="005E6B7C" w14:paraId="1611821B" w14:textId="77777777" w:rsidTr="00466852">
        <w:trPr>
          <w:jc w:val="center"/>
        </w:trPr>
        <w:tc>
          <w:tcPr>
            <w:tcW w:w="3415" w:type="dxa"/>
            <w:vAlign w:val="center"/>
          </w:tcPr>
          <w:p w14:paraId="37FC1C35"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LOD</w:t>
            </w:r>
          </w:p>
        </w:tc>
        <w:tc>
          <w:tcPr>
            <w:tcW w:w="2520" w:type="dxa"/>
            <w:vAlign w:val="center"/>
          </w:tcPr>
          <w:p w14:paraId="5DD2EB2E"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lang w:eastAsia="ja-JP"/>
              </w:rPr>
            </w:pPr>
          </w:p>
        </w:tc>
        <w:tc>
          <w:tcPr>
            <w:tcW w:w="3510" w:type="dxa"/>
            <w:vAlign w:val="center"/>
          </w:tcPr>
          <w:p w14:paraId="7F9519F3" w14:textId="77777777" w:rsidR="007B23ED" w:rsidRPr="005E6B7C" w:rsidRDefault="007B23ED" w:rsidP="00466852">
            <w:pPr>
              <w:tabs>
                <w:tab w:val="left" w:pos="270"/>
                <w:tab w:val="left" w:pos="540"/>
                <w:tab w:val="left" w:pos="9270"/>
              </w:tabs>
              <w:spacing w:line="180" w:lineRule="exact"/>
              <w:ind w:right="-20"/>
              <w:contextualSpacing/>
              <w:jc w:val="both"/>
              <w:rPr>
                <w:rFonts w:asciiTheme="majorHAnsi" w:eastAsia="Yu Mincho" w:hAnsiTheme="majorHAnsi" w:cstheme="majorHAnsi"/>
                <w:color w:val="000000" w:themeColor="text1"/>
                <w:sz w:val="18"/>
                <w:szCs w:val="18"/>
                <w:vertAlign w:val="superscript"/>
                <w:lang w:eastAsia="ja-JP"/>
              </w:rPr>
            </w:pPr>
            <w:r w:rsidRPr="005E6B7C">
              <w:rPr>
                <w:rFonts w:asciiTheme="majorHAnsi" w:eastAsia="Yu Mincho" w:hAnsiTheme="majorHAnsi" w:cstheme="majorHAnsi"/>
                <w:color w:val="000000" w:themeColor="text1"/>
                <w:sz w:val="18"/>
                <w:szCs w:val="18"/>
                <w:lang w:eastAsia="ja-JP"/>
              </w:rPr>
              <w:t xml:space="preserve">0.6 </w:t>
            </w:r>
            <w:r w:rsidRPr="005E6B7C">
              <w:rPr>
                <w:rFonts w:asciiTheme="majorHAnsi" w:eastAsia="Yu Mincho" w:hAnsiTheme="majorHAnsi" w:cstheme="majorHAnsi"/>
                <w:color w:val="000000" w:themeColor="text1"/>
                <w:sz w:val="18"/>
                <w:szCs w:val="18"/>
                <w:lang w:eastAsia="ja-JP"/>
              </w:rPr>
              <w:sym w:font="Symbol" w:char="F06D"/>
            </w:r>
            <w:r w:rsidRPr="005E6B7C">
              <w:rPr>
                <w:rFonts w:asciiTheme="majorHAnsi" w:eastAsia="Yu Mincho" w:hAnsiTheme="majorHAnsi" w:cstheme="majorHAnsi"/>
                <w:color w:val="000000" w:themeColor="text1"/>
                <w:sz w:val="18"/>
                <w:szCs w:val="18"/>
                <w:lang w:eastAsia="ja-JP"/>
              </w:rPr>
              <w:t>g/mL (equivalent to gymnemagenin content about 0.8*10</w:t>
            </w:r>
            <w:r w:rsidRPr="005E6B7C">
              <w:rPr>
                <w:rFonts w:asciiTheme="majorHAnsi" w:eastAsia="Yu Mincho" w:hAnsiTheme="majorHAnsi" w:cstheme="majorHAnsi"/>
                <w:color w:val="000000" w:themeColor="text1"/>
                <w:sz w:val="18"/>
                <w:szCs w:val="18"/>
                <w:vertAlign w:val="superscript"/>
                <w:lang w:eastAsia="ja-JP"/>
              </w:rPr>
              <w:t>-2</w:t>
            </w:r>
            <w:r w:rsidRPr="005E6B7C">
              <w:rPr>
                <w:rFonts w:asciiTheme="majorHAnsi" w:eastAsia="Yu Mincho" w:hAnsiTheme="majorHAnsi" w:cstheme="majorHAnsi"/>
                <w:color w:val="000000" w:themeColor="text1"/>
                <w:sz w:val="18"/>
                <w:szCs w:val="18"/>
                <w:lang w:eastAsia="ja-JP"/>
              </w:rPr>
              <w:t xml:space="preserve"> % (w/w) in plant samples)</w:t>
            </w:r>
          </w:p>
        </w:tc>
      </w:tr>
    </w:tbl>
    <w:p w14:paraId="38B8FEFB"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bCs/>
          <w:i/>
          <w:color w:val="000000" w:themeColor="text1"/>
          <w:sz w:val="22"/>
          <w:szCs w:val="22"/>
          <w:lang w:eastAsia="ja-JP"/>
        </w:rPr>
      </w:pPr>
    </w:p>
    <w:p w14:paraId="2C1AAD5D"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16799BE2"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3.2. Determination of some parameters for the incubation process</w:t>
      </w:r>
    </w:p>
    <w:p w14:paraId="525DF16F"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Preliminary studies were carried out to find a suitable ratio between the amount of plant sample and the volume of bacteria suspension, as well as the optimal incubation time to assess the impact of bacteria on the change of gymnemagenin content in plant samples.</w:t>
      </w:r>
    </w:p>
    <w:p w14:paraId="79042256"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preliminary studies, different portions of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(section 2.2.1) from sample G5/0 (containing 1.71% (w/w) of gymnemagenin, see Table 2) were incubated with either 20 mL, 50 mL, 70 mL, or 100 mL of </w:t>
      </w:r>
      <w:r w:rsidRPr="005E6B7C">
        <w:rPr>
          <w:rFonts w:asciiTheme="majorHAnsi" w:eastAsia="Yu Mincho" w:hAnsiTheme="majorHAnsi" w:cstheme="majorHAnsi"/>
          <w:i/>
          <w:color w:val="000000" w:themeColor="text1"/>
          <w:sz w:val="22"/>
          <w:szCs w:val="22"/>
          <w:lang w:eastAsia="ja-JP"/>
        </w:rPr>
        <w:t>bacteria suspensions</w:t>
      </w:r>
      <w:r w:rsidRPr="005E6B7C">
        <w:rPr>
          <w:rFonts w:asciiTheme="majorHAnsi" w:eastAsia="Yu Mincho" w:hAnsiTheme="majorHAnsi" w:cstheme="majorHAnsi"/>
          <w:color w:val="000000" w:themeColor="text1"/>
          <w:sz w:val="22"/>
          <w:szCs w:val="22"/>
          <w:lang w:eastAsia="ja-JP"/>
        </w:rPr>
        <w:t xml:space="preserve"> from each strain of bacteria for 10 days. After incubation, the gymnemagenin content was determined by the HPLC method. Experimental results (Fig. 3, A) showed that the gymnemagenin content after incubation increased when the volume of bacterial suspension increased from 20 </w:t>
      </w:r>
      <w:r w:rsidRPr="005E6B7C">
        <w:rPr>
          <w:rFonts w:asciiTheme="majorHAnsi" w:eastAsia="Yu Mincho" w:hAnsiTheme="majorHAnsi" w:cstheme="majorHAnsi"/>
          <w:color w:val="000000" w:themeColor="text1"/>
          <w:sz w:val="22"/>
          <w:szCs w:val="22"/>
          <w:lang w:eastAsia="ja-JP"/>
        </w:rPr>
        <w:t>mL to 70 mL, but comparing gymnemagenin contents after incubation with 4 bacterial strains (</w:t>
      </w:r>
      <w:r w:rsidRPr="005E6B7C">
        <w:rPr>
          <w:rFonts w:asciiTheme="majorHAnsi" w:eastAsia="Yu Mincho" w:hAnsiTheme="majorHAnsi" w:cstheme="majorHAnsi"/>
          <w:i/>
          <w:color w:val="000000" w:themeColor="text1"/>
          <w:sz w:val="22"/>
          <w:szCs w:val="22"/>
          <w:lang w:eastAsia="ja-JP"/>
        </w:rPr>
        <w:t>B. subtilis</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 xml:space="preserve"> B. bifidum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 xml:space="preserve"> L. casei</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L. rhamnosus</w:t>
      </w:r>
      <w:r w:rsidRPr="005E6B7C">
        <w:rPr>
          <w:rFonts w:asciiTheme="majorHAnsi" w:eastAsia="Yu Mincho" w:hAnsiTheme="majorHAnsi" w:cstheme="majorHAnsi"/>
          <w:color w:val="000000" w:themeColor="text1"/>
          <w:sz w:val="22"/>
          <w:szCs w:val="22"/>
          <w:lang w:eastAsia="ja-JP"/>
        </w:rPr>
        <w:t xml:space="preserve">) with 70 mL and with 100 mL of bacterial suspension, the difference was not statistically significant (P = 0.30 with paired t-test). From these results, it was clear that after 10 days of incubation, 70 mL of </w:t>
      </w:r>
      <w:r w:rsidRPr="005E6B7C">
        <w:rPr>
          <w:rFonts w:asciiTheme="majorHAnsi" w:eastAsia="Yu Mincho" w:hAnsiTheme="majorHAnsi" w:cstheme="majorHAnsi"/>
          <w:i/>
          <w:color w:val="000000" w:themeColor="text1"/>
          <w:sz w:val="22"/>
          <w:szCs w:val="22"/>
          <w:lang w:eastAsia="ja-JP"/>
        </w:rPr>
        <w:t>bacteria suspension</w:t>
      </w:r>
      <w:r w:rsidRPr="005E6B7C">
        <w:rPr>
          <w:rFonts w:asciiTheme="majorHAnsi" w:eastAsia="Yu Mincho" w:hAnsiTheme="majorHAnsi" w:cstheme="majorHAnsi"/>
          <w:color w:val="000000" w:themeColor="text1"/>
          <w:sz w:val="22"/>
          <w:szCs w:val="22"/>
          <w:lang w:eastAsia="ja-JP"/>
        </w:rPr>
        <w:t xml:space="preserve"> was sufficient to transform all types of gymnemic acids available in the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into gymnemagenin, and when higher volumes of bacteria suspension were used, the surplus of bacteria produced no further increase of gymnemagenin because gymnemic acids in the sample had completely been hydrolyzed to form gymnemagenin. So in further experimental works, the ratio of 70 mL of </w:t>
      </w:r>
      <w:r w:rsidRPr="005E6B7C">
        <w:rPr>
          <w:rFonts w:asciiTheme="majorHAnsi" w:eastAsia="Yu Mincho" w:hAnsiTheme="majorHAnsi" w:cstheme="majorHAnsi"/>
          <w:i/>
          <w:color w:val="000000" w:themeColor="text1"/>
          <w:sz w:val="22"/>
          <w:szCs w:val="22"/>
          <w:lang w:eastAsia="ja-JP"/>
        </w:rPr>
        <w:t>bacteria suspension</w:t>
      </w:r>
      <w:r w:rsidRPr="005E6B7C">
        <w:rPr>
          <w:rFonts w:asciiTheme="majorHAnsi" w:eastAsia="Yu Mincho" w:hAnsiTheme="majorHAnsi" w:cstheme="majorHAnsi"/>
          <w:color w:val="000000" w:themeColor="text1"/>
          <w:sz w:val="22"/>
          <w:szCs w:val="22"/>
          <w:lang w:eastAsia="ja-JP"/>
        </w:rPr>
        <w:t xml:space="preserve"> for one portion of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was consistently used.</w:t>
      </w:r>
    </w:p>
    <w:p w14:paraId="2EA6367A"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num="2" w:space="284"/>
          <w:docGrid w:linePitch="360"/>
        </w:sectPr>
      </w:pPr>
    </w:p>
    <w:p w14:paraId="3984BC44"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bCs/>
          <w:color w:val="000000" w:themeColor="text1"/>
          <w:sz w:val="18"/>
          <w:szCs w:val="18"/>
          <w:lang w:eastAsia="ja-JP"/>
        </w:rPr>
      </w:pPr>
    </w:p>
    <w:p w14:paraId="34373D4B"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3FD73AF7" wp14:editId="3EFDEF45">
            <wp:extent cx="2599898" cy="157371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6" cstate="print">
                      <a:extLst>
                        <a:ext uri="{BEBA8EAE-BF5A-486C-A8C5-ECC9F3942E4B}">
                          <a14:imgProps xmlns:a14="http://schemas.microsoft.com/office/drawing/2010/main">
                            <a14:imgLayer r:embed="rId14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01608" cy="1574749"/>
                    </a:xfrm>
                    <a:prstGeom prst="rect">
                      <a:avLst/>
                    </a:prstGeom>
                  </pic:spPr>
                </pic:pic>
              </a:graphicData>
            </a:graphic>
          </wp:inline>
        </w:drawing>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b/>
          <w:bCs/>
          <w:noProof/>
          <w:color w:val="000000" w:themeColor="text1"/>
          <w:sz w:val="18"/>
          <w:szCs w:val="18"/>
        </w:rPr>
        <w:drawing>
          <wp:inline distT="0" distB="0" distL="0" distR="0" wp14:anchorId="2ED1063B" wp14:editId="23E8C8F2">
            <wp:extent cx="2975516" cy="1583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8" cstate="print">
                      <a:extLst>
                        <a:ext uri="{BEBA8EAE-BF5A-486C-A8C5-ECC9F3942E4B}">
                          <a14:imgProps xmlns:a14="http://schemas.microsoft.com/office/drawing/2010/main">
                            <a14:imgLayer r:embed="rId14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82168" cy="1586679"/>
                    </a:xfrm>
                    <a:prstGeom prst="rect">
                      <a:avLst/>
                    </a:prstGeom>
                  </pic:spPr>
                </pic:pic>
              </a:graphicData>
            </a:graphic>
          </wp:inline>
        </w:drawing>
      </w:r>
    </w:p>
    <w:p w14:paraId="46372FC0" w14:textId="77777777" w:rsidR="007B23ED" w:rsidRPr="005E6B7C" w:rsidRDefault="007B23ED" w:rsidP="007B23ED">
      <w:pPr>
        <w:spacing w:before="120"/>
        <w:jc w:val="center"/>
        <w:rPr>
          <w:sz w:val="18"/>
          <w:szCs w:val="18"/>
        </w:rPr>
      </w:pPr>
      <w:r w:rsidRPr="005E6B7C">
        <w:rPr>
          <w:b/>
          <w:sz w:val="18"/>
          <w:szCs w:val="18"/>
        </w:rPr>
        <w:t>Fig. 3.</w:t>
      </w:r>
      <w:r w:rsidRPr="005E6B7C">
        <w:rPr>
          <w:sz w:val="18"/>
          <w:szCs w:val="18"/>
        </w:rPr>
        <w:t xml:space="preserve"> Preliminary results on bacteria suspension volume (A) and incubation time (B).</w:t>
      </w:r>
    </w:p>
    <w:p w14:paraId="4E2FB9DB"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eastAsia="ja-JP"/>
        </w:rPr>
      </w:pPr>
    </w:p>
    <w:p w14:paraId="17F9EFFC"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6A785FD3"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terms of incubation time, different portions </w:t>
      </w:r>
      <w:r w:rsidRPr="005E6B7C">
        <w:rPr>
          <w:rFonts w:asciiTheme="majorHAnsi" w:eastAsia="Yu Mincho" w:hAnsiTheme="majorHAnsi" w:cstheme="majorHAnsi"/>
          <w:color w:val="000000" w:themeColor="text1"/>
          <w:sz w:val="22"/>
          <w:szCs w:val="22"/>
          <w:lang w:eastAsia="ja-JP"/>
        </w:rPr>
        <w:t xml:space="preserve">of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were incubated with 70 mL </w:t>
      </w:r>
      <w:r w:rsidRPr="005E6B7C">
        <w:rPr>
          <w:rFonts w:asciiTheme="majorHAnsi" w:eastAsia="Yu Mincho" w:hAnsiTheme="majorHAnsi" w:cstheme="majorHAnsi"/>
          <w:i/>
          <w:color w:val="000000" w:themeColor="text1"/>
          <w:sz w:val="22"/>
          <w:szCs w:val="22"/>
          <w:lang w:eastAsia="ja-JP"/>
        </w:rPr>
        <w:lastRenderedPageBreak/>
        <w:t>bacteria suspension</w:t>
      </w:r>
      <w:r w:rsidRPr="005E6B7C">
        <w:rPr>
          <w:rFonts w:asciiTheme="majorHAnsi" w:eastAsia="Yu Mincho" w:hAnsiTheme="majorHAnsi" w:cstheme="majorHAnsi"/>
          <w:color w:val="000000" w:themeColor="text1"/>
          <w:sz w:val="22"/>
          <w:szCs w:val="22"/>
          <w:lang w:eastAsia="ja-JP"/>
        </w:rPr>
        <w:t xml:space="preserve"> of each bacteria strain for 2 days, 5 days, 8 days, and 10 days. Experimental results (Fig. 3, B) showed that the content of gymnemagenin increased when incubation time prolonged from 2 days to 8 days, but the gymnemagenin contents in sample obtained after incubation with the 4 strain of bacteria in 8 days and in 10 days did not differ significantly one from another (P = 0.58 with paired t-test), meaning no significant increase in gymnemagenin content was gained when incubation time went longer than 8 days. It meant that after 8 days, all the content of gymnemic acid in the sample preparation had been hydrolyzed to form gymnemagenin, and incubation times longer than 8 days were not necessary. So, the incubation time was fixed at 8 days for all further experimental studies.</w:t>
      </w:r>
    </w:p>
    <w:p w14:paraId="27011438"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These results also pointed out that with </w:t>
      </w:r>
      <w:r w:rsidRPr="005E6B7C">
        <w:rPr>
          <w:rFonts w:asciiTheme="majorHAnsi" w:eastAsia="Yu Mincho" w:hAnsiTheme="majorHAnsi" w:cstheme="majorHAnsi"/>
          <w:i/>
          <w:color w:val="000000" w:themeColor="text1"/>
          <w:sz w:val="22"/>
          <w:szCs w:val="22"/>
          <w:lang w:eastAsia="ja-JP"/>
        </w:rPr>
        <w:t>a bacterial suspension</w:t>
      </w:r>
      <w:r w:rsidRPr="005E6B7C">
        <w:rPr>
          <w:rFonts w:asciiTheme="majorHAnsi" w:eastAsia="Yu Mincho" w:hAnsiTheme="majorHAnsi" w:cstheme="majorHAnsi"/>
          <w:color w:val="000000" w:themeColor="text1"/>
          <w:sz w:val="22"/>
          <w:szCs w:val="22"/>
          <w:lang w:eastAsia="ja-JP"/>
        </w:rPr>
        <w:t xml:space="preserve"> initially containing 10</w:t>
      </w:r>
      <w:r w:rsidRPr="005E6B7C">
        <w:rPr>
          <w:rFonts w:asciiTheme="majorHAnsi" w:eastAsia="Yu Mincho" w:hAnsiTheme="majorHAnsi" w:cstheme="majorHAnsi"/>
          <w:color w:val="000000" w:themeColor="text1"/>
          <w:sz w:val="22"/>
          <w:szCs w:val="22"/>
          <w:vertAlign w:val="superscript"/>
          <w:lang w:eastAsia="ja-JP"/>
        </w:rPr>
        <w:t>8</w:t>
      </w:r>
      <w:r w:rsidRPr="005E6B7C">
        <w:rPr>
          <w:rFonts w:asciiTheme="majorHAnsi" w:eastAsia="Yu Mincho" w:hAnsiTheme="majorHAnsi" w:cstheme="majorHAnsi"/>
          <w:color w:val="000000" w:themeColor="text1"/>
          <w:sz w:val="22"/>
          <w:szCs w:val="22"/>
          <w:lang w:eastAsia="ja-JP"/>
        </w:rPr>
        <w:t xml:space="preserve"> CFU/ml, the content of gymnemagenin in samples began to increase fast only after 5 days of incubation. This observation was similar for all four bacterial strains, so the biotransformation rate to form gymnemagenin did not depend on the nature of the bacterial strain, but rather depended on the initial amount of bacteria in suspension and the growth rate of bacteria as a function of incubation time. However, it is necessary to carry out further study with different initial amounts of bacteria to find out more clearly the relation between the initial number of bacteria and the biotransformation rate in order to optimize the gain of gymnemagenin content and to reduce </w:t>
      </w:r>
      <w:r w:rsidRPr="005E6B7C">
        <w:rPr>
          <w:rFonts w:asciiTheme="majorHAnsi" w:eastAsia="Yu Mincho" w:hAnsiTheme="majorHAnsi" w:cstheme="majorHAnsi"/>
          <w:color w:val="000000" w:themeColor="text1"/>
          <w:sz w:val="22"/>
          <w:szCs w:val="22"/>
          <w:lang w:eastAsia="ja-JP"/>
        </w:rPr>
        <w:t>incubation time.</w:t>
      </w:r>
    </w:p>
    <w:p w14:paraId="6F7177C4"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this study, based on the results of preliminary studies, the incubation time was fixed at 8 days, and the volume of </w:t>
      </w:r>
      <w:r w:rsidRPr="005E6B7C">
        <w:rPr>
          <w:rFonts w:asciiTheme="majorHAnsi" w:eastAsia="Yu Mincho" w:hAnsiTheme="majorHAnsi" w:cstheme="majorHAnsi"/>
          <w:i/>
          <w:color w:val="000000" w:themeColor="text1"/>
          <w:sz w:val="22"/>
          <w:szCs w:val="22"/>
          <w:lang w:eastAsia="ja-JP"/>
        </w:rPr>
        <w:t>bacteria suspension</w:t>
      </w:r>
      <w:r w:rsidRPr="005E6B7C">
        <w:rPr>
          <w:rFonts w:asciiTheme="majorHAnsi" w:eastAsia="Yu Mincho" w:hAnsiTheme="majorHAnsi" w:cstheme="majorHAnsi"/>
          <w:color w:val="000000" w:themeColor="text1"/>
          <w:sz w:val="22"/>
          <w:szCs w:val="22"/>
          <w:lang w:eastAsia="ja-JP"/>
        </w:rPr>
        <w:t xml:space="preserve"> was selected at 70 mL per </w:t>
      </w:r>
      <w:r w:rsidRPr="005E6B7C">
        <w:rPr>
          <w:rFonts w:asciiTheme="majorHAnsi" w:eastAsia="Yu Mincho" w:hAnsiTheme="majorHAnsi" w:cstheme="majorHAnsi"/>
          <w:i/>
          <w:color w:val="000000" w:themeColor="text1"/>
          <w:sz w:val="22"/>
          <w:szCs w:val="22"/>
          <w:lang w:eastAsia="ja-JP"/>
        </w:rPr>
        <w:t>sample preparation</w:t>
      </w:r>
      <w:r w:rsidRPr="005E6B7C">
        <w:rPr>
          <w:rFonts w:asciiTheme="majorHAnsi" w:eastAsia="Yu Mincho" w:hAnsiTheme="majorHAnsi" w:cstheme="majorHAnsi"/>
          <w:color w:val="000000" w:themeColor="text1"/>
          <w:sz w:val="22"/>
          <w:szCs w:val="22"/>
          <w:lang w:eastAsia="ja-JP"/>
        </w:rPr>
        <w:t xml:space="preserve"> for further studies.</w:t>
      </w:r>
    </w:p>
    <w:p w14:paraId="6F0C88B8"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bCs/>
          <w:i/>
          <w:color w:val="000000" w:themeColor="text1"/>
          <w:sz w:val="22"/>
          <w:szCs w:val="22"/>
          <w:lang w:eastAsia="ja-JP"/>
        </w:rPr>
      </w:pPr>
      <w:r w:rsidRPr="005E6B7C">
        <w:rPr>
          <w:rFonts w:asciiTheme="majorHAnsi" w:eastAsia="Yu Mincho" w:hAnsiTheme="majorHAnsi" w:cstheme="majorHAnsi"/>
          <w:bCs/>
          <w:i/>
          <w:color w:val="000000" w:themeColor="text1"/>
          <w:sz w:val="22"/>
          <w:szCs w:val="22"/>
          <w:lang w:eastAsia="ja-JP"/>
        </w:rPr>
        <w:t>3.3. Evaluation the impact of bacteria on gymnemagenin content</w:t>
      </w:r>
    </w:p>
    <w:p w14:paraId="4EE5F80C"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After 8 days of incubation, gymnemagenin content of all 4 samples (both </w:t>
      </w:r>
      <w:r w:rsidRPr="005E6B7C">
        <w:rPr>
          <w:rFonts w:asciiTheme="majorHAnsi" w:eastAsia="Yu Mincho" w:hAnsiTheme="majorHAnsi" w:cstheme="majorHAnsi"/>
          <w:i/>
          <w:color w:val="000000" w:themeColor="text1"/>
          <w:spacing w:val="-4"/>
          <w:sz w:val="22"/>
          <w:szCs w:val="22"/>
          <w:lang w:eastAsia="ja-JP"/>
        </w:rPr>
        <w:t>G.sylvestre</w:t>
      </w:r>
      <w:r w:rsidRPr="005E6B7C">
        <w:rPr>
          <w:rFonts w:asciiTheme="majorHAnsi" w:eastAsia="Yu Mincho" w:hAnsiTheme="majorHAnsi" w:cstheme="majorHAnsi"/>
          <w:color w:val="000000" w:themeColor="text1"/>
          <w:spacing w:val="-4"/>
          <w:sz w:val="22"/>
          <w:szCs w:val="22"/>
          <w:lang w:eastAsia="ja-JP"/>
        </w:rPr>
        <w:t xml:space="preserve"> ones and </w:t>
      </w:r>
      <w:r w:rsidRPr="005E6B7C">
        <w:rPr>
          <w:rFonts w:asciiTheme="majorHAnsi" w:eastAsia="Yu Mincho" w:hAnsiTheme="majorHAnsi" w:cstheme="majorHAnsi"/>
          <w:i/>
          <w:color w:val="000000" w:themeColor="text1"/>
          <w:spacing w:val="-4"/>
          <w:sz w:val="22"/>
          <w:szCs w:val="22"/>
          <w:lang w:eastAsia="ja-JP"/>
        </w:rPr>
        <w:t>G. latifolium</w:t>
      </w:r>
      <w:r w:rsidRPr="005E6B7C">
        <w:rPr>
          <w:rFonts w:asciiTheme="majorHAnsi" w:eastAsia="Yu Mincho" w:hAnsiTheme="majorHAnsi" w:cstheme="majorHAnsi"/>
          <w:color w:val="000000" w:themeColor="text1"/>
          <w:spacing w:val="-4"/>
          <w:sz w:val="22"/>
          <w:szCs w:val="22"/>
          <w:lang w:eastAsia="ja-JP"/>
        </w:rPr>
        <w:t xml:space="preserve"> ones) was increased with all 4 strains of bacteria (Table 2 and Fig. 4). However, the mean value of gymnemagenin content calculated on the 4 tested samples after incubation with </w:t>
      </w:r>
      <w:r w:rsidRPr="005E6B7C">
        <w:rPr>
          <w:rFonts w:asciiTheme="majorHAnsi" w:eastAsia="Yu Mincho" w:hAnsiTheme="majorHAnsi" w:cstheme="majorHAnsi"/>
          <w:i/>
          <w:color w:val="000000" w:themeColor="text1"/>
          <w:spacing w:val="-4"/>
          <w:sz w:val="22"/>
          <w:szCs w:val="22"/>
          <w:lang w:eastAsia="ja-JP"/>
        </w:rPr>
        <w:t>B. subtilis</w:t>
      </w:r>
      <w:r w:rsidRPr="005E6B7C">
        <w:rPr>
          <w:rFonts w:asciiTheme="majorHAnsi" w:eastAsia="Yu Mincho" w:hAnsiTheme="majorHAnsi" w:cstheme="majorHAnsi"/>
          <w:color w:val="000000" w:themeColor="text1"/>
          <w:spacing w:val="-4"/>
          <w:sz w:val="22"/>
          <w:szCs w:val="22"/>
          <w:lang w:eastAsia="ja-JP"/>
        </w:rPr>
        <w:t xml:space="preserve"> did not increase significantly (P = 0.07 with paired t-test). Therefore, within the scope of results obtained in this study, only </w:t>
      </w:r>
      <w:r w:rsidRPr="005E6B7C">
        <w:rPr>
          <w:rFonts w:asciiTheme="majorHAnsi" w:eastAsia="Yu Mincho" w:hAnsiTheme="majorHAnsi" w:cstheme="majorHAnsi"/>
          <w:i/>
          <w:color w:val="000000" w:themeColor="text1"/>
          <w:spacing w:val="-4"/>
          <w:sz w:val="22"/>
          <w:szCs w:val="22"/>
          <w:lang w:eastAsia="ja-JP"/>
        </w:rPr>
        <w:t>B.bifidum</w:t>
      </w:r>
      <w:r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i/>
          <w:color w:val="000000" w:themeColor="text1"/>
          <w:spacing w:val="-4"/>
          <w:sz w:val="22"/>
          <w:szCs w:val="22"/>
          <w:lang w:eastAsia="ja-JP"/>
        </w:rPr>
        <w:t>L.casei</w:t>
      </w:r>
      <w:r w:rsidRPr="005E6B7C">
        <w:rPr>
          <w:rFonts w:asciiTheme="majorHAnsi" w:eastAsia="Yu Mincho" w:hAnsiTheme="majorHAnsi" w:cstheme="majorHAnsi"/>
          <w:color w:val="000000" w:themeColor="text1"/>
          <w:spacing w:val="-4"/>
          <w:sz w:val="22"/>
          <w:szCs w:val="22"/>
          <w:lang w:eastAsia="ja-JP"/>
        </w:rPr>
        <w:t xml:space="preserve">, and </w:t>
      </w:r>
      <w:r w:rsidRPr="005E6B7C">
        <w:rPr>
          <w:rFonts w:asciiTheme="majorHAnsi" w:eastAsia="Yu Mincho" w:hAnsiTheme="majorHAnsi" w:cstheme="majorHAnsi"/>
          <w:i/>
          <w:color w:val="000000" w:themeColor="text1"/>
          <w:spacing w:val="-4"/>
          <w:sz w:val="22"/>
          <w:szCs w:val="22"/>
          <w:lang w:eastAsia="ja-JP"/>
        </w:rPr>
        <w:t>L.rhamnosus</w:t>
      </w:r>
      <w:r w:rsidRPr="005E6B7C">
        <w:rPr>
          <w:rFonts w:asciiTheme="majorHAnsi" w:eastAsia="Yu Mincho" w:hAnsiTheme="majorHAnsi" w:cstheme="majorHAnsi"/>
          <w:color w:val="000000" w:themeColor="text1"/>
          <w:spacing w:val="-4"/>
          <w:sz w:val="22"/>
          <w:szCs w:val="22"/>
          <w:lang w:eastAsia="ja-JP"/>
        </w:rPr>
        <w:t xml:space="preserve"> helped increase the gymnemagenin content in the tested samples significantly after incubation.</w:t>
      </w:r>
    </w:p>
    <w:p w14:paraId="6769D247"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eastAsia="ja-JP"/>
        </w:rPr>
      </w:pPr>
    </w:p>
    <w:p w14:paraId="61B4D98A" w14:textId="77777777" w:rsidR="007B23ED" w:rsidRPr="005E6B7C" w:rsidRDefault="007B23ED" w:rsidP="007B23ED">
      <w:pPr>
        <w:tabs>
          <w:tab w:val="left" w:pos="270"/>
          <w:tab w:val="left" w:pos="540"/>
          <w:tab w:val="left" w:pos="9270"/>
        </w:tabs>
        <w:ind w:right="-20"/>
        <w:contextualSpacing/>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rPr>
        <w:drawing>
          <wp:inline distT="0" distB="0" distL="0" distR="0" wp14:anchorId="3471B8A4" wp14:editId="09C5456C">
            <wp:extent cx="2596584" cy="1587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50" cstate="print">
                      <a:extLst>
                        <a:ext uri="{BEBA8EAE-BF5A-486C-A8C5-ECC9F3942E4B}">
                          <a14:imgProps xmlns:a14="http://schemas.microsoft.com/office/drawing/2010/main">
                            <a14:imgLayer r:embed="rId15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96453" cy="1587420"/>
                    </a:xfrm>
                    <a:prstGeom prst="rect">
                      <a:avLst/>
                    </a:prstGeom>
                  </pic:spPr>
                </pic:pic>
              </a:graphicData>
            </a:graphic>
          </wp:inline>
        </w:drawing>
      </w:r>
    </w:p>
    <w:p w14:paraId="720A649D"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b/>
          <w:bCs/>
          <w:color w:val="000000" w:themeColor="text1"/>
          <w:sz w:val="8"/>
          <w:szCs w:val="18"/>
          <w:lang w:eastAsia="ja-JP"/>
        </w:rPr>
      </w:pPr>
    </w:p>
    <w:p w14:paraId="13C2C0F1" w14:textId="77777777" w:rsidR="007B23ED" w:rsidRPr="005E6B7C" w:rsidRDefault="007B23ED" w:rsidP="007B23ED">
      <w:pPr>
        <w:tabs>
          <w:tab w:val="left" w:pos="270"/>
          <w:tab w:val="left" w:pos="540"/>
          <w:tab w:val="left" w:pos="9270"/>
        </w:tabs>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4. </w:t>
      </w:r>
      <w:r w:rsidRPr="005E6B7C">
        <w:rPr>
          <w:rFonts w:asciiTheme="majorHAnsi" w:eastAsia="Yu Mincho" w:hAnsiTheme="majorHAnsi" w:cstheme="majorHAnsi"/>
          <w:color w:val="000000" w:themeColor="text1"/>
          <w:sz w:val="18"/>
          <w:szCs w:val="18"/>
          <w:lang w:eastAsia="ja-JP"/>
        </w:rPr>
        <w:t>Increase of gymnemagenin content (%, w/w) in samples after incubation</w:t>
      </w:r>
    </w:p>
    <w:p w14:paraId="3170923A" w14:textId="77777777" w:rsidR="007B23ED" w:rsidRPr="005E6B7C" w:rsidRDefault="007B23ED" w:rsidP="007B23ED">
      <w:pPr>
        <w:tabs>
          <w:tab w:val="left" w:pos="270"/>
          <w:tab w:val="left" w:pos="540"/>
          <w:tab w:val="left" w:pos="9270"/>
        </w:tabs>
        <w:contextualSpacing/>
        <w:jc w:val="both"/>
        <w:rPr>
          <w:rFonts w:asciiTheme="majorHAnsi" w:eastAsia="Yu Mincho" w:hAnsiTheme="majorHAnsi" w:cstheme="majorHAnsi"/>
          <w:color w:val="000000" w:themeColor="text1"/>
          <w:sz w:val="18"/>
          <w:szCs w:val="18"/>
          <w:lang w:eastAsia="ja-JP"/>
        </w:rPr>
        <w:sectPr w:rsidR="007B23ED" w:rsidRPr="005E6B7C" w:rsidSect="007B23ED">
          <w:type w:val="continuous"/>
          <w:pgSz w:w="10773" w:h="15309" w:code="9"/>
          <w:pgMar w:top="907" w:right="851" w:bottom="1418" w:left="851" w:header="397" w:footer="851" w:gutter="0"/>
          <w:cols w:num="2" w:space="284"/>
          <w:docGrid w:linePitch="360"/>
        </w:sectPr>
      </w:pPr>
    </w:p>
    <w:p w14:paraId="46A68925" w14:textId="77777777" w:rsidR="007B23ED" w:rsidRPr="005E6B7C" w:rsidRDefault="007B23ED" w:rsidP="007B23ED">
      <w:pPr>
        <w:spacing w:before="120" w:after="120"/>
        <w:jc w:val="center"/>
        <w:rPr>
          <w:sz w:val="18"/>
          <w:szCs w:val="18"/>
        </w:rPr>
      </w:pPr>
      <w:r w:rsidRPr="005E6B7C">
        <w:rPr>
          <w:b/>
          <w:sz w:val="18"/>
          <w:szCs w:val="18"/>
        </w:rPr>
        <w:t>Table 2.</w:t>
      </w:r>
      <w:r w:rsidRPr="005E6B7C">
        <w:rPr>
          <w:sz w:val="18"/>
          <w:szCs w:val="18"/>
        </w:rPr>
        <w:t xml:space="preserve"> Content of gymnemagenin in samples before and after incubation</w:t>
      </w:r>
    </w:p>
    <w:tbl>
      <w:tblPr>
        <w:tblStyle w:val="TableGrid10"/>
        <w:tblW w:w="9072" w:type="dxa"/>
        <w:jc w:val="center"/>
        <w:tblLayout w:type="fixed"/>
        <w:tblLook w:val="04A0" w:firstRow="1" w:lastRow="0" w:firstColumn="1" w:lastColumn="0" w:noHBand="0" w:noVBand="1"/>
      </w:tblPr>
      <w:tblGrid>
        <w:gridCol w:w="1921"/>
        <w:gridCol w:w="1559"/>
        <w:gridCol w:w="1327"/>
        <w:gridCol w:w="1327"/>
        <w:gridCol w:w="1327"/>
        <w:gridCol w:w="1611"/>
      </w:tblGrid>
      <w:tr w:rsidR="007B23ED" w:rsidRPr="005E6B7C" w14:paraId="7E01FC50" w14:textId="77777777" w:rsidTr="00466852">
        <w:trPr>
          <w:trHeight w:val="323"/>
          <w:jc w:val="center"/>
        </w:trPr>
        <w:tc>
          <w:tcPr>
            <w:tcW w:w="1885" w:type="dxa"/>
            <w:vMerge w:val="restart"/>
            <w:tcBorders>
              <w:top w:val="dotted" w:sz="4" w:space="0" w:color="auto"/>
              <w:left w:val="dotted" w:sz="4" w:space="0" w:color="auto"/>
              <w:bottom w:val="dotted" w:sz="4" w:space="0" w:color="auto"/>
              <w:right w:val="dotted" w:sz="4" w:space="0" w:color="auto"/>
            </w:tcBorders>
            <w:vAlign w:val="center"/>
          </w:tcPr>
          <w:p w14:paraId="7DE8349E"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bookmarkStart w:id="56" w:name="_Hlk196996502"/>
            <w:r w:rsidRPr="005E6B7C">
              <w:rPr>
                <w:rFonts w:asciiTheme="majorHAnsi" w:eastAsia="Yu Mincho" w:hAnsiTheme="majorHAnsi" w:cstheme="majorHAnsi"/>
                <w:b/>
                <w:bCs/>
                <w:i/>
                <w:iCs/>
                <w:color w:val="000000" w:themeColor="text1"/>
                <w:sz w:val="18"/>
                <w:szCs w:val="18"/>
                <w:lang w:eastAsia="ja-JP"/>
              </w:rPr>
              <w:t>Sample</w:t>
            </w:r>
          </w:p>
        </w:tc>
        <w:tc>
          <w:tcPr>
            <w:tcW w:w="7020" w:type="dxa"/>
            <w:gridSpan w:val="5"/>
            <w:tcBorders>
              <w:top w:val="dotted" w:sz="4" w:space="0" w:color="auto"/>
              <w:left w:val="dotted" w:sz="4" w:space="0" w:color="auto"/>
              <w:bottom w:val="dotted" w:sz="4" w:space="0" w:color="auto"/>
              <w:right w:val="dotted" w:sz="4" w:space="0" w:color="auto"/>
            </w:tcBorders>
            <w:vAlign w:val="center"/>
          </w:tcPr>
          <w:p w14:paraId="50378BF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Gymnemagenin content (%, w/w)</w:t>
            </w:r>
          </w:p>
        </w:tc>
      </w:tr>
      <w:bookmarkEnd w:id="56"/>
      <w:tr w:rsidR="007B23ED" w:rsidRPr="005E6B7C" w14:paraId="26FE1260" w14:textId="77777777" w:rsidTr="00466852">
        <w:trPr>
          <w:trHeight w:val="251"/>
          <w:jc w:val="center"/>
        </w:trPr>
        <w:tc>
          <w:tcPr>
            <w:tcW w:w="1885" w:type="dxa"/>
            <w:vMerge/>
            <w:tcBorders>
              <w:top w:val="dotted" w:sz="4" w:space="0" w:color="auto"/>
              <w:left w:val="dotted" w:sz="4" w:space="0" w:color="auto"/>
              <w:bottom w:val="dotted" w:sz="4" w:space="0" w:color="auto"/>
              <w:right w:val="dotted" w:sz="4" w:space="0" w:color="auto"/>
            </w:tcBorders>
            <w:vAlign w:val="center"/>
          </w:tcPr>
          <w:p w14:paraId="2D398AFD"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b/>
                <w:bCs/>
                <w:i/>
                <w:iCs/>
                <w:color w:val="000000" w:themeColor="text1"/>
                <w:sz w:val="18"/>
                <w:szCs w:val="18"/>
                <w:lang w:eastAsia="ja-JP"/>
              </w:rPr>
            </w:pPr>
          </w:p>
        </w:tc>
        <w:tc>
          <w:tcPr>
            <w:tcW w:w="1530" w:type="dxa"/>
            <w:vMerge w:val="restart"/>
            <w:tcBorders>
              <w:top w:val="dotted" w:sz="4" w:space="0" w:color="auto"/>
              <w:left w:val="dotted" w:sz="4" w:space="0" w:color="auto"/>
              <w:bottom w:val="dotted" w:sz="4" w:space="0" w:color="auto"/>
              <w:right w:val="dotted" w:sz="4" w:space="0" w:color="auto"/>
            </w:tcBorders>
            <w:vAlign w:val="center"/>
          </w:tcPr>
          <w:p w14:paraId="1395E48E"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Times New Roman"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Before incubation</w:t>
            </w:r>
          </w:p>
        </w:tc>
        <w:tc>
          <w:tcPr>
            <w:tcW w:w="5490" w:type="dxa"/>
            <w:gridSpan w:val="4"/>
            <w:tcBorders>
              <w:top w:val="dotted" w:sz="4" w:space="0" w:color="auto"/>
              <w:left w:val="dotted" w:sz="4" w:space="0" w:color="auto"/>
              <w:bottom w:val="dotted" w:sz="4" w:space="0" w:color="auto"/>
              <w:right w:val="dotted" w:sz="4" w:space="0" w:color="auto"/>
            </w:tcBorders>
            <w:vAlign w:val="center"/>
          </w:tcPr>
          <w:p w14:paraId="786DCA7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After incubation</w:t>
            </w:r>
          </w:p>
        </w:tc>
      </w:tr>
      <w:tr w:rsidR="007B23ED" w:rsidRPr="005E6B7C" w14:paraId="6B517BF9" w14:textId="77777777" w:rsidTr="00466852">
        <w:trPr>
          <w:trHeight w:val="305"/>
          <w:jc w:val="center"/>
        </w:trPr>
        <w:tc>
          <w:tcPr>
            <w:tcW w:w="1885" w:type="dxa"/>
            <w:vMerge/>
            <w:tcBorders>
              <w:top w:val="dotted" w:sz="4" w:space="0" w:color="auto"/>
              <w:left w:val="dotted" w:sz="4" w:space="0" w:color="auto"/>
              <w:bottom w:val="dotted" w:sz="4" w:space="0" w:color="auto"/>
              <w:right w:val="dotted" w:sz="4" w:space="0" w:color="auto"/>
            </w:tcBorders>
            <w:vAlign w:val="center"/>
          </w:tcPr>
          <w:p w14:paraId="7C13B52D"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b/>
                <w:bCs/>
                <w:i/>
                <w:iCs/>
                <w:color w:val="000000" w:themeColor="text1"/>
                <w:sz w:val="18"/>
                <w:szCs w:val="18"/>
                <w:lang w:eastAsia="ja-JP"/>
              </w:rPr>
            </w:pPr>
          </w:p>
        </w:tc>
        <w:tc>
          <w:tcPr>
            <w:tcW w:w="1530" w:type="dxa"/>
            <w:vMerge/>
            <w:tcBorders>
              <w:top w:val="dotted" w:sz="4" w:space="0" w:color="auto"/>
              <w:left w:val="dotted" w:sz="4" w:space="0" w:color="auto"/>
              <w:bottom w:val="dotted" w:sz="4" w:space="0" w:color="auto"/>
              <w:right w:val="dotted" w:sz="4" w:space="0" w:color="auto"/>
            </w:tcBorders>
            <w:vAlign w:val="center"/>
          </w:tcPr>
          <w:p w14:paraId="1B1A8A6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Times New Roman" w:hAnsiTheme="majorHAnsi" w:cstheme="majorHAnsi"/>
                <w:b/>
                <w:bCs/>
                <w:i/>
                <w:iCs/>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cBorders>
            <w:vAlign w:val="center"/>
          </w:tcPr>
          <w:p w14:paraId="643CE324"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B. subtilis</w:t>
            </w:r>
          </w:p>
        </w:tc>
        <w:tc>
          <w:tcPr>
            <w:tcW w:w="1303" w:type="dxa"/>
            <w:tcBorders>
              <w:top w:val="dotted" w:sz="4" w:space="0" w:color="auto"/>
              <w:left w:val="dotted" w:sz="4" w:space="0" w:color="auto"/>
              <w:bottom w:val="dotted" w:sz="4" w:space="0" w:color="auto"/>
              <w:right w:val="dotted" w:sz="4" w:space="0" w:color="auto"/>
            </w:tcBorders>
            <w:vAlign w:val="center"/>
          </w:tcPr>
          <w:p w14:paraId="0EE2C5B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B. bifidum</w:t>
            </w:r>
          </w:p>
        </w:tc>
        <w:tc>
          <w:tcPr>
            <w:tcW w:w="1303" w:type="dxa"/>
            <w:tcBorders>
              <w:top w:val="dotted" w:sz="4" w:space="0" w:color="auto"/>
              <w:left w:val="dotted" w:sz="4" w:space="0" w:color="auto"/>
              <w:bottom w:val="dotted" w:sz="4" w:space="0" w:color="auto"/>
              <w:right w:val="dotted" w:sz="4" w:space="0" w:color="auto"/>
            </w:tcBorders>
            <w:vAlign w:val="center"/>
          </w:tcPr>
          <w:p w14:paraId="2CC84EC2"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casei</w:t>
            </w:r>
          </w:p>
        </w:tc>
        <w:tc>
          <w:tcPr>
            <w:tcW w:w="1581" w:type="dxa"/>
            <w:tcBorders>
              <w:top w:val="dotted" w:sz="4" w:space="0" w:color="auto"/>
              <w:left w:val="dotted" w:sz="4" w:space="0" w:color="auto"/>
              <w:bottom w:val="dotted" w:sz="4" w:space="0" w:color="auto"/>
              <w:right w:val="dotted" w:sz="4" w:space="0" w:color="auto"/>
            </w:tcBorders>
            <w:vAlign w:val="center"/>
          </w:tcPr>
          <w:p w14:paraId="1B822851"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rhamnosus</w:t>
            </w:r>
          </w:p>
        </w:tc>
      </w:tr>
      <w:tr w:rsidR="007B23ED" w:rsidRPr="005E6B7C" w14:paraId="0AF4DB56" w14:textId="77777777" w:rsidTr="00466852">
        <w:trPr>
          <w:jc w:val="center"/>
        </w:trPr>
        <w:tc>
          <w:tcPr>
            <w:tcW w:w="1885" w:type="dxa"/>
            <w:tcBorders>
              <w:top w:val="dotted" w:sz="4" w:space="0" w:color="auto"/>
              <w:left w:val="dotted" w:sz="4" w:space="0" w:color="auto"/>
              <w:bottom w:val="dotted" w:sz="4" w:space="0" w:color="auto"/>
              <w:right w:val="dotted" w:sz="4" w:space="0" w:color="auto"/>
            </w:tcBorders>
            <w:vAlign w:val="center"/>
          </w:tcPr>
          <w:p w14:paraId="300DE36A"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G5/2/2/2a</w:t>
            </w:r>
          </w:p>
        </w:tc>
        <w:tc>
          <w:tcPr>
            <w:tcW w:w="1530" w:type="dxa"/>
            <w:tcBorders>
              <w:top w:val="dotted" w:sz="4" w:space="0" w:color="auto"/>
              <w:left w:val="dotted" w:sz="4" w:space="0" w:color="auto"/>
              <w:bottom w:val="dotted" w:sz="4" w:space="0" w:color="auto"/>
              <w:right w:val="dotted" w:sz="4" w:space="0" w:color="auto"/>
            </w:tcBorders>
            <w:vAlign w:val="center"/>
          </w:tcPr>
          <w:p w14:paraId="1FDA18F9"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2.11</w:t>
            </w:r>
          </w:p>
        </w:tc>
        <w:tc>
          <w:tcPr>
            <w:tcW w:w="1303" w:type="dxa"/>
            <w:tcBorders>
              <w:top w:val="dotted" w:sz="4" w:space="0" w:color="auto"/>
              <w:left w:val="dotted" w:sz="4" w:space="0" w:color="auto"/>
              <w:bottom w:val="dotted" w:sz="4" w:space="0" w:color="auto"/>
              <w:right w:val="dotted" w:sz="4" w:space="0" w:color="auto"/>
            </w:tcBorders>
            <w:vAlign w:val="center"/>
          </w:tcPr>
          <w:p w14:paraId="0CFCDC8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2.28</w:t>
            </w:r>
          </w:p>
        </w:tc>
        <w:tc>
          <w:tcPr>
            <w:tcW w:w="1303" w:type="dxa"/>
            <w:tcBorders>
              <w:top w:val="dotted" w:sz="4" w:space="0" w:color="auto"/>
              <w:left w:val="dotted" w:sz="4" w:space="0" w:color="auto"/>
              <w:bottom w:val="dotted" w:sz="4" w:space="0" w:color="auto"/>
              <w:right w:val="dotted" w:sz="4" w:space="0" w:color="auto"/>
            </w:tcBorders>
            <w:vAlign w:val="center"/>
          </w:tcPr>
          <w:p w14:paraId="5BA4F93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2.28</w:t>
            </w:r>
          </w:p>
        </w:tc>
        <w:tc>
          <w:tcPr>
            <w:tcW w:w="1303" w:type="dxa"/>
            <w:tcBorders>
              <w:top w:val="dotted" w:sz="4" w:space="0" w:color="auto"/>
              <w:left w:val="dotted" w:sz="4" w:space="0" w:color="auto"/>
              <w:bottom w:val="dotted" w:sz="4" w:space="0" w:color="auto"/>
              <w:right w:val="dotted" w:sz="4" w:space="0" w:color="auto"/>
            </w:tcBorders>
            <w:vAlign w:val="center"/>
          </w:tcPr>
          <w:p w14:paraId="62FA7CF6"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2.36</w:t>
            </w:r>
          </w:p>
        </w:tc>
        <w:tc>
          <w:tcPr>
            <w:tcW w:w="1581" w:type="dxa"/>
            <w:tcBorders>
              <w:top w:val="dotted" w:sz="4" w:space="0" w:color="auto"/>
              <w:left w:val="dotted" w:sz="4" w:space="0" w:color="auto"/>
              <w:bottom w:val="dotted" w:sz="4" w:space="0" w:color="auto"/>
              <w:right w:val="dotted" w:sz="4" w:space="0" w:color="auto"/>
            </w:tcBorders>
            <w:vAlign w:val="center"/>
          </w:tcPr>
          <w:p w14:paraId="3E98E779"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2.30</w:t>
            </w:r>
          </w:p>
        </w:tc>
      </w:tr>
      <w:tr w:rsidR="007B23ED" w:rsidRPr="005E6B7C" w14:paraId="08E1B6E9" w14:textId="77777777" w:rsidTr="00466852">
        <w:trPr>
          <w:jc w:val="center"/>
        </w:trPr>
        <w:tc>
          <w:tcPr>
            <w:tcW w:w="1885" w:type="dxa"/>
            <w:tcBorders>
              <w:top w:val="dotted" w:sz="4" w:space="0" w:color="auto"/>
              <w:left w:val="dotted" w:sz="4" w:space="0" w:color="auto"/>
              <w:bottom w:val="dotted" w:sz="4" w:space="0" w:color="auto"/>
              <w:right w:val="dotted" w:sz="4" w:space="0" w:color="auto"/>
            </w:tcBorders>
            <w:vAlign w:val="center"/>
          </w:tcPr>
          <w:p w14:paraId="6E8F2591"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G5/0</w:t>
            </w:r>
          </w:p>
        </w:tc>
        <w:tc>
          <w:tcPr>
            <w:tcW w:w="1530" w:type="dxa"/>
            <w:tcBorders>
              <w:top w:val="dotted" w:sz="4" w:space="0" w:color="auto"/>
              <w:left w:val="dotted" w:sz="4" w:space="0" w:color="auto"/>
              <w:bottom w:val="dotted" w:sz="4" w:space="0" w:color="auto"/>
              <w:right w:val="dotted" w:sz="4" w:space="0" w:color="auto"/>
            </w:tcBorders>
            <w:vAlign w:val="center"/>
          </w:tcPr>
          <w:p w14:paraId="04A115C7"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1.71</w:t>
            </w:r>
          </w:p>
        </w:tc>
        <w:tc>
          <w:tcPr>
            <w:tcW w:w="1303" w:type="dxa"/>
            <w:tcBorders>
              <w:top w:val="dotted" w:sz="4" w:space="0" w:color="auto"/>
              <w:left w:val="dotted" w:sz="4" w:space="0" w:color="auto"/>
              <w:bottom w:val="dotted" w:sz="4" w:space="0" w:color="auto"/>
              <w:right w:val="dotted" w:sz="4" w:space="0" w:color="auto"/>
            </w:tcBorders>
            <w:vAlign w:val="center"/>
          </w:tcPr>
          <w:p w14:paraId="32CD2E90"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2.07</w:t>
            </w:r>
          </w:p>
        </w:tc>
        <w:tc>
          <w:tcPr>
            <w:tcW w:w="1303" w:type="dxa"/>
            <w:tcBorders>
              <w:top w:val="dotted" w:sz="4" w:space="0" w:color="auto"/>
              <w:left w:val="dotted" w:sz="4" w:space="0" w:color="auto"/>
              <w:bottom w:val="dotted" w:sz="4" w:space="0" w:color="auto"/>
              <w:right w:val="dotted" w:sz="4" w:space="0" w:color="auto"/>
            </w:tcBorders>
            <w:vAlign w:val="center"/>
          </w:tcPr>
          <w:p w14:paraId="048017C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1.98</w:t>
            </w:r>
          </w:p>
        </w:tc>
        <w:tc>
          <w:tcPr>
            <w:tcW w:w="1303" w:type="dxa"/>
            <w:tcBorders>
              <w:top w:val="dotted" w:sz="4" w:space="0" w:color="auto"/>
              <w:left w:val="dotted" w:sz="4" w:space="0" w:color="auto"/>
              <w:bottom w:val="dotted" w:sz="4" w:space="0" w:color="auto"/>
              <w:right w:val="dotted" w:sz="4" w:space="0" w:color="auto"/>
            </w:tcBorders>
            <w:vAlign w:val="center"/>
          </w:tcPr>
          <w:p w14:paraId="411D732E"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2.03</w:t>
            </w:r>
          </w:p>
        </w:tc>
        <w:tc>
          <w:tcPr>
            <w:tcW w:w="1581" w:type="dxa"/>
            <w:tcBorders>
              <w:top w:val="dotted" w:sz="4" w:space="0" w:color="auto"/>
              <w:left w:val="dotted" w:sz="4" w:space="0" w:color="auto"/>
              <w:bottom w:val="dotted" w:sz="4" w:space="0" w:color="auto"/>
              <w:right w:val="dotted" w:sz="4" w:space="0" w:color="auto"/>
            </w:tcBorders>
            <w:vAlign w:val="center"/>
          </w:tcPr>
          <w:p w14:paraId="21D87A8A"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2.02</w:t>
            </w:r>
          </w:p>
        </w:tc>
      </w:tr>
      <w:tr w:rsidR="007B23ED" w:rsidRPr="005E6B7C" w14:paraId="6B92C5E4" w14:textId="77777777" w:rsidTr="00466852">
        <w:trPr>
          <w:jc w:val="center"/>
        </w:trPr>
        <w:tc>
          <w:tcPr>
            <w:tcW w:w="1885" w:type="dxa"/>
            <w:tcBorders>
              <w:top w:val="dotted" w:sz="4" w:space="0" w:color="auto"/>
              <w:left w:val="dotted" w:sz="4" w:space="0" w:color="auto"/>
              <w:bottom w:val="dotted" w:sz="4" w:space="0" w:color="auto"/>
              <w:right w:val="dotted" w:sz="4" w:space="0" w:color="auto"/>
            </w:tcBorders>
            <w:vAlign w:val="center"/>
          </w:tcPr>
          <w:p w14:paraId="5632B3A7"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G4/11</w:t>
            </w:r>
          </w:p>
        </w:tc>
        <w:tc>
          <w:tcPr>
            <w:tcW w:w="1530" w:type="dxa"/>
            <w:tcBorders>
              <w:top w:val="dotted" w:sz="4" w:space="0" w:color="auto"/>
              <w:left w:val="dotted" w:sz="4" w:space="0" w:color="auto"/>
              <w:bottom w:val="dotted" w:sz="4" w:space="0" w:color="auto"/>
              <w:right w:val="dotted" w:sz="4" w:space="0" w:color="auto"/>
            </w:tcBorders>
            <w:vAlign w:val="center"/>
          </w:tcPr>
          <w:p w14:paraId="7222F18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1.81</w:t>
            </w:r>
          </w:p>
        </w:tc>
        <w:tc>
          <w:tcPr>
            <w:tcW w:w="1303" w:type="dxa"/>
            <w:tcBorders>
              <w:top w:val="dotted" w:sz="4" w:space="0" w:color="auto"/>
              <w:left w:val="dotted" w:sz="4" w:space="0" w:color="auto"/>
              <w:bottom w:val="dotted" w:sz="4" w:space="0" w:color="auto"/>
              <w:right w:val="dotted" w:sz="4" w:space="0" w:color="auto"/>
            </w:tcBorders>
            <w:vAlign w:val="center"/>
          </w:tcPr>
          <w:p w14:paraId="41996692"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1.82</w:t>
            </w:r>
          </w:p>
        </w:tc>
        <w:tc>
          <w:tcPr>
            <w:tcW w:w="1303" w:type="dxa"/>
            <w:tcBorders>
              <w:top w:val="dotted" w:sz="4" w:space="0" w:color="auto"/>
              <w:left w:val="dotted" w:sz="4" w:space="0" w:color="auto"/>
              <w:bottom w:val="dotted" w:sz="4" w:space="0" w:color="auto"/>
              <w:right w:val="dotted" w:sz="4" w:space="0" w:color="auto"/>
            </w:tcBorders>
            <w:vAlign w:val="center"/>
          </w:tcPr>
          <w:p w14:paraId="3500B94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2.00</w:t>
            </w:r>
          </w:p>
        </w:tc>
        <w:tc>
          <w:tcPr>
            <w:tcW w:w="1303" w:type="dxa"/>
            <w:tcBorders>
              <w:top w:val="dotted" w:sz="4" w:space="0" w:color="auto"/>
              <w:left w:val="dotted" w:sz="4" w:space="0" w:color="auto"/>
              <w:bottom w:val="dotted" w:sz="4" w:space="0" w:color="auto"/>
              <w:right w:val="dotted" w:sz="4" w:space="0" w:color="auto"/>
            </w:tcBorders>
            <w:vAlign w:val="center"/>
          </w:tcPr>
          <w:p w14:paraId="77D14C4F"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1.94</w:t>
            </w:r>
          </w:p>
        </w:tc>
        <w:tc>
          <w:tcPr>
            <w:tcW w:w="1581" w:type="dxa"/>
            <w:tcBorders>
              <w:top w:val="dotted" w:sz="4" w:space="0" w:color="auto"/>
              <w:left w:val="dotted" w:sz="4" w:space="0" w:color="auto"/>
              <w:bottom w:val="dotted" w:sz="4" w:space="0" w:color="auto"/>
              <w:right w:val="dotted" w:sz="4" w:space="0" w:color="auto"/>
            </w:tcBorders>
            <w:vAlign w:val="center"/>
          </w:tcPr>
          <w:p w14:paraId="33695947"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1.95</w:t>
            </w:r>
          </w:p>
        </w:tc>
      </w:tr>
      <w:tr w:rsidR="007B23ED" w:rsidRPr="005E6B7C" w14:paraId="6D365514" w14:textId="77777777" w:rsidTr="00466852">
        <w:trPr>
          <w:jc w:val="center"/>
        </w:trPr>
        <w:tc>
          <w:tcPr>
            <w:tcW w:w="1885" w:type="dxa"/>
            <w:tcBorders>
              <w:top w:val="dotted" w:sz="4" w:space="0" w:color="auto"/>
              <w:left w:val="dotted" w:sz="4" w:space="0" w:color="auto"/>
              <w:bottom w:val="dotted" w:sz="4" w:space="0" w:color="auto"/>
              <w:right w:val="dotted" w:sz="4" w:space="0" w:color="auto"/>
            </w:tcBorders>
            <w:vAlign w:val="center"/>
          </w:tcPr>
          <w:p w14:paraId="78BEB881"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G4/5</w:t>
            </w:r>
          </w:p>
        </w:tc>
        <w:tc>
          <w:tcPr>
            <w:tcW w:w="1530" w:type="dxa"/>
            <w:tcBorders>
              <w:top w:val="dotted" w:sz="4" w:space="0" w:color="auto"/>
              <w:left w:val="dotted" w:sz="4" w:space="0" w:color="auto"/>
              <w:bottom w:val="dotted" w:sz="4" w:space="0" w:color="auto"/>
              <w:right w:val="dotted" w:sz="4" w:space="0" w:color="auto"/>
            </w:tcBorders>
            <w:vAlign w:val="center"/>
          </w:tcPr>
          <w:p w14:paraId="47B936A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1.50</w:t>
            </w:r>
          </w:p>
        </w:tc>
        <w:tc>
          <w:tcPr>
            <w:tcW w:w="1303" w:type="dxa"/>
            <w:tcBorders>
              <w:top w:val="dotted" w:sz="4" w:space="0" w:color="auto"/>
              <w:left w:val="dotted" w:sz="4" w:space="0" w:color="auto"/>
              <w:bottom w:val="dotted" w:sz="4" w:space="0" w:color="auto"/>
              <w:right w:val="dotted" w:sz="4" w:space="0" w:color="auto"/>
            </w:tcBorders>
            <w:vAlign w:val="center"/>
          </w:tcPr>
          <w:p w14:paraId="2772A65F"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1.82</w:t>
            </w:r>
          </w:p>
        </w:tc>
        <w:tc>
          <w:tcPr>
            <w:tcW w:w="1303" w:type="dxa"/>
            <w:tcBorders>
              <w:top w:val="dotted" w:sz="4" w:space="0" w:color="auto"/>
              <w:left w:val="dotted" w:sz="4" w:space="0" w:color="auto"/>
              <w:bottom w:val="dotted" w:sz="4" w:space="0" w:color="auto"/>
              <w:right w:val="dotted" w:sz="4" w:space="0" w:color="auto"/>
            </w:tcBorders>
            <w:vAlign w:val="center"/>
          </w:tcPr>
          <w:p w14:paraId="74654E1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1.74</w:t>
            </w:r>
          </w:p>
        </w:tc>
        <w:tc>
          <w:tcPr>
            <w:tcW w:w="1303" w:type="dxa"/>
            <w:tcBorders>
              <w:top w:val="dotted" w:sz="4" w:space="0" w:color="auto"/>
              <w:left w:val="dotted" w:sz="4" w:space="0" w:color="auto"/>
              <w:bottom w:val="dotted" w:sz="4" w:space="0" w:color="auto"/>
              <w:right w:val="dotted" w:sz="4" w:space="0" w:color="auto"/>
            </w:tcBorders>
            <w:vAlign w:val="center"/>
          </w:tcPr>
          <w:p w14:paraId="6D71E8C6"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1.83</w:t>
            </w:r>
          </w:p>
        </w:tc>
        <w:tc>
          <w:tcPr>
            <w:tcW w:w="1581" w:type="dxa"/>
            <w:tcBorders>
              <w:top w:val="dotted" w:sz="4" w:space="0" w:color="auto"/>
              <w:left w:val="dotted" w:sz="4" w:space="0" w:color="auto"/>
              <w:bottom w:val="dotted" w:sz="4" w:space="0" w:color="auto"/>
              <w:right w:val="dotted" w:sz="4" w:space="0" w:color="auto"/>
            </w:tcBorders>
            <w:vAlign w:val="center"/>
          </w:tcPr>
          <w:p w14:paraId="45FBF016"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1.89</w:t>
            </w:r>
          </w:p>
        </w:tc>
      </w:tr>
      <w:tr w:rsidR="007B23ED" w:rsidRPr="005E6B7C" w14:paraId="2CC53D43" w14:textId="77777777" w:rsidTr="00466852">
        <w:trPr>
          <w:jc w:val="center"/>
        </w:trPr>
        <w:tc>
          <w:tcPr>
            <w:tcW w:w="1885" w:type="dxa"/>
            <w:tcBorders>
              <w:top w:val="dotted" w:sz="4" w:space="0" w:color="auto"/>
              <w:left w:val="dotted" w:sz="4" w:space="0" w:color="auto"/>
              <w:bottom w:val="dotted" w:sz="4" w:space="0" w:color="auto"/>
              <w:right w:val="dotted" w:sz="4" w:space="0" w:color="auto"/>
            </w:tcBorders>
            <w:vAlign w:val="center"/>
          </w:tcPr>
          <w:p w14:paraId="586ADF58"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Mean values (%)</w:t>
            </w:r>
          </w:p>
        </w:tc>
        <w:tc>
          <w:tcPr>
            <w:tcW w:w="1530" w:type="dxa"/>
            <w:tcBorders>
              <w:top w:val="dotted" w:sz="4" w:space="0" w:color="auto"/>
              <w:left w:val="dotted" w:sz="4" w:space="0" w:color="auto"/>
              <w:bottom w:val="dotted" w:sz="4" w:space="0" w:color="auto"/>
              <w:right w:val="dotted" w:sz="4" w:space="0" w:color="auto"/>
            </w:tcBorders>
            <w:vAlign w:val="center"/>
          </w:tcPr>
          <w:p w14:paraId="17070F35"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1.78</w:t>
            </w:r>
          </w:p>
        </w:tc>
        <w:tc>
          <w:tcPr>
            <w:tcW w:w="1303" w:type="dxa"/>
            <w:tcBorders>
              <w:top w:val="dotted" w:sz="4" w:space="0" w:color="auto"/>
              <w:left w:val="dotted" w:sz="4" w:space="0" w:color="auto"/>
              <w:bottom w:val="dotted" w:sz="4" w:space="0" w:color="auto"/>
              <w:right w:val="dotted" w:sz="4" w:space="0" w:color="auto"/>
            </w:tcBorders>
            <w:vAlign w:val="center"/>
          </w:tcPr>
          <w:p w14:paraId="04DF2EB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2.00</w:t>
            </w:r>
          </w:p>
        </w:tc>
        <w:tc>
          <w:tcPr>
            <w:tcW w:w="1303" w:type="dxa"/>
            <w:tcBorders>
              <w:top w:val="dotted" w:sz="4" w:space="0" w:color="auto"/>
              <w:left w:val="dotted" w:sz="4" w:space="0" w:color="auto"/>
              <w:bottom w:val="dotted" w:sz="4" w:space="0" w:color="auto"/>
              <w:right w:val="dotted" w:sz="4" w:space="0" w:color="auto"/>
            </w:tcBorders>
            <w:vAlign w:val="center"/>
          </w:tcPr>
          <w:p w14:paraId="0110AAE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2.00</w:t>
            </w:r>
          </w:p>
        </w:tc>
        <w:tc>
          <w:tcPr>
            <w:tcW w:w="1303" w:type="dxa"/>
            <w:tcBorders>
              <w:top w:val="dotted" w:sz="4" w:space="0" w:color="auto"/>
              <w:left w:val="dotted" w:sz="4" w:space="0" w:color="auto"/>
              <w:bottom w:val="dotted" w:sz="4" w:space="0" w:color="auto"/>
              <w:right w:val="dotted" w:sz="4" w:space="0" w:color="auto"/>
            </w:tcBorders>
            <w:vAlign w:val="center"/>
          </w:tcPr>
          <w:p w14:paraId="77793A21"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2.04</w:t>
            </w:r>
          </w:p>
        </w:tc>
        <w:tc>
          <w:tcPr>
            <w:tcW w:w="1581" w:type="dxa"/>
            <w:tcBorders>
              <w:top w:val="dotted" w:sz="4" w:space="0" w:color="auto"/>
              <w:left w:val="dotted" w:sz="4" w:space="0" w:color="auto"/>
              <w:bottom w:val="dotted" w:sz="4" w:space="0" w:color="auto"/>
              <w:right w:val="dotted" w:sz="4" w:space="0" w:color="auto"/>
            </w:tcBorders>
            <w:vAlign w:val="center"/>
          </w:tcPr>
          <w:p w14:paraId="00B7F882"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2.04</w:t>
            </w:r>
          </w:p>
        </w:tc>
      </w:tr>
      <w:tr w:rsidR="007B23ED" w:rsidRPr="005E6B7C" w14:paraId="1F8FE17B" w14:textId="77777777" w:rsidTr="00466852">
        <w:trPr>
          <w:jc w:val="center"/>
        </w:trPr>
        <w:tc>
          <w:tcPr>
            <w:tcW w:w="8905" w:type="dxa"/>
            <w:gridSpan w:val="6"/>
            <w:tcBorders>
              <w:top w:val="dotted" w:sz="4" w:space="0" w:color="auto"/>
              <w:left w:val="dotted" w:sz="4" w:space="0" w:color="auto"/>
              <w:bottom w:val="dotted" w:sz="4" w:space="0" w:color="auto"/>
              <w:right w:val="dotted" w:sz="4" w:space="0" w:color="auto"/>
            </w:tcBorders>
            <w:vAlign w:val="center"/>
          </w:tcPr>
          <w:p w14:paraId="25CC095C"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Statistical comparison of mean values of the content of gymnemagenin by paired t-test</w:t>
            </w:r>
          </w:p>
        </w:tc>
      </w:tr>
      <w:tr w:rsidR="007B23ED" w:rsidRPr="005E6B7C" w14:paraId="6CC91B01" w14:textId="77777777" w:rsidTr="00466852">
        <w:trPr>
          <w:jc w:val="center"/>
        </w:trPr>
        <w:tc>
          <w:tcPr>
            <w:tcW w:w="3415" w:type="dxa"/>
            <w:gridSpan w:val="2"/>
            <w:tcBorders>
              <w:top w:val="dotted" w:sz="4" w:space="0" w:color="auto"/>
              <w:left w:val="dotted" w:sz="4" w:space="0" w:color="auto"/>
              <w:bottom w:val="dotted" w:sz="4" w:space="0" w:color="auto"/>
              <w:right w:val="dotted" w:sz="4" w:space="0" w:color="auto"/>
            </w:tcBorders>
            <w:vAlign w:val="center"/>
          </w:tcPr>
          <w:p w14:paraId="6DC9FFB7"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Before and after incubation with different strains of  bacteria</w:t>
            </w:r>
          </w:p>
        </w:tc>
        <w:tc>
          <w:tcPr>
            <w:tcW w:w="1303" w:type="dxa"/>
            <w:tcBorders>
              <w:top w:val="dotted" w:sz="4" w:space="0" w:color="auto"/>
              <w:left w:val="dotted" w:sz="4" w:space="0" w:color="auto"/>
              <w:bottom w:val="dotted" w:sz="4" w:space="0" w:color="auto"/>
              <w:right w:val="dotted" w:sz="4" w:space="0" w:color="auto"/>
            </w:tcBorders>
            <w:vAlign w:val="center"/>
          </w:tcPr>
          <w:p w14:paraId="7963F15F"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0.07</w:t>
            </w:r>
          </w:p>
        </w:tc>
        <w:tc>
          <w:tcPr>
            <w:tcW w:w="1303" w:type="dxa"/>
            <w:tcBorders>
              <w:top w:val="dotted" w:sz="4" w:space="0" w:color="auto"/>
              <w:left w:val="dotted" w:sz="4" w:space="0" w:color="auto"/>
              <w:bottom w:val="dotted" w:sz="4" w:space="0" w:color="auto"/>
              <w:right w:val="dotted" w:sz="4" w:space="0" w:color="auto"/>
            </w:tcBorders>
            <w:vAlign w:val="center"/>
          </w:tcPr>
          <w:p w14:paraId="0A2FC2A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P = 0.00</w:t>
            </w:r>
          </w:p>
        </w:tc>
        <w:tc>
          <w:tcPr>
            <w:tcW w:w="1303" w:type="dxa"/>
            <w:tcBorders>
              <w:top w:val="dotted" w:sz="4" w:space="0" w:color="auto"/>
              <w:left w:val="dotted" w:sz="4" w:space="0" w:color="auto"/>
              <w:bottom w:val="dotted" w:sz="4" w:space="0" w:color="auto"/>
              <w:right w:val="dotted" w:sz="4" w:space="0" w:color="auto"/>
            </w:tcBorders>
            <w:vAlign w:val="center"/>
          </w:tcPr>
          <w:p w14:paraId="654C0F62"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P = 0.01</w:t>
            </w:r>
          </w:p>
        </w:tc>
        <w:tc>
          <w:tcPr>
            <w:tcW w:w="1581" w:type="dxa"/>
            <w:tcBorders>
              <w:top w:val="dotted" w:sz="4" w:space="0" w:color="auto"/>
              <w:left w:val="dotted" w:sz="4" w:space="0" w:color="auto"/>
              <w:bottom w:val="dotted" w:sz="4" w:space="0" w:color="auto"/>
              <w:right w:val="dotted" w:sz="4" w:space="0" w:color="auto"/>
            </w:tcBorders>
            <w:vAlign w:val="center"/>
          </w:tcPr>
          <w:p w14:paraId="31F706B5"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P = 0.02</w:t>
            </w:r>
          </w:p>
        </w:tc>
      </w:tr>
      <w:tr w:rsidR="007B23ED" w:rsidRPr="005E6B7C" w14:paraId="388B4B15" w14:textId="77777777" w:rsidTr="00466852">
        <w:trPr>
          <w:jc w:val="center"/>
        </w:trPr>
        <w:tc>
          <w:tcPr>
            <w:tcW w:w="3415" w:type="dxa"/>
            <w:gridSpan w:val="2"/>
            <w:tcBorders>
              <w:top w:val="dotted" w:sz="4" w:space="0" w:color="auto"/>
              <w:left w:val="dotted" w:sz="4" w:space="0" w:color="auto"/>
              <w:bottom w:val="dotted" w:sz="4" w:space="0" w:color="auto"/>
              <w:right w:val="dotted" w:sz="4" w:space="0" w:color="auto"/>
            </w:tcBorders>
            <w:vAlign w:val="center"/>
          </w:tcPr>
          <w:p w14:paraId="7A1DD99D"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Strain</w:t>
            </w:r>
          </w:p>
        </w:tc>
        <w:tc>
          <w:tcPr>
            <w:tcW w:w="1303" w:type="dxa"/>
            <w:tcBorders>
              <w:top w:val="dotted" w:sz="4" w:space="0" w:color="auto"/>
              <w:left w:val="dotted" w:sz="4" w:space="0" w:color="auto"/>
              <w:bottom w:val="dotted" w:sz="4" w:space="0" w:color="auto"/>
              <w:right w:val="dotted" w:sz="4" w:space="0" w:color="auto"/>
            </w:tcBorders>
            <w:vAlign w:val="center"/>
          </w:tcPr>
          <w:p w14:paraId="66325DBC"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B. subtilis</w:t>
            </w:r>
          </w:p>
        </w:tc>
        <w:tc>
          <w:tcPr>
            <w:tcW w:w="1303" w:type="dxa"/>
            <w:tcBorders>
              <w:top w:val="dotted" w:sz="4" w:space="0" w:color="auto"/>
              <w:left w:val="dotted" w:sz="4" w:space="0" w:color="auto"/>
              <w:bottom w:val="dotted" w:sz="4" w:space="0" w:color="auto"/>
              <w:right w:val="dotted" w:sz="4" w:space="0" w:color="auto"/>
            </w:tcBorders>
            <w:vAlign w:val="center"/>
          </w:tcPr>
          <w:p w14:paraId="3542DF52"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B. bifidum</w:t>
            </w:r>
          </w:p>
        </w:tc>
        <w:tc>
          <w:tcPr>
            <w:tcW w:w="1303" w:type="dxa"/>
            <w:tcBorders>
              <w:top w:val="dotted" w:sz="4" w:space="0" w:color="auto"/>
              <w:left w:val="dotted" w:sz="4" w:space="0" w:color="auto"/>
              <w:bottom w:val="dotted" w:sz="4" w:space="0" w:color="auto"/>
              <w:right w:val="dotted" w:sz="4" w:space="0" w:color="auto"/>
            </w:tcBorders>
            <w:vAlign w:val="center"/>
          </w:tcPr>
          <w:p w14:paraId="617E2773"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casei</w:t>
            </w:r>
          </w:p>
        </w:tc>
        <w:tc>
          <w:tcPr>
            <w:tcW w:w="1581" w:type="dxa"/>
            <w:tcBorders>
              <w:top w:val="dotted" w:sz="4" w:space="0" w:color="auto"/>
              <w:left w:val="dotted" w:sz="4" w:space="0" w:color="auto"/>
              <w:bottom w:val="dotted" w:sz="4" w:space="0" w:color="auto"/>
              <w:right w:val="dotted" w:sz="4" w:space="0" w:color="auto"/>
            </w:tcBorders>
            <w:vAlign w:val="center"/>
          </w:tcPr>
          <w:p w14:paraId="3FBC5EB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b/>
                <w:bCs/>
                <w:i/>
                <w:iCs/>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rhamnosus</w:t>
            </w:r>
          </w:p>
        </w:tc>
      </w:tr>
      <w:tr w:rsidR="007B23ED" w:rsidRPr="005E6B7C" w14:paraId="3B825B05" w14:textId="77777777" w:rsidTr="00466852">
        <w:trPr>
          <w:jc w:val="center"/>
        </w:trPr>
        <w:tc>
          <w:tcPr>
            <w:tcW w:w="1885" w:type="dxa"/>
            <w:vMerge w:val="restart"/>
            <w:tcBorders>
              <w:top w:val="dotted" w:sz="4" w:space="0" w:color="auto"/>
              <w:left w:val="dotted" w:sz="4" w:space="0" w:color="auto"/>
              <w:bottom w:val="dotted" w:sz="4" w:space="0" w:color="auto"/>
              <w:right w:val="dotted" w:sz="4" w:space="0" w:color="auto"/>
            </w:tcBorders>
            <w:vAlign w:val="center"/>
          </w:tcPr>
          <w:p w14:paraId="52CC36F9"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After incubation with different strains of bacteria</w:t>
            </w:r>
          </w:p>
        </w:tc>
        <w:tc>
          <w:tcPr>
            <w:tcW w:w="1530" w:type="dxa"/>
            <w:tcBorders>
              <w:top w:val="dotted" w:sz="4" w:space="0" w:color="auto"/>
              <w:left w:val="dotted" w:sz="4" w:space="0" w:color="auto"/>
              <w:bottom w:val="dotted" w:sz="4" w:space="0" w:color="auto"/>
              <w:right w:val="dotted" w:sz="4" w:space="0" w:color="auto"/>
            </w:tcBorders>
            <w:vAlign w:val="center"/>
          </w:tcPr>
          <w:p w14:paraId="7F65E032"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Times New Roman" w:hAnsiTheme="majorHAnsi" w:cstheme="majorHAnsi"/>
                <w:b/>
                <w:bCs/>
                <w:i/>
                <w:iCs/>
                <w:color w:val="000000" w:themeColor="text1"/>
                <w:sz w:val="18"/>
                <w:szCs w:val="18"/>
                <w:lang w:eastAsia="ja-JP"/>
              </w:rPr>
              <w:t>B. subtilis</w:t>
            </w: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0256D40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cBorders>
            <w:vAlign w:val="center"/>
          </w:tcPr>
          <w:p w14:paraId="5810DFBE"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0.96</w:t>
            </w:r>
          </w:p>
        </w:tc>
        <w:tc>
          <w:tcPr>
            <w:tcW w:w="1303" w:type="dxa"/>
            <w:tcBorders>
              <w:top w:val="dotted" w:sz="4" w:space="0" w:color="auto"/>
              <w:left w:val="dotted" w:sz="4" w:space="0" w:color="auto"/>
              <w:bottom w:val="dotted" w:sz="4" w:space="0" w:color="auto"/>
              <w:right w:val="dotted" w:sz="4" w:space="0" w:color="auto"/>
            </w:tcBorders>
            <w:vAlign w:val="center"/>
          </w:tcPr>
          <w:p w14:paraId="1A6455A5"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0.32</w:t>
            </w:r>
          </w:p>
        </w:tc>
        <w:tc>
          <w:tcPr>
            <w:tcW w:w="1581" w:type="dxa"/>
            <w:tcBorders>
              <w:top w:val="dotted" w:sz="4" w:space="0" w:color="auto"/>
              <w:left w:val="dotted" w:sz="4" w:space="0" w:color="auto"/>
              <w:bottom w:val="dotted" w:sz="4" w:space="0" w:color="auto"/>
              <w:right w:val="dotted" w:sz="4" w:space="0" w:color="auto"/>
            </w:tcBorders>
            <w:vAlign w:val="center"/>
          </w:tcPr>
          <w:p w14:paraId="1636485A"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0.33</w:t>
            </w:r>
          </w:p>
        </w:tc>
      </w:tr>
      <w:tr w:rsidR="007B23ED" w:rsidRPr="005E6B7C" w14:paraId="3B2AA818" w14:textId="77777777" w:rsidTr="00466852">
        <w:trPr>
          <w:jc w:val="center"/>
        </w:trPr>
        <w:tc>
          <w:tcPr>
            <w:tcW w:w="1885" w:type="dxa"/>
            <w:vMerge/>
            <w:tcBorders>
              <w:top w:val="dotted" w:sz="4" w:space="0" w:color="auto"/>
              <w:left w:val="dotted" w:sz="4" w:space="0" w:color="auto"/>
              <w:bottom w:val="dotted" w:sz="4" w:space="0" w:color="auto"/>
              <w:right w:val="dotted" w:sz="4" w:space="0" w:color="auto"/>
            </w:tcBorders>
            <w:vAlign w:val="center"/>
          </w:tcPr>
          <w:p w14:paraId="12EA9CBF"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p>
        </w:tc>
        <w:tc>
          <w:tcPr>
            <w:tcW w:w="1530" w:type="dxa"/>
            <w:tcBorders>
              <w:top w:val="dotted" w:sz="4" w:space="0" w:color="auto"/>
              <w:left w:val="dotted" w:sz="4" w:space="0" w:color="auto"/>
              <w:bottom w:val="dotted" w:sz="4" w:space="0" w:color="auto"/>
              <w:right w:val="dotted" w:sz="4" w:space="0" w:color="auto"/>
            </w:tcBorders>
            <w:vAlign w:val="center"/>
          </w:tcPr>
          <w:p w14:paraId="4D8BFB44"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B. bifidum</w:t>
            </w: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0E333C2B"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5E97F6A4"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cBorders>
            <w:vAlign w:val="center"/>
          </w:tcPr>
          <w:p w14:paraId="06DDD430"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0.34</w:t>
            </w:r>
          </w:p>
        </w:tc>
        <w:tc>
          <w:tcPr>
            <w:tcW w:w="1581" w:type="dxa"/>
            <w:tcBorders>
              <w:top w:val="dotted" w:sz="4" w:space="0" w:color="auto"/>
              <w:left w:val="dotted" w:sz="4" w:space="0" w:color="auto"/>
              <w:bottom w:val="dotted" w:sz="4" w:space="0" w:color="auto"/>
              <w:right w:val="dotted" w:sz="4" w:space="0" w:color="auto"/>
            </w:tcBorders>
            <w:vAlign w:val="center"/>
          </w:tcPr>
          <w:p w14:paraId="0721EA6A"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0.41</w:t>
            </w:r>
          </w:p>
        </w:tc>
      </w:tr>
      <w:tr w:rsidR="007B23ED" w:rsidRPr="005E6B7C" w14:paraId="3D7FA38C" w14:textId="77777777" w:rsidTr="00466852">
        <w:trPr>
          <w:jc w:val="center"/>
        </w:trPr>
        <w:tc>
          <w:tcPr>
            <w:tcW w:w="1885" w:type="dxa"/>
            <w:vMerge/>
            <w:tcBorders>
              <w:top w:val="dotted" w:sz="4" w:space="0" w:color="auto"/>
              <w:left w:val="dotted" w:sz="4" w:space="0" w:color="auto"/>
              <w:bottom w:val="dotted" w:sz="4" w:space="0" w:color="auto"/>
              <w:right w:val="dotted" w:sz="4" w:space="0" w:color="auto"/>
            </w:tcBorders>
            <w:vAlign w:val="center"/>
          </w:tcPr>
          <w:p w14:paraId="6E7F7469"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p>
        </w:tc>
        <w:tc>
          <w:tcPr>
            <w:tcW w:w="1530" w:type="dxa"/>
            <w:tcBorders>
              <w:top w:val="dotted" w:sz="4" w:space="0" w:color="auto"/>
              <w:left w:val="dotted" w:sz="4" w:space="0" w:color="auto"/>
              <w:bottom w:val="dotted" w:sz="4" w:space="0" w:color="auto"/>
              <w:right w:val="dotted" w:sz="4" w:space="0" w:color="auto"/>
            </w:tcBorders>
            <w:vAlign w:val="center"/>
          </w:tcPr>
          <w:p w14:paraId="2AA1DC3A"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casei</w:t>
            </w: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1E8A6F1F"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3FD5A7C4"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0291EA31"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581" w:type="dxa"/>
            <w:tcBorders>
              <w:top w:val="dotted" w:sz="4" w:space="0" w:color="auto"/>
              <w:left w:val="dotted" w:sz="4" w:space="0" w:color="auto"/>
              <w:bottom w:val="dotted" w:sz="4" w:space="0" w:color="auto"/>
              <w:right w:val="dotted" w:sz="4" w:space="0" w:color="auto"/>
            </w:tcBorders>
            <w:vAlign w:val="center"/>
          </w:tcPr>
          <w:p w14:paraId="32D20110"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P = 0.97</w:t>
            </w:r>
          </w:p>
        </w:tc>
      </w:tr>
      <w:tr w:rsidR="007B23ED" w:rsidRPr="005E6B7C" w14:paraId="6CC42472" w14:textId="77777777" w:rsidTr="00466852">
        <w:trPr>
          <w:jc w:val="center"/>
        </w:trPr>
        <w:tc>
          <w:tcPr>
            <w:tcW w:w="1885" w:type="dxa"/>
            <w:vMerge/>
            <w:tcBorders>
              <w:top w:val="dotted" w:sz="4" w:space="0" w:color="auto"/>
              <w:left w:val="dotted" w:sz="4" w:space="0" w:color="auto"/>
              <w:bottom w:val="dotted" w:sz="4" w:space="0" w:color="auto"/>
              <w:right w:val="dotted" w:sz="4" w:space="0" w:color="auto"/>
            </w:tcBorders>
            <w:vAlign w:val="center"/>
          </w:tcPr>
          <w:p w14:paraId="64B20F71"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p>
        </w:tc>
        <w:tc>
          <w:tcPr>
            <w:tcW w:w="1530" w:type="dxa"/>
            <w:tcBorders>
              <w:top w:val="dotted" w:sz="4" w:space="0" w:color="auto"/>
              <w:left w:val="dotted" w:sz="4" w:space="0" w:color="auto"/>
              <w:bottom w:val="dotted" w:sz="4" w:space="0" w:color="auto"/>
              <w:right w:val="dotted" w:sz="4" w:space="0" w:color="auto"/>
            </w:tcBorders>
            <w:vAlign w:val="center"/>
          </w:tcPr>
          <w:p w14:paraId="1E075D3C" w14:textId="77777777" w:rsidR="007B23ED" w:rsidRPr="005E6B7C" w:rsidRDefault="007B23ED" w:rsidP="00466852">
            <w:pPr>
              <w:tabs>
                <w:tab w:val="left" w:pos="270"/>
                <w:tab w:val="left" w:pos="540"/>
                <w:tab w:val="left" w:pos="9270"/>
              </w:tabs>
              <w:spacing w:line="160" w:lineRule="exact"/>
              <w:ind w:right="-20"/>
              <w:contextualSpacing/>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i/>
                <w:iCs/>
                <w:color w:val="000000" w:themeColor="text1"/>
                <w:sz w:val="18"/>
                <w:szCs w:val="18"/>
                <w:lang w:eastAsia="ja-JP"/>
              </w:rPr>
              <w:t>L. rhamnosus</w:t>
            </w: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1B9091F4"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143BF83D"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303" w:type="dxa"/>
            <w:tcBorders>
              <w:top w:val="dotted" w:sz="4" w:space="0" w:color="auto"/>
              <w:left w:val="dotted" w:sz="4" w:space="0" w:color="auto"/>
              <w:bottom w:val="dotted" w:sz="4" w:space="0" w:color="auto"/>
              <w:right w:val="dotted" w:sz="4" w:space="0" w:color="auto"/>
              <w:tl2br w:val="single" w:sz="4" w:space="0" w:color="auto"/>
            </w:tcBorders>
            <w:vAlign w:val="center"/>
          </w:tcPr>
          <w:p w14:paraId="5BAEF148"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c>
          <w:tcPr>
            <w:tcW w:w="1581" w:type="dxa"/>
            <w:tcBorders>
              <w:top w:val="dotted" w:sz="4" w:space="0" w:color="auto"/>
              <w:left w:val="dotted" w:sz="4" w:space="0" w:color="auto"/>
              <w:bottom w:val="dotted" w:sz="4" w:space="0" w:color="auto"/>
              <w:right w:val="dotted" w:sz="4" w:space="0" w:color="auto"/>
              <w:tl2br w:val="single" w:sz="4" w:space="0" w:color="auto"/>
            </w:tcBorders>
            <w:vAlign w:val="center"/>
          </w:tcPr>
          <w:p w14:paraId="616B4F0A" w14:textId="77777777" w:rsidR="007B23ED" w:rsidRPr="005E6B7C" w:rsidRDefault="007B23ED" w:rsidP="00466852">
            <w:pPr>
              <w:tabs>
                <w:tab w:val="left" w:pos="270"/>
                <w:tab w:val="left" w:pos="540"/>
                <w:tab w:val="left" w:pos="9270"/>
              </w:tabs>
              <w:spacing w:line="160" w:lineRule="exact"/>
              <w:ind w:right="-20"/>
              <w:contextualSpacing/>
              <w:jc w:val="center"/>
              <w:rPr>
                <w:rFonts w:asciiTheme="majorHAnsi" w:eastAsia="Yu Mincho" w:hAnsiTheme="majorHAnsi" w:cstheme="majorHAnsi"/>
                <w:color w:val="000000" w:themeColor="text1"/>
                <w:sz w:val="18"/>
                <w:szCs w:val="18"/>
                <w:lang w:eastAsia="ja-JP"/>
              </w:rPr>
            </w:pPr>
          </w:p>
        </w:tc>
      </w:tr>
    </w:tbl>
    <w:p w14:paraId="3BB7263F" w14:textId="77777777" w:rsidR="007B23ED" w:rsidRPr="005E6B7C" w:rsidRDefault="007B23ED" w:rsidP="007B23ED">
      <w:pPr>
        <w:tabs>
          <w:tab w:val="left" w:pos="270"/>
          <w:tab w:val="left" w:pos="540"/>
          <w:tab w:val="left" w:pos="9270"/>
        </w:tabs>
        <w:ind w:right="-20"/>
        <w:contextualSpacing/>
        <w:jc w:val="both"/>
        <w:rPr>
          <w:rFonts w:asciiTheme="majorHAnsi" w:eastAsia="Yu Mincho" w:hAnsiTheme="majorHAnsi" w:cstheme="majorHAnsi"/>
          <w:color w:val="000000" w:themeColor="text1"/>
          <w:sz w:val="22"/>
          <w:szCs w:val="22"/>
          <w:lang w:eastAsia="ja-JP"/>
        </w:rPr>
      </w:pPr>
    </w:p>
    <w:p w14:paraId="7C430A09" w14:textId="77777777" w:rsidR="007B23ED" w:rsidRPr="005E6B7C" w:rsidRDefault="007B23ED" w:rsidP="007B23ED">
      <w:pPr>
        <w:tabs>
          <w:tab w:val="left" w:pos="270"/>
          <w:tab w:val="left" w:pos="540"/>
          <w:tab w:val="left" w:pos="9270"/>
        </w:tabs>
        <w:spacing w:line="240" w:lineRule="exact"/>
        <w:ind w:firstLine="284"/>
        <w:contextualSpacing/>
        <w:jc w:val="both"/>
        <w:rPr>
          <w:rFonts w:asciiTheme="majorHAnsi" w:eastAsia="Yu Mincho" w:hAnsiTheme="majorHAnsi" w:cstheme="majorHAnsi"/>
          <w:color w:val="000000" w:themeColor="text1"/>
          <w:sz w:val="22"/>
          <w:szCs w:val="22"/>
          <w:lang w:eastAsia="ja-JP"/>
        </w:rPr>
        <w:sectPr w:rsidR="007B23ED" w:rsidRPr="005E6B7C" w:rsidSect="007B23ED">
          <w:type w:val="continuous"/>
          <w:pgSz w:w="10773" w:h="15309" w:code="9"/>
          <w:pgMar w:top="907" w:right="851" w:bottom="1418" w:left="851" w:header="397" w:footer="851" w:gutter="0"/>
          <w:cols w:space="284"/>
          <w:docGrid w:linePitch="360"/>
        </w:sectPr>
      </w:pPr>
    </w:p>
    <w:p w14:paraId="32E50297"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Among these three strains, no significant strain-to-strain difference was observed in their capacity to increase the content of gymnemagenin in the tested </w:t>
      </w:r>
      <w:r w:rsidRPr="005E6B7C">
        <w:rPr>
          <w:rFonts w:asciiTheme="majorHAnsi" w:eastAsia="Yu Mincho" w:hAnsiTheme="majorHAnsi" w:cstheme="majorHAnsi"/>
          <w:i/>
          <w:color w:val="000000" w:themeColor="text1"/>
          <w:spacing w:val="-4"/>
          <w:sz w:val="22"/>
          <w:szCs w:val="22"/>
          <w:lang w:eastAsia="ja-JP"/>
        </w:rPr>
        <w:t>Gymnema</w:t>
      </w:r>
      <w:r w:rsidRPr="005E6B7C">
        <w:rPr>
          <w:rFonts w:asciiTheme="majorHAnsi" w:eastAsia="Yu Mincho" w:hAnsiTheme="majorHAnsi" w:cstheme="majorHAnsi"/>
          <w:color w:val="000000" w:themeColor="text1"/>
          <w:spacing w:val="-4"/>
          <w:sz w:val="22"/>
          <w:szCs w:val="22"/>
          <w:lang w:eastAsia="ja-JP"/>
        </w:rPr>
        <w:t xml:space="preserve"> R.Br’s samples (paired t-test yielded P values higher than 0.05 for all strain-to-strain </w:t>
      </w:r>
      <w:r w:rsidRPr="005E6B7C">
        <w:rPr>
          <w:rFonts w:asciiTheme="majorHAnsi" w:eastAsia="Yu Mincho" w:hAnsiTheme="majorHAnsi" w:cstheme="majorHAnsi"/>
          <w:color w:val="000000" w:themeColor="text1"/>
          <w:spacing w:val="-4"/>
          <w:sz w:val="22"/>
          <w:szCs w:val="22"/>
          <w:lang w:eastAsia="ja-JP"/>
        </w:rPr>
        <w:t>comparisons, as presented in Table 2).</w:t>
      </w:r>
    </w:p>
    <w:p w14:paraId="16A1367F"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From these results, it is conclusive that </w:t>
      </w:r>
      <w:r w:rsidRPr="005E6B7C">
        <w:rPr>
          <w:rFonts w:asciiTheme="majorHAnsi" w:eastAsia="Yu Mincho" w:hAnsiTheme="majorHAnsi" w:cstheme="majorHAnsi"/>
          <w:i/>
          <w:color w:val="000000" w:themeColor="text1"/>
          <w:sz w:val="22"/>
          <w:szCs w:val="22"/>
          <w:lang w:eastAsia="ja-JP"/>
        </w:rPr>
        <w:t>B. bifidum</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L. casei</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L. rhamnosus</w:t>
      </w:r>
      <w:r w:rsidRPr="005E6B7C">
        <w:rPr>
          <w:rFonts w:asciiTheme="majorHAnsi" w:eastAsia="Yu Mincho" w:hAnsiTheme="majorHAnsi" w:cstheme="majorHAnsi"/>
          <w:color w:val="000000" w:themeColor="text1"/>
          <w:sz w:val="22"/>
          <w:szCs w:val="22"/>
          <w:lang w:eastAsia="ja-JP"/>
        </w:rPr>
        <w:t xml:space="preserve"> were capable of significantly increasing the content of gymnemagenin in </w:t>
      </w:r>
      <w:r w:rsidRPr="005E6B7C">
        <w:rPr>
          <w:rFonts w:asciiTheme="majorHAnsi" w:eastAsia="Yu Mincho" w:hAnsiTheme="majorHAnsi" w:cstheme="majorHAnsi"/>
          <w:i/>
          <w:color w:val="000000" w:themeColor="text1"/>
          <w:sz w:val="22"/>
          <w:szCs w:val="22"/>
          <w:lang w:eastAsia="ja-JP"/>
        </w:rPr>
        <w:t>G. sylvestre</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G. latifolium</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color w:val="000000" w:themeColor="text1"/>
          <w:sz w:val="22"/>
          <w:szCs w:val="22"/>
          <w:lang w:eastAsia="ja-JP"/>
        </w:rPr>
        <w:lastRenderedPageBreak/>
        <w:t xml:space="preserve">samples after 8 days of incubation at </w:t>
      </w:r>
      <w:r w:rsidRPr="005E6B7C">
        <w:rPr>
          <w:rFonts w:asciiTheme="majorHAnsi" w:eastAsia="Yu Mincho" w:hAnsiTheme="majorHAnsi" w:cstheme="majorHAnsi"/>
          <w:iCs/>
          <w:color w:val="000000" w:themeColor="text1"/>
          <w:sz w:val="22"/>
          <w:szCs w:val="22"/>
          <w:lang w:eastAsia="ja-JP"/>
        </w:rPr>
        <w:t xml:space="preserve">35°C ± 2°C, and their capacities were not significantly different from one another. In contrast, </w:t>
      </w:r>
      <w:r w:rsidRPr="005E6B7C">
        <w:rPr>
          <w:rFonts w:asciiTheme="majorHAnsi" w:eastAsia="Yu Mincho" w:hAnsiTheme="majorHAnsi" w:cstheme="majorHAnsi"/>
          <w:i/>
          <w:iCs/>
          <w:color w:val="000000" w:themeColor="text1"/>
          <w:sz w:val="22"/>
          <w:szCs w:val="22"/>
          <w:lang w:eastAsia="ja-JP"/>
        </w:rPr>
        <w:t>B.</w:t>
      </w:r>
      <w:r w:rsidRPr="005E6B7C">
        <w:rPr>
          <w:rFonts w:asciiTheme="majorHAnsi" w:eastAsia="Yu Mincho" w:hAnsiTheme="majorHAnsi" w:cstheme="majorHAnsi"/>
          <w:i/>
          <w:iCs/>
          <w:color w:val="000000" w:themeColor="text1"/>
          <w:sz w:val="22"/>
          <w:szCs w:val="22"/>
          <w:lang w:val="vi-VN" w:eastAsia="ja-JP"/>
        </w:rPr>
        <w:t xml:space="preserve"> </w:t>
      </w:r>
      <w:r w:rsidRPr="005E6B7C">
        <w:rPr>
          <w:rFonts w:asciiTheme="majorHAnsi" w:eastAsia="Yu Mincho" w:hAnsiTheme="majorHAnsi" w:cstheme="majorHAnsi"/>
          <w:i/>
          <w:iCs/>
          <w:color w:val="000000" w:themeColor="text1"/>
          <w:sz w:val="22"/>
          <w:szCs w:val="22"/>
          <w:lang w:eastAsia="ja-JP"/>
        </w:rPr>
        <w:t>subtilis</w:t>
      </w:r>
      <w:r w:rsidRPr="005E6B7C">
        <w:rPr>
          <w:rFonts w:asciiTheme="majorHAnsi" w:eastAsia="Yu Mincho" w:hAnsiTheme="majorHAnsi" w:cstheme="majorHAnsi"/>
          <w:iCs/>
          <w:color w:val="000000" w:themeColor="text1"/>
          <w:sz w:val="22"/>
          <w:szCs w:val="22"/>
          <w:lang w:eastAsia="ja-JP"/>
        </w:rPr>
        <w:t xml:space="preserve">’s capacity to increase gymnemagenin content was not significant in the tested samples. Among the four strains of bacteria, all are capable of producing lactic acid, but only </w:t>
      </w:r>
      <w:r w:rsidRPr="005E6B7C">
        <w:rPr>
          <w:rFonts w:asciiTheme="majorHAnsi" w:eastAsia="Yu Mincho" w:hAnsiTheme="majorHAnsi" w:cstheme="majorHAnsi"/>
          <w:i/>
          <w:iCs/>
          <w:color w:val="000000" w:themeColor="text1"/>
          <w:sz w:val="22"/>
          <w:szCs w:val="22"/>
          <w:lang w:eastAsia="ja-JP"/>
        </w:rPr>
        <w:t>B.</w:t>
      </w:r>
      <w:r w:rsidRPr="005E6B7C">
        <w:rPr>
          <w:rFonts w:asciiTheme="majorHAnsi" w:eastAsia="Yu Mincho" w:hAnsiTheme="majorHAnsi" w:cstheme="majorHAnsi"/>
          <w:i/>
          <w:iCs/>
          <w:color w:val="000000" w:themeColor="text1"/>
          <w:sz w:val="22"/>
          <w:szCs w:val="22"/>
          <w:lang w:val="vi-VN" w:eastAsia="ja-JP"/>
        </w:rPr>
        <w:t xml:space="preserve"> </w:t>
      </w:r>
      <w:r w:rsidRPr="005E6B7C">
        <w:rPr>
          <w:rFonts w:asciiTheme="majorHAnsi" w:eastAsia="Yu Mincho" w:hAnsiTheme="majorHAnsi" w:cstheme="majorHAnsi"/>
          <w:i/>
          <w:iCs/>
          <w:color w:val="000000" w:themeColor="text1"/>
          <w:sz w:val="22"/>
          <w:szCs w:val="22"/>
          <w:lang w:eastAsia="ja-JP"/>
        </w:rPr>
        <w:t>subtilis</w:t>
      </w:r>
      <w:r w:rsidRPr="005E6B7C">
        <w:rPr>
          <w:rFonts w:asciiTheme="majorHAnsi" w:eastAsia="Yu Mincho" w:hAnsiTheme="majorHAnsi" w:cstheme="majorHAnsi"/>
          <w:iCs/>
          <w:color w:val="000000" w:themeColor="text1"/>
          <w:sz w:val="22"/>
          <w:szCs w:val="22"/>
          <w:lang w:eastAsia="ja-JP"/>
        </w:rPr>
        <w:t xml:space="preserve"> is capable of forming protective endospores, and this characteristic can be a factor rendering </w:t>
      </w:r>
      <w:r w:rsidRPr="005E6B7C">
        <w:rPr>
          <w:rFonts w:asciiTheme="majorHAnsi" w:eastAsia="Yu Mincho" w:hAnsiTheme="majorHAnsi" w:cstheme="majorHAnsi"/>
          <w:i/>
          <w:iCs/>
          <w:color w:val="000000" w:themeColor="text1"/>
          <w:sz w:val="22"/>
          <w:szCs w:val="22"/>
          <w:lang w:eastAsia="ja-JP"/>
        </w:rPr>
        <w:t>B. subtilis</w:t>
      </w:r>
      <w:r w:rsidRPr="005E6B7C">
        <w:rPr>
          <w:rFonts w:asciiTheme="majorHAnsi" w:eastAsia="Yu Mincho" w:hAnsiTheme="majorHAnsi" w:cstheme="majorHAnsi"/>
          <w:iCs/>
          <w:color w:val="000000" w:themeColor="text1"/>
          <w:sz w:val="22"/>
          <w:szCs w:val="22"/>
          <w:lang w:eastAsia="ja-JP"/>
        </w:rPr>
        <w:t xml:space="preserve"> less efficient in increasing the content of gymnemagenin than the other three strains, which are not capable of forming protective endospores and thus are not hindered by this transformation.</w:t>
      </w:r>
    </w:p>
    <w:p w14:paraId="41B45F3B"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 xml:space="preserve">Experimental results also showed no significant difference in the capacity of </w:t>
      </w:r>
      <w:r w:rsidRPr="005E6B7C">
        <w:rPr>
          <w:rFonts w:asciiTheme="majorHAnsi" w:eastAsia="Yu Mincho" w:hAnsiTheme="majorHAnsi" w:cstheme="majorHAnsi"/>
          <w:i/>
          <w:color w:val="000000" w:themeColor="text1"/>
          <w:sz w:val="22"/>
          <w:szCs w:val="22"/>
          <w:lang w:eastAsia="ja-JP"/>
        </w:rPr>
        <w:t>B. bifidum</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L. casei</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color w:val="000000" w:themeColor="text1"/>
          <w:sz w:val="22"/>
          <w:szCs w:val="22"/>
          <w:lang w:eastAsia="ja-JP"/>
        </w:rPr>
        <w:t>L. rhamnosus,</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B. subtilis</w:t>
      </w:r>
      <w:r w:rsidRPr="005E6B7C">
        <w:rPr>
          <w:rFonts w:asciiTheme="majorHAnsi" w:eastAsia="Yu Mincho" w:hAnsiTheme="majorHAnsi" w:cstheme="majorHAnsi"/>
          <w:color w:val="000000" w:themeColor="text1"/>
          <w:sz w:val="22"/>
          <w:szCs w:val="22"/>
          <w:lang w:eastAsia="ja-JP"/>
        </w:rPr>
        <w:t xml:space="preserve"> to increase the content of gymnemagenin in identical incubation times. This might reflect the nonstrain-dependent nature of their capacity to increase gymnemagenin in contact with samples during the incubation period. However, a study on a larger scale involving more strains of bacteria and using more </w:t>
      </w:r>
      <w:r w:rsidRPr="005E6B7C">
        <w:rPr>
          <w:rFonts w:asciiTheme="majorHAnsi" w:eastAsia="Yu Mincho" w:hAnsiTheme="majorHAnsi" w:cstheme="majorHAnsi"/>
          <w:i/>
          <w:color w:val="000000" w:themeColor="text1"/>
          <w:sz w:val="22"/>
          <w:szCs w:val="22"/>
          <w:lang w:eastAsia="ja-JP"/>
        </w:rPr>
        <w:t>Gymnema</w:t>
      </w:r>
      <w:r w:rsidRPr="005E6B7C">
        <w:rPr>
          <w:rFonts w:asciiTheme="majorHAnsi" w:eastAsia="Yu Mincho" w:hAnsiTheme="majorHAnsi" w:cstheme="majorHAnsi"/>
          <w:color w:val="000000" w:themeColor="text1"/>
          <w:sz w:val="22"/>
          <w:szCs w:val="22"/>
          <w:lang w:eastAsia="ja-JP"/>
        </w:rPr>
        <w:t xml:space="preserve"> R.Br samples would be necessary to arrive at more conclusive findings on the action mechanism of bacteria and more optimal conditions to employ bacteria for improving the gymnemagenin content in plant materials.</w:t>
      </w:r>
    </w:p>
    <w:p w14:paraId="3FB64402"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b/>
          <w:color w:val="000000" w:themeColor="text1"/>
          <w:sz w:val="22"/>
          <w:szCs w:val="22"/>
          <w:lang w:eastAsia="ja-JP"/>
        </w:rPr>
      </w:pPr>
      <w:r w:rsidRPr="005E6B7C">
        <w:rPr>
          <w:rFonts w:asciiTheme="majorHAnsi" w:eastAsia="Yu Mincho" w:hAnsiTheme="majorHAnsi" w:cstheme="majorHAnsi"/>
          <w:b/>
          <w:color w:val="000000" w:themeColor="text1"/>
          <w:sz w:val="22"/>
          <w:szCs w:val="22"/>
          <w:lang w:eastAsia="ja-JP"/>
        </w:rPr>
        <w:t>4. Conclusion</w:t>
      </w:r>
    </w:p>
    <w:p w14:paraId="4E5BD7F1"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In this study, the capacity to increase the gymnemagenin content in </w:t>
      </w:r>
      <w:r w:rsidRPr="005E6B7C">
        <w:rPr>
          <w:rFonts w:asciiTheme="majorHAnsi" w:eastAsia="Yu Mincho" w:hAnsiTheme="majorHAnsi" w:cstheme="majorHAnsi"/>
          <w:i/>
          <w:color w:val="000000" w:themeColor="text1"/>
          <w:sz w:val="22"/>
          <w:szCs w:val="22"/>
          <w:lang w:eastAsia="ja-JP"/>
        </w:rPr>
        <w:t>Gymnema</w:t>
      </w:r>
      <w:r w:rsidRPr="005E6B7C">
        <w:rPr>
          <w:rFonts w:asciiTheme="majorHAnsi" w:eastAsia="Yu Mincho" w:hAnsiTheme="majorHAnsi" w:cstheme="majorHAnsi"/>
          <w:i/>
          <w:color w:val="000000" w:themeColor="text1"/>
          <w:sz w:val="22"/>
          <w:szCs w:val="22"/>
          <w:lang w:val="vi-VN" w:eastAsia="ja-JP"/>
        </w:rPr>
        <w:t xml:space="preserve"> spp.</w:t>
      </w:r>
      <w:r w:rsidRPr="005E6B7C">
        <w:rPr>
          <w:rFonts w:asciiTheme="majorHAnsi" w:eastAsia="Yu Mincho" w:hAnsiTheme="majorHAnsi" w:cstheme="majorHAnsi"/>
          <w:color w:val="000000" w:themeColor="text1"/>
          <w:sz w:val="22"/>
          <w:szCs w:val="22"/>
          <w:lang w:eastAsia="ja-JP"/>
        </w:rPr>
        <w:t xml:space="preserve"> R.Br samples of four strains of bacteria – </w:t>
      </w:r>
      <w:r w:rsidRPr="005E6B7C">
        <w:rPr>
          <w:rFonts w:asciiTheme="majorHAnsi" w:eastAsia="Yu Mincho" w:hAnsiTheme="majorHAnsi" w:cstheme="majorHAnsi"/>
          <w:i/>
          <w:color w:val="000000" w:themeColor="text1"/>
          <w:sz w:val="22"/>
          <w:szCs w:val="22"/>
          <w:lang w:eastAsia="ja-JP"/>
        </w:rPr>
        <w:t>B. subtilis</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 xml:space="preserve"> B. bifidum</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color w:val="000000" w:themeColor="text1"/>
          <w:sz w:val="22"/>
          <w:szCs w:val="22"/>
          <w:lang w:eastAsia="ja-JP"/>
        </w:rPr>
        <w:t xml:space="preserve"> L.</w:t>
      </w:r>
      <w:r w:rsidRPr="005E6B7C">
        <w:rPr>
          <w:rFonts w:asciiTheme="majorHAnsi" w:eastAsia="Yu Mincho" w:hAnsiTheme="majorHAnsi" w:cstheme="majorHAnsi"/>
          <w:i/>
          <w:color w:val="000000" w:themeColor="text1"/>
          <w:sz w:val="22"/>
          <w:szCs w:val="22"/>
          <w:lang w:val="vi-VN" w:eastAsia="ja-JP"/>
        </w:rPr>
        <w:t xml:space="preserve"> </w:t>
      </w:r>
      <w:r w:rsidRPr="005E6B7C">
        <w:rPr>
          <w:rFonts w:asciiTheme="majorHAnsi" w:eastAsia="Yu Mincho" w:hAnsiTheme="majorHAnsi" w:cstheme="majorHAnsi"/>
          <w:i/>
          <w:color w:val="000000" w:themeColor="text1"/>
          <w:sz w:val="22"/>
          <w:szCs w:val="22"/>
          <w:lang w:eastAsia="ja-JP"/>
        </w:rPr>
        <w:t>casei</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L. rhamnosus</w:t>
      </w:r>
      <w:r w:rsidRPr="005E6B7C">
        <w:rPr>
          <w:rFonts w:asciiTheme="majorHAnsi" w:eastAsia="Yu Mincho" w:hAnsiTheme="majorHAnsi" w:cstheme="majorHAnsi"/>
          <w:color w:val="000000" w:themeColor="text1"/>
          <w:sz w:val="22"/>
          <w:szCs w:val="22"/>
          <w:lang w:eastAsia="ja-JP"/>
        </w:rPr>
        <w:t xml:space="preserve"> – was investigated. </w:t>
      </w:r>
      <w:r w:rsidRPr="005E6B7C">
        <w:rPr>
          <w:rFonts w:asciiTheme="majorHAnsi" w:eastAsia="Yu Mincho" w:hAnsiTheme="majorHAnsi" w:cstheme="majorHAnsi"/>
          <w:iCs/>
          <w:color w:val="000000" w:themeColor="text1"/>
          <w:sz w:val="22"/>
          <w:szCs w:val="22"/>
          <w:lang w:eastAsia="ja-JP"/>
        </w:rPr>
        <w:t xml:space="preserve">When bacteria suspensions initially </w:t>
      </w:r>
      <w:r w:rsidRPr="005E6B7C">
        <w:rPr>
          <w:rFonts w:asciiTheme="majorHAnsi" w:eastAsia="Yu Mincho" w:hAnsiTheme="majorHAnsi" w:cstheme="majorHAnsi"/>
          <w:iCs/>
          <w:color w:val="000000" w:themeColor="text1"/>
          <w:sz w:val="22"/>
          <w:szCs w:val="22"/>
          <w:lang w:eastAsia="ja-JP"/>
        </w:rPr>
        <w:t>containing 10</w:t>
      </w:r>
      <w:r w:rsidRPr="005E6B7C">
        <w:rPr>
          <w:rFonts w:asciiTheme="majorHAnsi" w:eastAsia="Yu Mincho" w:hAnsiTheme="majorHAnsi" w:cstheme="majorHAnsi"/>
          <w:iCs/>
          <w:color w:val="000000" w:themeColor="text1"/>
          <w:sz w:val="22"/>
          <w:szCs w:val="22"/>
          <w:vertAlign w:val="superscript"/>
          <w:lang w:eastAsia="ja-JP"/>
        </w:rPr>
        <w:t>8</w:t>
      </w:r>
      <w:r w:rsidRPr="005E6B7C">
        <w:rPr>
          <w:rFonts w:asciiTheme="majorHAnsi" w:eastAsia="Yu Mincho" w:hAnsiTheme="majorHAnsi" w:cstheme="majorHAnsi"/>
          <w:iCs/>
          <w:color w:val="000000" w:themeColor="text1"/>
          <w:sz w:val="22"/>
          <w:szCs w:val="22"/>
          <w:lang w:eastAsia="ja-JP"/>
        </w:rPr>
        <w:t xml:space="preserve"> CFU/mL were used, and the amount of tested samples was fixed at 0.75 g, the most suitable ratio for incubation was 70 mL of bacteria suspension for one portion of sample preparation, and the most suitable incubation time was 8 days. </w:t>
      </w:r>
    </w:p>
    <w:p w14:paraId="347822E0"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Among the four bacterial strains, </w:t>
      </w:r>
      <w:r w:rsidRPr="005E6B7C">
        <w:rPr>
          <w:rFonts w:asciiTheme="majorHAnsi" w:eastAsia="Yu Mincho" w:hAnsiTheme="majorHAnsi" w:cstheme="majorHAnsi"/>
          <w:i/>
          <w:iCs/>
          <w:color w:val="000000" w:themeColor="text1"/>
          <w:sz w:val="22"/>
          <w:szCs w:val="22"/>
          <w:lang w:eastAsia="ja-JP"/>
        </w:rPr>
        <w:t>B. bifidum</w:t>
      </w:r>
      <w:r w:rsidRPr="005E6B7C">
        <w:rPr>
          <w:rFonts w:asciiTheme="majorHAnsi" w:eastAsia="Yu Mincho" w:hAnsiTheme="majorHAnsi" w:cstheme="majorHAns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L. casei</w:t>
      </w:r>
      <w:r w:rsidRPr="005E6B7C">
        <w:rPr>
          <w:rFonts w:asciiTheme="majorHAnsi" w:eastAsia="Yu Mincho" w:hAnsiTheme="majorHAnsi" w:cstheme="majorHAnsi"/>
          <w:iCs/>
          <w:color w:val="000000" w:themeColor="text1"/>
          <w:sz w:val="22"/>
          <w:szCs w:val="22"/>
          <w:lang w:eastAsia="ja-JP"/>
        </w:rPr>
        <w:t xml:space="preserve">, and </w:t>
      </w:r>
      <w:r w:rsidRPr="005E6B7C">
        <w:rPr>
          <w:rFonts w:asciiTheme="majorHAnsi" w:eastAsia="Yu Mincho" w:hAnsiTheme="majorHAnsi" w:cstheme="majorHAnsi"/>
          <w:i/>
          <w:iCs/>
          <w:color w:val="000000" w:themeColor="text1"/>
          <w:sz w:val="22"/>
          <w:szCs w:val="22"/>
          <w:lang w:eastAsia="ja-JP"/>
        </w:rPr>
        <w:t>L. rhamnosus</w:t>
      </w:r>
      <w:r w:rsidRPr="005E6B7C">
        <w:rPr>
          <w:rFonts w:asciiTheme="majorHAnsi" w:eastAsia="Yu Mincho" w:hAnsiTheme="majorHAnsi" w:cstheme="majorHAnsi"/>
          <w:color w:val="000000" w:themeColor="text1"/>
          <w:sz w:val="22"/>
          <w:szCs w:val="22"/>
          <w:lang w:eastAsia="ja-JP"/>
        </w:rPr>
        <w:t xml:space="preserve"> were proven to be capable of increasing significantly the gymnemagenin content in samples of </w:t>
      </w:r>
      <w:r w:rsidRPr="005E6B7C">
        <w:rPr>
          <w:rFonts w:asciiTheme="majorHAnsi" w:eastAsia="Yu Mincho" w:hAnsiTheme="majorHAnsi" w:cstheme="majorHAnsi"/>
          <w:i/>
          <w:color w:val="000000" w:themeColor="text1"/>
          <w:sz w:val="22"/>
          <w:szCs w:val="22"/>
          <w:lang w:eastAsia="ja-JP"/>
        </w:rPr>
        <w:t>G. sylvestre</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color w:val="000000" w:themeColor="text1"/>
          <w:sz w:val="22"/>
          <w:szCs w:val="22"/>
          <w:lang w:eastAsia="ja-JP"/>
        </w:rPr>
        <w:t>G. latifolium</w:t>
      </w:r>
      <w:r w:rsidRPr="005E6B7C">
        <w:rPr>
          <w:rFonts w:asciiTheme="majorHAnsi" w:eastAsia="Yu Mincho" w:hAnsiTheme="majorHAnsi" w:cstheme="majorHAnsi"/>
          <w:color w:val="000000" w:themeColor="text1"/>
          <w:sz w:val="22"/>
          <w:szCs w:val="22"/>
          <w:lang w:eastAsia="ja-JP"/>
        </w:rPr>
        <w:t xml:space="preserve"> after 8 days of incubation at </w:t>
      </w:r>
      <w:r w:rsidRPr="005E6B7C">
        <w:rPr>
          <w:rFonts w:asciiTheme="majorHAnsi" w:eastAsia="Yu Mincho" w:hAnsiTheme="majorHAnsi" w:cstheme="majorHAnsi"/>
          <w:iCs/>
          <w:color w:val="000000" w:themeColor="text1"/>
          <w:sz w:val="22"/>
          <w:szCs w:val="22"/>
          <w:lang w:eastAsia="ja-JP"/>
        </w:rPr>
        <w:t xml:space="preserve">35°C ± 2°C. </w:t>
      </w:r>
    </w:p>
    <w:p w14:paraId="7FDEBB8B"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The relation between the incubation time and the increase of gymnemagenin content in the sample was found to depend on the initial amount of bacteria rather than on the nature of the bacterial strains. Experimental results also revealed no significant strain-to-strain difference in the capacity to increase gymnemagenin content in plant materials.</w:t>
      </w:r>
    </w:p>
    <w:p w14:paraId="1ECDD156"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Cs/>
          <w:color w:val="000000" w:themeColor="text1"/>
          <w:sz w:val="22"/>
          <w:szCs w:val="22"/>
          <w:lang w:eastAsia="ja-JP"/>
        </w:rPr>
      </w:pPr>
      <w:r w:rsidRPr="005E6B7C">
        <w:rPr>
          <w:rFonts w:asciiTheme="majorHAnsi" w:eastAsia="Yu Mincho" w:hAnsiTheme="majorHAnsi" w:cstheme="majorHAnsi"/>
          <w:iCs/>
          <w:color w:val="000000" w:themeColor="text1"/>
          <w:sz w:val="22"/>
          <w:szCs w:val="22"/>
          <w:lang w:eastAsia="ja-JP"/>
        </w:rPr>
        <w:t>From the findings of this study, in order to further optimize the incubation efficiency and to increase the gymnemagenin content after fermentation, it is necessary to carry out further studies on the relationship between the initial amount of bacteria and the biotransformation rate to produce gymnemagenin during the fermentation process.</w:t>
      </w:r>
    </w:p>
    <w:p w14:paraId="58E4A43C" w14:textId="77777777" w:rsidR="007B23ED" w:rsidRPr="005E6B7C" w:rsidRDefault="007B23ED" w:rsidP="007B23ED">
      <w:pPr>
        <w:tabs>
          <w:tab w:val="left" w:pos="270"/>
          <w:tab w:val="left" w:pos="540"/>
          <w:tab w:val="left" w:pos="9270"/>
        </w:tabs>
        <w:spacing w:line="230" w:lineRule="exact"/>
        <w:ind w:firstLine="284"/>
        <w:contextualSpacing/>
        <w:jc w:val="both"/>
        <w:rPr>
          <w:rFonts w:asciiTheme="majorHAnsi" w:eastAsia="Yu Mincho" w:hAnsiTheme="majorHAnsi" w:cstheme="majorHAnsi"/>
          <w:i/>
          <w:iCs/>
          <w:color w:val="000000" w:themeColor="text1"/>
          <w:sz w:val="20"/>
          <w:szCs w:val="20"/>
          <w:lang w:eastAsia="ja-JP"/>
        </w:rPr>
        <w:sectPr w:rsidR="007B23ED" w:rsidRPr="005E6B7C" w:rsidSect="007B23ED">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iCs/>
          <w:color w:val="000000" w:themeColor="text1"/>
          <w:sz w:val="20"/>
          <w:szCs w:val="20"/>
          <w:lang w:eastAsia="ja-JP"/>
        </w:rPr>
        <w:t xml:space="preserve">Acknowledgement: </w:t>
      </w:r>
      <w:r w:rsidRPr="005E6B7C">
        <w:rPr>
          <w:rFonts w:asciiTheme="majorHAnsi" w:eastAsia="Yu Mincho" w:hAnsiTheme="majorHAnsi" w:cstheme="majorHAnsi"/>
          <w:i/>
          <w:iCs/>
          <w:color w:val="000000" w:themeColor="text1"/>
          <w:sz w:val="20"/>
          <w:szCs w:val="20"/>
          <w:lang w:eastAsia="ja-JP"/>
        </w:rPr>
        <w:t>The authors acknowledge and would like to express our gratitude toward Assoc. Prof. Tran Van On, Ph.D. for his precious and useful recommendations during the implementation of this study.</w:t>
      </w:r>
    </w:p>
    <w:p w14:paraId="567D8363" w14:textId="77777777" w:rsidR="007B23ED" w:rsidRPr="005E6B7C" w:rsidRDefault="007B23ED" w:rsidP="007B23ED">
      <w:pPr>
        <w:tabs>
          <w:tab w:val="left" w:pos="90"/>
          <w:tab w:val="left" w:pos="540"/>
          <w:tab w:val="left" w:pos="9270"/>
        </w:tabs>
        <w:jc w:val="center"/>
        <w:rPr>
          <w:rFonts w:asciiTheme="majorHAnsi" w:eastAsia="Yu Mincho" w:hAnsiTheme="majorHAnsi" w:cstheme="majorHAnsi"/>
          <w:b/>
          <w:color w:val="000000" w:themeColor="text1"/>
          <w:sz w:val="18"/>
          <w:szCs w:val="18"/>
          <w:lang w:eastAsia="ja-JP"/>
        </w:rPr>
      </w:pPr>
    </w:p>
    <w:p w14:paraId="282654E4" w14:textId="77777777" w:rsidR="007B23ED" w:rsidRPr="005E6B7C" w:rsidRDefault="007B23ED" w:rsidP="007B23ED">
      <w:pPr>
        <w:tabs>
          <w:tab w:val="left" w:pos="90"/>
          <w:tab w:val="left" w:pos="540"/>
          <w:tab w:val="left" w:pos="9270"/>
        </w:tabs>
        <w:spacing w:after="120"/>
        <w:jc w:val="center"/>
        <w:rPr>
          <w:rFonts w:asciiTheme="majorHAnsi" w:eastAsia="Yu Mincho" w:hAnsiTheme="majorHAnsi" w:cstheme="majorHAnsi"/>
          <w:b/>
          <w:color w:val="000000" w:themeColor="text1"/>
          <w:sz w:val="18"/>
          <w:szCs w:val="18"/>
          <w:lang w:eastAsia="ja-JP"/>
        </w:rPr>
      </w:pPr>
      <w:r w:rsidRPr="005E6B7C">
        <w:rPr>
          <w:rFonts w:asciiTheme="majorHAnsi" w:eastAsia="Yu Mincho" w:hAnsiTheme="majorHAnsi" w:cstheme="majorHAnsi"/>
          <w:b/>
          <w:color w:val="000000" w:themeColor="text1"/>
          <w:sz w:val="18"/>
          <w:szCs w:val="18"/>
          <w:lang w:eastAsia="ja-JP"/>
        </w:rPr>
        <w:t>References</w:t>
      </w:r>
    </w:p>
    <w:p w14:paraId="61938631" w14:textId="77777777" w:rsidR="007B23ED" w:rsidRPr="005E6B7C" w:rsidRDefault="007B23ED" w:rsidP="007B23ED">
      <w:pPr>
        <w:tabs>
          <w:tab w:val="left" w:pos="54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w:t>
      </w:r>
      <w:r w:rsidRPr="005E6B7C">
        <w:rPr>
          <w:rFonts w:asciiTheme="majorHAnsi" w:eastAsia="Yu Mincho" w:hAnsiTheme="majorHAnsi" w:cstheme="majorHAnsi"/>
          <w:color w:val="000000" w:themeColor="text1"/>
          <w:sz w:val="18"/>
          <w:szCs w:val="18"/>
          <w:lang w:eastAsia="ja-JP"/>
        </w:rPr>
        <w:t xml:space="preserve"> Pandeya M. M, Rastogia S., Vaishnavb K, Meenab B. (2023), Chemical variability in Gymnemagenin, deacyl gymnemic acid, lupeol and stigmasterol of </w:t>
      </w:r>
      <w:r w:rsidRPr="005E6B7C">
        <w:rPr>
          <w:rFonts w:asciiTheme="majorHAnsi" w:eastAsia="Yu Mincho" w:hAnsiTheme="majorHAnsi" w:cstheme="majorHAnsi"/>
          <w:i/>
          <w:color w:val="000000" w:themeColor="text1"/>
          <w:sz w:val="18"/>
          <w:szCs w:val="18"/>
          <w:lang w:eastAsia="ja-JP"/>
        </w:rPr>
        <w:t>Gymnema sylvestre</w:t>
      </w:r>
      <w:r w:rsidRPr="005E6B7C">
        <w:rPr>
          <w:rFonts w:asciiTheme="majorHAnsi" w:eastAsia="Yu Mincho" w:hAnsiTheme="majorHAnsi" w:cstheme="majorHAnsi"/>
          <w:color w:val="000000" w:themeColor="text1"/>
          <w:sz w:val="18"/>
          <w:szCs w:val="18"/>
          <w:lang w:eastAsia="ja-JP"/>
        </w:rPr>
        <w:t xml:space="preserve"> R. Br. populations in India, </w:t>
      </w:r>
      <w:r w:rsidRPr="005E6B7C">
        <w:rPr>
          <w:rFonts w:asciiTheme="majorHAnsi" w:eastAsia="Yu Mincho" w:hAnsiTheme="majorHAnsi" w:cstheme="majorHAnsi"/>
          <w:i/>
          <w:color w:val="000000" w:themeColor="text1"/>
          <w:sz w:val="18"/>
          <w:szCs w:val="18"/>
          <w:lang w:eastAsia="ja-JP"/>
        </w:rPr>
        <w:t>Indian Journal of Traditional Knowledge</w:t>
      </w:r>
      <w:r w:rsidRPr="005E6B7C">
        <w:rPr>
          <w:rFonts w:asciiTheme="majorHAnsi" w:eastAsia="Yu Mincho" w:hAnsiTheme="majorHAnsi" w:cstheme="majorHAnsi"/>
          <w:color w:val="000000" w:themeColor="text1"/>
          <w:sz w:val="18"/>
          <w:szCs w:val="18"/>
          <w:lang w:eastAsia="ja-JP"/>
        </w:rPr>
        <w:t>, 22(4), 761-769.</w:t>
      </w:r>
    </w:p>
    <w:p w14:paraId="738FFE0F" w14:textId="77777777" w:rsidR="007B23ED" w:rsidRPr="005E6B7C" w:rsidRDefault="007B23ED" w:rsidP="007B23ED">
      <w:pPr>
        <w:tabs>
          <w:tab w:val="left" w:pos="54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2.</w:t>
      </w:r>
      <w:r w:rsidRPr="005E6B7C">
        <w:rPr>
          <w:rFonts w:asciiTheme="majorHAnsi" w:eastAsia="Yu Mincho" w:hAnsiTheme="majorHAnsi" w:cstheme="majorHAnsi"/>
          <w:color w:val="000000" w:themeColor="text1"/>
          <w:sz w:val="18"/>
          <w:szCs w:val="18"/>
          <w:lang w:eastAsia="ja-JP"/>
        </w:rPr>
        <w:t xml:space="preserve"> Ahamad J., Amin S., Naquvi K. J., Mir S. R. (2023), Gymnemagenin a Promising Drug Candidate for Management of Hyperglycemia: In-Vitro and In-Vivo Study, </w:t>
      </w:r>
      <w:r w:rsidRPr="005E6B7C">
        <w:rPr>
          <w:rFonts w:asciiTheme="majorHAnsi" w:eastAsia="Yu Mincho" w:hAnsiTheme="majorHAnsi" w:cstheme="majorHAnsi"/>
          <w:i/>
          <w:color w:val="000000" w:themeColor="text1"/>
          <w:sz w:val="18"/>
          <w:szCs w:val="18"/>
          <w:lang w:eastAsia="ja-JP"/>
        </w:rPr>
        <w:t>Journal of Angiotherapy Research</w:t>
      </w:r>
      <w:r w:rsidRPr="005E6B7C">
        <w:rPr>
          <w:rFonts w:asciiTheme="majorHAnsi" w:eastAsia="Yu Mincho" w:hAnsiTheme="majorHAnsi" w:cstheme="majorHAnsi"/>
          <w:color w:val="000000" w:themeColor="text1"/>
          <w:sz w:val="18"/>
          <w:szCs w:val="18"/>
          <w:lang w:eastAsia="ja-JP"/>
        </w:rPr>
        <w:t>, 7(1), 1 – 6.</w:t>
      </w:r>
    </w:p>
    <w:p w14:paraId="761273BE" w14:textId="77777777" w:rsidR="007B23ED" w:rsidRPr="005E6B7C" w:rsidRDefault="007B23ED" w:rsidP="007B23ED">
      <w:pPr>
        <w:tabs>
          <w:tab w:val="left" w:pos="54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3. </w:t>
      </w:r>
      <w:r w:rsidRPr="005E6B7C">
        <w:rPr>
          <w:rFonts w:asciiTheme="majorHAnsi" w:eastAsia="Yu Mincho" w:hAnsiTheme="majorHAnsi" w:cstheme="majorHAnsi"/>
          <w:color w:val="000000" w:themeColor="text1"/>
          <w:sz w:val="18"/>
          <w:szCs w:val="18"/>
          <w:lang w:eastAsia="ja-JP"/>
        </w:rPr>
        <w:t>Das</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 xml:space="preserve">Nandy A., Patil V. S., Hegde H. V., Harish D. R., Roy S. (2022), Elucidating type 2 diabetes mellitus risk factor by promoting lipid metabolism with gymnemagenin: An </w:t>
      </w:r>
      <w:r w:rsidRPr="005E6B7C">
        <w:rPr>
          <w:rFonts w:asciiTheme="majorHAnsi" w:eastAsia="Yu Mincho" w:hAnsiTheme="majorHAnsi" w:cstheme="majorHAnsi"/>
          <w:i/>
          <w:iCs/>
          <w:color w:val="000000" w:themeColor="text1"/>
          <w:sz w:val="18"/>
          <w:szCs w:val="18"/>
          <w:lang w:eastAsia="ja-JP"/>
        </w:rPr>
        <w:t>in vitro</w:t>
      </w:r>
      <w:r w:rsidRPr="005E6B7C">
        <w:rPr>
          <w:rFonts w:asciiTheme="majorHAnsi" w:eastAsia="Yu Mincho" w:hAnsiTheme="majorHAnsi" w:cstheme="majorHAnsi"/>
          <w:color w:val="000000" w:themeColor="text1"/>
          <w:sz w:val="18"/>
          <w:szCs w:val="18"/>
          <w:lang w:eastAsia="ja-JP"/>
        </w:rPr>
        <w:t xml:space="preserve"> and in silico approach, </w:t>
      </w:r>
      <w:r w:rsidRPr="005E6B7C">
        <w:rPr>
          <w:rFonts w:asciiTheme="majorHAnsi" w:eastAsia="Yu Mincho" w:hAnsiTheme="majorHAnsi" w:cstheme="majorHAnsi"/>
          <w:i/>
          <w:color w:val="000000" w:themeColor="text1"/>
          <w:sz w:val="18"/>
          <w:szCs w:val="18"/>
          <w:lang w:eastAsia="ja-JP"/>
        </w:rPr>
        <w:t>Frontiers in Pharmacology</w:t>
      </w:r>
      <w:r w:rsidRPr="005E6B7C">
        <w:rPr>
          <w:rFonts w:asciiTheme="majorHAnsi" w:eastAsia="Yu Mincho" w:hAnsiTheme="majorHAnsi" w:cstheme="majorHAnsi"/>
          <w:color w:val="000000" w:themeColor="text1"/>
          <w:sz w:val="18"/>
          <w:szCs w:val="18"/>
          <w:lang w:eastAsia="ja-JP"/>
        </w:rPr>
        <w:t>,</w:t>
      </w:r>
      <w:r w:rsidRPr="005E6B7C">
        <w:rPr>
          <w:rFonts w:asciiTheme="majorHAnsi" w:eastAsia="Yu Mincho" w:hAnsiTheme="majorHAnsi" w:cstheme="majorHAnsi"/>
          <w:i/>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1074342. </w:t>
      </w:r>
      <w:r w:rsidRPr="005E6B7C">
        <w:rPr>
          <w:rFonts w:asciiTheme="majorHAnsi" w:eastAsia="Yu Mincho" w:hAnsiTheme="majorHAnsi" w:cstheme="majorHAnsi"/>
          <w:color w:val="000000" w:themeColor="text1"/>
          <w:sz w:val="18"/>
          <w:szCs w:val="18"/>
          <w:shd w:val="clear" w:color="auto" w:fill="FFFFFF"/>
          <w:lang w:eastAsia="ja-JP"/>
        </w:rPr>
        <w:t>doi: 10.3389/fphar.2022.1074342.</w:t>
      </w:r>
    </w:p>
    <w:p w14:paraId="3CEF2840" w14:textId="77777777" w:rsidR="007B23ED" w:rsidRPr="005E6B7C" w:rsidRDefault="007B23ED" w:rsidP="007B23ED">
      <w:pPr>
        <w:tabs>
          <w:tab w:val="left" w:pos="540"/>
          <w:tab w:val="left" w:pos="9270"/>
        </w:tabs>
        <w:spacing w:line="200" w:lineRule="exact"/>
        <w:contextualSpacing/>
        <w:jc w:val="both"/>
        <w:outlineLvl w:val="0"/>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4.</w:t>
      </w:r>
      <w:r w:rsidRPr="005E6B7C">
        <w:rPr>
          <w:rFonts w:asciiTheme="majorHAnsi" w:eastAsia="Times New Roman" w:hAnsiTheme="majorHAnsi" w:cstheme="majorHAnsi"/>
          <w:color w:val="000000" w:themeColor="text1"/>
          <w:sz w:val="18"/>
          <w:szCs w:val="18"/>
          <w:lang w:eastAsia="ja-JP"/>
        </w:rPr>
        <w:t xml:space="preserve"> Wu T., Wang N., Zhang Y., Xu X. (2013), Advances in the study on microbial fermentation and transformation of traditional Chinese medicine, </w:t>
      </w:r>
      <w:r w:rsidRPr="005E6B7C">
        <w:rPr>
          <w:rFonts w:asciiTheme="majorHAnsi" w:eastAsia="Times New Roman" w:hAnsiTheme="majorHAnsi" w:cstheme="majorHAnsi"/>
          <w:i/>
          <w:color w:val="000000" w:themeColor="text1"/>
          <w:sz w:val="18"/>
          <w:szCs w:val="18"/>
          <w:lang w:eastAsia="ja-JP"/>
        </w:rPr>
        <w:t>African Journal of Microbiology Research</w:t>
      </w:r>
      <w:r w:rsidRPr="005E6B7C">
        <w:rPr>
          <w:rFonts w:asciiTheme="majorHAnsi" w:eastAsia="Times New Roman" w:hAnsiTheme="majorHAnsi" w:cstheme="majorHAnsi"/>
          <w:color w:val="000000" w:themeColor="text1"/>
          <w:sz w:val="18"/>
          <w:szCs w:val="18"/>
          <w:lang w:eastAsia="ja-JP"/>
        </w:rPr>
        <w:t>, 7, 1644–1650.</w:t>
      </w:r>
    </w:p>
    <w:p w14:paraId="3DE7EC34" w14:textId="77777777" w:rsidR="007B23ED" w:rsidRPr="005E6B7C" w:rsidRDefault="007B23ED" w:rsidP="007B23ED">
      <w:pPr>
        <w:tabs>
          <w:tab w:val="left" w:pos="540"/>
          <w:tab w:val="left" w:pos="9270"/>
        </w:tabs>
        <w:spacing w:line="200" w:lineRule="exact"/>
        <w:contextualSpacing/>
        <w:jc w:val="both"/>
        <w:outlineLvl w:val="0"/>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5.</w:t>
      </w:r>
      <w:r w:rsidRPr="005E6B7C">
        <w:rPr>
          <w:rFonts w:asciiTheme="majorHAnsi" w:eastAsia="Times New Roman" w:hAnsiTheme="majorHAnsi" w:cstheme="majorHAnsi"/>
          <w:color w:val="000000" w:themeColor="text1"/>
          <w:sz w:val="18"/>
          <w:szCs w:val="18"/>
          <w:lang w:eastAsia="ja-JP"/>
        </w:rPr>
        <w:t xml:space="preserve"> Donkor O. N., Shah N. P. (2007), Production of β-Glucosidase and Hydrolysis of Isoflavone Phytoestrogens by </w:t>
      </w:r>
      <w:r w:rsidRPr="005E6B7C">
        <w:rPr>
          <w:rFonts w:asciiTheme="majorHAnsi" w:eastAsia="Times New Roman" w:hAnsiTheme="majorHAnsi" w:cstheme="majorHAnsi"/>
          <w:i/>
          <w:iCs/>
          <w:color w:val="000000" w:themeColor="text1"/>
          <w:sz w:val="18"/>
          <w:szCs w:val="18"/>
          <w:lang w:eastAsia="ja-JP"/>
        </w:rPr>
        <w:t>Lactobacillus acidophilus</w:t>
      </w:r>
      <w:r w:rsidRPr="005E6B7C">
        <w:rPr>
          <w:rFonts w:asciiTheme="majorHAnsi" w:eastAsia="Times New Roman" w:hAnsiTheme="majorHAnsi" w:cstheme="majorHAnsi"/>
          <w:color w:val="000000" w:themeColor="text1"/>
          <w:sz w:val="18"/>
          <w:szCs w:val="18"/>
          <w:lang w:eastAsia="ja-JP"/>
        </w:rPr>
        <w:t>, </w:t>
      </w:r>
      <w:r w:rsidRPr="005E6B7C">
        <w:rPr>
          <w:rFonts w:asciiTheme="majorHAnsi" w:eastAsia="Times New Roman" w:hAnsiTheme="majorHAnsi" w:cstheme="majorHAnsi"/>
          <w:i/>
          <w:iCs/>
          <w:color w:val="000000" w:themeColor="text1"/>
          <w:sz w:val="18"/>
          <w:szCs w:val="18"/>
          <w:lang w:eastAsia="ja-JP"/>
        </w:rPr>
        <w:t>Bifidobacterium lactis</w:t>
      </w:r>
      <w:r w:rsidRPr="005E6B7C">
        <w:rPr>
          <w:rFonts w:asciiTheme="majorHAnsi" w:eastAsia="Times New Roman" w:hAnsiTheme="majorHAnsi" w:cstheme="majorHAnsi"/>
          <w:color w:val="000000" w:themeColor="text1"/>
          <w:sz w:val="18"/>
          <w:szCs w:val="18"/>
          <w:lang w:eastAsia="ja-JP"/>
        </w:rPr>
        <w:t>, and </w:t>
      </w:r>
      <w:r w:rsidRPr="005E6B7C">
        <w:rPr>
          <w:rFonts w:asciiTheme="majorHAnsi" w:eastAsia="Times New Roman" w:hAnsiTheme="majorHAnsi" w:cstheme="majorHAnsi"/>
          <w:i/>
          <w:iCs/>
          <w:color w:val="000000" w:themeColor="text1"/>
          <w:sz w:val="18"/>
          <w:szCs w:val="18"/>
          <w:lang w:eastAsia="ja-JP"/>
        </w:rPr>
        <w:t>Lactobacillus casei</w:t>
      </w:r>
      <w:r w:rsidRPr="005E6B7C">
        <w:rPr>
          <w:rFonts w:asciiTheme="majorHAnsi" w:eastAsia="Times New Roman" w:hAnsiTheme="majorHAnsi" w:cstheme="majorHAnsi"/>
          <w:color w:val="000000" w:themeColor="text1"/>
          <w:sz w:val="18"/>
          <w:szCs w:val="18"/>
          <w:lang w:eastAsia="ja-JP"/>
        </w:rPr>
        <w:t xml:space="preserve"> in Soymilk, </w:t>
      </w:r>
      <w:r w:rsidRPr="005E6B7C">
        <w:rPr>
          <w:rFonts w:asciiTheme="majorHAnsi" w:eastAsia="Times New Roman" w:hAnsiTheme="majorHAnsi" w:cstheme="majorHAnsi"/>
          <w:bCs/>
          <w:i/>
          <w:color w:val="000000" w:themeColor="text1"/>
          <w:sz w:val="18"/>
          <w:szCs w:val="18"/>
          <w:lang w:eastAsia="ja-JP"/>
        </w:rPr>
        <w:t>Journal of Food Science</w:t>
      </w:r>
      <w:r w:rsidRPr="005E6B7C">
        <w:rPr>
          <w:rFonts w:asciiTheme="majorHAnsi" w:eastAsia="Times New Roman" w:hAnsiTheme="majorHAnsi" w:cstheme="majorHAnsi"/>
          <w:bCs/>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 xml:space="preserve"> https://doi.org/10.1111/j.1750-3841.2007.00547.x.</w:t>
      </w:r>
    </w:p>
    <w:p w14:paraId="055D4F46" w14:textId="77777777" w:rsidR="007B23ED" w:rsidRPr="005E6B7C" w:rsidRDefault="007B23ED" w:rsidP="007B23ED">
      <w:pPr>
        <w:tabs>
          <w:tab w:val="left" w:pos="540"/>
          <w:tab w:val="left" w:pos="9270"/>
        </w:tabs>
        <w:spacing w:line="200" w:lineRule="exact"/>
        <w:jc w:val="both"/>
        <w:outlineLvl w:val="0"/>
        <w:rPr>
          <w:rFonts w:asciiTheme="majorHAnsi" w:eastAsia="Times New Roman" w:hAnsiTheme="majorHAnsi" w:cstheme="majorHAnsi"/>
          <w:b/>
          <w:color w:val="000000" w:themeColor="text1"/>
          <w:sz w:val="18"/>
          <w:szCs w:val="18"/>
          <w:lang w:eastAsia="ja-JP"/>
        </w:rPr>
      </w:pPr>
      <w:r w:rsidRPr="005E6B7C">
        <w:rPr>
          <w:rFonts w:asciiTheme="majorHAnsi" w:eastAsia="Times New Roman" w:hAnsiTheme="majorHAnsi" w:cstheme="majorHAnsi"/>
          <w:b/>
          <w:color w:val="000000" w:themeColor="text1"/>
          <w:sz w:val="18"/>
          <w:szCs w:val="18"/>
          <w:lang w:eastAsia="ja-JP"/>
        </w:rPr>
        <w:t>6.</w:t>
      </w:r>
      <w:r w:rsidRPr="005E6B7C">
        <w:rPr>
          <w:rFonts w:asciiTheme="majorHAnsi" w:eastAsia="Times New Roman" w:hAnsiTheme="majorHAnsi" w:cstheme="majorHAnsi"/>
          <w:color w:val="000000" w:themeColor="text1"/>
          <w:sz w:val="18"/>
          <w:szCs w:val="18"/>
          <w:lang w:eastAsia="ja-JP"/>
        </w:rPr>
        <w:t xml:space="preserve"> Liu L. H., Zhang C. N., Zhang H. M., Qu G. Q., Liu L. B. (2021), Biotransformation of polyphenols in apple pomace fermented by </w:t>
      </w:r>
      <w:r w:rsidRPr="005E6B7C">
        <w:rPr>
          <w:rFonts w:asciiTheme="majorHAnsi" w:eastAsia="Times New Roman" w:hAnsiTheme="majorHAnsi" w:cstheme="majorHAnsi"/>
          <w:i/>
          <w:color w:val="000000" w:themeColor="text1"/>
          <w:sz w:val="18"/>
          <w:szCs w:val="18"/>
          <w:lang w:eastAsia="ja-JP"/>
        </w:rPr>
        <w:t>β</w:t>
      </w:r>
      <w:r w:rsidRPr="005E6B7C">
        <w:rPr>
          <w:rFonts w:asciiTheme="majorHAnsi" w:eastAsia="Times New Roman" w:hAnsiTheme="majorHAnsi" w:cstheme="majorHAnsi"/>
          <w:color w:val="000000" w:themeColor="text1"/>
          <w:sz w:val="18"/>
          <w:szCs w:val="18"/>
          <w:lang w:eastAsia="ja-JP"/>
        </w:rPr>
        <w:t>-glucosidase-producing </w:t>
      </w:r>
      <w:r w:rsidRPr="005E6B7C">
        <w:rPr>
          <w:rFonts w:asciiTheme="majorHAnsi" w:eastAsia="Times New Roman" w:hAnsiTheme="majorHAnsi" w:cstheme="majorHAnsi"/>
          <w:i/>
          <w:iCs/>
          <w:color w:val="000000" w:themeColor="text1"/>
          <w:sz w:val="18"/>
          <w:szCs w:val="18"/>
          <w:lang w:eastAsia="ja-JP"/>
        </w:rPr>
        <w:t>Lactobacillus rhamnosus</w:t>
      </w:r>
      <w:r w:rsidRPr="005E6B7C">
        <w:rPr>
          <w:rFonts w:asciiTheme="majorHAnsi" w:eastAsia="Times New Roman" w:hAnsiTheme="majorHAnsi" w:cstheme="majorHAnsi"/>
          <w:color w:val="000000" w:themeColor="text1"/>
          <w:sz w:val="18"/>
          <w:szCs w:val="18"/>
          <w:lang w:eastAsia="ja-JP"/>
        </w:rPr>
        <w:t xml:space="preserve"> L08”, </w:t>
      </w:r>
      <w:r w:rsidRPr="005E6B7C">
        <w:rPr>
          <w:rFonts w:asciiTheme="majorHAnsi" w:eastAsia="Times New Roman" w:hAnsiTheme="majorHAnsi" w:cstheme="majorHAnsi"/>
          <w:bCs/>
          <w:i/>
          <w:color w:val="000000" w:themeColor="text1"/>
          <w:sz w:val="18"/>
          <w:szCs w:val="18"/>
          <w:lang w:eastAsia="ja-JP"/>
        </w:rPr>
        <w:t>Food</w:t>
      </w:r>
      <w:r w:rsidRPr="005E6B7C">
        <w:rPr>
          <w:rFonts w:asciiTheme="majorHAnsi" w:eastAsia="Times New Roman" w:hAnsiTheme="majorHAnsi" w:cstheme="majorHAnsi"/>
          <w:bCs/>
          <w:color w:val="000000" w:themeColor="text1"/>
          <w:sz w:val="18"/>
          <w:szCs w:val="18"/>
          <w:lang w:eastAsia="ja-JP"/>
        </w:rPr>
        <w:t>,</w:t>
      </w:r>
      <w:r w:rsidRPr="005E6B7C">
        <w:rPr>
          <w:rFonts w:asciiTheme="majorHAnsi" w:eastAsia="Times New Roman" w:hAnsiTheme="majorHAnsi" w:cstheme="majorHAnsi"/>
          <w:color w:val="000000" w:themeColor="text1"/>
          <w:sz w:val="18"/>
          <w:szCs w:val="18"/>
          <w:lang w:eastAsia="ja-JP"/>
        </w:rPr>
        <w:t xml:space="preserve"> 10(6), 1343. </w:t>
      </w:r>
    </w:p>
    <w:p w14:paraId="67B6F5BC" w14:textId="77777777" w:rsidR="007B23ED" w:rsidRPr="005E6B7C" w:rsidRDefault="007B23ED" w:rsidP="007B23ED">
      <w:pPr>
        <w:tabs>
          <w:tab w:val="left" w:pos="54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7. </w:t>
      </w:r>
      <w:r w:rsidRPr="005E6B7C">
        <w:rPr>
          <w:rFonts w:asciiTheme="majorHAnsi" w:eastAsia="Yu Mincho" w:hAnsiTheme="majorHAnsi" w:cstheme="majorHAnsi"/>
          <w:color w:val="000000" w:themeColor="text1"/>
          <w:sz w:val="18"/>
          <w:szCs w:val="18"/>
          <w:lang w:eastAsia="ja-JP"/>
        </w:rPr>
        <w:t xml:space="preserve">Asha B. M., Pathma J., Sakthivel N. (2015), Isolation and characterization of a novel thermostable </w:t>
      </w:r>
      <w:r w:rsidRPr="005E6B7C">
        <w:rPr>
          <w:i/>
          <w:color w:val="000000" w:themeColor="text1"/>
          <w:sz w:val="18"/>
          <w:szCs w:val="18"/>
        </w:rPr>
        <w:sym w:font="Symbol" w:char="F062"/>
      </w:r>
      <w:r w:rsidRPr="005E6B7C">
        <w:rPr>
          <w:rFonts w:asciiTheme="majorHAnsi" w:eastAsia="Yu Mincho" w:hAnsiTheme="majorHAnsi" w:cstheme="majorHAnsi"/>
          <w:color w:val="000000" w:themeColor="text1"/>
          <w:sz w:val="18"/>
          <w:szCs w:val="18"/>
          <w:lang w:eastAsia="ja-JP"/>
        </w:rPr>
        <w:t xml:space="preserve">-glucosidase from Bacillus subtilis SU40, </w:t>
      </w:r>
      <w:r w:rsidRPr="005E6B7C">
        <w:rPr>
          <w:rFonts w:asciiTheme="majorHAnsi" w:eastAsia="Yu Mincho" w:hAnsiTheme="majorHAnsi" w:cstheme="majorHAnsi"/>
          <w:i/>
          <w:color w:val="000000" w:themeColor="text1"/>
          <w:sz w:val="18"/>
          <w:szCs w:val="18"/>
          <w:lang w:eastAsia="ja-JP"/>
        </w:rPr>
        <w:t>Applied Biochemistry and Microbiology</w:t>
      </w:r>
      <w:r w:rsidRPr="005E6B7C">
        <w:rPr>
          <w:rFonts w:asciiTheme="majorHAnsi" w:eastAsia="Yu Mincho" w:hAnsiTheme="majorHAnsi" w:cstheme="majorHAnsi"/>
          <w:color w:val="000000" w:themeColor="text1"/>
          <w:sz w:val="18"/>
          <w:szCs w:val="18"/>
          <w:lang w:eastAsia="ja-JP"/>
        </w:rPr>
        <w:t>, 51, 21-26.</w:t>
      </w:r>
    </w:p>
    <w:p w14:paraId="70FE2E2C" w14:textId="77777777" w:rsidR="007B23ED" w:rsidRPr="005E6B7C" w:rsidRDefault="007B23ED" w:rsidP="007B23ED">
      <w:pPr>
        <w:tabs>
          <w:tab w:val="left" w:pos="540"/>
          <w:tab w:val="left" w:pos="9270"/>
        </w:tabs>
        <w:spacing w:line="200" w:lineRule="exact"/>
        <w:jc w:val="both"/>
        <w:outlineLvl w:val="0"/>
        <w:rPr>
          <w:rFonts w:asciiTheme="majorHAnsi" w:eastAsia="Times New Roman" w:hAnsiTheme="majorHAnsi" w:cstheme="majorHAnsi"/>
          <w:b/>
          <w:color w:val="000000" w:themeColor="text1"/>
          <w:spacing w:val="-5"/>
          <w:sz w:val="18"/>
          <w:szCs w:val="18"/>
          <w:lang w:eastAsia="ja-JP"/>
        </w:rPr>
      </w:pPr>
      <w:r w:rsidRPr="005E6B7C">
        <w:rPr>
          <w:rFonts w:asciiTheme="majorHAnsi" w:eastAsia="Times New Roman" w:hAnsiTheme="majorHAnsi" w:cstheme="majorHAnsi"/>
          <w:b/>
          <w:color w:val="000000" w:themeColor="text1"/>
          <w:sz w:val="18"/>
          <w:szCs w:val="18"/>
          <w:lang w:eastAsia="ja-JP"/>
        </w:rPr>
        <w:t>8.</w:t>
      </w:r>
      <w:r w:rsidRPr="005E6B7C">
        <w:rPr>
          <w:rFonts w:asciiTheme="majorHAnsi" w:eastAsia="Times New Roman" w:hAnsiTheme="majorHAnsi" w:cstheme="majorHAnsi"/>
          <w:color w:val="000000" w:themeColor="text1"/>
          <w:sz w:val="18"/>
          <w:szCs w:val="18"/>
          <w:lang w:eastAsia="ja-JP"/>
        </w:rPr>
        <w:t xml:space="preserve"> You H. J., Ahn H. J., Kim J. Y., Wu Q. Q., Ji G. E. (2015), </w:t>
      </w:r>
      <w:r w:rsidRPr="005E6B7C">
        <w:rPr>
          <w:rFonts w:asciiTheme="majorHAnsi" w:eastAsia="Times New Roman" w:hAnsiTheme="majorHAnsi" w:cstheme="majorHAnsi"/>
          <w:color w:val="000000" w:themeColor="text1"/>
          <w:spacing w:val="-5"/>
          <w:sz w:val="18"/>
          <w:szCs w:val="18"/>
          <w:lang w:eastAsia="ja-JP"/>
        </w:rPr>
        <w:t xml:space="preserve">High expression of </w:t>
      </w:r>
      <w:r w:rsidRPr="005E6B7C">
        <w:rPr>
          <w:rFonts w:asciiTheme="majorHAnsi" w:eastAsia="Times New Roman" w:hAnsiTheme="majorHAnsi" w:cstheme="majorHAnsi"/>
          <w:i/>
          <w:color w:val="000000" w:themeColor="text1"/>
          <w:spacing w:val="-5"/>
          <w:sz w:val="18"/>
          <w:szCs w:val="18"/>
          <w:lang w:eastAsia="ja-JP"/>
        </w:rPr>
        <w:t>β</w:t>
      </w:r>
      <w:r w:rsidRPr="005E6B7C">
        <w:rPr>
          <w:rFonts w:asciiTheme="majorHAnsi" w:eastAsia="Times New Roman" w:hAnsiTheme="majorHAnsi" w:cstheme="majorHAnsi"/>
          <w:color w:val="000000" w:themeColor="text1"/>
          <w:spacing w:val="-5"/>
          <w:sz w:val="18"/>
          <w:szCs w:val="18"/>
          <w:lang w:eastAsia="ja-JP"/>
        </w:rPr>
        <w:t xml:space="preserve">-glucosidase in bifidobacterium bifidum BGN4 and application in conversion of isoflavone glucosides during fermentation of soy milk, </w:t>
      </w:r>
      <w:r w:rsidRPr="005E6B7C">
        <w:rPr>
          <w:rFonts w:asciiTheme="majorHAnsi" w:eastAsia="Times New Roman" w:hAnsiTheme="majorHAnsi" w:cstheme="majorHAnsi"/>
          <w:i/>
          <w:color w:val="000000" w:themeColor="text1"/>
          <w:spacing w:val="-5"/>
          <w:sz w:val="18"/>
          <w:szCs w:val="18"/>
          <w:lang w:eastAsia="ja-JP"/>
        </w:rPr>
        <w:t>Journal of Microbiology and Biotechnology</w:t>
      </w:r>
      <w:r w:rsidRPr="005E6B7C">
        <w:rPr>
          <w:rFonts w:asciiTheme="majorHAnsi" w:eastAsia="Times New Roman" w:hAnsiTheme="majorHAnsi" w:cstheme="majorHAnsi"/>
          <w:color w:val="000000" w:themeColor="text1"/>
          <w:spacing w:val="-5"/>
          <w:sz w:val="18"/>
          <w:szCs w:val="18"/>
          <w:lang w:eastAsia="ja-JP"/>
        </w:rPr>
        <w:t>, 25(4), 469-478.</w:t>
      </w:r>
    </w:p>
    <w:p w14:paraId="623E3802" w14:textId="77777777" w:rsidR="007B23ED" w:rsidRPr="005E6B7C" w:rsidRDefault="007B23ED" w:rsidP="007B23ED">
      <w:pPr>
        <w:tabs>
          <w:tab w:val="left" w:pos="540"/>
          <w:tab w:val="left" w:pos="9270"/>
        </w:tabs>
        <w:spacing w:line="200" w:lineRule="exact"/>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9.</w:t>
      </w:r>
      <w:r w:rsidRPr="005E6B7C">
        <w:rPr>
          <w:rFonts w:asciiTheme="majorHAnsi" w:eastAsia="Yu Mincho" w:hAnsiTheme="majorHAnsi" w:cstheme="majorHAnsi"/>
          <w:color w:val="000000" w:themeColor="text1"/>
          <w:sz w:val="18"/>
          <w:szCs w:val="18"/>
          <w:lang w:eastAsia="ja-JP"/>
        </w:rPr>
        <w:t xml:space="preserve"> Khan J., Sheoran S., Washim Khan W., Panda B. P. (2020). Metabolic differentiation and quantification of gymnemic acid in </w:t>
      </w:r>
      <w:r w:rsidRPr="005E6B7C">
        <w:rPr>
          <w:rFonts w:asciiTheme="majorHAnsi" w:eastAsia="Yu Mincho" w:hAnsiTheme="majorHAnsi" w:cstheme="majorHAnsi"/>
          <w:i/>
          <w:color w:val="000000" w:themeColor="text1"/>
          <w:sz w:val="18"/>
          <w:szCs w:val="18"/>
          <w:lang w:eastAsia="ja-JP"/>
        </w:rPr>
        <w:t xml:space="preserve">Gymnema sylvestre </w:t>
      </w:r>
      <w:r w:rsidRPr="005E6B7C">
        <w:rPr>
          <w:rFonts w:asciiTheme="majorHAnsi" w:eastAsia="Yu Mincho" w:hAnsiTheme="majorHAnsi" w:cstheme="majorHAnsi"/>
          <w:color w:val="000000" w:themeColor="text1"/>
          <w:sz w:val="18"/>
          <w:szCs w:val="18"/>
          <w:lang w:eastAsia="ja-JP"/>
        </w:rPr>
        <w:t xml:space="preserve">(Retz.) R.Br. ex Sm. leaf extract and its fermented products, </w:t>
      </w:r>
      <w:r w:rsidRPr="005E6B7C">
        <w:rPr>
          <w:rFonts w:asciiTheme="majorHAnsi" w:eastAsia="Yu Mincho" w:hAnsiTheme="majorHAnsi" w:cstheme="majorHAnsi"/>
          <w:i/>
          <w:color w:val="000000" w:themeColor="text1"/>
          <w:sz w:val="18"/>
          <w:szCs w:val="18"/>
          <w:lang w:eastAsia="ja-JP"/>
        </w:rPr>
        <w:t>Phytochemical Analysis</w:t>
      </w:r>
      <w:r w:rsidRPr="005E6B7C">
        <w:rPr>
          <w:rFonts w:asciiTheme="majorHAnsi" w:eastAsia="Yu Mincho" w:hAnsiTheme="majorHAnsi" w:cstheme="majorHAnsi"/>
          <w:color w:val="000000" w:themeColor="text1"/>
          <w:sz w:val="18"/>
          <w:szCs w:val="18"/>
          <w:lang w:eastAsia="ja-JP"/>
        </w:rPr>
        <w:t>, 31(4), 488-500.</w:t>
      </w:r>
    </w:p>
    <w:p w14:paraId="61C7BFBB" w14:textId="07F77F78" w:rsidR="00E049CB" w:rsidRPr="005E6B7C" w:rsidRDefault="007B23ED" w:rsidP="007B23ED">
      <w:pPr>
        <w:tabs>
          <w:tab w:val="left" w:pos="540"/>
          <w:tab w:val="left" w:pos="9270"/>
        </w:tabs>
        <w:spacing w:line="200" w:lineRule="exact"/>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10.</w:t>
      </w:r>
      <w:r w:rsidRPr="005E6B7C">
        <w:rPr>
          <w:rFonts w:asciiTheme="majorHAnsi" w:eastAsia="Yu Mincho" w:hAnsiTheme="majorHAnsi" w:cstheme="majorHAnsi"/>
          <w:color w:val="000000" w:themeColor="text1"/>
          <w:sz w:val="18"/>
          <w:szCs w:val="18"/>
          <w:lang w:eastAsia="ja-JP"/>
        </w:rPr>
        <w:t xml:space="preserve"> AOAC International (2016), Appendix F: Guidelines for standard method performance requirements, AOAC Official </w:t>
      </w:r>
      <w:r w:rsidR="00E049CB" w:rsidRPr="005E6B7C">
        <w:rPr>
          <w:rFonts w:asciiTheme="majorHAnsi" w:eastAsia="Yu Mincho" w:hAnsiTheme="majorHAnsi" w:cstheme="majorHAnsi"/>
          <w:color w:val="000000" w:themeColor="text1"/>
          <w:sz w:val="18"/>
          <w:szCs w:val="18"/>
          <w:lang w:eastAsia="ja-JP"/>
        </w:rPr>
        <w:t>methods of analysis.</w:t>
      </w:r>
    </w:p>
    <w:p w14:paraId="47134ACA" w14:textId="77777777" w:rsidR="005D48C3" w:rsidRPr="005E6B7C" w:rsidRDefault="005D48C3" w:rsidP="008C0D47">
      <w:pPr>
        <w:tabs>
          <w:tab w:val="left" w:pos="270"/>
          <w:tab w:val="left" w:pos="9270"/>
        </w:tabs>
        <w:ind w:right="-23"/>
        <w:rPr>
          <w:rFonts w:asciiTheme="majorHAnsi" w:eastAsia="Yu Mincho" w:hAnsiTheme="majorHAnsi" w:cstheme="majorHAnsi"/>
          <w:b/>
          <w:bCs/>
          <w:i/>
          <w:color w:val="000000" w:themeColor="text1"/>
          <w:sz w:val="2"/>
          <w:szCs w:val="2"/>
          <w:lang w:eastAsia="ja-JP"/>
        </w:rPr>
      </w:pPr>
    </w:p>
    <w:p w14:paraId="4A2909C3" w14:textId="77777777" w:rsidR="00367819" w:rsidRPr="005E6B7C" w:rsidRDefault="00367819" w:rsidP="008C0D47">
      <w:pPr>
        <w:tabs>
          <w:tab w:val="left" w:pos="270"/>
          <w:tab w:val="left" w:pos="9270"/>
        </w:tabs>
        <w:ind w:right="-20"/>
        <w:rPr>
          <w:rFonts w:asciiTheme="majorHAnsi" w:eastAsia="Yu Mincho" w:hAnsiTheme="majorHAnsi" w:cstheme="majorHAnsi"/>
          <w:b/>
          <w:bCs/>
          <w:i/>
          <w:color w:val="000000" w:themeColor="text1"/>
          <w:sz w:val="26"/>
          <w:szCs w:val="26"/>
          <w:lang w:eastAsia="ja-JP"/>
        </w:rPr>
      </w:pPr>
      <w:r w:rsidRPr="005E6B7C">
        <w:rPr>
          <w:rFonts w:asciiTheme="majorHAnsi" w:eastAsia="Yu Mincho" w:hAnsiTheme="majorHAnsi" w:cstheme="majorHAnsi"/>
          <w:b/>
          <w:bCs/>
          <w:i/>
          <w:color w:val="000000" w:themeColor="text1"/>
          <w:sz w:val="26"/>
          <w:szCs w:val="26"/>
          <w:lang w:eastAsia="ja-JP"/>
        </w:rPr>
        <w:lastRenderedPageBreak/>
        <w:t>Journal of Medicinal Materials, 2026, Vol. 31, No. 1+2 (pp</w:t>
      </w:r>
      <w:r w:rsidR="00560366" w:rsidRPr="005E6B7C">
        <w:rPr>
          <w:rFonts w:asciiTheme="majorHAnsi" w:eastAsia="Yu Mincho" w:hAnsiTheme="majorHAnsi" w:cstheme="majorHAnsi"/>
          <w:b/>
          <w:bCs/>
          <w:i/>
          <w:color w:val="000000" w:themeColor="text1"/>
          <w:sz w:val="26"/>
          <w:szCs w:val="26"/>
          <w:lang w:eastAsia="ja-JP"/>
        </w:rPr>
        <w:t>. 154 - 160</w:t>
      </w:r>
      <w:r w:rsidRPr="005E6B7C">
        <w:rPr>
          <w:rFonts w:asciiTheme="majorHAnsi" w:eastAsia="Yu Mincho" w:hAnsiTheme="majorHAnsi" w:cstheme="majorHAnsi"/>
          <w:b/>
          <w:bCs/>
          <w:i/>
          <w:color w:val="000000" w:themeColor="text1"/>
          <w:sz w:val="26"/>
          <w:szCs w:val="26"/>
          <w:lang w:eastAsia="ja-JP"/>
        </w:rPr>
        <w:t>)</w:t>
      </w:r>
    </w:p>
    <w:p w14:paraId="23686AA3" w14:textId="77777777" w:rsidR="00E049CB" w:rsidRPr="005E6B7C" w:rsidRDefault="00E049CB" w:rsidP="008C0D47">
      <w:pPr>
        <w:tabs>
          <w:tab w:val="left" w:pos="270"/>
          <w:tab w:val="left" w:pos="9270"/>
        </w:tabs>
        <w:ind w:right="-20"/>
        <w:jc w:val="both"/>
        <w:rPr>
          <w:rFonts w:asciiTheme="majorHAnsi" w:eastAsia="Yu Mincho" w:hAnsiTheme="majorHAnsi" w:cstheme="majorHAnsi"/>
          <w:b/>
          <w:bCs/>
          <w:color w:val="000000" w:themeColor="text1"/>
          <w:sz w:val="22"/>
          <w:szCs w:val="22"/>
          <w:lang w:eastAsia="ja-JP"/>
        </w:rPr>
      </w:pPr>
    </w:p>
    <w:p w14:paraId="77CFBF29" w14:textId="77777777" w:rsidR="00382C9E"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bookmarkStart w:id="57" w:name="_Hlk219474713"/>
      <w:r w:rsidRPr="005E6B7C">
        <w:rPr>
          <w:rFonts w:asciiTheme="majorHAnsi" w:eastAsia="Yu Mincho" w:hAnsiTheme="majorHAnsi" w:cstheme="majorHAnsi"/>
          <w:b/>
          <w:bCs/>
          <w:color w:val="000000" w:themeColor="text1"/>
          <w:sz w:val="26"/>
          <w:szCs w:val="26"/>
          <w:lang w:eastAsia="ja-JP"/>
        </w:rPr>
        <w:t xml:space="preserve">COMPARATIVE TRANSCRIPTOME PROFILING </w:t>
      </w:r>
    </w:p>
    <w:p w14:paraId="77E580D3" w14:textId="77777777" w:rsidR="00382C9E"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 xml:space="preserve">OF </w:t>
      </w:r>
      <w:r w:rsidRPr="005E6B7C">
        <w:rPr>
          <w:rFonts w:asciiTheme="majorHAnsi" w:eastAsia="Yu Mincho" w:hAnsiTheme="majorHAnsi" w:cstheme="majorHAnsi"/>
          <w:b/>
          <w:bCs/>
          <w:i/>
          <w:iCs/>
          <w:color w:val="000000" w:themeColor="text1"/>
          <w:sz w:val="26"/>
          <w:szCs w:val="26"/>
          <w:lang w:eastAsia="ja-JP"/>
        </w:rPr>
        <w:t>MOMORDICA COCHINCHINENSIS</w:t>
      </w:r>
      <w:r w:rsidRPr="005E6B7C">
        <w:rPr>
          <w:rFonts w:asciiTheme="majorHAnsi" w:eastAsia="Yu Mincho" w:hAnsiTheme="majorHAnsi" w:cstheme="majorHAnsi"/>
          <w:b/>
          <w:bCs/>
          <w:color w:val="000000" w:themeColor="text1"/>
          <w:sz w:val="26"/>
          <w:szCs w:val="26"/>
          <w:lang w:eastAsia="ja-JP"/>
        </w:rPr>
        <w:t xml:space="preserve"> (LOUR.) SPRENG. ARIL </w:t>
      </w:r>
    </w:p>
    <w:p w14:paraId="3A8C2573" w14:textId="77777777" w:rsidR="00E049CB" w:rsidRPr="005E6B7C" w:rsidRDefault="00E049CB" w:rsidP="008C0D47">
      <w:pPr>
        <w:ind w:right="-20"/>
        <w:jc w:val="center"/>
        <w:rPr>
          <w:rFonts w:asciiTheme="majorHAnsi" w:eastAsia="Yu Mincho" w:hAnsiTheme="majorHAnsi" w:cstheme="majorHAnsi"/>
          <w:b/>
          <w:bCs/>
          <w:color w:val="000000" w:themeColor="text1"/>
          <w:sz w:val="26"/>
          <w:szCs w:val="26"/>
          <w:lang w:eastAsia="ja-JP"/>
        </w:rPr>
      </w:pPr>
      <w:r w:rsidRPr="005E6B7C">
        <w:rPr>
          <w:rFonts w:asciiTheme="majorHAnsi" w:eastAsia="Yu Mincho" w:hAnsiTheme="majorHAnsi" w:cstheme="majorHAnsi"/>
          <w:b/>
          <w:bCs/>
          <w:color w:val="000000" w:themeColor="text1"/>
          <w:sz w:val="26"/>
          <w:szCs w:val="26"/>
          <w:lang w:eastAsia="ja-JP"/>
        </w:rPr>
        <w:t>USING OXFORD NANOPORE AND ILLUMINA SEQUENCING TECHNOLOGIES</w:t>
      </w:r>
      <w:bookmarkEnd w:id="57"/>
    </w:p>
    <w:p w14:paraId="2D857DED" w14:textId="4482E346" w:rsidR="00E049CB" w:rsidRPr="005E6B7C" w:rsidRDefault="00E049CB" w:rsidP="008C0D47">
      <w:pPr>
        <w:ind w:right="-20"/>
        <w:jc w:val="center"/>
        <w:rPr>
          <w:rFonts w:asciiTheme="majorHAnsi" w:eastAsia="Yu Mincho" w:hAnsiTheme="majorHAnsi" w:cstheme="majorHAnsi"/>
          <w:b/>
          <w:bCs/>
          <w:i/>
          <w:iCs/>
          <w:color w:val="000000" w:themeColor="text1"/>
          <w:sz w:val="22"/>
          <w:szCs w:val="22"/>
          <w:lang w:eastAsia="ja-JP"/>
        </w:rPr>
      </w:pPr>
      <w:r w:rsidRPr="005E6B7C">
        <w:rPr>
          <w:rFonts w:asciiTheme="majorHAnsi" w:eastAsia="Yu Mincho" w:hAnsiTheme="majorHAnsi" w:cstheme="majorHAnsi"/>
          <w:b/>
          <w:bCs/>
          <w:i/>
          <w:iCs/>
          <w:color w:val="000000" w:themeColor="text1"/>
          <w:sz w:val="22"/>
          <w:szCs w:val="22"/>
          <w:lang w:eastAsia="ja-JP"/>
        </w:rPr>
        <w:t>Tran Duc Trung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Nguyen Hoang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Le Thi Tu Linh</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Nguyen Thi Thu Hang</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xml:space="preserve">, </w:t>
      </w:r>
      <w:r w:rsidR="006A709A" w:rsidRPr="005E6B7C">
        <w:rPr>
          <w:rFonts w:asciiTheme="majorHAnsi" w:eastAsia="Yu Mincho" w:hAnsiTheme="majorHAnsi" w:cstheme="majorHAnsi"/>
          <w:b/>
          <w:bCs/>
          <w:i/>
          <w:iCs/>
          <w:color w:val="000000" w:themeColor="text1"/>
          <w:sz w:val="22"/>
          <w:szCs w:val="22"/>
          <w:lang w:eastAsia="ja-JP"/>
        </w:rPr>
        <w:br/>
      </w:r>
      <w:r w:rsidRPr="005E6B7C">
        <w:rPr>
          <w:rFonts w:asciiTheme="majorHAnsi" w:eastAsia="Yu Mincho" w:hAnsiTheme="majorHAnsi" w:cstheme="majorHAnsi"/>
          <w:b/>
          <w:bCs/>
          <w:i/>
          <w:iCs/>
          <w:color w:val="000000" w:themeColor="text1"/>
          <w:sz w:val="22"/>
          <w:szCs w:val="22"/>
          <w:lang w:eastAsia="ja-JP"/>
        </w:rPr>
        <w:t>Pham Thanh Huyen</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 Tr</w:t>
      </w:r>
      <w:r w:rsidR="008C0D47" w:rsidRPr="005E6B7C">
        <w:rPr>
          <w:rFonts w:asciiTheme="majorHAnsi" w:eastAsia="Yu Mincho" w:hAnsiTheme="majorHAnsi" w:cstheme="majorHAnsi"/>
          <w:b/>
          <w:bCs/>
          <w:i/>
          <w:iCs/>
          <w:color w:val="000000" w:themeColor="text1"/>
          <w:sz w:val="22"/>
          <w:szCs w:val="22"/>
          <w:lang w:eastAsia="ja-JP"/>
        </w:rPr>
        <w:t>uon</w:t>
      </w:r>
      <w:r w:rsidRPr="005E6B7C">
        <w:rPr>
          <w:rFonts w:asciiTheme="majorHAnsi" w:eastAsia="Yu Mincho" w:hAnsiTheme="majorHAnsi" w:cstheme="majorHAnsi"/>
          <w:b/>
          <w:bCs/>
          <w:i/>
          <w:iCs/>
          <w:color w:val="000000" w:themeColor="text1"/>
          <w:sz w:val="22"/>
          <w:szCs w:val="22"/>
          <w:lang w:eastAsia="ja-JP"/>
        </w:rPr>
        <w:t>g Nhat My</w:t>
      </w:r>
      <w:r w:rsidRPr="005E6B7C">
        <w:rPr>
          <w:rFonts w:asciiTheme="majorHAnsi" w:eastAsia="Yu Mincho" w:hAnsiTheme="majorHAnsi" w:cstheme="majorHAnsi"/>
          <w:b/>
          <w:bCs/>
          <w:i/>
          <w:iCs/>
          <w:color w:val="000000" w:themeColor="text1"/>
          <w:sz w:val="22"/>
          <w:szCs w:val="22"/>
          <w:vertAlign w:val="superscript"/>
          <w:lang w:eastAsia="ja-JP"/>
        </w:rPr>
        <w:t>2</w:t>
      </w:r>
      <w:r w:rsidRPr="005E6B7C">
        <w:rPr>
          <w:rFonts w:asciiTheme="majorHAnsi" w:eastAsia="Yu Mincho" w:hAnsiTheme="majorHAnsi" w:cstheme="majorHAnsi"/>
          <w:b/>
          <w:bCs/>
          <w:i/>
          <w:iCs/>
          <w:color w:val="000000" w:themeColor="text1"/>
          <w:sz w:val="22"/>
          <w:szCs w:val="22"/>
          <w:lang w:eastAsia="ja-JP"/>
        </w:rPr>
        <w:t>, Nguyen Thi Lan Hoa</w:t>
      </w:r>
      <w:r w:rsidRPr="005E6B7C">
        <w:rPr>
          <w:rFonts w:asciiTheme="majorHAnsi" w:eastAsia="Yu Mincho" w:hAnsiTheme="majorHAnsi" w:cstheme="majorHAnsi"/>
          <w:b/>
          <w:bCs/>
          <w:i/>
          <w:iCs/>
          <w:color w:val="000000" w:themeColor="text1"/>
          <w:sz w:val="22"/>
          <w:szCs w:val="22"/>
          <w:vertAlign w:val="superscript"/>
          <w:lang w:eastAsia="ja-JP"/>
        </w:rPr>
        <w:t>1,</w:t>
      </w:r>
      <w:r w:rsidRPr="005E6B7C">
        <w:rPr>
          <w:rFonts w:asciiTheme="majorHAnsi" w:eastAsia="Yu Mincho" w:hAnsiTheme="majorHAnsi" w:cstheme="majorHAnsi"/>
          <w:b/>
          <w:bCs/>
          <w:i/>
          <w:iCs/>
          <w:color w:val="000000" w:themeColor="text1"/>
          <w:sz w:val="22"/>
          <w:szCs w:val="22"/>
          <w:lang w:eastAsia="ja-JP"/>
        </w:rPr>
        <w:t>*</w:t>
      </w:r>
    </w:p>
    <w:p w14:paraId="6CD04EC4" w14:textId="6F9479F6" w:rsidR="00957E83" w:rsidRPr="005E6B7C" w:rsidRDefault="00E049CB" w:rsidP="00CE7796">
      <w:pPr>
        <w:ind w:right="-20"/>
        <w:jc w:val="center"/>
        <w:rPr>
          <w:rFonts w:asciiTheme="majorHAnsi" w:eastAsia="Yu Mincho" w:hAnsiTheme="majorHAnsi" w:cstheme="majorHAnsi"/>
          <w:i/>
          <w:iCs/>
          <w:color w:val="000000" w:themeColor="text1"/>
          <w:sz w:val="22"/>
          <w:szCs w:val="22"/>
          <w:lang w:val="vi-VN" w:eastAsia="ja-JP"/>
        </w:rPr>
      </w:pPr>
      <w:r w:rsidRPr="005E6B7C">
        <w:rPr>
          <w:rFonts w:asciiTheme="majorHAnsi" w:eastAsia="Yu Mincho" w:hAnsiTheme="majorHAnsi" w:cstheme="majorHAnsi"/>
          <w:i/>
          <w:iCs/>
          <w:color w:val="000000" w:themeColor="text1"/>
          <w:sz w:val="22"/>
          <w:szCs w:val="22"/>
          <w:vertAlign w:val="superscript"/>
          <w:lang w:eastAsia="ja-JP"/>
        </w:rPr>
        <w:t>1</w:t>
      </w:r>
      <w:r w:rsidR="00957E83" w:rsidRPr="005E6B7C">
        <w:rPr>
          <w:rFonts w:asciiTheme="majorHAnsi" w:eastAsia="Yu Mincho" w:hAnsiTheme="majorHAnsi" w:cstheme="majorHAnsi"/>
          <w:i/>
          <w:iCs/>
          <w:color w:val="000000" w:themeColor="text1"/>
          <w:sz w:val="22"/>
          <w:szCs w:val="22"/>
          <w:lang w:eastAsia="ja-JP"/>
        </w:rPr>
        <w:t>National Institute of Medic</w:t>
      </w:r>
      <w:r w:rsidR="00CE7796" w:rsidRPr="005E6B7C">
        <w:rPr>
          <w:rFonts w:asciiTheme="majorHAnsi" w:eastAsia="Yu Mincho" w:hAnsiTheme="majorHAnsi" w:cstheme="majorHAnsi"/>
          <w:i/>
          <w:iCs/>
          <w:color w:val="000000" w:themeColor="text1"/>
          <w:sz w:val="22"/>
          <w:szCs w:val="22"/>
          <w:lang w:val="vi-VN" w:eastAsia="ja-JP"/>
        </w:rPr>
        <w:t>in</w:t>
      </w:r>
      <w:r w:rsidR="00957E83" w:rsidRPr="005E6B7C">
        <w:rPr>
          <w:rFonts w:asciiTheme="majorHAnsi" w:eastAsia="Yu Mincho" w:hAnsiTheme="majorHAnsi" w:cstheme="majorHAnsi"/>
          <w:i/>
          <w:iCs/>
          <w:color w:val="000000" w:themeColor="text1"/>
          <w:sz w:val="22"/>
          <w:szCs w:val="22"/>
          <w:lang w:eastAsia="ja-JP"/>
        </w:rPr>
        <w:t>al Materials (NIMM), Hanoi 11018, Vietnam;</w:t>
      </w:r>
    </w:p>
    <w:p w14:paraId="3607E99D" w14:textId="0467EA68" w:rsidR="00E049CB" w:rsidRPr="005E6B7C" w:rsidRDefault="00E049CB" w:rsidP="008C0D47">
      <w:pPr>
        <w:ind w:right="-20"/>
        <w:jc w:val="center"/>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vertAlign w:val="superscript"/>
          <w:lang w:eastAsia="ja-JP"/>
        </w:rPr>
        <w:t>2</w:t>
      </w:r>
      <w:r w:rsidRPr="005E6B7C">
        <w:rPr>
          <w:rFonts w:asciiTheme="majorHAnsi" w:eastAsia="Yu Mincho" w:hAnsiTheme="majorHAnsi" w:cstheme="majorHAnsi"/>
          <w:i/>
          <w:iCs/>
          <w:color w:val="000000" w:themeColor="text1"/>
          <w:sz w:val="22"/>
          <w:szCs w:val="22"/>
          <w:lang w:eastAsia="ja-JP"/>
        </w:rPr>
        <w:t>Vietnamese-German Center for Medical Research, 108 Institute of Clinical Medical and Pharmaceutical Science</w:t>
      </w:r>
      <w:r w:rsidR="001429A1" w:rsidRPr="005E6B7C">
        <w:rPr>
          <w:rFonts w:asciiTheme="majorHAnsi" w:eastAsia="Yu Mincho" w:hAnsiTheme="majorHAnsi" w:cstheme="majorHAnsi"/>
          <w:i/>
          <w:iCs/>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 xml:space="preserve">Hanoi, </w:t>
      </w:r>
      <w:r w:rsidR="001429A1" w:rsidRPr="005E6B7C">
        <w:rPr>
          <w:rFonts w:asciiTheme="majorHAnsi" w:eastAsia="Yu Mincho" w:hAnsiTheme="majorHAnsi" w:cstheme="majorHAnsi"/>
          <w:i/>
          <w:iCs/>
          <w:color w:val="000000" w:themeColor="text1"/>
          <w:sz w:val="22"/>
          <w:szCs w:val="22"/>
          <w:lang w:eastAsia="ja-JP"/>
        </w:rPr>
        <w:t>Vietnam</w:t>
      </w:r>
    </w:p>
    <w:p w14:paraId="6899F53D" w14:textId="02E73705" w:rsidR="00E049CB" w:rsidRPr="005E6B7C" w:rsidRDefault="00E049CB" w:rsidP="008C0D47">
      <w:pPr>
        <w:ind w:right="-20"/>
        <w:jc w:val="center"/>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*Corresponding author</w:t>
      </w:r>
      <w:r w:rsidR="00C247FE"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eastAsia="ja-JP"/>
        </w:rPr>
        <w:t xml:space="preserve"> nguyen.lanhoa@gmail.com</w:t>
      </w:r>
    </w:p>
    <w:p w14:paraId="756210C1" w14:textId="4D9BC66F" w:rsidR="00A0756D" w:rsidRPr="005E6B7C" w:rsidRDefault="00A0756D" w:rsidP="008C0D47">
      <w:pPr>
        <w:ind w:right="-20"/>
        <w:jc w:val="center"/>
        <w:rPr>
          <w:rFonts w:asciiTheme="majorHAnsi" w:eastAsia="Yu Mincho" w:hAnsiTheme="majorHAnsi" w:cstheme="majorHAnsi"/>
          <w:color w:val="000000" w:themeColor="text1"/>
          <w:sz w:val="20"/>
          <w:szCs w:val="20"/>
          <w:lang w:eastAsia="ja-JP"/>
        </w:rPr>
      </w:pPr>
      <w:r w:rsidRPr="005E6B7C">
        <w:rPr>
          <w:rFonts w:asciiTheme="majorHAnsi" w:eastAsia="Yu Mincho" w:hAnsiTheme="majorHAnsi" w:cstheme="majorHAnsi"/>
          <w:color w:val="000000" w:themeColor="text1"/>
          <w:sz w:val="20"/>
          <w:szCs w:val="20"/>
          <w:lang w:eastAsia="ja-JP"/>
        </w:rPr>
        <w:t xml:space="preserve">Received </w:t>
      </w:r>
      <w:r w:rsidR="00C247FE" w:rsidRPr="005E6B7C">
        <w:rPr>
          <w:rFonts w:asciiTheme="majorHAnsi" w:eastAsia="Yu Mincho" w:hAnsiTheme="majorHAnsi" w:cstheme="majorHAnsi"/>
          <w:color w:val="000000" w:themeColor="text1"/>
          <w:sz w:val="20"/>
          <w:szCs w:val="20"/>
          <w:lang w:eastAsia="ja-JP"/>
        </w:rPr>
        <w:t>November</w:t>
      </w:r>
      <w:r w:rsidRPr="005E6B7C">
        <w:rPr>
          <w:rFonts w:asciiTheme="majorHAnsi" w:eastAsia="Yu Mincho" w:hAnsiTheme="majorHAnsi" w:cstheme="majorHAnsi"/>
          <w:color w:val="000000" w:themeColor="text1"/>
          <w:sz w:val="20"/>
          <w:szCs w:val="20"/>
          <w:lang w:eastAsia="ja-JP"/>
        </w:rPr>
        <w:t xml:space="preserve"> 2</w:t>
      </w:r>
      <w:r w:rsidR="00C247FE" w:rsidRPr="005E6B7C">
        <w:rPr>
          <w:rFonts w:asciiTheme="majorHAnsi" w:eastAsia="Yu Mincho" w:hAnsiTheme="majorHAnsi" w:cstheme="majorHAnsi"/>
          <w:color w:val="000000" w:themeColor="text1"/>
          <w:sz w:val="20"/>
          <w:szCs w:val="20"/>
          <w:lang w:eastAsia="ja-JP"/>
        </w:rPr>
        <w:t>0</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xml:space="preserve">, </w:t>
      </w:r>
      <w:r w:rsidR="00F76262" w:rsidRPr="005E6B7C">
        <w:rPr>
          <w:rFonts w:asciiTheme="majorHAnsi" w:eastAsia="Yu Mincho" w:hAnsiTheme="majorHAnsi" w:cstheme="majorHAnsi"/>
          <w:color w:val="000000" w:themeColor="text1"/>
          <w:sz w:val="20"/>
          <w:szCs w:val="20"/>
          <w:lang w:eastAsia="ja-JP"/>
        </w:rPr>
        <w:t>2025</w:t>
      </w:r>
      <w:r w:rsidRPr="005E6B7C">
        <w:rPr>
          <w:rFonts w:asciiTheme="majorHAnsi" w:eastAsia="Yu Mincho" w:hAnsiTheme="majorHAnsi" w:cstheme="majorHAnsi"/>
          <w:color w:val="000000" w:themeColor="text1"/>
          <w:sz w:val="20"/>
          <w:szCs w:val="20"/>
          <w:lang w:eastAsia="ja-JP"/>
        </w:rPr>
        <w:t xml:space="preserve">              Accepted </w:t>
      </w:r>
      <w:r w:rsidR="00C247FE" w:rsidRPr="005E6B7C">
        <w:rPr>
          <w:rFonts w:asciiTheme="majorHAnsi" w:eastAsia="Yu Mincho" w:hAnsiTheme="majorHAnsi" w:cstheme="majorHAnsi"/>
          <w:color w:val="000000" w:themeColor="text1"/>
          <w:sz w:val="20"/>
          <w:szCs w:val="20"/>
          <w:lang w:eastAsia="ja-JP"/>
        </w:rPr>
        <w:t>January</w:t>
      </w:r>
      <w:r w:rsidRPr="005E6B7C">
        <w:rPr>
          <w:rFonts w:asciiTheme="majorHAnsi" w:eastAsia="Yu Mincho" w:hAnsiTheme="majorHAnsi" w:cstheme="majorHAnsi"/>
          <w:color w:val="000000" w:themeColor="text1"/>
          <w:sz w:val="20"/>
          <w:szCs w:val="20"/>
          <w:lang w:eastAsia="ja-JP"/>
        </w:rPr>
        <w:t xml:space="preserve"> </w:t>
      </w:r>
      <w:r w:rsidR="00C247FE" w:rsidRPr="005E6B7C">
        <w:rPr>
          <w:rFonts w:asciiTheme="majorHAnsi" w:eastAsia="Yu Mincho" w:hAnsiTheme="majorHAnsi" w:cstheme="majorHAnsi"/>
          <w:color w:val="000000" w:themeColor="text1"/>
          <w:sz w:val="20"/>
          <w:szCs w:val="20"/>
          <w:lang w:eastAsia="ja-JP"/>
        </w:rPr>
        <w:t>19</w:t>
      </w:r>
      <w:r w:rsidRPr="005E6B7C">
        <w:rPr>
          <w:rFonts w:asciiTheme="majorHAnsi" w:eastAsia="Yu Mincho" w:hAnsiTheme="majorHAnsi" w:cstheme="majorHAnsi"/>
          <w:color w:val="000000" w:themeColor="text1"/>
          <w:sz w:val="20"/>
          <w:szCs w:val="20"/>
          <w:vertAlign w:val="superscript"/>
          <w:lang w:eastAsia="ja-JP"/>
        </w:rPr>
        <w:t>th</w:t>
      </w:r>
      <w:r w:rsidRPr="005E6B7C">
        <w:rPr>
          <w:rFonts w:asciiTheme="majorHAnsi" w:eastAsia="Yu Mincho" w:hAnsiTheme="majorHAnsi" w:cstheme="majorHAnsi"/>
          <w:color w:val="000000" w:themeColor="text1"/>
          <w:sz w:val="20"/>
          <w:szCs w:val="20"/>
          <w:lang w:eastAsia="ja-JP"/>
        </w:rPr>
        <w:t>, 2026</w:t>
      </w:r>
    </w:p>
    <w:p w14:paraId="4E29B605"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b/>
          <w:bCs/>
          <w:color w:val="000000" w:themeColor="text1"/>
          <w:sz w:val="20"/>
          <w:szCs w:val="20"/>
          <w:lang w:eastAsia="ja-JP"/>
        </w:rPr>
      </w:pPr>
      <w:r w:rsidRPr="005E6B7C">
        <w:rPr>
          <w:rFonts w:asciiTheme="majorHAnsi" w:eastAsia="Yu Mincho" w:hAnsiTheme="majorHAnsi" w:cstheme="majorHAnsi"/>
          <w:b/>
          <w:bCs/>
          <w:color w:val="000000" w:themeColor="text1"/>
          <w:sz w:val="20"/>
          <w:szCs w:val="20"/>
          <w:lang w:eastAsia="ja-JP"/>
        </w:rPr>
        <w:t>Summary</w:t>
      </w:r>
    </w:p>
    <w:p w14:paraId="3138CC0A" w14:textId="0339F611"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Gac (</w:t>
      </w:r>
      <w:r w:rsidRPr="005E6B7C">
        <w:rPr>
          <w:rFonts w:asciiTheme="majorHAnsi" w:eastAsia="Yu Mincho" w:hAnsiTheme="majorHAnsi" w:cstheme="majorHAnsi"/>
          <w:i/>
          <w:iCs/>
          <w:color w:val="000000" w:themeColor="text1"/>
          <w:sz w:val="18"/>
          <w:szCs w:val="18"/>
          <w:lang w:eastAsia="ja-JP"/>
        </w:rPr>
        <w:t xml:space="preserve">Momordica cochinchinensis </w:t>
      </w:r>
      <w:r w:rsidRPr="005E6B7C">
        <w:rPr>
          <w:rFonts w:asciiTheme="majorHAnsi" w:eastAsia="Yu Mincho" w:hAnsiTheme="majorHAnsi" w:cstheme="majorHAnsi"/>
          <w:color w:val="000000" w:themeColor="text1"/>
          <w:sz w:val="18"/>
          <w:szCs w:val="18"/>
          <w:lang w:eastAsia="ja-JP"/>
        </w:rPr>
        <w:t xml:space="preserve">(Lour.) Spreng.) is a tropical fruit recognized for its exceptionally high carotenoid content, particularly lycopene and β‑carotene. Although </w:t>
      </w:r>
      <w:r w:rsidR="00F76262" w:rsidRPr="005E6B7C">
        <w:rPr>
          <w:rFonts w:asciiTheme="majorHAnsi" w:eastAsia="Yu Mincho" w:hAnsiTheme="majorHAnsi" w:cstheme="majorHAnsi"/>
          <w:color w:val="000000" w:themeColor="text1"/>
          <w:sz w:val="18"/>
          <w:szCs w:val="18"/>
          <w:lang w:eastAsia="ja-JP"/>
        </w:rPr>
        <w:t>G</w:t>
      </w:r>
      <w:r w:rsidRPr="005E6B7C">
        <w:rPr>
          <w:rFonts w:asciiTheme="majorHAnsi" w:eastAsia="Yu Mincho" w:hAnsiTheme="majorHAnsi" w:cstheme="majorHAnsi"/>
          <w:color w:val="000000" w:themeColor="text1"/>
          <w:sz w:val="18"/>
          <w:szCs w:val="18"/>
          <w:lang w:eastAsia="ja-JP"/>
        </w:rPr>
        <w:t xml:space="preserve">ac possesses significant nutritional and pharmacological value, genomic and transcriptomic resources for this species are limited. Previous studies utilizing Illumina RNA‑Seq established the first </w:t>
      </w:r>
      <w:r w:rsidRPr="005E6B7C">
        <w:rPr>
          <w:rFonts w:asciiTheme="majorHAnsi" w:eastAsia="Yu Mincho" w:hAnsiTheme="majorHAnsi" w:cstheme="majorHAnsi"/>
          <w:i/>
          <w:iCs/>
          <w:color w:val="000000" w:themeColor="text1"/>
          <w:sz w:val="18"/>
          <w:szCs w:val="18"/>
          <w:lang w:eastAsia="ja-JP"/>
        </w:rPr>
        <w:t>de novo</w:t>
      </w:r>
      <w:r w:rsidRPr="005E6B7C">
        <w:rPr>
          <w:rFonts w:asciiTheme="majorHAnsi" w:eastAsia="Yu Mincho" w:hAnsiTheme="majorHAnsi" w:cstheme="majorHAnsi"/>
          <w:color w:val="000000" w:themeColor="text1"/>
          <w:sz w:val="18"/>
          <w:szCs w:val="18"/>
          <w:lang w:eastAsia="ja-JP"/>
        </w:rPr>
        <w:t xml:space="preserve"> transcriptome of Gac aril, identifying over 81,000 unigenes and key enzymes involved in carotenoid biosynthesis. In this study, we generated a transcriptome of Gac aril using Oxford Nanopore Technologies (ONT) direct RNA sequencing and compared its assembly and annotation with the published Illumina dataset. ONT sequencing produced over</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color w:val="000000" w:themeColor="text1"/>
          <w:sz w:val="18"/>
          <w:szCs w:val="18"/>
          <w:lang w:eastAsia="ja-JP"/>
        </w:rPr>
        <w:t>13 million long reads, resulting in 52</w:t>
      </w:r>
      <w:r w:rsidRPr="005E6B7C">
        <w:rPr>
          <w:rFonts w:asciiTheme="majorHAnsi" w:eastAsia="Yu Mincho" w:hAnsiTheme="majorHAnsi" w:cstheme="majorHAnsi"/>
          <w:color w:val="000000" w:themeColor="text1"/>
          <w:sz w:val="18"/>
          <w:szCs w:val="18"/>
          <w:lang w:val="vi-VN" w:eastAsia="ja-JP"/>
        </w:rPr>
        <w:t>,755</w:t>
      </w:r>
      <w:r w:rsidRPr="005E6B7C">
        <w:rPr>
          <w:rFonts w:asciiTheme="majorHAnsi" w:eastAsia="Yu Mincho" w:hAnsiTheme="majorHAnsi" w:cstheme="majorHAnsi"/>
          <w:color w:val="000000" w:themeColor="text1"/>
          <w:sz w:val="18"/>
          <w:szCs w:val="18"/>
          <w:lang w:eastAsia="ja-JP"/>
        </w:rPr>
        <w:t xml:space="preserve"> unigenes with an average length of 77</w:t>
      </w:r>
      <w:r w:rsidRPr="005E6B7C">
        <w:rPr>
          <w:rFonts w:asciiTheme="majorHAnsi" w:eastAsia="Yu Mincho" w:hAnsiTheme="majorHAnsi" w:cstheme="majorHAnsi"/>
          <w:color w:val="000000" w:themeColor="text1"/>
          <w:sz w:val="18"/>
          <w:szCs w:val="18"/>
          <w:lang w:val="vi-VN" w:eastAsia="ja-JP"/>
        </w:rPr>
        <w:t>7</w:t>
      </w:r>
      <w:r w:rsidRPr="005E6B7C">
        <w:rPr>
          <w:rFonts w:asciiTheme="majorHAnsi" w:eastAsia="Yu Mincho" w:hAnsiTheme="majorHAnsi" w:cstheme="majorHAnsi"/>
          <w:color w:val="000000" w:themeColor="text1"/>
          <w:sz w:val="18"/>
          <w:szCs w:val="18"/>
          <w:lang w:eastAsia="ja-JP"/>
        </w:rPr>
        <w:t xml:space="preserve"> bp and an N50 of 922 bp, which are substantially longer than those generated </w:t>
      </w:r>
      <w:r w:rsidR="00F76262" w:rsidRPr="005E6B7C">
        <w:rPr>
          <w:rFonts w:asciiTheme="majorHAnsi" w:eastAsia="Yu Mincho" w:hAnsiTheme="majorHAnsi" w:cstheme="majorHAnsi"/>
          <w:color w:val="000000" w:themeColor="text1"/>
          <w:sz w:val="18"/>
          <w:szCs w:val="18"/>
          <w:lang w:eastAsia="ja-JP"/>
        </w:rPr>
        <w:t>using Illumina sequencing</w:t>
      </w:r>
      <w:r w:rsidRPr="005E6B7C">
        <w:rPr>
          <w:rFonts w:asciiTheme="majorHAnsi" w:eastAsia="Yu Mincho" w:hAnsiTheme="majorHAnsi" w:cstheme="majorHAnsi"/>
          <w:color w:val="000000" w:themeColor="text1"/>
          <w:sz w:val="18"/>
          <w:szCs w:val="18"/>
          <w:lang w:eastAsia="ja-JP"/>
        </w:rPr>
        <w:t xml:space="preserve"> (average 388 bp, N50 450 bp). Functional annotation identified 33</w:t>
      </w:r>
      <w:r w:rsidRPr="005E6B7C">
        <w:rPr>
          <w:rFonts w:asciiTheme="majorHAnsi" w:eastAsia="Yu Mincho" w:hAnsiTheme="majorHAnsi" w:cstheme="majorHAnsi"/>
          <w:color w:val="000000" w:themeColor="text1"/>
          <w:sz w:val="18"/>
          <w:szCs w:val="18"/>
          <w:lang w:val="vi-VN" w:eastAsia="ja-JP"/>
        </w:rPr>
        <w:t>,235</w:t>
      </w:r>
      <w:r w:rsidRPr="005E6B7C">
        <w:rPr>
          <w:rFonts w:asciiTheme="majorHAnsi" w:eastAsia="Yu Mincho" w:hAnsiTheme="majorHAnsi" w:cstheme="majorHAnsi"/>
          <w:color w:val="000000" w:themeColor="text1"/>
          <w:sz w:val="18"/>
          <w:szCs w:val="18"/>
          <w:lang w:eastAsia="ja-JP"/>
        </w:rPr>
        <w:t xml:space="preserve"> unigenes with significant matches, </w:t>
      </w:r>
      <w:r w:rsidRPr="005E6B7C">
        <w:rPr>
          <w:rFonts w:asciiTheme="majorHAnsi" w:eastAsia="Yu Mincho" w:hAnsiTheme="majorHAnsi" w:cstheme="majorHAnsi"/>
          <w:color w:val="000000" w:themeColor="text1"/>
          <w:sz w:val="18"/>
          <w:szCs w:val="18"/>
          <w:lang w:val="vi-VN" w:eastAsia="ja-JP"/>
        </w:rPr>
        <w:t xml:space="preserve">including full-length carotenoid-related unigenes, </w:t>
      </w:r>
      <w:r w:rsidRPr="005E6B7C">
        <w:rPr>
          <w:rFonts w:asciiTheme="majorHAnsi" w:eastAsia="Yu Mincho" w:hAnsiTheme="majorHAnsi" w:cstheme="majorHAnsi"/>
          <w:color w:val="000000" w:themeColor="text1"/>
          <w:sz w:val="18"/>
          <w:szCs w:val="18"/>
          <w:lang w:eastAsia="ja-JP"/>
        </w:rPr>
        <w:t xml:space="preserve">e.g., </w:t>
      </w:r>
      <w:r w:rsidRPr="005E6B7C">
        <w:rPr>
          <w:rFonts w:asciiTheme="majorHAnsi" w:eastAsia="Yu Mincho" w:hAnsiTheme="majorHAnsi" w:cstheme="majorHAnsi"/>
          <w:color w:val="000000" w:themeColor="text1"/>
          <w:sz w:val="18"/>
          <w:szCs w:val="18"/>
          <w:lang w:val="vi-VN" w:eastAsia="ja-JP"/>
        </w:rPr>
        <w:t>phytoene synthase (</w:t>
      </w:r>
      <w:r w:rsidRPr="005E6B7C">
        <w:rPr>
          <w:rFonts w:asciiTheme="majorHAnsi" w:eastAsia="Yu Mincho" w:hAnsiTheme="majorHAnsi" w:cstheme="majorHAnsi"/>
          <w:i/>
          <w:iCs/>
          <w:color w:val="000000" w:themeColor="text1"/>
          <w:sz w:val="18"/>
          <w:szCs w:val="18"/>
          <w:lang w:val="vi-VN" w:eastAsia="ja-JP"/>
        </w:rPr>
        <w:t>PSY</w:t>
      </w:r>
      <w:r w:rsidRPr="005E6B7C">
        <w:rPr>
          <w:rFonts w:asciiTheme="majorHAnsi" w:eastAsia="Yu Mincho" w:hAnsiTheme="majorHAnsi" w:cstheme="majorHAnsi"/>
          <w:color w:val="000000" w:themeColor="text1"/>
          <w:sz w:val="18"/>
          <w:szCs w:val="18"/>
          <w:lang w:val="vi-VN" w:eastAsia="ja-JP"/>
        </w:rPr>
        <w:t>), phytoene desaturase (</w:t>
      </w:r>
      <w:r w:rsidRPr="005E6B7C">
        <w:rPr>
          <w:rFonts w:asciiTheme="majorHAnsi" w:eastAsia="Yu Mincho" w:hAnsiTheme="majorHAnsi" w:cstheme="majorHAnsi"/>
          <w:i/>
          <w:iCs/>
          <w:color w:val="000000" w:themeColor="text1"/>
          <w:sz w:val="18"/>
          <w:szCs w:val="18"/>
          <w:lang w:val="vi-VN" w:eastAsia="ja-JP"/>
        </w:rPr>
        <w:t>PDS</w:t>
      </w:r>
      <w:r w:rsidRPr="005E6B7C">
        <w:rPr>
          <w:rFonts w:asciiTheme="majorHAnsi" w:eastAsia="Yu Mincho" w:hAnsiTheme="majorHAnsi" w:cstheme="majorHAnsi"/>
          <w:color w:val="000000" w:themeColor="text1"/>
          <w:sz w:val="18"/>
          <w:szCs w:val="18"/>
          <w:lang w:val="vi-VN" w:eastAsia="ja-JP"/>
        </w:rPr>
        <w:t>), zeta-carotene desaturase (</w:t>
      </w:r>
      <w:r w:rsidRPr="005E6B7C">
        <w:rPr>
          <w:rFonts w:asciiTheme="majorHAnsi" w:eastAsia="Yu Mincho" w:hAnsiTheme="majorHAnsi" w:cstheme="majorHAnsi"/>
          <w:i/>
          <w:iCs/>
          <w:color w:val="000000" w:themeColor="text1"/>
          <w:sz w:val="18"/>
          <w:szCs w:val="18"/>
          <w:lang w:val="vi-VN" w:eastAsia="ja-JP"/>
        </w:rPr>
        <w:t>ZDS</w:t>
      </w:r>
      <w:r w:rsidRPr="005E6B7C">
        <w:rPr>
          <w:rFonts w:asciiTheme="majorHAnsi" w:eastAsia="Yu Mincho" w:hAnsiTheme="majorHAnsi" w:cstheme="majorHAnsi"/>
          <w:color w:val="000000" w:themeColor="text1"/>
          <w:sz w:val="18"/>
          <w:szCs w:val="18"/>
          <w:lang w:val="vi-VN" w:eastAsia="ja-JP"/>
        </w:rPr>
        <w:t>), zeta-carotene isomerase (</w:t>
      </w:r>
      <w:r w:rsidRPr="005E6B7C">
        <w:rPr>
          <w:rFonts w:asciiTheme="majorHAnsi" w:eastAsia="Yu Mincho" w:hAnsiTheme="majorHAnsi" w:cstheme="majorHAnsi"/>
          <w:i/>
          <w:iCs/>
          <w:color w:val="000000" w:themeColor="text1"/>
          <w:sz w:val="18"/>
          <w:szCs w:val="18"/>
          <w:lang w:val="vi-VN" w:eastAsia="ja-JP"/>
        </w:rPr>
        <w:t>Z-ISO</w:t>
      </w:r>
      <w:r w:rsidRPr="005E6B7C">
        <w:rPr>
          <w:rFonts w:asciiTheme="majorHAnsi" w:eastAsia="Yu Mincho" w:hAnsiTheme="majorHAnsi" w:cstheme="majorHAnsi"/>
          <w:color w:val="000000" w:themeColor="text1"/>
          <w:sz w:val="18"/>
          <w:szCs w:val="18"/>
          <w:lang w:val="vi-VN" w:eastAsia="ja-JP"/>
        </w:rPr>
        <w:t>), prolycopene isomerase (</w:t>
      </w:r>
      <w:r w:rsidRPr="005E6B7C">
        <w:rPr>
          <w:rFonts w:asciiTheme="majorHAnsi" w:eastAsia="Yu Mincho" w:hAnsiTheme="majorHAnsi" w:cstheme="majorHAnsi"/>
          <w:i/>
          <w:iCs/>
          <w:color w:val="000000" w:themeColor="text1"/>
          <w:sz w:val="18"/>
          <w:szCs w:val="18"/>
          <w:lang w:val="vi-VN" w:eastAsia="ja-JP"/>
        </w:rPr>
        <w:t>CRISTO</w:t>
      </w:r>
      <w:r w:rsidRPr="005E6B7C">
        <w:rPr>
          <w:rFonts w:asciiTheme="majorHAnsi" w:eastAsia="Yu Mincho" w:hAnsiTheme="majorHAnsi" w:cstheme="majorHAnsi"/>
          <w:color w:val="000000" w:themeColor="text1"/>
          <w:sz w:val="18"/>
          <w:szCs w:val="18"/>
          <w:lang w:val="vi-VN" w:eastAsia="ja-JP"/>
        </w:rPr>
        <w:t>), lycopene ß-cyclase (</w:t>
      </w:r>
      <w:r w:rsidRPr="005E6B7C">
        <w:rPr>
          <w:rFonts w:asciiTheme="majorHAnsi" w:eastAsia="Yu Mincho" w:hAnsiTheme="majorHAnsi" w:cstheme="majorHAnsi"/>
          <w:i/>
          <w:iCs/>
          <w:color w:val="000000" w:themeColor="text1"/>
          <w:sz w:val="18"/>
          <w:szCs w:val="18"/>
          <w:lang w:val="vi-VN" w:eastAsia="ja-JP"/>
        </w:rPr>
        <w:t>LCYB</w:t>
      </w:r>
      <w:r w:rsidRPr="005E6B7C">
        <w:rPr>
          <w:rFonts w:asciiTheme="majorHAnsi" w:eastAsia="Yu Mincho" w:hAnsiTheme="majorHAnsi" w:cstheme="majorHAnsi"/>
          <w:color w:val="000000" w:themeColor="text1"/>
          <w:sz w:val="18"/>
          <w:szCs w:val="18"/>
          <w:lang w:val="vi-VN" w:eastAsia="ja-JP"/>
        </w:rPr>
        <w:t>), and lycopene ε-cyclase (</w:t>
      </w:r>
      <w:r w:rsidRPr="005E6B7C">
        <w:rPr>
          <w:rFonts w:asciiTheme="majorHAnsi" w:eastAsia="Yu Mincho" w:hAnsiTheme="majorHAnsi" w:cstheme="majorHAnsi"/>
          <w:i/>
          <w:iCs/>
          <w:color w:val="000000" w:themeColor="text1"/>
          <w:sz w:val="18"/>
          <w:szCs w:val="18"/>
          <w:lang w:val="vi-VN" w:eastAsia="ja-JP"/>
        </w:rPr>
        <w:t>LCYE</w:t>
      </w:r>
      <w:r w:rsidRPr="005E6B7C">
        <w:rPr>
          <w:rFonts w:asciiTheme="majorHAnsi" w:eastAsia="Yu Mincho" w:hAnsiTheme="majorHAnsi" w:cstheme="majorHAnsi"/>
          <w:color w:val="000000" w:themeColor="text1"/>
          <w:sz w:val="18"/>
          <w:szCs w:val="18"/>
          <w:lang w:val="vi-VN" w:eastAsia="ja-JP"/>
        </w:rPr>
        <w:t xml:space="preserve">). Long-read </w:t>
      </w:r>
      <w:r w:rsidRPr="005E6B7C">
        <w:rPr>
          <w:rFonts w:asciiTheme="majorHAnsi" w:eastAsia="Yu Mincho" w:hAnsiTheme="majorHAnsi" w:cstheme="majorHAnsi"/>
          <w:color w:val="000000" w:themeColor="text1"/>
          <w:sz w:val="18"/>
          <w:szCs w:val="18"/>
          <w:lang w:eastAsia="ja-JP"/>
        </w:rPr>
        <w:t>ONT</w:t>
      </w:r>
      <w:r w:rsidRPr="005E6B7C">
        <w:rPr>
          <w:rFonts w:asciiTheme="majorHAnsi" w:eastAsia="Yu Mincho" w:hAnsiTheme="majorHAnsi" w:cstheme="majorHAnsi"/>
          <w:color w:val="000000" w:themeColor="text1"/>
          <w:sz w:val="18"/>
          <w:szCs w:val="18"/>
          <w:lang w:val="vi-VN" w:eastAsia="ja-JP"/>
        </w:rPr>
        <w:t xml:space="preserve"> sequencing enabled</w:t>
      </w:r>
      <w:r w:rsidR="00F76262" w:rsidRPr="005E6B7C">
        <w:rPr>
          <w:rFonts w:asciiTheme="majorHAnsi" w:eastAsia="Yu Mincho" w:hAnsiTheme="majorHAnsi" w:cstheme="majorHAnsi"/>
          <w:color w:val="000000" w:themeColor="text1"/>
          <w:sz w:val="18"/>
          <w:szCs w:val="18"/>
          <w:lang w:val="vi-VN" w:eastAsia="ja-JP"/>
        </w:rPr>
        <w:t xml:space="preserve"> the</w:t>
      </w:r>
      <w:r w:rsidRPr="005E6B7C">
        <w:rPr>
          <w:rFonts w:asciiTheme="majorHAnsi" w:eastAsia="Yu Mincho" w:hAnsiTheme="majorHAnsi" w:cstheme="majorHAnsi"/>
          <w:color w:val="000000" w:themeColor="text1"/>
          <w:sz w:val="18"/>
          <w:szCs w:val="18"/>
          <w:lang w:val="vi-VN" w:eastAsia="ja-JP"/>
        </w:rPr>
        <w:t xml:space="preserve"> recovery of full-length </w:t>
      </w:r>
      <w:r w:rsidRPr="005E6B7C">
        <w:rPr>
          <w:rFonts w:asciiTheme="majorHAnsi" w:eastAsia="Yu Mincho" w:hAnsiTheme="majorHAnsi" w:cstheme="majorHAnsi"/>
          <w:color w:val="000000" w:themeColor="text1"/>
          <w:sz w:val="18"/>
          <w:szCs w:val="18"/>
          <w:lang w:eastAsia="ja-JP"/>
        </w:rPr>
        <w:t>transcripts</w:t>
      </w:r>
      <w:r w:rsidRPr="005E6B7C">
        <w:rPr>
          <w:rFonts w:asciiTheme="majorHAnsi" w:eastAsia="Yu Mincho" w:hAnsiTheme="majorHAnsi" w:cstheme="majorHAnsi"/>
          <w:color w:val="000000" w:themeColor="text1"/>
          <w:sz w:val="18"/>
          <w:szCs w:val="18"/>
          <w:lang w:val="vi-VN" w:eastAsia="ja-JP"/>
        </w:rPr>
        <w:t xml:space="preserve">, reducing assembly fragmentation and redundancy and yielding a more compact, biologically representative unigene set. </w:t>
      </w:r>
      <w:r w:rsidRPr="005E6B7C">
        <w:rPr>
          <w:rFonts w:asciiTheme="majorHAnsi" w:eastAsia="Yu Mincho" w:hAnsiTheme="majorHAnsi" w:cstheme="majorHAnsi"/>
          <w:color w:val="000000" w:themeColor="text1"/>
          <w:sz w:val="18"/>
          <w:szCs w:val="18"/>
          <w:lang w:eastAsia="ja-JP"/>
        </w:rPr>
        <w:t xml:space="preserve">While Illumina technology remains superior in sequencing accuracy and quantitative profiling, ONT offers enhanced structural resolution, isoform discovery, and the potential to detect RNA modifications. Recent advances in ONT chemistry, flow cell design, and bioinformatic pipelines are rapidly improving accuracy and throughput, establishing ONT as a credible stand‑alone approach for transcriptome analysis in non‑model plants. These findings demonstrate that ONT sequencing can reveal novel regulatory features of carotenoid biosynthesis in Gac, providing valuable resources for functional genomics and metabolic engineering in carotenoid‑rich crops. </w:t>
      </w:r>
    </w:p>
    <w:p w14:paraId="6AF85686" w14:textId="77777777" w:rsidR="00E049CB" w:rsidRPr="005E6B7C" w:rsidRDefault="00E049CB" w:rsidP="008C0D47">
      <w:pPr>
        <w:tabs>
          <w:tab w:val="left" w:pos="270"/>
          <w:tab w:val="left" w:pos="540"/>
          <w:tab w:val="left" w:pos="9270"/>
        </w:tabs>
        <w:ind w:right="-20" w:firstLine="284"/>
        <w:jc w:val="both"/>
        <w:rPr>
          <w:rFonts w:asciiTheme="majorHAnsi" w:eastAsia="Yu Mincho" w:hAnsiTheme="majorHAnsi" w:cstheme="majorHAnsi"/>
          <w:i/>
          <w:iCs/>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val="vi-VN" w:eastAsia="ja-JP"/>
        </w:rPr>
        <w:t xml:space="preserve">Keywords: </w:t>
      </w:r>
      <w:r w:rsidRPr="005E6B7C">
        <w:rPr>
          <w:rFonts w:asciiTheme="majorHAnsi" w:eastAsia="Yu Mincho" w:hAnsiTheme="majorHAnsi" w:cstheme="majorHAnsi"/>
          <w:i/>
          <w:iCs/>
          <w:color w:val="000000" w:themeColor="text1"/>
          <w:sz w:val="18"/>
          <w:szCs w:val="18"/>
          <w:lang w:val="vi-VN" w:eastAsia="ja-JP"/>
        </w:rPr>
        <w:t>Momordica cochinchinensis;</w:t>
      </w:r>
      <w:r w:rsidRPr="005E6B7C">
        <w:rPr>
          <w:rFonts w:asciiTheme="majorHAnsi" w:eastAsia="Yu Mincho" w:hAnsiTheme="majorHAnsi" w:cstheme="majorHAnsi"/>
          <w:color w:val="000000" w:themeColor="text1"/>
          <w:sz w:val="18"/>
          <w:szCs w:val="18"/>
          <w:lang w:val="vi-VN" w:eastAsia="ja-JP"/>
        </w:rPr>
        <w:t xml:space="preserve"> </w:t>
      </w:r>
      <w:r w:rsidRPr="005E6B7C">
        <w:rPr>
          <w:rFonts w:asciiTheme="majorHAnsi" w:eastAsia="Yu Mincho" w:hAnsiTheme="majorHAnsi" w:cstheme="majorHAnsi"/>
          <w:i/>
          <w:iCs/>
          <w:color w:val="000000" w:themeColor="text1"/>
          <w:sz w:val="18"/>
          <w:szCs w:val="18"/>
          <w:lang w:val="vi-VN" w:eastAsia="ja-JP"/>
        </w:rPr>
        <w:t xml:space="preserve">Gac aril; Oxford Nanopore Technologies; RNA-seq; Comparative transcriptome </w:t>
      </w:r>
    </w:p>
    <w:p w14:paraId="541C4A0A" w14:textId="77777777" w:rsidR="006A1D59" w:rsidRPr="005E6B7C" w:rsidRDefault="006A1D59" w:rsidP="008C0D47">
      <w:pPr>
        <w:tabs>
          <w:tab w:val="left" w:pos="270"/>
          <w:tab w:val="left" w:pos="540"/>
          <w:tab w:val="left" w:pos="9270"/>
        </w:tabs>
        <w:ind w:right="-20"/>
        <w:jc w:val="both"/>
        <w:rPr>
          <w:rFonts w:asciiTheme="majorHAnsi" w:eastAsia="Yu Mincho" w:hAnsiTheme="majorHAnsi" w:cstheme="majorHAnsi"/>
          <w:b/>
          <w:bCs/>
          <w:color w:val="000000" w:themeColor="text1"/>
          <w:sz w:val="22"/>
          <w:szCs w:val="22"/>
          <w:lang w:val="vi-VN" w:eastAsia="ja-JP"/>
        </w:rPr>
      </w:pPr>
    </w:p>
    <w:p w14:paraId="5C51491B" w14:textId="77777777" w:rsidR="00560366" w:rsidRPr="005E6B7C" w:rsidRDefault="00560366"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val="vi-VN" w:eastAsia="ja-JP"/>
        </w:rPr>
        <w:sectPr w:rsidR="00560366" w:rsidRPr="005E6B7C" w:rsidSect="002206BB">
          <w:type w:val="continuous"/>
          <w:pgSz w:w="10773" w:h="15309" w:code="9"/>
          <w:pgMar w:top="907" w:right="851" w:bottom="1418" w:left="851" w:header="397" w:footer="851" w:gutter="0"/>
          <w:cols w:space="284"/>
          <w:docGrid w:linePitch="360"/>
        </w:sectPr>
      </w:pPr>
    </w:p>
    <w:p w14:paraId="356E8B18"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val="vi-VN" w:eastAsia="ja-JP"/>
        </w:rPr>
      </w:pPr>
      <w:r w:rsidRPr="005E6B7C">
        <w:rPr>
          <w:rFonts w:asciiTheme="majorHAnsi" w:eastAsia="Yu Mincho" w:hAnsiTheme="majorHAnsi" w:cstheme="majorHAnsi"/>
          <w:b/>
          <w:bCs/>
          <w:color w:val="000000" w:themeColor="text1"/>
          <w:sz w:val="22"/>
          <w:szCs w:val="22"/>
          <w:lang w:val="vi-VN" w:eastAsia="ja-JP"/>
        </w:rPr>
        <w:t>1. Introduction</w:t>
      </w:r>
    </w:p>
    <w:p w14:paraId="6CDADBFA" w14:textId="61A19F73"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val="vi-VN" w:eastAsia="ja-JP"/>
        </w:rPr>
        <w:t xml:space="preserve">Carotenoids are essential pigments in plants that </w:t>
      </w:r>
      <w:r w:rsidR="00F76262" w:rsidRPr="005E6B7C">
        <w:rPr>
          <w:rFonts w:asciiTheme="majorHAnsi" w:eastAsia="Yu Mincho" w:hAnsiTheme="majorHAnsi" w:cstheme="majorHAnsi"/>
          <w:color w:val="000000" w:themeColor="text1"/>
          <w:sz w:val="22"/>
          <w:szCs w:val="22"/>
          <w:lang w:val="vi-VN" w:eastAsia="ja-JP"/>
        </w:rPr>
        <w:t>play</w:t>
      </w:r>
      <w:r w:rsidRPr="005E6B7C">
        <w:rPr>
          <w:rFonts w:asciiTheme="majorHAnsi" w:eastAsia="Yu Mincho" w:hAnsiTheme="majorHAnsi" w:cstheme="majorHAnsi"/>
          <w:color w:val="000000" w:themeColor="text1"/>
          <w:sz w:val="22"/>
          <w:szCs w:val="22"/>
          <w:lang w:val="vi-VN" w:eastAsia="ja-JP"/>
        </w:rPr>
        <w:t xml:space="preserve"> crucial roles in photosynthesis, photoprotection, and signaling. </w:t>
      </w:r>
      <w:r w:rsidRPr="005E6B7C">
        <w:rPr>
          <w:rFonts w:asciiTheme="majorHAnsi" w:eastAsia="Yu Mincho" w:hAnsiTheme="majorHAnsi" w:cstheme="majorHAnsi"/>
          <w:color w:val="000000" w:themeColor="text1"/>
          <w:sz w:val="22"/>
          <w:szCs w:val="22"/>
          <w:lang w:eastAsia="ja-JP"/>
        </w:rPr>
        <w:t>In addition to their physiological functions, carotenoids possess significant nutritional and medicinal value for humans, serving as antioxidants and precursors of vitamin A. Among carotenoid-rich species, Gac (</w:t>
      </w:r>
      <w:r w:rsidRPr="005E6B7C">
        <w:rPr>
          <w:rFonts w:asciiTheme="majorHAnsi" w:eastAsia="Yu Mincho" w:hAnsiTheme="majorHAnsi" w:cstheme="majorHAnsi"/>
          <w:i/>
          <w:iCs/>
          <w:color w:val="000000" w:themeColor="text1"/>
          <w:sz w:val="22"/>
          <w:szCs w:val="22"/>
          <w:lang w:eastAsia="ja-JP"/>
        </w:rPr>
        <w:t>Momordica cochinchinensis</w:t>
      </w:r>
      <w:r w:rsidRPr="005E6B7C">
        <w:rPr>
          <w:rFonts w:asciiTheme="majorHAnsi" w:eastAsia="Yu Mincho" w:hAnsiTheme="majorHAnsi" w:cstheme="majorHAnsi"/>
          <w:color w:val="000000" w:themeColor="text1"/>
          <w:sz w:val="22"/>
          <w:szCs w:val="22"/>
          <w:lang w:eastAsia="ja-JP"/>
        </w:rPr>
        <w:t xml:space="preserve"> (Lour.) Spreng.), a perennial vine native to Southeast Asia, is notable for its exceptionally high concentrations of lycopene and </w:t>
      </w:r>
      <w:r w:rsidRPr="005E6B7C">
        <w:rPr>
          <w:rFonts w:asciiTheme="majorHAnsi" w:eastAsia="Yu Mincho" w:hAnsiTheme="majorHAnsi" w:cstheme="majorHAnsi"/>
          <w:i/>
          <w:color w:val="000000" w:themeColor="text1"/>
          <w:sz w:val="22"/>
          <w:szCs w:val="22"/>
          <w:lang w:eastAsia="ja-JP"/>
        </w:rPr>
        <w:t>β</w:t>
      </w:r>
      <w:r w:rsidRPr="005E6B7C">
        <w:rPr>
          <w:rFonts w:asciiTheme="majorHAnsi" w:eastAsia="Yu Mincho" w:hAnsiTheme="majorHAnsi" w:cstheme="majorHAnsi"/>
          <w:color w:val="000000" w:themeColor="text1"/>
          <w:sz w:val="22"/>
          <w:szCs w:val="22"/>
          <w:lang w:eastAsia="ja-JP"/>
        </w:rPr>
        <w:t xml:space="preserve">-carotene in the aril layer surrounding its seeds </w:t>
      </w:r>
      <w:r w:rsidRPr="005E6B7C">
        <w:rPr>
          <w:rFonts w:asciiTheme="majorHAnsi" w:eastAsia="Yu Mincho" w:hAnsiTheme="majorHAnsi" w:cstheme="majorHAnsi"/>
          <w:noProof/>
          <w:color w:val="000000" w:themeColor="text1"/>
          <w:sz w:val="22"/>
          <w:szCs w:val="22"/>
          <w:lang w:eastAsia="ja-JP"/>
        </w:rPr>
        <w:t>[1</w:t>
      </w:r>
      <w:r w:rsidRPr="005E6B7C">
        <w:rPr>
          <w:rFonts w:asciiTheme="majorHAnsi" w:eastAsia="Yu Mincho" w:hAnsiTheme="majorHAnsi" w:cstheme="majorHAnsi"/>
          <w:noProof/>
          <w:color w:val="000000" w:themeColor="text1"/>
          <w:sz w:val="22"/>
          <w:szCs w:val="22"/>
          <w:lang w:val="vi-VN" w:eastAsia="ja-JP"/>
        </w:rPr>
        <w:t>]</w:t>
      </w:r>
      <w:r w:rsidR="00846364"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val="vi-VN" w:eastAsia="ja-JP"/>
        </w:rPr>
        <w:t>[</w:t>
      </w:r>
      <w:r w:rsidRPr="005E6B7C">
        <w:rPr>
          <w:rFonts w:asciiTheme="majorHAnsi" w:eastAsia="Yu Mincho" w:hAnsiTheme="majorHAnsi" w:cstheme="majorHAnsi"/>
          <w:noProof/>
          <w:color w:val="000000" w:themeColor="text1"/>
          <w:sz w:val="22"/>
          <w:szCs w:val="22"/>
          <w:lang w:eastAsia="ja-JP"/>
        </w:rPr>
        <w:t>2]</w:t>
      </w:r>
      <w:r w:rsidRPr="005E6B7C">
        <w:rPr>
          <w:rFonts w:asciiTheme="majorHAnsi" w:eastAsia="Yu Mincho" w:hAnsiTheme="majorHAnsi" w:cstheme="majorHAnsi"/>
          <w:color w:val="000000" w:themeColor="text1"/>
          <w:sz w:val="22"/>
          <w:szCs w:val="22"/>
          <w:lang w:eastAsia="ja-JP"/>
        </w:rPr>
        <w:t xml:space="preserve">. These compounds are responsible for the fruit’s vibrant red color and have been used in traditional medicine for health benefits, including reducing the risk of chronic diseases and improving eye health. As a result, Gac has emerged as a promising candidate for functional genomics and metabolic engineering to enhance carotenoid biosynthesis </w:t>
      </w:r>
      <w:r w:rsidRPr="005E6B7C">
        <w:rPr>
          <w:rFonts w:asciiTheme="majorHAnsi" w:eastAsia="Yu Mincho" w:hAnsiTheme="majorHAnsi" w:cstheme="majorHAnsi"/>
          <w:noProof/>
          <w:color w:val="000000" w:themeColor="text1"/>
          <w:sz w:val="22"/>
          <w:szCs w:val="22"/>
          <w:lang w:eastAsia="ja-JP"/>
        </w:rPr>
        <w:t>[3</w:t>
      </w:r>
      <w:r w:rsidRPr="005E6B7C">
        <w:rPr>
          <w:rFonts w:asciiTheme="majorHAnsi" w:eastAsia="Yu Mincho" w:hAnsiTheme="majorHAnsi" w:cstheme="majorHAnsi"/>
          <w:noProof/>
          <w:color w:val="000000" w:themeColor="text1"/>
          <w:sz w:val="22"/>
          <w:szCs w:val="22"/>
          <w:lang w:val="vi-VN" w:eastAsia="ja-JP"/>
        </w:rPr>
        <w:t>]</w:t>
      </w:r>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val="vi-VN" w:eastAsia="ja-JP"/>
        </w:rPr>
        <w:t>[</w:t>
      </w:r>
      <w:r w:rsidRPr="005E6B7C">
        <w:rPr>
          <w:rFonts w:asciiTheme="majorHAnsi" w:eastAsia="Yu Mincho" w:hAnsiTheme="majorHAnsi" w:cstheme="majorHAnsi"/>
          <w:noProof/>
          <w:color w:val="000000" w:themeColor="text1"/>
          <w:sz w:val="22"/>
          <w:szCs w:val="22"/>
          <w:lang w:eastAsia="ja-JP"/>
        </w:rPr>
        <w:t>4]</w:t>
      </w:r>
      <w:r w:rsidRPr="005E6B7C">
        <w:rPr>
          <w:rFonts w:asciiTheme="majorHAnsi" w:eastAsia="Yu Mincho" w:hAnsiTheme="majorHAnsi" w:cstheme="majorHAnsi"/>
          <w:color w:val="000000" w:themeColor="text1"/>
          <w:sz w:val="22"/>
          <w:szCs w:val="22"/>
          <w:lang w:eastAsia="ja-JP"/>
        </w:rPr>
        <w:t>.</w:t>
      </w:r>
    </w:p>
    <w:p w14:paraId="2335F1D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Comprehensive transcriptome profiling is </w:t>
      </w:r>
      <w:r w:rsidRPr="005E6B7C">
        <w:rPr>
          <w:rFonts w:asciiTheme="majorHAnsi" w:eastAsia="Yu Mincho" w:hAnsiTheme="majorHAnsi" w:cstheme="majorHAnsi"/>
          <w:color w:val="000000" w:themeColor="text1"/>
          <w:sz w:val="22"/>
          <w:szCs w:val="22"/>
          <w:lang w:eastAsia="ja-JP"/>
        </w:rPr>
        <w:t xml:space="preserve">essential for elucidating the molecular mechanisms underlying carotenoid accumulation in plants. This approach enables the characterization of gene expression patterns, regulatory networks, and alternative splicing events that influence metabolic pathways. For non-model species lacking a reference genome, such as Gac, </w:t>
      </w:r>
      <w:r w:rsidRPr="005E6B7C">
        <w:rPr>
          <w:rFonts w:asciiTheme="majorHAnsi" w:eastAsia="Yu Mincho" w:hAnsiTheme="majorHAnsi" w:cstheme="majorHAnsi"/>
          <w:i/>
          <w:iCs/>
          <w:color w:val="000000" w:themeColor="text1"/>
          <w:sz w:val="22"/>
          <w:szCs w:val="22"/>
          <w:lang w:eastAsia="ja-JP"/>
        </w:rPr>
        <w:t>de novo</w:t>
      </w:r>
      <w:r w:rsidRPr="005E6B7C">
        <w:rPr>
          <w:rFonts w:asciiTheme="majorHAnsi" w:eastAsia="Yu Mincho" w:hAnsiTheme="majorHAnsi" w:cstheme="majorHAnsi"/>
          <w:color w:val="000000" w:themeColor="text1"/>
          <w:sz w:val="22"/>
          <w:szCs w:val="22"/>
          <w:lang w:eastAsia="ja-JP"/>
        </w:rPr>
        <w:t xml:space="preserve"> transcriptome assembly is critical for gene discovery and functional annotation. These analyses yield insights into carotenoid biosynthetic pathways, identify candidate genes for breeding, and support the development of molecular markers for crop improvement</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noProof/>
          <w:color w:val="000000" w:themeColor="text1"/>
          <w:sz w:val="22"/>
          <w:szCs w:val="22"/>
          <w:lang w:eastAsia="ja-JP"/>
        </w:rPr>
        <w:t>[5]</w:t>
      </w:r>
      <w:r w:rsidRPr="005E6B7C">
        <w:rPr>
          <w:rFonts w:asciiTheme="majorHAnsi" w:eastAsia="Yu Mincho" w:hAnsiTheme="majorHAnsi" w:cstheme="majorHAnsi"/>
          <w:color w:val="000000" w:themeColor="text1"/>
          <w:sz w:val="22"/>
          <w:szCs w:val="22"/>
          <w:lang w:eastAsia="ja-JP"/>
        </w:rPr>
        <w:t xml:space="preserve">. Next-generation sequencing (NGS), particularly Illumina technology, has been the standard for RNA-seq analysis due to its high accuracy, throughput, and robust bioinformatics support. An early study by </w:t>
      </w:r>
      <w:r w:rsidRPr="005E6B7C">
        <w:rPr>
          <w:rFonts w:asciiTheme="majorHAnsi" w:eastAsia="Yu Mincho" w:hAnsiTheme="majorHAnsi" w:cstheme="majorHAnsi"/>
          <w:noProof/>
          <w:color w:val="000000" w:themeColor="text1"/>
          <w:sz w:val="22"/>
          <w:szCs w:val="22"/>
          <w:lang w:eastAsia="ja-JP"/>
        </w:rPr>
        <w:t xml:space="preserve">Hyun </w:t>
      </w:r>
      <w:r w:rsidRPr="005E6B7C">
        <w:rPr>
          <w:rFonts w:asciiTheme="majorHAnsi" w:eastAsia="Yu Mincho" w:hAnsiTheme="majorHAnsi" w:cstheme="majorHAnsi"/>
          <w:i/>
          <w:iCs/>
          <w:noProof/>
          <w:color w:val="000000" w:themeColor="text1"/>
          <w:sz w:val="22"/>
          <w:szCs w:val="22"/>
          <w:lang w:eastAsia="ja-JP"/>
        </w:rPr>
        <w:t>et al.</w:t>
      </w:r>
      <w:r w:rsidRPr="005E6B7C">
        <w:rPr>
          <w:rFonts w:asciiTheme="majorHAnsi" w:eastAsia="Yu Mincho" w:hAnsiTheme="majorHAnsi" w:cstheme="majorHAnsi"/>
          <w:noProof/>
          <w:color w:val="000000" w:themeColor="text1"/>
          <w:sz w:val="22"/>
          <w:szCs w:val="22"/>
          <w:lang w:eastAsia="ja-JP"/>
        </w:rPr>
        <w:t xml:space="preserve"> [6]</w:t>
      </w:r>
      <w:r w:rsidRPr="005E6B7C">
        <w:rPr>
          <w:rFonts w:asciiTheme="majorHAnsi" w:eastAsia="Yu Mincho" w:hAnsiTheme="majorHAnsi" w:cstheme="majorHAnsi"/>
          <w:color w:val="000000" w:themeColor="text1"/>
          <w:sz w:val="22"/>
          <w:szCs w:val="22"/>
          <w:lang w:eastAsia="ja-JP"/>
        </w:rPr>
        <w:t xml:space="preserve"> utilized Illumina short-read sequencing to characterize Gac transcriptomes, generating over 51 million high-quality reads from aril tissue and assembling </w:t>
      </w:r>
      <w:r w:rsidRPr="005E6B7C">
        <w:rPr>
          <w:rFonts w:asciiTheme="majorHAnsi" w:eastAsia="Yu Mincho" w:hAnsiTheme="majorHAnsi" w:cstheme="majorHAnsi"/>
          <w:color w:val="000000" w:themeColor="text1"/>
          <w:sz w:val="22"/>
          <w:szCs w:val="22"/>
          <w:lang w:eastAsia="ja-JP"/>
        </w:rPr>
        <w:lastRenderedPageBreak/>
        <w:t>81,404 unigenes with an average length of 388 bp. This foundational research identified key enzymes in the carotenoid biosynthetic pathway, including phytoene synthase (</w:t>
      </w:r>
      <w:r w:rsidRPr="005E6B7C">
        <w:rPr>
          <w:rFonts w:asciiTheme="majorHAnsi" w:eastAsia="Yu Mincho" w:hAnsiTheme="majorHAnsi" w:cstheme="majorHAnsi"/>
          <w:i/>
          <w:iCs/>
          <w:color w:val="000000" w:themeColor="text1"/>
          <w:sz w:val="22"/>
          <w:szCs w:val="22"/>
          <w:lang w:eastAsia="ja-JP"/>
        </w:rPr>
        <w:t>PSY</w:t>
      </w:r>
      <w:r w:rsidRPr="005E6B7C">
        <w:rPr>
          <w:rFonts w:asciiTheme="majorHAnsi" w:eastAsia="Yu Mincho" w:hAnsiTheme="majorHAnsi" w:cstheme="majorHAnsi"/>
          <w:color w:val="000000" w:themeColor="text1"/>
          <w:sz w:val="22"/>
          <w:szCs w:val="22"/>
          <w:lang w:eastAsia="ja-JP"/>
        </w:rPr>
        <w:t>), phytoene desaturase (</w:t>
      </w:r>
      <w:r w:rsidRPr="005E6B7C">
        <w:rPr>
          <w:rFonts w:asciiTheme="majorHAnsi" w:eastAsia="Yu Mincho" w:hAnsiTheme="majorHAnsi" w:cstheme="majorHAnsi"/>
          <w:i/>
          <w:iCs/>
          <w:color w:val="000000" w:themeColor="text1"/>
          <w:sz w:val="22"/>
          <w:szCs w:val="22"/>
          <w:lang w:eastAsia="ja-JP"/>
        </w:rPr>
        <w:t>PDS</w:t>
      </w:r>
      <w:r w:rsidRPr="005E6B7C">
        <w:rPr>
          <w:rFonts w:asciiTheme="majorHAnsi" w:eastAsia="Yu Mincho" w:hAnsiTheme="majorHAnsi" w:cstheme="majorHAnsi"/>
          <w:color w:val="000000" w:themeColor="text1"/>
          <w:sz w:val="22"/>
          <w:szCs w:val="22"/>
          <w:lang w:eastAsia="ja-JP"/>
        </w:rPr>
        <w:t>), ζ-carotene desaturase (</w:t>
      </w:r>
      <w:r w:rsidRPr="005E6B7C">
        <w:rPr>
          <w:rFonts w:asciiTheme="majorHAnsi" w:eastAsia="Yu Mincho" w:hAnsiTheme="majorHAnsi" w:cstheme="majorHAnsi"/>
          <w:i/>
          <w:iCs/>
          <w:color w:val="000000" w:themeColor="text1"/>
          <w:sz w:val="22"/>
          <w:szCs w:val="22"/>
          <w:lang w:eastAsia="ja-JP"/>
        </w:rPr>
        <w:t>ZDS</w:t>
      </w:r>
      <w:r w:rsidRPr="005E6B7C">
        <w:rPr>
          <w:rFonts w:asciiTheme="majorHAnsi" w:eastAsia="Yu Mincho" w:hAnsiTheme="majorHAnsi" w:cstheme="majorHAnsi"/>
          <w:color w:val="000000" w:themeColor="text1"/>
          <w:sz w:val="22"/>
          <w:szCs w:val="22"/>
          <w:lang w:eastAsia="ja-JP"/>
        </w:rPr>
        <w:t>), carotenoid isomerase, and lycopene ε-cyclase (</w:t>
      </w:r>
      <w:r w:rsidRPr="005E6B7C">
        <w:rPr>
          <w:rFonts w:asciiTheme="majorHAnsi" w:eastAsia="Yu Mincho" w:hAnsiTheme="majorHAnsi" w:cstheme="majorHAnsi"/>
          <w:i/>
          <w:iCs/>
          <w:color w:val="000000" w:themeColor="text1"/>
          <w:sz w:val="22"/>
          <w:szCs w:val="22"/>
          <w:lang w:eastAsia="ja-JP"/>
        </w:rPr>
        <w:t>LCYE</w:t>
      </w:r>
      <w:r w:rsidRPr="005E6B7C">
        <w:rPr>
          <w:rFonts w:asciiTheme="majorHAnsi" w:eastAsia="Yu Mincho" w:hAnsiTheme="majorHAnsi" w:cstheme="majorHAnsi"/>
          <w:color w:val="000000" w:themeColor="text1"/>
          <w:sz w:val="22"/>
          <w:szCs w:val="22"/>
          <w:lang w:eastAsia="ja-JP"/>
        </w:rPr>
        <w:t>). Although Illumina sequencing provides reliable quantitative expression data, the short read length limits isoform resolution and impedes the detection of structural variants and RNA modifications.</w:t>
      </w:r>
    </w:p>
    <w:p w14:paraId="678CA8CA" w14:textId="59539AD4"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Oxford Nanopore Technologies (ONT) has emerged as a complementary sequencing platform, providing long-read capabilities that facilitate the capture of full-length transcripts, the resolution of complex isoforms, and the direct detection of RNA modifications</w:t>
      </w:r>
      <w:r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noProof/>
          <w:color w:val="000000" w:themeColor="text1"/>
          <w:sz w:val="22"/>
          <w:szCs w:val="22"/>
          <w:lang w:eastAsia="ja-JP"/>
        </w:rPr>
        <w:t>[7</w:t>
      </w:r>
      <w:r w:rsidRPr="005E6B7C">
        <w:rPr>
          <w:rFonts w:asciiTheme="majorHAnsi" w:eastAsia="Yu Mincho" w:hAnsiTheme="majorHAnsi" w:cstheme="majorHAnsi"/>
          <w:noProof/>
          <w:color w:val="000000" w:themeColor="text1"/>
          <w:sz w:val="22"/>
          <w:szCs w:val="22"/>
          <w:lang w:val="vi-VN" w:eastAsia="ja-JP"/>
        </w:rPr>
        <w:t>]</w:t>
      </w:r>
      <w:r w:rsidRPr="005E6B7C">
        <w:rPr>
          <w:rFonts w:asciiTheme="majorHAnsi" w:eastAsia="Yu Mincho" w:hAnsiTheme="majorHAnsi" w:cstheme="majorHAnsi"/>
          <w:noProof/>
          <w:color w:val="000000" w:themeColor="text1"/>
          <w:sz w:val="22"/>
          <w:szCs w:val="22"/>
          <w:lang w:eastAsia="ja-JP"/>
        </w:rPr>
        <w:t>,</w:t>
      </w:r>
      <w:r w:rsidRPr="005E6B7C">
        <w:rPr>
          <w:rFonts w:asciiTheme="majorHAnsi" w:eastAsia="Yu Mincho" w:hAnsiTheme="majorHAnsi" w:cstheme="majorHAnsi"/>
          <w:noProof/>
          <w:color w:val="000000" w:themeColor="text1"/>
          <w:sz w:val="22"/>
          <w:szCs w:val="22"/>
          <w:lang w:val="vi-VN" w:eastAsia="ja-JP"/>
        </w:rPr>
        <w:t>[</w:t>
      </w:r>
      <w:r w:rsidRPr="005E6B7C">
        <w:rPr>
          <w:rFonts w:asciiTheme="majorHAnsi" w:eastAsia="Yu Mincho" w:hAnsiTheme="majorHAnsi" w:cstheme="majorHAnsi"/>
          <w:noProof/>
          <w:color w:val="000000" w:themeColor="text1"/>
          <w:sz w:val="22"/>
          <w:szCs w:val="22"/>
          <w:lang w:eastAsia="ja-JP"/>
        </w:rPr>
        <w:t>8]</w:t>
      </w:r>
      <w:r w:rsidRPr="005E6B7C">
        <w:rPr>
          <w:rFonts w:asciiTheme="majorHAnsi" w:eastAsia="Yu Mincho" w:hAnsiTheme="majorHAnsi" w:cstheme="majorHAnsi"/>
          <w:color w:val="000000" w:themeColor="text1"/>
          <w:sz w:val="22"/>
          <w:szCs w:val="22"/>
          <w:lang w:eastAsia="ja-JP"/>
        </w:rPr>
        <w:t xml:space="preserve">. ONT has been successfully applied to transcriptomic studies in plants such as </w:t>
      </w:r>
      <w:r w:rsidRPr="005E6B7C">
        <w:rPr>
          <w:rFonts w:asciiTheme="majorHAnsi" w:eastAsia="Yu Mincho" w:hAnsiTheme="majorHAnsi" w:cstheme="majorHAnsi"/>
          <w:i/>
          <w:iCs/>
          <w:color w:val="000000" w:themeColor="text1"/>
          <w:sz w:val="22"/>
          <w:szCs w:val="22"/>
          <w:lang w:eastAsia="ja-JP"/>
        </w:rPr>
        <w:t>Arabidopsis thaliana</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Oryza sativa</w:t>
      </w:r>
      <w:r w:rsidRPr="005E6B7C">
        <w:rPr>
          <w:rFonts w:asciiTheme="majorHAnsi" w:eastAsia="Yu Mincho" w:hAnsiTheme="majorHAnsi" w:cstheme="majorHAnsi"/>
          <w:color w:val="000000" w:themeColor="text1"/>
          <w:sz w:val="22"/>
          <w:szCs w:val="22"/>
          <w:lang w:eastAsia="ja-JP"/>
        </w:rPr>
        <w:t xml:space="preserve">, and </w:t>
      </w:r>
      <w:r w:rsidRPr="005E6B7C">
        <w:rPr>
          <w:rFonts w:asciiTheme="majorHAnsi" w:eastAsia="Yu Mincho" w:hAnsiTheme="majorHAnsi" w:cstheme="majorHAnsi"/>
          <w:i/>
          <w:iCs/>
          <w:color w:val="000000" w:themeColor="text1"/>
          <w:sz w:val="22"/>
          <w:szCs w:val="22"/>
          <w:lang w:eastAsia="ja-JP"/>
        </w:rPr>
        <w:t>Zea mays</w:t>
      </w:r>
      <w:r w:rsidRPr="005E6B7C">
        <w:rPr>
          <w:rFonts w:asciiTheme="majorHAnsi" w:eastAsia="Yu Mincho" w:hAnsiTheme="majorHAnsi" w:cstheme="majorHAnsi"/>
          <w:color w:val="000000" w:themeColor="text1"/>
          <w:sz w:val="22"/>
          <w:szCs w:val="22"/>
          <w:lang w:eastAsia="ja-JP"/>
        </w:rPr>
        <w:t xml:space="preserve">, revealing full-length transcripts, novel isoforms, and alternative splicing events that are frequently overlooked by short-read sequencing </w:t>
      </w:r>
      <w:r w:rsidRPr="005E6B7C">
        <w:rPr>
          <w:rFonts w:asciiTheme="majorHAnsi" w:eastAsia="Yu Mincho" w:hAnsiTheme="majorHAnsi" w:cstheme="majorHAnsi"/>
          <w:noProof/>
          <w:color w:val="000000" w:themeColor="text1"/>
          <w:sz w:val="22"/>
          <w:szCs w:val="22"/>
          <w:lang w:eastAsia="ja-JP"/>
        </w:rPr>
        <w:t>[9</w:t>
      </w:r>
      <w:r w:rsidRPr="005E6B7C">
        <w:rPr>
          <w:rFonts w:asciiTheme="majorHAnsi" w:eastAsia="Yu Mincho" w:hAnsiTheme="majorHAnsi" w:cstheme="majorHAnsi"/>
          <w:noProof/>
          <w:color w:val="000000" w:themeColor="text1"/>
          <w:sz w:val="22"/>
          <w:szCs w:val="22"/>
          <w:lang w:val="vi-VN" w:eastAsia="ja-JP"/>
        </w:rPr>
        <w:t>],[10],[</w:t>
      </w:r>
      <w:r w:rsidRPr="005E6B7C">
        <w:rPr>
          <w:rFonts w:asciiTheme="majorHAnsi" w:eastAsia="Yu Mincho" w:hAnsiTheme="majorHAnsi" w:cstheme="majorHAnsi"/>
          <w:noProof/>
          <w:color w:val="000000" w:themeColor="text1"/>
          <w:sz w:val="22"/>
          <w:szCs w:val="22"/>
          <w:lang w:eastAsia="ja-JP"/>
        </w:rPr>
        <w:t>11]</w:t>
      </w:r>
      <w:r w:rsidRPr="005E6B7C">
        <w:rPr>
          <w:rFonts w:asciiTheme="majorHAnsi" w:eastAsia="Yu Mincho" w:hAnsiTheme="majorHAnsi" w:cstheme="majorHAnsi"/>
          <w:color w:val="000000" w:themeColor="text1"/>
          <w:sz w:val="22"/>
          <w:szCs w:val="22"/>
          <w:lang w:eastAsia="ja-JP"/>
        </w:rPr>
        <w:t xml:space="preserve">. Although ONT exhibits lower base-calling accuracy than Illumina, ongoing improvements in nanopore chemistry and bioinformatics pipelines have substantially increased its reliability </w:t>
      </w:r>
      <w:r w:rsidRPr="005E6B7C">
        <w:rPr>
          <w:rFonts w:asciiTheme="majorHAnsi" w:eastAsia="Yu Mincho" w:hAnsiTheme="majorHAnsi" w:cstheme="majorHAnsi"/>
          <w:noProof/>
          <w:color w:val="000000" w:themeColor="text1"/>
          <w:sz w:val="22"/>
          <w:szCs w:val="22"/>
          <w:lang w:eastAsia="ja-JP"/>
        </w:rPr>
        <w:t>[12]</w:t>
      </w:r>
      <w:r w:rsidRPr="005E6B7C">
        <w:rPr>
          <w:rFonts w:asciiTheme="majorHAnsi" w:eastAsia="Yu Mincho" w:hAnsiTheme="majorHAnsi" w:cstheme="majorHAnsi"/>
          <w:color w:val="000000" w:themeColor="text1"/>
          <w:sz w:val="22"/>
          <w:szCs w:val="22"/>
          <w:lang w:eastAsia="ja-JP"/>
        </w:rPr>
        <w:t>. The capacity to generate comprehensive transcript structures makes ONT particularly suitable for investigating secondary metabolite pathways, where isoform diversity and regulatory complexity are important.</w:t>
      </w:r>
    </w:p>
    <w:p w14:paraId="1A3430BE"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Here, we presented a comparative analysis of Gac aril transcriptomes generated using the ONT and Illumina sequencing platforms. By integrating long-read ONT data with an established Illumina dataset, we assessed the strengths and limitations of each platform in reconstructing carotenoid biosynthetic pathways. This study presented the first comprehensive comparison of ONT and Illumina transcriptomic datasets in </w:t>
      </w:r>
      <w:r w:rsidRPr="005E6B7C">
        <w:rPr>
          <w:rFonts w:asciiTheme="majorHAnsi" w:eastAsia="Yu Mincho" w:hAnsiTheme="majorHAnsi" w:cstheme="majorHAnsi"/>
          <w:i/>
          <w:iCs/>
          <w:color w:val="000000" w:themeColor="text1"/>
          <w:sz w:val="22"/>
          <w:szCs w:val="22"/>
          <w:lang w:eastAsia="ja-JP"/>
        </w:rPr>
        <w:t xml:space="preserve">M. cochinchinensis. </w:t>
      </w:r>
      <w:r w:rsidRPr="005E6B7C">
        <w:rPr>
          <w:rFonts w:asciiTheme="majorHAnsi" w:eastAsia="Yu Mincho" w:hAnsiTheme="majorHAnsi" w:cstheme="majorHAnsi"/>
          <w:color w:val="000000" w:themeColor="text1"/>
          <w:sz w:val="22"/>
          <w:szCs w:val="22"/>
          <w:lang w:eastAsia="ja-JP"/>
        </w:rPr>
        <w:t>Our findings elucidated the distinct advantages of the long-read ONT platform in improving transcriptome assembly quality, thereby advancing the precision of functional genomics and facilitating targeted metabolic engineering in carotenoid-enriched crops.</w:t>
      </w:r>
    </w:p>
    <w:p w14:paraId="5F3E96F4"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2. Materials and methods</w:t>
      </w:r>
    </w:p>
    <w:p w14:paraId="7F31F5B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2.1. Plant materials </w:t>
      </w:r>
    </w:p>
    <w:p w14:paraId="3AAD5177"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Aril tissues of Gac fruits (elite line GM10 - preserved at Gac Conservation Garden of Research Center of Medicinal Plants - National Institute of Medicinal Materials) were collected at mid-ripening stage (45 days after flowering, DAF), consistent with the developmental stage used in </w:t>
      </w:r>
      <w:r w:rsidRPr="005E6B7C">
        <w:rPr>
          <w:rFonts w:asciiTheme="majorHAnsi" w:eastAsia="Yu Mincho" w:hAnsiTheme="majorHAnsi" w:cstheme="majorHAnsi"/>
          <w:color w:val="000000" w:themeColor="text1"/>
          <w:sz w:val="22"/>
          <w:szCs w:val="22"/>
          <w:lang w:eastAsia="ja-JP"/>
        </w:rPr>
        <w:t xml:space="preserve">the Illumina study by Hyun </w:t>
      </w:r>
      <w:r w:rsidRPr="005E6B7C">
        <w:rPr>
          <w:rFonts w:asciiTheme="majorHAnsi" w:eastAsia="Yu Mincho" w:hAnsiTheme="majorHAnsi" w:cstheme="majorHAnsi"/>
          <w:i/>
          <w:iCs/>
          <w:color w:val="000000" w:themeColor="text1"/>
          <w:sz w:val="22"/>
          <w:szCs w:val="22"/>
          <w:lang w:eastAsia="ja-JP"/>
        </w:rPr>
        <w:t>et al.</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noProof/>
          <w:color w:val="000000" w:themeColor="text1"/>
          <w:sz w:val="22"/>
          <w:szCs w:val="22"/>
          <w:lang w:eastAsia="ja-JP"/>
        </w:rPr>
        <w:t>[6]</w:t>
      </w:r>
      <w:r w:rsidRPr="005E6B7C">
        <w:rPr>
          <w:rFonts w:asciiTheme="majorHAnsi" w:eastAsia="Yu Mincho" w:hAnsiTheme="majorHAnsi" w:cstheme="majorHAnsi"/>
          <w:color w:val="000000" w:themeColor="text1"/>
          <w:sz w:val="22"/>
          <w:szCs w:val="22"/>
          <w:lang w:eastAsia="ja-JP"/>
        </w:rPr>
        <w:t xml:space="preserve">. Samples were immediately frozen in liquid nitrogen and stored at -80°C. </w:t>
      </w:r>
    </w:p>
    <w:p w14:paraId="261B1B2C"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2.2. RNA extraction</w:t>
      </w:r>
    </w:p>
    <w:p w14:paraId="78EE31C2" w14:textId="106EDE3E"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Total RNA was extracted from aril samples using RNAzol</w:t>
      </w:r>
      <w:r w:rsidRPr="005E6B7C">
        <w:rPr>
          <w:rFonts w:asciiTheme="majorHAnsi" w:eastAsia="Yu Mincho" w:hAnsiTheme="majorHAnsi" w:cstheme="majorHAnsi"/>
          <w:color w:val="000000" w:themeColor="text1"/>
          <w:sz w:val="22"/>
          <w:szCs w:val="22"/>
          <w:lang w:val="vi-VN" w:eastAsia="ja-JP"/>
        </w:rPr>
        <w:t xml:space="preserve"> RT </w:t>
      </w:r>
      <w:r w:rsidRPr="005E6B7C">
        <w:rPr>
          <w:rFonts w:asciiTheme="majorHAnsi" w:eastAsia="Yu Mincho" w:hAnsiTheme="majorHAnsi" w:cstheme="majorHAnsi"/>
          <w:color w:val="000000" w:themeColor="text1"/>
          <w:sz w:val="22"/>
          <w:szCs w:val="22"/>
          <w:lang w:eastAsia="ja-JP"/>
        </w:rPr>
        <w:t>(Sigma-Aldrich, USA) supplemented with DNase I treatment to remove genomic DNA contamination. The polyA</w:t>
      </w:r>
      <w:r w:rsidRPr="005E6B7C">
        <w:rPr>
          <w:rFonts w:asciiTheme="majorHAnsi" w:eastAsia="Yu Mincho" w:hAnsiTheme="majorHAnsi" w:cstheme="majorHAnsi"/>
          <w:color w:val="000000" w:themeColor="text1"/>
          <w:sz w:val="22"/>
          <w:szCs w:val="22"/>
          <w:vertAlign w:val="superscript"/>
          <w:lang w:eastAsia="ja-JP"/>
        </w:rPr>
        <w:t>+</w:t>
      </w:r>
      <w:r w:rsidRPr="005E6B7C">
        <w:rPr>
          <w:rFonts w:asciiTheme="majorHAnsi" w:eastAsia="Yu Mincho" w:hAnsiTheme="majorHAnsi" w:cstheme="majorHAnsi"/>
          <w:color w:val="000000" w:themeColor="text1"/>
          <w:sz w:val="22"/>
          <w:szCs w:val="22"/>
          <w:lang w:eastAsia="ja-JP"/>
        </w:rPr>
        <w:t xml:space="preserve"> mRNAs were enriched using Dynabeads™ mRNA Purification Kit (Thermo Fisher Scientific, USA) according to the manufacturer’s instructions. RNA integrity and quantity were assessed using agarose gel electrophoresis and Qubit </w:t>
      </w:r>
      <w:r w:rsidR="00F76262" w:rsidRPr="005E6B7C">
        <w:rPr>
          <w:rFonts w:asciiTheme="majorHAnsi" w:eastAsia="Yu Mincho" w:hAnsiTheme="majorHAnsi" w:cstheme="majorHAnsi"/>
          <w:color w:val="000000" w:themeColor="text1"/>
          <w:sz w:val="22"/>
          <w:szCs w:val="22"/>
          <w:lang w:eastAsia="ja-JP"/>
        </w:rPr>
        <w:t>f</w:t>
      </w:r>
      <w:r w:rsidRPr="005E6B7C">
        <w:rPr>
          <w:rFonts w:asciiTheme="majorHAnsi" w:eastAsia="Yu Mincho" w:hAnsiTheme="majorHAnsi" w:cstheme="majorHAnsi"/>
          <w:color w:val="000000" w:themeColor="text1"/>
          <w:sz w:val="22"/>
          <w:szCs w:val="22"/>
          <w:lang w:eastAsia="ja-JP"/>
        </w:rPr>
        <w:t>luorometric quantification, respectively.</w:t>
      </w:r>
    </w:p>
    <w:p w14:paraId="64F7EA51"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2.3. Oxford Nanopore Technologies (ONT) sequencing</w:t>
      </w:r>
    </w:p>
    <w:p w14:paraId="15E51599"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pacing w:val="-4"/>
          <w:sz w:val="22"/>
          <w:szCs w:val="22"/>
          <w:lang w:val="vi-VN" w:eastAsia="ja-JP"/>
        </w:rPr>
      </w:pPr>
      <w:r w:rsidRPr="005E6B7C">
        <w:rPr>
          <w:rFonts w:asciiTheme="majorHAnsi" w:eastAsia="Yu Mincho" w:hAnsiTheme="majorHAnsi" w:cstheme="majorHAnsi"/>
          <w:color w:val="000000" w:themeColor="text1"/>
          <w:spacing w:val="-4"/>
          <w:sz w:val="22"/>
          <w:szCs w:val="22"/>
          <w:lang w:eastAsia="ja-JP"/>
        </w:rPr>
        <w:t>For library construction, 100 ng polyA</w:t>
      </w:r>
      <w:r w:rsidRPr="005E6B7C">
        <w:rPr>
          <w:rFonts w:asciiTheme="majorHAnsi" w:eastAsia="Yu Mincho" w:hAnsiTheme="majorHAnsi" w:cstheme="majorHAnsi"/>
          <w:color w:val="000000" w:themeColor="text1"/>
          <w:spacing w:val="-4"/>
          <w:sz w:val="22"/>
          <w:szCs w:val="22"/>
          <w:vertAlign w:val="superscript"/>
          <w:lang w:eastAsia="ja-JP"/>
        </w:rPr>
        <w:t>+</w:t>
      </w:r>
      <w:r w:rsidRPr="005E6B7C">
        <w:rPr>
          <w:rFonts w:asciiTheme="majorHAnsi" w:eastAsia="Yu Mincho" w:hAnsiTheme="majorHAnsi" w:cstheme="majorHAnsi"/>
          <w:color w:val="000000" w:themeColor="text1"/>
          <w:spacing w:val="-4"/>
          <w:sz w:val="22"/>
          <w:szCs w:val="22"/>
          <w:lang w:eastAsia="ja-JP"/>
        </w:rPr>
        <w:t xml:space="preserve"> mRNA was used as the input for the ONT PCR-cDNA Barcoding Kit (SQK-PCB109, Oxford Nanopore Technologies, UK) in accordance with the manufacturer’s instructions.</w:t>
      </w:r>
      <w:r w:rsidRPr="005E6B7C">
        <w:rPr>
          <w:rFonts w:asciiTheme="majorHAnsi" w:eastAsia="Yu Mincho" w:hAnsiTheme="majorHAnsi" w:cstheme="majorHAnsi"/>
          <w:color w:val="000000" w:themeColor="text1"/>
          <w:spacing w:val="-4"/>
          <w:sz w:val="22"/>
          <w:szCs w:val="22"/>
          <w:lang w:val="vi-VN" w:eastAsia="ja-JP"/>
        </w:rPr>
        <w:t xml:space="preserve"> cDNA libraries were </w:t>
      </w:r>
      <w:r w:rsidRPr="005E6B7C">
        <w:rPr>
          <w:rFonts w:asciiTheme="majorHAnsi" w:eastAsia="Yu Mincho" w:hAnsiTheme="majorHAnsi" w:cstheme="majorHAnsi"/>
          <w:color w:val="000000" w:themeColor="text1"/>
          <w:spacing w:val="-4"/>
          <w:sz w:val="22"/>
          <w:szCs w:val="22"/>
          <w:lang w:eastAsia="ja-JP"/>
        </w:rPr>
        <w:t xml:space="preserve">enriched using LongAmp Taq (New England Biolabs, USA) with thermocycling conditions as follows: initial denaturation at 95 °C for 30 s; 14 cycles of 95˚C for 15s, 62˚C for 15s, and 65˚C for 4 min; and a final extension at 65˚C for 10 min. Subsequently, library purification was performed using a 0.6× (v/v) ratio of AMPure XP magnetic beads (Beckman Coulter, USA) to remove residual contaminants and enrich the targeted cDNA for the downstream sequencing. Purified libraries were loaded onto an R9.4.1 flow cell and sequenced on the MinION Mk1B platform for 72 h. Basecalling and demultiplexing were performed using Dorado v0.7.2 (https://github.com/nanoporetech/dorado) in super-accuracy mode (“dna_r9.4.1_e8_sup@v3.6”). </w:t>
      </w:r>
    </w:p>
    <w:p w14:paraId="107A3ED7" w14:textId="732ACD90"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 xml:space="preserve">2.4. ONT-based </w:t>
      </w:r>
      <w:r w:rsidR="008C0D47" w:rsidRPr="005E6B7C">
        <w:rPr>
          <w:rFonts w:asciiTheme="majorHAnsi" w:eastAsia="Yu Mincho" w:hAnsiTheme="majorHAnsi" w:cstheme="majorHAnsi"/>
          <w:i/>
          <w:iCs/>
          <w:color w:val="000000" w:themeColor="text1"/>
          <w:sz w:val="22"/>
          <w:szCs w:val="22"/>
          <w:lang w:eastAsia="ja-JP"/>
        </w:rPr>
        <w:t>G</w:t>
      </w:r>
      <w:r w:rsidRPr="005E6B7C">
        <w:rPr>
          <w:rFonts w:asciiTheme="majorHAnsi" w:eastAsia="Yu Mincho" w:hAnsiTheme="majorHAnsi" w:cstheme="majorHAnsi"/>
          <w:i/>
          <w:iCs/>
          <w:color w:val="000000" w:themeColor="text1"/>
          <w:sz w:val="22"/>
          <w:szCs w:val="22"/>
          <w:lang w:eastAsia="ja-JP"/>
        </w:rPr>
        <w:t>ac aril transcriptome assembly</w:t>
      </w:r>
    </w:p>
    <w:p w14:paraId="3CC970AF"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ONT sequencing reads were selected by Pychopper (https://github.com/nanoporetech/pychopper) using default parameters. Then, poly (A) tails were removed with Cutadapt using the -</w:t>
      </w:r>
      <w:r w:rsidRPr="005E6B7C">
        <w:rPr>
          <w:rFonts w:asciiTheme="majorHAnsi" w:eastAsia="Yu Mincho" w:hAnsiTheme="majorHAnsi" w:cstheme="majorHAnsi"/>
          <w:i/>
          <w:iCs/>
          <w:color w:val="000000" w:themeColor="text1"/>
          <w:sz w:val="22"/>
          <w:szCs w:val="22"/>
          <w:lang w:val="vi-VN" w:eastAsia="ja-JP"/>
        </w:rPr>
        <w:t>-</w:t>
      </w:r>
      <w:r w:rsidRPr="005E6B7C">
        <w:rPr>
          <w:rFonts w:asciiTheme="majorHAnsi" w:eastAsia="Yu Mincho" w:hAnsiTheme="majorHAnsi" w:cstheme="majorHAnsi"/>
          <w:i/>
          <w:iCs/>
          <w:color w:val="000000" w:themeColor="text1"/>
          <w:sz w:val="22"/>
          <w:szCs w:val="22"/>
          <w:lang w:eastAsia="ja-JP"/>
        </w:rPr>
        <w:t>poly-A</w:t>
      </w:r>
      <w:r w:rsidRPr="005E6B7C">
        <w:rPr>
          <w:rFonts w:asciiTheme="majorHAnsi" w:eastAsia="Yu Mincho" w:hAnsiTheme="majorHAnsi" w:cstheme="majorHAnsi"/>
          <w:color w:val="000000" w:themeColor="text1"/>
          <w:sz w:val="22"/>
          <w:szCs w:val="22"/>
          <w:lang w:eastAsia="ja-JP"/>
        </w:rPr>
        <w:t xml:space="preserve"> flag </w:t>
      </w:r>
      <w:r w:rsidRPr="005E6B7C">
        <w:rPr>
          <w:rFonts w:asciiTheme="majorHAnsi" w:eastAsia="Yu Mincho" w:hAnsiTheme="majorHAnsi" w:cstheme="majorHAnsi"/>
          <w:noProof/>
          <w:color w:val="000000" w:themeColor="text1"/>
          <w:sz w:val="22"/>
          <w:szCs w:val="22"/>
          <w:lang w:eastAsia="ja-JP"/>
        </w:rPr>
        <w:t>[13]</w:t>
      </w:r>
      <w:r w:rsidRPr="005E6B7C">
        <w:rPr>
          <w:rFonts w:asciiTheme="majorHAnsi" w:eastAsia="Yu Mincho" w:hAnsiTheme="majorHAnsi" w:cstheme="majorHAnsi"/>
          <w:color w:val="000000" w:themeColor="text1"/>
          <w:sz w:val="22"/>
          <w:szCs w:val="22"/>
          <w:lang w:eastAsia="ja-JP"/>
        </w:rPr>
        <w:t xml:space="preserve">. Reads retained for downstream analyses met stringent criteria, requiring a minimum quality score of Q7 and a length threshold of at least 100 bp. High-quality, filtered reads were then assembled </w:t>
      </w:r>
      <w:r w:rsidRPr="005E6B7C">
        <w:rPr>
          <w:rFonts w:asciiTheme="majorHAnsi" w:eastAsia="Yu Mincho" w:hAnsiTheme="majorHAnsi" w:cstheme="majorHAnsi"/>
          <w:i/>
          <w:iCs/>
          <w:color w:val="000000" w:themeColor="text1"/>
          <w:sz w:val="22"/>
          <w:szCs w:val="22"/>
          <w:lang w:eastAsia="ja-JP"/>
        </w:rPr>
        <w:t>de novo</w:t>
      </w:r>
      <w:r w:rsidRPr="005E6B7C">
        <w:rPr>
          <w:rFonts w:asciiTheme="majorHAnsi" w:eastAsia="Yu Mincho" w:hAnsiTheme="majorHAnsi" w:cstheme="majorHAnsi"/>
          <w:color w:val="000000" w:themeColor="text1"/>
          <w:sz w:val="22"/>
          <w:szCs w:val="22"/>
          <w:lang w:eastAsia="ja-JP"/>
        </w:rPr>
        <w:t xml:space="preserve"> with RNA-Bloom2, utilizing recommended parameters for Oxford Nanopore data (</w:t>
      </w:r>
      <w:r w:rsidRPr="005E6B7C">
        <w:rPr>
          <w:rFonts w:asciiTheme="majorHAnsi" w:eastAsia="Yu Mincho" w:hAnsiTheme="majorHAnsi" w:cstheme="majorHAnsi"/>
          <w:i/>
          <w:iCs/>
          <w:color w:val="000000" w:themeColor="text1"/>
          <w:sz w:val="22"/>
          <w:szCs w:val="22"/>
          <w:lang w:eastAsia="ja-JP"/>
        </w:rPr>
        <w:t>-fpr 0.005 -overlap 200 -length 150 -lrop 0.7 -p 0.7 -lrrd 3 -e 3</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noProof/>
          <w:color w:val="000000" w:themeColor="text1"/>
          <w:sz w:val="22"/>
          <w:szCs w:val="22"/>
          <w:lang w:eastAsia="ja-JP"/>
        </w:rPr>
        <w:t>[14]</w:t>
      </w:r>
      <w:r w:rsidRPr="005E6B7C">
        <w:rPr>
          <w:rFonts w:asciiTheme="majorHAnsi" w:eastAsia="Yu Mincho" w:hAnsiTheme="majorHAnsi" w:cstheme="majorHAnsi"/>
          <w:color w:val="000000" w:themeColor="text1"/>
          <w:sz w:val="22"/>
          <w:szCs w:val="22"/>
          <w:lang w:eastAsia="ja-JP"/>
        </w:rPr>
        <w:t xml:space="preserve">. Assembly completeness was evaluated using BUSCO v.6.0.0,  benchmarking against both Viridiplantae (v10) and Eudicots (v10) lineage datasets. Functional </w:t>
      </w:r>
      <w:r w:rsidRPr="005E6B7C">
        <w:rPr>
          <w:rFonts w:asciiTheme="majorHAnsi" w:eastAsia="Yu Mincho" w:hAnsiTheme="majorHAnsi" w:cstheme="majorHAnsi"/>
          <w:color w:val="000000" w:themeColor="text1"/>
          <w:sz w:val="22"/>
          <w:szCs w:val="22"/>
          <w:lang w:eastAsia="ja-JP"/>
        </w:rPr>
        <w:lastRenderedPageBreak/>
        <w:t xml:space="preserve">annotation of assembled transcripts was performed using BLASTx (v2.16.0) against the NR, Swiss-Prot, KEGG, Clusters of Orthologous Groups (COG), and Gene Ontology (GO) databases, with a significance threshold of 1e-5. </w:t>
      </w:r>
    </w:p>
    <w:p w14:paraId="16F4B45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2.5. Comparative transcriptome profiling analysis</w:t>
      </w:r>
    </w:p>
    <w:p w14:paraId="44B7C52D" w14:textId="54BC828B"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pacing w:val="-4"/>
          <w:sz w:val="22"/>
          <w:szCs w:val="22"/>
          <w:lang w:eastAsia="ja-JP"/>
        </w:rPr>
      </w:pPr>
      <w:r w:rsidRPr="005E6B7C">
        <w:rPr>
          <w:rFonts w:asciiTheme="majorHAnsi" w:eastAsia="Yu Mincho" w:hAnsiTheme="majorHAnsi" w:cstheme="majorHAnsi"/>
          <w:color w:val="000000" w:themeColor="text1"/>
          <w:spacing w:val="-4"/>
          <w:sz w:val="22"/>
          <w:szCs w:val="22"/>
          <w:lang w:eastAsia="ja-JP"/>
        </w:rPr>
        <w:t xml:space="preserve">To rigorously assess the capabilities in Gac aril transcriptome reconstruction, the ONT-based assembly was benchmarked against the established Illumina-based dataset described by Hyun </w:t>
      </w:r>
      <w:r w:rsidRPr="005E6B7C">
        <w:rPr>
          <w:rFonts w:asciiTheme="majorHAnsi" w:eastAsia="Yu Mincho" w:hAnsiTheme="majorHAnsi" w:cstheme="majorHAnsi"/>
          <w:i/>
          <w:iCs/>
          <w:color w:val="000000" w:themeColor="text1"/>
          <w:spacing w:val="-4"/>
          <w:sz w:val="22"/>
          <w:szCs w:val="22"/>
          <w:lang w:eastAsia="ja-JP"/>
        </w:rPr>
        <w:t>et al.</w:t>
      </w:r>
      <w:r w:rsidRPr="005E6B7C">
        <w:rPr>
          <w:rFonts w:asciiTheme="majorHAnsi" w:eastAsia="Yu Mincho" w:hAnsiTheme="majorHAnsi" w:cstheme="majorHAnsi"/>
          <w:color w:val="000000" w:themeColor="text1"/>
          <w:spacing w:val="-4"/>
          <w:sz w:val="22"/>
          <w:szCs w:val="22"/>
          <w:lang w:eastAsia="ja-JP"/>
        </w:rPr>
        <w:t xml:space="preserve"> [6]. Comparative metrics included total unigene count, mean transcript length, and contig/unigene N50 values, providing a quantitative framework for evaluating assembly quality. Functional annotation was further integrated by mapping assembled sequences to key databases, including NR, Swiss-Prot, KEGG, COG, and GO, to assess annotation depth comprehensively. Particular emphasis was placed on the identification and characterization of carotenoid biosynthetic pathway genes</w:t>
      </w:r>
      <w:r w:rsidR="008C0D47"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 xml:space="preserve">such as </w:t>
      </w:r>
      <w:r w:rsidRPr="005E6B7C">
        <w:rPr>
          <w:rFonts w:asciiTheme="majorHAnsi" w:eastAsia="Yu Mincho" w:hAnsiTheme="majorHAnsi" w:cstheme="majorHAnsi"/>
          <w:i/>
          <w:iCs/>
          <w:color w:val="000000" w:themeColor="text1"/>
          <w:spacing w:val="-4"/>
          <w:sz w:val="22"/>
          <w:szCs w:val="22"/>
          <w:lang w:eastAsia="ja-JP"/>
        </w:rPr>
        <w:t>PSY, PDS, ZDS,</w:t>
      </w:r>
      <w:r w:rsidRPr="005E6B7C">
        <w:rPr>
          <w:rFonts w:asciiTheme="majorHAnsi" w:eastAsia="Yu Mincho" w:hAnsiTheme="majorHAnsi" w:cstheme="majorHAnsi"/>
          <w:color w:val="000000" w:themeColor="text1"/>
          <w:spacing w:val="-4"/>
          <w:sz w:val="22"/>
          <w:szCs w:val="22"/>
          <w:lang w:eastAsia="ja-JP"/>
        </w:rPr>
        <w:t xml:space="preserve"> carotenoid isomerase, and </w:t>
      </w:r>
      <w:r w:rsidRPr="005E6B7C">
        <w:rPr>
          <w:rFonts w:asciiTheme="majorHAnsi" w:eastAsia="Yu Mincho" w:hAnsiTheme="majorHAnsi" w:cstheme="majorHAnsi"/>
          <w:i/>
          <w:iCs/>
          <w:color w:val="000000" w:themeColor="text1"/>
          <w:spacing w:val="-4"/>
          <w:sz w:val="22"/>
          <w:szCs w:val="22"/>
          <w:lang w:eastAsia="ja-JP"/>
        </w:rPr>
        <w:t>LCYE</w:t>
      </w:r>
      <w:r w:rsidR="008C0D47" w:rsidRPr="005E6B7C">
        <w:rPr>
          <w:rFonts w:asciiTheme="majorHAnsi" w:eastAsia="Yu Mincho" w:hAnsiTheme="majorHAnsi" w:cstheme="majorHAnsi"/>
          <w:color w:val="000000" w:themeColor="text1"/>
          <w:spacing w:val="-4"/>
          <w:sz w:val="22"/>
          <w:szCs w:val="22"/>
          <w:lang w:eastAsia="ja-JP"/>
        </w:rPr>
        <w:t xml:space="preserve">, </w:t>
      </w:r>
      <w:r w:rsidRPr="005E6B7C">
        <w:rPr>
          <w:rFonts w:asciiTheme="majorHAnsi" w:eastAsia="Yu Mincho" w:hAnsiTheme="majorHAnsi" w:cstheme="majorHAnsi"/>
          <w:color w:val="000000" w:themeColor="text1"/>
          <w:spacing w:val="-4"/>
          <w:sz w:val="22"/>
          <w:szCs w:val="22"/>
          <w:lang w:eastAsia="ja-JP"/>
        </w:rPr>
        <w:t xml:space="preserve">to elucidate the platforms’ respective strengths in capturing full-length gene models and isoform </w:t>
      </w:r>
      <w:r w:rsidRPr="005E6B7C">
        <w:rPr>
          <w:rFonts w:asciiTheme="majorHAnsi" w:eastAsia="Yu Mincho" w:hAnsiTheme="majorHAnsi" w:cstheme="majorHAnsi"/>
          <w:color w:val="000000" w:themeColor="text1"/>
          <w:spacing w:val="-4"/>
          <w:sz w:val="22"/>
          <w:szCs w:val="22"/>
          <w:lang w:eastAsia="ja-JP"/>
        </w:rPr>
        <w:t>diversity.</w:t>
      </w:r>
    </w:p>
    <w:p w14:paraId="59141913"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 xml:space="preserve"> 3. Results</w:t>
      </w:r>
    </w:p>
    <w:p w14:paraId="7312E3E9"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3.1. ONT sequencing and de novo assembly of Gac aril transcriptome</w:t>
      </w:r>
    </w:p>
    <w:p w14:paraId="36BE6512" w14:textId="0850A461" w:rsidR="00560366"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Sequencing of cDNA from </w:t>
      </w:r>
      <w:r w:rsidRPr="005E6B7C">
        <w:rPr>
          <w:rFonts w:asciiTheme="majorHAnsi" w:eastAsia="Yu Mincho" w:hAnsiTheme="majorHAnsi" w:cstheme="majorHAnsi"/>
          <w:i/>
          <w:iCs/>
          <w:color w:val="000000" w:themeColor="text1"/>
          <w:sz w:val="22"/>
          <w:szCs w:val="22"/>
          <w:lang w:eastAsia="ja-JP"/>
        </w:rPr>
        <w:t>M. cochinchinensis</w:t>
      </w:r>
      <w:r w:rsidRPr="005E6B7C">
        <w:rPr>
          <w:rFonts w:asciiTheme="majorHAnsi" w:eastAsia="Yu Mincho" w:hAnsiTheme="majorHAnsi" w:cstheme="majorHAnsi"/>
          <w:color w:val="000000" w:themeColor="text1"/>
          <w:sz w:val="22"/>
          <w:szCs w:val="22"/>
          <w:lang w:eastAsia="ja-JP"/>
        </w:rPr>
        <w:t xml:space="preserve"> aril using Oxford Nanopore Technologies (ONT) generated over 13 million reads, totaling 4.8 Gbp. Read lengths ranged from 50 bp to 50 kb, with mean and N50 values of 394 bp and 682 bp, respectively. The estimated error rate was 1.9%, and more than 89% of reads had a Qscore above 10. After full-length selection and quality filtering (Q ≥ 7, length ≥ 100 bp), 7.6 million reads (58.9%) with an N90 of 790 bp were retained for assembly. </w:t>
      </w:r>
      <w:r w:rsidRPr="005E6B7C">
        <w:rPr>
          <w:rFonts w:asciiTheme="majorHAnsi" w:eastAsia="Yu Mincho" w:hAnsiTheme="majorHAnsi" w:cstheme="majorHAnsi"/>
          <w:i/>
          <w:iCs/>
          <w:color w:val="000000" w:themeColor="text1"/>
          <w:sz w:val="22"/>
          <w:szCs w:val="22"/>
          <w:lang w:eastAsia="ja-JP"/>
        </w:rPr>
        <w:t>De novo</w:t>
      </w:r>
      <w:r w:rsidRPr="005E6B7C">
        <w:rPr>
          <w:rFonts w:asciiTheme="majorHAnsi" w:eastAsia="Yu Mincho" w:hAnsiTheme="majorHAnsi" w:cstheme="majorHAnsi"/>
          <w:color w:val="000000" w:themeColor="text1"/>
          <w:sz w:val="22"/>
          <w:szCs w:val="22"/>
          <w:lang w:eastAsia="ja-JP"/>
        </w:rPr>
        <w:t xml:space="preserve"> assembly with RNA-Bloom2, followed by redundancy reduction with CD-HIT, yielded 52,755 unigenes with an N50 of 922 bp. The assembled transcriptome totaled 41 Mb, </w:t>
      </w:r>
      <w:r w:rsidR="00F76262" w:rsidRPr="005E6B7C">
        <w:rPr>
          <w:rFonts w:asciiTheme="majorHAnsi" w:eastAsia="Yu Mincho" w:hAnsiTheme="majorHAnsi" w:cstheme="majorHAnsi"/>
          <w:color w:val="000000" w:themeColor="text1"/>
          <w:sz w:val="22"/>
          <w:szCs w:val="22"/>
          <w:lang w:eastAsia="ja-JP"/>
        </w:rPr>
        <w:t>highlighting the ability of ONT</w:t>
      </w:r>
      <w:r w:rsidRPr="005E6B7C">
        <w:rPr>
          <w:rFonts w:asciiTheme="majorHAnsi" w:eastAsia="Yu Mincho" w:hAnsiTheme="majorHAnsi" w:cstheme="majorHAnsi"/>
          <w:color w:val="000000" w:themeColor="text1"/>
          <w:sz w:val="22"/>
          <w:szCs w:val="22"/>
          <w:lang w:eastAsia="ja-JP"/>
        </w:rPr>
        <w:t xml:space="preserve"> to capture full-length transcripts and represent isoform diversity accurately [7</w:t>
      </w: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color w:val="000000" w:themeColor="text1"/>
          <w:sz w:val="22"/>
          <w:szCs w:val="22"/>
          <w:lang w:val="vi-VN" w:eastAsia="ja-JP"/>
        </w:rPr>
        <w:t>[</w:t>
      </w:r>
      <w:r w:rsidRPr="005E6B7C">
        <w:rPr>
          <w:rFonts w:asciiTheme="majorHAnsi" w:eastAsia="Yu Mincho" w:hAnsiTheme="majorHAnsi" w:cstheme="majorHAnsi"/>
          <w:color w:val="000000" w:themeColor="text1"/>
          <w:sz w:val="22"/>
          <w:szCs w:val="22"/>
          <w:lang w:eastAsia="ja-JP"/>
        </w:rPr>
        <w:t>8]. Most transcript lengths were below 1,500 bp (93.5%), while only 1.1% exceeded 2,000 bp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1).</w:t>
      </w:r>
    </w:p>
    <w:p w14:paraId="41382E18" w14:textId="77777777" w:rsidR="00560366" w:rsidRPr="005E6B7C" w:rsidRDefault="00560366"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560366" w:rsidRPr="005E6B7C" w:rsidSect="00560366">
          <w:type w:val="continuous"/>
          <w:pgSz w:w="10773" w:h="15309" w:code="9"/>
          <w:pgMar w:top="907" w:right="851" w:bottom="1418" w:left="851" w:header="397" w:footer="851" w:gutter="0"/>
          <w:cols w:num="2" w:space="284"/>
          <w:docGrid w:linePitch="360"/>
        </w:sectPr>
      </w:pPr>
    </w:p>
    <w:p w14:paraId="234D1E4B"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22"/>
          <w:szCs w:val="22"/>
          <w:lang w:eastAsia="ja-JP"/>
        </w:rPr>
      </w:pPr>
    </w:p>
    <w:p w14:paraId="608FF956" w14:textId="77777777" w:rsidR="00E049CB" w:rsidRPr="005E6B7C" w:rsidRDefault="00E049CB" w:rsidP="008C0D47">
      <w:pPr>
        <w:tabs>
          <w:tab w:val="left" w:pos="9270"/>
        </w:tabs>
        <w:ind w:right="-20"/>
        <w:jc w:val="center"/>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noProof/>
          <w:color w:val="000000" w:themeColor="text1"/>
          <w:sz w:val="22"/>
          <w:szCs w:val="22"/>
        </w:rPr>
        <w:drawing>
          <wp:inline distT="0" distB="0" distL="0" distR="0" wp14:anchorId="4F192C2E" wp14:editId="13C0C735">
            <wp:extent cx="4438650" cy="2811341"/>
            <wp:effectExtent l="0" t="0" r="0" b="8255"/>
            <wp:docPr id="432587095" name="Picture 1" descr="A graph with a line of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87095" name="Picture 1" descr="A graph with a line of blue dots&#10;&#10;AI-generated content may be incorrect."/>
                    <pic:cNvPicPr/>
                  </pic:nvPicPr>
                  <pic:blipFill>
                    <a:blip r:embed="rId152" cstate="print">
                      <a:extLst>
                        <a:ext uri="{BEBA8EAE-BF5A-486C-A8C5-ECC9F3942E4B}">
                          <a14:imgProps xmlns:a14="http://schemas.microsoft.com/office/drawing/2010/main">
                            <a14:imgLayer r:embed="rId15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42328" cy="2813671"/>
                    </a:xfrm>
                    <a:prstGeom prst="rect">
                      <a:avLst/>
                    </a:prstGeom>
                  </pic:spPr>
                </pic:pic>
              </a:graphicData>
            </a:graphic>
          </wp:inline>
        </w:drawing>
      </w:r>
    </w:p>
    <w:p w14:paraId="0E5D4D22" w14:textId="74CB1190"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1</w:t>
      </w:r>
      <w:r w:rsidR="00E049CB" w:rsidRPr="005E6B7C">
        <w:rPr>
          <w:rFonts w:asciiTheme="majorHAnsi" w:eastAsia="Yu Mincho" w:hAnsiTheme="majorHAnsi" w:cstheme="majorHAnsi"/>
          <w:b/>
          <w:bCs/>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 xml:space="preserve">Unigene length distribution of ONT-based </w:t>
      </w:r>
      <w:r w:rsidR="00C22C51" w:rsidRPr="005E6B7C">
        <w:rPr>
          <w:rFonts w:asciiTheme="majorHAnsi" w:eastAsia="Yu Mincho" w:hAnsiTheme="majorHAnsi" w:cstheme="majorHAnsi"/>
          <w:color w:val="000000" w:themeColor="text1"/>
          <w:sz w:val="18"/>
          <w:szCs w:val="18"/>
          <w:lang w:eastAsia="ja-JP"/>
        </w:rPr>
        <w:t>G</w:t>
      </w:r>
      <w:r w:rsidR="00E049CB" w:rsidRPr="005E6B7C">
        <w:rPr>
          <w:rFonts w:asciiTheme="majorHAnsi" w:eastAsia="Yu Mincho" w:hAnsiTheme="majorHAnsi" w:cstheme="majorHAnsi"/>
          <w:color w:val="000000" w:themeColor="text1"/>
          <w:sz w:val="18"/>
          <w:szCs w:val="18"/>
          <w:lang w:eastAsia="ja-JP"/>
        </w:rPr>
        <w:t>ac aril transcriptome at 45 DAF</w:t>
      </w:r>
    </w:p>
    <w:p w14:paraId="2C64D29E" w14:textId="77777777" w:rsidR="006A1D59" w:rsidRPr="005E6B7C" w:rsidRDefault="006A1D59" w:rsidP="008C0D47">
      <w:pPr>
        <w:tabs>
          <w:tab w:val="left" w:pos="270"/>
          <w:tab w:val="left" w:pos="540"/>
          <w:tab w:val="num" w:pos="720"/>
          <w:tab w:val="left" w:pos="9270"/>
        </w:tabs>
        <w:ind w:right="-20"/>
        <w:jc w:val="both"/>
        <w:rPr>
          <w:rFonts w:asciiTheme="majorHAnsi" w:eastAsia="Yu Mincho" w:hAnsiTheme="majorHAnsi" w:cstheme="majorHAnsi"/>
          <w:i/>
          <w:iCs/>
          <w:color w:val="000000" w:themeColor="text1"/>
          <w:sz w:val="22"/>
          <w:szCs w:val="22"/>
          <w:lang w:eastAsia="ja-JP"/>
        </w:rPr>
      </w:pPr>
    </w:p>
    <w:p w14:paraId="32F0B2E5"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sectPr w:rsidR="00F463A2" w:rsidRPr="005E6B7C" w:rsidSect="002206BB">
          <w:type w:val="continuous"/>
          <w:pgSz w:w="10773" w:h="15309" w:code="9"/>
          <w:pgMar w:top="907" w:right="851" w:bottom="1418" w:left="851" w:header="397" w:footer="851" w:gutter="0"/>
          <w:cols w:space="284"/>
          <w:docGrid w:linePitch="360"/>
        </w:sectPr>
      </w:pPr>
    </w:p>
    <w:p w14:paraId="570BB735"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pPr>
      <w:r w:rsidRPr="005E6B7C">
        <w:rPr>
          <w:rFonts w:asciiTheme="majorHAnsi" w:eastAsia="Yu Mincho" w:hAnsiTheme="majorHAnsi" w:cstheme="majorHAnsi"/>
          <w:i/>
          <w:iCs/>
          <w:color w:val="000000" w:themeColor="text1"/>
          <w:sz w:val="22"/>
          <w:szCs w:val="22"/>
          <w:lang w:eastAsia="ja-JP"/>
        </w:rPr>
        <w:t>3.2. Comparison between ONT-based and Illumina-based Gac aril transcriptomes</w:t>
      </w:r>
    </w:p>
    <w:p w14:paraId="7780590C" w14:textId="77777777" w:rsidR="00F463A2"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pacing w:val="8"/>
          <w:sz w:val="22"/>
          <w:szCs w:val="22"/>
          <w:lang w:eastAsia="ja-JP"/>
        </w:rPr>
      </w:pPr>
      <w:r w:rsidRPr="005E6B7C">
        <w:rPr>
          <w:rFonts w:asciiTheme="majorHAnsi" w:eastAsia="Yu Mincho" w:hAnsiTheme="majorHAnsi" w:cstheme="majorHAnsi"/>
          <w:color w:val="000000" w:themeColor="text1"/>
          <w:spacing w:val="8"/>
          <w:sz w:val="22"/>
          <w:szCs w:val="22"/>
          <w:lang w:eastAsia="ja-JP"/>
        </w:rPr>
        <w:t xml:space="preserve">The Illumina-based transcriptome reported by Hyun </w:t>
      </w:r>
      <w:r w:rsidRPr="005E6B7C">
        <w:rPr>
          <w:rFonts w:asciiTheme="majorHAnsi" w:eastAsia="Yu Mincho" w:hAnsiTheme="majorHAnsi" w:cstheme="majorHAnsi"/>
          <w:i/>
          <w:iCs/>
          <w:color w:val="000000" w:themeColor="text1"/>
          <w:spacing w:val="8"/>
          <w:sz w:val="22"/>
          <w:szCs w:val="22"/>
          <w:lang w:eastAsia="ja-JP"/>
        </w:rPr>
        <w:t>et al.</w:t>
      </w:r>
      <w:r w:rsidRPr="005E6B7C">
        <w:rPr>
          <w:rFonts w:asciiTheme="majorHAnsi" w:eastAsia="Yu Mincho" w:hAnsiTheme="majorHAnsi" w:cstheme="majorHAnsi"/>
          <w:color w:val="000000" w:themeColor="text1"/>
          <w:spacing w:val="8"/>
          <w:sz w:val="22"/>
          <w:szCs w:val="22"/>
          <w:lang w:eastAsia="ja-JP"/>
        </w:rPr>
        <w:t xml:space="preserve"> [6] generated 51.4 million short reads totaling 4.63 Gbp, which were assembled into 81,404 unigenes with an </w:t>
      </w:r>
      <w:r w:rsidRPr="005E6B7C">
        <w:rPr>
          <w:rFonts w:asciiTheme="majorHAnsi" w:eastAsia="Yu Mincho" w:hAnsiTheme="majorHAnsi" w:cstheme="majorHAnsi"/>
          <w:color w:val="000000" w:themeColor="text1"/>
          <w:spacing w:val="8"/>
          <w:sz w:val="22"/>
          <w:szCs w:val="22"/>
          <w:lang w:eastAsia="ja-JP"/>
        </w:rPr>
        <w:t>average length of 388 bp and an N50 of 450 bp. In comparison, ONT assemblies produced fewer unigenes but with significantly longer average lengths and higher N50 values, resulting in more complete transcript structures (Table 1).</w:t>
      </w:r>
    </w:p>
    <w:p w14:paraId="11E517AD"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F463A2">
          <w:type w:val="continuous"/>
          <w:pgSz w:w="10773" w:h="15309" w:code="9"/>
          <w:pgMar w:top="907" w:right="851" w:bottom="1418" w:left="851" w:header="397" w:footer="851" w:gutter="0"/>
          <w:cols w:num="2" w:space="284"/>
          <w:docGrid w:linePitch="360"/>
        </w:sectPr>
      </w:pPr>
    </w:p>
    <w:p w14:paraId="1CC9F422" w14:textId="6466D090" w:rsidR="00E049CB" w:rsidRPr="005E6B7C" w:rsidRDefault="00E049CB" w:rsidP="008C0D47">
      <w:pPr>
        <w:tabs>
          <w:tab w:val="left" w:pos="270"/>
          <w:tab w:val="left" w:pos="540"/>
          <w:tab w:val="num" w:pos="720"/>
          <w:tab w:val="left" w:pos="9270"/>
        </w:tabs>
        <w:spacing w:before="120" w:after="1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Table</w:t>
      </w:r>
      <w:r w:rsidRPr="005E6B7C">
        <w:rPr>
          <w:rFonts w:asciiTheme="majorHAnsi" w:eastAsia="Yu Mincho" w:hAnsiTheme="majorHAnsi" w:cstheme="majorHAnsi"/>
          <w:b/>
          <w:bCs/>
          <w:color w:val="000000" w:themeColor="text1"/>
          <w:sz w:val="18"/>
          <w:szCs w:val="18"/>
          <w:lang w:val="vi-VN" w:eastAsia="ja-JP"/>
        </w:rPr>
        <w:t xml:space="preserve"> 1.</w:t>
      </w:r>
      <w:r w:rsidRPr="005E6B7C">
        <w:rPr>
          <w:rFonts w:asciiTheme="majorHAnsi" w:eastAsia="Yu Mincho" w:hAnsiTheme="majorHAnsi" w:cstheme="majorHAnsi"/>
          <w:b/>
          <w:bCs/>
          <w:color w:val="000000" w:themeColor="text1"/>
          <w:sz w:val="18"/>
          <w:szCs w:val="18"/>
          <w:lang w:eastAsia="ja-JP"/>
        </w:rPr>
        <w:t xml:space="preserve"> </w:t>
      </w:r>
      <w:r w:rsidRPr="005E6B7C">
        <w:rPr>
          <w:rFonts w:asciiTheme="majorHAnsi" w:eastAsia="Yu Mincho" w:hAnsiTheme="majorHAnsi" w:cstheme="majorHAnsi"/>
          <w:color w:val="000000" w:themeColor="text1"/>
          <w:sz w:val="18"/>
          <w:szCs w:val="18"/>
          <w:lang w:eastAsia="ja-JP"/>
        </w:rPr>
        <w:t xml:space="preserve">Comparative overview of sequencing approaches and </w:t>
      </w:r>
      <w:r w:rsidR="00C22C51" w:rsidRPr="005E6B7C">
        <w:rPr>
          <w:rFonts w:asciiTheme="majorHAnsi" w:eastAsia="Yu Mincho" w:hAnsiTheme="majorHAnsi" w:cstheme="majorHAnsi"/>
          <w:color w:val="000000" w:themeColor="text1"/>
          <w:sz w:val="18"/>
          <w:szCs w:val="18"/>
          <w:lang w:eastAsia="ja-JP"/>
        </w:rPr>
        <w:t>G</w:t>
      </w:r>
      <w:r w:rsidRPr="005E6B7C">
        <w:rPr>
          <w:rFonts w:asciiTheme="majorHAnsi" w:eastAsia="Yu Mincho" w:hAnsiTheme="majorHAnsi" w:cstheme="majorHAnsi"/>
          <w:color w:val="000000" w:themeColor="text1"/>
          <w:sz w:val="18"/>
          <w:szCs w:val="18"/>
          <w:lang w:eastAsia="ja-JP"/>
        </w:rPr>
        <w:t>ac aril transcriptomes at 45 DAF</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10"/>
        <w:gridCol w:w="1961"/>
        <w:gridCol w:w="2401"/>
      </w:tblGrid>
      <w:tr w:rsidR="00E049CB" w:rsidRPr="005E6B7C" w14:paraId="44E81F09" w14:textId="77777777" w:rsidTr="00BE1CB9">
        <w:trPr>
          <w:jc w:val="center"/>
        </w:trPr>
        <w:tc>
          <w:tcPr>
            <w:tcW w:w="4819" w:type="dxa"/>
            <w:vAlign w:val="center"/>
          </w:tcPr>
          <w:p w14:paraId="0AA77D3E"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p>
        </w:tc>
        <w:tc>
          <w:tcPr>
            <w:tcW w:w="1984" w:type="dxa"/>
            <w:vAlign w:val="center"/>
          </w:tcPr>
          <w:p w14:paraId="567C7289"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Illumina-based approach </w:t>
            </w:r>
            <w:r w:rsidRPr="005E6B7C">
              <w:rPr>
                <w:rFonts w:asciiTheme="majorHAnsi" w:eastAsia="Yu Mincho" w:hAnsiTheme="majorHAnsi" w:cstheme="majorHAnsi"/>
                <w:noProof/>
                <w:color w:val="000000" w:themeColor="text1"/>
                <w:sz w:val="18"/>
                <w:szCs w:val="18"/>
                <w:lang w:eastAsia="ja-JP"/>
              </w:rPr>
              <w:t>[6]</w:t>
            </w:r>
          </w:p>
        </w:tc>
        <w:tc>
          <w:tcPr>
            <w:tcW w:w="2438" w:type="dxa"/>
            <w:vAlign w:val="center"/>
          </w:tcPr>
          <w:p w14:paraId="7F42E8C1"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ONT-based approach (this study)</w:t>
            </w:r>
          </w:p>
        </w:tc>
      </w:tr>
      <w:tr w:rsidR="00E049CB" w:rsidRPr="005E6B7C" w14:paraId="4270FF3C" w14:textId="77777777" w:rsidTr="00BE1CB9">
        <w:trPr>
          <w:jc w:val="center"/>
        </w:trPr>
        <w:tc>
          <w:tcPr>
            <w:tcW w:w="4819" w:type="dxa"/>
          </w:tcPr>
          <w:p w14:paraId="17FB7DE7" w14:textId="6589D48D"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Total raw read</w:t>
            </w:r>
            <w:r w:rsidR="00F76262" w:rsidRPr="005E6B7C">
              <w:rPr>
                <w:rFonts w:asciiTheme="majorHAnsi" w:eastAsia="Yu Mincho" w:hAnsiTheme="majorHAnsi" w:cstheme="majorHAnsi"/>
                <w:color w:val="000000" w:themeColor="text1"/>
                <w:sz w:val="18"/>
                <w:szCs w:val="18"/>
                <w:lang w:eastAsia="ja-JP"/>
              </w:rPr>
              <w:t>s</w:t>
            </w:r>
          </w:p>
        </w:tc>
        <w:tc>
          <w:tcPr>
            <w:tcW w:w="1984" w:type="dxa"/>
          </w:tcPr>
          <w:p w14:paraId="2619D46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51,466,670</w:t>
            </w:r>
          </w:p>
        </w:tc>
        <w:tc>
          <w:tcPr>
            <w:tcW w:w="2438" w:type="dxa"/>
          </w:tcPr>
          <w:p w14:paraId="47F5F97D"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13,046,721</w:t>
            </w:r>
          </w:p>
        </w:tc>
      </w:tr>
      <w:tr w:rsidR="00E049CB" w:rsidRPr="005E6B7C" w14:paraId="7361C1B4" w14:textId="77777777" w:rsidTr="00BE1CB9">
        <w:trPr>
          <w:jc w:val="center"/>
        </w:trPr>
        <w:tc>
          <w:tcPr>
            <w:tcW w:w="4819" w:type="dxa"/>
          </w:tcPr>
          <w:p w14:paraId="03FC7DF0"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Total raw nucleotide (nt)</w:t>
            </w:r>
          </w:p>
        </w:tc>
        <w:tc>
          <w:tcPr>
            <w:tcW w:w="1984" w:type="dxa"/>
          </w:tcPr>
          <w:p w14:paraId="08780B33"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4,632,000,300</w:t>
            </w:r>
          </w:p>
        </w:tc>
        <w:tc>
          <w:tcPr>
            <w:tcW w:w="2438" w:type="dxa"/>
          </w:tcPr>
          <w:p w14:paraId="0052610C"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4,486,683,391</w:t>
            </w:r>
          </w:p>
        </w:tc>
      </w:tr>
      <w:tr w:rsidR="00E049CB" w:rsidRPr="005E6B7C" w14:paraId="0DC6174B" w14:textId="77777777" w:rsidTr="00BE1CB9">
        <w:trPr>
          <w:jc w:val="center"/>
        </w:trPr>
        <w:tc>
          <w:tcPr>
            <w:tcW w:w="4819" w:type="dxa"/>
          </w:tcPr>
          <w:p w14:paraId="08510703"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GC percentage (%)</w:t>
            </w:r>
          </w:p>
        </w:tc>
        <w:tc>
          <w:tcPr>
            <w:tcW w:w="1984" w:type="dxa"/>
          </w:tcPr>
          <w:p w14:paraId="2786C041"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45.38</w:t>
            </w:r>
          </w:p>
        </w:tc>
        <w:tc>
          <w:tcPr>
            <w:tcW w:w="2438" w:type="dxa"/>
          </w:tcPr>
          <w:p w14:paraId="778A3FF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41.86</w:t>
            </w:r>
          </w:p>
        </w:tc>
      </w:tr>
      <w:tr w:rsidR="00E049CB" w:rsidRPr="005E6B7C" w14:paraId="03C49DE3" w14:textId="77777777" w:rsidTr="00BE1CB9">
        <w:trPr>
          <w:jc w:val="center"/>
        </w:trPr>
        <w:tc>
          <w:tcPr>
            <w:tcW w:w="4819" w:type="dxa"/>
          </w:tcPr>
          <w:p w14:paraId="03786341"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Transcriptome - Total assembled unigenes</w:t>
            </w:r>
          </w:p>
        </w:tc>
        <w:tc>
          <w:tcPr>
            <w:tcW w:w="1984" w:type="dxa"/>
          </w:tcPr>
          <w:p w14:paraId="3C84614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81,404</w:t>
            </w:r>
          </w:p>
        </w:tc>
        <w:tc>
          <w:tcPr>
            <w:tcW w:w="2438" w:type="dxa"/>
          </w:tcPr>
          <w:p w14:paraId="3D9477CC"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52,755</w:t>
            </w:r>
          </w:p>
        </w:tc>
      </w:tr>
      <w:tr w:rsidR="00E049CB" w:rsidRPr="005E6B7C" w14:paraId="50E6946F" w14:textId="77777777" w:rsidTr="00BE1CB9">
        <w:trPr>
          <w:jc w:val="center"/>
        </w:trPr>
        <w:tc>
          <w:tcPr>
            <w:tcW w:w="4819" w:type="dxa"/>
          </w:tcPr>
          <w:p w14:paraId="28E9B999"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Transcriptome - Average length of unigenes (nt)</w:t>
            </w:r>
          </w:p>
        </w:tc>
        <w:tc>
          <w:tcPr>
            <w:tcW w:w="1984" w:type="dxa"/>
          </w:tcPr>
          <w:p w14:paraId="2981FBE6"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388</w:t>
            </w:r>
          </w:p>
        </w:tc>
        <w:tc>
          <w:tcPr>
            <w:tcW w:w="2438" w:type="dxa"/>
          </w:tcPr>
          <w:p w14:paraId="7AA96DC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777.7</w:t>
            </w:r>
          </w:p>
        </w:tc>
      </w:tr>
      <w:tr w:rsidR="00E049CB" w:rsidRPr="005E6B7C" w14:paraId="33BFCE1E" w14:textId="77777777" w:rsidTr="00BE1CB9">
        <w:trPr>
          <w:jc w:val="center"/>
        </w:trPr>
        <w:tc>
          <w:tcPr>
            <w:tcW w:w="4819" w:type="dxa"/>
          </w:tcPr>
          <w:p w14:paraId="38D95871"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Transcriptome - N50 (nt)</w:t>
            </w:r>
          </w:p>
        </w:tc>
        <w:tc>
          <w:tcPr>
            <w:tcW w:w="1984" w:type="dxa"/>
          </w:tcPr>
          <w:p w14:paraId="0522B308"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450</w:t>
            </w:r>
          </w:p>
        </w:tc>
        <w:tc>
          <w:tcPr>
            <w:tcW w:w="2438" w:type="dxa"/>
          </w:tcPr>
          <w:p w14:paraId="1F3AF46D"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922</w:t>
            </w:r>
          </w:p>
        </w:tc>
      </w:tr>
      <w:tr w:rsidR="00E049CB" w:rsidRPr="005E6B7C" w14:paraId="5D664203" w14:textId="77777777" w:rsidTr="00BE1CB9">
        <w:trPr>
          <w:jc w:val="center"/>
        </w:trPr>
        <w:tc>
          <w:tcPr>
            <w:tcW w:w="4819" w:type="dxa"/>
          </w:tcPr>
          <w:p w14:paraId="60532A8A" w14:textId="77777777" w:rsidR="00E049CB" w:rsidRPr="005E6B7C" w:rsidRDefault="00E049CB"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Transcriptome - Total assembly size (Mbp)</w:t>
            </w:r>
          </w:p>
        </w:tc>
        <w:tc>
          <w:tcPr>
            <w:tcW w:w="1984" w:type="dxa"/>
          </w:tcPr>
          <w:p w14:paraId="7193E192"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31.579</w:t>
            </w:r>
          </w:p>
        </w:tc>
        <w:tc>
          <w:tcPr>
            <w:tcW w:w="2438" w:type="dxa"/>
          </w:tcPr>
          <w:p w14:paraId="51419E64"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41.026</w:t>
            </w:r>
          </w:p>
        </w:tc>
      </w:tr>
    </w:tbl>
    <w:p w14:paraId="36FF4535" w14:textId="77777777" w:rsidR="00BE1CB9" w:rsidRPr="005E6B7C" w:rsidRDefault="00BE1CB9" w:rsidP="008C0D47">
      <w:pPr>
        <w:tabs>
          <w:tab w:val="left" w:pos="270"/>
          <w:tab w:val="left" w:pos="540"/>
          <w:tab w:val="num" w:pos="720"/>
          <w:tab w:val="left" w:pos="9270"/>
        </w:tabs>
        <w:ind w:right="-20"/>
        <w:jc w:val="both"/>
        <w:rPr>
          <w:rFonts w:asciiTheme="majorHAnsi" w:eastAsia="Yu Mincho" w:hAnsiTheme="majorHAnsi" w:cstheme="majorHAnsi"/>
          <w:i/>
          <w:iCs/>
          <w:color w:val="000000" w:themeColor="text1"/>
          <w:sz w:val="22"/>
          <w:szCs w:val="22"/>
          <w:lang w:eastAsia="ja-JP"/>
        </w:rPr>
      </w:pPr>
    </w:p>
    <w:p w14:paraId="7A0ECD1B"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i/>
          <w:iCs/>
          <w:color w:val="000000" w:themeColor="text1"/>
          <w:sz w:val="22"/>
          <w:szCs w:val="22"/>
          <w:lang w:eastAsia="ja-JP"/>
        </w:rPr>
        <w:sectPr w:rsidR="00F463A2" w:rsidRPr="005E6B7C" w:rsidSect="002206BB">
          <w:type w:val="continuous"/>
          <w:pgSz w:w="10773" w:h="15309" w:code="9"/>
          <w:pgMar w:top="907" w:right="851" w:bottom="1418" w:left="851" w:header="397" w:footer="851" w:gutter="0"/>
          <w:cols w:space="284"/>
          <w:docGrid w:linePitch="360"/>
        </w:sectPr>
      </w:pPr>
    </w:p>
    <w:p w14:paraId="24DF7042"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i/>
          <w:iCs/>
          <w:color w:val="000000" w:themeColor="text1"/>
          <w:sz w:val="22"/>
          <w:szCs w:val="22"/>
          <w:lang w:val="vi-VN" w:eastAsia="ja-JP"/>
        </w:rPr>
      </w:pPr>
      <w:r w:rsidRPr="005E6B7C">
        <w:rPr>
          <w:rFonts w:asciiTheme="majorHAnsi" w:eastAsia="Yu Mincho" w:hAnsiTheme="majorHAnsi" w:cstheme="majorHAnsi"/>
          <w:i/>
          <w:iCs/>
          <w:color w:val="000000" w:themeColor="text1"/>
          <w:sz w:val="22"/>
          <w:szCs w:val="22"/>
          <w:lang w:eastAsia="ja-JP"/>
        </w:rPr>
        <w:t>3.3. Functional annotation of ONT-based transcriptome</w:t>
      </w:r>
    </w:p>
    <w:p w14:paraId="2AE259BD" w14:textId="77777777" w:rsidR="00F463A2"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Transcriptome completeness was evaluated using BUSCO (</w:t>
      </w:r>
      <w:r w:rsidR="00517F81" w:rsidRPr="005E6B7C">
        <w:rPr>
          <w:rFonts w:asciiTheme="majorHAnsi" w:eastAsia="Yu Mincho" w:hAnsiTheme="majorHAnsi" w:cstheme="majorHAnsi"/>
          <w:color w:val="000000" w:themeColor="text1"/>
          <w:spacing w:val="2"/>
          <w:sz w:val="22"/>
          <w:szCs w:val="22"/>
          <w:lang w:eastAsia="ja-JP"/>
        </w:rPr>
        <w:t xml:space="preserve">Fig. </w:t>
      </w:r>
      <w:r w:rsidRPr="005E6B7C">
        <w:rPr>
          <w:rFonts w:asciiTheme="majorHAnsi" w:eastAsia="Yu Mincho" w:hAnsiTheme="majorHAnsi" w:cstheme="majorHAnsi"/>
          <w:color w:val="000000" w:themeColor="text1"/>
          <w:spacing w:val="2"/>
          <w:sz w:val="22"/>
          <w:szCs w:val="22"/>
          <w:lang w:eastAsia="ja-JP"/>
        </w:rPr>
        <w:t xml:space="preserve">2). Only 40% of the unigenes were classified as complete, a relatively low proportion that is expected given the nature of aril tissue, which lacks the transcriptional activity typical of photosynthetically and developmentally active tissues. Additionally, the </w:t>
      </w:r>
      <w:r w:rsidRPr="005E6B7C">
        <w:rPr>
          <w:rFonts w:asciiTheme="majorHAnsi" w:eastAsia="Yu Mincho" w:hAnsiTheme="majorHAnsi" w:cstheme="majorHAnsi"/>
          <w:color w:val="000000" w:themeColor="text1"/>
          <w:spacing w:val="2"/>
          <w:sz w:val="22"/>
          <w:szCs w:val="22"/>
          <w:lang w:eastAsia="ja-JP"/>
        </w:rPr>
        <w:t>length distribution of the newly assembled transcriptome reveals numerous fragmented genes, with most transcripts shorter than 1,500 base pairs. Although the ONT technique is theoretically capable of capturing full-length transcripts, several biases, including 5’ truncation, reverse transcription bias, and PCR bias, can result in transcript fragmentation.</w:t>
      </w:r>
    </w:p>
    <w:p w14:paraId="48995F42"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F463A2">
          <w:type w:val="continuous"/>
          <w:pgSz w:w="10773" w:h="15309" w:code="9"/>
          <w:pgMar w:top="907" w:right="851" w:bottom="1418" w:left="851" w:header="397" w:footer="851" w:gutter="0"/>
          <w:cols w:num="2" w:space="284"/>
          <w:docGrid w:linePitch="360"/>
        </w:sectPr>
      </w:pPr>
    </w:p>
    <w:p w14:paraId="3EE83846" w14:textId="77777777" w:rsidR="00BE1CB9" w:rsidRPr="005E6B7C" w:rsidRDefault="00BE1CB9"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p>
    <w:p w14:paraId="6DC3B257" w14:textId="77777777" w:rsidR="00E049CB" w:rsidRPr="005E6B7C" w:rsidRDefault="00E049CB" w:rsidP="008C0D47">
      <w:pPr>
        <w:tabs>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noProof/>
          <w:color w:val="000000" w:themeColor="text1"/>
          <w:sz w:val="18"/>
          <w:szCs w:val="18"/>
        </w:rPr>
        <w:drawing>
          <wp:inline distT="0" distB="0" distL="0" distR="0" wp14:anchorId="65A6F306" wp14:editId="50C624EA">
            <wp:extent cx="4718304" cy="2943640"/>
            <wp:effectExtent l="0" t="0" r="6350" b="9525"/>
            <wp:docPr id="2044748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48903" name="Picture 1"/>
                    <pic:cNvPicPr/>
                  </pic:nvPicPr>
                  <pic:blipFill>
                    <a:blip r:embed="rId154" cstate="print">
                      <a:extLst>
                        <a:ext uri="{BEBA8EAE-BF5A-486C-A8C5-ECC9F3942E4B}">
                          <a14:imgProps xmlns:a14="http://schemas.microsoft.com/office/drawing/2010/main">
                            <a14:imgLayer r:embed="rId155">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4719113" cy="2944145"/>
                    </a:xfrm>
                    <a:prstGeom prst="rect">
                      <a:avLst/>
                    </a:prstGeom>
                    <a:extLst>
                      <a:ext uri="{53640926-AAD7-44D8-BBD7-CCE9431645EC}">
                        <a14:shadowObscured xmlns:a14="http://schemas.microsoft.com/office/drawing/2010/main"/>
                      </a:ext>
                    </a:extLst>
                  </pic:spPr>
                </pic:pic>
              </a:graphicData>
            </a:graphic>
          </wp:inline>
        </w:drawing>
      </w:r>
    </w:p>
    <w:p w14:paraId="079D9671" w14:textId="02F4E485" w:rsidR="00E049CB" w:rsidRPr="005E6B7C" w:rsidRDefault="00517F81" w:rsidP="008C0D47">
      <w:pPr>
        <w:tabs>
          <w:tab w:val="left" w:pos="270"/>
          <w:tab w:val="left" w:pos="540"/>
          <w:tab w:val="num" w:pos="720"/>
          <w:tab w:val="left" w:pos="9270"/>
        </w:tabs>
        <w:spacing w:before="1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2</w:t>
      </w:r>
      <w:r w:rsidR="00E049CB" w:rsidRPr="005E6B7C">
        <w:rPr>
          <w:rFonts w:asciiTheme="majorHAnsi" w:eastAsia="Yu Mincho" w:hAnsiTheme="majorHAnsi" w:cstheme="majorHAnsi"/>
          <w:b/>
          <w:bCs/>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 xml:space="preserve">BUSCO analysis of ONT-based </w:t>
      </w:r>
      <w:r w:rsidR="00C22C51" w:rsidRPr="005E6B7C">
        <w:rPr>
          <w:rFonts w:asciiTheme="majorHAnsi" w:eastAsia="Yu Mincho" w:hAnsiTheme="majorHAnsi" w:cstheme="majorHAnsi"/>
          <w:color w:val="000000" w:themeColor="text1"/>
          <w:sz w:val="18"/>
          <w:szCs w:val="18"/>
          <w:lang w:eastAsia="ja-JP"/>
        </w:rPr>
        <w:t>G</w:t>
      </w:r>
      <w:r w:rsidR="00E049CB" w:rsidRPr="005E6B7C">
        <w:rPr>
          <w:rFonts w:asciiTheme="majorHAnsi" w:eastAsia="Yu Mincho" w:hAnsiTheme="majorHAnsi" w:cstheme="majorHAnsi"/>
          <w:color w:val="000000" w:themeColor="text1"/>
          <w:sz w:val="18"/>
          <w:szCs w:val="18"/>
          <w:lang w:eastAsia="ja-JP"/>
        </w:rPr>
        <w:t>ac aril transcriptome at 45 DAF</w:t>
      </w:r>
    </w:p>
    <w:p w14:paraId="43A110A4" w14:textId="77777777" w:rsidR="006A1D59" w:rsidRPr="005E6B7C" w:rsidRDefault="006A1D59"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22"/>
          <w:szCs w:val="22"/>
          <w:lang w:eastAsia="ja-JP"/>
        </w:rPr>
      </w:pPr>
    </w:p>
    <w:p w14:paraId="15084823"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2206BB">
          <w:type w:val="continuous"/>
          <w:pgSz w:w="10773" w:h="15309" w:code="9"/>
          <w:pgMar w:top="907" w:right="851" w:bottom="1418" w:left="851" w:header="397" w:footer="851" w:gutter="0"/>
          <w:cols w:space="284"/>
          <w:docGrid w:linePitch="360"/>
        </w:sectPr>
      </w:pPr>
    </w:p>
    <w:p w14:paraId="79C4110C" w14:textId="77777777" w:rsidR="00F463A2"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Annotation of the ONT-based transcriptome against the NR, Swiss-Prot, KEGG, and COG databases identified 33,235 transcripts (63%) with significant matches (Table 2). This finding indicates that many genes of unknown function may contribute to the development of Gac aril, reflecting a complex biological process. The most frequent BLAST hits in the NR database were to </w:t>
      </w:r>
      <w:r w:rsidRPr="005E6B7C">
        <w:rPr>
          <w:rFonts w:asciiTheme="majorHAnsi" w:eastAsia="Yu Mincho" w:hAnsiTheme="majorHAnsi" w:cstheme="majorHAnsi"/>
          <w:i/>
          <w:iCs/>
          <w:color w:val="000000" w:themeColor="text1"/>
          <w:sz w:val="22"/>
          <w:szCs w:val="22"/>
          <w:lang w:eastAsia="ja-JP"/>
        </w:rPr>
        <w:t>Momordica charantia</w:t>
      </w:r>
      <w:r w:rsidRPr="005E6B7C">
        <w:rPr>
          <w:rFonts w:asciiTheme="majorHAnsi" w:eastAsia="Yu Mincho" w:hAnsiTheme="majorHAnsi" w:cstheme="majorHAnsi"/>
          <w:color w:val="000000" w:themeColor="text1"/>
          <w:sz w:val="22"/>
          <w:szCs w:val="22"/>
          <w:lang w:eastAsia="ja-JP"/>
        </w:rPr>
        <w:t xml:space="preserve">, followed by </w:t>
      </w:r>
      <w:r w:rsidRPr="005E6B7C">
        <w:rPr>
          <w:rFonts w:asciiTheme="majorHAnsi" w:eastAsia="Yu Mincho" w:hAnsiTheme="majorHAnsi" w:cstheme="majorHAnsi"/>
          <w:i/>
          <w:iCs/>
          <w:color w:val="000000" w:themeColor="text1"/>
          <w:sz w:val="22"/>
          <w:szCs w:val="22"/>
          <w:lang w:eastAsia="ja-JP"/>
        </w:rPr>
        <w:t>Cucumis melo</w:t>
      </w:r>
      <w:r w:rsidRPr="005E6B7C">
        <w:rPr>
          <w:rFonts w:asciiTheme="majorHAnsi" w:eastAsia="Yu Mincho" w:hAnsiTheme="majorHAnsi" w:cstheme="majorHAnsi"/>
          <w:color w:val="000000" w:themeColor="text1"/>
          <w:sz w:val="22"/>
          <w:szCs w:val="22"/>
          <w:lang w:eastAsia="ja-JP"/>
        </w:rPr>
        <w:t xml:space="preserve">, </w:t>
      </w:r>
      <w:r w:rsidRPr="005E6B7C">
        <w:rPr>
          <w:rFonts w:asciiTheme="majorHAnsi" w:eastAsia="Yu Mincho" w:hAnsiTheme="majorHAnsi" w:cstheme="majorHAnsi"/>
          <w:i/>
          <w:iCs/>
          <w:color w:val="000000" w:themeColor="text1"/>
          <w:sz w:val="22"/>
          <w:szCs w:val="22"/>
          <w:lang w:eastAsia="ja-JP"/>
        </w:rPr>
        <w:t>Cucumis sativus</w:t>
      </w:r>
      <w:r w:rsidRPr="005E6B7C">
        <w:rPr>
          <w:rFonts w:asciiTheme="majorHAnsi" w:eastAsia="Yu Mincho" w:hAnsiTheme="majorHAnsi" w:cstheme="majorHAnsi"/>
          <w:color w:val="000000" w:themeColor="text1"/>
          <w:sz w:val="22"/>
          <w:szCs w:val="22"/>
          <w:lang w:eastAsia="ja-JP"/>
        </w:rPr>
        <w:t>, and other Cucurbitaceae species. Of the 33,235 hits, 20,124 were assigned to COG classifications (</w:t>
      </w:r>
      <w:r w:rsidR="00517F81" w:rsidRPr="005E6B7C">
        <w:rPr>
          <w:rFonts w:asciiTheme="majorHAnsi" w:eastAsia="Yu Mincho" w:hAnsiTheme="majorHAnsi" w:cstheme="majorHAnsi"/>
          <w:color w:val="000000" w:themeColor="text1"/>
          <w:sz w:val="22"/>
          <w:szCs w:val="22"/>
          <w:lang w:eastAsia="ja-JP"/>
        </w:rPr>
        <w:t xml:space="preserve">Fig. </w:t>
      </w:r>
      <w:r w:rsidRPr="005E6B7C">
        <w:rPr>
          <w:rFonts w:asciiTheme="majorHAnsi" w:eastAsia="Yu Mincho" w:hAnsiTheme="majorHAnsi" w:cstheme="majorHAnsi"/>
          <w:color w:val="000000" w:themeColor="text1"/>
          <w:sz w:val="22"/>
          <w:szCs w:val="22"/>
          <w:lang w:eastAsia="ja-JP"/>
        </w:rPr>
        <w:t xml:space="preserve">3). Because a single unigene </w:t>
      </w:r>
      <w:r w:rsidRPr="005E6B7C">
        <w:rPr>
          <w:rFonts w:asciiTheme="majorHAnsi" w:eastAsia="Yu Mincho" w:hAnsiTheme="majorHAnsi" w:cstheme="majorHAnsi"/>
          <w:color w:val="000000" w:themeColor="text1"/>
          <w:sz w:val="22"/>
          <w:szCs w:val="22"/>
          <w:lang w:eastAsia="ja-JP"/>
        </w:rPr>
        <w:t>can be assigned to multiple categories, the total number of categories may exceed the number of hits. Based on sequence homology, the largest group was “Poorly characterized” (4,428 unigenes), followed by “Post-translational modification, protein turnover, chaperones” (1,085 unigenes), and “Signal transduction mechanisms” (977 unigenes). Notably, 279 unigenes were classified under “Secondary metabolite biosynthesis, transport, and catalysis,” suggesting that these metabolic processes may play a key role in Gac aril development.</w:t>
      </w:r>
    </w:p>
    <w:p w14:paraId="71CEEB3F"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F463A2">
          <w:type w:val="continuous"/>
          <w:pgSz w:w="10773" w:h="15309" w:code="9"/>
          <w:pgMar w:top="907" w:right="851" w:bottom="1418" w:left="851" w:header="397" w:footer="851" w:gutter="0"/>
          <w:cols w:num="2" w:space="284"/>
          <w:docGrid w:linePitch="360"/>
        </w:sectPr>
      </w:pPr>
    </w:p>
    <w:p w14:paraId="2A23D3B0" w14:textId="77777777" w:rsidR="00E049CB" w:rsidRPr="005E6B7C" w:rsidRDefault="00E049CB" w:rsidP="008C0D47">
      <w:pPr>
        <w:tabs>
          <w:tab w:val="left" w:pos="270"/>
          <w:tab w:val="left" w:pos="540"/>
          <w:tab w:val="num" w:pos="720"/>
          <w:tab w:val="left" w:pos="9270"/>
        </w:tabs>
        <w:spacing w:before="120" w:after="1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lastRenderedPageBreak/>
        <w:t>Table 2.</w:t>
      </w:r>
      <w:r w:rsidRPr="005E6B7C">
        <w:rPr>
          <w:rFonts w:asciiTheme="majorHAnsi" w:eastAsia="Yu Mincho" w:hAnsiTheme="majorHAnsi" w:cstheme="majorHAnsi"/>
          <w:color w:val="000000" w:themeColor="text1"/>
          <w:sz w:val="18"/>
          <w:szCs w:val="18"/>
          <w:lang w:eastAsia="ja-JP"/>
        </w:rPr>
        <w:t xml:space="preserve"> Statistics of annotation results against the public databases</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71"/>
        <w:gridCol w:w="1984"/>
        <w:gridCol w:w="1983"/>
        <w:gridCol w:w="2834"/>
      </w:tblGrid>
      <w:tr w:rsidR="00E049CB" w:rsidRPr="005E6B7C" w14:paraId="0DC3E12E" w14:textId="77777777" w:rsidTr="006A1D59">
        <w:trPr>
          <w:jc w:val="center"/>
        </w:trPr>
        <w:tc>
          <w:tcPr>
            <w:tcW w:w="1251" w:type="pct"/>
            <w:vAlign w:val="center"/>
          </w:tcPr>
          <w:p w14:paraId="3B7CCDE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Public databases</w:t>
            </w:r>
          </w:p>
        </w:tc>
        <w:tc>
          <w:tcPr>
            <w:tcW w:w="1093" w:type="pct"/>
            <w:vAlign w:val="center"/>
          </w:tcPr>
          <w:p w14:paraId="3DF3A48E"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Number of unigenes               (this study)</w:t>
            </w:r>
          </w:p>
        </w:tc>
        <w:tc>
          <w:tcPr>
            <w:tcW w:w="1093" w:type="pct"/>
            <w:vAlign w:val="center"/>
          </w:tcPr>
          <w:p w14:paraId="46FCB7AC"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Percentage of unigenes                     (this study)</w:t>
            </w:r>
          </w:p>
        </w:tc>
        <w:tc>
          <w:tcPr>
            <w:tcW w:w="1562" w:type="pct"/>
            <w:vAlign w:val="center"/>
          </w:tcPr>
          <w:p w14:paraId="681F2463"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Percentage of unigenes in the Illumina-based approach</w:t>
            </w:r>
            <w:r w:rsidRPr="005E6B7C">
              <w:rPr>
                <w:rFonts w:asciiTheme="majorHAnsi" w:eastAsia="Yu Mincho" w:hAnsiTheme="majorHAnsi" w:cstheme="majorHAnsi"/>
                <w:b/>
                <w:bCs/>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[6]</w:t>
            </w:r>
          </w:p>
        </w:tc>
      </w:tr>
      <w:tr w:rsidR="00E049CB" w:rsidRPr="005E6B7C" w14:paraId="1FFDF60B" w14:textId="77777777" w:rsidTr="006A1D59">
        <w:trPr>
          <w:jc w:val="center"/>
        </w:trPr>
        <w:tc>
          <w:tcPr>
            <w:tcW w:w="1251" w:type="pct"/>
          </w:tcPr>
          <w:p w14:paraId="2EA254D0"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NR</w:t>
            </w:r>
          </w:p>
        </w:tc>
        <w:tc>
          <w:tcPr>
            <w:tcW w:w="1093" w:type="pct"/>
            <w:vAlign w:val="center"/>
          </w:tcPr>
          <w:p w14:paraId="249C84C2"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32,093</w:t>
            </w:r>
          </w:p>
        </w:tc>
        <w:tc>
          <w:tcPr>
            <w:tcW w:w="1093" w:type="pct"/>
            <w:vAlign w:val="center"/>
          </w:tcPr>
          <w:p w14:paraId="239DCE1C"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60.83</w:t>
            </w:r>
          </w:p>
        </w:tc>
        <w:tc>
          <w:tcPr>
            <w:tcW w:w="1562" w:type="pct"/>
            <w:vAlign w:val="center"/>
          </w:tcPr>
          <w:p w14:paraId="77F8D48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43.38</w:t>
            </w:r>
          </w:p>
        </w:tc>
      </w:tr>
      <w:tr w:rsidR="00E049CB" w:rsidRPr="005E6B7C" w14:paraId="4989F168" w14:textId="77777777" w:rsidTr="006A1D59">
        <w:trPr>
          <w:jc w:val="center"/>
        </w:trPr>
        <w:tc>
          <w:tcPr>
            <w:tcW w:w="1251" w:type="pct"/>
          </w:tcPr>
          <w:p w14:paraId="6CD4C40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Swiss-Prot</w:t>
            </w:r>
          </w:p>
        </w:tc>
        <w:tc>
          <w:tcPr>
            <w:tcW w:w="1093" w:type="pct"/>
            <w:vAlign w:val="center"/>
          </w:tcPr>
          <w:p w14:paraId="397258E7"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24,045</w:t>
            </w:r>
          </w:p>
        </w:tc>
        <w:tc>
          <w:tcPr>
            <w:tcW w:w="1093" w:type="pct"/>
            <w:vAlign w:val="center"/>
          </w:tcPr>
          <w:p w14:paraId="72C96DA8"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45.58</w:t>
            </w:r>
          </w:p>
        </w:tc>
        <w:tc>
          <w:tcPr>
            <w:tcW w:w="1562" w:type="pct"/>
            <w:vAlign w:val="center"/>
          </w:tcPr>
          <w:p w14:paraId="3480BAC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29.13</w:t>
            </w:r>
          </w:p>
        </w:tc>
      </w:tr>
      <w:tr w:rsidR="00E049CB" w:rsidRPr="005E6B7C" w14:paraId="3C08D249" w14:textId="77777777" w:rsidTr="006A1D59">
        <w:trPr>
          <w:jc w:val="center"/>
        </w:trPr>
        <w:tc>
          <w:tcPr>
            <w:tcW w:w="1251" w:type="pct"/>
          </w:tcPr>
          <w:p w14:paraId="4BFEF474"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KEGG</w:t>
            </w:r>
          </w:p>
        </w:tc>
        <w:tc>
          <w:tcPr>
            <w:tcW w:w="1093" w:type="pct"/>
            <w:vAlign w:val="center"/>
          </w:tcPr>
          <w:p w14:paraId="0EF4DF89"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21,345</w:t>
            </w:r>
          </w:p>
        </w:tc>
        <w:tc>
          <w:tcPr>
            <w:tcW w:w="1093" w:type="pct"/>
            <w:vAlign w:val="center"/>
          </w:tcPr>
          <w:p w14:paraId="633032A1"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40.46</w:t>
            </w:r>
          </w:p>
        </w:tc>
        <w:tc>
          <w:tcPr>
            <w:tcW w:w="1562" w:type="pct"/>
            <w:vAlign w:val="center"/>
          </w:tcPr>
          <w:p w14:paraId="4B133C9B"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21.01</w:t>
            </w:r>
          </w:p>
        </w:tc>
      </w:tr>
      <w:tr w:rsidR="00E049CB" w:rsidRPr="005E6B7C" w14:paraId="241D067F" w14:textId="77777777" w:rsidTr="006A1D59">
        <w:trPr>
          <w:jc w:val="center"/>
        </w:trPr>
        <w:tc>
          <w:tcPr>
            <w:tcW w:w="1251" w:type="pct"/>
          </w:tcPr>
          <w:p w14:paraId="39781B67"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COG</w:t>
            </w:r>
          </w:p>
        </w:tc>
        <w:tc>
          <w:tcPr>
            <w:tcW w:w="1093" w:type="pct"/>
            <w:vAlign w:val="center"/>
          </w:tcPr>
          <w:p w14:paraId="4FC012F0"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20,124</w:t>
            </w:r>
          </w:p>
        </w:tc>
        <w:tc>
          <w:tcPr>
            <w:tcW w:w="1093" w:type="pct"/>
            <w:vAlign w:val="center"/>
          </w:tcPr>
          <w:p w14:paraId="16A356D5"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38.14</w:t>
            </w:r>
          </w:p>
        </w:tc>
        <w:tc>
          <w:tcPr>
            <w:tcW w:w="1562" w:type="pct"/>
            <w:vAlign w:val="center"/>
          </w:tcPr>
          <w:p w14:paraId="1346F476"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11.89</w:t>
            </w:r>
          </w:p>
        </w:tc>
      </w:tr>
      <w:tr w:rsidR="00E049CB" w:rsidRPr="005E6B7C" w14:paraId="5585BA07" w14:textId="77777777" w:rsidTr="006A1D59">
        <w:trPr>
          <w:jc w:val="center"/>
        </w:trPr>
        <w:tc>
          <w:tcPr>
            <w:tcW w:w="1251" w:type="pct"/>
          </w:tcPr>
          <w:p w14:paraId="088EEF63"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GO</w:t>
            </w:r>
          </w:p>
        </w:tc>
        <w:tc>
          <w:tcPr>
            <w:tcW w:w="1093" w:type="pct"/>
            <w:vAlign w:val="center"/>
          </w:tcPr>
          <w:p w14:paraId="6E8253B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27,378</w:t>
            </w:r>
          </w:p>
        </w:tc>
        <w:tc>
          <w:tcPr>
            <w:tcW w:w="1093" w:type="pct"/>
            <w:vAlign w:val="center"/>
          </w:tcPr>
          <w:p w14:paraId="18D3BBBA"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51.89</w:t>
            </w:r>
          </w:p>
        </w:tc>
        <w:tc>
          <w:tcPr>
            <w:tcW w:w="1562" w:type="pct"/>
            <w:vAlign w:val="center"/>
          </w:tcPr>
          <w:p w14:paraId="0DD5936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25.08</w:t>
            </w:r>
          </w:p>
        </w:tc>
      </w:tr>
      <w:tr w:rsidR="00E049CB" w:rsidRPr="005E6B7C" w14:paraId="2A609F41" w14:textId="77777777" w:rsidTr="006A1D59">
        <w:trPr>
          <w:jc w:val="center"/>
        </w:trPr>
        <w:tc>
          <w:tcPr>
            <w:tcW w:w="1251" w:type="pct"/>
          </w:tcPr>
          <w:p w14:paraId="063E7AEF"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All</w:t>
            </w:r>
          </w:p>
        </w:tc>
        <w:tc>
          <w:tcPr>
            <w:tcW w:w="1093" w:type="pct"/>
            <w:vAlign w:val="center"/>
          </w:tcPr>
          <w:p w14:paraId="25FED4E1"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33,235</w:t>
            </w:r>
          </w:p>
        </w:tc>
        <w:tc>
          <w:tcPr>
            <w:tcW w:w="1093" w:type="pct"/>
            <w:vAlign w:val="center"/>
          </w:tcPr>
          <w:p w14:paraId="3C397C1A"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color w:val="000000" w:themeColor="text1"/>
                <w:sz w:val="18"/>
                <w:szCs w:val="18"/>
                <w:lang w:eastAsia="ja-JP"/>
              </w:rPr>
              <w:t>63.00</w:t>
            </w:r>
          </w:p>
        </w:tc>
        <w:tc>
          <w:tcPr>
            <w:tcW w:w="1562" w:type="pct"/>
            <w:vAlign w:val="center"/>
          </w:tcPr>
          <w:p w14:paraId="045ACC6A"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p>
        </w:tc>
      </w:tr>
    </w:tbl>
    <w:p w14:paraId="57CA428D" w14:textId="77777777" w:rsidR="00E049CB" w:rsidRPr="005E6B7C" w:rsidRDefault="00E049CB" w:rsidP="008C0D47">
      <w:pPr>
        <w:tabs>
          <w:tab w:val="left" w:pos="270"/>
          <w:tab w:val="left" w:pos="540"/>
          <w:tab w:val="num" w:pos="720"/>
          <w:tab w:val="left" w:pos="9270"/>
        </w:tabs>
        <w:ind w:right="-20"/>
        <w:jc w:val="center"/>
        <w:rPr>
          <w:rFonts w:asciiTheme="majorHAnsi" w:eastAsia="Yu Mincho" w:hAnsiTheme="majorHAnsi" w:cstheme="majorHAnsi"/>
          <w:color w:val="000000" w:themeColor="text1"/>
          <w:sz w:val="18"/>
          <w:szCs w:val="18"/>
          <w:lang w:eastAsia="ja-JP"/>
        </w:rPr>
      </w:pPr>
    </w:p>
    <w:p w14:paraId="0567EF12" w14:textId="77777777" w:rsidR="00E049CB" w:rsidRPr="005E6B7C" w:rsidRDefault="00E049CB" w:rsidP="008C0D47">
      <w:pPr>
        <w:tabs>
          <w:tab w:val="left" w:pos="270"/>
          <w:tab w:val="left" w:pos="540"/>
          <w:tab w:val="left" w:pos="9270"/>
        </w:tabs>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noProof/>
          <w:color w:val="000000" w:themeColor="text1"/>
          <w:sz w:val="18"/>
          <w:szCs w:val="18"/>
        </w:rPr>
        <w:drawing>
          <wp:inline distT="0" distB="0" distL="0" distR="0" wp14:anchorId="5C8308E3" wp14:editId="29F8CB2D">
            <wp:extent cx="4806950" cy="3101984"/>
            <wp:effectExtent l="0" t="0" r="0" b="3175"/>
            <wp:docPr id="1837517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17052" name="Picture 4"/>
                    <pic:cNvPicPr/>
                  </pic:nvPicPr>
                  <pic:blipFill>
                    <a:blip r:embed="rId156" cstate="print">
                      <a:extLst>
                        <a:ext uri="{BEBA8EAE-BF5A-486C-A8C5-ECC9F3942E4B}">
                          <a14:imgProps xmlns:a14="http://schemas.microsoft.com/office/drawing/2010/main">
                            <a14:imgLayer r:embed="rId15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812826" cy="3105776"/>
                    </a:xfrm>
                    <a:prstGeom prst="rect">
                      <a:avLst/>
                    </a:prstGeom>
                  </pic:spPr>
                </pic:pic>
              </a:graphicData>
            </a:graphic>
          </wp:inline>
        </w:drawing>
      </w:r>
    </w:p>
    <w:p w14:paraId="7F4B42D4" w14:textId="08899E4B" w:rsidR="00E049CB" w:rsidRPr="005E6B7C" w:rsidRDefault="00517F81" w:rsidP="008C0D47">
      <w:pPr>
        <w:tabs>
          <w:tab w:val="left" w:pos="270"/>
          <w:tab w:val="left" w:pos="540"/>
          <w:tab w:val="left" w:pos="9270"/>
        </w:tabs>
        <w:spacing w:before="120"/>
        <w:ind w:right="-20"/>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b/>
          <w:bCs/>
          <w:color w:val="000000" w:themeColor="text1"/>
          <w:sz w:val="18"/>
          <w:szCs w:val="18"/>
          <w:lang w:eastAsia="ja-JP"/>
        </w:rPr>
        <w:t xml:space="preserve">Fig. </w:t>
      </w:r>
      <w:r w:rsidR="00E049CB" w:rsidRPr="005E6B7C">
        <w:rPr>
          <w:rFonts w:asciiTheme="majorHAnsi" w:eastAsia="Yu Mincho" w:hAnsiTheme="majorHAnsi" w:cstheme="majorHAnsi"/>
          <w:b/>
          <w:bCs/>
          <w:color w:val="000000" w:themeColor="text1"/>
          <w:sz w:val="18"/>
          <w:szCs w:val="18"/>
          <w:lang w:val="vi-VN" w:eastAsia="ja-JP"/>
        </w:rPr>
        <w:t>3</w:t>
      </w:r>
      <w:r w:rsidR="00E049CB" w:rsidRPr="005E6B7C">
        <w:rPr>
          <w:rFonts w:asciiTheme="majorHAnsi" w:eastAsia="Yu Mincho" w:hAnsiTheme="majorHAnsi" w:cstheme="majorHAnsi"/>
          <w:b/>
          <w:bCs/>
          <w:color w:val="000000" w:themeColor="text1"/>
          <w:sz w:val="18"/>
          <w:szCs w:val="18"/>
          <w:lang w:eastAsia="ja-JP"/>
        </w:rPr>
        <w:t xml:space="preserve">. </w:t>
      </w:r>
      <w:r w:rsidR="00E049CB" w:rsidRPr="005E6B7C">
        <w:rPr>
          <w:rFonts w:asciiTheme="majorHAnsi" w:eastAsia="Yu Mincho" w:hAnsiTheme="majorHAnsi" w:cstheme="majorHAnsi"/>
          <w:color w:val="000000" w:themeColor="text1"/>
          <w:sz w:val="18"/>
          <w:szCs w:val="18"/>
          <w:lang w:eastAsia="ja-JP"/>
        </w:rPr>
        <w:t>COG</w:t>
      </w:r>
      <w:r w:rsidR="00E049CB" w:rsidRPr="005E6B7C">
        <w:rPr>
          <w:rFonts w:asciiTheme="majorHAnsi" w:eastAsia="Yu Mincho" w:hAnsiTheme="majorHAnsi" w:cstheme="majorHAnsi"/>
          <w:color w:val="000000" w:themeColor="text1"/>
          <w:sz w:val="18"/>
          <w:szCs w:val="18"/>
          <w:lang w:val="vi-VN" w:eastAsia="ja-JP"/>
        </w:rPr>
        <w:t xml:space="preserve"> assignment of</w:t>
      </w:r>
      <w:r w:rsidR="00E049CB" w:rsidRPr="005E6B7C">
        <w:rPr>
          <w:rFonts w:asciiTheme="majorHAnsi" w:eastAsia="Yu Mincho" w:hAnsiTheme="majorHAnsi" w:cstheme="majorHAnsi"/>
          <w:b/>
          <w:bCs/>
          <w:color w:val="000000" w:themeColor="text1"/>
          <w:sz w:val="18"/>
          <w:szCs w:val="18"/>
          <w:lang w:val="vi-VN" w:eastAsia="ja-JP"/>
        </w:rPr>
        <w:t xml:space="preserve"> </w:t>
      </w:r>
      <w:r w:rsidR="00E049CB" w:rsidRPr="005E6B7C">
        <w:rPr>
          <w:rFonts w:asciiTheme="majorHAnsi" w:eastAsia="Yu Mincho" w:hAnsiTheme="majorHAnsi" w:cstheme="majorHAnsi"/>
          <w:color w:val="000000" w:themeColor="text1"/>
          <w:sz w:val="18"/>
          <w:szCs w:val="18"/>
          <w:lang w:eastAsia="ja-JP"/>
        </w:rPr>
        <w:t xml:space="preserve">ONT-based </w:t>
      </w:r>
      <w:r w:rsidR="00C22C51" w:rsidRPr="005E6B7C">
        <w:rPr>
          <w:rFonts w:asciiTheme="majorHAnsi" w:eastAsia="Yu Mincho" w:hAnsiTheme="majorHAnsi" w:cstheme="majorHAnsi"/>
          <w:color w:val="000000" w:themeColor="text1"/>
          <w:sz w:val="18"/>
          <w:szCs w:val="18"/>
          <w:lang w:eastAsia="ja-JP"/>
        </w:rPr>
        <w:t>G</w:t>
      </w:r>
      <w:r w:rsidR="00E049CB" w:rsidRPr="005E6B7C">
        <w:rPr>
          <w:rFonts w:asciiTheme="majorHAnsi" w:eastAsia="Yu Mincho" w:hAnsiTheme="majorHAnsi" w:cstheme="majorHAnsi"/>
          <w:color w:val="000000" w:themeColor="text1"/>
          <w:sz w:val="18"/>
          <w:szCs w:val="18"/>
          <w:lang w:eastAsia="ja-JP"/>
        </w:rPr>
        <w:t>ac aril transcriptome at 45 DAF</w:t>
      </w:r>
    </w:p>
    <w:p w14:paraId="054FAF30" w14:textId="77777777" w:rsidR="006A1D59" w:rsidRPr="005E6B7C" w:rsidRDefault="006A1D59" w:rsidP="008C0D47">
      <w:pPr>
        <w:tabs>
          <w:tab w:val="left" w:pos="270"/>
          <w:tab w:val="left" w:pos="540"/>
          <w:tab w:val="num" w:pos="720"/>
          <w:tab w:val="left" w:pos="9270"/>
        </w:tabs>
        <w:ind w:right="-20"/>
        <w:jc w:val="both"/>
        <w:rPr>
          <w:rFonts w:asciiTheme="majorHAnsi" w:eastAsia="Yu Mincho" w:hAnsiTheme="majorHAnsi" w:cstheme="majorHAnsi"/>
          <w:color w:val="000000" w:themeColor="text1"/>
          <w:sz w:val="22"/>
          <w:szCs w:val="22"/>
          <w:lang w:eastAsia="ja-JP"/>
        </w:rPr>
      </w:pPr>
    </w:p>
    <w:p w14:paraId="5D0074C4"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2206BB">
          <w:type w:val="continuous"/>
          <w:pgSz w:w="10773" w:h="15309" w:code="9"/>
          <w:pgMar w:top="907" w:right="851" w:bottom="1418" w:left="851" w:header="397" w:footer="851" w:gutter="0"/>
          <w:cols w:space="284"/>
          <w:docGrid w:linePitch="360"/>
        </w:sectPr>
      </w:pPr>
    </w:p>
    <w:p w14:paraId="758C631C"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Comparison of the functional annotation results from this study with those reported by Hyun </w:t>
      </w:r>
      <w:r w:rsidRPr="005E6B7C">
        <w:rPr>
          <w:rFonts w:asciiTheme="majorHAnsi" w:eastAsia="Yu Mincho" w:hAnsiTheme="majorHAnsi" w:cstheme="majorHAnsi"/>
          <w:i/>
          <w:iCs/>
          <w:color w:val="000000" w:themeColor="text1"/>
          <w:sz w:val="22"/>
          <w:szCs w:val="22"/>
          <w:lang w:eastAsia="ja-JP"/>
        </w:rPr>
        <w:t>et al.</w:t>
      </w:r>
      <w:r w:rsidRPr="005E6B7C">
        <w:rPr>
          <w:rFonts w:asciiTheme="majorHAnsi" w:eastAsia="Yu Mincho" w:hAnsiTheme="majorHAnsi" w:cstheme="majorHAnsi"/>
          <w:color w:val="000000" w:themeColor="text1"/>
          <w:sz w:val="22"/>
          <w:szCs w:val="22"/>
          <w:lang w:eastAsia="ja-JP"/>
        </w:rPr>
        <w:t xml:space="preserve"> [6] demonstrated a substantial improvement (Table 3). However, as the previous study was conducted in 2012, some aspects of the direct comparison might be irrelevant due to the differences in available data and methodologies. Despite this limitation, the broader annotation range of the newly assembled transcriptome underscores the significant potential of the ONT approach.</w:t>
      </w:r>
    </w:p>
    <w:p w14:paraId="25C31632" w14:textId="77777777" w:rsidR="00F463A2"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Functional annotation identified unigenes in the ONT-based transcriptome corresponding to carotenoid biosynthetic genes, including phytoene synthase (</w:t>
      </w:r>
      <w:r w:rsidRPr="005E6B7C">
        <w:rPr>
          <w:rFonts w:asciiTheme="majorHAnsi" w:eastAsia="Yu Mincho" w:hAnsiTheme="majorHAnsi" w:cstheme="majorHAnsi"/>
          <w:i/>
          <w:iCs/>
          <w:color w:val="000000" w:themeColor="text1"/>
          <w:sz w:val="22"/>
          <w:szCs w:val="22"/>
          <w:lang w:eastAsia="ja-JP"/>
        </w:rPr>
        <w:t>PSY</w:t>
      </w:r>
      <w:r w:rsidRPr="005E6B7C">
        <w:rPr>
          <w:rFonts w:asciiTheme="majorHAnsi" w:eastAsia="Yu Mincho" w:hAnsiTheme="majorHAnsi" w:cstheme="majorHAnsi"/>
          <w:color w:val="000000" w:themeColor="text1"/>
          <w:sz w:val="22"/>
          <w:szCs w:val="22"/>
          <w:lang w:eastAsia="ja-JP"/>
        </w:rPr>
        <w:t>), phytoene desaturase (</w:t>
      </w:r>
      <w:r w:rsidRPr="005E6B7C">
        <w:rPr>
          <w:rFonts w:asciiTheme="majorHAnsi" w:eastAsia="Yu Mincho" w:hAnsiTheme="majorHAnsi" w:cstheme="majorHAnsi"/>
          <w:i/>
          <w:iCs/>
          <w:color w:val="000000" w:themeColor="text1"/>
          <w:sz w:val="22"/>
          <w:szCs w:val="22"/>
          <w:lang w:eastAsia="ja-JP"/>
        </w:rPr>
        <w:t>PDS</w:t>
      </w:r>
      <w:r w:rsidRPr="005E6B7C">
        <w:rPr>
          <w:rFonts w:asciiTheme="majorHAnsi" w:eastAsia="Yu Mincho" w:hAnsiTheme="majorHAnsi" w:cstheme="majorHAnsi"/>
          <w:color w:val="000000" w:themeColor="text1"/>
          <w:sz w:val="22"/>
          <w:szCs w:val="22"/>
          <w:lang w:eastAsia="ja-JP"/>
        </w:rPr>
        <w:t>), zeta-carotene desaturase (</w:t>
      </w:r>
      <w:r w:rsidRPr="005E6B7C">
        <w:rPr>
          <w:rFonts w:asciiTheme="majorHAnsi" w:eastAsia="Yu Mincho" w:hAnsiTheme="majorHAnsi" w:cstheme="majorHAnsi"/>
          <w:i/>
          <w:iCs/>
          <w:color w:val="000000" w:themeColor="text1"/>
          <w:sz w:val="22"/>
          <w:szCs w:val="22"/>
          <w:lang w:eastAsia="ja-JP"/>
        </w:rPr>
        <w:t>ZDS</w:t>
      </w:r>
      <w:r w:rsidRPr="005E6B7C">
        <w:rPr>
          <w:rFonts w:asciiTheme="majorHAnsi" w:eastAsia="Yu Mincho" w:hAnsiTheme="majorHAnsi" w:cstheme="majorHAnsi"/>
          <w:color w:val="000000" w:themeColor="text1"/>
          <w:sz w:val="22"/>
          <w:szCs w:val="22"/>
          <w:lang w:eastAsia="ja-JP"/>
        </w:rPr>
        <w:t>), zeta-carotene isomerase (</w:t>
      </w:r>
      <w:r w:rsidRPr="005E6B7C">
        <w:rPr>
          <w:rFonts w:asciiTheme="majorHAnsi" w:eastAsia="Yu Mincho" w:hAnsiTheme="majorHAnsi" w:cstheme="majorHAnsi"/>
          <w:i/>
          <w:iCs/>
          <w:color w:val="000000" w:themeColor="text1"/>
          <w:sz w:val="22"/>
          <w:szCs w:val="22"/>
          <w:lang w:eastAsia="ja-JP"/>
        </w:rPr>
        <w:t>Z-ISO</w:t>
      </w:r>
      <w:r w:rsidRPr="005E6B7C">
        <w:rPr>
          <w:rFonts w:asciiTheme="majorHAnsi" w:eastAsia="Yu Mincho" w:hAnsiTheme="majorHAnsi" w:cstheme="majorHAnsi"/>
          <w:color w:val="000000" w:themeColor="text1"/>
          <w:sz w:val="22"/>
          <w:szCs w:val="22"/>
          <w:lang w:eastAsia="ja-JP"/>
        </w:rPr>
        <w:t xml:space="preserve">), prolycopene isomerase </w:t>
      </w:r>
      <w:r w:rsidRPr="005E6B7C">
        <w:rPr>
          <w:rFonts w:asciiTheme="majorHAnsi" w:eastAsia="Yu Mincho" w:hAnsiTheme="majorHAnsi" w:cstheme="majorHAnsi"/>
          <w:color w:val="000000" w:themeColor="text1"/>
          <w:sz w:val="22"/>
          <w:szCs w:val="22"/>
          <w:lang w:eastAsia="ja-JP"/>
        </w:rPr>
        <w:t>(</w:t>
      </w:r>
      <w:r w:rsidRPr="005E6B7C">
        <w:rPr>
          <w:rFonts w:asciiTheme="majorHAnsi" w:eastAsia="Yu Mincho" w:hAnsiTheme="majorHAnsi" w:cstheme="majorHAnsi"/>
          <w:i/>
          <w:iCs/>
          <w:color w:val="000000" w:themeColor="text1"/>
          <w:sz w:val="22"/>
          <w:szCs w:val="22"/>
          <w:lang w:eastAsia="ja-JP"/>
        </w:rPr>
        <w:t>CRISTO</w:t>
      </w:r>
      <w:r w:rsidRPr="005E6B7C">
        <w:rPr>
          <w:rFonts w:asciiTheme="majorHAnsi" w:eastAsia="Yu Mincho" w:hAnsiTheme="majorHAnsi" w:cstheme="majorHAnsi"/>
          <w:color w:val="000000" w:themeColor="text1"/>
          <w:sz w:val="22"/>
          <w:szCs w:val="22"/>
          <w:lang w:eastAsia="ja-JP"/>
        </w:rPr>
        <w:t>), lycopene ß-cyclase (</w:t>
      </w:r>
      <w:r w:rsidRPr="005E6B7C">
        <w:rPr>
          <w:rFonts w:asciiTheme="majorHAnsi" w:eastAsia="Yu Mincho" w:hAnsiTheme="majorHAnsi" w:cstheme="majorHAnsi"/>
          <w:i/>
          <w:iCs/>
          <w:color w:val="000000" w:themeColor="text1"/>
          <w:sz w:val="22"/>
          <w:szCs w:val="22"/>
          <w:lang w:eastAsia="ja-JP"/>
        </w:rPr>
        <w:t>LCYB</w:t>
      </w:r>
      <w:r w:rsidRPr="005E6B7C">
        <w:rPr>
          <w:rFonts w:asciiTheme="majorHAnsi" w:eastAsia="Yu Mincho" w:hAnsiTheme="majorHAnsi" w:cstheme="majorHAnsi"/>
          <w:color w:val="000000" w:themeColor="text1"/>
          <w:sz w:val="22"/>
          <w:szCs w:val="22"/>
          <w:lang w:eastAsia="ja-JP"/>
        </w:rPr>
        <w:t>), and lycopene ε-cyclase (</w:t>
      </w:r>
      <w:r w:rsidRPr="005E6B7C">
        <w:rPr>
          <w:rFonts w:asciiTheme="majorHAnsi" w:eastAsia="Yu Mincho" w:hAnsiTheme="majorHAnsi" w:cstheme="majorHAnsi"/>
          <w:i/>
          <w:iCs/>
          <w:color w:val="000000" w:themeColor="text1"/>
          <w:sz w:val="22"/>
          <w:szCs w:val="22"/>
          <w:lang w:eastAsia="ja-JP"/>
        </w:rPr>
        <w:t>LCYE</w:t>
      </w:r>
      <w:r w:rsidRPr="005E6B7C">
        <w:rPr>
          <w:rFonts w:asciiTheme="majorHAnsi" w:eastAsia="Yu Mincho" w:hAnsiTheme="majorHAnsi" w:cstheme="majorHAnsi"/>
          <w:color w:val="000000" w:themeColor="text1"/>
          <w:sz w:val="22"/>
          <w:szCs w:val="22"/>
          <w:lang w:eastAsia="ja-JP"/>
        </w:rPr>
        <w:t xml:space="preserve">). Compared with the study by Hyun </w:t>
      </w:r>
      <w:r w:rsidRPr="005E6B7C">
        <w:rPr>
          <w:rFonts w:asciiTheme="majorHAnsi" w:eastAsia="Yu Mincho" w:hAnsiTheme="majorHAnsi" w:cstheme="majorHAnsi"/>
          <w:i/>
          <w:iCs/>
          <w:color w:val="000000" w:themeColor="text1"/>
          <w:sz w:val="22"/>
          <w:szCs w:val="22"/>
          <w:lang w:eastAsia="ja-JP"/>
        </w:rPr>
        <w:t>et al.</w:t>
      </w:r>
      <w:r w:rsidRPr="005E6B7C">
        <w:rPr>
          <w:rFonts w:asciiTheme="majorHAnsi" w:eastAsia="Yu Mincho" w:hAnsiTheme="majorHAnsi" w:cstheme="majorHAnsi"/>
          <w:color w:val="000000" w:themeColor="text1"/>
          <w:sz w:val="22"/>
          <w:szCs w:val="22"/>
          <w:lang w:eastAsia="ja-JP"/>
        </w:rPr>
        <w:t xml:space="preserve"> [6], the current analysis recovered all structural genes associated with carotenoid biosynthesis (Table 3). The application of long-read Nanopore sequencing facilitated the recovery of full-length transcripts, minimized assembly fragmentation and redundancy, and produced a more compact and biologically representative unigene set. In contrast, short-read Illumina assemblies often yield more unigenes due to fragmented contigs, partial transcripts, and redundant isoforms generated during </w:t>
      </w:r>
      <w:r w:rsidRPr="005E6B7C">
        <w:rPr>
          <w:rFonts w:asciiTheme="majorHAnsi" w:eastAsia="Yu Mincho" w:hAnsiTheme="majorHAnsi" w:cstheme="majorHAnsi"/>
          <w:i/>
          <w:iCs/>
          <w:color w:val="000000" w:themeColor="text1"/>
          <w:sz w:val="22"/>
          <w:szCs w:val="22"/>
          <w:lang w:eastAsia="ja-JP"/>
        </w:rPr>
        <w:t>de novo</w:t>
      </w:r>
      <w:r w:rsidRPr="005E6B7C">
        <w:rPr>
          <w:rFonts w:asciiTheme="majorHAnsi" w:eastAsia="Yu Mincho" w:hAnsiTheme="majorHAnsi" w:cstheme="majorHAnsi"/>
          <w:color w:val="000000" w:themeColor="text1"/>
          <w:sz w:val="22"/>
          <w:szCs w:val="22"/>
          <w:lang w:eastAsia="ja-JP"/>
        </w:rPr>
        <w:t xml:space="preserve"> assembly [15]. This outcome is generally interpreted as an improvement in transcript completeness rather than a reduction in transcriptome diversity.</w:t>
      </w:r>
    </w:p>
    <w:p w14:paraId="48373ABB" w14:textId="77777777" w:rsidR="00F463A2" w:rsidRPr="005E6B7C" w:rsidRDefault="00F463A2"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z w:val="22"/>
          <w:szCs w:val="22"/>
          <w:lang w:eastAsia="ja-JP"/>
        </w:rPr>
        <w:sectPr w:rsidR="00F463A2" w:rsidRPr="005E6B7C" w:rsidSect="00F463A2">
          <w:type w:val="continuous"/>
          <w:pgSz w:w="10773" w:h="15309" w:code="9"/>
          <w:pgMar w:top="907" w:right="851" w:bottom="1418" w:left="851" w:header="397" w:footer="851" w:gutter="0"/>
          <w:cols w:num="2" w:space="284"/>
          <w:docGrid w:linePitch="360"/>
        </w:sectPr>
      </w:pPr>
    </w:p>
    <w:p w14:paraId="09D4E51D" w14:textId="77777777" w:rsidR="00E049CB" w:rsidRPr="005E6B7C" w:rsidRDefault="00E049CB" w:rsidP="008C0D47">
      <w:pPr>
        <w:tabs>
          <w:tab w:val="left" w:pos="9270"/>
        </w:tabs>
        <w:spacing w:after="1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Table 3. </w:t>
      </w:r>
      <w:r w:rsidRPr="005E6B7C">
        <w:rPr>
          <w:rFonts w:asciiTheme="majorHAnsi" w:eastAsia="Yu Mincho" w:hAnsiTheme="majorHAnsi" w:cstheme="majorHAnsi"/>
          <w:color w:val="000000" w:themeColor="text1"/>
          <w:sz w:val="18"/>
          <w:szCs w:val="18"/>
          <w:lang w:eastAsia="ja-JP"/>
        </w:rPr>
        <w:t>Unigenes potentially related to carotenoid-related</w:t>
      </w:r>
    </w:p>
    <w:tbl>
      <w:tblPr>
        <w:tblStyle w:val="TableGrid10"/>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53"/>
        <w:gridCol w:w="1542"/>
        <w:gridCol w:w="2512"/>
        <w:gridCol w:w="2265"/>
      </w:tblGrid>
      <w:tr w:rsidR="00E049CB" w:rsidRPr="005E6B7C" w14:paraId="20062DFD" w14:textId="77777777" w:rsidTr="006A1D59">
        <w:trPr>
          <w:jc w:val="center"/>
        </w:trPr>
        <w:tc>
          <w:tcPr>
            <w:tcW w:w="2750" w:type="dxa"/>
            <w:vMerge w:val="restart"/>
            <w:vAlign w:val="center"/>
          </w:tcPr>
          <w:p w14:paraId="47664075"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Gene name</w:t>
            </w:r>
          </w:p>
        </w:tc>
        <w:tc>
          <w:tcPr>
            <w:tcW w:w="1540" w:type="dxa"/>
            <w:vMerge w:val="restart"/>
            <w:vAlign w:val="center"/>
          </w:tcPr>
          <w:p w14:paraId="38C3A7D0"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Gene abbreviation</w:t>
            </w:r>
          </w:p>
        </w:tc>
        <w:tc>
          <w:tcPr>
            <w:tcW w:w="4772" w:type="dxa"/>
            <w:gridSpan w:val="2"/>
            <w:vAlign w:val="center"/>
          </w:tcPr>
          <w:p w14:paraId="4509B233"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Number of unigenes</w:t>
            </w:r>
          </w:p>
        </w:tc>
      </w:tr>
      <w:tr w:rsidR="00E049CB" w:rsidRPr="005E6B7C" w14:paraId="0C8DF604" w14:textId="77777777" w:rsidTr="006A1D59">
        <w:trPr>
          <w:jc w:val="center"/>
        </w:trPr>
        <w:tc>
          <w:tcPr>
            <w:tcW w:w="2750" w:type="dxa"/>
            <w:vMerge/>
            <w:vAlign w:val="center"/>
          </w:tcPr>
          <w:p w14:paraId="281F061F"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p>
        </w:tc>
        <w:tc>
          <w:tcPr>
            <w:tcW w:w="1540" w:type="dxa"/>
            <w:vMerge/>
            <w:vAlign w:val="center"/>
          </w:tcPr>
          <w:p w14:paraId="493AAA7A"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p>
        </w:tc>
        <w:tc>
          <w:tcPr>
            <w:tcW w:w="2509" w:type="dxa"/>
            <w:vAlign w:val="center"/>
          </w:tcPr>
          <w:p w14:paraId="6AAAF4A4"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ONT-based approach </w:t>
            </w:r>
            <w:r w:rsidR="00F463A2" w:rsidRPr="005E6B7C">
              <w:rPr>
                <w:rFonts w:asciiTheme="majorHAnsi" w:eastAsia="Yu Mincho" w:hAnsiTheme="majorHAnsi" w:cstheme="majorHAnsi"/>
                <w:b/>
                <w:bCs/>
                <w:color w:val="000000" w:themeColor="text1"/>
                <w:sz w:val="18"/>
                <w:szCs w:val="18"/>
                <w:lang w:eastAsia="ja-JP"/>
              </w:rPr>
              <w:br/>
            </w:r>
            <w:r w:rsidRPr="005E6B7C">
              <w:rPr>
                <w:rFonts w:asciiTheme="majorHAnsi" w:eastAsia="Yu Mincho" w:hAnsiTheme="majorHAnsi" w:cstheme="majorHAnsi"/>
                <w:b/>
                <w:bCs/>
                <w:color w:val="000000" w:themeColor="text1"/>
                <w:sz w:val="18"/>
                <w:szCs w:val="18"/>
                <w:lang w:eastAsia="ja-JP"/>
              </w:rPr>
              <w:t>(this study)</w:t>
            </w:r>
          </w:p>
        </w:tc>
        <w:tc>
          <w:tcPr>
            <w:tcW w:w="2263" w:type="dxa"/>
            <w:vAlign w:val="center"/>
          </w:tcPr>
          <w:p w14:paraId="3B782E1E"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Illumina-based approach </w:t>
            </w:r>
            <w:r w:rsidRPr="005E6B7C">
              <w:rPr>
                <w:rFonts w:asciiTheme="majorHAnsi" w:eastAsia="Yu Mincho" w:hAnsiTheme="majorHAnsi" w:cstheme="majorHAnsi"/>
                <w:noProof/>
                <w:color w:val="000000" w:themeColor="text1"/>
                <w:sz w:val="18"/>
                <w:szCs w:val="18"/>
                <w:lang w:eastAsia="ja-JP"/>
              </w:rPr>
              <w:t>[6]</w:t>
            </w:r>
          </w:p>
        </w:tc>
      </w:tr>
      <w:tr w:rsidR="00E049CB" w:rsidRPr="005E6B7C" w14:paraId="7D5626D9" w14:textId="77777777" w:rsidTr="006A1D59">
        <w:trPr>
          <w:jc w:val="center"/>
        </w:trPr>
        <w:tc>
          <w:tcPr>
            <w:tcW w:w="2750" w:type="dxa"/>
          </w:tcPr>
          <w:p w14:paraId="3D23A503"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lastRenderedPageBreak/>
              <w:t>Phytoene synthase</w:t>
            </w:r>
          </w:p>
        </w:tc>
        <w:tc>
          <w:tcPr>
            <w:tcW w:w="1540" w:type="dxa"/>
          </w:tcPr>
          <w:p w14:paraId="1B7E285A"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PSY</w:t>
            </w:r>
          </w:p>
        </w:tc>
        <w:tc>
          <w:tcPr>
            <w:tcW w:w="2509" w:type="dxa"/>
          </w:tcPr>
          <w:p w14:paraId="51DECA61"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2263" w:type="dxa"/>
          </w:tcPr>
          <w:p w14:paraId="6B06C23A"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3</w:t>
            </w:r>
          </w:p>
        </w:tc>
      </w:tr>
      <w:tr w:rsidR="00E049CB" w:rsidRPr="005E6B7C" w14:paraId="1F7EBB6D" w14:textId="77777777" w:rsidTr="006A1D59">
        <w:trPr>
          <w:jc w:val="center"/>
        </w:trPr>
        <w:tc>
          <w:tcPr>
            <w:tcW w:w="2750" w:type="dxa"/>
          </w:tcPr>
          <w:p w14:paraId="6D1D55BB"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b/>
                <w:bCs/>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Phytoene desaturase</w:t>
            </w:r>
          </w:p>
        </w:tc>
        <w:tc>
          <w:tcPr>
            <w:tcW w:w="1540" w:type="dxa"/>
          </w:tcPr>
          <w:p w14:paraId="196ECD5D"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PDS</w:t>
            </w:r>
          </w:p>
        </w:tc>
        <w:tc>
          <w:tcPr>
            <w:tcW w:w="2509" w:type="dxa"/>
          </w:tcPr>
          <w:p w14:paraId="4AC927F3"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2</w:t>
            </w:r>
          </w:p>
        </w:tc>
        <w:tc>
          <w:tcPr>
            <w:tcW w:w="2263" w:type="dxa"/>
          </w:tcPr>
          <w:p w14:paraId="220E73D7"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4</w:t>
            </w:r>
          </w:p>
        </w:tc>
      </w:tr>
      <w:tr w:rsidR="00E049CB" w:rsidRPr="005E6B7C" w14:paraId="26358BE8" w14:textId="77777777" w:rsidTr="006A1D59">
        <w:trPr>
          <w:jc w:val="center"/>
        </w:trPr>
        <w:tc>
          <w:tcPr>
            <w:tcW w:w="2750" w:type="dxa"/>
          </w:tcPr>
          <w:p w14:paraId="5BE9008A"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Zeta-carotene desaturase</w:t>
            </w:r>
          </w:p>
        </w:tc>
        <w:tc>
          <w:tcPr>
            <w:tcW w:w="1540" w:type="dxa"/>
          </w:tcPr>
          <w:p w14:paraId="14C693F7"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ZDS</w:t>
            </w:r>
          </w:p>
        </w:tc>
        <w:tc>
          <w:tcPr>
            <w:tcW w:w="2509" w:type="dxa"/>
          </w:tcPr>
          <w:p w14:paraId="21271870"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2263" w:type="dxa"/>
          </w:tcPr>
          <w:p w14:paraId="73E152E2"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w:t>
            </w:r>
          </w:p>
        </w:tc>
      </w:tr>
      <w:tr w:rsidR="00E049CB" w:rsidRPr="005E6B7C" w14:paraId="04CDD39C" w14:textId="77777777" w:rsidTr="006A1D59">
        <w:trPr>
          <w:jc w:val="center"/>
        </w:trPr>
        <w:tc>
          <w:tcPr>
            <w:tcW w:w="2750" w:type="dxa"/>
          </w:tcPr>
          <w:p w14:paraId="6F451B05"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Zeta-carotene isomerase</w:t>
            </w:r>
          </w:p>
        </w:tc>
        <w:tc>
          <w:tcPr>
            <w:tcW w:w="1540" w:type="dxa"/>
          </w:tcPr>
          <w:p w14:paraId="492A838E"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Z-ISO</w:t>
            </w:r>
          </w:p>
        </w:tc>
        <w:tc>
          <w:tcPr>
            <w:tcW w:w="2509" w:type="dxa"/>
          </w:tcPr>
          <w:p w14:paraId="7F05B86C"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5</w:t>
            </w:r>
          </w:p>
        </w:tc>
        <w:tc>
          <w:tcPr>
            <w:tcW w:w="2263" w:type="dxa"/>
          </w:tcPr>
          <w:p w14:paraId="1980FF46"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r>
      <w:tr w:rsidR="00E049CB" w:rsidRPr="005E6B7C" w14:paraId="459E7729" w14:textId="77777777" w:rsidTr="006A1D59">
        <w:trPr>
          <w:jc w:val="center"/>
        </w:trPr>
        <w:tc>
          <w:tcPr>
            <w:tcW w:w="2750" w:type="dxa"/>
          </w:tcPr>
          <w:p w14:paraId="673BBD78"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Prolycopene isomerase</w:t>
            </w:r>
          </w:p>
        </w:tc>
        <w:tc>
          <w:tcPr>
            <w:tcW w:w="1540" w:type="dxa"/>
          </w:tcPr>
          <w:p w14:paraId="79E08E77"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CRISTO</w:t>
            </w:r>
          </w:p>
        </w:tc>
        <w:tc>
          <w:tcPr>
            <w:tcW w:w="2509" w:type="dxa"/>
          </w:tcPr>
          <w:p w14:paraId="36C65E52"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2263" w:type="dxa"/>
          </w:tcPr>
          <w:p w14:paraId="731D49A0"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3</w:t>
            </w:r>
          </w:p>
        </w:tc>
      </w:tr>
      <w:tr w:rsidR="00E049CB" w:rsidRPr="005E6B7C" w14:paraId="2BF58B7D" w14:textId="77777777" w:rsidTr="006A1D59">
        <w:trPr>
          <w:jc w:val="center"/>
        </w:trPr>
        <w:tc>
          <w:tcPr>
            <w:tcW w:w="2750" w:type="dxa"/>
          </w:tcPr>
          <w:p w14:paraId="6B4E396E"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Lycopene ß-cyclase</w:t>
            </w:r>
          </w:p>
        </w:tc>
        <w:tc>
          <w:tcPr>
            <w:tcW w:w="1540" w:type="dxa"/>
          </w:tcPr>
          <w:p w14:paraId="32FE337D"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LCYB</w:t>
            </w:r>
          </w:p>
        </w:tc>
        <w:tc>
          <w:tcPr>
            <w:tcW w:w="2509" w:type="dxa"/>
          </w:tcPr>
          <w:p w14:paraId="5D0A0612"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2263" w:type="dxa"/>
          </w:tcPr>
          <w:p w14:paraId="6497BB33"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w:t>
            </w:r>
          </w:p>
        </w:tc>
      </w:tr>
      <w:tr w:rsidR="00E049CB" w:rsidRPr="005E6B7C" w14:paraId="305C4D6B" w14:textId="77777777" w:rsidTr="006A1D59">
        <w:trPr>
          <w:jc w:val="center"/>
        </w:trPr>
        <w:tc>
          <w:tcPr>
            <w:tcW w:w="2750" w:type="dxa"/>
          </w:tcPr>
          <w:p w14:paraId="05F50CD6" w14:textId="77777777" w:rsidR="00E049CB" w:rsidRPr="005E6B7C" w:rsidRDefault="00E049CB" w:rsidP="008C0D47">
            <w:pPr>
              <w:tabs>
                <w:tab w:val="left" w:pos="270"/>
                <w:tab w:val="left" w:pos="540"/>
                <w:tab w:val="num" w:pos="720"/>
                <w:tab w:val="left" w:pos="9270"/>
              </w:tabs>
              <w:spacing w:line="190" w:lineRule="exact"/>
              <w:jc w:val="both"/>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eastAsia="ja-JP"/>
              </w:rPr>
              <w:t>Lycopene ε-cyclase</w:t>
            </w:r>
          </w:p>
        </w:tc>
        <w:tc>
          <w:tcPr>
            <w:tcW w:w="1540" w:type="dxa"/>
          </w:tcPr>
          <w:p w14:paraId="24FA19BA"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eastAsia="ja-JP"/>
              </w:rPr>
            </w:pPr>
            <w:r w:rsidRPr="005E6B7C">
              <w:rPr>
                <w:rFonts w:asciiTheme="majorHAnsi" w:eastAsia="Yu Mincho" w:hAnsiTheme="majorHAnsi" w:cstheme="majorHAnsi"/>
                <w:i/>
                <w:iCs/>
                <w:color w:val="000000" w:themeColor="text1"/>
                <w:sz w:val="18"/>
                <w:szCs w:val="18"/>
                <w:lang w:eastAsia="ja-JP"/>
              </w:rPr>
              <w:t>LCYE</w:t>
            </w:r>
          </w:p>
        </w:tc>
        <w:tc>
          <w:tcPr>
            <w:tcW w:w="2509" w:type="dxa"/>
          </w:tcPr>
          <w:p w14:paraId="29B9BFF3"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c>
          <w:tcPr>
            <w:tcW w:w="2263" w:type="dxa"/>
          </w:tcPr>
          <w:p w14:paraId="56059CC6" w14:textId="77777777" w:rsidR="00E049CB" w:rsidRPr="005E6B7C" w:rsidRDefault="00E049CB" w:rsidP="008C0D47">
            <w:pPr>
              <w:tabs>
                <w:tab w:val="left" w:pos="270"/>
                <w:tab w:val="left" w:pos="540"/>
                <w:tab w:val="num" w:pos="720"/>
                <w:tab w:val="left" w:pos="9270"/>
              </w:tabs>
              <w:spacing w:line="190" w:lineRule="exact"/>
              <w:jc w:val="center"/>
              <w:rPr>
                <w:rFonts w:asciiTheme="majorHAnsi" w:eastAsia="Yu Mincho" w:hAnsiTheme="majorHAnsi" w:cstheme="majorHAnsi"/>
                <w:color w:val="000000" w:themeColor="text1"/>
                <w:sz w:val="18"/>
                <w:szCs w:val="18"/>
                <w:lang w:val="vi-VN" w:eastAsia="ja-JP"/>
              </w:rPr>
            </w:pPr>
            <w:r w:rsidRPr="005E6B7C">
              <w:rPr>
                <w:rFonts w:asciiTheme="majorHAnsi" w:eastAsia="Yu Mincho" w:hAnsiTheme="majorHAnsi" w:cstheme="majorHAnsi"/>
                <w:color w:val="000000" w:themeColor="text1"/>
                <w:sz w:val="18"/>
                <w:szCs w:val="18"/>
                <w:lang w:val="vi-VN" w:eastAsia="ja-JP"/>
              </w:rPr>
              <w:t>1</w:t>
            </w:r>
          </w:p>
        </w:tc>
      </w:tr>
    </w:tbl>
    <w:p w14:paraId="6012D484" w14:textId="77777777" w:rsidR="006A1D59" w:rsidRPr="005E6B7C" w:rsidRDefault="006A1D59" w:rsidP="008C0D47">
      <w:pPr>
        <w:tabs>
          <w:tab w:val="left" w:pos="270"/>
          <w:tab w:val="left" w:pos="540"/>
          <w:tab w:val="left" w:pos="9270"/>
        </w:tabs>
        <w:ind w:right="-20"/>
        <w:jc w:val="both"/>
        <w:rPr>
          <w:rFonts w:asciiTheme="majorHAnsi" w:eastAsia="Yu Mincho" w:hAnsiTheme="majorHAnsi" w:cstheme="majorHAnsi"/>
          <w:b/>
          <w:bCs/>
          <w:color w:val="000000" w:themeColor="text1"/>
          <w:sz w:val="22"/>
          <w:szCs w:val="22"/>
          <w:lang w:eastAsia="ja-JP"/>
        </w:rPr>
      </w:pPr>
    </w:p>
    <w:p w14:paraId="4D6FB334" w14:textId="77777777" w:rsidR="00F463A2" w:rsidRPr="005E6B7C" w:rsidRDefault="00F463A2"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sectPr w:rsidR="00F463A2" w:rsidRPr="005E6B7C" w:rsidSect="002206BB">
          <w:type w:val="continuous"/>
          <w:pgSz w:w="10773" w:h="15309" w:code="9"/>
          <w:pgMar w:top="907" w:right="851" w:bottom="1418" w:left="851" w:header="397" w:footer="851" w:gutter="0"/>
          <w:cols w:space="284"/>
          <w:docGrid w:linePitch="360"/>
        </w:sectPr>
      </w:pPr>
    </w:p>
    <w:p w14:paraId="513AB745"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4. Discussion</w:t>
      </w:r>
    </w:p>
    <w:p w14:paraId="5495A2B0" w14:textId="69996253"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This study presents the </w:t>
      </w:r>
      <w:r w:rsidR="00F76262" w:rsidRPr="005E6B7C">
        <w:rPr>
          <w:rFonts w:asciiTheme="majorHAnsi" w:eastAsia="Yu Mincho" w:hAnsiTheme="majorHAnsi" w:cstheme="majorHAnsi"/>
          <w:color w:val="000000" w:themeColor="text1"/>
          <w:sz w:val="22"/>
          <w:szCs w:val="22"/>
          <w:lang w:eastAsia="ja-JP"/>
        </w:rPr>
        <w:t>to our knowledge, this is the</w:t>
      </w:r>
      <w:r w:rsidR="00F76262" w:rsidRPr="005E6B7C">
        <w:rPr>
          <w:rFonts w:asciiTheme="majorHAnsi" w:eastAsia="Yu Mincho" w:hAnsiTheme="majorHAnsi" w:cstheme="majorHAnsi"/>
          <w:color w:val="000000" w:themeColor="text1"/>
          <w:sz w:val="22"/>
          <w:szCs w:val="22"/>
          <w:lang w:val="vi-VN" w:eastAsia="ja-JP"/>
        </w:rPr>
        <w:t xml:space="preserve"> </w:t>
      </w:r>
      <w:r w:rsidRPr="005E6B7C">
        <w:rPr>
          <w:rFonts w:asciiTheme="majorHAnsi" w:eastAsia="Yu Mincho" w:hAnsiTheme="majorHAnsi" w:cstheme="majorHAnsi"/>
          <w:color w:val="000000" w:themeColor="text1"/>
          <w:sz w:val="22"/>
          <w:szCs w:val="22"/>
          <w:lang w:eastAsia="ja-JP"/>
        </w:rPr>
        <w:t xml:space="preserve">first comparison between ONT and Illumina sequencing platforms for transcriptome profiling of </w:t>
      </w:r>
      <w:r w:rsidRPr="005E6B7C">
        <w:rPr>
          <w:rFonts w:asciiTheme="majorHAnsi" w:eastAsia="Yu Mincho" w:hAnsiTheme="majorHAnsi" w:cstheme="majorHAnsi"/>
          <w:i/>
          <w:iCs/>
          <w:color w:val="000000" w:themeColor="text1"/>
          <w:sz w:val="22"/>
          <w:szCs w:val="22"/>
          <w:lang w:eastAsia="ja-JP"/>
        </w:rPr>
        <w:t>M. cochinchinensis</w:t>
      </w:r>
      <w:r w:rsidRPr="005E6B7C">
        <w:rPr>
          <w:rFonts w:asciiTheme="majorHAnsi" w:eastAsia="Yu Mincho" w:hAnsiTheme="majorHAnsi" w:cstheme="majorHAnsi"/>
          <w:color w:val="000000" w:themeColor="text1"/>
          <w:sz w:val="22"/>
          <w:szCs w:val="22"/>
          <w:lang w:eastAsia="ja-JP"/>
        </w:rPr>
        <w:t xml:space="preserve"> aril. Illumina RNA-Seq, as reported by Hyun </w:t>
      </w:r>
      <w:r w:rsidRPr="005E6B7C">
        <w:rPr>
          <w:rFonts w:asciiTheme="majorHAnsi" w:eastAsia="Yu Mincho" w:hAnsiTheme="majorHAnsi" w:cstheme="majorHAnsi"/>
          <w:i/>
          <w:iCs/>
          <w:color w:val="000000" w:themeColor="text1"/>
          <w:sz w:val="22"/>
          <w:szCs w:val="22"/>
          <w:lang w:eastAsia="ja-JP"/>
        </w:rPr>
        <w:t>et al.</w:t>
      </w:r>
      <w:r w:rsidRPr="005E6B7C">
        <w:rPr>
          <w:rFonts w:asciiTheme="majorHAnsi" w:eastAsia="Yu Mincho" w:hAnsiTheme="majorHAnsi" w:cstheme="majorHAnsi"/>
          <w:color w:val="000000" w:themeColor="text1"/>
          <w:sz w:val="22"/>
          <w:szCs w:val="22"/>
          <w:lang w:eastAsia="ja-JP"/>
        </w:rPr>
        <w:t xml:space="preserve"> [6], generated over 81,000 unigenes with an average length of 388 bp and an N50 of 450 bp, resulting in a comprehensive catalog of expressed genes. In contrast, ONT sequencing produced approximately 52,000 unigenes, characterized by significantly longer average lengths (777 bp) and higher N50 values (922 bp). These findings highlight the trade-off between sequencing depth and read length, with Illumina providing greater coverage and ONT offering improved structural resolution. Further, as in the Illumina approach, the ONT direct RNA sequencing preferentially captures polyadenylated transcripts, introducing a known bias against non-polyadenylated RNAs [16]. This technical limitation is unlikely to affect the primary target and results of the presented findings, as the genes involved in carotenoid biosynthesis in Gac are protein-coding and therefore polyadenylated and well represented in our dataset. Nonetheless, </w:t>
      </w:r>
      <w:r w:rsidR="00F76262" w:rsidRPr="005E6B7C">
        <w:rPr>
          <w:rFonts w:asciiTheme="majorHAnsi" w:eastAsia="Yu Mincho" w:hAnsiTheme="majorHAnsi" w:cstheme="majorHAnsi"/>
          <w:color w:val="000000" w:themeColor="text1"/>
          <w:sz w:val="22"/>
          <w:szCs w:val="22"/>
          <w:lang w:eastAsia="ja-JP"/>
        </w:rPr>
        <w:t>it should be noted that</w:t>
      </w:r>
      <w:r w:rsidRPr="005E6B7C">
        <w:rPr>
          <w:rFonts w:asciiTheme="majorHAnsi" w:eastAsia="Yu Mincho" w:hAnsiTheme="majorHAnsi" w:cstheme="majorHAnsi"/>
          <w:color w:val="000000" w:themeColor="text1"/>
          <w:sz w:val="22"/>
          <w:szCs w:val="22"/>
          <w:lang w:eastAsia="ja-JP"/>
        </w:rPr>
        <w:t xml:space="preserve"> non-polyadenylated RNAs, including potential regulatory elements, may be underrepresented and could be explored in future work using broader library preparation strategies.</w:t>
      </w:r>
    </w:p>
    <w:p w14:paraId="0B8F24DD"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observed diversity of isoforms in carotenoid biosynthetic genes suggests the existence of novel regulatory mechanisms underlying the high carotenoid accumulation in Gac. Isoform-specific expression of </w:t>
      </w:r>
      <w:r w:rsidRPr="005E6B7C">
        <w:rPr>
          <w:rFonts w:asciiTheme="majorHAnsi" w:eastAsia="Yu Mincho" w:hAnsiTheme="majorHAnsi" w:cstheme="majorHAnsi"/>
          <w:i/>
          <w:iCs/>
          <w:color w:val="000000" w:themeColor="text1"/>
          <w:sz w:val="22"/>
          <w:szCs w:val="22"/>
          <w:lang w:eastAsia="ja-JP"/>
        </w:rPr>
        <w:t xml:space="preserve">PSY </w:t>
      </w:r>
      <w:r w:rsidRPr="005E6B7C">
        <w:rPr>
          <w:rFonts w:asciiTheme="majorHAnsi" w:eastAsia="Yu Mincho" w:hAnsiTheme="majorHAnsi" w:cstheme="majorHAnsi"/>
          <w:color w:val="000000" w:themeColor="text1"/>
          <w:sz w:val="22"/>
          <w:szCs w:val="22"/>
          <w:lang w:eastAsia="ja-JP"/>
        </w:rPr>
        <w:t xml:space="preserve">and </w:t>
      </w:r>
      <w:r w:rsidRPr="005E6B7C">
        <w:rPr>
          <w:rFonts w:asciiTheme="majorHAnsi" w:eastAsia="Yu Mincho" w:hAnsiTheme="majorHAnsi" w:cstheme="majorHAnsi"/>
          <w:i/>
          <w:iCs/>
          <w:color w:val="000000" w:themeColor="text1"/>
          <w:sz w:val="22"/>
          <w:szCs w:val="22"/>
          <w:lang w:eastAsia="ja-JP"/>
        </w:rPr>
        <w:t>LCYE</w:t>
      </w:r>
      <w:r w:rsidRPr="005E6B7C">
        <w:rPr>
          <w:rFonts w:asciiTheme="majorHAnsi" w:eastAsia="Yu Mincho" w:hAnsiTheme="majorHAnsi" w:cstheme="majorHAnsi"/>
          <w:color w:val="000000" w:themeColor="text1"/>
          <w:sz w:val="22"/>
          <w:szCs w:val="22"/>
          <w:lang w:eastAsia="ja-JP"/>
        </w:rPr>
        <w:t xml:space="preserve"> may influence flux through the carotenoid pathway, thereby affecting lycopene and β-carotene concentrations. ONT's ability to detect RNA modifications further indicates the potential for epitranscriptomic regulation of carotenoid biosynthesis. These results suggest new opportunities for metabolic engineering, in which targeted interventions at the isoform or modification level could enhance carotenoid production in biofortification programs [17].</w:t>
      </w:r>
    </w:p>
    <w:p w14:paraId="0D85ED7B"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long-read capability of ONT enabled the reconstruction of full-length transcripts, capturing isoform diversity and alternative splicing events </w:t>
      </w:r>
      <w:r w:rsidRPr="005E6B7C">
        <w:rPr>
          <w:rFonts w:asciiTheme="majorHAnsi" w:eastAsia="Yu Mincho" w:hAnsiTheme="majorHAnsi" w:cstheme="majorHAnsi"/>
          <w:color w:val="000000" w:themeColor="text1"/>
          <w:sz w:val="22"/>
          <w:szCs w:val="22"/>
          <w:lang w:eastAsia="ja-JP"/>
        </w:rPr>
        <w:t>not resolved in the Illumina dataset. For example, multiple isoforms of phytoene synthase (</w:t>
      </w:r>
      <w:r w:rsidRPr="005E6B7C">
        <w:rPr>
          <w:rFonts w:asciiTheme="majorHAnsi" w:eastAsia="Yu Mincho" w:hAnsiTheme="majorHAnsi" w:cstheme="majorHAnsi"/>
          <w:i/>
          <w:iCs/>
          <w:color w:val="000000" w:themeColor="text1"/>
          <w:sz w:val="22"/>
          <w:szCs w:val="22"/>
          <w:lang w:eastAsia="ja-JP"/>
        </w:rPr>
        <w:t>PSY</w:t>
      </w:r>
      <w:r w:rsidRPr="005E6B7C">
        <w:rPr>
          <w:rFonts w:asciiTheme="majorHAnsi" w:eastAsia="Yu Mincho" w:hAnsiTheme="majorHAnsi" w:cstheme="majorHAnsi"/>
          <w:color w:val="000000" w:themeColor="text1"/>
          <w:sz w:val="22"/>
          <w:szCs w:val="22"/>
          <w:lang w:eastAsia="ja-JP"/>
        </w:rPr>
        <w:t>) and zeta-carotene isomerase (</w:t>
      </w:r>
      <w:r w:rsidRPr="005E6B7C">
        <w:rPr>
          <w:rFonts w:asciiTheme="majorHAnsi" w:eastAsia="Yu Mincho" w:hAnsiTheme="majorHAnsi" w:cstheme="majorHAnsi"/>
          <w:i/>
          <w:iCs/>
          <w:color w:val="000000" w:themeColor="text1"/>
          <w:sz w:val="22"/>
          <w:szCs w:val="22"/>
          <w:lang w:eastAsia="ja-JP"/>
        </w:rPr>
        <w:t>Z-ISO</w:t>
      </w:r>
      <w:r w:rsidRPr="005E6B7C">
        <w:rPr>
          <w:rFonts w:asciiTheme="majorHAnsi" w:eastAsia="Yu Mincho" w:hAnsiTheme="majorHAnsi" w:cstheme="majorHAnsi"/>
          <w:color w:val="000000" w:themeColor="text1"/>
          <w:sz w:val="22"/>
          <w:szCs w:val="22"/>
          <w:lang w:eastAsia="ja-JP"/>
        </w:rPr>
        <w:t>) were identified, suggesting isoform-specific regulation of carotenoid biosynthesis. These structural insights are significant, as alternative splicing modulates plant metabolic pathways [5]. However, ONT sequencing has notable limitations. Its base-calling accuracy is lower than that of Illumina, especially in homopolymer regions and indel-rich sequences [12]. This limitation requires extensive error correction using tools such as RATTLE or a hybrid assembly approach with Illumina reads [18]. Furthermore, ONT throughput is lower, resulting in fewer total unigenes compared to the Illumina unigene catalog. Reduced sequencing depth may impede the detection of low-abundance transcripts, which often play critical roles in regulatory networks.</w:t>
      </w:r>
    </w:p>
    <w:p w14:paraId="65F44E30" w14:textId="77777777" w:rsidR="00E049CB"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color w:val="000000" w:themeColor="text1"/>
          <w:sz w:val="22"/>
          <w:szCs w:val="22"/>
          <w:lang w:eastAsia="ja-JP"/>
        </w:rPr>
      </w:pPr>
      <w:r w:rsidRPr="005E6B7C">
        <w:rPr>
          <w:rFonts w:asciiTheme="majorHAnsi" w:eastAsia="Yu Mincho" w:hAnsiTheme="majorHAnsi" w:cstheme="majorHAnsi"/>
          <w:color w:val="000000" w:themeColor="text1"/>
          <w:sz w:val="22"/>
          <w:szCs w:val="22"/>
          <w:lang w:eastAsia="ja-JP"/>
        </w:rPr>
        <w:t xml:space="preserve">The application of ONT sequencing to non-model plants such as </w:t>
      </w:r>
      <w:r w:rsidRPr="005E6B7C">
        <w:rPr>
          <w:rFonts w:asciiTheme="majorHAnsi" w:eastAsia="Yu Mincho" w:hAnsiTheme="majorHAnsi" w:cstheme="majorHAnsi"/>
          <w:i/>
          <w:iCs/>
          <w:color w:val="000000" w:themeColor="text1"/>
          <w:sz w:val="22"/>
          <w:szCs w:val="22"/>
          <w:lang w:eastAsia="ja-JP"/>
        </w:rPr>
        <w:t>M. cochinchinensis</w:t>
      </w:r>
      <w:r w:rsidRPr="005E6B7C">
        <w:rPr>
          <w:rFonts w:asciiTheme="majorHAnsi" w:eastAsia="Yu Mincho" w:hAnsiTheme="majorHAnsi" w:cstheme="majorHAnsi"/>
          <w:color w:val="000000" w:themeColor="text1"/>
          <w:sz w:val="22"/>
          <w:szCs w:val="22"/>
          <w:lang w:eastAsia="ja-JP"/>
        </w:rPr>
        <w:t xml:space="preserve"> demonstrates both its potential and its challenges. ONT provides superior structural resolution, facilitates isoform discovery, and enables epitranscriptomic analysis, but requires rigorous error correction, adequate sequencing depth, and robust quantification strategies. As ONT chemistry and basecalling algorithms improve, their utility in functional genomics is likely to increase, particularly for species with limited genomic resources. For non-model species like Gac, which lack reference genomes and comprehensive transcriptomic data, ONT’s ability to generate full-length transcripts without assembly bias is especially advantageous. With ongoing improvements in sequencing kits and bioinformatic tools, ONT is emerging as a credible stand-alone approach for transcriptome analysis. This development suggests that ONT will not only complement Illumina but may also become a primary platform for functional genomics in under-studied crops, enabling the identification of novel isoforms, regulatory mechanisms, and RNA modifications that contribute to valuable metabolic traits such as carotenoid biosynthesis.</w:t>
      </w:r>
    </w:p>
    <w:p w14:paraId="686884B7"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b/>
          <w:bCs/>
          <w:color w:val="000000" w:themeColor="text1"/>
          <w:sz w:val="22"/>
          <w:szCs w:val="22"/>
          <w:lang w:eastAsia="ja-JP"/>
        </w:rPr>
      </w:pPr>
      <w:r w:rsidRPr="005E6B7C">
        <w:rPr>
          <w:rFonts w:asciiTheme="majorHAnsi" w:eastAsia="Yu Mincho" w:hAnsiTheme="majorHAnsi" w:cstheme="majorHAnsi"/>
          <w:b/>
          <w:bCs/>
          <w:color w:val="000000" w:themeColor="text1"/>
          <w:sz w:val="22"/>
          <w:szCs w:val="22"/>
          <w:lang w:eastAsia="ja-JP"/>
        </w:rPr>
        <w:t>5. Conclusion</w:t>
      </w:r>
    </w:p>
    <w:p w14:paraId="0CB8554C" w14:textId="77777777" w:rsidR="00E049CB" w:rsidRPr="005E6B7C" w:rsidRDefault="00E049CB" w:rsidP="008C0D47">
      <w:pPr>
        <w:tabs>
          <w:tab w:val="left" w:pos="270"/>
          <w:tab w:val="left" w:pos="540"/>
          <w:tab w:val="num" w:pos="720"/>
          <w:tab w:val="left" w:pos="9270"/>
        </w:tabs>
        <w:spacing w:line="240" w:lineRule="exact"/>
        <w:ind w:firstLine="284"/>
        <w:jc w:val="both"/>
        <w:rPr>
          <w:rFonts w:asciiTheme="majorHAnsi" w:eastAsia="Yu Mincho" w:hAnsiTheme="majorHAnsi" w:cstheme="majorHAnsi"/>
          <w:color w:val="000000" w:themeColor="text1"/>
          <w:spacing w:val="-2"/>
          <w:sz w:val="22"/>
          <w:szCs w:val="22"/>
          <w:lang w:eastAsia="ja-JP"/>
        </w:rPr>
      </w:pPr>
      <w:r w:rsidRPr="005E6B7C">
        <w:rPr>
          <w:rFonts w:asciiTheme="majorHAnsi" w:eastAsia="Yu Mincho" w:hAnsiTheme="majorHAnsi" w:cstheme="majorHAnsi"/>
          <w:color w:val="000000" w:themeColor="text1"/>
          <w:spacing w:val="-2"/>
          <w:sz w:val="22"/>
          <w:szCs w:val="22"/>
          <w:lang w:eastAsia="ja-JP"/>
        </w:rPr>
        <w:t xml:space="preserve">This study presented the first direct comparison </w:t>
      </w:r>
      <w:r w:rsidRPr="005E6B7C">
        <w:rPr>
          <w:rFonts w:asciiTheme="majorHAnsi" w:eastAsia="Yu Mincho" w:hAnsiTheme="majorHAnsi" w:cstheme="majorHAnsi"/>
          <w:color w:val="000000" w:themeColor="text1"/>
          <w:spacing w:val="-2"/>
          <w:sz w:val="22"/>
          <w:szCs w:val="22"/>
          <w:lang w:eastAsia="ja-JP"/>
        </w:rPr>
        <w:lastRenderedPageBreak/>
        <w:t xml:space="preserve">between ONT and Illumina sequencing platforms for transcriptome profiling of </w:t>
      </w:r>
      <w:r w:rsidRPr="005E6B7C">
        <w:rPr>
          <w:rFonts w:asciiTheme="majorHAnsi" w:eastAsia="Yu Mincho" w:hAnsiTheme="majorHAnsi" w:cstheme="majorHAnsi"/>
          <w:i/>
          <w:iCs/>
          <w:color w:val="000000" w:themeColor="text1"/>
          <w:spacing w:val="-2"/>
          <w:sz w:val="22"/>
          <w:szCs w:val="22"/>
          <w:lang w:eastAsia="ja-JP"/>
        </w:rPr>
        <w:t>M. cochinchinensis</w:t>
      </w:r>
      <w:r w:rsidRPr="005E6B7C">
        <w:rPr>
          <w:rFonts w:asciiTheme="majorHAnsi" w:eastAsia="Yu Mincho" w:hAnsiTheme="majorHAnsi" w:cstheme="majorHAnsi"/>
          <w:color w:val="000000" w:themeColor="text1"/>
          <w:spacing w:val="-2"/>
          <w:sz w:val="22"/>
          <w:szCs w:val="22"/>
          <w:lang w:eastAsia="ja-JP"/>
        </w:rPr>
        <w:t xml:space="preserve"> aril. Illumina RNA‑Seq remains the benchmark for accuracy and quantitative profiling, while ONT offers distinct advantages in capturing full‑length transcripts, isoform diversity, and RNA modifications. Despite current limitations in accuracy and throughput, rapid advances in ONT chemistry, sequencing kits, and bioinformatic pipelines are steadily improving performance. For </w:t>
      </w:r>
      <w:r w:rsidRPr="005E6B7C">
        <w:rPr>
          <w:rFonts w:asciiTheme="majorHAnsi" w:eastAsia="Yu Mincho" w:hAnsiTheme="majorHAnsi" w:cstheme="majorHAnsi"/>
          <w:color w:val="000000" w:themeColor="text1"/>
          <w:spacing w:val="-2"/>
          <w:sz w:val="22"/>
          <w:szCs w:val="22"/>
          <w:lang w:eastAsia="ja-JP"/>
        </w:rPr>
        <w:t>non‑model plants such as Gac, ONT represents a promising stand‑alone approach to uncover transcript structures and regulatory mechanisms underlying carotenoid biosynthesis. As the technology matures, ONT is poised to become a credible option for functional genomics and metabolic engineering in under‑studied crops.</w:t>
      </w:r>
    </w:p>
    <w:p w14:paraId="16ACFEE8" w14:textId="77777777" w:rsidR="00F463A2" w:rsidRPr="005E6B7C" w:rsidRDefault="00E049CB" w:rsidP="008C0D47">
      <w:pPr>
        <w:tabs>
          <w:tab w:val="left" w:pos="270"/>
          <w:tab w:val="left" w:pos="540"/>
          <w:tab w:val="left" w:pos="9270"/>
        </w:tabs>
        <w:spacing w:line="240" w:lineRule="exact"/>
        <w:ind w:firstLine="284"/>
        <w:jc w:val="both"/>
        <w:rPr>
          <w:rFonts w:asciiTheme="majorHAnsi" w:eastAsia="Yu Mincho" w:hAnsiTheme="majorHAnsi" w:cstheme="majorHAnsi"/>
          <w:i/>
          <w:iCs/>
          <w:color w:val="000000" w:themeColor="text1"/>
          <w:sz w:val="20"/>
          <w:szCs w:val="20"/>
          <w:lang w:eastAsia="ja-JP"/>
        </w:rPr>
        <w:sectPr w:rsidR="00F463A2" w:rsidRPr="005E6B7C" w:rsidSect="00F463A2">
          <w:type w:val="continuous"/>
          <w:pgSz w:w="10773" w:h="15309" w:code="9"/>
          <w:pgMar w:top="907" w:right="851" w:bottom="1418" w:left="851" w:header="397" w:footer="851" w:gutter="0"/>
          <w:cols w:num="2" w:space="284"/>
          <w:docGrid w:linePitch="360"/>
        </w:sectPr>
      </w:pPr>
      <w:r w:rsidRPr="005E6B7C">
        <w:rPr>
          <w:rFonts w:asciiTheme="majorHAnsi" w:eastAsia="Yu Mincho" w:hAnsiTheme="majorHAnsi" w:cstheme="majorHAnsi"/>
          <w:b/>
          <w:bCs/>
          <w:color w:val="000000" w:themeColor="text1"/>
          <w:sz w:val="20"/>
          <w:szCs w:val="20"/>
          <w:lang w:eastAsia="ja-JP"/>
        </w:rPr>
        <w:t xml:space="preserve">Funding: </w:t>
      </w:r>
      <w:r w:rsidRPr="005E6B7C">
        <w:rPr>
          <w:rFonts w:asciiTheme="majorHAnsi" w:eastAsia="Yu Mincho" w:hAnsiTheme="majorHAnsi" w:cstheme="majorHAnsi"/>
          <w:i/>
          <w:iCs/>
          <w:color w:val="000000" w:themeColor="text1"/>
          <w:sz w:val="20"/>
          <w:szCs w:val="20"/>
          <w:lang w:eastAsia="ja-JP"/>
        </w:rPr>
        <w:t>This work was supported by the Vietnam Ministry of Science and Technology (NVQG-2022/ĐT.09).</w:t>
      </w:r>
    </w:p>
    <w:p w14:paraId="05BBC9E6" w14:textId="77777777" w:rsidR="00E049CB" w:rsidRPr="005E6B7C" w:rsidRDefault="00E049CB" w:rsidP="008C0D47">
      <w:pPr>
        <w:tabs>
          <w:tab w:val="left" w:pos="270"/>
          <w:tab w:val="left" w:pos="540"/>
          <w:tab w:val="left" w:pos="9270"/>
        </w:tabs>
        <w:spacing w:before="120" w:after="120"/>
        <w:jc w:val="center"/>
        <w:rPr>
          <w:rFonts w:asciiTheme="majorHAnsi" w:eastAsia="Yu Mincho" w:hAnsiTheme="majorHAnsi" w:cstheme="majorHAnsi"/>
          <w:b/>
          <w:bCs/>
          <w:color w:val="000000" w:themeColor="text1"/>
          <w:sz w:val="18"/>
          <w:szCs w:val="18"/>
          <w:lang w:eastAsia="ja-JP"/>
        </w:rPr>
      </w:pPr>
      <w:r w:rsidRPr="005E6B7C">
        <w:rPr>
          <w:rFonts w:asciiTheme="majorHAnsi" w:eastAsia="Yu Mincho" w:hAnsiTheme="majorHAnsi" w:cstheme="majorHAnsi"/>
          <w:b/>
          <w:bCs/>
          <w:color w:val="000000" w:themeColor="text1"/>
          <w:sz w:val="18"/>
          <w:szCs w:val="18"/>
          <w:lang w:eastAsia="ja-JP"/>
        </w:rPr>
        <w:t xml:space="preserve">References </w:t>
      </w:r>
    </w:p>
    <w:p w14:paraId="103D3833" w14:textId="3AC1BDF3"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noProof/>
          <w:color w:val="000000" w:themeColor="text1"/>
          <w:sz w:val="18"/>
          <w:szCs w:val="18"/>
          <w:lang w:eastAsia="ja-JP"/>
        </w:rPr>
        <w:tab/>
        <w:t>Vuong L.T.</w:t>
      </w:r>
      <w:r w:rsidR="001429A1" w:rsidRPr="005E6B7C">
        <w:rPr>
          <w:rFonts w:asciiTheme="majorHAnsi" w:eastAsia="Yu Mincho" w:hAnsiTheme="majorHAnsi" w:cstheme="majorHAnsi"/>
          <w:noProof/>
          <w:color w:val="000000" w:themeColor="text1"/>
          <w:sz w:val="18"/>
          <w:szCs w:val="18"/>
          <w:lang w:eastAsia="ja-JP"/>
        </w:rPr>
        <w:t xml:space="preserve"> (2000)</w:t>
      </w:r>
      <w:r w:rsidRPr="005E6B7C">
        <w:rPr>
          <w:rFonts w:asciiTheme="majorHAnsi" w:eastAsia="Yu Mincho" w:hAnsiTheme="majorHAnsi" w:cstheme="majorHAnsi"/>
          <w:noProof/>
          <w:color w:val="000000" w:themeColor="text1"/>
          <w:sz w:val="18"/>
          <w:szCs w:val="18"/>
          <w:lang w:eastAsia="ja-JP"/>
        </w:rPr>
        <w:t xml:space="preserve">, Underutilized </w:t>
      </w:r>
      <w:r w:rsidRPr="005E6B7C">
        <w:rPr>
          <w:rFonts w:asciiTheme="majorHAnsi" w:eastAsia="Yu Mincho" w:hAnsiTheme="majorHAnsi" w:cstheme="majorHAnsi"/>
          <w:i/>
          <w:noProof/>
          <w:color w:val="000000" w:themeColor="text1"/>
          <w:sz w:val="18"/>
          <w:szCs w:val="18"/>
          <w:lang w:eastAsia="ja-JP"/>
        </w:rPr>
        <w:t>β</w:t>
      </w:r>
      <w:r w:rsidRPr="005E6B7C">
        <w:rPr>
          <w:rFonts w:asciiTheme="majorHAnsi" w:eastAsia="Yu Mincho" w:hAnsiTheme="majorHAnsi" w:cstheme="majorHAnsi"/>
          <w:noProof/>
          <w:color w:val="000000" w:themeColor="text1"/>
          <w:sz w:val="18"/>
          <w:szCs w:val="18"/>
          <w:lang w:eastAsia="ja-JP"/>
        </w:rPr>
        <w:t xml:space="preserve">-carotene–rich crops of Vietnam. </w:t>
      </w:r>
      <w:r w:rsidRPr="005E6B7C">
        <w:rPr>
          <w:rFonts w:asciiTheme="majorHAnsi" w:eastAsia="Yu Mincho" w:hAnsiTheme="majorHAnsi" w:cstheme="majorHAnsi"/>
          <w:i/>
          <w:iCs/>
          <w:noProof/>
          <w:color w:val="000000" w:themeColor="text1"/>
          <w:sz w:val="18"/>
          <w:szCs w:val="18"/>
          <w:lang w:eastAsia="ja-JP"/>
        </w:rPr>
        <w:t>Food and Nutrition Bulletin</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(2)</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173-181.</w:t>
      </w:r>
    </w:p>
    <w:p w14:paraId="17A1C67C" w14:textId="64F19974"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2.</w:t>
      </w:r>
      <w:r w:rsidRPr="005E6B7C">
        <w:rPr>
          <w:rFonts w:asciiTheme="majorHAnsi" w:eastAsia="Yu Mincho" w:hAnsiTheme="majorHAnsi" w:cstheme="majorHAnsi"/>
          <w:noProof/>
          <w:color w:val="000000" w:themeColor="text1"/>
          <w:sz w:val="18"/>
          <w:szCs w:val="18"/>
          <w:lang w:eastAsia="ja-JP"/>
        </w:rPr>
        <w:tab/>
        <w:t>Do T. V. T., Fan L., Suhartini W., Girmatsion M.</w:t>
      </w:r>
      <w:r w:rsidR="001429A1" w:rsidRPr="005E6B7C">
        <w:rPr>
          <w:rFonts w:asciiTheme="majorHAnsi" w:eastAsia="Yu Mincho" w:hAnsiTheme="majorHAnsi" w:cstheme="majorHAnsi"/>
          <w:noProof/>
          <w:color w:val="000000" w:themeColor="text1"/>
          <w:sz w:val="18"/>
          <w:szCs w:val="18"/>
          <w:lang w:eastAsia="ja-JP"/>
        </w:rPr>
        <w:t xml:space="preserve"> (2019)</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Gac (</w:t>
      </w:r>
      <w:r w:rsidRPr="005E6B7C">
        <w:rPr>
          <w:rFonts w:asciiTheme="majorHAnsi" w:eastAsia="Yu Mincho" w:hAnsiTheme="majorHAnsi" w:cstheme="majorHAnsi"/>
          <w:i/>
          <w:iCs/>
          <w:noProof/>
          <w:color w:val="000000" w:themeColor="text1"/>
          <w:sz w:val="18"/>
          <w:szCs w:val="18"/>
          <w:lang w:eastAsia="ja-JP"/>
        </w:rPr>
        <w:t xml:space="preserve">Momordica cochinchinensis </w:t>
      </w:r>
      <w:r w:rsidRPr="005E6B7C">
        <w:rPr>
          <w:rFonts w:asciiTheme="majorHAnsi" w:eastAsia="Yu Mincho" w:hAnsiTheme="majorHAnsi" w:cstheme="majorHAnsi"/>
          <w:iCs/>
          <w:noProof/>
          <w:color w:val="000000" w:themeColor="text1"/>
          <w:sz w:val="18"/>
          <w:szCs w:val="18"/>
          <w:lang w:eastAsia="ja-JP"/>
        </w:rPr>
        <w:t>Spreng</w:t>
      </w:r>
      <w:r w:rsidRPr="005E6B7C">
        <w:rPr>
          <w:rFonts w:asciiTheme="majorHAnsi" w:eastAsia="Yu Mincho" w:hAnsiTheme="majorHAnsi" w:cstheme="majorHAnsi"/>
          <w:noProof/>
          <w:color w:val="000000" w:themeColor="text1"/>
          <w:sz w:val="18"/>
          <w:szCs w:val="18"/>
          <w:lang w:eastAsia="ja-JP"/>
        </w:rPr>
        <w:t xml:space="preserve">) fruit: A functional food and medicinal resource. </w:t>
      </w:r>
      <w:r w:rsidRPr="005E6B7C">
        <w:rPr>
          <w:rFonts w:asciiTheme="majorHAnsi" w:eastAsia="Yu Mincho" w:hAnsiTheme="majorHAnsi" w:cstheme="majorHAnsi"/>
          <w:i/>
          <w:iCs/>
          <w:noProof/>
          <w:color w:val="000000" w:themeColor="text1"/>
          <w:sz w:val="18"/>
          <w:szCs w:val="18"/>
          <w:lang w:eastAsia="ja-JP"/>
        </w:rPr>
        <w:t xml:space="preserve">Journal of </w:t>
      </w:r>
      <w:r w:rsidR="001429A1" w:rsidRPr="005E6B7C">
        <w:rPr>
          <w:rFonts w:asciiTheme="majorHAnsi" w:eastAsia="Yu Mincho" w:hAnsiTheme="majorHAnsi" w:cstheme="majorHAnsi"/>
          <w:i/>
          <w:iCs/>
          <w:noProof/>
          <w:color w:val="000000" w:themeColor="text1"/>
          <w:sz w:val="18"/>
          <w:szCs w:val="18"/>
          <w:lang w:eastAsia="ja-JP"/>
        </w:rPr>
        <w:t>F</w:t>
      </w:r>
      <w:r w:rsidRPr="005E6B7C">
        <w:rPr>
          <w:rFonts w:asciiTheme="majorHAnsi" w:eastAsia="Yu Mincho" w:hAnsiTheme="majorHAnsi" w:cstheme="majorHAnsi"/>
          <w:i/>
          <w:iCs/>
          <w:noProof/>
          <w:color w:val="000000" w:themeColor="text1"/>
          <w:sz w:val="18"/>
          <w:szCs w:val="18"/>
          <w:lang w:eastAsia="ja-JP"/>
        </w:rPr>
        <w:t xml:space="preserve">unctional </w:t>
      </w:r>
      <w:r w:rsidR="001429A1" w:rsidRPr="005E6B7C">
        <w:rPr>
          <w:rFonts w:asciiTheme="majorHAnsi" w:eastAsia="Yu Mincho" w:hAnsiTheme="majorHAnsi" w:cstheme="majorHAnsi"/>
          <w:i/>
          <w:iCs/>
          <w:noProof/>
          <w:color w:val="000000" w:themeColor="text1"/>
          <w:sz w:val="18"/>
          <w:szCs w:val="18"/>
          <w:lang w:eastAsia="ja-JP"/>
        </w:rPr>
        <w:t>F</w:t>
      </w:r>
      <w:r w:rsidRPr="005E6B7C">
        <w:rPr>
          <w:rFonts w:asciiTheme="majorHAnsi" w:eastAsia="Yu Mincho" w:hAnsiTheme="majorHAnsi" w:cstheme="majorHAnsi"/>
          <w:i/>
          <w:iCs/>
          <w:noProof/>
          <w:color w:val="000000" w:themeColor="text1"/>
          <w:sz w:val="18"/>
          <w:szCs w:val="18"/>
          <w:lang w:eastAsia="ja-JP"/>
        </w:rPr>
        <w:t>oods</w:t>
      </w:r>
      <w:r w:rsidRPr="005E6B7C">
        <w:rPr>
          <w:rFonts w:asciiTheme="majorHAnsi" w:eastAsia="Yu Mincho" w:hAnsiTheme="majorHAnsi" w:cstheme="majorHAnsi"/>
          <w:i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62, 103512.</w:t>
      </w:r>
    </w:p>
    <w:p w14:paraId="3448413D" w14:textId="346CFBEE"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3.</w:t>
      </w:r>
      <w:r w:rsidRPr="005E6B7C">
        <w:rPr>
          <w:rFonts w:asciiTheme="majorHAnsi" w:eastAsia="Yu Mincho" w:hAnsiTheme="majorHAnsi" w:cstheme="majorHAnsi"/>
          <w:noProof/>
          <w:color w:val="000000" w:themeColor="text1"/>
          <w:sz w:val="18"/>
          <w:szCs w:val="18"/>
          <w:lang w:eastAsia="ja-JP"/>
        </w:rPr>
        <w:tab/>
        <w:t>Chuyen H. V., Nguyen M. H., Roach P. D., Golding J. B., Parks S. E.</w:t>
      </w:r>
      <w:r w:rsidR="001429A1" w:rsidRPr="005E6B7C">
        <w:rPr>
          <w:rFonts w:asciiTheme="majorHAnsi" w:eastAsia="Yu Mincho" w:hAnsiTheme="majorHAnsi" w:cstheme="majorHAnsi"/>
          <w:noProof/>
          <w:color w:val="000000" w:themeColor="text1"/>
          <w:sz w:val="18"/>
          <w:szCs w:val="18"/>
          <w:lang w:eastAsia="ja-JP"/>
        </w:rPr>
        <w:t xml:space="preserve"> (2014)</w:t>
      </w:r>
      <w:r w:rsidRPr="005E6B7C">
        <w:rPr>
          <w:rFonts w:asciiTheme="majorHAnsi" w:eastAsia="Yu Mincho" w:hAnsiTheme="majorHAnsi" w:cstheme="majorHAnsi"/>
          <w:noProof/>
          <w:color w:val="000000" w:themeColor="text1"/>
          <w:sz w:val="18"/>
          <w:szCs w:val="18"/>
          <w:lang w:eastAsia="ja-JP"/>
        </w:rPr>
        <w:t>, Gac fruit (</w:t>
      </w:r>
      <w:r w:rsidRPr="005E6B7C">
        <w:rPr>
          <w:rFonts w:asciiTheme="majorHAnsi" w:eastAsia="Yu Mincho" w:hAnsiTheme="majorHAnsi" w:cstheme="majorHAnsi"/>
          <w:i/>
          <w:noProof/>
          <w:color w:val="000000" w:themeColor="text1"/>
          <w:sz w:val="18"/>
          <w:szCs w:val="18"/>
          <w:lang w:eastAsia="ja-JP"/>
        </w:rPr>
        <w:t xml:space="preserve">Momordica cochinchinensis </w:t>
      </w:r>
      <w:r w:rsidRPr="005E6B7C">
        <w:rPr>
          <w:rFonts w:asciiTheme="majorHAnsi" w:eastAsia="Yu Mincho" w:hAnsiTheme="majorHAnsi" w:cstheme="majorHAnsi"/>
          <w:iCs/>
          <w:noProof/>
          <w:color w:val="000000" w:themeColor="text1"/>
          <w:sz w:val="18"/>
          <w:szCs w:val="18"/>
          <w:lang w:eastAsia="ja-JP"/>
        </w:rPr>
        <w:t>Spreng.): a rich source of bioactive compounds and its potential health benefits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International Journal of Food Science &amp; 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50</w:t>
      </w:r>
      <w:r w:rsidRPr="005E6B7C">
        <w:rPr>
          <w:rFonts w:asciiTheme="majorHAnsi" w:eastAsia="Yu Mincho" w:hAnsiTheme="majorHAnsi" w:cstheme="majorHAnsi"/>
          <w:noProof/>
          <w:color w:val="000000" w:themeColor="text1"/>
          <w:sz w:val="18"/>
          <w:szCs w:val="18"/>
          <w:lang w:eastAsia="ja-JP"/>
        </w:rPr>
        <w:t>(3)</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567-577.</w:t>
      </w:r>
    </w:p>
    <w:p w14:paraId="52FB91DB" w14:textId="75A3651F"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4.</w:t>
      </w:r>
      <w:r w:rsidRPr="005E6B7C">
        <w:rPr>
          <w:rFonts w:asciiTheme="majorHAnsi" w:eastAsia="Yu Mincho" w:hAnsiTheme="majorHAnsi" w:cstheme="majorHAnsi"/>
          <w:noProof/>
          <w:color w:val="000000" w:themeColor="text1"/>
          <w:sz w:val="18"/>
          <w:szCs w:val="18"/>
          <w:lang w:eastAsia="ja-JP"/>
        </w:rPr>
        <w:tab/>
        <w:t>Mat S. A., El Enshasy H. A., Abd Rahim N., Chong X. N., Vadiveloo S. D., Ya'akob</w:t>
      </w:r>
      <w:r w:rsidRPr="005E6B7C">
        <w:rPr>
          <w:rFonts w:asciiTheme="majorHAnsi" w:eastAsia="Yu Mincho" w:hAnsiTheme="majorHAnsi" w:cstheme="majorHAnsi"/>
          <w:noProof/>
          <w:color w:val="000000" w:themeColor="text1"/>
          <w:sz w:val="18"/>
          <w:szCs w:val="18"/>
          <w:lang w:val="vi-VN" w:eastAsia="ja-JP"/>
        </w:rPr>
        <w:t xml:space="preserve"> </w:t>
      </w:r>
      <w:r w:rsidRPr="005E6B7C">
        <w:rPr>
          <w:rFonts w:asciiTheme="majorHAnsi" w:eastAsia="Yu Mincho" w:hAnsiTheme="majorHAnsi" w:cstheme="majorHAnsi"/>
          <w:noProof/>
          <w:color w:val="000000" w:themeColor="text1"/>
          <w:sz w:val="18"/>
          <w:szCs w:val="18"/>
          <w:lang w:eastAsia="ja-JP"/>
        </w:rPr>
        <w:t>H.,</w:t>
      </w:r>
      <w:r w:rsidRPr="005E6B7C">
        <w:rPr>
          <w:rFonts w:asciiTheme="majorHAnsi" w:eastAsia="Yu Mincho" w:hAnsiTheme="majorHAnsi" w:cstheme="majorHAnsi"/>
          <w:noProof/>
          <w:color w:val="000000" w:themeColor="text1"/>
          <w:sz w:val="18"/>
          <w:szCs w:val="18"/>
          <w:lang w:val="vi-VN" w:eastAsia="ja-JP"/>
        </w:rPr>
        <w:t xml:space="preserve"> Daililin J. D., Chew S. T. D.,</w:t>
      </w:r>
      <w:r w:rsidRPr="005E6B7C">
        <w:rPr>
          <w:rFonts w:asciiTheme="majorHAnsi" w:eastAsia="Yu Mincho" w:hAnsiTheme="majorHAnsi" w:cstheme="majorHAnsi"/>
          <w:noProof/>
          <w:color w:val="000000" w:themeColor="text1"/>
          <w:sz w:val="18"/>
          <w:szCs w:val="18"/>
          <w:lang w:eastAsia="ja-JP"/>
        </w:rPr>
        <w:t xml:space="preserve"> Manas N. H. A., Gac fruit (</w:t>
      </w:r>
      <w:r w:rsidRPr="005E6B7C">
        <w:rPr>
          <w:rFonts w:asciiTheme="majorHAnsi" w:eastAsia="Yu Mincho" w:hAnsiTheme="majorHAnsi" w:cstheme="majorHAnsi"/>
          <w:i/>
          <w:noProof/>
          <w:color w:val="000000" w:themeColor="text1"/>
          <w:sz w:val="18"/>
          <w:szCs w:val="18"/>
          <w:lang w:eastAsia="ja-JP"/>
        </w:rPr>
        <w:t xml:space="preserve">Momordica cochinchinensis </w:t>
      </w:r>
      <w:r w:rsidRPr="005E6B7C">
        <w:rPr>
          <w:rFonts w:asciiTheme="majorHAnsi" w:eastAsia="Yu Mincho" w:hAnsiTheme="majorHAnsi" w:cstheme="majorHAnsi"/>
          <w:iCs/>
          <w:noProof/>
          <w:color w:val="000000" w:themeColor="text1"/>
          <w:sz w:val="18"/>
          <w:szCs w:val="18"/>
          <w:lang w:eastAsia="ja-JP"/>
        </w:rPr>
        <w:t>Spreng.):</w:t>
      </w:r>
      <w:r w:rsidRPr="005E6B7C">
        <w:rPr>
          <w:rFonts w:asciiTheme="majorHAnsi" w:eastAsia="Yu Mincho" w:hAnsiTheme="majorHAnsi" w:cstheme="majorHAnsi"/>
          <w: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From nutritional value to food processing technology</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Biocatalysis and Agricultural Biotechnology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62</w:t>
      </w:r>
      <w:r w:rsidR="001429A1" w:rsidRPr="005E6B7C">
        <w:rPr>
          <w:rFonts w:asciiTheme="majorHAnsi" w:eastAsia="Yu Mincho" w:hAnsiTheme="majorHAnsi" w:cstheme="majorHAnsi"/>
          <w:b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103444.</w:t>
      </w:r>
      <w:r w:rsidRPr="005E6B7C">
        <w:rPr>
          <w:rFonts w:asciiTheme="majorHAnsi" w:eastAsia="Yu Mincho" w:hAnsiTheme="majorHAnsi" w:cstheme="majorHAnsi"/>
          <w:noProof/>
          <w:color w:val="000000" w:themeColor="text1"/>
          <w:sz w:val="18"/>
          <w:szCs w:val="18"/>
          <w:lang w:val="vi-VN" w:eastAsia="ja-JP"/>
        </w:rPr>
        <w:t xml:space="preserve"> </w:t>
      </w:r>
    </w:p>
    <w:p w14:paraId="18177074" w14:textId="3082FA93"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5.</w:t>
      </w:r>
      <w:r w:rsidRPr="005E6B7C">
        <w:rPr>
          <w:rFonts w:asciiTheme="majorHAnsi" w:eastAsia="Yu Mincho" w:hAnsiTheme="majorHAnsi" w:cstheme="majorHAnsi"/>
          <w:noProof/>
          <w:color w:val="000000" w:themeColor="text1"/>
          <w:sz w:val="18"/>
          <w:szCs w:val="18"/>
          <w:lang w:eastAsia="ja-JP"/>
        </w:rPr>
        <w:tab/>
        <w:t>Jackson D.J., Cerveau N., Posnien N.</w:t>
      </w:r>
      <w:r w:rsidR="001429A1" w:rsidRPr="005E6B7C">
        <w:rPr>
          <w:rFonts w:asciiTheme="majorHAnsi" w:eastAsia="Yu Mincho" w:hAnsiTheme="majorHAnsi" w:cstheme="majorHAnsi"/>
          <w:noProof/>
          <w:color w:val="000000" w:themeColor="text1"/>
          <w:sz w:val="18"/>
          <w:szCs w:val="18"/>
          <w:lang w:eastAsia="ja-JP"/>
        </w:rPr>
        <w:t xml:space="preserve"> (2024)</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De novo assembly of transcriptomes and differential gene expression analysis using short-read data from emerging model organisms – a brief guide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Frontiers in Zoology</w:t>
      </w:r>
      <w:r w:rsidRPr="005E6B7C">
        <w:rPr>
          <w:rFonts w:asciiTheme="majorHAnsi" w:eastAsia="Yu Mincho" w:hAnsiTheme="majorHAnsi" w:cstheme="majorHAnsi"/>
          <w:noProof/>
          <w:color w:val="000000" w:themeColor="text1"/>
          <w:sz w:val="18"/>
          <w:szCs w:val="18"/>
          <w:lang w:eastAsia="ja-JP"/>
        </w:rPr>
        <w:t>,</w:t>
      </w:r>
      <w:r w:rsidR="001429A1"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(1)</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17.</w:t>
      </w:r>
    </w:p>
    <w:p w14:paraId="5641C936" w14:textId="186B5ABD"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val="vi-VN" w:eastAsia="ja-JP"/>
        </w:rPr>
      </w:pPr>
      <w:r w:rsidRPr="005E6B7C">
        <w:rPr>
          <w:rFonts w:asciiTheme="majorHAnsi" w:eastAsia="Yu Mincho" w:hAnsiTheme="majorHAnsi" w:cstheme="majorHAnsi"/>
          <w:b/>
          <w:bCs/>
          <w:noProof/>
          <w:color w:val="000000" w:themeColor="text1"/>
          <w:sz w:val="18"/>
          <w:szCs w:val="18"/>
          <w:lang w:eastAsia="ja-JP"/>
        </w:rPr>
        <w:t>6.</w:t>
      </w:r>
      <w:r w:rsidRPr="005E6B7C">
        <w:rPr>
          <w:rFonts w:asciiTheme="majorHAnsi" w:eastAsia="Yu Mincho" w:hAnsiTheme="majorHAnsi" w:cstheme="majorHAnsi"/>
          <w:noProof/>
          <w:color w:val="000000" w:themeColor="text1"/>
          <w:sz w:val="18"/>
          <w:szCs w:val="18"/>
          <w:lang w:eastAsia="ja-JP"/>
        </w:rPr>
        <w:tab/>
        <w:t>Hyun T. K., Rim Y., Jang H. J., Kim C. H., Park J., Kumar R., Lee</w:t>
      </w:r>
      <w:r w:rsidRPr="005E6B7C">
        <w:rPr>
          <w:rFonts w:asciiTheme="majorHAnsi" w:eastAsia="Yu Mincho" w:hAnsiTheme="majorHAnsi" w:cstheme="majorHAnsi"/>
          <w:noProof/>
          <w:color w:val="000000" w:themeColor="text1"/>
          <w:sz w:val="18"/>
          <w:szCs w:val="18"/>
          <w:lang w:val="vi-VN" w:eastAsia="ja-JP"/>
        </w:rPr>
        <w:t xml:space="preserve"> S., Kim C. B., Bhak J., Nguyen Q. B., Kim S. W., Lee Y. S.,</w:t>
      </w:r>
      <w:r w:rsidRPr="005E6B7C">
        <w:rPr>
          <w:rFonts w:asciiTheme="majorHAnsi" w:eastAsia="Yu Mincho" w:hAnsiTheme="majorHAnsi" w:cstheme="majorHAnsi"/>
          <w:noProof/>
          <w:color w:val="000000" w:themeColor="text1"/>
          <w:sz w:val="18"/>
          <w:szCs w:val="18"/>
          <w:lang w:eastAsia="ja-JP"/>
        </w:rPr>
        <w:t xml:space="preserve"> Kim J. Y.</w:t>
      </w:r>
      <w:r w:rsidR="001429A1" w:rsidRPr="005E6B7C">
        <w:rPr>
          <w:rFonts w:asciiTheme="majorHAnsi" w:eastAsia="Yu Mincho" w:hAnsiTheme="majorHAnsi" w:cstheme="majorHAnsi"/>
          <w:noProof/>
          <w:color w:val="000000" w:themeColor="text1"/>
          <w:sz w:val="18"/>
          <w:szCs w:val="18"/>
          <w:lang w:eastAsia="ja-JP"/>
        </w:rPr>
        <w:t xml:space="preserve"> (2012)</w:t>
      </w:r>
      <w:r w:rsidRPr="005E6B7C">
        <w:rPr>
          <w:rFonts w:asciiTheme="majorHAnsi" w:eastAsia="Yu Mincho" w:hAnsiTheme="majorHAnsi" w:cstheme="majorHAnsi"/>
          <w:noProof/>
          <w:color w:val="000000" w:themeColor="text1"/>
          <w:sz w:val="18"/>
          <w:szCs w:val="18"/>
          <w:lang w:val="vi-VN"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De novo transcriptome sequencing of </w:t>
      </w:r>
      <w:r w:rsidRPr="005E6B7C">
        <w:rPr>
          <w:rFonts w:asciiTheme="majorHAnsi" w:eastAsia="Yu Mincho" w:hAnsiTheme="majorHAnsi" w:cstheme="majorHAnsi"/>
          <w:i/>
          <w:noProof/>
          <w:color w:val="000000" w:themeColor="text1"/>
          <w:sz w:val="18"/>
          <w:szCs w:val="18"/>
          <w:lang w:eastAsia="ja-JP"/>
        </w:rPr>
        <w:t xml:space="preserve">Momordica cochinchinensis </w:t>
      </w:r>
      <w:r w:rsidRPr="005E6B7C">
        <w:rPr>
          <w:rFonts w:asciiTheme="majorHAnsi" w:eastAsia="Yu Mincho" w:hAnsiTheme="majorHAnsi" w:cstheme="majorHAnsi"/>
          <w:iCs/>
          <w:noProof/>
          <w:color w:val="000000" w:themeColor="text1"/>
          <w:sz w:val="18"/>
          <w:szCs w:val="18"/>
          <w:lang w:eastAsia="ja-JP"/>
        </w:rPr>
        <w:t>to identify genes involved in the carotenoid biosynthesis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Plant Molecular Biology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79</w:t>
      </w:r>
      <w:r w:rsidRPr="005E6B7C">
        <w:rPr>
          <w:rFonts w:asciiTheme="majorHAnsi" w:eastAsia="Yu Mincho" w:hAnsiTheme="majorHAnsi" w:cstheme="majorHAnsi"/>
          <w:noProof/>
          <w:color w:val="000000" w:themeColor="text1"/>
          <w:sz w:val="18"/>
          <w:szCs w:val="18"/>
          <w:lang w:eastAsia="ja-JP"/>
        </w:rPr>
        <w:t>(4-5)</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413-27.</w:t>
      </w:r>
    </w:p>
    <w:p w14:paraId="34D109DD" w14:textId="3C5E009D"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7.</w:t>
      </w:r>
      <w:r w:rsidRPr="005E6B7C">
        <w:rPr>
          <w:rFonts w:asciiTheme="majorHAnsi" w:eastAsia="Yu Mincho" w:hAnsiTheme="majorHAnsi" w:cstheme="majorHAnsi"/>
          <w:noProof/>
          <w:color w:val="000000" w:themeColor="text1"/>
          <w:sz w:val="18"/>
          <w:szCs w:val="18"/>
          <w:lang w:eastAsia="ja-JP"/>
        </w:rPr>
        <w:tab/>
        <w:t>Garalde D. R., Snell E. A., Jachimowicz D., Sipos B., Lloyd J. H., Bruce M., Lloyd</w:t>
      </w:r>
      <w:r w:rsidRPr="005E6B7C">
        <w:rPr>
          <w:rFonts w:asciiTheme="majorHAnsi" w:eastAsia="Yu Mincho" w:hAnsiTheme="majorHAnsi" w:cstheme="majorHAnsi"/>
          <w:noProof/>
          <w:color w:val="000000" w:themeColor="text1"/>
          <w:sz w:val="18"/>
          <w:szCs w:val="18"/>
          <w:lang w:val="vi-VN" w:eastAsia="ja-JP"/>
        </w:rPr>
        <w:t xml:space="preserve"> J., Warland A., Pantic N., Admassu T., Ciccone J., Serra S., Keena J., Martin S., McNeil L., Wallace J., Jayasinghe L., Wright C., Blasco J., Sipos B., Young S., Juul S., Clarke J., </w:t>
      </w:r>
      <w:r w:rsidRPr="005E6B7C">
        <w:rPr>
          <w:rFonts w:asciiTheme="majorHAnsi" w:eastAsia="Yu Mincho" w:hAnsiTheme="majorHAnsi" w:cstheme="majorHAnsi"/>
          <w:noProof/>
          <w:color w:val="000000" w:themeColor="text1"/>
          <w:sz w:val="18"/>
          <w:szCs w:val="18"/>
          <w:lang w:eastAsia="ja-JP"/>
        </w:rPr>
        <w:t>Turner D. J.</w:t>
      </w:r>
      <w:r w:rsidR="001429A1" w:rsidRPr="005E6B7C">
        <w:rPr>
          <w:rFonts w:asciiTheme="majorHAnsi" w:eastAsia="Yu Mincho" w:hAnsiTheme="majorHAnsi" w:cstheme="majorHAnsi"/>
          <w:noProof/>
          <w:color w:val="000000" w:themeColor="text1"/>
          <w:sz w:val="18"/>
          <w:szCs w:val="18"/>
          <w:lang w:eastAsia="ja-JP"/>
        </w:rPr>
        <w:t xml:space="preserve"> (2018)</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Highly parallel direct RNA sequencing on an array of nanopores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Nature Methods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(3)</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201-206.</w:t>
      </w:r>
    </w:p>
    <w:p w14:paraId="527436AE" w14:textId="05D4BF25"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8.</w:t>
      </w:r>
      <w:r w:rsidRPr="005E6B7C">
        <w:rPr>
          <w:rFonts w:asciiTheme="majorHAnsi" w:eastAsia="Yu Mincho" w:hAnsiTheme="majorHAnsi" w:cstheme="majorHAnsi"/>
          <w:noProof/>
          <w:color w:val="000000" w:themeColor="text1"/>
          <w:sz w:val="18"/>
          <w:szCs w:val="18"/>
          <w:lang w:eastAsia="ja-JP"/>
        </w:rPr>
        <w:tab/>
        <w:t>Workman</w:t>
      </w:r>
      <w:r w:rsidRPr="005E6B7C">
        <w:rPr>
          <w:rFonts w:asciiTheme="majorHAnsi" w:eastAsia="Yu Mincho" w:hAnsiTheme="majorHAnsi" w:cstheme="majorHAnsi"/>
          <w:noProof/>
          <w:color w:val="000000" w:themeColor="text1"/>
          <w:sz w:val="18"/>
          <w:szCs w:val="18"/>
          <w:lang w:val="vi-VN" w:eastAsia="ja-JP"/>
        </w:rPr>
        <w:t xml:space="preserve"> E. R.</w:t>
      </w:r>
      <w:r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val="vi-VN" w:eastAsia="ja-JP"/>
        </w:rPr>
        <w:t xml:space="preserve"> Tang D. A., Tang S. P., Jain M., Tyson </w:t>
      </w:r>
      <w:r w:rsidRPr="005E6B7C">
        <w:rPr>
          <w:rFonts w:asciiTheme="majorHAnsi" w:eastAsia="Yu Mincho" w:hAnsiTheme="majorHAnsi" w:cstheme="majorHAnsi"/>
          <w:noProof/>
          <w:color w:val="000000" w:themeColor="text1"/>
          <w:sz w:val="18"/>
          <w:szCs w:val="18"/>
          <w:lang w:eastAsia="ja-JP"/>
        </w:rPr>
        <w:t>R. J., Razaghi R., Zuzarte C. P., Gilpatrick T., Payne A., Quick J, Sadowski N., Holmes N., Jesus G. J., Jones L. K., Soulette M. C., Snutch P. T., Loman N., Paten L., Loose M., Simpson T. J., Olsen H. H, Brooks N. A., Akeson M., Timp W.</w:t>
      </w:r>
      <w:r w:rsidR="001429A1" w:rsidRPr="005E6B7C">
        <w:rPr>
          <w:rFonts w:asciiTheme="majorHAnsi" w:eastAsia="Yu Mincho" w:hAnsiTheme="majorHAnsi" w:cstheme="majorHAnsi"/>
          <w:noProof/>
          <w:color w:val="000000" w:themeColor="text1"/>
          <w:sz w:val="18"/>
          <w:szCs w:val="18"/>
          <w:lang w:eastAsia="ja-JP"/>
        </w:rPr>
        <w:t xml:space="preserve"> (2019)</w:t>
      </w:r>
      <w:r w:rsidRPr="005E6B7C">
        <w:rPr>
          <w:rFonts w:asciiTheme="majorHAnsi" w:eastAsia="Yu Mincho" w:hAnsiTheme="majorHAnsi" w:cstheme="majorHAnsi"/>
          <w:noProof/>
          <w:color w:val="000000" w:themeColor="text1"/>
          <w:sz w:val="18"/>
          <w:szCs w:val="18"/>
          <w:lang w:eastAsia="ja-JP"/>
        </w:rPr>
        <w:t xml:space="preserve">, Nanopore native RNA sequencing of a human poly(A) transcriptome. </w:t>
      </w:r>
      <w:r w:rsidRPr="005E6B7C">
        <w:rPr>
          <w:rFonts w:asciiTheme="majorHAnsi" w:eastAsia="Yu Mincho" w:hAnsiTheme="majorHAnsi" w:cstheme="majorHAnsi"/>
          <w:i/>
          <w:noProof/>
          <w:color w:val="000000" w:themeColor="text1"/>
          <w:sz w:val="18"/>
          <w:szCs w:val="18"/>
          <w:lang w:eastAsia="ja-JP"/>
        </w:rPr>
        <w:t>Nature Methods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(12)</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1297-1305.</w:t>
      </w:r>
    </w:p>
    <w:p w14:paraId="4F62916B" w14:textId="5564807E"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9.</w:t>
      </w:r>
      <w:r w:rsidRPr="005E6B7C">
        <w:rPr>
          <w:rFonts w:asciiTheme="majorHAnsi" w:eastAsia="Yu Mincho" w:hAnsiTheme="majorHAnsi" w:cstheme="majorHAnsi"/>
          <w:noProof/>
          <w:color w:val="000000" w:themeColor="text1"/>
          <w:sz w:val="18"/>
          <w:szCs w:val="18"/>
          <w:lang w:eastAsia="ja-JP"/>
        </w:rPr>
        <w:tab/>
        <w:t>Yu F., Qi H., Gao L., Luo S., Njeri D. R., Ke Y., Wu P., Yang P.</w:t>
      </w:r>
      <w:r w:rsidR="001429A1" w:rsidRPr="005E6B7C">
        <w:rPr>
          <w:rFonts w:asciiTheme="majorHAnsi" w:eastAsia="Yu Mincho" w:hAnsiTheme="majorHAnsi" w:cstheme="majorHAnsi"/>
          <w:noProof/>
          <w:color w:val="000000" w:themeColor="text1"/>
          <w:sz w:val="18"/>
          <w:szCs w:val="18"/>
          <w:lang w:eastAsia="ja-JP"/>
        </w:rPr>
        <w:t xml:space="preserve"> (2023)</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Identifying RNA modifications by direct RNA sequencing reveals complexity of epitranscriptomic dynamics in rice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Genomics, </w:t>
      </w:r>
      <w:r w:rsidRPr="005E6B7C">
        <w:rPr>
          <w:rFonts w:asciiTheme="majorHAnsi" w:eastAsia="Yu Mincho" w:hAnsiTheme="majorHAnsi" w:cstheme="majorHAnsi"/>
          <w:i/>
          <w:iCs/>
          <w:noProof/>
          <w:color w:val="000000" w:themeColor="text1"/>
          <w:sz w:val="18"/>
          <w:szCs w:val="18"/>
          <w:lang w:eastAsia="ja-JP"/>
        </w:rPr>
        <w:t>Proteomics &amp; Bioinformatics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21</w:t>
      </w:r>
      <w:r w:rsidRPr="005E6B7C">
        <w:rPr>
          <w:rFonts w:asciiTheme="majorHAnsi" w:eastAsia="Yu Mincho" w:hAnsiTheme="majorHAnsi" w:cstheme="majorHAnsi"/>
          <w:noProof/>
          <w:color w:val="000000" w:themeColor="text1"/>
          <w:sz w:val="18"/>
          <w:szCs w:val="18"/>
          <w:lang w:eastAsia="ja-JP"/>
        </w:rPr>
        <w:t>(4)</w:t>
      </w:r>
      <w:r w:rsidR="001429A1"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788-804.</w:t>
      </w:r>
    </w:p>
    <w:p w14:paraId="13719868" w14:textId="3826A1CC"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ab/>
        <w:t>Xuhui L., Weiwei C., Siqi L., Junteng F., Hang Z., Xiangbo Z., Yongwen Q.</w:t>
      </w:r>
      <w:r w:rsidR="001429A1" w:rsidRPr="005E6B7C">
        <w:rPr>
          <w:rFonts w:asciiTheme="majorHAnsi" w:eastAsia="Yu Mincho" w:hAnsiTheme="majorHAnsi" w:cstheme="majorHAnsi"/>
          <w:noProof/>
          <w:color w:val="000000" w:themeColor="text1"/>
          <w:sz w:val="18"/>
          <w:szCs w:val="18"/>
          <w:lang w:eastAsia="ja-JP"/>
        </w:rPr>
        <w:t xml:space="preserve"> (2022)</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Full-length transcriptome analysis of maize root tips reveals the molecular mechanism of cold stress during the seedling stage</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BMC Plant Biology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22</w:t>
      </w:r>
      <w:r w:rsidRPr="005E6B7C">
        <w:rPr>
          <w:rFonts w:asciiTheme="majorHAnsi" w:eastAsia="Yu Mincho" w:hAnsiTheme="majorHAnsi" w:cstheme="majorHAnsi"/>
          <w:noProof/>
          <w:color w:val="000000" w:themeColor="text1"/>
          <w:sz w:val="18"/>
          <w:szCs w:val="18"/>
          <w:lang w:eastAsia="ja-JP"/>
        </w:rPr>
        <w:t>(1)</w:t>
      </w:r>
      <w:r w:rsidR="00C5108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398.</w:t>
      </w:r>
    </w:p>
    <w:p w14:paraId="07F07BCA" w14:textId="421522D7"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11.</w:t>
      </w:r>
      <w:r w:rsidRPr="005E6B7C">
        <w:rPr>
          <w:rFonts w:asciiTheme="majorHAnsi" w:eastAsia="Yu Mincho" w:hAnsiTheme="majorHAnsi" w:cstheme="majorHAnsi"/>
          <w:noProof/>
          <w:color w:val="000000" w:themeColor="text1"/>
          <w:sz w:val="18"/>
          <w:szCs w:val="18"/>
          <w:lang w:eastAsia="ja-JP"/>
        </w:rPr>
        <w:tab/>
        <w:t>Wang S., Shi Y., Zhou Y., Hu W., Liu F.</w:t>
      </w:r>
      <w:r w:rsidR="00C5108F" w:rsidRPr="005E6B7C">
        <w:rPr>
          <w:rFonts w:asciiTheme="majorHAnsi" w:eastAsia="Yu Mincho" w:hAnsiTheme="majorHAnsi" w:cstheme="majorHAnsi"/>
          <w:noProof/>
          <w:color w:val="000000" w:themeColor="text1"/>
          <w:sz w:val="18"/>
          <w:szCs w:val="18"/>
          <w:lang w:eastAsia="ja-JP"/>
        </w:rPr>
        <w:t xml:space="preserve"> (2024)</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 xml:space="preserve">Full-length transcriptome sequencing of </w:t>
      </w:r>
      <w:r w:rsidRPr="005E6B7C">
        <w:rPr>
          <w:rFonts w:asciiTheme="majorHAnsi" w:eastAsia="Yu Mincho" w:hAnsiTheme="majorHAnsi" w:cstheme="majorHAnsi"/>
          <w:i/>
          <w:noProof/>
          <w:color w:val="000000" w:themeColor="text1"/>
          <w:sz w:val="18"/>
          <w:szCs w:val="18"/>
          <w:lang w:eastAsia="ja-JP"/>
        </w:rPr>
        <w:t>Arabidopsis</w:t>
      </w:r>
      <w:r w:rsidRPr="005E6B7C">
        <w:rPr>
          <w:rFonts w:asciiTheme="majorHAnsi" w:eastAsia="Yu Mincho" w:hAnsiTheme="majorHAnsi" w:cstheme="majorHAnsi"/>
          <w:iCs/>
          <w:noProof/>
          <w:color w:val="000000" w:themeColor="text1"/>
          <w:sz w:val="18"/>
          <w:szCs w:val="18"/>
          <w:lang w:eastAsia="ja-JP"/>
        </w:rPr>
        <w:t xml:space="preserve"> plants provided new insights into the autophagic regulation of photosynthesis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Scientific Reports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(1)</w:t>
      </w:r>
      <w:r w:rsidR="00C5108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14588.</w:t>
      </w:r>
    </w:p>
    <w:p w14:paraId="2FC9BC17" w14:textId="14BD4F4C"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12.</w:t>
      </w:r>
      <w:r w:rsidRPr="005E6B7C">
        <w:rPr>
          <w:rFonts w:asciiTheme="majorHAnsi" w:eastAsia="Yu Mincho" w:hAnsiTheme="majorHAnsi" w:cstheme="majorHAnsi"/>
          <w:noProof/>
          <w:color w:val="000000" w:themeColor="text1"/>
          <w:sz w:val="18"/>
          <w:szCs w:val="18"/>
          <w:lang w:eastAsia="ja-JP"/>
        </w:rPr>
        <w:tab/>
        <w:t>Soneson C., Yao Y., Bratus-Neuenschwander A., Patrignani A., Robinson M. D., Hussain S.</w:t>
      </w:r>
      <w:r w:rsidR="00C5108F" w:rsidRPr="005E6B7C">
        <w:rPr>
          <w:rFonts w:asciiTheme="majorHAnsi" w:eastAsia="Yu Mincho" w:hAnsiTheme="majorHAnsi" w:cstheme="majorHAnsi"/>
          <w:noProof/>
          <w:color w:val="000000" w:themeColor="text1"/>
          <w:sz w:val="18"/>
          <w:szCs w:val="18"/>
          <w:lang w:eastAsia="ja-JP"/>
        </w:rPr>
        <w:t xml:space="preserve"> (2019)</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A comprehensive examination of Nanopore native RNA sequencing for characterization of complex transcriptomes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Nature Communications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10</w:t>
      </w:r>
      <w:r w:rsidRPr="005E6B7C">
        <w:rPr>
          <w:rFonts w:asciiTheme="majorHAnsi" w:eastAsia="Yu Mincho" w:hAnsiTheme="majorHAnsi" w:cstheme="majorHAnsi"/>
          <w:noProof/>
          <w:color w:val="000000" w:themeColor="text1"/>
          <w:sz w:val="18"/>
          <w:szCs w:val="18"/>
          <w:lang w:eastAsia="ja-JP"/>
        </w:rPr>
        <w:t>(1)</w:t>
      </w:r>
      <w:r w:rsidR="00C5108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3359.</w:t>
      </w:r>
    </w:p>
    <w:p w14:paraId="694191AC" w14:textId="7D4A678A"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13.</w:t>
      </w:r>
      <w:r w:rsidRPr="005E6B7C">
        <w:rPr>
          <w:rFonts w:asciiTheme="majorHAnsi" w:eastAsia="Yu Mincho" w:hAnsiTheme="majorHAnsi" w:cstheme="majorHAnsi"/>
          <w:noProof/>
          <w:color w:val="000000" w:themeColor="text1"/>
          <w:sz w:val="18"/>
          <w:szCs w:val="18"/>
          <w:lang w:eastAsia="ja-JP"/>
        </w:rPr>
        <w:tab/>
        <w:t>Martin M.</w:t>
      </w:r>
      <w:r w:rsidR="00C5108F" w:rsidRPr="005E6B7C">
        <w:rPr>
          <w:rFonts w:asciiTheme="majorHAnsi" w:eastAsia="Yu Mincho" w:hAnsiTheme="majorHAnsi" w:cstheme="majorHAnsi"/>
          <w:noProof/>
          <w:color w:val="000000" w:themeColor="text1"/>
          <w:sz w:val="18"/>
          <w:szCs w:val="18"/>
          <w:lang w:eastAsia="ja-JP"/>
        </w:rPr>
        <w:t xml:space="preserve"> (2011)</w:t>
      </w:r>
      <w:r w:rsidRPr="005E6B7C">
        <w:rPr>
          <w:rFonts w:asciiTheme="majorHAnsi" w:eastAsia="Yu Mincho" w:hAnsiTheme="majorHAnsi" w:cstheme="majorHAnsi"/>
          <w:noProof/>
          <w:color w:val="000000" w:themeColor="text1"/>
          <w:sz w:val="18"/>
          <w:szCs w:val="18"/>
          <w:lang w:eastAsia="ja-JP"/>
        </w:rPr>
        <w:t xml:space="preserve">, Cutadapt removes adapter sequences from high-throughput sequencing reads. </w:t>
      </w:r>
      <w:r w:rsidRPr="005E6B7C">
        <w:rPr>
          <w:rFonts w:asciiTheme="majorHAnsi" w:eastAsia="Yu Mincho" w:hAnsiTheme="majorHAnsi" w:cstheme="majorHAnsi"/>
          <w:i/>
          <w:iCs/>
          <w:noProof/>
          <w:color w:val="000000" w:themeColor="text1"/>
          <w:sz w:val="18"/>
          <w:szCs w:val="18"/>
          <w:lang w:eastAsia="ja-JP"/>
        </w:rPr>
        <w:t>EMBnet.journal</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17</w:t>
      </w:r>
      <w:r w:rsidRPr="005E6B7C">
        <w:rPr>
          <w:rFonts w:asciiTheme="majorHAnsi" w:eastAsia="Yu Mincho" w:hAnsiTheme="majorHAnsi" w:cstheme="majorHAnsi"/>
          <w:noProof/>
          <w:color w:val="000000" w:themeColor="text1"/>
          <w:sz w:val="18"/>
          <w:szCs w:val="18"/>
          <w:lang w:eastAsia="ja-JP"/>
        </w:rPr>
        <w:t>(1)</w:t>
      </w:r>
      <w:r w:rsidR="00C5108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10-12.</w:t>
      </w:r>
    </w:p>
    <w:p w14:paraId="137E7317" w14:textId="6AF16C81"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ab/>
        <w:t>Nip K. M., Hafezqorani S., Gagalova K. K., Chiu R., Yang C., Warren R. L., Birol I.</w:t>
      </w:r>
      <w:r w:rsidR="00C5108F" w:rsidRPr="005E6B7C">
        <w:rPr>
          <w:rFonts w:asciiTheme="majorHAnsi" w:eastAsia="Yu Mincho" w:hAnsiTheme="majorHAnsi" w:cstheme="majorHAnsi"/>
          <w:noProof/>
          <w:color w:val="000000" w:themeColor="text1"/>
          <w:sz w:val="18"/>
          <w:szCs w:val="18"/>
          <w:lang w:eastAsia="ja-JP"/>
        </w:rPr>
        <w:t xml:space="preserve"> (2023)</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Reference-free assembly of long-read transcriptome sequencing data with RNA-Bloom2.</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Nature Communications</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14</w:t>
      </w:r>
      <w:r w:rsidRPr="005E6B7C">
        <w:rPr>
          <w:rFonts w:asciiTheme="majorHAnsi" w:eastAsia="Yu Mincho" w:hAnsiTheme="majorHAnsi" w:cstheme="majorHAnsi"/>
          <w:noProof/>
          <w:color w:val="000000" w:themeColor="text1"/>
          <w:sz w:val="18"/>
          <w:szCs w:val="18"/>
          <w:lang w:eastAsia="ja-JP"/>
        </w:rPr>
        <w:t>(1) 2940.</w:t>
      </w:r>
    </w:p>
    <w:p w14:paraId="7511F9A4" w14:textId="51F5AF51"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15.</w:t>
      </w:r>
      <w:r w:rsidRPr="005E6B7C">
        <w:rPr>
          <w:rFonts w:asciiTheme="majorHAnsi" w:eastAsia="Yu Mincho" w:hAnsiTheme="majorHAnsi" w:cstheme="majorHAnsi"/>
          <w:noProof/>
          <w:color w:val="000000" w:themeColor="text1"/>
          <w:sz w:val="18"/>
          <w:szCs w:val="18"/>
          <w:lang w:eastAsia="ja-JP"/>
        </w:rPr>
        <w:tab/>
        <w:t>Fang Y., Chen G., Chen F., Hu E., Dong X., Li Z., He L., Sun Y., Qiu L., Xu H., Cai Z., Liu X.</w:t>
      </w:r>
      <w:r w:rsidR="00C5108F" w:rsidRPr="005E6B7C">
        <w:rPr>
          <w:rFonts w:asciiTheme="majorHAnsi" w:eastAsia="Yu Mincho" w:hAnsiTheme="majorHAnsi" w:cstheme="majorHAnsi"/>
          <w:noProof/>
          <w:color w:val="000000" w:themeColor="text1"/>
          <w:sz w:val="18"/>
          <w:szCs w:val="18"/>
          <w:lang w:eastAsia="ja-JP"/>
        </w:rPr>
        <w:t xml:space="preserve"> (2011)</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Accurate transcriptome assembly by Nanopore RNA sequencing reveals novel functional transcripts in hepatocellular carcinoma</w:t>
      </w:r>
      <w:r w:rsidR="007A051F" w:rsidRPr="005E6B7C">
        <w:rPr>
          <w:rFonts w:asciiTheme="majorHAnsi" w:eastAsia="Yu Mincho" w:hAnsiTheme="majorHAnsi" w:cstheme="majorHAnsi"/>
          <w:noProof/>
          <w:color w:val="000000" w:themeColor="text1"/>
          <w:sz w:val="18"/>
          <w:szCs w:val="18"/>
          <w:lang w:eastAsia="ja-JP"/>
        </w:rPr>
        <w:t>.</w:t>
      </w:r>
      <w:r w:rsidR="00C5108F" w:rsidRPr="005E6B7C">
        <w:rPr>
          <w:rFonts w:asciiTheme="majorHAnsi" w:eastAsia="Yu Mincho" w:hAnsiTheme="majorHAnsi" w:cstheme="majorHAnsi"/>
          <w:i/>
          <w:noProof/>
          <w:color w:val="000000" w:themeColor="text1"/>
          <w:sz w:val="18"/>
          <w:szCs w:val="18"/>
          <w:lang w:eastAsia="ja-JP"/>
        </w:rPr>
        <w:t xml:space="preserve"> Cancer Science</w:t>
      </w:r>
      <w:r w:rsidR="00C5108F" w:rsidRPr="005E6B7C">
        <w:rPr>
          <w:rFonts w:asciiTheme="majorHAnsi" w:eastAsia="Yu Mincho" w:hAnsiTheme="majorHAnsi" w:cstheme="majorHAnsi"/>
          <w:noProof/>
          <w:color w:val="000000" w:themeColor="text1"/>
          <w:sz w:val="18"/>
          <w:szCs w:val="18"/>
          <w:lang w:eastAsia="ja-JP"/>
        </w:rPr>
        <w:t>,</w:t>
      </w:r>
      <w:r w:rsidR="00C5108F" w:rsidRPr="005E6B7C">
        <w:rPr>
          <w:rFonts w:asciiTheme="majorHAnsi" w:eastAsia="Yu Mincho" w:hAnsiTheme="majorHAnsi" w:cstheme="majorHAnsi"/>
          <w:i/>
          <w:noProof/>
          <w:color w:val="000000" w:themeColor="text1"/>
          <w:sz w:val="18"/>
          <w:szCs w:val="18"/>
          <w:lang w:eastAsia="ja-JP"/>
        </w:rPr>
        <w:t xml:space="preserve"> </w:t>
      </w:r>
      <w:r w:rsidRPr="005E6B7C">
        <w:rPr>
          <w:rFonts w:asciiTheme="majorHAnsi" w:eastAsia="Yu Mincho" w:hAnsiTheme="majorHAnsi" w:cstheme="majorHAnsi"/>
          <w:noProof/>
          <w:color w:val="000000" w:themeColor="text1"/>
          <w:sz w:val="18"/>
          <w:szCs w:val="18"/>
          <w:lang w:eastAsia="ja-JP"/>
        </w:rPr>
        <w:t>112(9): p. 3555-3568.</w:t>
      </w:r>
    </w:p>
    <w:p w14:paraId="4DA302EF" w14:textId="602317FC" w:rsidR="00E049CB" w:rsidRPr="005E6B7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16.</w:t>
      </w:r>
      <w:r w:rsidRPr="005E6B7C">
        <w:rPr>
          <w:rFonts w:asciiTheme="majorHAnsi" w:eastAsia="Yu Mincho" w:hAnsiTheme="majorHAnsi" w:cstheme="majorHAnsi"/>
          <w:noProof/>
          <w:color w:val="000000" w:themeColor="text1"/>
          <w:sz w:val="18"/>
          <w:szCs w:val="18"/>
          <w:lang w:eastAsia="ja-JP"/>
        </w:rPr>
        <w:tab/>
        <w:t>Viscardi M. J., Arribere J. A.</w:t>
      </w:r>
      <w:r w:rsidR="00C5108F" w:rsidRPr="005E6B7C">
        <w:rPr>
          <w:rFonts w:asciiTheme="majorHAnsi" w:eastAsia="Yu Mincho" w:hAnsiTheme="majorHAnsi" w:cstheme="majorHAnsi"/>
          <w:noProof/>
          <w:color w:val="000000" w:themeColor="text1"/>
          <w:sz w:val="18"/>
          <w:szCs w:val="18"/>
          <w:lang w:eastAsia="ja-JP"/>
        </w:rPr>
        <w:t xml:space="preserve"> (2022)</w:t>
      </w:r>
      <w:r w:rsidRPr="005E6B7C">
        <w:rPr>
          <w:rFonts w:asciiTheme="majorHAnsi" w:eastAsia="Yu Mincho" w:hAnsiTheme="majorHAnsi" w:cstheme="majorHAnsi"/>
          <w:noProof/>
          <w:color w:val="000000" w:themeColor="text1"/>
          <w:sz w:val="18"/>
          <w:szCs w:val="18"/>
          <w:lang w:eastAsia="ja-JP"/>
        </w:rPr>
        <w:t>, Poly(a) selection introduces bias and undue noise in direct RNA-sequencing</w:t>
      </w:r>
      <w:r w:rsidR="00C5108F" w:rsidRPr="005E6B7C">
        <w:rPr>
          <w:rFonts w:asciiTheme="majorHAnsi" w:eastAsia="Yu Mincho" w:hAnsiTheme="majorHAnsi" w:cstheme="majorHAns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w:t>
      </w:r>
      <w:r w:rsidRPr="005E6B7C">
        <w:rPr>
          <w:rFonts w:asciiTheme="majorHAnsi" w:eastAsia="Yu Mincho" w:hAnsiTheme="majorHAnsi" w:cstheme="majorHAnsi"/>
          <w:i/>
          <w:iCs/>
          <w:noProof/>
          <w:color w:val="000000" w:themeColor="text1"/>
          <w:sz w:val="18"/>
          <w:szCs w:val="18"/>
          <w:lang w:eastAsia="ja-JP"/>
        </w:rPr>
        <w:t>BMC Genomics</w:t>
      </w:r>
      <w:r w:rsidRPr="005E6B7C">
        <w:rPr>
          <w:rFonts w:asciiTheme="majorHAnsi" w:eastAsia="Yu Mincho" w:hAnsiTheme="majorHAnsi" w:cstheme="majorHAnsi"/>
          <w:noProof/>
          <w:color w:val="000000" w:themeColor="text1"/>
          <w:sz w:val="18"/>
          <w:szCs w:val="18"/>
          <w:lang w:eastAsia="ja-JP"/>
        </w:rPr>
        <w:t>, 23, 530.</w:t>
      </w:r>
    </w:p>
    <w:p w14:paraId="01B47C7F" w14:textId="7EB3D3CF" w:rsidR="00E049CB" w:rsidRPr="0018773C" w:rsidRDefault="00E049CB" w:rsidP="008C0D47">
      <w:pPr>
        <w:tabs>
          <w:tab w:val="left" w:pos="270"/>
          <w:tab w:val="left" w:pos="450"/>
          <w:tab w:val="left" w:pos="540"/>
          <w:tab w:val="left" w:pos="9270"/>
        </w:tabs>
        <w:spacing w:line="200" w:lineRule="exact"/>
        <w:jc w:val="both"/>
        <w:rPr>
          <w:rFonts w:asciiTheme="majorHAnsi" w:eastAsia="Yu Mincho" w:hAnsiTheme="majorHAnsi" w:cstheme="majorHAnsi"/>
          <w:noProof/>
          <w:color w:val="000000" w:themeColor="text1"/>
          <w:sz w:val="18"/>
          <w:szCs w:val="18"/>
          <w:lang w:eastAsia="ja-JP"/>
        </w:rPr>
      </w:pPr>
      <w:r w:rsidRPr="005E6B7C">
        <w:rPr>
          <w:rFonts w:asciiTheme="majorHAnsi" w:eastAsia="Yu Mincho" w:hAnsiTheme="majorHAnsi" w:cstheme="majorHAnsi"/>
          <w:b/>
          <w:bCs/>
          <w:noProof/>
          <w:color w:val="000000" w:themeColor="text1"/>
          <w:sz w:val="18"/>
          <w:szCs w:val="18"/>
          <w:lang w:eastAsia="ja-JP"/>
        </w:rPr>
        <w:t>1</w:t>
      </w:r>
      <w:r w:rsidRPr="005E6B7C">
        <w:rPr>
          <w:rFonts w:asciiTheme="majorHAnsi" w:eastAsia="Yu Mincho" w:hAnsiTheme="majorHAnsi" w:cstheme="majorHAnsi"/>
          <w:b/>
          <w:bCs/>
          <w:noProof/>
          <w:color w:val="000000" w:themeColor="text1"/>
          <w:sz w:val="18"/>
          <w:szCs w:val="18"/>
          <w:lang w:val="vi-VN" w:eastAsia="ja-JP"/>
        </w:rPr>
        <w:t>7</w:t>
      </w:r>
      <w:r w:rsidRPr="005E6B7C">
        <w:rPr>
          <w:rFonts w:asciiTheme="majorHAnsi" w:eastAsia="Yu Mincho" w:hAnsiTheme="majorHAnsi" w:cstheme="majorHAnsi"/>
          <w:b/>
          <w:bCs/>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ab/>
        <w:t>Giuliano G., Tavazza R., Diretto G., Beyer P., Taylor M. A.</w:t>
      </w:r>
      <w:r w:rsidR="00C5108F" w:rsidRPr="005E6B7C">
        <w:rPr>
          <w:rFonts w:asciiTheme="majorHAnsi" w:eastAsia="Yu Mincho" w:hAnsiTheme="majorHAnsi" w:cstheme="majorHAnsi"/>
          <w:noProof/>
          <w:color w:val="000000" w:themeColor="text1"/>
          <w:sz w:val="18"/>
          <w:szCs w:val="18"/>
          <w:lang w:eastAsia="ja-JP"/>
        </w:rPr>
        <w:t xml:space="preserve"> (2008)</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Cs/>
          <w:noProof/>
          <w:color w:val="000000" w:themeColor="text1"/>
          <w:sz w:val="18"/>
          <w:szCs w:val="18"/>
          <w:lang w:eastAsia="ja-JP"/>
        </w:rPr>
        <w:t>Metabolic engineering of carotenoid biosynthesis in plants</w:t>
      </w:r>
      <w:r w:rsidRPr="005E6B7C">
        <w:rPr>
          <w:rFonts w:asciiTheme="majorHAnsi" w:eastAsia="Yu Mincho" w:hAnsiTheme="majorHAnsi" w:cstheme="majorHAnsi"/>
          <w:i/>
          <w:noProof/>
          <w:color w:val="000000" w:themeColor="text1"/>
          <w:sz w:val="18"/>
          <w:szCs w:val="18"/>
          <w:lang w:eastAsia="ja-JP"/>
        </w:rPr>
        <w:t>.</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i/>
          <w:iCs/>
          <w:noProof/>
          <w:color w:val="000000" w:themeColor="text1"/>
          <w:sz w:val="18"/>
          <w:szCs w:val="18"/>
          <w:lang w:eastAsia="ja-JP"/>
        </w:rPr>
        <w:t>Trends in Biotechnology</w:t>
      </w:r>
      <w:r w:rsidRPr="005E6B7C">
        <w:rPr>
          <w:rFonts w:asciiTheme="majorHAnsi" w:eastAsia="Yu Mincho" w:hAnsiTheme="majorHAnsi" w:cstheme="majorHAnsi"/>
          <w:noProof/>
          <w:color w:val="000000" w:themeColor="text1"/>
          <w:sz w:val="18"/>
          <w:szCs w:val="18"/>
          <w:lang w:eastAsia="ja-JP"/>
        </w:rPr>
        <w:t xml:space="preserve">, </w:t>
      </w:r>
      <w:r w:rsidRPr="005E6B7C">
        <w:rPr>
          <w:rFonts w:asciiTheme="majorHAnsi" w:eastAsia="Yu Mincho" w:hAnsiTheme="majorHAnsi" w:cstheme="majorHAnsi"/>
          <w:bCs/>
          <w:noProof/>
          <w:color w:val="000000" w:themeColor="text1"/>
          <w:sz w:val="18"/>
          <w:szCs w:val="18"/>
          <w:lang w:eastAsia="ja-JP"/>
        </w:rPr>
        <w:t>26</w:t>
      </w:r>
      <w:r w:rsidRPr="005E6B7C">
        <w:rPr>
          <w:rFonts w:asciiTheme="majorHAnsi" w:eastAsia="Yu Mincho" w:hAnsiTheme="majorHAnsi" w:cstheme="majorHAnsi"/>
          <w:noProof/>
          <w:color w:val="000000" w:themeColor="text1"/>
          <w:sz w:val="18"/>
          <w:szCs w:val="18"/>
          <w:lang w:eastAsia="ja-JP"/>
        </w:rPr>
        <w:t>(3), 139-145.</w:t>
      </w:r>
    </w:p>
    <w:p w14:paraId="0418B64F" w14:textId="77777777" w:rsidR="00685C8E" w:rsidRPr="0018773C" w:rsidRDefault="00685C8E" w:rsidP="008C0D47">
      <w:pPr>
        <w:ind w:right="-20"/>
        <w:jc w:val="both"/>
        <w:rPr>
          <w:rFonts w:asciiTheme="majorHAnsi" w:hAnsiTheme="majorHAnsi" w:cstheme="majorHAnsi"/>
          <w:color w:val="000000" w:themeColor="text1"/>
        </w:rPr>
      </w:pPr>
      <w:bookmarkStart w:id="58" w:name="baep-author-id8"/>
      <w:bookmarkStart w:id="59" w:name="baep-author-id9"/>
      <w:bookmarkStart w:id="60" w:name="baep-author-id10"/>
      <w:bookmarkStart w:id="61" w:name="baep-author-id11"/>
      <w:bookmarkStart w:id="62" w:name="baep-author-id12"/>
      <w:bookmarkStart w:id="63" w:name="baep-author-id13"/>
      <w:bookmarkEnd w:id="58"/>
      <w:bookmarkEnd w:id="59"/>
      <w:bookmarkEnd w:id="60"/>
      <w:bookmarkEnd w:id="61"/>
      <w:bookmarkEnd w:id="62"/>
      <w:bookmarkEnd w:id="63"/>
    </w:p>
    <w:sectPr w:rsidR="00685C8E" w:rsidRPr="0018773C" w:rsidSect="002206BB">
      <w:type w:val="continuous"/>
      <w:pgSz w:w="10773" w:h="15309" w:code="9"/>
      <w:pgMar w:top="907" w:right="851" w:bottom="1418" w:left="851" w:header="397" w:footer="851"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Ha Do" w:date="2026-03-27T10:35:00Z" w:initials="HD">
    <w:p w14:paraId="05124CCC" w14:textId="77777777" w:rsidR="007B291D" w:rsidRDefault="007B291D" w:rsidP="00FB7B36">
      <w:pPr>
        <w:pStyle w:val="CommentText"/>
      </w:pPr>
      <w:r>
        <w:rPr>
          <w:rStyle w:val="CommentReference"/>
        </w:rPr>
        <w:annotationRef/>
      </w:r>
      <w:r>
        <w:rPr>
          <w:lang w:val="en-US"/>
        </w:rPr>
        <w:t>Check</w:t>
      </w:r>
      <w:r>
        <w:t xml:space="preserve"> lại đ</w:t>
      </w:r>
      <w:r>
        <w:rPr>
          <w:rFonts w:hint="cs"/>
        </w:rPr>
        <w:t>ơ</w:t>
      </w:r>
      <w:r>
        <w:t xml:space="preserve">n </w:t>
      </w:r>
      <w:r>
        <w:rPr>
          <w:lang w:val="en-US"/>
        </w:rPr>
        <w:t>vị</w:t>
      </w:r>
      <w:r>
        <w:t xml:space="preserve"> </w:t>
      </w:r>
      <w:r>
        <w:rPr>
          <w:lang w:val="en-US"/>
        </w:rPr>
        <w:t>ug</w:t>
      </w:r>
      <w:r>
        <w:t>/</w:t>
      </w:r>
      <w:r>
        <w:rPr>
          <w:lang w:val="en-US"/>
        </w:rPr>
        <w:t>ml</w:t>
      </w:r>
      <w:r>
        <w:t xml:space="preserve"> </w:t>
      </w:r>
      <w:r>
        <w:rPr>
          <w:lang w:val="en-US"/>
        </w:rPr>
        <w:t>hay</w:t>
      </w:r>
      <w:r>
        <w:t xml:space="preserve"> </w:t>
      </w:r>
      <w:r>
        <w:rPr>
          <w:lang w:val="en-US"/>
        </w:rPr>
        <w:t>là</w:t>
      </w:r>
      <w:r>
        <w:t xml:space="preserve"> </w:t>
      </w:r>
      <w:r>
        <w:rPr>
          <w:lang w:val="en-US"/>
        </w:rPr>
        <w:t>mg</w:t>
      </w:r>
      <w:r>
        <w:t>/</w:t>
      </w:r>
      <w:r>
        <w:rPr>
          <w:lang w:val="en-US"/>
        </w:rPr>
        <w:t>ml</w:t>
      </w:r>
    </w:p>
  </w:comment>
  <w:comment w:id="25" w:author="Ha Do" w:date="2026-03-27T23:21:00Z" w:initials="HD">
    <w:p w14:paraId="70024D89" w14:textId="1FC0C514" w:rsidR="007B291D" w:rsidRDefault="007B291D" w:rsidP="00055D14">
      <w:pPr>
        <w:pStyle w:val="CommentText"/>
      </w:pPr>
      <w:r>
        <w:rPr>
          <w:rStyle w:val="CommentReference"/>
        </w:rPr>
        <w:annotationRef/>
      </w:r>
      <w:r>
        <w:t xml:space="preserve">Định dạng cùng </w:t>
      </w:r>
      <w:r>
        <w:rPr>
          <w:lang w:val="en-US"/>
        </w:rPr>
        <w:t>1</w:t>
      </w:r>
      <w:r>
        <w:t xml:space="preserve"> </w:t>
      </w:r>
      <w:r>
        <w:rPr>
          <w:lang w:val="en-US"/>
        </w:rPr>
        <w:t>hàng</w:t>
      </w:r>
    </w:p>
  </w:comment>
  <w:comment w:id="46" w:author="Ha Do" w:date="2026-03-29T14:57:00Z" w:initials="HD">
    <w:p w14:paraId="0F79692D" w14:textId="77777777" w:rsidR="007B291D" w:rsidRDefault="007B291D" w:rsidP="00843562">
      <w:pPr>
        <w:pStyle w:val="CommentText"/>
      </w:pPr>
      <w:r>
        <w:rPr>
          <w:rStyle w:val="CommentReference"/>
        </w:rPr>
        <w:annotationRef/>
      </w:r>
      <w:r>
        <w:t>ND Là gì?</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124CCC" w15:done="0"/>
  <w15:commentEx w15:paraId="70024D89" w15:done="0"/>
  <w15:commentEx w15:paraId="0F7969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7F54F2" w16cex:dateUtc="2026-03-27T03:35:00Z"/>
  <w16cex:commentExtensible w16cex:durableId="020263FE" w16cex:dateUtc="2026-03-27T16:21:00Z"/>
  <w16cex:commentExtensible w16cex:durableId="6115DD77" w16cex:dateUtc="2026-03-29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124CCC" w16cid:durableId="067F54F2"/>
  <w16cid:commentId w16cid:paraId="70024D89" w16cid:durableId="020263FE"/>
  <w16cid:commentId w16cid:paraId="0F79692D" w16cid:durableId="6115DD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9C7B8" w14:textId="77777777" w:rsidR="00FF76D1" w:rsidRDefault="00FF76D1" w:rsidP="007F3422">
      <w:r>
        <w:separator/>
      </w:r>
    </w:p>
  </w:endnote>
  <w:endnote w:type="continuationSeparator" w:id="0">
    <w:p w14:paraId="64A7D606" w14:textId="77777777" w:rsidR="00FF76D1" w:rsidRDefault="00FF76D1" w:rsidP="007F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MS Gothic"/>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Y Sinmyeongjo">
    <w:altName w:val="Times New Roman"/>
    <w:panose1 w:val="00000000000000000000"/>
    <w:charset w:val="00"/>
    <w:family w:val="roman"/>
    <w:notTrueType/>
    <w:pitch w:val="default"/>
  </w:font>
  <w:font w:name=".VnAvant">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VNI-Helv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ItalicMT">
    <w:altName w:val="Times New Roman"/>
    <w:charset w:val="00"/>
    <w:family w:val="auto"/>
    <w:pitch w:val="variable"/>
    <w:sig w:usb0="00000000" w:usb1="00007843" w:usb2="00000001" w:usb3="00000000" w:csb0="000001BF" w:csb1="00000000"/>
  </w:font>
  <w:font w:name="TimesNewRomanPSMT">
    <w:altName w:val="Times New Roman"/>
    <w:charset w:val="00"/>
    <w:family w:val="roman"/>
    <w:pitch w:val="default"/>
  </w:font>
  <w:font w:name="News Gothic Std">
    <w:altName w:val="News Gothic Std"/>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enturySchoolbook-Italic">
    <w:altName w:val="Segoe Print"/>
    <w:charset w:val="00"/>
    <w:family w:val="roman"/>
    <w:pitch w:val="default"/>
    <w:sig w:usb0="00000000" w:usb1="00000000" w:usb2="00000000" w:usb3="00000000" w:csb0="00000001" w:csb1="00000000"/>
  </w:font>
  <w:font w:name="MathPackFive">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386859"/>
      <w:docPartObj>
        <w:docPartGallery w:val="Page Numbers (Bottom of Page)"/>
        <w:docPartUnique/>
      </w:docPartObj>
    </w:sdtPr>
    <w:sdtEndPr>
      <w:rPr>
        <w:noProof/>
      </w:rPr>
    </w:sdtEndPr>
    <w:sdtContent>
      <w:p w14:paraId="5102D7C9" w14:textId="74F7F8CF" w:rsidR="007B291D" w:rsidRDefault="007B291D" w:rsidP="002206BB">
        <w:pPr>
          <w:pStyle w:val="Footer"/>
          <w:tabs>
            <w:tab w:val="clear" w:pos="4513"/>
            <w:tab w:val="clear" w:pos="9026"/>
            <w:tab w:val="right" w:pos="9072"/>
          </w:tabs>
        </w:pPr>
        <w:r w:rsidRPr="002206BB">
          <w:rPr>
            <w:sz w:val="23"/>
            <w:szCs w:val="23"/>
          </w:rPr>
          <w:fldChar w:fldCharType="begin"/>
        </w:r>
        <w:r w:rsidRPr="002206BB">
          <w:rPr>
            <w:sz w:val="23"/>
            <w:szCs w:val="23"/>
          </w:rPr>
          <w:instrText xml:space="preserve"> PAGE   \* MERGEFORMAT </w:instrText>
        </w:r>
        <w:r w:rsidRPr="002206BB">
          <w:rPr>
            <w:sz w:val="23"/>
            <w:szCs w:val="23"/>
          </w:rPr>
          <w:fldChar w:fldCharType="separate"/>
        </w:r>
        <w:r w:rsidR="00324FEE">
          <w:rPr>
            <w:noProof/>
            <w:sz w:val="23"/>
            <w:szCs w:val="23"/>
          </w:rPr>
          <w:t>84</w:t>
        </w:r>
        <w:r w:rsidRPr="002206BB">
          <w:rPr>
            <w:noProof/>
            <w:sz w:val="23"/>
            <w:szCs w:val="23"/>
          </w:rPr>
          <w:fldChar w:fldCharType="end"/>
        </w:r>
        <w:r w:rsidRPr="002206BB">
          <w:rPr>
            <w:noProof/>
            <w:sz w:val="23"/>
            <w:szCs w:val="23"/>
          </w:rPr>
          <w:t xml:space="preserve"> </w:t>
        </w:r>
        <w:r>
          <w:rPr>
            <w:b/>
            <w:i/>
            <w:noProof/>
            <w:color w:val="000000" w:themeColor="text1"/>
          </w:rPr>
          <mc:AlternateContent>
            <mc:Choice Requires="wps">
              <w:drawing>
                <wp:anchor distT="0" distB="0" distL="114300" distR="114300" simplePos="0" relativeHeight="251664384" behindDoc="0" locked="0" layoutInCell="1" allowOverlap="1" wp14:anchorId="46F1D100" wp14:editId="45EBD706">
                  <wp:simplePos x="0" y="0"/>
                  <wp:positionH relativeFrom="column">
                    <wp:posOffset>2540</wp:posOffset>
                  </wp:positionH>
                  <wp:positionV relativeFrom="paragraph">
                    <wp:posOffset>-9207</wp:posOffset>
                  </wp:positionV>
                  <wp:extent cx="5760000" cy="0"/>
                  <wp:effectExtent l="0" t="0" r="12700" b="1905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7FF7BC" id="Straight Connector 1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7pt" to="45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" strokecolor="black [3213]" strokeweight="1pt"/>
              </w:pict>
            </mc:Fallback>
          </mc:AlternateContent>
        </w:r>
        <w:r w:rsidRPr="002206BB">
          <w:rPr>
            <w:b/>
            <w:i/>
            <w:noProof/>
            <w:color w:val="000000" w:themeColor="text1"/>
          </w:rPr>
          <mc:AlternateContent>
            <mc:Choice Requires="wps">
              <w:drawing>
                <wp:anchor distT="0" distB="0" distL="114300" distR="114300" simplePos="0" relativeHeight="251663360" behindDoc="0" locked="0" layoutInCell="1" allowOverlap="1" wp14:anchorId="03A4DBD9" wp14:editId="6692BF10">
                  <wp:simplePos x="0" y="0"/>
                  <wp:positionH relativeFrom="column">
                    <wp:posOffset>539115</wp:posOffset>
                  </wp:positionH>
                  <wp:positionV relativeFrom="paragraph">
                    <wp:posOffset>8982710</wp:posOffset>
                  </wp:positionV>
                  <wp:extent cx="5759450" cy="0"/>
                  <wp:effectExtent l="8255" t="5715" r="13970"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18DC6" id="_x0000_t32" coordsize="21600,21600" o:spt="32" o:oned="t" path="m,l21600,21600e" filled="f">
                  <v:path arrowok="t" fillok="f" o:connecttype="none"/>
                  <o:lock v:ext="edit" shapetype="t"/>
                </v:shapetype>
                <v:shape id="Straight Arrow Connector 16" o:spid="_x0000_s1026" type="#_x0000_t32" style="position:absolute;margin-left:42.45pt;margin-top:707.3pt;width:45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"/>
              </w:pict>
            </mc:Fallback>
          </mc:AlternateContent>
        </w:r>
        <w:r>
          <w:rPr>
            <w:noProof/>
          </w:rPr>
          <w:tab/>
        </w:r>
        <w:r w:rsidRPr="002206BB">
          <w:rPr>
            <w:b/>
            <w:i/>
            <w:color w:val="000000" w:themeColor="text1"/>
          </w:rPr>
          <w:t>Journal of Medicinal Materials, 2026, Vol. 31, No. 1+2 (Special Issue)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031000"/>
      <w:docPartObj>
        <w:docPartGallery w:val="Page Numbers (Bottom of Page)"/>
        <w:docPartUnique/>
      </w:docPartObj>
    </w:sdtPr>
    <w:sdtEndPr>
      <w:rPr>
        <w:noProof/>
        <w:sz w:val="23"/>
        <w:szCs w:val="23"/>
      </w:rPr>
    </w:sdtEndPr>
    <w:sdtContent>
      <w:p w14:paraId="79671B62" w14:textId="700A012F" w:rsidR="007B291D" w:rsidRDefault="007B291D" w:rsidP="002206BB">
        <w:pPr>
          <w:pStyle w:val="Footer"/>
          <w:tabs>
            <w:tab w:val="clear" w:pos="4513"/>
            <w:tab w:val="clear" w:pos="9026"/>
            <w:tab w:val="right" w:pos="9072"/>
          </w:tabs>
        </w:pPr>
        <w:r>
          <w:rPr>
            <w:b/>
            <w:i/>
            <w:noProof/>
            <w:color w:val="000000" w:themeColor="text1"/>
          </w:rPr>
          <mc:AlternateContent>
            <mc:Choice Requires="wps">
              <w:drawing>
                <wp:anchor distT="0" distB="0" distL="114300" distR="114300" simplePos="0" relativeHeight="251661312" behindDoc="0" locked="0" layoutInCell="1" allowOverlap="1" wp14:anchorId="26B8C199" wp14:editId="18E7DCEE">
                  <wp:simplePos x="0" y="0"/>
                  <wp:positionH relativeFrom="column">
                    <wp:posOffset>2540</wp:posOffset>
                  </wp:positionH>
                  <wp:positionV relativeFrom="paragraph">
                    <wp:posOffset>-9207</wp:posOffset>
                  </wp:positionV>
                  <wp:extent cx="5760000" cy="0"/>
                  <wp:effectExtent l="0" t="0" r="12700" b="19050"/>
                  <wp:wrapNone/>
                  <wp:docPr id="14" name="Straight Connector 14"/>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324562" id="Straight Connector 1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7pt" to="45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" strokecolor="black [3213]" strokeweight="1pt"/>
              </w:pict>
            </mc:Fallback>
          </mc:AlternateContent>
        </w:r>
        <w:r w:rsidRPr="002206BB">
          <w:rPr>
            <w:b/>
            <w:i/>
            <w:noProof/>
            <w:color w:val="000000" w:themeColor="text1"/>
          </w:rPr>
          <mc:AlternateContent>
            <mc:Choice Requires="wps">
              <w:drawing>
                <wp:anchor distT="0" distB="0" distL="114300" distR="114300" simplePos="0" relativeHeight="251660288" behindDoc="0" locked="0" layoutInCell="1" allowOverlap="1" wp14:anchorId="121361D8" wp14:editId="0C9D449C">
                  <wp:simplePos x="0" y="0"/>
                  <wp:positionH relativeFrom="column">
                    <wp:posOffset>539115</wp:posOffset>
                  </wp:positionH>
                  <wp:positionV relativeFrom="paragraph">
                    <wp:posOffset>8982710</wp:posOffset>
                  </wp:positionV>
                  <wp:extent cx="5759450" cy="0"/>
                  <wp:effectExtent l="8255" t="5715" r="1397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F7ACCA" id="_x0000_t32" coordsize="21600,21600" o:spt="32" o:oned="t" path="m,l21600,21600e" filled="f">
                  <v:path arrowok="t" fillok="f" o:connecttype="none"/>
                  <o:lock v:ext="edit" shapetype="t"/>
                </v:shapetype>
                <v:shape id="Straight Arrow Connector 13" o:spid="_x0000_s1026" type="#_x0000_t32" style="position:absolute;margin-left:42.45pt;margin-top:707.3pt;width:45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"/>
              </w:pict>
            </mc:Fallback>
          </mc:AlternateContent>
        </w:r>
        <w:r w:rsidRPr="002206BB">
          <w:rPr>
            <w:b/>
            <w:i/>
            <w:color w:val="000000" w:themeColor="text1"/>
          </w:rPr>
          <w:t>Journal of Medicinal Materials, 2026, Vol. 31, No. 1+2 (Special Issue)</w:t>
        </w:r>
        <w:r>
          <w:rPr>
            <w:noProof/>
          </w:rPr>
          <mc:AlternateContent>
            <mc:Choice Requires="wps">
              <w:drawing>
                <wp:anchor distT="0" distB="0" distL="114300" distR="114300" simplePos="0" relativeHeight="251659264" behindDoc="0" locked="0" layoutInCell="1" allowOverlap="1" wp14:anchorId="085DBD70" wp14:editId="0F391DF9">
                  <wp:simplePos x="0" y="0"/>
                  <wp:positionH relativeFrom="column">
                    <wp:posOffset>539115</wp:posOffset>
                  </wp:positionH>
                  <wp:positionV relativeFrom="paragraph">
                    <wp:posOffset>8930640</wp:posOffset>
                  </wp:positionV>
                  <wp:extent cx="5771515" cy="0"/>
                  <wp:effectExtent l="5715" t="5715" r="13970" b="1333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F6AE1" id="Straight Arrow Connector 12" o:spid="_x0000_s1026" type="#_x0000_t32" style="position:absolute;margin-left:42.45pt;margin-top:703.2pt;width:454.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"/>
              </w:pict>
            </mc:Fallback>
          </mc:AlternateContent>
        </w:r>
        <w:r>
          <w:rPr>
            <w:noProof/>
          </w:rPr>
          <mc:AlternateContent>
            <mc:Choice Requires="wps">
              <w:drawing>
                <wp:anchor distT="0" distB="0" distL="114300" distR="114300" simplePos="0" relativeHeight="251658240" behindDoc="0" locked="0" layoutInCell="1" allowOverlap="1" wp14:anchorId="1D3F9A59" wp14:editId="2C110759">
                  <wp:simplePos x="0" y="0"/>
                  <wp:positionH relativeFrom="column">
                    <wp:posOffset>539115</wp:posOffset>
                  </wp:positionH>
                  <wp:positionV relativeFrom="paragraph">
                    <wp:posOffset>8990965</wp:posOffset>
                  </wp:positionV>
                  <wp:extent cx="5771515" cy="0"/>
                  <wp:effectExtent l="8255" t="13970" r="11430" b="50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EFFB8" id="Straight Arrow Connector 11" o:spid="_x0000_s1026" type="#_x0000_t32" style="position:absolute;margin-left:42.45pt;margin-top:707.95pt;width:45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"/>
              </w:pict>
            </mc:Fallback>
          </mc:AlternateContent>
        </w:r>
        <w:r>
          <w:rPr>
            <w:b/>
            <w:i/>
            <w:color w:val="000000" w:themeColor="text1"/>
            <w:sz w:val="26"/>
            <w:szCs w:val="26"/>
          </w:rPr>
          <w:tab/>
        </w:r>
        <w:r w:rsidRPr="002206BB">
          <w:rPr>
            <w:sz w:val="23"/>
            <w:szCs w:val="23"/>
          </w:rPr>
          <w:fldChar w:fldCharType="begin"/>
        </w:r>
        <w:r w:rsidRPr="002206BB">
          <w:rPr>
            <w:sz w:val="23"/>
            <w:szCs w:val="23"/>
          </w:rPr>
          <w:instrText xml:space="preserve"> PAGE   \* MERGEFORMAT </w:instrText>
        </w:r>
        <w:r w:rsidRPr="002206BB">
          <w:rPr>
            <w:sz w:val="23"/>
            <w:szCs w:val="23"/>
          </w:rPr>
          <w:fldChar w:fldCharType="separate"/>
        </w:r>
        <w:r w:rsidR="00324FEE">
          <w:rPr>
            <w:noProof/>
            <w:sz w:val="23"/>
            <w:szCs w:val="23"/>
          </w:rPr>
          <w:t>75</w:t>
        </w:r>
        <w:r w:rsidRPr="002206BB">
          <w:rPr>
            <w:noProof/>
            <w:sz w:val="23"/>
            <w:szCs w:val="23"/>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616979"/>
      <w:docPartObj>
        <w:docPartGallery w:val="Page Numbers (Bottom of Page)"/>
        <w:docPartUnique/>
      </w:docPartObj>
    </w:sdtPr>
    <w:sdtEndPr>
      <w:rPr>
        <w:noProof/>
        <w:sz w:val="26"/>
        <w:szCs w:val="26"/>
      </w:rPr>
    </w:sdtEndPr>
    <w:sdtContent>
      <w:p w14:paraId="227F9FF8" w14:textId="77777777" w:rsidR="007B291D" w:rsidRPr="00462555" w:rsidRDefault="007B291D">
        <w:pPr>
          <w:pStyle w:val="Footer"/>
          <w:pBdr>
            <w:top w:val="single" w:sz="4" w:space="1" w:color="auto"/>
          </w:pBdr>
          <w:tabs>
            <w:tab w:val="clear" w:pos="4513"/>
          </w:tabs>
          <w:rPr>
            <w:sz w:val="26"/>
            <w:szCs w:val="26"/>
          </w:rPr>
        </w:pPr>
        <w:r>
          <w:rPr>
            <w:b/>
            <w:i/>
            <w:color w:val="000000"/>
            <w:sz w:val="26"/>
            <w:szCs w:val="26"/>
          </w:rPr>
          <w:t>Journal of Medicinal Materials, 2021, Vol. 26, No. 1+2</w:t>
        </w:r>
        <w:r w:rsidRPr="00F11E42">
          <w:t xml:space="preserve"> </w:t>
        </w:r>
        <w:r>
          <w:tab/>
        </w:r>
        <w:r w:rsidRPr="00462555">
          <w:rPr>
            <w:sz w:val="26"/>
            <w:szCs w:val="26"/>
          </w:rPr>
          <w:fldChar w:fldCharType="begin"/>
        </w:r>
        <w:r w:rsidRPr="00462555">
          <w:rPr>
            <w:sz w:val="26"/>
            <w:szCs w:val="26"/>
          </w:rPr>
          <w:instrText xml:space="preserve"> PAGE   \* MERGEFORMAT </w:instrText>
        </w:r>
        <w:r w:rsidRPr="00462555">
          <w:rPr>
            <w:sz w:val="26"/>
            <w:szCs w:val="26"/>
          </w:rPr>
          <w:fldChar w:fldCharType="separate"/>
        </w:r>
        <w:r>
          <w:rPr>
            <w:noProof/>
            <w:sz w:val="26"/>
            <w:szCs w:val="26"/>
          </w:rPr>
          <w:t>1</w:t>
        </w:r>
        <w:r w:rsidRPr="00462555">
          <w:rPr>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A773" w14:textId="77777777" w:rsidR="00FF76D1" w:rsidRDefault="00FF76D1" w:rsidP="007F3422">
      <w:r>
        <w:separator/>
      </w:r>
    </w:p>
  </w:footnote>
  <w:footnote w:type="continuationSeparator" w:id="0">
    <w:p w14:paraId="2BBD2C56" w14:textId="77777777" w:rsidR="00FF76D1" w:rsidRDefault="00FF76D1" w:rsidP="007F3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64D"/>
    <w:multiLevelType w:val="multilevel"/>
    <w:tmpl w:val="CABE731A"/>
    <w:lvl w:ilvl="0">
      <w:start w:val="1"/>
      <w:numFmt w:val="decimal"/>
      <w:pStyle w:val="demuclon"/>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 w15:restartNumberingAfterBreak="0">
    <w:nsid w:val="08920585"/>
    <w:multiLevelType w:val="hybridMultilevel"/>
    <w:tmpl w:val="72F6DE04"/>
    <w:lvl w:ilvl="0" w:tplc="E79006D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AE40B5E"/>
    <w:multiLevelType w:val="hybridMultilevel"/>
    <w:tmpl w:val="88EAFE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D8262E2"/>
    <w:multiLevelType w:val="hybridMultilevel"/>
    <w:tmpl w:val="D99E2C22"/>
    <w:styleLink w:val="StyleBulleted1"/>
    <w:lvl w:ilvl="0" w:tplc="5410624A">
      <w:start w:val="1"/>
      <w:numFmt w:val="bullet"/>
      <w:lvlText w:val=""/>
      <w:lvlJc w:val="left"/>
      <w:pPr>
        <w:tabs>
          <w:tab w:val="num" w:pos="720"/>
        </w:tabs>
        <w:ind w:left="720" w:hanging="360"/>
      </w:pPr>
      <w:rPr>
        <w:rFonts w:ascii="Symbol" w:hAnsi="Symbol" w:hint="default"/>
        <w:b w:val="0"/>
        <w:i w:val="0"/>
        <w:sz w:val="24"/>
        <w:szCs w:val="24"/>
      </w:rPr>
    </w:lvl>
    <w:lvl w:ilvl="1" w:tplc="0409000F">
      <w:start w:val="1"/>
      <w:numFmt w:val="decimal"/>
      <w:lvlText w:val="%2."/>
      <w:lvlJc w:val="left"/>
      <w:pPr>
        <w:tabs>
          <w:tab w:val="num" w:pos="1440"/>
        </w:tabs>
        <w:ind w:left="1440" w:hanging="360"/>
      </w:pPr>
      <w:rPr>
        <w:b w:val="0"/>
        <w:i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B2167"/>
    <w:multiLevelType w:val="hybridMultilevel"/>
    <w:tmpl w:val="1254A26C"/>
    <w:lvl w:ilvl="0" w:tplc="BAEC5F6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0A6840"/>
    <w:multiLevelType w:val="multilevel"/>
    <w:tmpl w:val="FC423420"/>
    <w:styleLink w:val="StyleBulleted"/>
    <w:lvl w:ilvl="0">
      <w:numFmt w:val="bullet"/>
      <w:lvlText w:val="-"/>
      <w:lvlJc w:val="left"/>
      <w:pPr>
        <w:tabs>
          <w:tab w:val="num" w:pos="720"/>
        </w:tabs>
        <w:ind w:left="720" w:hanging="360"/>
      </w:pPr>
      <w:rPr>
        <w:kern w:val="32"/>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F72A12"/>
    <w:multiLevelType w:val="multilevel"/>
    <w:tmpl w:val="7CAEC1EC"/>
    <w:lvl w:ilvl="0">
      <w:start w:val="1"/>
      <w:numFmt w:val="decimal"/>
      <w:pStyle w:val="Re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A66359"/>
    <w:multiLevelType w:val="multilevel"/>
    <w:tmpl w:val="1D1C10D2"/>
    <w:lvl w:ilvl="0">
      <w:start w:val="1"/>
      <w:numFmt w:val="decimal"/>
      <w:pStyle w:val="a-bang"/>
      <w:suff w:val="space"/>
      <w:lvlText w:val="Table %1."/>
      <w:lvlJc w:val="left"/>
      <w:pPr>
        <w:ind w:left="0" w:firstLine="0"/>
      </w:pPr>
      <w:rPr>
        <w:rFonts w:ascii="Cambria" w:hAnsi="Cambria" w:cs="Cambria" w:hint="default"/>
        <w:b/>
        <w:bCs/>
        <w:sz w:val="24"/>
        <w:szCs w:val="24"/>
      </w:rPr>
    </w:lvl>
    <w:lvl w:ilvl="1">
      <w:start w:val="1"/>
      <w:numFmt w:val="lowerLetter"/>
      <w:lvlText w:val="%2)"/>
      <w:lvlJc w:val="left"/>
      <w:pPr>
        <w:ind w:left="57" w:firstLine="0"/>
      </w:pPr>
    </w:lvl>
    <w:lvl w:ilvl="2">
      <w:start w:val="1"/>
      <w:numFmt w:val="lowerRoman"/>
      <w:lvlText w:val="%3)"/>
      <w:lvlJc w:val="left"/>
      <w:pPr>
        <w:ind w:left="114" w:firstLine="0"/>
      </w:pPr>
    </w:lvl>
    <w:lvl w:ilvl="3">
      <w:start w:val="1"/>
      <w:numFmt w:val="decimal"/>
      <w:lvlText w:val="(%4)"/>
      <w:lvlJc w:val="left"/>
      <w:pPr>
        <w:ind w:left="171" w:firstLine="0"/>
      </w:pPr>
    </w:lvl>
    <w:lvl w:ilvl="4">
      <w:start w:val="1"/>
      <w:numFmt w:val="lowerLetter"/>
      <w:lvlText w:val="(%5)"/>
      <w:lvlJc w:val="left"/>
      <w:pPr>
        <w:ind w:left="228" w:firstLine="0"/>
      </w:pPr>
    </w:lvl>
    <w:lvl w:ilvl="5">
      <w:start w:val="1"/>
      <w:numFmt w:val="lowerRoman"/>
      <w:lvlText w:val="(%6)"/>
      <w:lvlJc w:val="left"/>
      <w:pPr>
        <w:ind w:left="285" w:firstLine="0"/>
      </w:pPr>
    </w:lvl>
    <w:lvl w:ilvl="6">
      <w:start w:val="1"/>
      <w:numFmt w:val="decimal"/>
      <w:lvlText w:val="%7."/>
      <w:lvlJc w:val="left"/>
      <w:pPr>
        <w:ind w:left="342" w:firstLine="0"/>
      </w:pPr>
    </w:lvl>
    <w:lvl w:ilvl="7">
      <w:start w:val="1"/>
      <w:numFmt w:val="lowerLetter"/>
      <w:lvlText w:val="%8."/>
      <w:lvlJc w:val="left"/>
      <w:pPr>
        <w:ind w:left="399" w:firstLine="0"/>
      </w:pPr>
    </w:lvl>
    <w:lvl w:ilvl="8">
      <w:start w:val="1"/>
      <w:numFmt w:val="lowerRoman"/>
      <w:lvlText w:val="%9."/>
      <w:lvlJc w:val="left"/>
      <w:pPr>
        <w:ind w:left="456" w:firstLine="0"/>
      </w:pPr>
    </w:lvl>
  </w:abstractNum>
  <w:abstractNum w:abstractNumId="8" w15:restartNumberingAfterBreak="0">
    <w:nsid w:val="1C220D3F"/>
    <w:multiLevelType w:val="hybridMultilevel"/>
    <w:tmpl w:val="5E3CAF28"/>
    <w:lvl w:ilvl="0" w:tplc="315608B8">
      <w:start w:val="1"/>
      <w:numFmt w:val="decimal"/>
      <w:pStyle w:val="trinhbayTLTKctrl4"/>
      <w:lvlText w:val="[%1]"/>
      <w:lvlJc w:val="right"/>
      <w:pPr>
        <w:tabs>
          <w:tab w:val="num" w:pos="203"/>
        </w:tabs>
        <w:ind w:left="203" w:hanging="113"/>
      </w:pPr>
      <w:rPr>
        <w:rFonts w:ascii="Times New Roman" w:hAnsi="Times New Roman" w:cs="Times New Roman" w:hint="default"/>
        <w:b w:val="0"/>
        <w:i w:val="0"/>
        <w:sz w:val="19"/>
        <w:szCs w:val="19"/>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C58109D"/>
    <w:multiLevelType w:val="multilevel"/>
    <w:tmpl w:val="355A205C"/>
    <w:lvl w:ilvl="0">
      <w:start w:val="1"/>
      <w:numFmt w:val="none"/>
      <w:pStyle w:val="tailieuthamkhao"/>
      <w:lvlText w:val=""/>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836600"/>
    <w:multiLevelType w:val="multilevel"/>
    <w:tmpl w:val="783051B2"/>
    <w:lvl w:ilvl="0">
      <w:start w:val="1"/>
      <w:numFmt w:val="decimal"/>
      <w:pStyle w:val="TDC1"/>
      <w:lvlText w:val="Chương %1."/>
      <w:lvlJc w:val="left"/>
      <w:pPr>
        <w:tabs>
          <w:tab w:val="num" w:pos="1134"/>
        </w:tabs>
        <w:ind w:left="0" w:firstLine="0"/>
      </w:pPr>
      <w:rPr>
        <w:b/>
        <w:i w:val="0"/>
        <w:sz w:val="32"/>
        <w:szCs w:val="32"/>
      </w:rPr>
    </w:lvl>
    <w:lvl w:ilvl="1">
      <w:start w:val="1"/>
      <w:numFmt w:val="decimal"/>
      <w:pStyle w:val="TDC2"/>
      <w:suff w:val="space"/>
      <w:lvlText w:val="%1.%2."/>
      <w:lvlJc w:val="left"/>
      <w:pPr>
        <w:ind w:left="0" w:firstLine="0"/>
      </w:pPr>
    </w:lvl>
    <w:lvl w:ilvl="2">
      <w:start w:val="1"/>
      <w:numFmt w:val="decimal"/>
      <w:pStyle w:val="TDC3"/>
      <w:suff w:val="space"/>
      <w:lvlText w:val="%1.%2.%3."/>
      <w:lvlJc w:val="left"/>
      <w:pPr>
        <w:ind w:left="0" w:firstLine="0"/>
      </w:pPr>
    </w:lvl>
    <w:lvl w:ilvl="3">
      <w:start w:val="1"/>
      <w:numFmt w:val="decimal"/>
      <w:pStyle w:val="TDC4"/>
      <w:suff w:val="space"/>
      <w:lvlText w:val="%1.%2.%3.%4."/>
      <w:lvlJc w:val="left"/>
      <w:pPr>
        <w:ind w:left="0" w:firstLine="0"/>
      </w:pPr>
    </w:lvl>
    <w:lvl w:ilvl="4">
      <w:start w:val="1"/>
      <w:numFmt w:val="none"/>
      <w:lvlRestart w:val="1"/>
      <w:isLgl/>
      <w:lvlText w:val=""/>
      <w:lvlJc w:val="left"/>
      <w:pPr>
        <w:tabs>
          <w:tab w:val="num" w:pos="-2160"/>
        </w:tabs>
        <w:ind w:left="-2160" w:firstLine="0"/>
      </w:pPr>
    </w:lvl>
    <w:lvl w:ilvl="5">
      <w:start w:val="1"/>
      <w:numFmt w:val="decimal"/>
      <w:lvlRestart w:val="1"/>
      <w:pStyle w:val="XD"/>
      <w:suff w:val="space"/>
      <w:lvlText w:val="Bảng %1.%6."/>
      <w:lvlJc w:val="left"/>
      <w:pPr>
        <w:ind w:left="2700" w:firstLine="0"/>
      </w:pPr>
    </w:lvl>
    <w:lvl w:ilvl="6">
      <w:start w:val="1"/>
      <w:numFmt w:val="decimal"/>
      <w:lvlRestart w:val="1"/>
      <w:pStyle w:val="xdhinh"/>
      <w:suff w:val="space"/>
      <w:lvlText w:val="Hình %1.%7."/>
      <w:lvlJc w:val="left"/>
      <w:pPr>
        <w:ind w:left="0" w:firstLine="0"/>
      </w:pPr>
    </w:lvl>
    <w:lvl w:ilvl="7">
      <w:start w:val="1"/>
      <w:numFmt w:val="decimal"/>
      <w:lvlText w:val="%1.%2.%3.%4.%5.%6.%7.%8."/>
      <w:lvlJc w:val="left"/>
      <w:pPr>
        <w:tabs>
          <w:tab w:val="num" w:pos="2520"/>
        </w:tabs>
        <w:ind w:left="1584" w:hanging="1224"/>
      </w:pPr>
    </w:lvl>
    <w:lvl w:ilvl="8">
      <w:start w:val="1"/>
      <w:numFmt w:val="decimal"/>
      <w:lvlText w:val="%1.%2.%3.%4.%5.%6.%7.%8.%9."/>
      <w:lvlJc w:val="left"/>
      <w:pPr>
        <w:tabs>
          <w:tab w:val="num" w:pos="2880"/>
        </w:tabs>
        <w:ind w:left="2160" w:hanging="1440"/>
      </w:pPr>
    </w:lvl>
  </w:abstractNum>
  <w:abstractNum w:abstractNumId="11" w15:restartNumberingAfterBreak="0">
    <w:nsid w:val="1E556B7F"/>
    <w:multiLevelType w:val="hybridMultilevel"/>
    <w:tmpl w:val="3C6E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BB139D"/>
    <w:multiLevelType w:val="multilevel"/>
    <w:tmpl w:val="AA22820E"/>
    <w:lvl w:ilvl="0">
      <w:start w:val="1"/>
      <w:numFmt w:val="decimal"/>
      <w:pStyle w:val="Tieudecap1"/>
      <w:lvlText w:val="%1."/>
      <w:lvlJc w:val="left"/>
      <w:pPr>
        <w:tabs>
          <w:tab w:val="num" w:pos="3141"/>
        </w:tabs>
        <w:ind w:left="3141" w:hanging="1701"/>
      </w:pPr>
      <w:rPr>
        <w:b/>
        <w:i w:val="0"/>
        <w:caps/>
        <w:color w:val="auto"/>
        <w:sz w:val="26"/>
        <w:szCs w:val="26"/>
      </w:rPr>
    </w:lvl>
    <w:lvl w:ilvl="1">
      <w:start w:val="1"/>
      <w:numFmt w:val="decimal"/>
      <w:pStyle w:val="tieudecap2"/>
      <w:lvlText w:val="%1.%2."/>
      <w:lvlJc w:val="left"/>
      <w:pPr>
        <w:tabs>
          <w:tab w:val="num" w:pos="1269"/>
        </w:tabs>
        <w:ind w:left="1269" w:hanging="680"/>
      </w:pPr>
      <w:rPr>
        <w:b/>
        <w:i w:val="0"/>
        <w:caps/>
        <w:color w:val="auto"/>
        <w:sz w:val="26"/>
        <w:szCs w:val="26"/>
      </w:rPr>
    </w:lvl>
    <w:lvl w:ilvl="2">
      <w:start w:val="1"/>
      <w:numFmt w:val="decimal"/>
      <w:pStyle w:val="tieudecap3"/>
      <w:lvlText w:val="%1.%2.%3."/>
      <w:lvlJc w:val="left"/>
      <w:pPr>
        <w:tabs>
          <w:tab w:val="num" w:pos="1326"/>
        </w:tabs>
        <w:ind w:left="1326" w:hanging="737"/>
      </w:pPr>
      <w:rPr>
        <w:rFonts w:ascii="Times New Roman" w:hAnsi="Times New Roman" w:cs="Times New Roman" w:hint="default"/>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ucp4"/>
      <w:lvlText w:val="%1.%2.%3.%4."/>
      <w:lvlJc w:val="left"/>
      <w:pPr>
        <w:tabs>
          <w:tab w:val="num" w:pos="1553"/>
        </w:tabs>
        <w:snapToGrid w:val="0"/>
        <w:ind w:left="1553" w:hanging="964"/>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1"/>
      <w:pStyle w:val="s"/>
      <w:lvlText w:val="Sơ đồ %1.%5."/>
      <w:lvlJc w:val="left"/>
      <w:pPr>
        <w:tabs>
          <w:tab w:val="num" w:pos="589"/>
        </w:tabs>
        <w:ind w:left="589" w:firstLine="0"/>
      </w:pPr>
      <w:rPr>
        <w:rFonts w:ascii="Times New Roman" w:hAnsi="Times New Roman" w:cs="Times New Roman" w:hint="default"/>
        <w:b/>
        <w:i w:val="0"/>
        <w:sz w:val="26"/>
        <w:szCs w:val="26"/>
      </w:rPr>
    </w:lvl>
    <w:lvl w:ilvl="5">
      <w:start w:val="1"/>
      <w:numFmt w:val="decimal"/>
      <w:lvlRestart w:val="1"/>
      <w:pStyle w:val="hnh"/>
      <w:lvlText w:val="Hình %1.%6."/>
      <w:lvlJc w:val="left"/>
      <w:pPr>
        <w:tabs>
          <w:tab w:val="num" w:pos="589"/>
        </w:tabs>
        <w:ind w:left="589" w:firstLine="0"/>
      </w:pPr>
      <w:rPr>
        <w:b/>
        <w:i w:val="0"/>
        <w:color w:val="auto"/>
        <w:sz w:val="26"/>
        <w:szCs w:val="26"/>
      </w:rPr>
    </w:lvl>
    <w:lvl w:ilvl="6">
      <w:start w:val="1"/>
      <w:numFmt w:val="decimal"/>
      <w:lvlRestart w:val="1"/>
      <w:pStyle w:val="bng"/>
      <w:lvlText w:val="Bảng %1.%7."/>
      <w:lvlJc w:val="left"/>
      <w:pPr>
        <w:tabs>
          <w:tab w:val="num" w:pos="589"/>
        </w:tabs>
        <w:ind w:left="589" w:firstLine="0"/>
      </w:pPr>
      <w:rPr>
        <w:rFonts w:ascii="Times New Roman" w:hAnsi="Times New Roman" w:cs="Times New Roman" w:hint="default"/>
        <w:b/>
        <w:i w:val="0"/>
        <w:sz w:val="26"/>
        <w:szCs w:val="26"/>
      </w:rPr>
    </w:lvl>
    <w:lvl w:ilvl="7">
      <w:start w:val="1"/>
      <w:numFmt w:val="decimal"/>
      <w:lvlText w:val="%1.%2.%3.%4.%5.%6.%7.%8."/>
      <w:lvlJc w:val="left"/>
      <w:pPr>
        <w:tabs>
          <w:tab w:val="num" w:pos="3649"/>
        </w:tabs>
        <w:ind w:left="3649" w:hanging="1800"/>
      </w:pPr>
    </w:lvl>
    <w:lvl w:ilvl="8">
      <w:start w:val="1"/>
      <w:numFmt w:val="decimal"/>
      <w:lvlText w:val="%1.%2.%3.%4.%5.%6.%7.%8.%9."/>
      <w:lvlJc w:val="left"/>
      <w:pPr>
        <w:tabs>
          <w:tab w:val="num" w:pos="3829"/>
        </w:tabs>
        <w:ind w:left="3829" w:hanging="1800"/>
      </w:pPr>
    </w:lvl>
  </w:abstractNum>
  <w:abstractNum w:abstractNumId="13" w15:restartNumberingAfterBreak="0">
    <w:nsid w:val="1EF71300"/>
    <w:multiLevelType w:val="multilevel"/>
    <w:tmpl w:val="2B7448DC"/>
    <w:lvl w:ilvl="0">
      <w:start w:val="1"/>
      <w:numFmt w:val="decimal"/>
      <w:suff w:val="space"/>
      <w:lvlText w:val="Chapter %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06B6564"/>
    <w:multiLevelType w:val="hybridMultilevel"/>
    <w:tmpl w:val="F5623E1E"/>
    <w:lvl w:ilvl="0" w:tplc="7574839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FE4479"/>
    <w:multiLevelType w:val="multilevel"/>
    <w:tmpl w:val="62A033FE"/>
    <w:lvl w:ilvl="0">
      <w:start w:val="1"/>
      <w:numFmt w:val="decimal"/>
      <w:pStyle w:val="Heading1-loi"/>
      <w:lvlText w:val="%1."/>
      <w:lvlJc w:val="left"/>
      <w:pPr>
        <w:ind w:left="360" w:hanging="360"/>
      </w:pPr>
    </w:lvl>
    <w:lvl w:ilvl="1">
      <w:start w:val="1"/>
      <w:numFmt w:val="decimal"/>
      <w:pStyle w:val="Heading2-loi"/>
      <w:lvlText w:val="%1.%2."/>
      <w:lvlJc w:val="left"/>
      <w:pPr>
        <w:ind w:left="1218"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A357CF"/>
    <w:multiLevelType w:val="multilevel"/>
    <w:tmpl w:val="97CC0EC2"/>
    <w:lvl w:ilvl="0">
      <w:start w:val="1"/>
      <w:numFmt w:val="decimal"/>
      <w:pStyle w:val="H2LV"/>
      <w:lvlText w:val="%1."/>
      <w:lvlJc w:val="left"/>
      <w:pPr>
        <w:ind w:left="720" w:hanging="360"/>
      </w:pPr>
    </w:lvl>
    <w:lvl w:ilvl="1">
      <w:start w:val="1"/>
      <w:numFmt w:val="decimal"/>
      <w:pStyle w:val="H3LV"/>
      <w:isLgl/>
      <w:lvlText w:val="%1.%2."/>
      <w:lvlJc w:val="left"/>
      <w:pPr>
        <w:ind w:left="1440" w:hanging="720"/>
      </w:pPr>
    </w:lvl>
    <w:lvl w:ilvl="2">
      <w:start w:val="1"/>
      <w:numFmt w:val="decimal"/>
      <w:pStyle w:val="H3LV"/>
      <w:isLgl/>
      <w:lvlText w:val="%1.%2.%3."/>
      <w:lvlJc w:val="left"/>
      <w:pPr>
        <w:ind w:left="1800" w:hanging="720"/>
      </w:pPr>
    </w:lvl>
    <w:lvl w:ilvl="3">
      <w:start w:val="1"/>
      <w:numFmt w:val="decimal"/>
      <w:pStyle w:val="H4"/>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7" w15:restartNumberingAfterBreak="0">
    <w:nsid w:val="2C020820"/>
    <w:multiLevelType w:val="multilevel"/>
    <w:tmpl w:val="CDC8EBE2"/>
    <w:lvl w:ilvl="0">
      <w:start w:val="1"/>
      <w:numFmt w:val="decimal"/>
      <w:pStyle w:val="Heading1"/>
      <w:suff w:val="space"/>
      <w:lvlText w:val="CHƯƠNG %1."/>
      <w:lvlJc w:val="left"/>
      <w:pPr>
        <w:ind w:left="0" w:firstLine="0"/>
      </w:pPr>
      <w:rPr>
        <w:b w:val="0"/>
      </w:rPr>
    </w:lvl>
    <w:lvl w:ilvl="1">
      <w:start w:val="1"/>
      <w:numFmt w:val="decimal"/>
      <w:pStyle w:val="Heading2"/>
      <w:isLgl/>
      <w:suff w:val="space"/>
      <w:lvlText w:val="%1.%2."/>
      <w:lvlJc w:val="left"/>
      <w:pPr>
        <w:ind w:left="0" w:firstLine="0"/>
      </w:pPr>
    </w:lvl>
    <w:lvl w:ilvl="2">
      <w:start w:val="1"/>
      <w:numFmt w:val="decimal"/>
      <w:pStyle w:val="Heading3"/>
      <w:suff w:val="space"/>
      <w:lvlText w:val="%1.%2.%3."/>
      <w:lvlJc w:val="left"/>
      <w:pPr>
        <w:ind w:left="710" w:firstLine="0"/>
      </w:pPr>
    </w:lvl>
    <w:lvl w:ilvl="3">
      <w:start w:val="1"/>
      <w:numFmt w:val="decimal"/>
      <w:pStyle w:val="Heading4"/>
      <w:suff w:val="space"/>
      <w:lvlText w:val="%1.%2.%3.%4."/>
      <w:lvlJc w:val="left"/>
      <w:pPr>
        <w:ind w:left="0" w:firstLine="0"/>
      </w:pPr>
    </w:lvl>
    <w:lvl w:ilvl="4">
      <w:start w:val="1"/>
      <w:numFmt w:val="decimal"/>
      <w:pStyle w:val="Heading5"/>
      <w:lvlText w:val="(%5)"/>
      <w:lvlJc w:val="left"/>
      <w:pPr>
        <w:ind w:left="2880" w:firstLine="0"/>
      </w:pPr>
    </w:lvl>
    <w:lvl w:ilvl="5">
      <w:start w:val="1"/>
      <w:numFmt w:val="decimal"/>
      <w:lvlRestart w:val="1"/>
      <w:suff w:val="space"/>
      <w:lvlText w:val="Bảng %1.%6."/>
      <w:lvlJc w:val="left"/>
      <w:pPr>
        <w:ind w:left="0" w:firstLine="0"/>
      </w:pPr>
      <w:rPr>
        <w:b/>
        <w:color w:val="000000"/>
        <w:sz w:val="26"/>
        <w:szCs w:val="26"/>
      </w:rPr>
    </w:lvl>
    <w:lvl w:ilvl="6">
      <w:start w:val="1"/>
      <w:numFmt w:val="decimal"/>
      <w:lvlRestart w:val="1"/>
      <w:suff w:val="space"/>
      <w:lvlText w:val="Hình %1.%7."/>
      <w:lvlJc w:val="left"/>
      <w:pPr>
        <w:ind w:left="0" w:firstLine="0"/>
      </w:pPr>
      <w:rPr>
        <w:b/>
        <w:color w:val="000000"/>
      </w:r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8" w15:restartNumberingAfterBreak="0">
    <w:nsid w:val="2DBB2B23"/>
    <w:multiLevelType w:val="hybridMultilevel"/>
    <w:tmpl w:val="3208DCDC"/>
    <w:lvl w:ilvl="0" w:tplc="279C01C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30A14CF2"/>
    <w:multiLevelType w:val="hybridMultilevel"/>
    <w:tmpl w:val="521438BC"/>
    <w:lvl w:ilvl="0" w:tplc="4F480FA2">
      <w:numFmt w:val="bullet"/>
      <w:lvlText w:val=""/>
      <w:lvlJc w:val="left"/>
      <w:pPr>
        <w:ind w:left="1260" w:hanging="360"/>
      </w:pPr>
      <w:rPr>
        <w:rFonts w:ascii="Symbol" w:eastAsia="Yu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DE56A7"/>
    <w:multiLevelType w:val="hybridMultilevel"/>
    <w:tmpl w:val="38B4A64E"/>
    <w:lvl w:ilvl="0" w:tplc="81921E80">
      <w:numFmt w:val="bullet"/>
      <w:pStyle w:val="Bodybulleting"/>
      <w:lvlText w:val="-"/>
      <w:lvlJc w:val="left"/>
      <w:pPr>
        <w:ind w:left="360" w:hanging="360"/>
      </w:pPr>
      <w:rPr>
        <w:rFonts w:ascii="Times New Roman" w:eastAsia="Times New Roman" w:hAnsi="Times New Roman" w:cs="Times New Roman" w:hint="default"/>
        <w:b/>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1" w15:restartNumberingAfterBreak="0">
    <w:nsid w:val="43CD5D5D"/>
    <w:multiLevelType w:val="multilevel"/>
    <w:tmpl w:val="3A7E6188"/>
    <w:lvl w:ilvl="0">
      <w:start w:val="2"/>
      <w:numFmt w:val="decimal"/>
      <w:lvlText w:val="%1."/>
      <w:lvlJc w:val="left"/>
      <w:pPr>
        <w:ind w:left="450" w:hanging="450"/>
      </w:pPr>
    </w:lvl>
    <w:lvl w:ilvl="1">
      <w:start w:val="1"/>
      <w:numFmt w:val="decimal"/>
      <w:pStyle w:val="a"/>
      <w:lvlText w:val="%1.%2."/>
      <w:lvlJc w:val="left"/>
      <w:pPr>
        <w:ind w:left="720" w:hanging="720"/>
      </w:pPr>
    </w:lvl>
    <w:lvl w:ilvl="2">
      <w:start w:val="1"/>
      <w:numFmt w:val="none"/>
      <w:pStyle w:val="d11"/>
      <w:lvlText w:val="2.1.1"/>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501D3087"/>
    <w:multiLevelType w:val="hybridMultilevel"/>
    <w:tmpl w:val="55FCFDF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0CA1C4E"/>
    <w:multiLevelType w:val="hybridMultilevel"/>
    <w:tmpl w:val="1DA47B58"/>
    <w:lvl w:ilvl="0" w:tplc="279C01C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2B65E74"/>
    <w:multiLevelType w:val="hybridMultilevel"/>
    <w:tmpl w:val="95AA1C9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67382AEA"/>
    <w:multiLevelType w:val="hybridMultilevel"/>
    <w:tmpl w:val="1320212C"/>
    <w:lvl w:ilvl="0" w:tplc="279C01C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729D35B9"/>
    <w:multiLevelType w:val="hybridMultilevel"/>
    <w:tmpl w:val="545006DA"/>
    <w:lvl w:ilvl="0" w:tplc="AAFE660E">
      <w:numFmt w:val="bullet"/>
      <w:pStyle w:val="Lui"/>
      <w:lvlText w:val=""/>
      <w:lvlJc w:val="left"/>
      <w:pPr>
        <w:tabs>
          <w:tab w:val="num" w:pos="1211"/>
        </w:tabs>
        <w:ind w:left="1211" w:hanging="360"/>
      </w:pPr>
      <w:rPr>
        <w:rFonts w:ascii="Symbol" w:eastAsia="Times New Roman" w:hAnsi="Symbol" w:cs="Times New Roman"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7A2F34D5"/>
    <w:multiLevelType w:val="hybridMultilevel"/>
    <w:tmpl w:val="E224124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7CFE798C"/>
    <w:multiLevelType w:val="multilevel"/>
    <w:tmpl w:val="AC68C3D6"/>
    <w:lvl w:ilvl="0">
      <w:start w:val="1"/>
      <w:numFmt w:val="decimal"/>
      <w:pStyle w:val="D1"/>
      <w:lvlText w:val="2.%1"/>
      <w:lvlJc w:val="left"/>
      <w:pPr>
        <w:ind w:left="360" w:hanging="360"/>
      </w:pPr>
    </w:lvl>
    <w:lvl w:ilvl="1">
      <w:start w:val="1"/>
      <w:numFmt w:val="lowerLetter"/>
      <w:lvlText w:val="%2)"/>
      <w:lvlJc w:val="left"/>
      <w:pPr>
        <w:ind w:left="720" w:hanging="360"/>
      </w:pPr>
    </w:lvl>
    <w:lvl w:ilvl="2">
      <w:start w:val="1"/>
      <w:numFmt w:val="decimal"/>
      <w:pStyle w:val="D2"/>
      <w:lvlText w:val="2.%3.1"/>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9514555">
    <w:abstractNumId w:val="17"/>
  </w:num>
  <w:num w:numId="2" w16cid:durableId="1090853008">
    <w:abstractNumId w:val="12"/>
  </w:num>
  <w:num w:numId="3" w16cid:durableId="611977106">
    <w:abstractNumId w:val="20"/>
  </w:num>
  <w:num w:numId="4" w16cid:durableId="785586685">
    <w:abstractNumId w:val="15"/>
  </w:num>
  <w:num w:numId="5" w16cid:durableId="1006706920">
    <w:abstractNumId w:val="10"/>
  </w:num>
  <w:num w:numId="6" w16cid:durableId="1434470287">
    <w:abstractNumId w:val="16"/>
  </w:num>
  <w:num w:numId="7" w16cid:durableId="126123744">
    <w:abstractNumId w:val="28"/>
  </w:num>
  <w:num w:numId="8" w16cid:durableId="79450773">
    <w:abstractNumId w:val="21"/>
  </w:num>
  <w:num w:numId="9" w16cid:durableId="400491108">
    <w:abstractNumId w:val="8"/>
  </w:num>
  <w:num w:numId="10" w16cid:durableId="220875049">
    <w:abstractNumId w:val="26"/>
  </w:num>
  <w:num w:numId="11" w16cid:durableId="2146191855">
    <w:abstractNumId w:val="0"/>
  </w:num>
  <w:num w:numId="12" w16cid:durableId="961693098">
    <w:abstractNumId w:val="7"/>
  </w:num>
  <w:num w:numId="13" w16cid:durableId="1910379187">
    <w:abstractNumId w:val="9"/>
  </w:num>
  <w:num w:numId="14" w16cid:durableId="23289841">
    <w:abstractNumId w:val="6"/>
  </w:num>
  <w:num w:numId="15" w16cid:durableId="917515861">
    <w:abstractNumId w:val="3"/>
  </w:num>
  <w:num w:numId="16" w16cid:durableId="880441676">
    <w:abstractNumId w:val="5"/>
  </w:num>
  <w:num w:numId="17" w16cid:durableId="942811206">
    <w:abstractNumId w:val="11"/>
  </w:num>
  <w:num w:numId="18" w16cid:durableId="96945606">
    <w:abstractNumId w:val="19"/>
  </w:num>
  <w:num w:numId="19" w16cid:durableId="1317995377">
    <w:abstractNumId w:val="27"/>
  </w:num>
  <w:num w:numId="20" w16cid:durableId="1195342073">
    <w:abstractNumId w:val="24"/>
  </w:num>
  <w:num w:numId="21" w16cid:durableId="504513699">
    <w:abstractNumId w:val="14"/>
  </w:num>
  <w:num w:numId="22" w16cid:durableId="390345824">
    <w:abstractNumId w:val="2"/>
  </w:num>
  <w:num w:numId="23" w16cid:durableId="835657536">
    <w:abstractNumId w:val="1"/>
  </w:num>
  <w:num w:numId="24" w16cid:durableId="853572092">
    <w:abstractNumId w:val="13"/>
  </w:num>
  <w:num w:numId="25" w16cid:durableId="2043821981">
    <w:abstractNumId w:val="22"/>
  </w:num>
  <w:num w:numId="26" w16cid:durableId="661202979">
    <w:abstractNumId w:val="18"/>
  </w:num>
  <w:num w:numId="27" w16cid:durableId="230194029">
    <w:abstractNumId w:val="23"/>
  </w:num>
  <w:num w:numId="28" w16cid:durableId="808937598">
    <w:abstractNumId w:val="25"/>
  </w:num>
  <w:num w:numId="29" w16cid:durableId="633681417">
    <w:abstractNumId w:val="4"/>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 Do">
    <w15:presenceInfo w15:providerId="Windows Live" w15:userId="c63fee36e79aba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0NzMxMzYwtzQ2NTBQ0lEKTi0uzszPAykwqgUAyB64vSwAAAA="/>
  </w:docVars>
  <w:rsids>
    <w:rsidRoot w:val="000E1064"/>
    <w:rsid w:val="000074F7"/>
    <w:rsid w:val="000107DC"/>
    <w:rsid w:val="00013935"/>
    <w:rsid w:val="00013F81"/>
    <w:rsid w:val="0002127E"/>
    <w:rsid w:val="000233D3"/>
    <w:rsid w:val="000300A9"/>
    <w:rsid w:val="00030D4B"/>
    <w:rsid w:val="00044800"/>
    <w:rsid w:val="00044996"/>
    <w:rsid w:val="00045518"/>
    <w:rsid w:val="00045ADB"/>
    <w:rsid w:val="00047433"/>
    <w:rsid w:val="000509F7"/>
    <w:rsid w:val="00050CB6"/>
    <w:rsid w:val="000511FE"/>
    <w:rsid w:val="00052747"/>
    <w:rsid w:val="00055D14"/>
    <w:rsid w:val="000570B1"/>
    <w:rsid w:val="00057994"/>
    <w:rsid w:val="0006246A"/>
    <w:rsid w:val="000630EF"/>
    <w:rsid w:val="00072675"/>
    <w:rsid w:val="0007417F"/>
    <w:rsid w:val="000748D8"/>
    <w:rsid w:val="00080251"/>
    <w:rsid w:val="000807A4"/>
    <w:rsid w:val="00082014"/>
    <w:rsid w:val="00082BEF"/>
    <w:rsid w:val="000831AA"/>
    <w:rsid w:val="00094ABF"/>
    <w:rsid w:val="00095F30"/>
    <w:rsid w:val="00095FC0"/>
    <w:rsid w:val="000A0842"/>
    <w:rsid w:val="000A3733"/>
    <w:rsid w:val="000A46FC"/>
    <w:rsid w:val="000A60BF"/>
    <w:rsid w:val="000B34F9"/>
    <w:rsid w:val="000B49FE"/>
    <w:rsid w:val="000B4F74"/>
    <w:rsid w:val="000B4FF0"/>
    <w:rsid w:val="000B58C2"/>
    <w:rsid w:val="000B741D"/>
    <w:rsid w:val="000B7476"/>
    <w:rsid w:val="000B7F16"/>
    <w:rsid w:val="000C3AAC"/>
    <w:rsid w:val="000C7C15"/>
    <w:rsid w:val="000D1148"/>
    <w:rsid w:val="000D372E"/>
    <w:rsid w:val="000D55DA"/>
    <w:rsid w:val="000E0999"/>
    <w:rsid w:val="000E1064"/>
    <w:rsid w:val="000E135D"/>
    <w:rsid w:val="000E3C27"/>
    <w:rsid w:val="000F1A8E"/>
    <w:rsid w:val="000F1F9F"/>
    <w:rsid w:val="000F2ABA"/>
    <w:rsid w:val="000F51CE"/>
    <w:rsid w:val="000F5A09"/>
    <w:rsid w:val="000F5D74"/>
    <w:rsid w:val="000F698F"/>
    <w:rsid w:val="000F7173"/>
    <w:rsid w:val="00112950"/>
    <w:rsid w:val="001168E2"/>
    <w:rsid w:val="00116A81"/>
    <w:rsid w:val="00117E2E"/>
    <w:rsid w:val="001248A7"/>
    <w:rsid w:val="00124CBF"/>
    <w:rsid w:val="00130A93"/>
    <w:rsid w:val="00133304"/>
    <w:rsid w:val="00135DB2"/>
    <w:rsid w:val="00142728"/>
    <w:rsid w:val="001429A1"/>
    <w:rsid w:val="00143DD8"/>
    <w:rsid w:val="00144C56"/>
    <w:rsid w:val="00144E48"/>
    <w:rsid w:val="00144EA5"/>
    <w:rsid w:val="00150309"/>
    <w:rsid w:val="0015690B"/>
    <w:rsid w:val="001606D2"/>
    <w:rsid w:val="00161972"/>
    <w:rsid w:val="0016448F"/>
    <w:rsid w:val="00165368"/>
    <w:rsid w:val="001701EA"/>
    <w:rsid w:val="001708B8"/>
    <w:rsid w:val="00172B6A"/>
    <w:rsid w:val="00173548"/>
    <w:rsid w:val="00174D44"/>
    <w:rsid w:val="00177FCF"/>
    <w:rsid w:val="00182B33"/>
    <w:rsid w:val="00183BE2"/>
    <w:rsid w:val="0018773C"/>
    <w:rsid w:val="001922EB"/>
    <w:rsid w:val="001966EE"/>
    <w:rsid w:val="001A074C"/>
    <w:rsid w:val="001A5C78"/>
    <w:rsid w:val="001A7A4C"/>
    <w:rsid w:val="001B22C8"/>
    <w:rsid w:val="001B62A2"/>
    <w:rsid w:val="001C09C8"/>
    <w:rsid w:val="001C279A"/>
    <w:rsid w:val="001C762A"/>
    <w:rsid w:val="001D00A7"/>
    <w:rsid w:val="001D4AD1"/>
    <w:rsid w:val="001D5000"/>
    <w:rsid w:val="001D594F"/>
    <w:rsid w:val="001D62B6"/>
    <w:rsid w:val="001E25FA"/>
    <w:rsid w:val="001E3A1A"/>
    <w:rsid w:val="001E4765"/>
    <w:rsid w:val="001E7FE0"/>
    <w:rsid w:val="001F0AEE"/>
    <w:rsid w:val="001F0B36"/>
    <w:rsid w:val="001F1EDD"/>
    <w:rsid w:val="001F4DDA"/>
    <w:rsid w:val="001F68AE"/>
    <w:rsid w:val="00203525"/>
    <w:rsid w:val="00207C22"/>
    <w:rsid w:val="0021087C"/>
    <w:rsid w:val="00210F45"/>
    <w:rsid w:val="002126DE"/>
    <w:rsid w:val="00215A23"/>
    <w:rsid w:val="002206BB"/>
    <w:rsid w:val="00221F08"/>
    <w:rsid w:val="00223B62"/>
    <w:rsid w:val="00224B3C"/>
    <w:rsid w:val="00224DC4"/>
    <w:rsid w:val="0023706C"/>
    <w:rsid w:val="002375E4"/>
    <w:rsid w:val="00243D58"/>
    <w:rsid w:val="00245F77"/>
    <w:rsid w:val="00255A66"/>
    <w:rsid w:val="00256031"/>
    <w:rsid w:val="0025671B"/>
    <w:rsid w:val="002602EA"/>
    <w:rsid w:val="00266A53"/>
    <w:rsid w:val="00266B26"/>
    <w:rsid w:val="00267233"/>
    <w:rsid w:val="002755A4"/>
    <w:rsid w:val="00277790"/>
    <w:rsid w:val="00281BD2"/>
    <w:rsid w:val="002827F5"/>
    <w:rsid w:val="002835C2"/>
    <w:rsid w:val="0028419C"/>
    <w:rsid w:val="00285266"/>
    <w:rsid w:val="00286726"/>
    <w:rsid w:val="00290AD6"/>
    <w:rsid w:val="00294DF6"/>
    <w:rsid w:val="00295E63"/>
    <w:rsid w:val="0029631E"/>
    <w:rsid w:val="00297440"/>
    <w:rsid w:val="002A1758"/>
    <w:rsid w:val="002A6DBE"/>
    <w:rsid w:val="002B2C6B"/>
    <w:rsid w:val="002B4355"/>
    <w:rsid w:val="002C04AC"/>
    <w:rsid w:val="002C1696"/>
    <w:rsid w:val="002C329C"/>
    <w:rsid w:val="002C562C"/>
    <w:rsid w:val="002D1E5A"/>
    <w:rsid w:val="002D36D7"/>
    <w:rsid w:val="002D46E9"/>
    <w:rsid w:val="002D4D96"/>
    <w:rsid w:val="002D539C"/>
    <w:rsid w:val="002D5CEB"/>
    <w:rsid w:val="002D7824"/>
    <w:rsid w:val="002E1E4C"/>
    <w:rsid w:val="002E2958"/>
    <w:rsid w:val="002E76F6"/>
    <w:rsid w:val="002F20D7"/>
    <w:rsid w:val="002F31E3"/>
    <w:rsid w:val="002F483D"/>
    <w:rsid w:val="002F4B4D"/>
    <w:rsid w:val="002F541E"/>
    <w:rsid w:val="002F6CF0"/>
    <w:rsid w:val="00302B2A"/>
    <w:rsid w:val="00305816"/>
    <w:rsid w:val="00311337"/>
    <w:rsid w:val="003115FB"/>
    <w:rsid w:val="00316285"/>
    <w:rsid w:val="00317685"/>
    <w:rsid w:val="00321364"/>
    <w:rsid w:val="00321D5B"/>
    <w:rsid w:val="00324FEE"/>
    <w:rsid w:val="003251E5"/>
    <w:rsid w:val="00325D72"/>
    <w:rsid w:val="00326BA7"/>
    <w:rsid w:val="00326DEA"/>
    <w:rsid w:val="00327436"/>
    <w:rsid w:val="00330D95"/>
    <w:rsid w:val="00332E7C"/>
    <w:rsid w:val="00333932"/>
    <w:rsid w:val="00342CDF"/>
    <w:rsid w:val="00342E64"/>
    <w:rsid w:val="00343CAF"/>
    <w:rsid w:val="0034763A"/>
    <w:rsid w:val="00351F0A"/>
    <w:rsid w:val="00352232"/>
    <w:rsid w:val="00355D71"/>
    <w:rsid w:val="0036137F"/>
    <w:rsid w:val="0036296C"/>
    <w:rsid w:val="00363760"/>
    <w:rsid w:val="00363CEA"/>
    <w:rsid w:val="00367740"/>
    <w:rsid w:val="00367819"/>
    <w:rsid w:val="0037196C"/>
    <w:rsid w:val="00372FD3"/>
    <w:rsid w:val="00374C40"/>
    <w:rsid w:val="00380221"/>
    <w:rsid w:val="00382A3D"/>
    <w:rsid w:val="00382C9E"/>
    <w:rsid w:val="00382F8D"/>
    <w:rsid w:val="00386AE9"/>
    <w:rsid w:val="0038708B"/>
    <w:rsid w:val="00387721"/>
    <w:rsid w:val="003930EC"/>
    <w:rsid w:val="00397A07"/>
    <w:rsid w:val="003A0517"/>
    <w:rsid w:val="003A0F54"/>
    <w:rsid w:val="003A2261"/>
    <w:rsid w:val="003A3015"/>
    <w:rsid w:val="003A5CD5"/>
    <w:rsid w:val="003A70BA"/>
    <w:rsid w:val="003A7C87"/>
    <w:rsid w:val="003B076D"/>
    <w:rsid w:val="003B110F"/>
    <w:rsid w:val="003B14F8"/>
    <w:rsid w:val="003B1DCC"/>
    <w:rsid w:val="003B4C02"/>
    <w:rsid w:val="003C061F"/>
    <w:rsid w:val="003C0B80"/>
    <w:rsid w:val="003C181D"/>
    <w:rsid w:val="003C3E47"/>
    <w:rsid w:val="003C7713"/>
    <w:rsid w:val="003D3C8E"/>
    <w:rsid w:val="003D5223"/>
    <w:rsid w:val="003D65A1"/>
    <w:rsid w:val="003D6792"/>
    <w:rsid w:val="003E0C40"/>
    <w:rsid w:val="003E3977"/>
    <w:rsid w:val="003E771F"/>
    <w:rsid w:val="003F4DBD"/>
    <w:rsid w:val="003F5D23"/>
    <w:rsid w:val="004044A7"/>
    <w:rsid w:val="00407937"/>
    <w:rsid w:val="0041063A"/>
    <w:rsid w:val="00412ACC"/>
    <w:rsid w:val="00416540"/>
    <w:rsid w:val="00416EC9"/>
    <w:rsid w:val="00420502"/>
    <w:rsid w:val="00423F83"/>
    <w:rsid w:val="00424BAA"/>
    <w:rsid w:val="004250E1"/>
    <w:rsid w:val="00425F59"/>
    <w:rsid w:val="004275A4"/>
    <w:rsid w:val="00431CEA"/>
    <w:rsid w:val="00434C79"/>
    <w:rsid w:val="0044085B"/>
    <w:rsid w:val="00454496"/>
    <w:rsid w:val="004546F3"/>
    <w:rsid w:val="00454A26"/>
    <w:rsid w:val="00455943"/>
    <w:rsid w:val="00455A63"/>
    <w:rsid w:val="00460990"/>
    <w:rsid w:val="00462555"/>
    <w:rsid w:val="00463456"/>
    <w:rsid w:val="00465972"/>
    <w:rsid w:val="004662EC"/>
    <w:rsid w:val="0046641A"/>
    <w:rsid w:val="00470554"/>
    <w:rsid w:val="0047080C"/>
    <w:rsid w:val="00470B4B"/>
    <w:rsid w:val="004760D2"/>
    <w:rsid w:val="00483353"/>
    <w:rsid w:val="00486ADF"/>
    <w:rsid w:val="00491ED1"/>
    <w:rsid w:val="00495674"/>
    <w:rsid w:val="004A0C3B"/>
    <w:rsid w:val="004A35D9"/>
    <w:rsid w:val="004A3B6F"/>
    <w:rsid w:val="004A4CA6"/>
    <w:rsid w:val="004A5E1A"/>
    <w:rsid w:val="004A5EDC"/>
    <w:rsid w:val="004B3E73"/>
    <w:rsid w:val="004B3E93"/>
    <w:rsid w:val="004B733A"/>
    <w:rsid w:val="004C1A23"/>
    <w:rsid w:val="004C20BA"/>
    <w:rsid w:val="004C259C"/>
    <w:rsid w:val="004D0FAA"/>
    <w:rsid w:val="004D2F5B"/>
    <w:rsid w:val="004E0C5F"/>
    <w:rsid w:val="004E2C03"/>
    <w:rsid w:val="004E52DD"/>
    <w:rsid w:val="004E5A2D"/>
    <w:rsid w:val="004F04F4"/>
    <w:rsid w:val="004F5F34"/>
    <w:rsid w:val="0050029B"/>
    <w:rsid w:val="005013DF"/>
    <w:rsid w:val="00504D7B"/>
    <w:rsid w:val="005050A3"/>
    <w:rsid w:val="005062F6"/>
    <w:rsid w:val="00510405"/>
    <w:rsid w:val="0051293C"/>
    <w:rsid w:val="00513111"/>
    <w:rsid w:val="00513EAC"/>
    <w:rsid w:val="00514067"/>
    <w:rsid w:val="00515569"/>
    <w:rsid w:val="00517F81"/>
    <w:rsid w:val="00525E41"/>
    <w:rsid w:val="00526C1D"/>
    <w:rsid w:val="005336CE"/>
    <w:rsid w:val="00535513"/>
    <w:rsid w:val="005360B8"/>
    <w:rsid w:val="00540790"/>
    <w:rsid w:val="005408D1"/>
    <w:rsid w:val="00543403"/>
    <w:rsid w:val="00544118"/>
    <w:rsid w:val="00544A93"/>
    <w:rsid w:val="00545973"/>
    <w:rsid w:val="00546DE7"/>
    <w:rsid w:val="005470F3"/>
    <w:rsid w:val="005472AD"/>
    <w:rsid w:val="00552F10"/>
    <w:rsid w:val="0055782F"/>
    <w:rsid w:val="00560366"/>
    <w:rsid w:val="0056392B"/>
    <w:rsid w:val="00564460"/>
    <w:rsid w:val="00565FD6"/>
    <w:rsid w:val="005725AC"/>
    <w:rsid w:val="00573010"/>
    <w:rsid w:val="0058296D"/>
    <w:rsid w:val="00583669"/>
    <w:rsid w:val="005873AC"/>
    <w:rsid w:val="005912B4"/>
    <w:rsid w:val="0059667D"/>
    <w:rsid w:val="00596DA1"/>
    <w:rsid w:val="0059794B"/>
    <w:rsid w:val="005A1BB2"/>
    <w:rsid w:val="005A2594"/>
    <w:rsid w:val="005A2B3C"/>
    <w:rsid w:val="005A49D6"/>
    <w:rsid w:val="005B4E59"/>
    <w:rsid w:val="005B5ABC"/>
    <w:rsid w:val="005B5C80"/>
    <w:rsid w:val="005C0579"/>
    <w:rsid w:val="005C2A66"/>
    <w:rsid w:val="005C4992"/>
    <w:rsid w:val="005C6C1B"/>
    <w:rsid w:val="005C7A35"/>
    <w:rsid w:val="005D1B10"/>
    <w:rsid w:val="005D2416"/>
    <w:rsid w:val="005D308C"/>
    <w:rsid w:val="005D48C3"/>
    <w:rsid w:val="005D5D91"/>
    <w:rsid w:val="005E03EE"/>
    <w:rsid w:val="005E0AAD"/>
    <w:rsid w:val="005E11F7"/>
    <w:rsid w:val="005E1C66"/>
    <w:rsid w:val="005E223D"/>
    <w:rsid w:val="005E2D4A"/>
    <w:rsid w:val="005E463C"/>
    <w:rsid w:val="005E65C5"/>
    <w:rsid w:val="005E6B7C"/>
    <w:rsid w:val="005E6BAD"/>
    <w:rsid w:val="005E788F"/>
    <w:rsid w:val="005F18C3"/>
    <w:rsid w:val="005F209C"/>
    <w:rsid w:val="005F53BE"/>
    <w:rsid w:val="0060006F"/>
    <w:rsid w:val="006147B8"/>
    <w:rsid w:val="006223ED"/>
    <w:rsid w:val="00623260"/>
    <w:rsid w:val="006248E2"/>
    <w:rsid w:val="006259D7"/>
    <w:rsid w:val="00627B88"/>
    <w:rsid w:val="00640ADA"/>
    <w:rsid w:val="006453DA"/>
    <w:rsid w:val="00654AB1"/>
    <w:rsid w:val="00660A36"/>
    <w:rsid w:val="00660E06"/>
    <w:rsid w:val="006623AD"/>
    <w:rsid w:val="00663084"/>
    <w:rsid w:val="00667917"/>
    <w:rsid w:val="00667C68"/>
    <w:rsid w:val="00671A6C"/>
    <w:rsid w:val="006759D2"/>
    <w:rsid w:val="00685C8E"/>
    <w:rsid w:val="00686F3E"/>
    <w:rsid w:val="00687738"/>
    <w:rsid w:val="00687860"/>
    <w:rsid w:val="006912AC"/>
    <w:rsid w:val="00692771"/>
    <w:rsid w:val="00692E22"/>
    <w:rsid w:val="00697F36"/>
    <w:rsid w:val="006A1D59"/>
    <w:rsid w:val="006A30A7"/>
    <w:rsid w:val="006A338C"/>
    <w:rsid w:val="006A3DE6"/>
    <w:rsid w:val="006A4854"/>
    <w:rsid w:val="006A5534"/>
    <w:rsid w:val="006A573A"/>
    <w:rsid w:val="006A6499"/>
    <w:rsid w:val="006A6505"/>
    <w:rsid w:val="006A6994"/>
    <w:rsid w:val="006A709A"/>
    <w:rsid w:val="006B6755"/>
    <w:rsid w:val="006B6D6A"/>
    <w:rsid w:val="006C411E"/>
    <w:rsid w:val="006C6C8E"/>
    <w:rsid w:val="006C6E2D"/>
    <w:rsid w:val="006D0C4B"/>
    <w:rsid w:val="006D2068"/>
    <w:rsid w:val="006D34FD"/>
    <w:rsid w:val="006D559A"/>
    <w:rsid w:val="006D72DD"/>
    <w:rsid w:val="006E0EFF"/>
    <w:rsid w:val="006E5956"/>
    <w:rsid w:val="006E6B1D"/>
    <w:rsid w:val="006E722D"/>
    <w:rsid w:val="006F0463"/>
    <w:rsid w:val="006F58EA"/>
    <w:rsid w:val="006F59ED"/>
    <w:rsid w:val="00703008"/>
    <w:rsid w:val="00706932"/>
    <w:rsid w:val="007175F3"/>
    <w:rsid w:val="00724373"/>
    <w:rsid w:val="0072591F"/>
    <w:rsid w:val="00725B3E"/>
    <w:rsid w:val="00727446"/>
    <w:rsid w:val="00730E96"/>
    <w:rsid w:val="007370DC"/>
    <w:rsid w:val="00737472"/>
    <w:rsid w:val="007408C7"/>
    <w:rsid w:val="0074174C"/>
    <w:rsid w:val="0074299D"/>
    <w:rsid w:val="0074352D"/>
    <w:rsid w:val="00743D13"/>
    <w:rsid w:val="00743DA8"/>
    <w:rsid w:val="007455E4"/>
    <w:rsid w:val="00754396"/>
    <w:rsid w:val="00756E55"/>
    <w:rsid w:val="00761212"/>
    <w:rsid w:val="0076150F"/>
    <w:rsid w:val="007633A0"/>
    <w:rsid w:val="0077142E"/>
    <w:rsid w:val="00771726"/>
    <w:rsid w:val="007735B4"/>
    <w:rsid w:val="00776CC0"/>
    <w:rsid w:val="00777FF2"/>
    <w:rsid w:val="007804AF"/>
    <w:rsid w:val="00780CCE"/>
    <w:rsid w:val="0078133B"/>
    <w:rsid w:val="00782196"/>
    <w:rsid w:val="0078228C"/>
    <w:rsid w:val="0078287B"/>
    <w:rsid w:val="00782F38"/>
    <w:rsid w:val="00783460"/>
    <w:rsid w:val="00790500"/>
    <w:rsid w:val="00790E60"/>
    <w:rsid w:val="0079118F"/>
    <w:rsid w:val="00791664"/>
    <w:rsid w:val="00792589"/>
    <w:rsid w:val="007967DB"/>
    <w:rsid w:val="00796F13"/>
    <w:rsid w:val="007A04C4"/>
    <w:rsid w:val="007A051F"/>
    <w:rsid w:val="007A4061"/>
    <w:rsid w:val="007B225E"/>
    <w:rsid w:val="007B23ED"/>
    <w:rsid w:val="007B291D"/>
    <w:rsid w:val="007B2EC1"/>
    <w:rsid w:val="007B4500"/>
    <w:rsid w:val="007B6D8F"/>
    <w:rsid w:val="007C2B6D"/>
    <w:rsid w:val="007D36DC"/>
    <w:rsid w:val="007D4910"/>
    <w:rsid w:val="007D77F4"/>
    <w:rsid w:val="007E3F80"/>
    <w:rsid w:val="007E537E"/>
    <w:rsid w:val="007E657D"/>
    <w:rsid w:val="007E7976"/>
    <w:rsid w:val="007E7F11"/>
    <w:rsid w:val="007F1237"/>
    <w:rsid w:val="007F2F67"/>
    <w:rsid w:val="007F3422"/>
    <w:rsid w:val="007F4311"/>
    <w:rsid w:val="007F6CCF"/>
    <w:rsid w:val="00800CD0"/>
    <w:rsid w:val="00804E87"/>
    <w:rsid w:val="00805B63"/>
    <w:rsid w:val="00811AFD"/>
    <w:rsid w:val="00815058"/>
    <w:rsid w:val="008212B7"/>
    <w:rsid w:val="00824916"/>
    <w:rsid w:val="00826294"/>
    <w:rsid w:val="00830E26"/>
    <w:rsid w:val="00831069"/>
    <w:rsid w:val="00831EF0"/>
    <w:rsid w:val="00834C4C"/>
    <w:rsid w:val="00835D1F"/>
    <w:rsid w:val="0084224B"/>
    <w:rsid w:val="00843562"/>
    <w:rsid w:val="0084450F"/>
    <w:rsid w:val="00846364"/>
    <w:rsid w:val="00851455"/>
    <w:rsid w:val="00852DF0"/>
    <w:rsid w:val="0085441D"/>
    <w:rsid w:val="008576FC"/>
    <w:rsid w:val="00862E8E"/>
    <w:rsid w:val="0087467D"/>
    <w:rsid w:val="008748BC"/>
    <w:rsid w:val="00874EB2"/>
    <w:rsid w:val="00877CD7"/>
    <w:rsid w:val="008822CB"/>
    <w:rsid w:val="00885960"/>
    <w:rsid w:val="00886205"/>
    <w:rsid w:val="008908D4"/>
    <w:rsid w:val="00890BBF"/>
    <w:rsid w:val="008917CC"/>
    <w:rsid w:val="008934B6"/>
    <w:rsid w:val="00894303"/>
    <w:rsid w:val="00894500"/>
    <w:rsid w:val="008A3346"/>
    <w:rsid w:val="008B08FB"/>
    <w:rsid w:val="008B0A14"/>
    <w:rsid w:val="008B0ABB"/>
    <w:rsid w:val="008B0CFC"/>
    <w:rsid w:val="008B76B0"/>
    <w:rsid w:val="008C0D47"/>
    <w:rsid w:val="008C1100"/>
    <w:rsid w:val="008C49D2"/>
    <w:rsid w:val="008C4A4D"/>
    <w:rsid w:val="008C5EF2"/>
    <w:rsid w:val="008C6BD9"/>
    <w:rsid w:val="008C6C0F"/>
    <w:rsid w:val="008C7177"/>
    <w:rsid w:val="008C7EDD"/>
    <w:rsid w:val="008D1007"/>
    <w:rsid w:val="008D1493"/>
    <w:rsid w:val="008D1D79"/>
    <w:rsid w:val="008D22E9"/>
    <w:rsid w:val="008D55AE"/>
    <w:rsid w:val="008E1960"/>
    <w:rsid w:val="008E28DD"/>
    <w:rsid w:val="008E30B1"/>
    <w:rsid w:val="008E6ADF"/>
    <w:rsid w:val="008F2B0D"/>
    <w:rsid w:val="008F2DAF"/>
    <w:rsid w:val="008F6059"/>
    <w:rsid w:val="008F753A"/>
    <w:rsid w:val="00901F2B"/>
    <w:rsid w:val="00902733"/>
    <w:rsid w:val="00904DAD"/>
    <w:rsid w:val="009108E7"/>
    <w:rsid w:val="00915F2E"/>
    <w:rsid w:val="00916383"/>
    <w:rsid w:val="00923607"/>
    <w:rsid w:val="0092773B"/>
    <w:rsid w:val="00931838"/>
    <w:rsid w:val="009336C0"/>
    <w:rsid w:val="00933988"/>
    <w:rsid w:val="00934AE6"/>
    <w:rsid w:val="0093542A"/>
    <w:rsid w:val="00936908"/>
    <w:rsid w:val="00937D84"/>
    <w:rsid w:val="009419FE"/>
    <w:rsid w:val="009434F0"/>
    <w:rsid w:val="00944DB8"/>
    <w:rsid w:val="0095116B"/>
    <w:rsid w:val="00953D71"/>
    <w:rsid w:val="009551B3"/>
    <w:rsid w:val="00955D94"/>
    <w:rsid w:val="00957AB9"/>
    <w:rsid w:val="00957E83"/>
    <w:rsid w:val="00962551"/>
    <w:rsid w:val="009654E5"/>
    <w:rsid w:val="00970399"/>
    <w:rsid w:val="009721DE"/>
    <w:rsid w:val="00974CAD"/>
    <w:rsid w:val="009756FC"/>
    <w:rsid w:val="0097603C"/>
    <w:rsid w:val="009808C9"/>
    <w:rsid w:val="009835F2"/>
    <w:rsid w:val="0098471C"/>
    <w:rsid w:val="00986988"/>
    <w:rsid w:val="009908A6"/>
    <w:rsid w:val="00991AEC"/>
    <w:rsid w:val="00991F9A"/>
    <w:rsid w:val="009925C3"/>
    <w:rsid w:val="009A046D"/>
    <w:rsid w:val="009A12D7"/>
    <w:rsid w:val="009A42D9"/>
    <w:rsid w:val="009A42E8"/>
    <w:rsid w:val="009B105F"/>
    <w:rsid w:val="009B1273"/>
    <w:rsid w:val="009B3BD3"/>
    <w:rsid w:val="009B59E1"/>
    <w:rsid w:val="009B5AA4"/>
    <w:rsid w:val="009B7C99"/>
    <w:rsid w:val="009C6340"/>
    <w:rsid w:val="009C728D"/>
    <w:rsid w:val="009C7CA5"/>
    <w:rsid w:val="009D0AA6"/>
    <w:rsid w:val="009D231F"/>
    <w:rsid w:val="009D2C54"/>
    <w:rsid w:val="009D4945"/>
    <w:rsid w:val="009D5A43"/>
    <w:rsid w:val="009D6FAA"/>
    <w:rsid w:val="009E25EC"/>
    <w:rsid w:val="009F2879"/>
    <w:rsid w:val="009F60B7"/>
    <w:rsid w:val="009F783E"/>
    <w:rsid w:val="009F7AC3"/>
    <w:rsid w:val="00A04226"/>
    <w:rsid w:val="00A06AA5"/>
    <w:rsid w:val="00A0756D"/>
    <w:rsid w:val="00A13154"/>
    <w:rsid w:val="00A156BC"/>
    <w:rsid w:val="00A164D2"/>
    <w:rsid w:val="00A16795"/>
    <w:rsid w:val="00A17D97"/>
    <w:rsid w:val="00A201AA"/>
    <w:rsid w:val="00A213FA"/>
    <w:rsid w:val="00A22715"/>
    <w:rsid w:val="00A22999"/>
    <w:rsid w:val="00A25198"/>
    <w:rsid w:val="00A252CC"/>
    <w:rsid w:val="00A26579"/>
    <w:rsid w:val="00A2731F"/>
    <w:rsid w:val="00A27325"/>
    <w:rsid w:val="00A4092C"/>
    <w:rsid w:val="00A45DB7"/>
    <w:rsid w:val="00A45FE3"/>
    <w:rsid w:val="00A4749F"/>
    <w:rsid w:val="00A478F5"/>
    <w:rsid w:val="00A47FC9"/>
    <w:rsid w:val="00A518DD"/>
    <w:rsid w:val="00A51AA6"/>
    <w:rsid w:val="00A54694"/>
    <w:rsid w:val="00A5489D"/>
    <w:rsid w:val="00A61634"/>
    <w:rsid w:val="00A66001"/>
    <w:rsid w:val="00A661A1"/>
    <w:rsid w:val="00A67332"/>
    <w:rsid w:val="00A70D69"/>
    <w:rsid w:val="00A721AC"/>
    <w:rsid w:val="00A73DBB"/>
    <w:rsid w:val="00A763BF"/>
    <w:rsid w:val="00A77E92"/>
    <w:rsid w:val="00A80D63"/>
    <w:rsid w:val="00A87B3E"/>
    <w:rsid w:val="00A90891"/>
    <w:rsid w:val="00A91400"/>
    <w:rsid w:val="00A9181D"/>
    <w:rsid w:val="00A922DA"/>
    <w:rsid w:val="00A92C05"/>
    <w:rsid w:val="00A93449"/>
    <w:rsid w:val="00A93A88"/>
    <w:rsid w:val="00A93AA2"/>
    <w:rsid w:val="00A95C51"/>
    <w:rsid w:val="00AA07C9"/>
    <w:rsid w:val="00AA144F"/>
    <w:rsid w:val="00AB3465"/>
    <w:rsid w:val="00AB4AFD"/>
    <w:rsid w:val="00AB66CA"/>
    <w:rsid w:val="00AC3661"/>
    <w:rsid w:val="00AC7427"/>
    <w:rsid w:val="00AC78CB"/>
    <w:rsid w:val="00AD1051"/>
    <w:rsid w:val="00AD1644"/>
    <w:rsid w:val="00AD16CC"/>
    <w:rsid w:val="00AD2FD0"/>
    <w:rsid w:val="00AD6EEB"/>
    <w:rsid w:val="00AE667E"/>
    <w:rsid w:val="00AE6918"/>
    <w:rsid w:val="00AF011F"/>
    <w:rsid w:val="00AF09CA"/>
    <w:rsid w:val="00AF3383"/>
    <w:rsid w:val="00AF39DD"/>
    <w:rsid w:val="00AF4AD1"/>
    <w:rsid w:val="00B05AD1"/>
    <w:rsid w:val="00B115A7"/>
    <w:rsid w:val="00B1168A"/>
    <w:rsid w:val="00B15816"/>
    <w:rsid w:val="00B20EF8"/>
    <w:rsid w:val="00B22354"/>
    <w:rsid w:val="00B26748"/>
    <w:rsid w:val="00B2759A"/>
    <w:rsid w:val="00B310F1"/>
    <w:rsid w:val="00B32145"/>
    <w:rsid w:val="00B426F8"/>
    <w:rsid w:val="00B45A24"/>
    <w:rsid w:val="00B53C19"/>
    <w:rsid w:val="00B53C1F"/>
    <w:rsid w:val="00B571F9"/>
    <w:rsid w:val="00B65596"/>
    <w:rsid w:val="00B666AE"/>
    <w:rsid w:val="00B67162"/>
    <w:rsid w:val="00B73B27"/>
    <w:rsid w:val="00B848B0"/>
    <w:rsid w:val="00B853BE"/>
    <w:rsid w:val="00B857B1"/>
    <w:rsid w:val="00B9048D"/>
    <w:rsid w:val="00B939DC"/>
    <w:rsid w:val="00BA3611"/>
    <w:rsid w:val="00BA5E01"/>
    <w:rsid w:val="00BA73CF"/>
    <w:rsid w:val="00BB1E83"/>
    <w:rsid w:val="00BC3089"/>
    <w:rsid w:val="00BC3F11"/>
    <w:rsid w:val="00BC7D7E"/>
    <w:rsid w:val="00BD35FA"/>
    <w:rsid w:val="00BD558C"/>
    <w:rsid w:val="00BE1CB9"/>
    <w:rsid w:val="00BE7881"/>
    <w:rsid w:val="00BF07C8"/>
    <w:rsid w:val="00BF300D"/>
    <w:rsid w:val="00C0050D"/>
    <w:rsid w:val="00C012FB"/>
    <w:rsid w:val="00C03355"/>
    <w:rsid w:val="00C06585"/>
    <w:rsid w:val="00C10EE8"/>
    <w:rsid w:val="00C13177"/>
    <w:rsid w:val="00C136F8"/>
    <w:rsid w:val="00C14089"/>
    <w:rsid w:val="00C179C6"/>
    <w:rsid w:val="00C2019B"/>
    <w:rsid w:val="00C20A79"/>
    <w:rsid w:val="00C20E6A"/>
    <w:rsid w:val="00C21E6B"/>
    <w:rsid w:val="00C22790"/>
    <w:rsid w:val="00C22C51"/>
    <w:rsid w:val="00C247FE"/>
    <w:rsid w:val="00C2483D"/>
    <w:rsid w:val="00C24947"/>
    <w:rsid w:val="00C251D0"/>
    <w:rsid w:val="00C35451"/>
    <w:rsid w:val="00C3584C"/>
    <w:rsid w:val="00C363DF"/>
    <w:rsid w:val="00C37B6C"/>
    <w:rsid w:val="00C37F2D"/>
    <w:rsid w:val="00C42988"/>
    <w:rsid w:val="00C45E8B"/>
    <w:rsid w:val="00C45F23"/>
    <w:rsid w:val="00C47DDD"/>
    <w:rsid w:val="00C50B66"/>
    <w:rsid w:val="00C50B83"/>
    <w:rsid w:val="00C5108F"/>
    <w:rsid w:val="00C518BC"/>
    <w:rsid w:val="00C52735"/>
    <w:rsid w:val="00C533D1"/>
    <w:rsid w:val="00C5392F"/>
    <w:rsid w:val="00C60F6B"/>
    <w:rsid w:val="00C644FB"/>
    <w:rsid w:val="00C653C3"/>
    <w:rsid w:val="00C65EEC"/>
    <w:rsid w:val="00C66013"/>
    <w:rsid w:val="00C8320E"/>
    <w:rsid w:val="00C840E1"/>
    <w:rsid w:val="00C84382"/>
    <w:rsid w:val="00C8462C"/>
    <w:rsid w:val="00C878B5"/>
    <w:rsid w:val="00C911A1"/>
    <w:rsid w:val="00CA2308"/>
    <w:rsid w:val="00CA348F"/>
    <w:rsid w:val="00CA7ECA"/>
    <w:rsid w:val="00CB0151"/>
    <w:rsid w:val="00CB397E"/>
    <w:rsid w:val="00CC08CF"/>
    <w:rsid w:val="00CC0FBE"/>
    <w:rsid w:val="00CC1E8C"/>
    <w:rsid w:val="00CC24FA"/>
    <w:rsid w:val="00CC3242"/>
    <w:rsid w:val="00CC4CCC"/>
    <w:rsid w:val="00CC6372"/>
    <w:rsid w:val="00CD3D77"/>
    <w:rsid w:val="00CD5549"/>
    <w:rsid w:val="00CE390F"/>
    <w:rsid w:val="00CE6727"/>
    <w:rsid w:val="00CE7796"/>
    <w:rsid w:val="00CF24AC"/>
    <w:rsid w:val="00CF2F33"/>
    <w:rsid w:val="00CF6770"/>
    <w:rsid w:val="00D0266C"/>
    <w:rsid w:val="00D04B14"/>
    <w:rsid w:val="00D06D85"/>
    <w:rsid w:val="00D10EA9"/>
    <w:rsid w:val="00D1261A"/>
    <w:rsid w:val="00D126B1"/>
    <w:rsid w:val="00D1463B"/>
    <w:rsid w:val="00D15F3A"/>
    <w:rsid w:val="00D21A29"/>
    <w:rsid w:val="00D24293"/>
    <w:rsid w:val="00D25AA0"/>
    <w:rsid w:val="00D26029"/>
    <w:rsid w:val="00D267BE"/>
    <w:rsid w:val="00D301A8"/>
    <w:rsid w:val="00D3370E"/>
    <w:rsid w:val="00D40CC6"/>
    <w:rsid w:val="00D41707"/>
    <w:rsid w:val="00D44849"/>
    <w:rsid w:val="00D46B4C"/>
    <w:rsid w:val="00D47CE2"/>
    <w:rsid w:val="00D548A7"/>
    <w:rsid w:val="00D54E9A"/>
    <w:rsid w:val="00D6601A"/>
    <w:rsid w:val="00D726C8"/>
    <w:rsid w:val="00D804D4"/>
    <w:rsid w:val="00D81219"/>
    <w:rsid w:val="00D826F0"/>
    <w:rsid w:val="00D87B83"/>
    <w:rsid w:val="00D95F4E"/>
    <w:rsid w:val="00DA00BD"/>
    <w:rsid w:val="00DA069B"/>
    <w:rsid w:val="00DA680A"/>
    <w:rsid w:val="00DA7E85"/>
    <w:rsid w:val="00DB0213"/>
    <w:rsid w:val="00DB0962"/>
    <w:rsid w:val="00DB0DFC"/>
    <w:rsid w:val="00DB1514"/>
    <w:rsid w:val="00DB28BC"/>
    <w:rsid w:val="00DB2DC3"/>
    <w:rsid w:val="00DB5A89"/>
    <w:rsid w:val="00DC0259"/>
    <w:rsid w:val="00DC313C"/>
    <w:rsid w:val="00DD0B63"/>
    <w:rsid w:val="00DD1ED4"/>
    <w:rsid w:val="00DD25B9"/>
    <w:rsid w:val="00DE0EE1"/>
    <w:rsid w:val="00DE6518"/>
    <w:rsid w:val="00DF30C0"/>
    <w:rsid w:val="00DF5FFD"/>
    <w:rsid w:val="00DF7101"/>
    <w:rsid w:val="00E00956"/>
    <w:rsid w:val="00E01049"/>
    <w:rsid w:val="00E03D55"/>
    <w:rsid w:val="00E04444"/>
    <w:rsid w:val="00E049CB"/>
    <w:rsid w:val="00E071BA"/>
    <w:rsid w:val="00E0790B"/>
    <w:rsid w:val="00E10C65"/>
    <w:rsid w:val="00E1207E"/>
    <w:rsid w:val="00E14C6B"/>
    <w:rsid w:val="00E17D9A"/>
    <w:rsid w:val="00E21A7D"/>
    <w:rsid w:val="00E2383D"/>
    <w:rsid w:val="00E24354"/>
    <w:rsid w:val="00E247B0"/>
    <w:rsid w:val="00E24B17"/>
    <w:rsid w:val="00E253E5"/>
    <w:rsid w:val="00E267D2"/>
    <w:rsid w:val="00E26843"/>
    <w:rsid w:val="00E3115A"/>
    <w:rsid w:val="00E31289"/>
    <w:rsid w:val="00E32FF0"/>
    <w:rsid w:val="00E34007"/>
    <w:rsid w:val="00E35C62"/>
    <w:rsid w:val="00E36456"/>
    <w:rsid w:val="00E3696B"/>
    <w:rsid w:val="00E37467"/>
    <w:rsid w:val="00E37959"/>
    <w:rsid w:val="00E51A17"/>
    <w:rsid w:val="00E538FA"/>
    <w:rsid w:val="00E54D11"/>
    <w:rsid w:val="00E566F9"/>
    <w:rsid w:val="00E56EF1"/>
    <w:rsid w:val="00E60441"/>
    <w:rsid w:val="00E61424"/>
    <w:rsid w:val="00E61A87"/>
    <w:rsid w:val="00E61B6B"/>
    <w:rsid w:val="00E65B6D"/>
    <w:rsid w:val="00E70B65"/>
    <w:rsid w:val="00E72075"/>
    <w:rsid w:val="00E74496"/>
    <w:rsid w:val="00E74A81"/>
    <w:rsid w:val="00E85A32"/>
    <w:rsid w:val="00E8693C"/>
    <w:rsid w:val="00E9016E"/>
    <w:rsid w:val="00E94837"/>
    <w:rsid w:val="00E95B4B"/>
    <w:rsid w:val="00E96164"/>
    <w:rsid w:val="00E96780"/>
    <w:rsid w:val="00EA6E3E"/>
    <w:rsid w:val="00EB099B"/>
    <w:rsid w:val="00EB175E"/>
    <w:rsid w:val="00EB24CB"/>
    <w:rsid w:val="00EB66AD"/>
    <w:rsid w:val="00EC45B5"/>
    <w:rsid w:val="00EC49B9"/>
    <w:rsid w:val="00EC56BA"/>
    <w:rsid w:val="00EC5CCE"/>
    <w:rsid w:val="00EC61B3"/>
    <w:rsid w:val="00EC7B01"/>
    <w:rsid w:val="00ED0830"/>
    <w:rsid w:val="00ED2775"/>
    <w:rsid w:val="00ED4C45"/>
    <w:rsid w:val="00ED5B00"/>
    <w:rsid w:val="00EE0949"/>
    <w:rsid w:val="00EE0F19"/>
    <w:rsid w:val="00EE540C"/>
    <w:rsid w:val="00EE5D39"/>
    <w:rsid w:val="00EE70E7"/>
    <w:rsid w:val="00EF1202"/>
    <w:rsid w:val="00EF1E4B"/>
    <w:rsid w:val="00EF5702"/>
    <w:rsid w:val="00F01ADE"/>
    <w:rsid w:val="00F06B36"/>
    <w:rsid w:val="00F06D43"/>
    <w:rsid w:val="00F1111A"/>
    <w:rsid w:val="00F11E42"/>
    <w:rsid w:val="00F1357C"/>
    <w:rsid w:val="00F1428F"/>
    <w:rsid w:val="00F21066"/>
    <w:rsid w:val="00F218D9"/>
    <w:rsid w:val="00F23F70"/>
    <w:rsid w:val="00F25E84"/>
    <w:rsid w:val="00F26A6B"/>
    <w:rsid w:val="00F26AEB"/>
    <w:rsid w:val="00F32007"/>
    <w:rsid w:val="00F325BC"/>
    <w:rsid w:val="00F349BD"/>
    <w:rsid w:val="00F354DE"/>
    <w:rsid w:val="00F35F85"/>
    <w:rsid w:val="00F36B74"/>
    <w:rsid w:val="00F418B0"/>
    <w:rsid w:val="00F463A2"/>
    <w:rsid w:val="00F46490"/>
    <w:rsid w:val="00F5234A"/>
    <w:rsid w:val="00F633F0"/>
    <w:rsid w:val="00F65F2A"/>
    <w:rsid w:val="00F70893"/>
    <w:rsid w:val="00F76262"/>
    <w:rsid w:val="00F76A3E"/>
    <w:rsid w:val="00F7704A"/>
    <w:rsid w:val="00F91997"/>
    <w:rsid w:val="00F93EDD"/>
    <w:rsid w:val="00F976D5"/>
    <w:rsid w:val="00FA0FE8"/>
    <w:rsid w:val="00FA1F34"/>
    <w:rsid w:val="00FA26D9"/>
    <w:rsid w:val="00FA40F6"/>
    <w:rsid w:val="00FA461B"/>
    <w:rsid w:val="00FA4BAE"/>
    <w:rsid w:val="00FA7DEC"/>
    <w:rsid w:val="00FB0F31"/>
    <w:rsid w:val="00FB1BE2"/>
    <w:rsid w:val="00FB610C"/>
    <w:rsid w:val="00FB6C62"/>
    <w:rsid w:val="00FB7A2D"/>
    <w:rsid w:val="00FB7B36"/>
    <w:rsid w:val="00FC2DB5"/>
    <w:rsid w:val="00FC3069"/>
    <w:rsid w:val="00FC4B3F"/>
    <w:rsid w:val="00FC534C"/>
    <w:rsid w:val="00FD4239"/>
    <w:rsid w:val="00FE0790"/>
    <w:rsid w:val="00FE4D4D"/>
    <w:rsid w:val="00FE6324"/>
    <w:rsid w:val="00FF2F5E"/>
    <w:rsid w:val="00FF510E"/>
    <w:rsid w:val="00FF6F47"/>
    <w:rsid w:val="00FF727C"/>
    <w:rsid w:val="00FF76D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E76BE"/>
  <w15:docId w15:val="{F67A0E0E-82A2-4AEE-83C6-EBE6382D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19"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64"/>
    <w:pPr>
      <w:widowControl w:val="0"/>
      <w:spacing w:after="0" w:line="240" w:lineRule="auto"/>
    </w:pPr>
    <w:rPr>
      <w:rFonts w:eastAsia="Malgun Gothic" w:cs="Times New Roman"/>
      <w:sz w:val="24"/>
      <w:szCs w:val="24"/>
      <w:lang w:val="en-US"/>
    </w:rPr>
  </w:style>
  <w:style w:type="paragraph" w:styleId="Heading1">
    <w:name w:val="heading 1"/>
    <w:aliases w:val="PL,tieu de 1,CHƯƠNG,Heading 1.1"/>
    <w:basedOn w:val="Normal"/>
    <w:next w:val="Normal"/>
    <w:link w:val="Heading1Char"/>
    <w:uiPriority w:val="9"/>
    <w:qFormat/>
    <w:rsid w:val="00A22715"/>
    <w:pPr>
      <w:keepNext/>
      <w:numPr>
        <w:numId w:val="1"/>
      </w:numPr>
      <w:spacing w:before="240" w:after="60"/>
      <w:outlineLvl w:val="0"/>
    </w:pPr>
    <w:rPr>
      <w:rFonts w:ascii="Cambria" w:eastAsia="Times New Roman" w:hAnsi="Cambria"/>
      <w:b/>
      <w:bCs/>
      <w:kern w:val="32"/>
      <w:sz w:val="32"/>
      <w:szCs w:val="32"/>
      <w:lang w:val="x-none" w:eastAsia="x-none"/>
    </w:rPr>
  </w:style>
  <w:style w:type="paragraph" w:styleId="Heading2">
    <w:name w:val="heading 2"/>
    <w:aliases w:val="tieu de 2"/>
    <w:basedOn w:val="Normal"/>
    <w:next w:val="Normal"/>
    <w:link w:val="Heading2Char"/>
    <w:uiPriority w:val="9"/>
    <w:unhideWhenUsed/>
    <w:qFormat/>
    <w:rsid w:val="00A22715"/>
    <w:pPr>
      <w:keepNext/>
      <w:numPr>
        <w:ilvl w:val="1"/>
        <w:numId w:val="1"/>
      </w:numPr>
      <w:spacing w:before="240" w:after="60"/>
      <w:outlineLvl w:val="1"/>
    </w:pPr>
    <w:rPr>
      <w:rFonts w:ascii="Arial" w:eastAsia="MS Mincho" w:hAnsi="Arial" w:cs="Angsana New"/>
      <w:b/>
      <w:bCs/>
      <w:i/>
      <w:iCs/>
      <w:sz w:val="28"/>
      <w:szCs w:val="28"/>
      <w:lang w:val="x-none" w:eastAsia="ja-JP" w:bidi="th-TH"/>
    </w:rPr>
  </w:style>
  <w:style w:type="paragraph" w:styleId="Heading3">
    <w:name w:val="heading 3"/>
    <w:aliases w:val="tieu de 3"/>
    <w:basedOn w:val="Normal"/>
    <w:link w:val="Heading3Char"/>
    <w:uiPriority w:val="9"/>
    <w:unhideWhenUsed/>
    <w:qFormat/>
    <w:rsid w:val="00A22715"/>
    <w:pPr>
      <w:numPr>
        <w:ilvl w:val="2"/>
        <w:numId w:val="1"/>
      </w:numPr>
      <w:spacing w:before="100" w:beforeAutospacing="1" w:after="100" w:afterAutospacing="1"/>
      <w:ind w:left="0"/>
      <w:outlineLvl w:val="2"/>
    </w:pPr>
    <w:rPr>
      <w:rFonts w:eastAsia="MS Mincho"/>
      <w:b/>
      <w:bCs/>
      <w:sz w:val="27"/>
      <w:szCs w:val="27"/>
      <w:lang w:val="x-none" w:eastAsia="ja-JP"/>
    </w:rPr>
  </w:style>
  <w:style w:type="paragraph" w:styleId="Heading4">
    <w:name w:val="heading 4"/>
    <w:aliases w:val="tieu de 4"/>
    <w:basedOn w:val="Normal"/>
    <w:next w:val="Normal"/>
    <w:link w:val="Heading4Char"/>
    <w:uiPriority w:val="9"/>
    <w:unhideWhenUsed/>
    <w:qFormat/>
    <w:rsid w:val="00A22715"/>
    <w:pPr>
      <w:keepNext/>
      <w:numPr>
        <w:ilvl w:val="3"/>
        <w:numId w:val="1"/>
      </w:numPr>
      <w:spacing w:before="240" w:after="60"/>
      <w:outlineLvl w:val="3"/>
    </w:pPr>
    <w:rPr>
      <w:rFonts w:eastAsia="Times New Roman"/>
      <w:b/>
      <w:bCs/>
      <w:sz w:val="28"/>
      <w:szCs w:val="28"/>
      <w:lang w:val="x-none" w:eastAsia="ko-KR"/>
    </w:rPr>
  </w:style>
  <w:style w:type="paragraph" w:styleId="Heading5">
    <w:name w:val="heading 5"/>
    <w:basedOn w:val="Normal"/>
    <w:next w:val="Normal"/>
    <w:link w:val="Heading5Char"/>
    <w:uiPriority w:val="9"/>
    <w:unhideWhenUsed/>
    <w:qFormat/>
    <w:rsid w:val="00A22715"/>
    <w:pPr>
      <w:numPr>
        <w:ilvl w:val="4"/>
        <w:numId w:val="1"/>
      </w:numPr>
      <w:spacing w:before="240" w:after="60"/>
      <w:ind w:left="0"/>
      <w:outlineLvl w:val="4"/>
    </w:pPr>
    <w:rPr>
      <w:rFonts w:ascii="Calibri" w:eastAsia="Times New Roman" w:hAnsi="Calibri"/>
      <w:b/>
      <w:bCs/>
      <w:i/>
      <w:iCs/>
      <w:sz w:val="26"/>
      <w:szCs w:val="26"/>
      <w:lang w:val="x-none" w:eastAsia="x-none"/>
    </w:rPr>
  </w:style>
  <w:style w:type="paragraph" w:styleId="Heading6">
    <w:name w:val="heading 6"/>
    <w:basedOn w:val="Normal"/>
    <w:next w:val="Normal"/>
    <w:link w:val="Heading6Char"/>
    <w:uiPriority w:val="9"/>
    <w:unhideWhenUsed/>
    <w:qFormat/>
    <w:rsid w:val="00A22715"/>
    <w:pPr>
      <w:pBdr>
        <w:bottom w:val="dotted" w:sz="6" w:space="1" w:color="4F81BD"/>
      </w:pBdr>
      <w:spacing w:before="300"/>
      <w:outlineLvl w:val="5"/>
    </w:pPr>
    <w:rPr>
      <w:rFonts w:eastAsia="Times New Roman"/>
      <w:caps/>
      <w:color w:val="365F91"/>
      <w:spacing w:val="10"/>
      <w:sz w:val="22"/>
      <w:szCs w:val="22"/>
      <w:lang w:val="x-none"/>
    </w:rPr>
  </w:style>
  <w:style w:type="paragraph" w:styleId="Heading7">
    <w:name w:val="heading 7"/>
    <w:basedOn w:val="Normal"/>
    <w:next w:val="Normal"/>
    <w:link w:val="Heading7Char"/>
    <w:uiPriority w:val="9"/>
    <w:unhideWhenUsed/>
    <w:qFormat/>
    <w:rsid w:val="00A2271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22715"/>
    <w:pPr>
      <w:numPr>
        <w:ilvl w:val="7"/>
        <w:numId w:val="1"/>
      </w:numPr>
      <w:spacing w:before="240" w:after="60"/>
      <w:ind w:left="0"/>
      <w:jc w:val="both"/>
      <w:outlineLvl w:val="7"/>
    </w:pPr>
    <w:rPr>
      <w:i/>
      <w:iCs/>
      <w:lang w:val="vi-VN"/>
    </w:rPr>
  </w:style>
  <w:style w:type="paragraph" w:styleId="Heading9">
    <w:name w:val="heading 9"/>
    <w:basedOn w:val="Normal"/>
    <w:next w:val="Normal"/>
    <w:link w:val="Heading9Char"/>
    <w:uiPriority w:val="9"/>
    <w:unhideWhenUsed/>
    <w:qFormat/>
    <w:rsid w:val="00A22715"/>
    <w:pPr>
      <w:numPr>
        <w:ilvl w:val="8"/>
        <w:numId w:val="1"/>
      </w:numPr>
      <w:spacing w:before="240" w:after="60"/>
      <w:ind w:left="0"/>
      <w:jc w:val="both"/>
      <w:outlineLvl w:val="8"/>
    </w:pPr>
    <w:rPr>
      <w:rFonts w:ascii="Arial" w:hAnsi="Arial"/>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0E1064"/>
    <w:rPr>
      <w:sz w:val="24"/>
      <w:szCs w:val="24"/>
      <w:lang w:val="en-US"/>
    </w:rPr>
  </w:style>
  <w:style w:type="paragraph" w:styleId="NormalWeb">
    <w:name w:val="Normal (Web)"/>
    <w:basedOn w:val="Normal"/>
    <w:link w:val="NormalWebChar"/>
    <w:uiPriority w:val="99"/>
    <w:unhideWhenUsed/>
    <w:qFormat/>
    <w:rsid w:val="000E1064"/>
    <w:pPr>
      <w:spacing w:before="100" w:beforeAutospacing="1" w:after="100" w:afterAutospacing="1"/>
    </w:pPr>
    <w:rPr>
      <w:rFonts w:eastAsiaTheme="minorHAnsi" w:cstheme="minorBidi"/>
    </w:rPr>
  </w:style>
  <w:style w:type="character" w:styleId="Emphasis">
    <w:name w:val="Emphasis"/>
    <w:basedOn w:val="DefaultParagraphFont"/>
    <w:uiPriority w:val="20"/>
    <w:qFormat/>
    <w:rsid w:val="000E1064"/>
    <w:rPr>
      <w:i/>
      <w:iCs/>
    </w:rPr>
  </w:style>
  <w:style w:type="paragraph" w:styleId="BalloonText">
    <w:name w:val="Balloon Text"/>
    <w:basedOn w:val="Normal"/>
    <w:link w:val="BalloonTextChar"/>
    <w:uiPriority w:val="99"/>
    <w:unhideWhenUsed/>
    <w:qFormat/>
    <w:rsid w:val="0056392B"/>
    <w:rPr>
      <w:rFonts w:ascii="Tahoma" w:hAnsi="Tahoma" w:cs="Tahoma"/>
      <w:sz w:val="16"/>
      <w:szCs w:val="16"/>
    </w:rPr>
  </w:style>
  <w:style w:type="character" w:customStyle="1" w:styleId="BalloonTextChar">
    <w:name w:val="Balloon Text Char"/>
    <w:basedOn w:val="DefaultParagraphFont"/>
    <w:link w:val="BalloonText"/>
    <w:uiPriority w:val="99"/>
    <w:qFormat/>
    <w:rsid w:val="0056392B"/>
    <w:rPr>
      <w:rFonts w:ascii="Tahoma" w:eastAsia="Malgun Gothic" w:hAnsi="Tahoma" w:cs="Tahoma"/>
      <w:sz w:val="16"/>
      <w:szCs w:val="16"/>
      <w:lang w:val="en-US"/>
    </w:rPr>
  </w:style>
  <w:style w:type="paragraph" w:styleId="Header">
    <w:name w:val="header"/>
    <w:aliases w:val="h"/>
    <w:basedOn w:val="Normal"/>
    <w:link w:val="HeaderChar"/>
    <w:uiPriority w:val="99"/>
    <w:unhideWhenUsed/>
    <w:qFormat/>
    <w:rsid w:val="007F3422"/>
    <w:pPr>
      <w:tabs>
        <w:tab w:val="center" w:pos="4513"/>
        <w:tab w:val="right" w:pos="9026"/>
      </w:tabs>
    </w:pPr>
  </w:style>
  <w:style w:type="character" w:customStyle="1" w:styleId="HeaderChar">
    <w:name w:val="Header Char"/>
    <w:aliases w:val="h Char"/>
    <w:basedOn w:val="DefaultParagraphFont"/>
    <w:link w:val="Header"/>
    <w:uiPriority w:val="99"/>
    <w:rsid w:val="007F3422"/>
    <w:rPr>
      <w:rFonts w:eastAsia="Malgun Gothic" w:cs="Times New Roman"/>
      <w:sz w:val="24"/>
      <w:szCs w:val="24"/>
      <w:lang w:val="en-US"/>
    </w:rPr>
  </w:style>
  <w:style w:type="paragraph" w:styleId="Footer">
    <w:name w:val="footer"/>
    <w:basedOn w:val="Normal"/>
    <w:link w:val="FooterChar"/>
    <w:uiPriority w:val="99"/>
    <w:unhideWhenUsed/>
    <w:qFormat/>
    <w:rsid w:val="007F3422"/>
    <w:pPr>
      <w:tabs>
        <w:tab w:val="center" w:pos="4513"/>
        <w:tab w:val="right" w:pos="9026"/>
      </w:tabs>
    </w:pPr>
  </w:style>
  <w:style w:type="character" w:customStyle="1" w:styleId="FooterChar">
    <w:name w:val="Footer Char"/>
    <w:basedOn w:val="DefaultParagraphFont"/>
    <w:link w:val="Footer"/>
    <w:uiPriority w:val="99"/>
    <w:qFormat/>
    <w:rsid w:val="007F3422"/>
    <w:rPr>
      <w:rFonts w:eastAsia="Malgun Gothic" w:cs="Times New Roman"/>
      <w:sz w:val="24"/>
      <w:szCs w:val="24"/>
      <w:lang w:val="en-US"/>
    </w:rPr>
  </w:style>
  <w:style w:type="character" w:customStyle="1" w:styleId="ListParagraphChar">
    <w:name w:val="List Paragraph Char"/>
    <w:aliases w:val="HINH Char,Heading 21 Char,Heading 211 Char,heading 2 Char,Heading 22 Char,a-hinh Char"/>
    <w:link w:val="ListParagraph1"/>
    <w:uiPriority w:val="34"/>
    <w:qFormat/>
    <w:locked/>
    <w:rsid w:val="00057994"/>
    <w:rPr>
      <w:rFonts w:ascii="Calibri" w:eastAsia="Calibri" w:hAnsi="Calibri"/>
      <w:sz w:val="22"/>
      <w:lang w:val="x-none"/>
    </w:rPr>
  </w:style>
  <w:style w:type="paragraph" w:customStyle="1" w:styleId="ListParagraph1">
    <w:name w:val="List Paragraph1"/>
    <w:aliases w:val="HINH,heading 2,Heading 21,Heading 211"/>
    <w:basedOn w:val="Normal"/>
    <w:link w:val="ListParagraphChar"/>
    <w:uiPriority w:val="34"/>
    <w:qFormat/>
    <w:rsid w:val="00057994"/>
    <w:pPr>
      <w:spacing w:before="200" w:line="276" w:lineRule="auto"/>
      <w:ind w:left="720"/>
      <w:contextualSpacing/>
    </w:pPr>
    <w:rPr>
      <w:rFonts w:ascii="Calibri" w:eastAsia="Calibri" w:hAnsi="Calibri" w:cstheme="minorBidi"/>
      <w:sz w:val="22"/>
      <w:szCs w:val="22"/>
      <w:lang w:val="x-none"/>
    </w:rPr>
  </w:style>
  <w:style w:type="paragraph" w:customStyle="1" w:styleId="DiachiNotSuperscriptSubscript">
    <w:name w:val="Dia chi + Not Superscript/ Subscript"/>
    <w:basedOn w:val="Normal"/>
    <w:qFormat/>
    <w:rsid w:val="00057994"/>
    <w:pPr>
      <w:widowControl/>
      <w:spacing w:line="312" w:lineRule="auto"/>
      <w:jc w:val="center"/>
      <w:outlineLvl w:val="2"/>
    </w:pPr>
    <w:rPr>
      <w:i/>
      <w:iCs/>
      <w:noProof/>
      <w:lang w:eastAsia="ja-JP"/>
    </w:rPr>
  </w:style>
  <w:style w:type="character" w:styleId="Hyperlink">
    <w:name w:val="Hyperlink"/>
    <w:uiPriority w:val="99"/>
    <w:unhideWhenUsed/>
    <w:qFormat/>
    <w:rsid w:val="00082BEF"/>
    <w:rPr>
      <w:color w:val="0000FF"/>
      <w:u w:val="single"/>
    </w:rPr>
  </w:style>
  <w:style w:type="character" w:customStyle="1" w:styleId="CaptionChar">
    <w:name w:val="Caption Char"/>
    <w:aliases w:val="Bảng Char,Hình Char,BẢNG Char"/>
    <w:link w:val="Caption"/>
    <w:qFormat/>
    <w:locked/>
    <w:rsid w:val="00082BEF"/>
    <w:rPr>
      <w:rFonts w:ascii="Calibri" w:eastAsia="Calibri" w:hAnsi="Calibri"/>
      <w:b/>
      <w:bCs/>
      <w:color w:val="4F81BD"/>
      <w:sz w:val="18"/>
      <w:szCs w:val="18"/>
      <w:lang w:val="x-none" w:eastAsia="x-none"/>
    </w:rPr>
  </w:style>
  <w:style w:type="paragraph" w:styleId="Caption">
    <w:name w:val="caption"/>
    <w:aliases w:val="Bảng,Hình,BẢNG"/>
    <w:basedOn w:val="Normal"/>
    <w:next w:val="Normal"/>
    <w:link w:val="CaptionChar"/>
    <w:unhideWhenUsed/>
    <w:qFormat/>
    <w:rsid w:val="00082BEF"/>
    <w:pPr>
      <w:spacing w:after="200"/>
    </w:pPr>
    <w:rPr>
      <w:rFonts w:ascii="Calibri" w:eastAsia="Calibri" w:hAnsi="Calibri" w:cstheme="minorBidi"/>
      <w:b/>
      <w:bCs/>
      <w:color w:val="4F81BD"/>
      <w:sz w:val="18"/>
      <w:szCs w:val="18"/>
      <w:lang w:val="x-none" w:eastAsia="x-none"/>
    </w:rPr>
  </w:style>
  <w:style w:type="character" w:customStyle="1" w:styleId="EndNoteBibliographyChar">
    <w:name w:val="EndNote Bibliography Char"/>
    <w:link w:val="EndNoteBibliography"/>
    <w:qFormat/>
    <w:locked/>
    <w:rsid w:val="00082BEF"/>
    <w:rPr>
      <w:noProof/>
      <w:sz w:val="24"/>
      <w:szCs w:val="24"/>
      <w:lang w:val="x-none" w:eastAsia="x-none"/>
    </w:rPr>
  </w:style>
  <w:style w:type="paragraph" w:customStyle="1" w:styleId="EndNoteBibliography">
    <w:name w:val="EndNote Bibliography"/>
    <w:basedOn w:val="Normal"/>
    <w:link w:val="EndNoteBibliographyChar"/>
    <w:qFormat/>
    <w:rsid w:val="00082BEF"/>
    <w:pPr>
      <w:jc w:val="both"/>
    </w:pPr>
    <w:rPr>
      <w:rFonts w:eastAsiaTheme="minorHAnsi" w:cstheme="minorBidi"/>
      <w:noProof/>
      <w:lang w:val="x-none" w:eastAsia="x-none"/>
    </w:rPr>
  </w:style>
  <w:style w:type="character" w:customStyle="1" w:styleId="EndNoteBibliographyTitleChar">
    <w:name w:val="EndNote Bibliography Title Char"/>
    <w:link w:val="EndNoteBibliographyTitle"/>
    <w:qFormat/>
    <w:locked/>
    <w:rsid w:val="000B7476"/>
    <w:rPr>
      <w:noProof/>
      <w:sz w:val="24"/>
      <w:szCs w:val="24"/>
      <w:lang w:val="x-none"/>
    </w:rPr>
  </w:style>
  <w:style w:type="paragraph" w:customStyle="1" w:styleId="EndNoteBibliographyTitle">
    <w:name w:val="EndNote Bibliography Title"/>
    <w:basedOn w:val="Normal"/>
    <w:link w:val="EndNoteBibliographyTitleChar"/>
    <w:qFormat/>
    <w:rsid w:val="000B7476"/>
    <w:pPr>
      <w:jc w:val="center"/>
    </w:pPr>
    <w:rPr>
      <w:rFonts w:eastAsiaTheme="minorHAnsi" w:cstheme="minorBidi"/>
      <w:noProof/>
      <w:lang w:val="x-none"/>
    </w:rPr>
  </w:style>
  <w:style w:type="character" w:customStyle="1" w:styleId="mixed-citation">
    <w:name w:val="mixed-citation"/>
    <w:rsid w:val="00962551"/>
  </w:style>
  <w:style w:type="character" w:customStyle="1" w:styleId="a0">
    <w:name w:val="_"/>
    <w:rsid w:val="00962551"/>
  </w:style>
  <w:style w:type="character" w:customStyle="1" w:styleId="ff2">
    <w:name w:val="ff2"/>
    <w:rsid w:val="00962551"/>
  </w:style>
  <w:style w:type="character" w:customStyle="1" w:styleId="ls44">
    <w:name w:val="ls44"/>
    <w:rsid w:val="00962551"/>
  </w:style>
  <w:style w:type="character" w:customStyle="1" w:styleId="ws6f">
    <w:name w:val="ws6f"/>
    <w:rsid w:val="00962551"/>
  </w:style>
  <w:style w:type="character" w:customStyle="1" w:styleId="Heading1Char">
    <w:name w:val="Heading 1 Char"/>
    <w:aliases w:val="PL Char,tieu de 1 Char,CHƯƠNG Char,Heading 1.1 Char"/>
    <w:basedOn w:val="DefaultParagraphFont"/>
    <w:link w:val="Heading1"/>
    <w:uiPriority w:val="9"/>
    <w:qFormat/>
    <w:rsid w:val="00A22715"/>
    <w:rPr>
      <w:rFonts w:ascii="Cambria" w:eastAsia="Times New Roman" w:hAnsi="Cambria" w:cs="Times New Roman"/>
      <w:b/>
      <w:bCs/>
      <w:kern w:val="32"/>
      <w:sz w:val="32"/>
      <w:szCs w:val="32"/>
      <w:lang w:val="x-none" w:eastAsia="x-none"/>
    </w:rPr>
  </w:style>
  <w:style w:type="character" w:customStyle="1" w:styleId="Heading2Char">
    <w:name w:val="Heading 2 Char"/>
    <w:aliases w:val="tieu de 2 Char"/>
    <w:basedOn w:val="DefaultParagraphFont"/>
    <w:link w:val="Heading2"/>
    <w:uiPriority w:val="9"/>
    <w:qFormat/>
    <w:rsid w:val="00A22715"/>
    <w:rPr>
      <w:rFonts w:ascii="Arial" w:eastAsia="MS Mincho" w:hAnsi="Arial" w:cs="Angsana New"/>
      <w:b/>
      <w:bCs/>
      <w:i/>
      <w:iCs/>
      <w:szCs w:val="28"/>
      <w:lang w:val="x-none" w:eastAsia="ja-JP" w:bidi="th-TH"/>
    </w:rPr>
  </w:style>
  <w:style w:type="character" w:customStyle="1" w:styleId="Heading3Char">
    <w:name w:val="Heading 3 Char"/>
    <w:aliases w:val="tieu de 3 Char"/>
    <w:basedOn w:val="DefaultParagraphFont"/>
    <w:link w:val="Heading3"/>
    <w:uiPriority w:val="9"/>
    <w:qFormat/>
    <w:rsid w:val="00A22715"/>
    <w:rPr>
      <w:rFonts w:eastAsia="MS Mincho" w:cs="Times New Roman"/>
      <w:b/>
      <w:bCs/>
      <w:sz w:val="27"/>
      <w:szCs w:val="27"/>
      <w:lang w:val="x-none" w:eastAsia="ja-JP"/>
    </w:rPr>
  </w:style>
  <w:style w:type="character" w:customStyle="1" w:styleId="Heading4Char">
    <w:name w:val="Heading 4 Char"/>
    <w:aliases w:val="tieu de 4 Char"/>
    <w:basedOn w:val="DefaultParagraphFont"/>
    <w:link w:val="Heading4"/>
    <w:uiPriority w:val="9"/>
    <w:qFormat/>
    <w:rsid w:val="00A22715"/>
    <w:rPr>
      <w:rFonts w:eastAsia="Times New Roman" w:cs="Times New Roman"/>
      <w:b/>
      <w:bCs/>
      <w:szCs w:val="28"/>
      <w:lang w:val="x-none" w:eastAsia="ko-KR"/>
    </w:rPr>
  </w:style>
  <w:style w:type="character" w:customStyle="1" w:styleId="Heading5Char">
    <w:name w:val="Heading 5 Char"/>
    <w:basedOn w:val="DefaultParagraphFont"/>
    <w:link w:val="Heading5"/>
    <w:uiPriority w:val="9"/>
    <w:qFormat/>
    <w:rsid w:val="00A22715"/>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qFormat/>
    <w:rsid w:val="00A22715"/>
    <w:rPr>
      <w:rFonts w:eastAsia="Times New Roman" w:cs="Times New Roman"/>
      <w:caps/>
      <w:color w:val="365F91"/>
      <w:spacing w:val="10"/>
      <w:sz w:val="22"/>
      <w:lang w:val="x-none"/>
    </w:rPr>
  </w:style>
  <w:style w:type="character" w:customStyle="1" w:styleId="Heading7Char">
    <w:name w:val="Heading 7 Char"/>
    <w:basedOn w:val="DefaultParagraphFont"/>
    <w:link w:val="Heading7"/>
    <w:uiPriority w:val="9"/>
    <w:qFormat/>
    <w:rsid w:val="00A22715"/>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qFormat/>
    <w:rsid w:val="00A22715"/>
    <w:rPr>
      <w:rFonts w:eastAsia="Malgun Gothic" w:cs="Times New Roman"/>
      <w:i/>
      <w:iCs/>
      <w:sz w:val="24"/>
      <w:szCs w:val="24"/>
    </w:rPr>
  </w:style>
  <w:style w:type="character" w:customStyle="1" w:styleId="Heading9Char">
    <w:name w:val="Heading 9 Char"/>
    <w:basedOn w:val="DefaultParagraphFont"/>
    <w:link w:val="Heading9"/>
    <w:uiPriority w:val="9"/>
    <w:qFormat/>
    <w:rsid w:val="00A22715"/>
    <w:rPr>
      <w:rFonts w:ascii="Arial" w:eastAsia="Malgun Gothic" w:hAnsi="Arial" w:cs="Times New Roman"/>
      <w:sz w:val="22"/>
    </w:rPr>
  </w:style>
  <w:style w:type="character" w:styleId="FollowedHyperlink">
    <w:name w:val="FollowedHyperlink"/>
    <w:uiPriority w:val="99"/>
    <w:semiHidden/>
    <w:unhideWhenUsed/>
    <w:rsid w:val="00A22715"/>
    <w:rPr>
      <w:color w:val="800080"/>
      <w:u w:val="single"/>
    </w:rPr>
  </w:style>
  <w:style w:type="character" w:styleId="HTMLCode">
    <w:name w:val="HTML Code"/>
    <w:semiHidden/>
    <w:unhideWhenUsed/>
    <w:rsid w:val="00A22715"/>
    <w:rPr>
      <w:rFonts w:ascii="Courier New" w:eastAsia="Times New Roman" w:hAnsi="Courier New" w:cs="Courier New" w:hint="default"/>
      <w:sz w:val="20"/>
      <w:szCs w:val="20"/>
    </w:rPr>
  </w:style>
  <w:style w:type="character" w:customStyle="1" w:styleId="Heading1Char1">
    <w:name w:val="Heading 1 Char1"/>
    <w:aliases w:val="PL Char1,tieu de 1 Char1,CHƯƠNG Char1,Heading 1.1 Char1"/>
    <w:basedOn w:val="DefaultParagraphFont"/>
    <w:rsid w:val="00A22715"/>
    <w:rPr>
      <w:rFonts w:asciiTheme="majorHAnsi" w:eastAsiaTheme="majorEastAsia" w:hAnsiTheme="majorHAnsi" w:cstheme="majorBidi"/>
      <w:b/>
      <w:bCs/>
      <w:color w:val="A5A5A5" w:themeColor="accent1" w:themeShade="BF"/>
      <w:sz w:val="28"/>
      <w:szCs w:val="28"/>
      <w:lang w:val="en-US" w:eastAsia="en-US"/>
    </w:rPr>
  </w:style>
  <w:style w:type="character" w:customStyle="1" w:styleId="Heading2Char1">
    <w:name w:val="Heading 2 Char1"/>
    <w:aliases w:val="tieu de 2 Char1"/>
    <w:basedOn w:val="DefaultParagraphFont"/>
    <w:semiHidden/>
    <w:rsid w:val="00A22715"/>
    <w:rPr>
      <w:rFonts w:asciiTheme="majorHAnsi" w:eastAsiaTheme="majorEastAsia" w:hAnsiTheme="majorHAnsi" w:cstheme="majorBidi"/>
      <w:b/>
      <w:bCs/>
      <w:color w:val="DDDDDD" w:themeColor="accent1"/>
      <w:sz w:val="26"/>
      <w:szCs w:val="26"/>
      <w:lang w:val="en-US" w:eastAsia="en-US"/>
    </w:rPr>
  </w:style>
  <w:style w:type="character" w:customStyle="1" w:styleId="Heading3Char1">
    <w:name w:val="Heading 3 Char1"/>
    <w:aliases w:val="tieu de 3 Char1"/>
    <w:basedOn w:val="DefaultParagraphFont"/>
    <w:semiHidden/>
    <w:rsid w:val="00A22715"/>
    <w:rPr>
      <w:rFonts w:asciiTheme="majorHAnsi" w:eastAsiaTheme="majorEastAsia" w:hAnsiTheme="majorHAnsi" w:cstheme="majorBidi"/>
      <w:b/>
      <w:bCs/>
      <w:color w:val="DDDDDD" w:themeColor="accent1"/>
      <w:sz w:val="24"/>
      <w:szCs w:val="24"/>
      <w:lang w:val="en-US" w:eastAsia="en-US"/>
    </w:rPr>
  </w:style>
  <w:style w:type="character" w:customStyle="1" w:styleId="Heading4Char1">
    <w:name w:val="Heading 4 Char1"/>
    <w:aliases w:val="tieu de 4 Char1"/>
    <w:basedOn w:val="DefaultParagraphFont"/>
    <w:semiHidden/>
    <w:rsid w:val="00A22715"/>
    <w:rPr>
      <w:rFonts w:asciiTheme="majorHAnsi" w:eastAsiaTheme="majorEastAsia" w:hAnsiTheme="majorHAnsi" w:cstheme="majorBidi"/>
      <w:b/>
      <w:bCs/>
      <w:i/>
      <w:iCs/>
      <w:color w:val="DDDDDD" w:themeColor="accent1"/>
      <w:sz w:val="24"/>
      <w:szCs w:val="24"/>
      <w:lang w:val="en-US" w:eastAsia="en-US"/>
    </w:rPr>
  </w:style>
  <w:style w:type="paragraph" w:styleId="HTMLPreformatted">
    <w:name w:val="HTML Preformatted"/>
    <w:basedOn w:val="Normal"/>
    <w:link w:val="HTMLPreformattedChar"/>
    <w:uiPriority w:val="99"/>
    <w:unhideWhenUsed/>
    <w:rsid w:val="00A22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vi-VN" w:eastAsia="vi-VN"/>
    </w:rPr>
  </w:style>
  <w:style w:type="character" w:customStyle="1" w:styleId="HTMLPreformattedChar">
    <w:name w:val="HTML Preformatted Char"/>
    <w:basedOn w:val="DefaultParagraphFont"/>
    <w:link w:val="HTMLPreformatted"/>
    <w:uiPriority w:val="99"/>
    <w:rsid w:val="00A22715"/>
    <w:rPr>
      <w:rFonts w:ascii="Courier New" w:eastAsia="Malgun Gothic" w:hAnsi="Courier New" w:cs="Times New Roman"/>
      <w:sz w:val="20"/>
      <w:szCs w:val="20"/>
      <w:lang w:eastAsia="vi-VN"/>
    </w:rPr>
  </w:style>
  <w:style w:type="paragraph" w:styleId="Index7">
    <w:name w:val="index 7"/>
    <w:basedOn w:val="Normal"/>
    <w:next w:val="Normal"/>
    <w:autoRedefine/>
    <w:uiPriority w:val="99"/>
    <w:semiHidden/>
    <w:unhideWhenUsed/>
    <w:qFormat/>
    <w:rsid w:val="00A22715"/>
    <w:pPr>
      <w:widowControl/>
      <w:ind w:left="1820" w:hanging="260"/>
    </w:pPr>
    <w:rPr>
      <w:rFonts w:eastAsia="Times New Roman"/>
    </w:rPr>
  </w:style>
  <w:style w:type="paragraph" w:styleId="TOC1">
    <w:name w:val="toc 1"/>
    <w:basedOn w:val="Normal"/>
    <w:next w:val="Normal"/>
    <w:autoRedefine/>
    <w:uiPriority w:val="39"/>
    <w:unhideWhenUsed/>
    <w:qFormat/>
    <w:rsid w:val="00A22715"/>
    <w:pPr>
      <w:spacing w:after="100" w:line="360" w:lineRule="auto"/>
      <w:jc w:val="both"/>
    </w:pPr>
    <w:rPr>
      <w:rFonts w:eastAsia="Calibri"/>
      <w:bCs/>
      <w:sz w:val="28"/>
      <w:szCs w:val="28"/>
      <w:lang w:val="vi-VN"/>
    </w:rPr>
  </w:style>
  <w:style w:type="paragraph" w:styleId="TOC2">
    <w:name w:val="toc 2"/>
    <w:basedOn w:val="Normal"/>
    <w:next w:val="Normal"/>
    <w:autoRedefine/>
    <w:uiPriority w:val="39"/>
    <w:unhideWhenUsed/>
    <w:qFormat/>
    <w:rsid w:val="00A22715"/>
    <w:pPr>
      <w:spacing w:after="100" w:line="360" w:lineRule="auto"/>
      <w:ind w:left="280"/>
      <w:jc w:val="both"/>
    </w:pPr>
    <w:rPr>
      <w:rFonts w:eastAsia="Calibri"/>
      <w:bCs/>
      <w:sz w:val="28"/>
      <w:szCs w:val="28"/>
      <w:lang w:val="vi-VN"/>
    </w:rPr>
  </w:style>
  <w:style w:type="paragraph" w:styleId="TOC3">
    <w:name w:val="toc 3"/>
    <w:basedOn w:val="Normal"/>
    <w:next w:val="Normal"/>
    <w:autoRedefine/>
    <w:uiPriority w:val="39"/>
    <w:unhideWhenUsed/>
    <w:qFormat/>
    <w:rsid w:val="00A22715"/>
    <w:pPr>
      <w:spacing w:after="100" w:line="360" w:lineRule="auto"/>
      <w:ind w:left="560"/>
      <w:jc w:val="both"/>
    </w:pPr>
    <w:rPr>
      <w:rFonts w:eastAsia="Calibri"/>
      <w:bCs/>
      <w:sz w:val="28"/>
      <w:szCs w:val="28"/>
      <w:lang w:val="vi-VN"/>
    </w:rPr>
  </w:style>
  <w:style w:type="paragraph" w:styleId="TOC4">
    <w:name w:val="toc 4"/>
    <w:basedOn w:val="Normal"/>
    <w:next w:val="Normal"/>
    <w:autoRedefine/>
    <w:uiPriority w:val="39"/>
    <w:unhideWhenUsed/>
    <w:qFormat/>
    <w:rsid w:val="00A22715"/>
    <w:pPr>
      <w:tabs>
        <w:tab w:val="left" w:pos="840"/>
        <w:tab w:val="right" w:leader="dot" w:pos="8778"/>
      </w:tabs>
      <w:spacing w:line="360" w:lineRule="auto"/>
      <w:jc w:val="both"/>
    </w:pPr>
    <w:rPr>
      <w:sz w:val="26"/>
      <w:szCs w:val="26"/>
    </w:rPr>
  </w:style>
  <w:style w:type="paragraph" w:styleId="TOC5">
    <w:name w:val="toc 5"/>
    <w:basedOn w:val="Normal"/>
    <w:next w:val="Normal"/>
    <w:autoRedefine/>
    <w:uiPriority w:val="39"/>
    <w:unhideWhenUsed/>
    <w:qFormat/>
    <w:rsid w:val="00A22715"/>
    <w:pPr>
      <w:tabs>
        <w:tab w:val="left" w:pos="840"/>
        <w:tab w:val="right" w:leader="dot" w:pos="8778"/>
      </w:tabs>
      <w:spacing w:line="360" w:lineRule="auto"/>
      <w:jc w:val="both"/>
    </w:pPr>
  </w:style>
  <w:style w:type="paragraph" w:styleId="TOC6">
    <w:name w:val="toc 6"/>
    <w:basedOn w:val="Normal"/>
    <w:next w:val="Normal"/>
    <w:autoRedefine/>
    <w:uiPriority w:val="39"/>
    <w:unhideWhenUsed/>
    <w:qFormat/>
    <w:rsid w:val="00A22715"/>
    <w:pPr>
      <w:spacing w:line="360" w:lineRule="auto"/>
      <w:ind w:left="1200"/>
      <w:jc w:val="both"/>
    </w:pPr>
  </w:style>
  <w:style w:type="paragraph" w:styleId="TOC7">
    <w:name w:val="toc 7"/>
    <w:basedOn w:val="Normal"/>
    <w:next w:val="Normal"/>
    <w:autoRedefine/>
    <w:uiPriority w:val="39"/>
    <w:unhideWhenUsed/>
    <w:qFormat/>
    <w:rsid w:val="00A22715"/>
    <w:pPr>
      <w:spacing w:line="360" w:lineRule="auto"/>
      <w:ind w:left="1440"/>
      <w:jc w:val="both"/>
    </w:pPr>
  </w:style>
  <w:style w:type="paragraph" w:styleId="TOC8">
    <w:name w:val="toc 8"/>
    <w:basedOn w:val="Normal"/>
    <w:next w:val="Normal"/>
    <w:autoRedefine/>
    <w:uiPriority w:val="39"/>
    <w:unhideWhenUsed/>
    <w:qFormat/>
    <w:rsid w:val="00A22715"/>
    <w:pPr>
      <w:spacing w:line="360" w:lineRule="auto"/>
      <w:ind w:left="1680"/>
      <w:jc w:val="both"/>
    </w:pPr>
  </w:style>
  <w:style w:type="paragraph" w:styleId="TOC9">
    <w:name w:val="toc 9"/>
    <w:basedOn w:val="Normal"/>
    <w:next w:val="Normal"/>
    <w:autoRedefine/>
    <w:uiPriority w:val="39"/>
    <w:unhideWhenUsed/>
    <w:qFormat/>
    <w:rsid w:val="00A22715"/>
    <w:pPr>
      <w:spacing w:line="360" w:lineRule="auto"/>
      <w:ind w:left="1920"/>
      <w:jc w:val="both"/>
    </w:pPr>
  </w:style>
  <w:style w:type="paragraph" w:styleId="FootnoteText">
    <w:name w:val="footnote text"/>
    <w:basedOn w:val="Normal"/>
    <w:link w:val="FootnoteTextChar"/>
    <w:uiPriority w:val="99"/>
    <w:semiHidden/>
    <w:unhideWhenUsed/>
    <w:qFormat/>
    <w:rsid w:val="00A22715"/>
    <w:rPr>
      <w:rFonts w:ascii="Calibri" w:hAnsi="Calibri"/>
      <w:sz w:val="20"/>
      <w:szCs w:val="20"/>
      <w:lang w:val="vi-VN" w:eastAsia="ja-JP"/>
    </w:rPr>
  </w:style>
  <w:style w:type="character" w:customStyle="1" w:styleId="FootnoteTextChar">
    <w:name w:val="Footnote Text Char"/>
    <w:basedOn w:val="DefaultParagraphFont"/>
    <w:link w:val="FootnoteText"/>
    <w:uiPriority w:val="99"/>
    <w:semiHidden/>
    <w:rsid w:val="00A22715"/>
    <w:rPr>
      <w:rFonts w:ascii="Calibri" w:eastAsia="Malgun Gothic" w:hAnsi="Calibri" w:cs="Times New Roman"/>
      <w:sz w:val="20"/>
      <w:szCs w:val="20"/>
      <w:lang w:eastAsia="ja-JP"/>
    </w:rPr>
  </w:style>
  <w:style w:type="paragraph" w:styleId="CommentText">
    <w:name w:val="annotation text"/>
    <w:basedOn w:val="Normal"/>
    <w:link w:val="CommentTextChar"/>
    <w:uiPriority w:val="99"/>
    <w:unhideWhenUsed/>
    <w:qFormat/>
    <w:rsid w:val="00A22715"/>
    <w:rPr>
      <w:rFonts w:ascii="VNI-Times" w:hAnsi="VNI-Times"/>
      <w:bCs/>
      <w:sz w:val="20"/>
      <w:szCs w:val="20"/>
      <w:lang w:val="x-none" w:eastAsia="x-none"/>
    </w:rPr>
  </w:style>
  <w:style w:type="character" w:customStyle="1" w:styleId="CommentTextChar">
    <w:name w:val="Comment Text Char"/>
    <w:basedOn w:val="DefaultParagraphFont"/>
    <w:link w:val="CommentText"/>
    <w:uiPriority w:val="99"/>
    <w:qFormat/>
    <w:rsid w:val="00A22715"/>
    <w:rPr>
      <w:rFonts w:ascii="VNI-Times" w:eastAsia="Malgun Gothic" w:hAnsi="VNI-Times" w:cs="Times New Roman"/>
      <w:bCs/>
      <w:sz w:val="20"/>
      <w:szCs w:val="20"/>
      <w:lang w:val="x-none" w:eastAsia="x-none"/>
    </w:rPr>
  </w:style>
  <w:style w:type="character" w:customStyle="1" w:styleId="HeaderChar1">
    <w:name w:val="Header Char1"/>
    <w:aliases w:val="h Char1"/>
    <w:basedOn w:val="DefaultParagraphFont"/>
    <w:uiPriority w:val="99"/>
    <w:semiHidden/>
    <w:rsid w:val="00A22715"/>
    <w:rPr>
      <w:rFonts w:eastAsia="Malgun Gothic" w:cs="Times New Roman"/>
      <w:sz w:val="24"/>
      <w:szCs w:val="24"/>
      <w:lang w:val="en-US"/>
    </w:rPr>
  </w:style>
  <w:style w:type="paragraph" w:styleId="TableofFigures">
    <w:name w:val="table of figures"/>
    <w:basedOn w:val="Normal"/>
    <w:next w:val="Normal"/>
    <w:uiPriority w:val="99"/>
    <w:unhideWhenUsed/>
    <w:qFormat/>
    <w:rsid w:val="00A22715"/>
    <w:pPr>
      <w:spacing w:line="360" w:lineRule="auto"/>
      <w:jc w:val="both"/>
    </w:pPr>
    <w:rPr>
      <w:rFonts w:eastAsia="Calibri"/>
      <w:bCs/>
      <w:sz w:val="28"/>
      <w:szCs w:val="28"/>
      <w:lang w:val="vi-VN"/>
    </w:rPr>
  </w:style>
  <w:style w:type="paragraph" w:styleId="EndnoteText">
    <w:name w:val="endnote text"/>
    <w:basedOn w:val="Normal"/>
    <w:link w:val="EndnoteTextChar"/>
    <w:uiPriority w:val="99"/>
    <w:unhideWhenUsed/>
    <w:qFormat/>
    <w:rsid w:val="00A22715"/>
    <w:pPr>
      <w:jc w:val="both"/>
    </w:pPr>
    <w:rPr>
      <w:sz w:val="20"/>
      <w:szCs w:val="20"/>
      <w:lang w:val="vi-VN" w:eastAsia="vi-VN"/>
    </w:rPr>
  </w:style>
  <w:style w:type="character" w:customStyle="1" w:styleId="EndnoteTextChar">
    <w:name w:val="Endnote Text Char"/>
    <w:basedOn w:val="DefaultParagraphFont"/>
    <w:link w:val="EndnoteText"/>
    <w:uiPriority w:val="99"/>
    <w:rsid w:val="00A22715"/>
    <w:rPr>
      <w:rFonts w:eastAsia="Malgun Gothic" w:cs="Times New Roman"/>
      <w:sz w:val="20"/>
      <w:szCs w:val="20"/>
      <w:lang w:eastAsia="vi-VN"/>
    </w:rPr>
  </w:style>
  <w:style w:type="paragraph" w:styleId="List">
    <w:name w:val="List"/>
    <w:aliases w:val="List bang"/>
    <w:basedOn w:val="Normal"/>
    <w:unhideWhenUsed/>
    <w:qFormat/>
    <w:rsid w:val="00A22715"/>
    <w:pPr>
      <w:spacing w:line="360" w:lineRule="auto"/>
      <w:ind w:left="360" w:hanging="360"/>
      <w:jc w:val="both"/>
    </w:pPr>
    <w:rPr>
      <w:rFonts w:eastAsia="Calibri"/>
      <w:sz w:val="26"/>
      <w:szCs w:val="22"/>
      <w:lang w:val="vi-VN"/>
    </w:rPr>
  </w:style>
  <w:style w:type="character" w:customStyle="1" w:styleId="TitleChar">
    <w:name w:val="Title Char"/>
    <w:aliases w:val="Tiêu đề bài báo Char,heading 3 Char"/>
    <w:basedOn w:val="DefaultParagraphFont"/>
    <w:link w:val="Title"/>
    <w:uiPriority w:val="10"/>
    <w:qFormat/>
    <w:locked/>
    <w:rsid w:val="00A22715"/>
    <w:rPr>
      <w:rFonts w:ascii=".VnTime" w:hAnsi=".VnTime"/>
      <w:b/>
    </w:rPr>
  </w:style>
  <w:style w:type="paragraph" w:styleId="Title">
    <w:name w:val="Title"/>
    <w:aliases w:val="Tiêu đề bài báo,heading 3"/>
    <w:basedOn w:val="Normal"/>
    <w:link w:val="TitleChar"/>
    <w:uiPriority w:val="10"/>
    <w:qFormat/>
    <w:rsid w:val="00A22715"/>
    <w:pPr>
      <w:spacing w:after="120"/>
      <w:ind w:left="5040" w:firstLine="720"/>
      <w:jc w:val="center"/>
    </w:pPr>
    <w:rPr>
      <w:rFonts w:ascii=".VnTime" w:eastAsiaTheme="minorHAnsi" w:hAnsi=".VnTime" w:cstheme="minorBidi"/>
      <w:b/>
      <w:sz w:val="28"/>
      <w:szCs w:val="22"/>
      <w:lang w:val="vi-VN"/>
    </w:rPr>
  </w:style>
  <w:style w:type="character" w:customStyle="1" w:styleId="TitleChar1">
    <w:name w:val="Title Char1"/>
    <w:aliases w:val="Tiêu đề bài báo Char1,heading 3 Char1"/>
    <w:basedOn w:val="DefaultParagraphFont"/>
    <w:uiPriority w:val="10"/>
    <w:rsid w:val="00A22715"/>
    <w:rPr>
      <w:rFonts w:asciiTheme="majorHAnsi" w:eastAsiaTheme="majorEastAsia" w:hAnsiTheme="majorHAnsi" w:cstheme="majorBidi"/>
      <w:color w:val="000000" w:themeColor="text2" w:themeShade="BF"/>
      <w:spacing w:val="5"/>
      <w:kern w:val="28"/>
      <w:sz w:val="52"/>
      <w:szCs w:val="52"/>
      <w:lang w:val="en-US"/>
    </w:rPr>
  </w:style>
  <w:style w:type="paragraph" w:styleId="BodyText">
    <w:name w:val="Body Text"/>
    <w:basedOn w:val="Normal"/>
    <w:link w:val="BodyTextChar"/>
    <w:unhideWhenUsed/>
    <w:qFormat/>
    <w:rsid w:val="00A22715"/>
    <w:rPr>
      <w:rFonts w:ascii="VNI-Times" w:hAnsi="VNI-Times"/>
      <w:sz w:val="28"/>
      <w:szCs w:val="28"/>
      <w:lang w:val="x-none" w:eastAsia="x-none"/>
    </w:rPr>
  </w:style>
  <w:style w:type="character" w:customStyle="1" w:styleId="BodyTextChar">
    <w:name w:val="Body Text Char"/>
    <w:basedOn w:val="DefaultParagraphFont"/>
    <w:link w:val="BodyText"/>
    <w:rsid w:val="00A22715"/>
    <w:rPr>
      <w:rFonts w:ascii="VNI-Times" w:eastAsia="Malgun Gothic" w:hAnsi="VNI-Times" w:cs="Times New Roman"/>
      <w:szCs w:val="28"/>
      <w:lang w:val="x-none" w:eastAsia="x-none"/>
    </w:rPr>
  </w:style>
  <w:style w:type="paragraph" w:styleId="BodyTextIndent">
    <w:name w:val="Body Text Indent"/>
    <w:basedOn w:val="Normal"/>
    <w:link w:val="BodyTextIndentChar"/>
    <w:uiPriority w:val="99"/>
    <w:semiHidden/>
    <w:unhideWhenUsed/>
    <w:qFormat/>
    <w:rsid w:val="00A22715"/>
    <w:pPr>
      <w:spacing w:line="360" w:lineRule="auto"/>
      <w:jc w:val="both"/>
    </w:pPr>
    <w:rPr>
      <w:sz w:val="26"/>
      <w:szCs w:val="26"/>
      <w:lang w:val="x-none"/>
    </w:rPr>
  </w:style>
  <w:style w:type="character" w:customStyle="1" w:styleId="BodyTextIndentChar">
    <w:name w:val="Body Text Indent Char"/>
    <w:basedOn w:val="DefaultParagraphFont"/>
    <w:link w:val="BodyTextIndent"/>
    <w:uiPriority w:val="99"/>
    <w:semiHidden/>
    <w:rsid w:val="00A22715"/>
    <w:rPr>
      <w:rFonts w:eastAsia="Malgun Gothic" w:cs="Times New Roman"/>
      <w:sz w:val="26"/>
      <w:szCs w:val="26"/>
      <w:lang w:val="x-none"/>
    </w:rPr>
  </w:style>
  <w:style w:type="paragraph" w:styleId="ListContinue">
    <w:name w:val="List Continue"/>
    <w:basedOn w:val="Normal"/>
    <w:uiPriority w:val="99"/>
    <w:semiHidden/>
    <w:unhideWhenUsed/>
    <w:qFormat/>
    <w:rsid w:val="00A22715"/>
    <w:pPr>
      <w:widowControl/>
      <w:spacing w:after="120"/>
      <w:ind w:left="360"/>
    </w:pPr>
    <w:rPr>
      <w:rFonts w:cs="Angsana New"/>
      <w:noProof/>
    </w:rPr>
  </w:style>
  <w:style w:type="character" w:customStyle="1" w:styleId="SubtitleChar">
    <w:name w:val="Subtitle Char"/>
    <w:aliases w:val="heading 4 Char"/>
    <w:basedOn w:val="DefaultParagraphFont"/>
    <w:link w:val="Subtitle"/>
    <w:uiPriority w:val="11"/>
    <w:locked/>
    <w:rsid w:val="00A22715"/>
    <w:rPr>
      <w:caps/>
      <w:color w:val="595959"/>
      <w:spacing w:val="10"/>
      <w:sz w:val="24"/>
      <w:szCs w:val="24"/>
      <w:lang w:val="x-none"/>
    </w:rPr>
  </w:style>
  <w:style w:type="paragraph" w:styleId="Subtitle">
    <w:name w:val="Subtitle"/>
    <w:aliases w:val="heading 4"/>
    <w:basedOn w:val="Normal"/>
    <w:next w:val="Normal"/>
    <w:link w:val="SubtitleChar"/>
    <w:uiPriority w:val="11"/>
    <w:qFormat/>
    <w:rsid w:val="00A22715"/>
    <w:pPr>
      <w:spacing w:after="1000" w:line="360" w:lineRule="auto"/>
      <w:jc w:val="both"/>
    </w:pPr>
    <w:rPr>
      <w:rFonts w:eastAsiaTheme="minorHAnsi" w:cstheme="minorBidi"/>
      <w:caps/>
      <w:color w:val="595959"/>
      <w:spacing w:val="10"/>
      <w:lang w:val="x-none"/>
    </w:rPr>
  </w:style>
  <w:style w:type="character" w:customStyle="1" w:styleId="SubtitleChar1">
    <w:name w:val="Subtitle Char1"/>
    <w:aliases w:val="heading 4 Char1"/>
    <w:basedOn w:val="DefaultParagraphFont"/>
    <w:uiPriority w:val="11"/>
    <w:rsid w:val="00A22715"/>
    <w:rPr>
      <w:rFonts w:asciiTheme="majorHAnsi" w:eastAsiaTheme="majorEastAsia" w:hAnsiTheme="majorHAnsi" w:cstheme="majorBidi"/>
      <w:i/>
      <w:iCs/>
      <w:color w:val="DDDDDD" w:themeColor="accent1"/>
      <w:spacing w:val="15"/>
      <w:sz w:val="24"/>
      <w:szCs w:val="24"/>
      <w:lang w:val="en-US"/>
    </w:rPr>
  </w:style>
  <w:style w:type="paragraph" w:styleId="BodyTextFirstIndent">
    <w:name w:val="Body Text First Indent"/>
    <w:basedOn w:val="BodyText"/>
    <w:link w:val="BodyTextFirstIndentChar"/>
    <w:uiPriority w:val="19"/>
    <w:semiHidden/>
    <w:unhideWhenUsed/>
    <w:qFormat/>
    <w:rsid w:val="00A22715"/>
    <w:pPr>
      <w:widowControl/>
      <w:spacing w:line="480" w:lineRule="auto"/>
      <w:ind w:firstLine="709"/>
    </w:pPr>
    <w:rPr>
      <w:rFonts w:ascii="Times New Roman" w:eastAsia="Calibri" w:hAnsi="Times New Roman"/>
      <w:sz w:val="24"/>
      <w:szCs w:val="24"/>
      <w:lang w:val="en-US" w:eastAsia="en-CA"/>
    </w:rPr>
  </w:style>
  <w:style w:type="character" w:customStyle="1" w:styleId="BodyTextFirstIndentChar">
    <w:name w:val="Body Text First Indent Char"/>
    <w:basedOn w:val="BodyTextChar"/>
    <w:link w:val="BodyTextFirstIndent"/>
    <w:uiPriority w:val="19"/>
    <w:semiHidden/>
    <w:rsid w:val="00A22715"/>
    <w:rPr>
      <w:rFonts w:ascii="VNI-Times" w:eastAsia="Calibri" w:hAnsi="VNI-Times" w:cs="Times New Roman"/>
      <w:sz w:val="24"/>
      <w:szCs w:val="24"/>
      <w:lang w:val="en-US" w:eastAsia="en-CA"/>
    </w:rPr>
  </w:style>
  <w:style w:type="paragraph" w:styleId="BodyText2">
    <w:name w:val="Body Text 2"/>
    <w:basedOn w:val="Normal"/>
    <w:link w:val="BodyText2Char"/>
    <w:uiPriority w:val="99"/>
    <w:semiHidden/>
    <w:unhideWhenUsed/>
    <w:qFormat/>
    <w:rsid w:val="00A22715"/>
    <w:pPr>
      <w:spacing w:after="120" w:line="480" w:lineRule="auto"/>
    </w:pPr>
    <w:rPr>
      <w:rFonts w:ascii="Calibri" w:hAnsi="Calibri"/>
      <w:sz w:val="22"/>
      <w:szCs w:val="22"/>
      <w:lang w:val="x-none"/>
    </w:rPr>
  </w:style>
  <w:style w:type="character" w:customStyle="1" w:styleId="BodyText2Char">
    <w:name w:val="Body Text 2 Char"/>
    <w:basedOn w:val="DefaultParagraphFont"/>
    <w:link w:val="BodyText2"/>
    <w:uiPriority w:val="99"/>
    <w:semiHidden/>
    <w:rsid w:val="00A22715"/>
    <w:rPr>
      <w:rFonts w:ascii="Calibri" w:eastAsia="Malgun Gothic" w:hAnsi="Calibri" w:cs="Times New Roman"/>
      <w:sz w:val="22"/>
      <w:lang w:val="x-none"/>
    </w:rPr>
  </w:style>
  <w:style w:type="paragraph" w:styleId="BodyText3">
    <w:name w:val="Body Text 3"/>
    <w:basedOn w:val="Normal"/>
    <w:link w:val="BodyText3Char"/>
    <w:unhideWhenUsed/>
    <w:qFormat/>
    <w:rsid w:val="00A22715"/>
    <w:pPr>
      <w:spacing w:after="120"/>
      <w:jc w:val="both"/>
    </w:pPr>
    <w:rPr>
      <w:rFonts w:ascii=".VnTime" w:hAnsi=".VnTime"/>
      <w:szCs w:val="20"/>
      <w:lang w:val="vi-VN"/>
    </w:rPr>
  </w:style>
  <w:style w:type="character" w:customStyle="1" w:styleId="BodyText3Char">
    <w:name w:val="Body Text 3 Char"/>
    <w:basedOn w:val="DefaultParagraphFont"/>
    <w:link w:val="BodyText3"/>
    <w:qFormat/>
    <w:rsid w:val="00A22715"/>
    <w:rPr>
      <w:rFonts w:ascii=".VnTime" w:eastAsia="Malgun Gothic" w:hAnsi=".VnTime" w:cs="Times New Roman"/>
      <w:sz w:val="24"/>
      <w:szCs w:val="20"/>
    </w:rPr>
  </w:style>
  <w:style w:type="paragraph" w:styleId="BodyTextIndent2">
    <w:name w:val="Body Text Indent 2"/>
    <w:basedOn w:val="Normal"/>
    <w:link w:val="BodyTextIndent2Char"/>
    <w:uiPriority w:val="99"/>
    <w:semiHidden/>
    <w:unhideWhenUsed/>
    <w:qFormat/>
    <w:rsid w:val="00A22715"/>
    <w:pPr>
      <w:spacing w:line="312" w:lineRule="auto"/>
      <w:ind w:left="41"/>
      <w:jc w:val="both"/>
    </w:pPr>
    <w:rPr>
      <w:rFonts w:ascii=".VnTime" w:hAnsi=".VnTime"/>
      <w:sz w:val="28"/>
      <w:lang w:val="x-none" w:bidi="he-IL"/>
    </w:rPr>
  </w:style>
  <w:style w:type="character" w:customStyle="1" w:styleId="BodyTextIndent2Char">
    <w:name w:val="Body Text Indent 2 Char"/>
    <w:basedOn w:val="DefaultParagraphFont"/>
    <w:link w:val="BodyTextIndent2"/>
    <w:uiPriority w:val="99"/>
    <w:semiHidden/>
    <w:rsid w:val="00A22715"/>
    <w:rPr>
      <w:rFonts w:ascii=".VnTime" w:eastAsia="Malgun Gothic" w:hAnsi=".VnTime" w:cs="Times New Roman"/>
      <w:szCs w:val="24"/>
      <w:lang w:val="x-none" w:bidi="he-IL"/>
    </w:rPr>
  </w:style>
  <w:style w:type="paragraph" w:styleId="DocumentMap">
    <w:name w:val="Document Map"/>
    <w:basedOn w:val="Normal"/>
    <w:link w:val="DocumentMapChar"/>
    <w:uiPriority w:val="99"/>
    <w:semiHidden/>
    <w:unhideWhenUsed/>
    <w:qFormat/>
    <w:rsid w:val="00A22715"/>
    <w:rPr>
      <w:rFonts w:ascii="Tahoma" w:hAnsi="Tahoma"/>
      <w:color w:val="000000"/>
      <w:sz w:val="16"/>
      <w:szCs w:val="16"/>
      <w:lang w:val="x-none"/>
    </w:rPr>
  </w:style>
  <w:style w:type="character" w:customStyle="1" w:styleId="DocumentMapChar">
    <w:name w:val="Document Map Char"/>
    <w:basedOn w:val="DefaultParagraphFont"/>
    <w:link w:val="DocumentMap"/>
    <w:uiPriority w:val="99"/>
    <w:semiHidden/>
    <w:rsid w:val="00A22715"/>
    <w:rPr>
      <w:rFonts w:ascii="Tahoma" w:eastAsia="Malgun Gothic" w:hAnsi="Tahoma" w:cs="Times New Roman"/>
      <w:color w:val="000000"/>
      <w:sz w:val="16"/>
      <w:szCs w:val="16"/>
      <w:lang w:val="x-none"/>
    </w:rPr>
  </w:style>
  <w:style w:type="paragraph" w:styleId="PlainText">
    <w:name w:val="Plain Text"/>
    <w:basedOn w:val="Normal"/>
    <w:link w:val="PlainTextChar"/>
    <w:uiPriority w:val="99"/>
    <w:semiHidden/>
    <w:unhideWhenUsed/>
    <w:qFormat/>
    <w:rsid w:val="00A22715"/>
    <w:pPr>
      <w:wordWrap w:val="0"/>
      <w:autoSpaceDE w:val="0"/>
      <w:autoSpaceDN w:val="0"/>
      <w:jc w:val="both"/>
    </w:pPr>
    <w:rPr>
      <w:rFonts w:ascii="Batang" w:eastAsia="Batang" w:hAnsi="Courier New"/>
      <w:sz w:val="20"/>
      <w:szCs w:val="20"/>
      <w:lang w:val="x-none" w:eastAsia="x-none"/>
    </w:rPr>
  </w:style>
  <w:style w:type="character" w:customStyle="1" w:styleId="PlainTextChar">
    <w:name w:val="Plain Text Char"/>
    <w:basedOn w:val="DefaultParagraphFont"/>
    <w:link w:val="PlainText"/>
    <w:uiPriority w:val="99"/>
    <w:semiHidden/>
    <w:rsid w:val="00A22715"/>
    <w:rPr>
      <w:rFonts w:ascii="Batang" w:eastAsia="Batang" w:hAnsi="Courier New" w:cs="Times New Roman"/>
      <w:sz w:val="20"/>
      <w:szCs w:val="20"/>
      <w:lang w:val="x-none" w:eastAsia="x-none"/>
    </w:rPr>
  </w:style>
  <w:style w:type="paragraph" w:styleId="CommentSubject">
    <w:name w:val="annotation subject"/>
    <w:basedOn w:val="CommentText"/>
    <w:next w:val="CommentText"/>
    <w:link w:val="CommentSubjectChar"/>
    <w:uiPriority w:val="99"/>
    <w:unhideWhenUsed/>
    <w:qFormat/>
    <w:rsid w:val="00A22715"/>
    <w:rPr>
      <w:rFonts w:ascii="Times New Roman" w:hAnsi="Times New Roman"/>
      <w:b/>
    </w:rPr>
  </w:style>
  <w:style w:type="character" w:customStyle="1" w:styleId="CommentSubjectChar">
    <w:name w:val="Comment Subject Char"/>
    <w:basedOn w:val="CommentTextChar"/>
    <w:link w:val="CommentSubject"/>
    <w:uiPriority w:val="99"/>
    <w:rsid w:val="00A22715"/>
    <w:rPr>
      <w:rFonts w:ascii="VNI-Times" w:eastAsia="Malgun Gothic" w:hAnsi="VNI-Times" w:cs="Times New Roman"/>
      <w:b/>
      <w:bCs/>
      <w:sz w:val="20"/>
      <w:szCs w:val="20"/>
      <w:lang w:val="x-none" w:eastAsia="x-none"/>
    </w:rPr>
  </w:style>
  <w:style w:type="character" w:customStyle="1" w:styleId="NoSpacingChar">
    <w:name w:val="No Spacing Char"/>
    <w:link w:val="NoSpacing"/>
    <w:uiPriority w:val="1"/>
    <w:locked/>
    <w:rsid w:val="00A22715"/>
    <w:rPr>
      <w:rFonts w:ascii="Calibri" w:eastAsia="Calibri" w:hAnsi="Calibri"/>
      <w:sz w:val="22"/>
      <w:lang w:val="en-US"/>
    </w:rPr>
  </w:style>
  <w:style w:type="paragraph" w:styleId="NoSpacing">
    <w:name w:val="No Spacing"/>
    <w:link w:val="NoSpacingChar"/>
    <w:uiPriority w:val="1"/>
    <w:qFormat/>
    <w:rsid w:val="00A22715"/>
    <w:pPr>
      <w:spacing w:after="0" w:line="240" w:lineRule="auto"/>
    </w:pPr>
    <w:rPr>
      <w:rFonts w:ascii="Calibri" w:eastAsia="Calibri" w:hAnsi="Calibri"/>
      <w:sz w:val="22"/>
      <w:lang w:val="en-US"/>
    </w:rPr>
  </w:style>
  <w:style w:type="paragraph" w:styleId="Revision">
    <w:name w:val="Revision"/>
    <w:uiPriority w:val="99"/>
    <w:semiHidden/>
    <w:qFormat/>
    <w:rsid w:val="00A22715"/>
    <w:pPr>
      <w:spacing w:after="0" w:line="240" w:lineRule="auto"/>
    </w:pPr>
    <w:rPr>
      <w:rFonts w:eastAsia="Malgun Gothic" w:cs="Times New Roman"/>
      <w:sz w:val="26"/>
      <w:szCs w:val="26"/>
      <w:lang w:val="en-US"/>
    </w:rPr>
  </w:style>
  <w:style w:type="paragraph" w:styleId="ListParagraph">
    <w:name w:val="List Paragraph"/>
    <w:aliases w:val="Heading 22,a-hinh"/>
    <w:basedOn w:val="Normal"/>
    <w:uiPriority w:val="34"/>
    <w:qFormat/>
    <w:rsid w:val="00A22715"/>
    <w:pPr>
      <w:spacing w:after="120" w:line="360" w:lineRule="auto"/>
      <w:ind w:left="720"/>
      <w:contextualSpacing/>
      <w:jc w:val="both"/>
    </w:pPr>
    <w:rPr>
      <w:rFonts w:eastAsia="Calibri"/>
      <w:szCs w:val="22"/>
      <w:lang w:val="x-none" w:eastAsia="x-none"/>
    </w:rPr>
  </w:style>
  <w:style w:type="paragraph" w:styleId="Quote">
    <w:name w:val="Quote"/>
    <w:basedOn w:val="Normal"/>
    <w:next w:val="Normal"/>
    <w:link w:val="QuoteChar"/>
    <w:uiPriority w:val="29"/>
    <w:qFormat/>
    <w:rsid w:val="00A22715"/>
    <w:pPr>
      <w:spacing w:line="360" w:lineRule="auto"/>
      <w:jc w:val="both"/>
    </w:pPr>
    <w:rPr>
      <w:i/>
      <w:iCs/>
      <w:lang w:val="x-none"/>
    </w:rPr>
  </w:style>
  <w:style w:type="character" w:customStyle="1" w:styleId="QuoteChar">
    <w:name w:val="Quote Char"/>
    <w:basedOn w:val="DefaultParagraphFont"/>
    <w:link w:val="Quote"/>
    <w:uiPriority w:val="29"/>
    <w:rsid w:val="00A22715"/>
    <w:rPr>
      <w:rFonts w:eastAsia="Malgun Gothic" w:cs="Times New Roman"/>
      <w:i/>
      <w:iCs/>
      <w:sz w:val="24"/>
      <w:szCs w:val="24"/>
      <w:lang w:val="x-none"/>
    </w:rPr>
  </w:style>
  <w:style w:type="paragraph" w:styleId="IntenseQuote">
    <w:name w:val="Intense Quote"/>
    <w:basedOn w:val="Normal"/>
    <w:next w:val="Normal"/>
    <w:link w:val="IntenseQuoteChar"/>
    <w:uiPriority w:val="30"/>
    <w:qFormat/>
    <w:rsid w:val="00A22715"/>
    <w:pPr>
      <w:pBdr>
        <w:top w:val="single" w:sz="4" w:space="10" w:color="4F81BD"/>
        <w:left w:val="single" w:sz="4" w:space="10" w:color="4F81BD"/>
      </w:pBdr>
      <w:spacing w:line="360" w:lineRule="auto"/>
      <w:ind w:left="1296" w:right="1152"/>
      <w:jc w:val="both"/>
    </w:pPr>
    <w:rPr>
      <w:i/>
      <w:iCs/>
      <w:color w:val="4F81BD"/>
      <w:lang w:val="x-none"/>
    </w:rPr>
  </w:style>
  <w:style w:type="character" w:customStyle="1" w:styleId="IntenseQuoteChar">
    <w:name w:val="Intense Quote Char"/>
    <w:basedOn w:val="DefaultParagraphFont"/>
    <w:link w:val="IntenseQuote"/>
    <w:uiPriority w:val="30"/>
    <w:rsid w:val="00A22715"/>
    <w:rPr>
      <w:rFonts w:eastAsia="Malgun Gothic" w:cs="Times New Roman"/>
      <w:i/>
      <w:iCs/>
      <w:color w:val="4F81BD"/>
      <w:sz w:val="24"/>
      <w:szCs w:val="24"/>
      <w:lang w:val="x-none"/>
    </w:rPr>
  </w:style>
  <w:style w:type="paragraph" w:styleId="Bibliography">
    <w:name w:val="Bibliography"/>
    <w:basedOn w:val="Normal"/>
    <w:next w:val="Normal"/>
    <w:uiPriority w:val="37"/>
    <w:unhideWhenUsed/>
    <w:qFormat/>
    <w:rsid w:val="00A22715"/>
    <w:pPr>
      <w:spacing w:before="120" w:after="120" w:line="324" w:lineRule="auto"/>
      <w:jc w:val="both"/>
    </w:pPr>
    <w:rPr>
      <w:rFonts w:eastAsia="Calibri"/>
      <w:sz w:val="26"/>
    </w:rPr>
  </w:style>
  <w:style w:type="paragraph" w:styleId="TOCHeading">
    <w:name w:val="TOC Heading"/>
    <w:basedOn w:val="Heading1"/>
    <w:next w:val="Normal"/>
    <w:uiPriority w:val="39"/>
    <w:unhideWhenUsed/>
    <w:qFormat/>
    <w:rsid w:val="00A22715"/>
    <w:pPr>
      <w:keepLines/>
      <w:spacing w:before="0" w:after="240" w:line="276" w:lineRule="auto"/>
      <w:jc w:val="center"/>
      <w:outlineLvl w:val="9"/>
    </w:pPr>
    <w:rPr>
      <w:rFonts w:ascii="Times New Roman" w:eastAsia="Malgun Gothic" w:hAnsi="Times New Roman"/>
      <w:kern w:val="0"/>
      <w:szCs w:val="28"/>
      <w:lang w:val="vi-VN" w:eastAsia="ja-JP"/>
    </w:rPr>
  </w:style>
  <w:style w:type="paragraph" w:customStyle="1" w:styleId="authors">
    <w:name w:val="authors"/>
    <w:basedOn w:val="Normal"/>
    <w:uiPriority w:val="99"/>
    <w:qFormat/>
    <w:rsid w:val="00A22715"/>
    <w:pPr>
      <w:spacing w:before="100" w:beforeAutospacing="1" w:after="100" w:afterAutospacing="1"/>
    </w:pPr>
  </w:style>
  <w:style w:type="paragraph" w:customStyle="1" w:styleId="StylebodytextCharAfter6ptLinespacingsingle">
    <w:name w:val="Style body text Char + After:  6 pt Line spacing:  single"/>
    <w:basedOn w:val="Normal"/>
    <w:uiPriority w:val="99"/>
    <w:qFormat/>
    <w:rsid w:val="00A22715"/>
    <w:pPr>
      <w:spacing w:before="120" w:after="120"/>
      <w:jc w:val="both"/>
    </w:pPr>
    <w:rPr>
      <w:sz w:val="26"/>
      <w:szCs w:val="20"/>
    </w:rPr>
  </w:style>
  <w:style w:type="paragraph" w:customStyle="1" w:styleId="CharCharCharCharCharChar">
    <w:name w:val="Char Char Char Char Char Char"/>
    <w:basedOn w:val="Normal"/>
    <w:uiPriority w:val="99"/>
    <w:qFormat/>
    <w:rsid w:val="00A22715"/>
    <w:pPr>
      <w:spacing w:after="160" w:line="240" w:lineRule="exact"/>
    </w:pPr>
    <w:rPr>
      <w:rFonts w:ascii="Verdana" w:hAnsi="Verdana" w:cs="Angsana New"/>
      <w:sz w:val="20"/>
      <w:szCs w:val="20"/>
      <w:lang w:val="en-GB"/>
    </w:rPr>
  </w:style>
  <w:style w:type="paragraph" w:customStyle="1" w:styleId="svarticlesection">
    <w:name w:val="svarticle section"/>
    <w:basedOn w:val="Normal"/>
    <w:uiPriority w:val="99"/>
    <w:qFormat/>
    <w:rsid w:val="00A22715"/>
    <w:pPr>
      <w:spacing w:before="100" w:beforeAutospacing="1" w:after="100" w:afterAutospacing="1"/>
    </w:pPr>
    <w:rPr>
      <w:rFonts w:eastAsia="MS Mincho"/>
      <w:lang w:eastAsia="ja-JP"/>
    </w:rPr>
  </w:style>
  <w:style w:type="paragraph" w:customStyle="1" w:styleId="Tieudecap1">
    <w:name w:val="Tieu de cap 1"/>
    <w:basedOn w:val="Normal"/>
    <w:uiPriority w:val="99"/>
    <w:qFormat/>
    <w:rsid w:val="00A22715"/>
    <w:pPr>
      <w:numPr>
        <w:numId w:val="2"/>
      </w:numPr>
      <w:spacing w:line="360" w:lineRule="auto"/>
      <w:ind w:left="0" w:firstLine="0"/>
      <w:jc w:val="both"/>
    </w:pPr>
    <w:rPr>
      <w:rFonts w:eastAsia="Calibri"/>
      <w:szCs w:val="22"/>
    </w:rPr>
  </w:style>
  <w:style w:type="character" w:customStyle="1" w:styleId="tieudecap2CharChar">
    <w:name w:val="tieu de cap 2 Char Char"/>
    <w:link w:val="tieudecap2"/>
    <w:locked/>
    <w:rsid w:val="00A22715"/>
    <w:rPr>
      <w:rFonts w:ascii="Calibri" w:eastAsia="Calibri" w:hAnsi="Calibri"/>
      <w:b/>
      <w:sz w:val="24"/>
      <w:lang w:val="x-none" w:eastAsia="x-none"/>
    </w:rPr>
  </w:style>
  <w:style w:type="paragraph" w:customStyle="1" w:styleId="tieudecap2">
    <w:name w:val="tieu de cap 2"/>
    <w:basedOn w:val="Normal"/>
    <w:link w:val="tieudecap2CharChar"/>
    <w:qFormat/>
    <w:rsid w:val="00A22715"/>
    <w:pPr>
      <w:numPr>
        <w:ilvl w:val="1"/>
        <w:numId w:val="2"/>
      </w:numPr>
      <w:spacing w:line="360" w:lineRule="auto"/>
      <w:ind w:left="0" w:firstLine="0"/>
      <w:jc w:val="both"/>
    </w:pPr>
    <w:rPr>
      <w:rFonts w:ascii="Calibri" w:eastAsia="Calibri" w:hAnsi="Calibri" w:cstheme="minorBidi"/>
      <w:b/>
      <w:szCs w:val="22"/>
      <w:lang w:val="x-none" w:eastAsia="x-none"/>
    </w:rPr>
  </w:style>
  <w:style w:type="paragraph" w:customStyle="1" w:styleId="tieudecap3">
    <w:name w:val="tieu de cap 3"/>
    <w:basedOn w:val="Normal"/>
    <w:uiPriority w:val="99"/>
    <w:qFormat/>
    <w:rsid w:val="00A22715"/>
    <w:pPr>
      <w:numPr>
        <w:ilvl w:val="2"/>
        <w:numId w:val="2"/>
      </w:numPr>
      <w:spacing w:line="360" w:lineRule="auto"/>
      <w:ind w:left="0" w:firstLine="0"/>
      <w:jc w:val="both"/>
    </w:pPr>
    <w:rPr>
      <w:rFonts w:eastAsia="Calibri"/>
      <w:szCs w:val="22"/>
    </w:rPr>
  </w:style>
  <w:style w:type="paragraph" w:customStyle="1" w:styleId="tiucp4">
    <w:name w:val="tiêu đề cấp 4"/>
    <w:basedOn w:val="Normal"/>
    <w:uiPriority w:val="99"/>
    <w:qFormat/>
    <w:rsid w:val="00A22715"/>
    <w:pPr>
      <w:numPr>
        <w:ilvl w:val="3"/>
        <w:numId w:val="2"/>
      </w:numPr>
      <w:spacing w:line="360" w:lineRule="auto"/>
      <w:ind w:left="0" w:firstLine="0"/>
      <w:jc w:val="both"/>
    </w:pPr>
    <w:rPr>
      <w:rFonts w:eastAsia="Calibri"/>
      <w:szCs w:val="22"/>
    </w:rPr>
  </w:style>
  <w:style w:type="paragraph" w:customStyle="1" w:styleId="s">
    <w:name w:val="sơ đồ"/>
    <w:basedOn w:val="Normal"/>
    <w:uiPriority w:val="99"/>
    <w:qFormat/>
    <w:rsid w:val="00A22715"/>
    <w:pPr>
      <w:numPr>
        <w:ilvl w:val="4"/>
        <w:numId w:val="2"/>
      </w:numPr>
      <w:spacing w:line="360" w:lineRule="auto"/>
      <w:jc w:val="both"/>
    </w:pPr>
    <w:rPr>
      <w:rFonts w:eastAsia="Calibri"/>
      <w:szCs w:val="22"/>
    </w:rPr>
  </w:style>
  <w:style w:type="paragraph" w:customStyle="1" w:styleId="hnh">
    <w:name w:val="hình"/>
    <w:basedOn w:val="Normal"/>
    <w:uiPriority w:val="99"/>
    <w:qFormat/>
    <w:rsid w:val="00A22715"/>
    <w:pPr>
      <w:numPr>
        <w:ilvl w:val="5"/>
        <w:numId w:val="2"/>
      </w:numPr>
      <w:spacing w:line="360" w:lineRule="auto"/>
      <w:jc w:val="both"/>
    </w:pPr>
    <w:rPr>
      <w:rFonts w:eastAsia="Calibri"/>
      <w:szCs w:val="22"/>
    </w:rPr>
  </w:style>
  <w:style w:type="paragraph" w:customStyle="1" w:styleId="bng">
    <w:name w:val="bảng"/>
    <w:basedOn w:val="Normal"/>
    <w:uiPriority w:val="99"/>
    <w:qFormat/>
    <w:rsid w:val="00A22715"/>
    <w:pPr>
      <w:numPr>
        <w:ilvl w:val="6"/>
        <w:numId w:val="2"/>
      </w:numPr>
      <w:spacing w:line="360" w:lineRule="auto"/>
      <w:jc w:val="both"/>
    </w:pPr>
    <w:rPr>
      <w:rFonts w:eastAsia="Calibri"/>
      <w:szCs w:val="22"/>
    </w:rPr>
  </w:style>
  <w:style w:type="paragraph" w:customStyle="1" w:styleId="abstract">
    <w:name w:val="abstract"/>
    <w:basedOn w:val="Normal"/>
    <w:uiPriority w:val="99"/>
    <w:qFormat/>
    <w:rsid w:val="00A22715"/>
    <w:pPr>
      <w:spacing w:before="100" w:beforeAutospacing="1" w:after="100" w:afterAutospacing="1"/>
    </w:pPr>
    <w:rPr>
      <w:rFonts w:ascii="Arial Unicode MS" w:eastAsia="Arial Unicode MS" w:hAnsi="Arial Unicode MS" w:cs="Arial Unicode MS"/>
      <w:color w:val="000000"/>
    </w:rPr>
  </w:style>
  <w:style w:type="paragraph" w:customStyle="1" w:styleId="Default">
    <w:name w:val="Default"/>
    <w:uiPriority w:val="99"/>
    <w:qFormat/>
    <w:rsid w:val="00A22715"/>
    <w:pPr>
      <w:autoSpaceDE w:val="0"/>
      <w:autoSpaceDN w:val="0"/>
      <w:adjustRightInd w:val="0"/>
      <w:spacing w:after="0" w:line="240" w:lineRule="auto"/>
    </w:pPr>
    <w:rPr>
      <w:rFonts w:ascii="Cambria" w:eastAsia="Malgun Gothic" w:hAnsi="Cambria" w:cs="Cambria"/>
      <w:color w:val="000000"/>
      <w:sz w:val="24"/>
      <w:szCs w:val="24"/>
      <w:lang w:val="en-US"/>
    </w:rPr>
  </w:style>
  <w:style w:type="paragraph" w:customStyle="1" w:styleId="a1">
    <w:name w:val="바탕글"/>
    <w:basedOn w:val="Normal"/>
    <w:uiPriority w:val="99"/>
    <w:qFormat/>
    <w:rsid w:val="00A22715"/>
    <w:pPr>
      <w:snapToGrid w:val="0"/>
      <w:spacing w:line="384" w:lineRule="auto"/>
      <w:jc w:val="both"/>
    </w:pPr>
    <w:rPr>
      <w:rFonts w:ascii="HY Sinmyeongjo" w:hAnsi="HY Sinmyeongjo"/>
      <w:color w:val="000000"/>
      <w:sz w:val="20"/>
      <w:szCs w:val="20"/>
      <w:lang w:eastAsia="zh-CN"/>
    </w:rPr>
  </w:style>
  <w:style w:type="paragraph" w:customStyle="1" w:styleId="Normal1">
    <w:name w:val="Normal1"/>
    <w:basedOn w:val="Normal"/>
    <w:uiPriority w:val="99"/>
    <w:qFormat/>
    <w:rsid w:val="00A22715"/>
    <w:pPr>
      <w:spacing w:before="100" w:beforeAutospacing="1" w:after="100" w:afterAutospacing="1"/>
    </w:pPr>
  </w:style>
  <w:style w:type="paragraph" w:customStyle="1" w:styleId="Hinh">
    <w:name w:val="Hinh"/>
    <w:basedOn w:val="ListParagraph1"/>
    <w:uiPriority w:val="99"/>
    <w:qFormat/>
    <w:rsid w:val="00A22715"/>
    <w:pPr>
      <w:spacing w:before="0" w:line="360" w:lineRule="auto"/>
      <w:ind w:left="0"/>
      <w:jc w:val="center"/>
    </w:pPr>
    <w:rPr>
      <w:rFonts w:ascii="Times New Roman" w:eastAsia="MS Mincho" w:hAnsi="Times New Roman"/>
      <w:b/>
      <w:i/>
      <w:sz w:val="26"/>
      <w:szCs w:val="26"/>
      <w:lang w:eastAsia="ja-JP"/>
    </w:rPr>
  </w:style>
  <w:style w:type="paragraph" w:customStyle="1" w:styleId="Char">
    <w:name w:val="Char"/>
    <w:basedOn w:val="Normal"/>
    <w:uiPriority w:val="99"/>
    <w:qFormat/>
    <w:rsid w:val="00A22715"/>
    <w:pPr>
      <w:spacing w:after="160" w:line="240" w:lineRule="exact"/>
    </w:pPr>
    <w:rPr>
      <w:rFonts w:ascii=".VnAvant" w:eastAsia=".VnTime" w:hAnsi=".VnAvant" w:cs=".VnAvant"/>
      <w:sz w:val="20"/>
      <w:szCs w:val="20"/>
    </w:rPr>
  </w:style>
  <w:style w:type="paragraph" w:customStyle="1" w:styleId="citation">
    <w:name w:val="citation"/>
    <w:basedOn w:val="Normal"/>
    <w:uiPriority w:val="99"/>
    <w:qFormat/>
    <w:rsid w:val="00A22715"/>
    <w:pPr>
      <w:spacing w:before="100" w:beforeAutospacing="1" w:after="100" w:afterAutospacing="1"/>
    </w:pPr>
  </w:style>
  <w:style w:type="paragraph" w:customStyle="1" w:styleId="desc">
    <w:name w:val="desc"/>
    <w:basedOn w:val="Normal"/>
    <w:uiPriority w:val="99"/>
    <w:qFormat/>
    <w:rsid w:val="00A22715"/>
    <w:pPr>
      <w:spacing w:before="100" w:beforeAutospacing="1" w:after="100" w:afterAutospacing="1"/>
    </w:pPr>
  </w:style>
  <w:style w:type="paragraph" w:customStyle="1" w:styleId="yiv891813900msonormal">
    <w:name w:val="yiv891813900msonormal"/>
    <w:basedOn w:val="Normal"/>
    <w:uiPriority w:val="99"/>
    <w:qFormat/>
    <w:rsid w:val="00A22715"/>
    <w:pPr>
      <w:spacing w:before="100" w:beforeAutospacing="1" w:after="100" w:afterAutospacing="1"/>
    </w:pPr>
  </w:style>
  <w:style w:type="paragraph" w:customStyle="1" w:styleId="s0">
    <w:name w:val="s0"/>
    <w:uiPriority w:val="99"/>
    <w:qFormat/>
    <w:rsid w:val="00A22715"/>
    <w:pPr>
      <w:widowControl w:val="0"/>
      <w:autoSpaceDE w:val="0"/>
      <w:autoSpaceDN w:val="0"/>
      <w:adjustRightInd w:val="0"/>
      <w:spacing w:after="0" w:line="240" w:lineRule="auto"/>
    </w:pPr>
    <w:rPr>
      <w:rFonts w:ascii="Batang" w:eastAsia="Batang" w:hAnsi="Calibri" w:cs="Times New Roman"/>
      <w:sz w:val="24"/>
      <w:szCs w:val="24"/>
      <w:lang w:val="en-US" w:eastAsia="ko-KR"/>
    </w:rPr>
  </w:style>
  <w:style w:type="character" w:customStyle="1" w:styleId="thanbiChar">
    <w:name w:val="than bài Char"/>
    <w:link w:val="thanbi"/>
    <w:locked/>
    <w:rsid w:val="00A22715"/>
    <w:rPr>
      <w:sz w:val="26"/>
      <w:szCs w:val="26"/>
      <w:lang w:val="x-none"/>
    </w:rPr>
  </w:style>
  <w:style w:type="paragraph" w:customStyle="1" w:styleId="thanbi">
    <w:name w:val="than bài"/>
    <w:basedOn w:val="Normal"/>
    <w:link w:val="thanbiChar"/>
    <w:qFormat/>
    <w:rsid w:val="00A22715"/>
    <w:pPr>
      <w:spacing w:line="360" w:lineRule="auto"/>
      <w:jc w:val="both"/>
    </w:pPr>
    <w:rPr>
      <w:rFonts w:eastAsiaTheme="minorHAnsi" w:cstheme="minorBidi"/>
      <w:sz w:val="26"/>
      <w:szCs w:val="26"/>
      <w:lang w:val="x-none"/>
    </w:rPr>
  </w:style>
  <w:style w:type="character" w:customStyle="1" w:styleId="5Char">
    <w:name w:val="5 Char"/>
    <w:link w:val="5"/>
    <w:semiHidden/>
    <w:locked/>
    <w:rsid w:val="00A22715"/>
    <w:rPr>
      <w:sz w:val="24"/>
      <w:szCs w:val="24"/>
      <w:lang w:val="x-none"/>
    </w:rPr>
  </w:style>
  <w:style w:type="paragraph" w:customStyle="1" w:styleId="5">
    <w:name w:val="5"/>
    <w:basedOn w:val="Normal"/>
    <w:link w:val="5Char"/>
    <w:semiHidden/>
    <w:qFormat/>
    <w:rsid w:val="00A22715"/>
    <w:pPr>
      <w:spacing w:before="120" w:line="288" w:lineRule="auto"/>
      <w:jc w:val="both"/>
    </w:pPr>
    <w:rPr>
      <w:rFonts w:eastAsiaTheme="minorHAnsi" w:cstheme="minorBidi"/>
      <w:lang w:val="x-none"/>
    </w:rPr>
  </w:style>
  <w:style w:type="character" w:customStyle="1" w:styleId="thnbiChar">
    <w:name w:val="thân bài Char"/>
    <w:link w:val="thnbi"/>
    <w:locked/>
    <w:rsid w:val="00A22715"/>
    <w:rPr>
      <w:rFonts w:ascii="PMingLiU" w:eastAsia="PMingLiU" w:hAnsi="PMingLiU"/>
      <w:sz w:val="26"/>
      <w:szCs w:val="26"/>
      <w:lang w:val="x-none" w:eastAsia="x-none"/>
    </w:rPr>
  </w:style>
  <w:style w:type="paragraph" w:customStyle="1" w:styleId="thnbi">
    <w:name w:val="thân bài"/>
    <w:basedOn w:val="Normal"/>
    <w:link w:val="thnbiChar"/>
    <w:qFormat/>
    <w:rsid w:val="00A22715"/>
    <w:pPr>
      <w:spacing w:line="336" w:lineRule="auto"/>
      <w:jc w:val="both"/>
    </w:pPr>
    <w:rPr>
      <w:rFonts w:ascii="PMingLiU" w:eastAsia="PMingLiU" w:hAnsi="PMingLiU" w:cstheme="minorBidi"/>
      <w:sz w:val="26"/>
      <w:szCs w:val="26"/>
      <w:lang w:val="x-none" w:eastAsia="x-none"/>
    </w:rPr>
  </w:style>
  <w:style w:type="character" w:customStyle="1" w:styleId="BodybulletingChar">
    <w:name w:val="Body bulleting Char"/>
    <w:link w:val="Bodybulleting"/>
    <w:locked/>
    <w:rsid w:val="00A22715"/>
    <w:rPr>
      <w:sz w:val="26"/>
      <w:szCs w:val="24"/>
      <w:lang w:val="nl-NL"/>
    </w:rPr>
  </w:style>
  <w:style w:type="paragraph" w:customStyle="1" w:styleId="Bodybulleting">
    <w:name w:val="Body bulleting"/>
    <w:basedOn w:val="ListParagraph1"/>
    <w:link w:val="BodybulletingChar"/>
    <w:qFormat/>
    <w:rsid w:val="00A22715"/>
    <w:pPr>
      <w:numPr>
        <w:numId w:val="3"/>
      </w:numPr>
      <w:spacing w:before="0" w:line="324" w:lineRule="auto"/>
      <w:jc w:val="both"/>
    </w:pPr>
    <w:rPr>
      <w:rFonts w:ascii="Times New Roman" w:eastAsiaTheme="minorHAnsi" w:hAnsi="Times New Roman"/>
      <w:sz w:val="26"/>
      <w:szCs w:val="24"/>
      <w:lang w:val="nl-NL"/>
    </w:rPr>
  </w:style>
  <w:style w:type="character" w:customStyle="1" w:styleId="BodyTextChar0">
    <w:name w:val="BodyText Char"/>
    <w:link w:val="BodyText0"/>
    <w:locked/>
    <w:rsid w:val="00A22715"/>
    <w:rPr>
      <w:rFonts w:ascii="Arial" w:hAnsi="Arial" w:cs="Arial"/>
      <w:sz w:val="24"/>
      <w:szCs w:val="24"/>
      <w:lang w:val="x-none" w:eastAsia="x-none"/>
    </w:rPr>
  </w:style>
  <w:style w:type="paragraph" w:customStyle="1" w:styleId="BodyText0">
    <w:name w:val="BodyText"/>
    <w:basedOn w:val="Normal"/>
    <w:link w:val="BodyTextChar0"/>
    <w:qFormat/>
    <w:rsid w:val="00A22715"/>
    <w:pPr>
      <w:spacing w:before="60" w:after="60" w:line="360" w:lineRule="auto"/>
      <w:jc w:val="both"/>
    </w:pPr>
    <w:rPr>
      <w:rFonts w:ascii="Arial" w:eastAsiaTheme="minorHAnsi" w:hAnsi="Arial" w:cs="Arial"/>
      <w:lang w:val="x-none" w:eastAsia="x-none"/>
    </w:rPr>
  </w:style>
  <w:style w:type="paragraph" w:customStyle="1" w:styleId="Heading1-loi">
    <w:name w:val="Heading 1-loi"/>
    <w:basedOn w:val="Heading1"/>
    <w:uiPriority w:val="99"/>
    <w:qFormat/>
    <w:rsid w:val="00A22715"/>
    <w:pPr>
      <w:keepLines/>
      <w:numPr>
        <w:numId w:val="4"/>
      </w:numPr>
      <w:spacing w:before="0" w:after="0" w:line="360" w:lineRule="auto"/>
      <w:ind w:left="0" w:firstLine="0"/>
    </w:pPr>
    <w:rPr>
      <w:rFonts w:ascii="Times New Roman" w:eastAsia="SimSun" w:hAnsi="Times New Roman"/>
      <w:kern w:val="0"/>
      <w:sz w:val="24"/>
      <w:szCs w:val="28"/>
    </w:rPr>
  </w:style>
  <w:style w:type="paragraph" w:customStyle="1" w:styleId="Heading2-loi">
    <w:name w:val="Heading 2-loi"/>
    <w:basedOn w:val="Heading2"/>
    <w:uiPriority w:val="99"/>
    <w:qFormat/>
    <w:rsid w:val="00A22715"/>
    <w:pPr>
      <w:keepLines/>
      <w:numPr>
        <w:numId w:val="4"/>
      </w:numPr>
      <w:spacing w:before="0" w:after="0" w:line="360" w:lineRule="auto"/>
      <w:ind w:left="0" w:firstLine="0"/>
    </w:pPr>
    <w:rPr>
      <w:rFonts w:ascii="Times New Roman" w:eastAsia="SimSun" w:hAnsi="Times New Roman" w:cs="Times New Roman"/>
      <w:b w:val="0"/>
      <w:iCs w:val="0"/>
      <w:color w:val="000000"/>
      <w:sz w:val="24"/>
      <w:szCs w:val="26"/>
      <w:lang w:eastAsia="en-US" w:bidi="ar-SA"/>
    </w:rPr>
  </w:style>
  <w:style w:type="paragraph" w:customStyle="1" w:styleId="TDC1">
    <w:name w:val="TDC1"/>
    <w:basedOn w:val="Normal"/>
    <w:uiPriority w:val="99"/>
    <w:qFormat/>
    <w:rsid w:val="00A22715"/>
    <w:pPr>
      <w:numPr>
        <w:numId w:val="5"/>
      </w:numPr>
      <w:spacing w:before="120" w:line="360" w:lineRule="auto"/>
    </w:pPr>
    <w:rPr>
      <w:b/>
      <w:sz w:val="32"/>
    </w:rPr>
  </w:style>
  <w:style w:type="paragraph" w:customStyle="1" w:styleId="TDC2">
    <w:name w:val="TDC2"/>
    <w:basedOn w:val="TDC1"/>
    <w:uiPriority w:val="99"/>
    <w:qFormat/>
    <w:rsid w:val="00A22715"/>
    <w:pPr>
      <w:numPr>
        <w:ilvl w:val="1"/>
      </w:numPr>
    </w:pPr>
    <w:rPr>
      <w:sz w:val="28"/>
      <w:szCs w:val="28"/>
    </w:rPr>
  </w:style>
  <w:style w:type="paragraph" w:customStyle="1" w:styleId="TDC3">
    <w:name w:val="TDC3"/>
    <w:basedOn w:val="TDC2"/>
    <w:uiPriority w:val="99"/>
    <w:qFormat/>
    <w:rsid w:val="00A22715"/>
    <w:pPr>
      <w:numPr>
        <w:ilvl w:val="2"/>
      </w:numPr>
    </w:pPr>
  </w:style>
  <w:style w:type="paragraph" w:customStyle="1" w:styleId="TDC4">
    <w:name w:val="TDC4"/>
    <w:basedOn w:val="TDC3"/>
    <w:uiPriority w:val="99"/>
    <w:qFormat/>
    <w:rsid w:val="00A22715"/>
    <w:pPr>
      <w:numPr>
        <w:ilvl w:val="3"/>
      </w:numPr>
    </w:pPr>
    <w:rPr>
      <w:b w:val="0"/>
    </w:rPr>
  </w:style>
  <w:style w:type="paragraph" w:customStyle="1" w:styleId="XD">
    <w:name w:val="XD"/>
    <w:basedOn w:val="TDC4"/>
    <w:uiPriority w:val="99"/>
    <w:qFormat/>
    <w:rsid w:val="00A22715"/>
    <w:pPr>
      <w:numPr>
        <w:ilvl w:val="5"/>
      </w:numPr>
    </w:pPr>
    <w:rPr>
      <w:sz w:val="24"/>
    </w:rPr>
  </w:style>
  <w:style w:type="paragraph" w:customStyle="1" w:styleId="xdhinh">
    <w:name w:val="xdhinh"/>
    <w:uiPriority w:val="99"/>
    <w:qFormat/>
    <w:rsid w:val="00A22715"/>
    <w:pPr>
      <w:numPr>
        <w:ilvl w:val="6"/>
        <w:numId w:val="5"/>
      </w:numPr>
      <w:spacing w:before="120" w:after="0" w:line="360" w:lineRule="auto"/>
    </w:pPr>
    <w:rPr>
      <w:rFonts w:eastAsia="Malgun Gothic" w:cs="Times New Roman"/>
      <w:sz w:val="24"/>
      <w:szCs w:val="24"/>
      <w:lang w:val="en-US"/>
    </w:rPr>
  </w:style>
  <w:style w:type="paragraph" w:customStyle="1" w:styleId="trongbang">
    <w:name w:val="trong bang"/>
    <w:basedOn w:val="Normal"/>
    <w:uiPriority w:val="99"/>
    <w:qFormat/>
    <w:rsid w:val="00A22715"/>
    <w:pPr>
      <w:spacing w:before="120" w:line="312" w:lineRule="auto"/>
      <w:jc w:val="center"/>
    </w:pPr>
    <w:rPr>
      <w:rFonts w:ascii="Arial" w:hAnsi="Arial" w:cs="Arial"/>
      <w:sz w:val="20"/>
      <w:szCs w:val="20"/>
      <w:lang w:val="vi-VN"/>
    </w:rPr>
  </w:style>
  <w:style w:type="paragraph" w:customStyle="1" w:styleId="hinh0">
    <w:name w:val="hinh"/>
    <w:basedOn w:val="Normal"/>
    <w:autoRedefine/>
    <w:uiPriority w:val="99"/>
    <w:qFormat/>
    <w:rsid w:val="00A22715"/>
    <w:pPr>
      <w:spacing w:after="200" w:line="276" w:lineRule="auto"/>
      <w:ind w:left="386"/>
      <w:jc w:val="distribute"/>
    </w:pPr>
    <w:rPr>
      <w:rFonts w:eastAsia="Calibri"/>
      <w:lang w:val="nb-NO"/>
    </w:rPr>
  </w:style>
  <w:style w:type="character" w:customStyle="1" w:styleId="DEnoidungChar">
    <w:name w:val="DE noi dung Char"/>
    <w:link w:val="DEnoidung"/>
    <w:locked/>
    <w:rsid w:val="00A22715"/>
    <w:rPr>
      <w:iCs/>
      <w:sz w:val="26"/>
      <w:lang w:val="pt-BR"/>
    </w:rPr>
  </w:style>
  <w:style w:type="paragraph" w:customStyle="1" w:styleId="DEnoidung">
    <w:name w:val="DE noi dung"/>
    <w:basedOn w:val="Normal"/>
    <w:link w:val="DEnoidungChar"/>
    <w:autoRedefine/>
    <w:qFormat/>
    <w:rsid w:val="00A22715"/>
    <w:pPr>
      <w:spacing w:line="360" w:lineRule="auto"/>
      <w:jc w:val="center"/>
    </w:pPr>
    <w:rPr>
      <w:rFonts w:eastAsiaTheme="minorHAnsi" w:cstheme="minorBidi"/>
      <w:iCs/>
      <w:sz w:val="26"/>
      <w:szCs w:val="22"/>
      <w:lang w:val="pt-BR"/>
    </w:rPr>
  </w:style>
  <w:style w:type="paragraph" w:customStyle="1" w:styleId="Nhnxt">
    <w:name w:val="Nhận xét"/>
    <w:basedOn w:val="Normal"/>
    <w:uiPriority w:val="99"/>
    <w:qFormat/>
    <w:rsid w:val="00A22715"/>
    <w:pPr>
      <w:spacing w:after="120" w:line="360" w:lineRule="auto"/>
      <w:jc w:val="both"/>
    </w:pPr>
    <w:rPr>
      <w:rFonts w:eastAsia="Calibri"/>
      <w:b/>
      <w:i/>
      <w:color w:val="000000"/>
      <w:sz w:val="26"/>
      <w:szCs w:val="28"/>
      <w:lang w:val="vi-VN" w:eastAsia="ko-KR"/>
    </w:rPr>
  </w:style>
  <w:style w:type="character" w:customStyle="1" w:styleId="NoidungChar">
    <w:name w:val="Noi dung Char"/>
    <w:link w:val="Noidung"/>
    <w:locked/>
    <w:rsid w:val="00A22715"/>
    <w:rPr>
      <w:rFonts w:ascii="Calibri" w:eastAsia="Calibri" w:hAnsi="Calibri"/>
      <w:sz w:val="26"/>
      <w:lang w:eastAsia="x-none"/>
    </w:rPr>
  </w:style>
  <w:style w:type="paragraph" w:customStyle="1" w:styleId="Noidung">
    <w:name w:val="Noi dung"/>
    <w:basedOn w:val="Normal"/>
    <w:link w:val="NoidungChar"/>
    <w:qFormat/>
    <w:rsid w:val="00A22715"/>
    <w:pPr>
      <w:spacing w:after="120" w:line="324" w:lineRule="auto"/>
      <w:jc w:val="both"/>
    </w:pPr>
    <w:rPr>
      <w:rFonts w:ascii="Calibri" w:eastAsia="Calibri" w:hAnsi="Calibri" w:cstheme="minorBidi"/>
      <w:sz w:val="26"/>
      <w:szCs w:val="22"/>
      <w:lang w:val="vi-VN" w:eastAsia="x-none"/>
    </w:rPr>
  </w:style>
  <w:style w:type="character" w:customStyle="1" w:styleId="H1LVChar">
    <w:name w:val="H1 LV Char"/>
    <w:link w:val="H1LV"/>
    <w:locked/>
    <w:rsid w:val="00A22715"/>
    <w:rPr>
      <w:rFonts w:ascii="Cambria" w:hAnsi="Cambria"/>
      <w:b/>
      <w:bCs/>
      <w:caps/>
      <w:color w:val="000000"/>
      <w:sz w:val="32"/>
      <w:szCs w:val="28"/>
    </w:rPr>
  </w:style>
  <w:style w:type="paragraph" w:customStyle="1" w:styleId="H1LV">
    <w:name w:val="H1 LV"/>
    <w:link w:val="H1LVChar"/>
    <w:qFormat/>
    <w:rsid w:val="00A22715"/>
    <w:pPr>
      <w:spacing w:after="0" w:line="360" w:lineRule="auto"/>
    </w:pPr>
    <w:rPr>
      <w:rFonts w:ascii="Cambria" w:hAnsi="Cambria"/>
      <w:b/>
      <w:bCs/>
      <w:caps/>
      <w:color w:val="000000"/>
      <w:sz w:val="32"/>
      <w:szCs w:val="28"/>
    </w:rPr>
  </w:style>
  <w:style w:type="character" w:customStyle="1" w:styleId="H2LVChar">
    <w:name w:val="H2 LV Char"/>
    <w:link w:val="H2LV"/>
    <w:locked/>
    <w:rsid w:val="00A22715"/>
    <w:rPr>
      <w:rFonts w:ascii="Cambria" w:hAnsi="Cambria"/>
      <w:b/>
      <w:bCs/>
      <w:caps/>
      <w:color w:val="000000"/>
      <w:sz w:val="32"/>
      <w:szCs w:val="28"/>
    </w:rPr>
  </w:style>
  <w:style w:type="paragraph" w:customStyle="1" w:styleId="H2LV">
    <w:name w:val="H2 LV"/>
    <w:basedOn w:val="H1LV"/>
    <w:link w:val="H2LVChar"/>
    <w:qFormat/>
    <w:rsid w:val="00A22715"/>
    <w:pPr>
      <w:numPr>
        <w:numId w:val="6"/>
      </w:numPr>
      <w:ind w:left="0" w:firstLine="0"/>
    </w:pPr>
  </w:style>
  <w:style w:type="character" w:customStyle="1" w:styleId="BodyLVChar">
    <w:name w:val="Body LV Char"/>
    <w:link w:val="BodyLV"/>
    <w:locked/>
    <w:rsid w:val="00A22715"/>
    <w:rPr>
      <w:sz w:val="26"/>
      <w:szCs w:val="24"/>
    </w:rPr>
  </w:style>
  <w:style w:type="paragraph" w:customStyle="1" w:styleId="BodyLV">
    <w:name w:val="Body LV"/>
    <w:basedOn w:val="Normal"/>
    <w:link w:val="BodyLVChar"/>
    <w:qFormat/>
    <w:rsid w:val="00A22715"/>
    <w:pPr>
      <w:spacing w:line="324" w:lineRule="auto"/>
      <w:jc w:val="both"/>
    </w:pPr>
    <w:rPr>
      <w:rFonts w:eastAsiaTheme="minorHAnsi" w:cstheme="minorBidi"/>
      <w:sz w:val="26"/>
      <w:lang w:val="vi-VN"/>
    </w:rPr>
  </w:style>
  <w:style w:type="character" w:customStyle="1" w:styleId="H3LVChar">
    <w:name w:val="H3 LV Char"/>
    <w:link w:val="H3LV"/>
    <w:locked/>
    <w:rsid w:val="00A22715"/>
    <w:rPr>
      <w:rFonts w:ascii="Cambria" w:hAnsi="Cambria"/>
      <w:b/>
      <w:bCs/>
      <w:color w:val="000000"/>
      <w:szCs w:val="24"/>
    </w:rPr>
  </w:style>
  <w:style w:type="paragraph" w:customStyle="1" w:styleId="H3LV">
    <w:name w:val="H3 LV"/>
    <w:basedOn w:val="Heading3"/>
    <w:link w:val="H3LVChar"/>
    <w:qFormat/>
    <w:rsid w:val="00A22715"/>
    <w:pPr>
      <w:keepNext/>
      <w:keepLines/>
      <w:numPr>
        <w:numId w:val="6"/>
      </w:numPr>
      <w:spacing w:before="200" w:beforeAutospacing="0" w:after="0" w:afterAutospacing="0" w:line="360" w:lineRule="auto"/>
      <w:ind w:left="0" w:firstLine="0"/>
      <w:jc w:val="both"/>
    </w:pPr>
    <w:rPr>
      <w:rFonts w:ascii="Cambria" w:eastAsiaTheme="minorHAnsi" w:hAnsi="Cambria" w:cstheme="minorBidi"/>
      <w:color w:val="000000"/>
      <w:sz w:val="28"/>
      <w:szCs w:val="24"/>
      <w:lang w:val="vi-VN" w:eastAsia="en-US"/>
    </w:rPr>
  </w:style>
  <w:style w:type="character" w:customStyle="1" w:styleId="H4LVChar">
    <w:name w:val="H4 LV Char"/>
    <w:link w:val="H4LV"/>
    <w:locked/>
    <w:rsid w:val="00A22715"/>
    <w:rPr>
      <w:rFonts w:ascii="Cambria" w:hAnsi="Cambria"/>
      <w:b/>
      <w:bCs/>
      <w:color w:val="000000"/>
      <w:szCs w:val="24"/>
    </w:rPr>
  </w:style>
  <w:style w:type="paragraph" w:customStyle="1" w:styleId="H4LV">
    <w:name w:val="H4 LV"/>
    <w:basedOn w:val="H3LV"/>
    <w:link w:val="H4LVChar"/>
    <w:qFormat/>
    <w:rsid w:val="00A22715"/>
    <w:pPr>
      <w:numPr>
        <w:ilvl w:val="0"/>
        <w:numId w:val="0"/>
      </w:numPr>
      <w:outlineLvl w:val="3"/>
    </w:pPr>
  </w:style>
  <w:style w:type="character" w:customStyle="1" w:styleId="H1Char">
    <w:name w:val="H1 Char"/>
    <w:link w:val="H1"/>
    <w:locked/>
    <w:rsid w:val="00A22715"/>
    <w:rPr>
      <w:rFonts w:ascii="Cambria" w:hAnsi="Cambria"/>
      <w:b/>
      <w:bCs/>
      <w:caps/>
      <w:color w:val="000000"/>
      <w:sz w:val="32"/>
      <w:szCs w:val="28"/>
    </w:rPr>
  </w:style>
  <w:style w:type="paragraph" w:customStyle="1" w:styleId="H1">
    <w:name w:val="H1"/>
    <w:basedOn w:val="H2LV"/>
    <w:link w:val="H1Char"/>
    <w:qFormat/>
    <w:rsid w:val="00A22715"/>
    <w:pPr>
      <w:outlineLvl w:val="0"/>
    </w:pPr>
  </w:style>
  <w:style w:type="character" w:customStyle="1" w:styleId="H2Char">
    <w:name w:val="H2 Char"/>
    <w:link w:val="H2"/>
    <w:locked/>
    <w:rsid w:val="00A22715"/>
    <w:rPr>
      <w:rFonts w:ascii="Cambria" w:hAnsi="Cambria"/>
      <w:b/>
      <w:bCs/>
      <w:caps/>
      <w:color w:val="000000"/>
      <w:szCs w:val="24"/>
    </w:rPr>
  </w:style>
  <w:style w:type="paragraph" w:customStyle="1" w:styleId="H2">
    <w:name w:val="H2"/>
    <w:basedOn w:val="H3LV"/>
    <w:link w:val="H2Char"/>
    <w:qFormat/>
    <w:rsid w:val="00A22715"/>
    <w:pPr>
      <w:outlineLvl w:val="1"/>
    </w:pPr>
    <w:rPr>
      <w:caps/>
    </w:rPr>
  </w:style>
  <w:style w:type="character" w:customStyle="1" w:styleId="H3Char">
    <w:name w:val="H3 Char"/>
    <w:link w:val="H3"/>
    <w:locked/>
    <w:rsid w:val="00A22715"/>
    <w:rPr>
      <w:rFonts w:ascii="Cambria" w:hAnsi="Cambria"/>
      <w:b/>
      <w:bCs/>
      <w:color w:val="000000"/>
      <w:szCs w:val="24"/>
    </w:rPr>
  </w:style>
  <w:style w:type="paragraph" w:customStyle="1" w:styleId="H3">
    <w:name w:val="H3"/>
    <w:basedOn w:val="H4LV"/>
    <w:link w:val="H3Char"/>
    <w:qFormat/>
    <w:rsid w:val="00A22715"/>
    <w:pPr>
      <w:outlineLvl w:val="2"/>
    </w:pPr>
  </w:style>
  <w:style w:type="character" w:customStyle="1" w:styleId="H4Char">
    <w:name w:val="H4 Char"/>
    <w:link w:val="H4"/>
    <w:locked/>
    <w:rsid w:val="00A22715"/>
    <w:rPr>
      <w:rFonts w:ascii="Cambria" w:hAnsi="Cambria"/>
      <w:b/>
      <w:bCs/>
      <w:color w:val="000000"/>
      <w:szCs w:val="24"/>
    </w:rPr>
  </w:style>
  <w:style w:type="paragraph" w:customStyle="1" w:styleId="H4">
    <w:name w:val="H4"/>
    <w:basedOn w:val="H3"/>
    <w:link w:val="H4Char"/>
    <w:qFormat/>
    <w:rsid w:val="00A22715"/>
    <w:pPr>
      <w:numPr>
        <w:ilvl w:val="3"/>
        <w:numId w:val="6"/>
      </w:numPr>
      <w:ind w:left="0" w:firstLine="0"/>
      <w:outlineLvl w:val="3"/>
    </w:pPr>
  </w:style>
  <w:style w:type="paragraph" w:customStyle="1" w:styleId="DecimalAligned">
    <w:name w:val="Decimal Aligned"/>
    <w:basedOn w:val="Normal"/>
    <w:uiPriority w:val="40"/>
    <w:qFormat/>
    <w:rsid w:val="00A22715"/>
    <w:pPr>
      <w:tabs>
        <w:tab w:val="decimal" w:pos="360"/>
      </w:tabs>
      <w:spacing w:after="200" w:line="276" w:lineRule="auto"/>
    </w:pPr>
    <w:rPr>
      <w:rFonts w:ascii="Calibri" w:eastAsia="Calibri" w:hAnsi="Calibri"/>
      <w:sz w:val="22"/>
      <w:szCs w:val="22"/>
      <w:lang w:val="vi-VN" w:eastAsia="ja-JP"/>
    </w:rPr>
  </w:style>
  <w:style w:type="paragraph" w:customStyle="1" w:styleId="datvande">
    <w:name w:val="dat van de"/>
    <w:basedOn w:val="Normal"/>
    <w:uiPriority w:val="99"/>
    <w:qFormat/>
    <w:rsid w:val="00A22715"/>
    <w:pPr>
      <w:spacing w:after="240" w:line="324" w:lineRule="auto"/>
      <w:jc w:val="both"/>
      <w:outlineLvl w:val="0"/>
    </w:pPr>
    <w:rPr>
      <w:rFonts w:eastAsia="Calibri"/>
      <w:b/>
      <w:caps/>
      <w:sz w:val="32"/>
      <w:szCs w:val="22"/>
      <w:lang w:val="vi-VN"/>
    </w:rPr>
  </w:style>
  <w:style w:type="paragraph" w:customStyle="1" w:styleId="Tieudecap20">
    <w:name w:val="Tieu de cap 2"/>
    <w:basedOn w:val="Tieudecap1"/>
    <w:uiPriority w:val="99"/>
    <w:qFormat/>
    <w:rsid w:val="00A22715"/>
    <w:pPr>
      <w:numPr>
        <w:numId w:val="0"/>
      </w:numPr>
      <w:spacing w:after="160" w:line="324" w:lineRule="auto"/>
      <w:outlineLvl w:val="1"/>
    </w:pPr>
    <w:rPr>
      <w:b/>
      <w:bCs/>
      <w:caps/>
      <w:color w:val="000000"/>
      <w:sz w:val="28"/>
      <w:szCs w:val="18"/>
    </w:rPr>
  </w:style>
  <w:style w:type="paragraph" w:customStyle="1" w:styleId="tieudecap4">
    <w:name w:val="tieu de cap 4"/>
    <w:basedOn w:val="tieudecap3"/>
    <w:uiPriority w:val="99"/>
    <w:qFormat/>
    <w:rsid w:val="00A22715"/>
    <w:pPr>
      <w:numPr>
        <w:ilvl w:val="0"/>
        <w:numId w:val="0"/>
      </w:numPr>
      <w:spacing w:after="160" w:line="324" w:lineRule="auto"/>
      <w:outlineLvl w:val="2"/>
    </w:pPr>
    <w:rPr>
      <w:bCs/>
      <w:sz w:val="28"/>
      <w:szCs w:val="18"/>
    </w:rPr>
  </w:style>
  <w:style w:type="paragraph" w:customStyle="1" w:styleId="A2">
    <w:name w:val="A"/>
    <w:basedOn w:val="Normal"/>
    <w:uiPriority w:val="99"/>
    <w:qFormat/>
    <w:rsid w:val="00A22715"/>
    <w:pPr>
      <w:spacing w:line="360" w:lineRule="auto"/>
      <w:jc w:val="center"/>
    </w:pPr>
    <w:rPr>
      <w:rFonts w:eastAsia="Arial"/>
      <w:sz w:val="28"/>
      <w:szCs w:val="28"/>
    </w:rPr>
  </w:style>
  <w:style w:type="paragraph" w:customStyle="1" w:styleId="D1">
    <w:name w:val="D1"/>
    <w:basedOn w:val="Normal"/>
    <w:uiPriority w:val="99"/>
    <w:qFormat/>
    <w:rsid w:val="00A22715"/>
    <w:pPr>
      <w:numPr>
        <w:numId w:val="7"/>
      </w:numPr>
      <w:tabs>
        <w:tab w:val="left" w:pos="5925"/>
      </w:tabs>
      <w:spacing w:after="200" w:line="276" w:lineRule="auto"/>
    </w:pPr>
    <w:rPr>
      <w:rFonts w:eastAsia="Arial"/>
      <w:sz w:val="28"/>
      <w:szCs w:val="28"/>
    </w:rPr>
  </w:style>
  <w:style w:type="paragraph" w:customStyle="1" w:styleId="D2">
    <w:name w:val="D2"/>
    <w:basedOn w:val="D1"/>
    <w:uiPriority w:val="99"/>
    <w:qFormat/>
    <w:rsid w:val="00A22715"/>
    <w:pPr>
      <w:numPr>
        <w:ilvl w:val="2"/>
      </w:numPr>
    </w:pPr>
  </w:style>
  <w:style w:type="paragraph" w:customStyle="1" w:styleId="Char11">
    <w:name w:val="Char11"/>
    <w:basedOn w:val="Normal"/>
    <w:uiPriority w:val="99"/>
    <w:qFormat/>
    <w:rsid w:val="00A22715"/>
    <w:pPr>
      <w:jc w:val="both"/>
    </w:pPr>
    <w:rPr>
      <w:rFonts w:eastAsia="SimSun"/>
      <w:kern w:val="2"/>
      <w:szCs w:val="26"/>
      <w:lang w:eastAsia="zh-CN"/>
    </w:rPr>
  </w:style>
  <w:style w:type="paragraph" w:customStyle="1" w:styleId="B1">
    <w:name w:val="B 1"/>
    <w:basedOn w:val="Normal"/>
    <w:uiPriority w:val="99"/>
    <w:qFormat/>
    <w:rsid w:val="00A22715"/>
    <w:pPr>
      <w:spacing w:line="360" w:lineRule="auto"/>
    </w:pPr>
    <w:rPr>
      <w:rFonts w:eastAsia="Arial"/>
      <w:sz w:val="28"/>
      <w:szCs w:val="22"/>
      <w:lang w:val="vi-VN"/>
    </w:rPr>
  </w:style>
  <w:style w:type="paragraph" w:customStyle="1" w:styleId="bd">
    <w:name w:val="bd"/>
    <w:basedOn w:val="TableofFigures"/>
    <w:uiPriority w:val="99"/>
    <w:qFormat/>
    <w:rsid w:val="00A22715"/>
    <w:pPr>
      <w:tabs>
        <w:tab w:val="right" w:leader="dot" w:pos="8777"/>
      </w:tabs>
      <w:jc w:val="left"/>
    </w:pPr>
    <w:rPr>
      <w:rFonts w:eastAsia="Times New Roman"/>
      <w:bCs w:val="0"/>
      <w:sz w:val="24"/>
      <w:szCs w:val="24"/>
      <w:lang w:val="en-US"/>
    </w:rPr>
  </w:style>
  <w:style w:type="paragraph" w:customStyle="1" w:styleId="B10">
    <w:name w:val="B1"/>
    <w:basedOn w:val="Normal"/>
    <w:uiPriority w:val="99"/>
    <w:qFormat/>
    <w:rsid w:val="00A22715"/>
    <w:pPr>
      <w:tabs>
        <w:tab w:val="left" w:pos="6345"/>
      </w:tabs>
      <w:spacing w:after="200" w:line="276" w:lineRule="auto"/>
    </w:pPr>
    <w:rPr>
      <w:rFonts w:eastAsia="Arial"/>
      <w:sz w:val="28"/>
      <w:szCs w:val="28"/>
      <w:lang w:val="vi-VN"/>
    </w:rPr>
  </w:style>
  <w:style w:type="paragraph" w:customStyle="1" w:styleId="2">
    <w:name w:val="2"/>
    <w:basedOn w:val="Normal"/>
    <w:uiPriority w:val="99"/>
    <w:qFormat/>
    <w:rsid w:val="00A22715"/>
    <w:pPr>
      <w:spacing w:line="360" w:lineRule="auto"/>
      <w:jc w:val="both"/>
    </w:pPr>
    <w:rPr>
      <w:b/>
      <w:caps/>
      <w:sz w:val="28"/>
      <w:szCs w:val="28"/>
    </w:rPr>
  </w:style>
  <w:style w:type="paragraph" w:customStyle="1" w:styleId="3">
    <w:name w:val="3"/>
    <w:basedOn w:val="Normal"/>
    <w:uiPriority w:val="99"/>
    <w:qFormat/>
    <w:rsid w:val="00A22715"/>
    <w:pPr>
      <w:spacing w:before="120" w:line="288" w:lineRule="auto"/>
      <w:jc w:val="both"/>
    </w:pPr>
    <w:rPr>
      <w:b/>
      <w:sz w:val="28"/>
    </w:rPr>
  </w:style>
  <w:style w:type="character" w:customStyle="1" w:styleId="4Char">
    <w:name w:val="4 Char"/>
    <w:link w:val="4"/>
    <w:semiHidden/>
    <w:locked/>
    <w:rsid w:val="00A22715"/>
    <w:rPr>
      <w:szCs w:val="24"/>
      <w:lang w:val="x-none"/>
    </w:rPr>
  </w:style>
  <w:style w:type="paragraph" w:customStyle="1" w:styleId="4">
    <w:name w:val="4"/>
    <w:basedOn w:val="Normal"/>
    <w:link w:val="4Char"/>
    <w:semiHidden/>
    <w:qFormat/>
    <w:rsid w:val="00A22715"/>
    <w:pPr>
      <w:spacing w:before="120" w:line="288" w:lineRule="auto"/>
      <w:jc w:val="both"/>
    </w:pPr>
    <w:rPr>
      <w:rFonts w:eastAsiaTheme="minorHAnsi" w:cstheme="minorBidi"/>
      <w:sz w:val="28"/>
      <w:lang w:val="x-none"/>
    </w:rPr>
  </w:style>
  <w:style w:type="character" w:customStyle="1" w:styleId="StylethanbiBoldChar">
    <w:name w:val="Style than bài + Bold Char"/>
    <w:link w:val="StylethanbiBold"/>
    <w:locked/>
    <w:rsid w:val="00A22715"/>
    <w:rPr>
      <w:b/>
      <w:bCs/>
      <w:sz w:val="26"/>
      <w:szCs w:val="26"/>
      <w:lang w:val="x-none"/>
    </w:rPr>
  </w:style>
  <w:style w:type="paragraph" w:customStyle="1" w:styleId="StylethanbiBold">
    <w:name w:val="Style than bài + Bold"/>
    <w:basedOn w:val="thanbi"/>
    <w:link w:val="StylethanbiBoldChar"/>
    <w:qFormat/>
    <w:rsid w:val="00A22715"/>
    <w:rPr>
      <w:b/>
      <w:bCs/>
    </w:rPr>
  </w:style>
  <w:style w:type="character" w:customStyle="1" w:styleId="bodytextkhoaluanChar">
    <w:name w:val="body text khoa luan Char"/>
    <w:link w:val="bodytextkhoaluan"/>
    <w:semiHidden/>
    <w:locked/>
    <w:rsid w:val="00A22715"/>
    <w:rPr>
      <w:sz w:val="24"/>
      <w:szCs w:val="24"/>
      <w:lang w:val="x-none"/>
    </w:rPr>
  </w:style>
  <w:style w:type="paragraph" w:customStyle="1" w:styleId="bodytextkhoaluan">
    <w:name w:val="body text khoa luan"/>
    <w:basedOn w:val="Normal"/>
    <w:link w:val="bodytextkhoaluanChar"/>
    <w:semiHidden/>
    <w:qFormat/>
    <w:rsid w:val="00A22715"/>
    <w:pPr>
      <w:tabs>
        <w:tab w:val="left" w:pos="1800"/>
      </w:tabs>
      <w:spacing w:before="120" w:line="288" w:lineRule="auto"/>
      <w:jc w:val="both"/>
    </w:pPr>
    <w:rPr>
      <w:rFonts w:eastAsiaTheme="minorHAnsi" w:cstheme="minorBidi"/>
      <w:lang w:val="x-none"/>
    </w:rPr>
  </w:style>
  <w:style w:type="character" w:customStyle="1" w:styleId="bodytextChar1">
    <w:name w:val="body text Char"/>
    <w:link w:val="BodyText1"/>
    <w:semiHidden/>
    <w:locked/>
    <w:rsid w:val="00A22715"/>
    <w:rPr>
      <w:sz w:val="25"/>
      <w:szCs w:val="24"/>
      <w:lang w:val="x-none" w:eastAsia="x-none"/>
    </w:rPr>
  </w:style>
  <w:style w:type="paragraph" w:customStyle="1" w:styleId="BodyText1">
    <w:name w:val="Body Text1"/>
    <w:basedOn w:val="BodyText"/>
    <w:link w:val="bodytextChar1"/>
    <w:semiHidden/>
    <w:qFormat/>
    <w:rsid w:val="00A22715"/>
    <w:pPr>
      <w:spacing w:line="360" w:lineRule="auto"/>
      <w:jc w:val="both"/>
    </w:pPr>
    <w:rPr>
      <w:rFonts w:ascii="Times New Roman" w:eastAsiaTheme="minorHAnsi" w:hAnsi="Times New Roman" w:cstheme="minorBidi"/>
      <w:sz w:val="25"/>
      <w:szCs w:val="24"/>
    </w:rPr>
  </w:style>
  <w:style w:type="paragraph" w:customStyle="1" w:styleId="A20">
    <w:name w:val="A 2"/>
    <w:basedOn w:val="Normal"/>
    <w:uiPriority w:val="99"/>
    <w:qFormat/>
    <w:rsid w:val="00A22715"/>
    <w:pPr>
      <w:keepNext/>
      <w:tabs>
        <w:tab w:val="num" w:pos="1440"/>
      </w:tabs>
      <w:spacing w:before="120" w:after="120" w:line="360" w:lineRule="auto"/>
      <w:ind w:left="1440" w:hanging="360"/>
      <w:jc w:val="both"/>
    </w:pPr>
    <w:rPr>
      <w:b/>
      <w:sz w:val="28"/>
    </w:rPr>
  </w:style>
  <w:style w:type="paragraph" w:customStyle="1" w:styleId="chuong">
    <w:name w:val="chuong"/>
    <w:basedOn w:val="Normal"/>
    <w:uiPriority w:val="99"/>
    <w:qFormat/>
    <w:rsid w:val="00A22715"/>
    <w:pPr>
      <w:spacing w:before="120" w:line="288" w:lineRule="auto"/>
      <w:jc w:val="both"/>
    </w:pPr>
    <w:rPr>
      <w:b/>
      <w:sz w:val="32"/>
    </w:rPr>
  </w:style>
  <w:style w:type="paragraph" w:customStyle="1" w:styleId="danhmuctltk">
    <w:name w:val="danhmuc+tltk"/>
    <w:basedOn w:val="thanbi"/>
    <w:uiPriority w:val="99"/>
    <w:qFormat/>
    <w:rsid w:val="00A22715"/>
    <w:pPr>
      <w:jc w:val="center"/>
    </w:pPr>
    <w:rPr>
      <w:b/>
      <w:sz w:val="32"/>
      <w:szCs w:val="32"/>
    </w:rPr>
  </w:style>
  <w:style w:type="paragraph" w:customStyle="1" w:styleId="so">
    <w:name w:val="so đồ"/>
    <w:basedOn w:val="Normal"/>
    <w:uiPriority w:val="99"/>
    <w:qFormat/>
    <w:rsid w:val="00A22715"/>
    <w:pPr>
      <w:tabs>
        <w:tab w:val="num" w:pos="0"/>
      </w:tabs>
      <w:spacing w:line="360" w:lineRule="auto"/>
      <w:jc w:val="center"/>
    </w:pPr>
    <w:rPr>
      <w:rFonts w:ascii="VNI-Times" w:hAnsi="VNI-Times"/>
      <w:sz w:val="26"/>
      <w:szCs w:val="26"/>
    </w:rPr>
  </w:style>
  <w:style w:type="character" w:customStyle="1" w:styleId="A4Char">
    <w:name w:val="A 4 Char"/>
    <w:link w:val="A4"/>
    <w:locked/>
    <w:rsid w:val="00A22715"/>
    <w:rPr>
      <w:szCs w:val="24"/>
      <w:lang w:val="x-none"/>
    </w:rPr>
  </w:style>
  <w:style w:type="paragraph" w:customStyle="1" w:styleId="A4">
    <w:name w:val="A 4"/>
    <w:basedOn w:val="Normal"/>
    <w:link w:val="A4Char"/>
    <w:qFormat/>
    <w:rsid w:val="00A22715"/>
    <w:pPr>
      <w:tabs>
        <w:tab w:val="num" w:pos="907"/>
      </w:tabs>
      <w:spacing w:before="120" w:after="120" w:line="360" w:lineRule="auto"/>
      <w:ind w:left="907" w:hanging="907"/>
      <w:jc w:val="both"/>
    </w:pPr>
    <w:rPr>
      <w:rFonts w:eastAsiaTheme="minorHAnsi" w:cstheme="minorBidi"/>
      <w:sz w:val="28"/>
      <w:lang w:val="x-none"/>
    </w:rPr>
  </w:style>
  <w:style w:type="paragraph" w:customStyle="1" w:styleId="BodyText20">
    <w:name w:val="Body Text2"/>
    <w:basedOn w:val="Normal"/>
    <w:uiPriority w:val="99"/>
    <w:qFormat/>
    <w:rsid w:val="00A22715"/>
    <w:pPr>
      <w:spacing w:line="288" w:lineRule="auto"/>
      <w:jc w:val="both"/>
    </w:pPr>
  </w:style>
  <w:style w:type="paragraph" w:customStyle="1" w:styleId="tiucp5">
    <w:name w:val="tiêu đề cấp 5"/>
    <w:basedOn w:val="Normal"/>
    <w:uiPriority w:val="99"/>
    <w:qFormat/>
    <w:rsid w:val="00A22715"/>
    <w:pPr>
      <w:spacing w:line="360" w:lineRule="auto"/>
      <w:ind w:left="965" w:hanging="965"/>
      <w:jc w:val="both"/>
    </w:pPr>
    <w:rPr>
      <w:noProof/>
      <w:sz w:val="26"/>
      <w:szCs w:val="26"/>
    </w:rPr>
  </w:style>
  <w:style w:type="paragraph" w:customStyle="1" w:styleId="Phuluc1">
    <w:name w:val="Phu luc 1"/>
    <w:basedOn w:val="Normal"/>
    <w:uiPriority w:val="99"/>
    <w:qFormat/>
    <w:rsid w:val="00A22715"/>
    <w:pPr>
      <w:spacing w:before="120" w:after="120" w:line="360" w:lineRule="auto"/>
      <w:ind w:left="432" w:hanging="432"/>
      <w:jc w:val="both"/>
    </w:pPr>
    <w:rPr>
      <w:b/>
      <w:caps/>
      <w:sz w:val="28"/>
      <w:szCs w:val="28"/>
    </w:rPr>
  </w:style>
  <w:style w:type="paragraph" w:customStyle="1" w:styleId="Phuluc2">
    <w:name w:val="Phu luc 2"/>
    <w:basedOn w:val="Normal"/>
    <w:uiPriority w:val="99"/>
    <w:qFormat/>
    <w:rsid w:val="00A22715"/>
    <w:pPr>
      <w:spacing w:line="360" w:lineRule="auto"/>
      <w:ind w:left="576" w:hanging="576"/>
      <w:jc w:val="both"/>
    </w:pPr>
    <w:rPr>
      <w:b/>
      <w:sz w:val="26"/>
      <w:szCs w:val="26"/>
    </w:rPr>
  </w:style>
  <w:style w:type="paragraph" w:customStyle="1" w:styleId="Phuluc3">
    <w:name w:val="Phu luc 3"/>
    <w:basedOn w:val="Normal"/>
    <w:uiPriority w:val="99"/>
    <w:qFormat/>
    <w:rsid w:val="00A22715"/>
    <w:pPr>
      <w:spacing w:line="360" w:lineRule="auto"/>
      <w:ind w:left="720" w:hanging="720"/>
      <w:jc w:val="both"/>
    </w:pPr>
    <w:rPr>
      <w:sz w:val="26"/>
      <w:szCs w:val="26"/>
      <w:lang w:val="vi-VN"/>
    </w:rPr>
  </w:style>
  <w:style w:type="paragraph" w:customStyle="1" w:styleId="Phuluc4">
    <w:name w:val="Phu luc 4"/>
    <w:basedOn w:val="Normal"/>
    <w:uiPriority w:val="99"/>
    <w:qFormat/>
    <w:rsid w:val="00A22715"/>
    <w:pPr>
      <w:spacing w:before="120" w:line="360" w:lineRule="auto"/>
      <w:ind w:left="864" w:hanging="864"/>
      <w:jc w:val="both"/>
    </w:pPr>
    <w:rPr>
      <w:sz w:val="26"/>
      <w:szCs w:val="26"/>
      <w:lang w:val="vi-VN"/>
    </w:rPr>
  </w:style>
  <w:style w:type="paragraph" w:customStyle="1" w:styleId="Title1">
    <w:name w:val="Title1"/>
    <w:basedOn w:val="Normal"/>
    <w:uiPriority w:val="99"/>
    <w:qFormat/>
    <w:rsid w:val="00A22715"/>
    <w:pPr>
      <w:spacing w:before="100" w:beforeAutospacing="1" w:after="100" w:afterAutospacing="1"/>
    </w:pPr>
  </w:style>
  <w:style w:type="paragraph" w:customStyle="1" w:styleId="details">
    <w:name w:val="details"/>
    <w:basedOn w:val="Normal"/>
    <w:uiPriority w:val="99"/>
    <w:qFormat/>
    <w:rsid w:val="00A22715"/>
    <w:pPr>
      <w:spacing w:before="100" w:beforeAutospacing="1" w:after="100" w:afterAutospacing="1"/>
    </w:pPr>
  </w:style>
  <w:style w:type="paragraph" w:customStyle="1" w:styleId="Char1">
    <w:name w:val="Char1"/>
    <w:basedOn w:val="Normal"/>
    <w:uiPriority w:val="99"/>
    <w:qFormat/>
    <w:rsid w:val="00A22715"/>
    <w:pPr>
      <w:spacing w:after="160" w:line="240" w:lineRule="exact"/>
    </w:pPr>
    <w:rPr>
      <w:rFonts w:ascii="Verdana" w:hAnsi="Verdana" w:cs="Angsana New"/>
      <w:sz w:val="20"/>
      <w:szCs w:val="20"/>
      <w:lang w:val="en-GB"/>
    </w:rPr>
  </w:style>
  <w:style w:type="paragraph" w:customStyle="1" w:styleId="Subtitle1">
    <w:name w:val="Subtitle1"/>
    <w:basedOn w:val="Normal"/>
    <w:uiPriority w:val="99"/>
    <w:qFormat/>
    <w:rsid w:val="00A22715"/>
    <w:pPr>
      <w:spacing w:before="100" w:beforeAutospacing="1" w:after="100" w:afterAutospacing="1"/>
    </w:pPr>
  </w:style>
  <w:style w:type="paragraph" w:customStyle="1" w:styleId="lead">
    <w:name w:val="lead"/>
    <w:basedOn w:val="Normal"/>
    <w:uiPriority w:val="99"/>
    <w:qFormat/>
    <w:rsid w:val="00A22715"/>
    <w:pPr>
      <w:spacing w:before="100" w:beforeAutospacing="1" w:after="100" w:afterAutospacing="1"/>
    </w:pPr>
  </w:style>
  <w:style w:type="paragraph" w:customStyle="1" w:styleId="titlebox">
    <w:name w:val="title_box"/>
    <w:basedOn w:val="Normal"/>
    <w:uiPriority w:val="99"/>
    <w:qFormat/>
    <w:rsid w:val="00A22715"/>
    <w:pPr>
      <w:spacing w:before="100" w:beforeAutospacing="1" w:after="100" w:afterAutospacing="1"/>
    </w:pPr>
  </w:style>
  <w:style w:type="paragraph" w:customStyle="1" w:styleId="atl">
    <w:name w:val="atl"/>
    <w:basedOn w:val="Normal"/>
    <w:uiPriority w:val="99"/>
    <w:qFormat/>
    <w:rsid w:val="00A22715"/>
    <w:pPr>
      <w:spacing w:before="100" w:beforeAutospacing="1" w:after="100" w:afterAutospacing="1"/>
    </w:pPr>
  </w:style>
  <w:style w:type="paragraph" w:customStyle="1" w:styleId="journal">
    <w:name w:val="journal"/>
    <w:basedOn w:val="Normal"/>
    <w:uiPriority w:val="99"/>
    <w:qFormat/>
    <w:rsid w:val="00A22715"/>
    <w:pPr>
      <w:spacing w:before="100" w:beforeAutospacing="1" w:after="100" w:afterAutospacing="1"/>
    </w:pPr>
  </w:style>
  <w:style w:type="paragraph" w:customStyle="1" w:styleId="Title2">
    <w:name w:val="Title2"/>
    <w:basedOn w:val="Normal"/>
    <w:uiPriority w:val="99"/>
    <w:qFormat/>
    <w:rsid w:val="00A22715"/>
    <w:pPr>
      <w:spacing w:before="100" w:beforeAutospacing="1" w:after="100" w:afterAutospacing="1"/>
    </w:pPr>
  </w:style>
  <w:style w:type="paragraph" w:customStyle="1" w:styleId="a">
    <w:name w:val="]"/>
    <w:basedOn w:val="ListParagraph1"/>
    <w:autoRedefine/>
    <w:uiPriority w:val="99"/>
    <w:qFormat/>
    <w:rsid w:val="00A22715"/>
    <w:pPr>
      <w:numPr>
        <w:ilvl w:val="1"/>
        <w:numId w:val="8"/>
      </w:numPr>
      <w:tabs>
        <w:tab w:val="num" w:pos="360"/>
      </w:tabs>
      <w:spacing w:before="0" w:line="360" w:lineRule="auto"/>
      <w:ind w:left="1440" w:hanging="360"/>
      <w:outlineLvl w:val="1"/>
    </w:pPr>
    <w:rPr>
      <w:rFonts w:ascii="Times New Roman" w:eastAsia="Malgun Gothic" w:hAnsi="Times New Roman"/>
      <w:b/>
      <w:sz w:val="28"/>
      <w:szCs w:val="28"/>
    </w:rPr>
  </w:style>
  <w:style w:type="paragraph" w:customStyle="1" w:styleId="d11">
    <w:name w:val="d 11"/>
    <w:basedOn w:val="ListParagraph1"/>
    <w:uiPriority w:val="99"/>
    <w:qFormat/>
    <w:rsid w:val="00A22715"/>
    <w:pPr>
      <w:numPr>
        <w:ilvl w:val="2"/>
        <w:numId w:val="8"/>
      </w:numPr>
      <w:tabs>
        <w:tab w:val="num" w:pos="360"/>
      </w:tabs>
      <w:spacing w:before="0" w:line="360" w:lineRule="auto"/>
      <w:ind w:left="2160" w:hanging="180"/>
      <w:outlineLvl w:val="2"/>
    </w:pPr>
    <w:rPr>
      <w:rFonts w:ascii="Times New Roman" w:eastAsia="Malgun Gothic" w:hAnsi="Times New Roman"/>
      <w:b/>
      <w:sz w:val="28"/>
      <w:szCs w:val="28"/>
    </w:rPr>
  </w:style>
  <w:style w:type="paragraph" w:customStyle="1" w:styleId="A10">
    <w:name w:val="A 1"/>
    <w:basedOn w:val="ListParagraph1"/>
    <w:uiPriority w:val="99"/>
    <w:qFormat/>
    <w:rsid w:val="00A22715"/>
    <w:pPr>
      <w:spacing w:before="0" w:line="360" w:lineRule="auto"/>
      <w:ind w:left="630"/>
      <w:jc w:val="both"/>
    </w:pPr>
    <w:rPr>
      <w:rFonts w:ascii="Times New Roman" w:eastAsia="Malgun Gothic" w:hAnsi="Times New Roman"/>
      <w:b/>
      <w:sz w:val="28"/>
      <w:szCs w:val="28"/>
    </w:rPr>
  </w:style>
  <w:style w:type="paragraph" w:customStyle="1" w:styleId="H10">
    <w:name w:val="H 1"/>
    <w:basedOn w:val="Caption"/>
    <w:uiPriority w:val="99"/>
    <w:qFormat/>
    <w:rsid w:val="00A22715"/>
    <w:pPr>
      <w:jc w:val="center"/>
    </w:pPr>
    <w:rPr>
      <w:rFonts w:ascii="Times New Roman" w:eastAsia="Malgun Gothic" w:hAnsi="Times New Roman"/>
      <w:b w:val="0"/>
      <w:bCs w:val="0"/>
      <w:iCs/>
      <w:color w:val="auto"/>
      <w:sz w:val="26"/>
      <w:szCs w:val="26"/>
    </w:rPr>
  </w:style>
  <w:style w:type="paragraph" w:customStyle="1" w:styleId="Heading51">
    <w:name w:val="Heading 51"/>
    <w:basedOn w:val="Normal"/>
    <w:next w:val="Normal"/>
    <w:uiPriority w:val="9"/>
    <w:qFormat/>
    <w:rsid w:val="00A22715"/>
    <w:pPr>
      <w:keepNext/>
      <w:keepLines/>
      <w:spacing w:before="40"/>
      <w:ind w:left="3600" w:hanging="360"/>
      <w:outlineLvl w:val="4"/>
    </w:pPr>
    <w:rPr>
      <w:rFonts w:ascii="Calibri Light" w:hAnsi="Calibri Light"/>
      <w:color w:val="2E74B5"/>
    </w:rPr>
  </w:style>
  <w:style w:type="paragraph" w:customStyle="1" w:styleId="Heading61">
    <w:name w:val="Heading 61"/>
    <w:basedOn w:val="Normal"/>
    <w:next w:val="Normal"/>
    <w:uiPriority w:val="9"/>
    <w:semiHidden/>
    <w:qFormat/>
    <w:rsid w:val="00A22715"/>
    <w:pPr>
      <w:keepNext/>
      <w:keepLines/>
      <w:spacing w:before="40"/>
      <w:ind w:left="4320" w:hanging="360"/>
      <w:outlineLvl w:val="5"/>
    </w:pPr>
    <w:rPr>
      <w:rFonts w:ascii="Calibri Light" w:hAnsi="Calibri Light"/>
      <w:color w:val="1F4D78"/>
    </w:rPr>
  </w:style>
  <w:style w:type="paragraph" w:customStyle="1" w:styleId="Heading71">
    <w:name w:val="Heading 71"/>
    <w:basedOn w:val="Normal"/>
    <w:next w:val="Normal"/>
    <w:uiPriority w:val="9"/>
    <w:semiHidden/>
    <w:qFormat/>
    <w:rsid w:val="00A22715"/>
    <w:pPr>
      <w:keepNext/>
      <w:keepLines/>
      <w:spacing w:before="40"/>
      <w:ind w:left="5040" w:hanging="360"/>
      <w:outlineLvl w:val="6"/>
    </w:pPr>
    <w:rPr>
      <w:rFonts w:ascii="Calibri Light" w:hAnsi="Calibri Light"/>
      <w:i/>
      <w:iCs/>
      <w:color w:val="1F4D78"/>
    </w:rPr>
  </w:style>
  <w:style w:type="paragraph" w:customStyle="1" w:styleId="Heading81">
    <w:name w:val="Heading 81"/>
    <w:basedOn w:val="Normal"/>
    <w:next w:val="Normal"/>
    <w:uiPriority w:val="9"/>
    <w:semiHidden/>
    <w:qFormat/>
    <w:rsid w:val="00A22715"/>
    <w:pPr>
      <w:keepNext/>
      <w:keepLines/>
      <w:spacing w:before="40"/>
      <w:ind w:left="5760" w:hanging="360"/>
      <w:outlineLvl w:val="7"/>
    </w:pPr>
    <w:rPr>
      <w:rFonts w:ascii="Calibri Light" w:hAnsi="Calibri Light"/>
      <w:color w:val="272727"/>
      <w:sz w:val="21"/>
      <w:szCs w:val="21"/>
    </w:rPr>
  </w:style>
  <w:style w:type="paragraph" w:customStyle="1" w:styleId="Heading91">
    <w:name w:val="Heading 91"/>
    <w:basedOn w:val="Normal"/>
    <w:next w:val="Normal"/>
    <w:uiPriority w:val="9"/>
    <w:semiHidden/>
    <w:qFormat/>
    <w:rsid w:val="00A22715"/>
    <w:pPr>
      <w:keepNext/>
      <w:keepLines/>
      <w:spacing w:before="40"/>
      <w:ind w:left="6480" w:hanging="360"/>
      <w:outlineLvl w:val="8"/>
    </w:pPr>
    <w:rPr>
      <w:rFonts w:ascii="Calibri Light" w:hAnsi="Calibri Light"/>
      <w:i/>
      <w:iCs/>
      <w:color w:val="272727"/>
      <w:sz w:val="21"/>
      <w:szCs w:val="21"/>
    </w:rPr>
  </w:style>
  <w:style w:type="paragraph" w:customStyle="1" w:styleId="TOCHeading1">
    <w:name w:val="TOC Heading1"/>
    <w:basedOn w:val="Heading1"/>
    <w:next w:val="Normal"/>
    <w:uiPriority w:val="39"/>
    <w:qFormat/>
    <w:rsid w:val="00A22715"/>
    <w:pPr>
      <w:keepLines/>
      <w:spacing w:after="0"/>
      <w:outlineLvl w:val="9"/>
    </w:pPr>
    <w:rPr>
      <w:rFonts w:eastAsia="Malgun Gothic"/>
      <w:bCs w:val="0"/>
      <w:color w:val="365F91"/>
      <w:kern w:val="0"/>
      <w:sz w:val="36"/>
    </w:rPr>
  </w:style>
  <w:style w:type="paragraph" w:customStyle="1" w:styleId="xl67">
    <w:name w:val="xl67"/>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
    <w:qFormat/>
    <w:rsid w:val="00A2271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9">
    <w:name w:val="xl69"/>
    <w:basedOn w:val="Normal"/>
    <w:qFormat/>
    <w:rsid w:val="00A22715"/>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b/>
      <w:bCs/>
    </w:rPr>
  </w:style>
  <w:style w:type="paragraph" w:customStyle="1" w:styleId="xl70">
    <w:name w:val="xl70"/>
    <w:basedOn w:val="Normal"/>
    <w:qFormat/>
    <w:rsid w:val="00A227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1">
    <w:name w:val="xl71"/>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qFormat/>
    <w:rsid w:val="00A22715"/>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b/>
      <w:bCs/>
    </w:rPr>
  </w:style>
  <w:style w:type="paragraph" w:customStyle="1" w:styleId="xl74">
    <w:name w:val="xl74"/>
    <w:basedOn w:val="Normal"/>
    <w:qFormat/>
    <w:rsid w:val="00A22715"/>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b/>
      <w:bCs/>
    </w:rPr>
  </w:style>
  <w:style w:type="paragraph" w:customStyle="1" w:styleId="xl75">
    <w:name w:val="xl75"/>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6">
    <w:name w:val="xl76"/>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TOCHeading2">
    <w:name w:val="TOC Heading2"/>
    <w:basedOn w:val="Heading1"/>
    <w:next w:val="Normal"/>
    <w:uiPriority w:val="39"/>
    <w:qFormat/>
    <w:rsid w:val="00A22715"/>
    <w:pPr>
      <w:keepLines/>
      <w:spacing w:after="0"/>
      <w:outlineLvl w:val="9"/>
    </w:pPr>
    <w:rPr>
      <w:rFonts w:eastAsia="Malgun Gothic"/>
      <w:bCs w:val="0"/>
      <w:color w:val="365F91"/>
      <w:kern w:val="0"/>
      <w:sz w:val="36"/>
    </w:rPr>
  </w:style>
  <w:style w:type="paragraph" w:customStyle="1" w:styleId="tieudecap10">
    <w:name w:val="tieu de cap 1"/>
    <w:basedOn w:val="Normal"/>
    <w:uiPriority w:val="99"/>
    <w:qFormat/>
    <w:rsid w:val="00A22715"/>
    <w:pPr>
      <w:spacing w:before="120" w:after="240" w:line="324" w:lineRule="auto"/>
      <w:ind w:left="1728" w:hanging="1728"/>
    </w:pPr>
    <w:rPr>
      <w:rFonts w:eastAsia="Calibri"/>
      <w:b/>
      <w:caps/>
      <w:sz w:val="32"/>
    </w:rPr>
  </w:style>
  <w:style w:type="paragraph" w:customStyle="1" w:styleId="tieude">
    <w:name w:val="tieu de"/>
    <w:basedOn w:val="Normal"/>
    <w:uiPriority w:val="99"/>
    <w:qFormat/>
    <w:rsid w:val="00A22715"/>
    <w:pPr>
      <w:spacing w:before="120" w:after="120" w:line="324" w:lineRule="auto"/>
      <w:jc w:val="center"/>
    </w:pPr>
    <w:rPr>
      <w:rFonts w:eastAsia="Calibri"/>
      <w:b/>
      <w:sz w:val="32"/>
    </w:rPr>
  </w:style>
  <w:style w:type="paragraph" w:customStyle="1" w:styleId="S1">
    <w:name w:val="Sơ đồ"/>
    <w:basedOn w:val="Normal"/>
    <w:uiPriority w:val="99"/>
    <w:qFormat/>
    <w:rsid w:val="00A22715"/>
    <w:pPr>
      <w:spacing w:before="120" w:after="120" w:line="324" w:lineRule="auto"/>
      <w:jc w:val="center"/>
    </w:pPr>
    <w:rPr>
      <w:rFonts w:ascii="Arial" w:eastAsia="Calibri" w:hAnsi="Arial"/>
      <w:sz w:val="20"/>
    </w:rPr>
  </w:style>
  <w:style w:type="paragraph" w:customStyle="1" w:styleId="chuthich">
    <w:name w:val="chu thich"/>
    <w:basedOn w:val="Normal"/>
    <w:uiPriority w:val="99"/>
    <w:qFormat/>
    <w:rsid w:val="00A22715"/>
    <w:pPr>
      <w:spacing w:line="324" w:lineRule="auto"/>
      <w:jc w:val="both"/>
    </w:pPr>
    <w:rPr>
      <w:rFonts w:ascii="Arial" w:eastAsia="Calibri" w:hAnsi="Arial"/>
      <w:sz w:val="20"/>
    </w:rPr>
  </w:style>
  <w:style w:type="paragraph" w:customStyle="1" w:styleId="NUMBER">
    <w:name w:val="NUMBER"/>
    <w:basedOn w:val="Normal"/>
    <w:uiPriority w:val="99"/>
    <w:qFormat/>
    <w:rsid w:val="00A22715"/>
    <w:pPr>
      <w:framePr w:hSpace="180" w:wrap="around" w:vAnchor="page" w:hAnchor="page" w:x="1021" w:y="4703"/>
      <w:ind w:left="360" w:hanging="360"/>
      <w:jc w:val="center"/>
    </w:pPr>
    <w:rPr>
      <w:rFonts w:ascii="Arial" w:eastAsia="Calibri" w:hAnsi="Arial" w:cs="Arial"/>
      <w:sz w:val="14"/>
      <w:szCs w:val="14"/>
    </w:rPr>
  </w:style>
  <w:style w:type="paragraph" w:customStyle="1" w:styleId="p">
    <w:name w:val="p"/>
    <w:basedOn w:val="Normal"/>
    <w:uiPriority w:val="99"/>
    <w:qFormat/>
    <w:rsid w:val="00A22715"/>
    <w:pPr>
      <w:spacing w:before="100" w:beforeAutospacing="1" w:after="100" w:afterAutospacing="1"/>
    </w:pPr>
    <w:rPr>
      <w:lang w:val="vi-VN" w:eastAsia="vi-VN"/>
    </w:rPr>
  </w:style>
  <w:style w:type="paragraph" w:customStyle="1" w:styleId="noidungbang">
    <w:name w:val="noi dung bang"/>
    <w:basedOn w:val="Normal"/>
    <w:uiPriority w:val="99"/>
    <w:qFormat/>
    <w:rsid w:val="00A22715"/>
    <w:pPr>
      <w:ind w:left="720" w:hanging="360"/>
      <w:jc w:val="both"/>
    </w:pPr>
    <w:rPr>
      <w:rFonts w:ascii="Arial" w:eastAsia="Calibri" w:hAnsi="Arial" w:cs="Arial"/>
      <w:sz w:val="14"/>
      <w:szCs w:val="14"/>
    </w:rPr>
  </w:style>
  <w:style w:type="paragraph" w:customStyle="1" w:styleId="Thanbai">
    <w:name w:val="Than bai"/>
    <w:basedOn w:val="Normal"/>
    <w:uiPriority w:val="99"/>
    <w:qFormat/>
    <w:rsid w:val="00A22715"/>
    <w:pPr>
      <w:spacing w:before="120" w:after="20" w:line="268" w:lineRule="auto"/>
      <w:jc w:val="both"/>
    </w:pPr>
    <w:rPr>
      <w:color w:val="000000"/>
      <w:sz w:val="26"/>
    </w:rPr>
  </w:style>
  <w:style w:type="paragraph" w:customStyle="1" w:styleId="bang">
    <w:name w:val="bang"/>
    <w:basedOn w:val="tieudecap10"/>
    <w:uiPriority w:val="99"/>
    <w:qFormat/>
    <w:rsid w:val="00A22715"/>
    <w:pPr>
      <w:tabs>
        <w:tab w:val="left" w:pos="1531"/>
        <w:tab w:val="left" w:pos="1758"/>
        <w:tab w:val="num" w:pos="2859"/>
      </w:tabs>
      <w:spacing w:before="0" w:after="0" w:line="360" w:lineRule="auto"/>
      <w:ind w:left="1572" w:firstLine="567"/>
      <w:jc w:val="center"/>
    </w:pPr>
    <w:rPr>
      <w:rFonts w:ascii="VNI-Times" w:eastAsia="Times New Roman" w:hAnsi="VNI-Times"/>
      <w:b w:val="0"/>
      <w:caps w:val="0"/>
      <w:sz w:val="26"/>
      <w:szCs w:val="25"/>
      <w:lang w:val="es-SV"/>
    </w:rPr>
  </w:style>
  <w:style w:type="paragraph" w:customStyle="1" w:styleId="baang">
    <w:name w:val="baaûng"/>
    <w:basedOn w:val="bang"/>
    <w:uiPriority w:val="99"/>
    <w:qFormat/>
    <w:rsid w:val="00A22715"/>
    <w:pPr>
      <w:keepNext/>
      <w:tabs>
        <w:tab w:val="clear" w:pos="1531"/>
        <w:tab w:val="clear" w:pos="1758"/>
        <w:tab w:val="clear" w:pos="2859"/>
        <w:tab w:val="num" w:pos="1077"/>
      </w:tabs>
      <w:ind w:left="0" w:firstLine="0"/>
      <w:jc w:val="left"/>
    </w:pPr>
    <w:rPr>
      <w:szCs w:val="26"/>
    </w:rPr>
  </w:style>
  <w:style w:type="paragraph" w:customStyle="1" w:styleId="helptext">
    <w:name w:val="helptext"/>
    <w:basedOn w:val="Normal"/>
    <w:uiPriority w:val="99"/>
    <w:qFormat/>
    <w:rsid w:val="00A22715"/>
    <w:pPr>
      <w:spacing w:before="100" w:beforeAutospacing="1" w:after="100" w:afterAutospacing="1"/>
    </w:pPr>
  </w:style>
  <w:style w:type="paragraph" w:customStyle="1" w:styleId="A3">
    <w:name w:val="A 3"/>
    <w:basedOn w:val="Normal"/>
    <w:uiPriority w:val="99"/>
    <w:qFormat/>
    <w:rsid w:val="00A22715"/>
    <w:pPr>
      <w:keepNext/>
      <w:tabs>
        <w:tab w:val="num" w:pos="1800"/>
      </w:tabs>
      <w:spacing w:before="120" w:after="120" w:line="360" w:lineRule="auto"/>
      <w:ind w:left="1800" w:hanging="360"/>
    </w:pPr>
    <w:rPr>
      <w:b/>
      <w:sz w:val="28"/>
    </w:rPr>
  </w:style>
  <w:style w:type="paragraph" w:customStyle="1" w:styleId="pbody">
    <w:name w:val="pbody"/>
    <w:basedOn w:val="Normal"/>
    <w:uiPriority w:val="99"/>
    <w:qFormat/>
    <w:rsid w:val="00A22715"/>
    <w:pPr>
      <w:spacing w:before="100" w:beforeAutospacing="1" w:after="100" w:afterAutospacing="1"/>
    </w:pPr>
  </w:style>
  <w:style w:type="paragraph" w:customStyle="1" w:styleId="BodyText30">
    <w:name w:val="Body Text3"/>
    <w:basedOn w:val="Normal"/>
    <w:uiPriority w:val="99"/>
    <w:qFormat/>
    <w:rsid w:val="00A22715"/>
    <w:pPr>
      <w:spacing w:line="288" w:lineRule="auto"/>
    </w:pPr>
  </w:style>
  <w:style w:type="paragraph" w:customStyle="1" w:styleId="para">
    <w:name w:val="para"/>
    <w:basedOn w:val="Normal"/>
    <w:uiPriority w:val="99"/>
    <w:qFormat/>
    <w:rsid w:val="00A22715"/>
    <w:pPr>
      <w:spacing w:before="100" w:beforeAutospacing="1" w:after="100" w:afterAutospacing="1"/>
    </w:pPr>
  </w:style>
  <w:style w:type="paragraph" w:customStyle="1" w:styleId="yiv1714791254msonormal">
    <w:name w:val="yiv1714791254msonormal"/>
    <w:basedOn w:val="Normal"/>
    <w:uiPriority w:val="99"/>
    <w:qFormat/>
    <w:rsid w:val="00A22715"/>
    <w:pPr>
      <w:spacing w:before="100" w:beforeAutospacing="1" w:after="100" w:afterAutospacing="1"/>
    </w:pPr>
    <w:rPr>
      <w:lang w:eastAsia="zh-CN"/>
    </w:rPr>
  </w:style>
  <w:style w:type="paragraph" w:customStyle="1" w:styleId="font5">
    <w:name w:val="font5"/>
    <w:basedOn w:val="Normal"/>
    <w:qFormat/>
    <w:rsid w:val="00A22715"/>
    <w:pPr>
      <w:spacing w:before="100" w:beforeAutospacing="1" w:after="100" w:afterAutospacing="1"/>
    </w:pPr>
    <w:rPr>
      <w:rFonts w:eastAsia="Calibri"/>
      <w:sz w:val="26"/>
      <w:szCs w:val="26"/>
      <w:lang w:val="en-GB"/>
    </w:rPr>
  </w:style>
  <w:style w:type="paragraph" w:customStyle="1" w:styleId="font6">
    <w:name w:val="font6"/>
    <w:basedOn w:val="Normal"/>
    <w:qFormat/>
    <w:rsid w:val="00A22715"/>
    <w:pPr>
      <w:spacing w:before="100" w:beforeAutospacing="1" w:after="100" w:afterAutospacing="1"/>
    </w:pPr>
    <w:rPr>
      <w:rFonts w:eastAsia="Calibri"/>
      <w:i/>
      <w:iCs/>
      <w:sz w:val="26"/>
      <w:szCs w:val="26"/>
      <w:lang w:val="en-GB"/>
    </w:rPr>
  </w:style>
  <w:style w:type="paragraph" w:customStyle="1" w:styleId="font7">
    <w:name w:val="font7"/>
    <w:basedOn w:val="Normal"/>
    <w:uiPriority w:val="99"/>
    <w:qFormat/>
    <w:rsid w:val="00A22715"/>
    <w:pPr>
      <w:spacing w:before="100" w:beforeAutospacing="1" w:after="100" w:afterAutospacing="1"/>
    </w:pPr>
    <w:rPr>
      <w:rFonts w:ascii="Tahoma" w:eastAsia="Calibri" w:hAnsi="Tahoma"/>
      <w:sz w:val="26"/>
      <w:szCs w:val="26"/>
      <w:lang w:val="en-GB"/>
    </w:rPr>
  </w:style>
  <w:style w:type="paragraph" w:customStyle="1" w:styleId="xl65">
    <w:name w:val="xl65"/>
    <w:basedOn w:val="Normal"/>
    <w:qFormat/>
    <w:rsid w:val="00A22715"/>
    <w:pPr>
      <w:spacing w:before="100" w:beforeAutospacing="1" w:after="100" w:afterAutospacing="1"/>
    </w:pPr>
    <w:rPr>
      <w:rFonts w:eastAsia="Calibri"/>
      <w:b/>
      <w:bCs/>
      <w:lang w:val="en-GB"/>
    </w:rPr>
  </w:style>
  <w:style w:type="paragraph" w:customStyle="1" w:styleId="xl66">
    <w:name w:val="xl66"/>
    <w:basedOn w:val="Normal"/>
    <w:qFormat/>
    <w:rsid w:val="00A22715"/>
    <w:pPr>
      <w:spacing w:before="100" w:beforeAutospacing="1" w:after="100" w:afterAutospacing="1"/>
    </w:pPr>
    <w:rPr>
      <w:rFonts w:ascii=".VnTime" w:eastAsia="Calibri" w:hAnsi=".VnTime"/>
      <w:color w:val="FFCC00"/>
      <w:sz w:val="20"/>
      <w:szCs w:val="20"/>
      <w:lang w:val="en-GB"/>
    </w:rPr>
  </w:style>
  <w:style w:type="paragraph" w:customStyle="1" w:styleId="xl77">
    <w:name w:val="xl77"/>
    <w:basedOn w:val="Normal"/>
    <w:qFormat/>
    <w:rsid w:val="00A2271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Calibri" w:hAnsi="Tahoma"/>
      <w:i/>
      <w:iCs/>
      <w:sz w:val="26"/>
      <w:szCs w:val="26"/>
      <w:lang w:val="en-GB"/>
    </w:rPr>
  </w:style>
  <w:style w:type="paragraph" w:customStyle="1" w:styleId="xl78">
    <w:name w:val="xl78"/>
    <w:basedOn w:val="Normal"/>
    <w:qFormat/>
    <w:rsid w:val="00A22715"/>
    <w:pPr>
      <w:spacing w:before="100" w:beforeAutospacing="1" w:after="100" w:afterAutospacing="1"/>
    </w:pPr>
    <w:rPr>
      <w:rFonts w:eastAsia="Calibri"/>
      <w:sz w:val="26"/>
      <w:szCs w:val="26"/>
      <w:lang w:val="en-GB"/>
    </w:rPr>
  </w:style>
  <w:style w:type="paragraph" w:customStyle="1" w:styleId="xl79">
    <w:name w:val="xl79"/>
    <w:basedOn w:val="Normal"/>
    <w:qFormat/>
    <w:rsid w:val="00A22715"/>
    <w:pPr>
      <w:spacing w:before="100" w:beforeAutospacing="1" w:after="100" w:afterAutospacing="1"/>
    </w:pPr>
    <w:rPr>
      <w:rFonts w:eastAsia="Calibri"/>
      <w:sz w:val="26"/>
      <w:szCs w:val="26"/>
      <w:lang w:val="en-GB"/>
    </w:rPr>
  </w:style>
  <w:style w:type="paragraph" w:customStyle="1" w:styleId="xl80">
    <w:name w:val="xl80"/>
    <w:basedOn w:val="Normal"/>
    <w:qFormat/>
    <w:rsid w:val="00A22715"/>
    <w:pPr>
      <w:spacing w:before="100" w:beforeAutospacing="1" w:after="100" w:afterAutospacing="1"/>
    </w:pPr>
    <w:rPr>
      <w:rFonts w:ascii=".VnTime" w:eastAsia="Calibri" w:hAnsi=".VnTime"/>
      <w:sz w:val="26"/>
      <w:szCs w:val="26"/>
      <w:lang w:val="en-GB"/>
    </w:rPr>
  </w:style>
  <w:style w:type="paragraph" w:customStyle="1" w:styleId="xl81">
    <w:name w:val="xl81"/>
    <w:basedOn w:val="Normal"/>
    <w:uiPriority w:val="99"/>
    <w:qFormat/>
    <w:rsid w:val="00A22715"/>
    <w:pPr>
      <w:spacing w:before="100" w:beforeAutospacing="1" w:after="100" w:afterAutospacing="1"/>
    </w:pPr>
    <w:rPr>
      <w:rFonts w:ascii=".VnTime" w:eastAsia="Calibri" w:hAnsi=".VnTime"/>
      <w:sz w:val="26"/>
      <w:szCs w:val="26"/>
      <w:lang w:val="en-GB"/>
    </w:rPr>
  </w:style>
  <w:style w:type="paragraph" w:customStyle="1" w:styleId="xl82">
    <w:name w:val="xl82"/>
    <w:basedOn w:val="Normal"/>
    <w:uiPriority w:val="99"/>
    <w:qFormat/>
    <w:rsid w:val="00A22715"/>
    <w:pPr>
      <w:spacing w:before="100" w:beforeAutospacing="1" w:after="100" w:afterAutospacing="1"/>
    </w:pPr>
    <w:rPr>
      <w:rFonts w:eastAsia="Calibri"/>
      <w:color w:val="DD0806"/>
      <w:sz w:val="26"/>
      <w:szCs w:val="26"/>
      <w:lang w:val="en-GB"/>
    </w:rPr>
  </w:style>
  <w:style w:type="paragraph" w:customStyle="1" w:styleId="danhmucbang">
    <w:name w:val="danh muc bang"/>
    <w:basedOn w:val="Normal"/>
    <w:uiPriority w:val="99"/>
    <w:qFormat/>
    <w:rsid w:val="00A22715"/>
    <w:pPr>
      <w:spacing w:line="360" w:lineRule="auto"/>
      <w:jc w:val="center"/>
    </w:pPr>
    <w:rPr>
      <w:rFonts w:eastAsia="Calibri"/>
      <w:b/>
      <w:sz w:val="26"/>
      <w:szCs w:val="22"/>
    </w:rPr>
  </w:style>
  <w:style w:type="paragraph" w:customStyle="1" w:styleId="Danhmuchinh">
    <w:name w:val="Danh muc hinh"/>
    <w:basedOn w:val="Normal"/>
    <w:uiPriority w:val="99"/>
    <w:qFormat/>
    <w:rsid w:val="00A22715"/>
    <w:pPr>
      <w:tabs>
        <w:tab w:val="left" w:pos="0"/>
      </w:tabs>
      <w:spacing w:before="120" w:after="120" w:line="360" w:lineRule="auto"/>
      <w:ind w:firstLine="720"/>
      <w:jc w:val="center"/>
    </w:pPr>
    <w:rPr>
      <w:b/>
      <w:sz w:val="26"/>
      <w:szCs w:val="27"/>
    </w:rPr>
  </w:style>
  <w:style w:type="paragraph" w:customStyle="1" w:styleId="Danhmucbang0">
    <w:name w:val="Danh muc bang"/>
    <w:basedOn w:val="Heading4"/>
    <w:autoRedefine/>
    <w:uiPriority w:val="99"/>
    <w:qFormat/>
    <w:rsid w:val="00A22715"/>
    <w:pPr>
      <w:keepLines/>
      <w:spacing w:before="0" w:after="0"/>
      <w:ind w:right="4"/>
      <w:jc w:val="center"/>
    </w:pPr>
    <w:rPr>
      <w:rFonts w:eastAsia="Malgun Gothic"/>
      <w:b w:val="0"/>
      <w:iCs/>
      <w:color w:val="000000"/>
      <w:sz w:val="18"/>
      <w:szCs w:val="18"/>
      <w:lang w:val="fr-FR" w:eastAsia="en-US"/>
    </w:rPr>
  </w:style>
  <w:style w:type="paragraph" w:customStyle="1" w:styleId="Danhmucphuluc">
    <w:name w:val="Danh muc phu luc"/>
    <w:basedOn w:val="Normal"/>
    <w:uiPriority w:val="99"/>
    <w:qFormat/>
    <w:rsid w:val="00A22715"/>
    <w:pPr>
      <w:spacing w:line="360" w:lineRule="auto"/>
      <w:ind w:firstLine="720"/>
      <w:jc w:val="center"/>
    </w:pPr>
    <w:rPr>
      <w:rFonts w:eastAsia="Calibri"/>
      <w:i/>
      <w:sz w:val="26"/>
      <w:szCs w:val="27"/>
    </w:rPr>
  </w:style>
  <w:style w:type="paragraph" w:customStyle="1" w:styleId="-">
    <w:name w:val="-"/>
    <w:basedOn w:val="Normal"/>
    <w:uiPriority w:val="99"/>
    <w:qFormat/>
    <w:rsid w:val="00A22715"/>
    <w:pPr>
      <w:ind w:left="360"/>
    </w:pPr>
    <w:rPr>
      <w:sz w:val="28"/>
      <w:szCs w:val="28"/>
    </w:rPr>
  </w:style>
  <w:style w:type="character" w:customStyle="1" w:styleId="NormalTimesNewRomanChar">
    <w:name w:val="Normal + Times New Roman Char"/>
    <w:aliases w:val="10 pt Char,Custom Color(RGB(48 Char,47 Char,52)) Char,Expanded by  0.... Char Char"/>
    <w:link w:val="NormalTimesNewRoman"/>
    <w:locked/>
    <w:rsid w:val="00A22715"/>
    <w:rPr>
      <w:rFonts w:ascii="Calibri" w:hAnsi="Calibri"/>
      <w:lang w:val="x-none" w:eastAsia="x-none" w:bidi="en-US"/>
    </w:rPr>
  </w:style>
  <w:style w:type="paragraph" w:customStyle="1" w:styleId="NormalTimesNewRoman">
    <w:name w:val="Normal + Times New Roman"/>
    <w:aliases w:val="10 pt,Custom Color(RGB(48,47,52)),Expanded by  0....,Condensed by  0...,First line:  0.68&quot;,Before:  Auto,After:  Auto"/>
    <w:basedOn w:val="Normal"/>
    <w:link w:val="NormalTimesNewRomanChar"/>
    <w:qFormat/>
    <w:rsid w:val="00A22715"/>
    <w:pPr>
      <w:spacing w:after="200"/>
    </w:pPr>
    <w:rPr>
      <w:rFonts w:ascii="Calibri" w:eastAsiaTheme="minorHAnsi" w:hAnsi="Calibri" w:cstheme="minorBidi"/>
      <w:sz w:val="28"/>
      <w:szCs w:val="22"/>
      <w:lang w:val="x-none" w:eastAsia="x-none" w:bidi="en-US"/>
    </w:rPr>
  </w:style>
  <w:style w:type="paragraph" w:customStyle="1" w:styleId="b">
    <w:name w:val="b"/>
    <w:basedOn w:val="Normal"/>
    <w:uiPriority w:val="99"/>
    <w:qFormat/>
    <w:rsid w:val="00A22715"/>
    <w:pPr>
      <w:spacing w:line="360" w:lineRule="auto"/>
      <w:jc w:val="center"/>
    </w:pPr>
    <w:rPr>
      <w:rFonts w:ascii=".VnTime" w:hAnsi=".VnTime"/>
      <w:color w:val="000000"/>
      <w:sz w:val="28"/>
    </w:rPr>
  </w:style>
  <w:style w:type="paragraph" w:customStyle="1" w:styleId="danhmuchinh0">
    <w:name w:val="danh muc hinh"/>
    <w:basedOn w:val="Normal"/>
    <w:uiPriority w:val="99"/>
    <w:qFormat/>
    <w:rsid w:val="00A22715"/>
    <w:pPr>
      <w:spacing w:line="360" w:lineRule="auto"/>
      <w:jc w:val="center"/>
    </w:pPr>
    <w:rPr>
      <w:rFonts w:eastAsia="Calibri"/>
      <w:b/>
      <w:sz w:val="26"/>
      <w:szCs w:val="22"/>
    </w:rPr>
  </w:style>
  <w:style w:type="paragraph" w:customStyle="1" w:styleId="B0">
    <w:name w:val="B"/>
    <w:basedOn w:val="Normal"/>
    <w:uiPriority w:val="99"/>
    <w:qFormat/>
    <w:rsid w:val="00A22715"/>
    <w:pPr>
      <w:spacing w:line="360" w:lineRule="auto"/>
      <w:ind w:firstLine="720"/>
      <w:jc w:val="center"/>
    </w:pPr>
    <w:rPr>
      <w:b/>
      <w:sz w:val="28"/>
      <w:szCs w:val="28"/>
      <w:lang w:eastAsia="ko-KR"/>
    </w:rPr>
  </w:style>
  <w:style w:type="paragraph" w:customStyle="1" w:styleId="H">
    <w:name w:val="H"/>
    <w:basedOn w:val="Normal"/>
    <w:uiPriority w:val="99"/>
    <w:qFormat/>
    <w:rsid w:val="00A22715"/>
    <w:pPr>
      <w:tabs>
        <w:tab w:val="center" w:pos="2268"/>
        <w:tab w:val="center" w:pos="6946"/>
      </w:tabs>
      <w:spacing w:before="120" w:line="360" w:lineRule="auto"/>
      <w:ind w:firstLine="720"/>
      <w:jc w:val="center"/>
    </w:pPr>
    <w:rPr>
      <w:b/>
      <w:color w:val="000000"/>
      <w:sz w:val="28"/>
      <w:szCs w:val="28"/>
      <w:lang w:val="de-DE" w:eastAsia="ko-KR"/>
    </w:rPr>
  </w:style>
  <w:style w:type="character" w:customStyle="1" w:styleId="DauDongChar">
    <w:name w:val="Dau Dong Char"/>
    <w:link w:val="DauDong"/>
    <w:locked/>
    <w:rsid w:val="00A22715"/>
    <w:rPr>
      <w:noProof/>
      <w:szCs w:val="28"/>
    </w:rPr>
  </w:style>
  <w:style w:type="paragraph" w:customStyle="1" w:styleId="DauDong">
    <w:name w:val="Dau Dong"/>
    <w:basedOn w:val="Normal"/>
    <w:link w:val="DauDongChar"/>
    <w:qFormat/>
    <w:rsid w:val="00A22715"/>
    <w:pPr>
      <w:spacing w:line="360" w:lineRule="auto"/>
      <w:jc w:val="both"/>
    </w:pPr>
    <w:rPr>
      <w:rFonts w:eastAsiaTheme="minorHAnsi" w:cstheme="minorBidi"/>
      <w:noProof/>
      <w:sz w:val="28"/>
      <w:szCs w:val="28"/>
      <w:lang w:val="vi-VN"/>
    </w:rPr>
  </w:style>
  <w:style w:type="paragraph" w:customStyle="1" w:styleId="trinhbayTLTKctrl4">
    <w:name w:val="trinh bay TLTK (ctrl+4)"/>
    <w:basedOn w:val="Normal"/>
    <w:uiPriority w:val="99"/>
    <w:qFormat/>
    <w:rsid w:val="00A22715"/>
    <w:pPr>
      <w:widowControl/>
      <w:numPr>
        <w:numId w:val="9"/>
      </w:numPr>
      <w:spacing w:before="40"/>
      <w:jc w:val="both"/>
    </w:pPr>
    <w:rPr>
      <w:sz w:val="19"/>
      <w:szCs w:val="19"/>
      <w:lang w:val="vi-VN"/>
    </w:rPr>
  </w:style>
  <w:style w:type="paragraph" w:customStyle="1" w:styleId="NoidungTLTK">
    <w:name w:val="Noi dung TLTK"/>
    <w:basedOn w:val="trinhbayTLTKctrl4"/>
    <w:uiPriority w:val="99"/>
    <w:qFormat/>
    <w:rsid w:val="00A22715"/>
  </w:style>
  <w:style w:type="character" w:customStyle="1" w:styleId="Bodytext21">
    <w:name w:val="Body text (2)_"/>
    <w:link w:val="Bodytext210"/>
    <w:locked/>
    <w:rsid w:val="00A22715"/>
    <w:rPr>
      <w:shd w:val="clear" w:color="auto" w:fill="FFFFFF"/>
    </w:rPr>
  </w:style>
  <w:style w:type="paragraph" w:customStyle="1" w:styleId="Bodytext210">
    <w:name w:val="Body text (2)1"/>
    <w:basedOn w:val="Normal"/>
    <w:link w:val="Bodytext21"/>
    <w:qFormat/>
    <w:rsid w:val="00A22715"/>
    <w:pPr>
      <w:shd w:val="clear" w:color="auto" w:fill="FFFFFF"/>
      <w:spacing w:before="300" w:after="180" w:line="230" w:lineRule="exact"/>
    </w:pPr>
    <w:rPr>
      <w:rFonts w:eastAsiaTheme="minorHAnsi" w:cstheme="minorBidi"/>
      <w:sz w:val="28"/>
      <w:szCs w:val="22"/>
      <w:lang w:val="vi-VN"/>
    </w:rPr>
  </w:style>
  <w:style w:type="character" w:customStyle="1" w:styleId="EndNoteCategoryHeadingChar">
    <w:name w:val="EndNote Category Heading Char"/>
    <w:link w:val="EndNoteCategoryHeading"/>
    <w:locked/>
    <w:rsid w:val="00A22715"/>
    <w:rPr>
      <w:rFonts w:ascii="Calibri" w:eastAsia="Calibri" w:hAnsi="Calibri"/>
      <w:b/>
      <w:noProof/>
      <w:sz w:val="22"/>
      <w:lang w:val="x-none"/>
    </w:rPr>
  </w:style>
  <w:style w:type="paragraph" w:customStyle="1" w:styleId="EndNoteCategoryHeading">
    <w:name w:val="EndNote Category Heading"/>
    <w:basedOn w:val="Normal"/>
    <w:link w:val="EndNoteCategoryHeadingChar"/>
    <w:qFormat/>
    <w:rsid w:val="00A22715"/>
    <w:pPr>
      <w:widowControl/>
      <w:spacing w:before="120" w:after="120" w:line="276" w:lineRule="auto"/>
    </w:pPr>
    <w:rPr>
      <w:rFonts w:ascii="Calibri" w:eastAsia="Calibri" w:hAnsi="Calibri" w:cstheme="minorBidi"/>
      <w:b/>
      <w:noProof/>
      <w:sz w:val="22"/>
      <w:szCs w:val="22"/>
      <w:lang w:val="x-none"/>
    </w:rPr>
  </w:style>
  <w:style w:type="paragraph" w:customStyle="1" w:styleId="p1">
    <w:name w:val="p1"/>
    <w:basedOn w:val="Normal"/>
    <w:uiPriority w:val="99"/>
    <w:qFormat/>
    <w:rsid w:val="00A22715"/>
    <w:pPr>
      <w:widowControl/>
    </w:pPr>
    <w:rPr>
      <w:rFonts w:ascii="Helvetica" w:eastAsia="Calibri" w:hAnsi="Helvetica"/>
      <w:sz w:val="15"/>
      <w:szCs w:val="15"/>
      <w:lang w:eastAsia="ko-KR"/>
    </w:rPr>
  </w:style>
  <w:style w:type="character" w:customStyle="1" w:styleId="Mccp1Char">
    <w:name w:val="Mục cấp 1 Char"/>
    <w:link w:val="Mccp1"/>
    <w:locked/>
    <w:rsid w:val="00A22715"/>
    <w:rPr>
      <w:rFonts w:ascii="SimSun" w:eastAsia="SimSun" w:hAnsi="SimSun"/>
      <w:b/>
      <w:sz w:val="24"/>
      <w:szCs w:val="24"/>
      <w:lang w:val="en-GB"/>
    </w:rPr>
  </w:style>
  <w:style w:type="paragraph" w:customStyle="1" w:styleId="Mccp1">
    <w:name w:val="Mục cấp 1"/>
    <w:basedOn w:val="Normal"/>
    <w:link w:val="Mccp1Char"/>
    <w:autoRedefine/>
    <w:qFormat/>
    <w:rsid w:val="00A22715"/>
    <w:pPr>
      <w:keepNext/>
      <w:widowControl/>
      <w:suppressAutoHyphens/>
      <w:spacing w:before="120" w:after="120"/>
    </w:pPr>
    <w:rPr>
      <w:rFonts w:ascii="SimSun" w:eastAsia="SimSun" w:hAnsi="SimSun" w:cstheme="minorBidi"/>
      <w:b/>
      <w:lang w:val="en-GB"/>
    </w:rPr>
  </w:style>
  <w:style w:type="character" w:customStyle="1" w:styleId="Mccp2Char">
    <w:name w:val="Mục cấp 2 Char"/>
    <w:link w:val="Mccp2"/>
    <w:locked/>
    <w:rsid w:val="00A22715"/>
    <w:rPr>
      <w:rFonts w:ascii="SimSun" w:eastAsia="SimSun" w:hAnsi="SimSun"/>
      <w:i/>
      <w:sz w:val="24"/>
      <w:lang w:val="en-GB"/>
    </w:rPr>
  </w:style>
  <w:style w:type="paragraph" w:customStyle="1" w:styleId="Mccp2">
    <w:name w:val="Mục cấp 2"/>
    <w:basedOn w:val="Normal"/>
    <w:link w:val="Mccp2Char"/>
    <w:autoRedefine/>
    <w:qFormat/>
    <w:rsid w:val="00A22715"/>
    <w:pPr>
      <w:keepNext/>
      <w:widowControl/>
      <w:suppressAutoHyphens/>
      <w:spacing w:before="120" w:after="120"/>
      <w:jc w:val="both"/>
    </w:pPr>
    <w:rPr>
      <w:rFonts w:ascii="SimSun" w:eastAsia="SimSun" w:hAnsi="SimSun" w:cstheme="minorBidi"/>
      <w:i/>
      <w:szCs w:val="22"/>
      <w:lang w:val="en-GB"/>
    </w:rPr>
  </w:style>
  <w:style w:type="character" w:customStyle="1" w:styleId="Mccp3Char">
    <w:name w:val="Mục cấp 3 Char"/>
    <w:link w:val="Mccp3"/>
    <w:locked/>
    <w:rsid w:val="00A22715"/>
    <w:rPr>
      <w:rFonts w:ascii="SimSun" w:eastAsia="SimSun" w:hAnsi="SimSun"/>
      <w:sz w:val="24"/>
      <w:szCs w:val="24"/>
      <w:lang w:val="en-GB"/>
    </w:rPr>
  </w:style>
  <w:style w:type="paragraph" w:customStyle="1" w:styleId="Mccp3">
    <w:name w:val="Mục cấp 3"/>
    <w:basedOn w:val="Mccp2"/>
    <w:link w:val="Mccp3Char"/>
    <w:autoRedefine/>
    <w:qFormat/>
    <w:rsid w:val="00A22715"/>
    <w:pPr>
      <w:jc w:val="left"/>
    </w:pPr>
    <w:rPr>
      <w:i w:val="0"/>
      <w:szCs w:val="24"/>
    </w:rPr>
  </w:style>
  <w:style w:type="paragraph" w:customStyle="1" w:styleId="Lui">
    <w:name w:val="Lui"/>
    <w:basedOn w:val="Normal"/>
    <w:uiPriority w:val="99"/>
    <w:qFormat/>
    <w:rsid w:val="00A22715"/>
    <w:pPr>
      <w:widowControl/>
      <w:numPr>
        <w:numId w:val="10"/>
      </w:numPr>
      <w:spacing w:after="120" w:line="360" w:lineRule="exact"/>
      <w:jc w:val="both"/>
    </w:pPr>
    <w:rPr>
      <w:sz w:val="26"/>
      <w:szCs w:val="26"/>
    </w:rPr>
  </w:style>
  <w:style w:type="paragraph" w:customStyle="1" w:styleId="Normal10">
    <w:name w:val="Normal1"/>
    <w:basedOn w:val="Normal"/>
    <w:uiPriority w:val="99"/>
    <w:qFormat/>
    <w:rsid w:val="00A22715"/>
    <w:pPr>
      <w:widowControl/>
      <w:spacing w:before="100" w:beforeAutospacing="1" w:after="100" w:afterAutospacing="1"/>
    </w:pPr>
    <w:rPr>
      <w:rFonts w:eastAsia="Calibri"/>
    </w:rPr>
  </w:style>
  <w:style w:type="paragraph" w:customStyle="1" w:styleId="CM21">
    <w:name w:val="CM21"/>
    <w:basedOn w:val="Default"/>
    <w:next w:val="Default"/>
    <w:uiPriority w:val="99"/>
    <w:qFormat/>
    <w:rsid w:val="00A22715"/>
    <w:rPr>
      <w:rFonts w:ascii="Arial" w:eastAsia="Batang" w:hAnsi="Arial" w:cs="Angsana New"/>
      <w:color w:val="auto"/>
      <w:lang w:eastAsia="ko-KR" w:bidi="th-TH"/>
    </w:rPr>
  </w:style>
  <w:style w:type="paragraph" w:customStyle="1" w:styleId="CM28">
    <w:name w:val="CM28"/>
    <w:basedOn w:val="Default"/>
    <w:next w:val="Default"/>
    <w:uiPriority w:val="99"/>
    <w:qFormat/>
    <w:rsid w:val="00A22715"/>
    <w:rPr>
      <w:rFonts w:ascii="Arial" w:eastAsia="Batang" w:hAnsi="Arial" w:cs="Angsana New"/>
      <w:color w:val="auto"/>
      <w:lang w:eastAsia="ko-KR" w:bidi="th-TH"/>
    </w:rPr>
  </w:style>
  <w:style w:type="paragraph" w:customStyle="1" w:styleId="TAMainText">
    <w:name w:val="TA_Main_Text"/>
    <w:basedOn w:val="Normal"/>
    <w:uiPriority w:val="99"/>
    <w:qFormat/>
    <w:rsid w:val="00A22715"/>
    <w:pPr>
      <w:widowControl/>
      <w:spacing w:line="480" w:lineRule="auto"/>
      <w:ind w:firstLine="202"/>
      <w:jc w:val="both"/>
    </w:pPr>
    <w:rPr>
      <w:rFonts w:ascii="Times" w:hAnsi="Times"/>
      <w:szCs w:val="20"/>
    </w:rPr>
  </w:style>
  <w:style w:type="paragraph" w:customStyle="1" w:styleId="1">
    <w:name w:val="1"/>
    <w:basedOn w:val="Normal"/>
    <w:uiPriority w:val="99"/>
    <w:qFormat/>
    <w:rsid w:val="00A22715"/>
    <w:pPr>
      <w:widowControl/>
      <w:tabs>
        <w:tab w:val="left" w:pos="679"/>
      </w:tabs>
      <w:spacing w:line="360" w:lineRule="auto"/>
      <w:jc w:val="center"/>
      <w:outlineLvl w:val="0"/>
    </w:pPr>
    <w:rPr>
      <w:b/>
      <w:bCs/>
      <w:kern w:val="36"/>
      <w:sz w:val="28"/>
      <w:szCs w:val="28"/>
      <w:lang w:val="x-none" w:eastAsia="x-none"/>
    </w:rPr>
  </w:style>
  <w:style w:type="character" w:customStyle="1" w:styleId="TntcgiChar">
    <w:name w:val="Tên tác giả Char"/>
    <w:link w:val="Tntcgi"/>
    <w:locked/>
    <w:rsid w:val="00A22715"/>
    <w:rPr>
      <w:rFonts w:ascii="SimSun" w:eastAsia="SimSun" w:hAnsi="SimSun"/>
      <w:b/>
      <w:sz w:val="24"/>
      <w:lang w:val="en-GB" w:eastAsia="x-none"/>
    </w:rPr>
  </w:style>
  <w:style w:type="paragraph" w:customStyle="1" w:styleId="Tntcgi">
    <w:name w:val="Tên tác giả"/>
    <w:basedOn w:val="Normal"/>
    <w:link w:val="TntcgiChar"/>
    <w:autoRedefine/>
    <w:qFormat/>
    <w:rsid w:val="00A22715"/>
    <w:pPr>
      <w:widowControl/>
      <w:spacing w:before="480" w:after="480" w:line="360" w:lineRule="auto"/>
      <w:jc w:val="center"/>
    </w:pPr>
    <w:rPr>
      <w:rFonts w:ascii="SimSun" w:eastAsia="SimSun" w:hAnsi="SimSun" w:cstheme="minorBidi"/>
      <w:b/>
      <w:szCs w:val="22"/>
      <w:lang w:val="en-GB" w:eastAsia="x-none"/>
    </w:rPr>
  </w:style>
  <w:style w:type="paragraph" w:customStyle="1" w:styleId="yiv5486222613ydpd9d425d9msonormal">
    <w:name w:val="yiv5486222613ydpd9d425d9msonormal"/>
    <w:basedOn w:val="Normal"/>
    <w:uiPriority w:val="99"/>
    <w:qFormat/>
    <w:rsid w:val="00A22715"/>
    <w:pPr>
      <w:widowControl/>
      <w:spacing w:before="100" w:beforeAutospacing="1" w:after="100" w:afterAutospacing="1"/>
    </w:pPr>
    <w:rPr>
      <w:rFonts w:ascii="MS PGothic" w:eastAsia="MS PGothic" w:hAnsi="MS PGothic" w:cs="MS PGothic"/>
      <w:lang w:eastAsia="ja-JP"/>
    </w:rPr>
  </w:style>
  <w:style w:type="paragraph" w:customStyle="1" w:styleId="yiv5486222613ydpd9d425d9msolistparagraph">
    <w:name w:val="yiv5486222613ydpd9d425d9msolistparagraph"/>
    <w:basedOn w:val="Normal"/>
    <w:uiPriority w:val="99"/>
    <w:qFormat/>
    <w:rsid w:val="00A22715"/>
    <w:pPr>
      <w:widowControl/>
      <w:spacing w:before="100" w:beforeAutospacing="1" w:after="100" w:afterAutospacing="1"/>
    </w:pPr>
    <w:rPr>
      <w:rFonts w:ascii="MS PGothic" w:eastAsia="MS PGothic" w:hAnsi="MS PGothic" w:cs="MS PGothic"/>
      <w:lang w:eastAsia="ja-JP"/>
    </w:rPr>
  </w:style>
  <w:style w:type="paragraph" w:customStyle="1" w:styleId="m-603493406500018080ydp3517f049msonormal">
    <w:name w:val="m_-603493406500018080ydp3517f049msonormal"/>
    <w:basedOn w:val="Normal"/>
    <w:uiPriority w:val="99"/>
    <w:qFormat/>
    <w:rsid w:val="00A22715"/>
    <w:pPr>
      <w:widowControl/>
      <w:spacing w:before="100" w:beforeAutospacing="1" w:after="100" w:afterAutospacing="1"/>
    </w:pPr>
    <w:rPr>
      <w:lang w:eastAsia="zh-CN"/>
    </w:rPr>
  </w:style>
  <w:style w:type="paragraph" w:customStyle="1" w:styleId="nova-e-listitem">
    <w:name w:val="nova-e-list__item"/>
    <w:basedOn w:val="Normal"/>
    <w:uiPriority w:val="99"/>
    <w:qFormat/>
    <w:rsid w:val="00A22715"/>
    <w:pPr>
      <w:widowControl/>
      <w:spacing w:before="100" w:beforeAutospacing="1" w:after="100" w:afterAutospacing="1"/>
    </w:pPr>
  </w:style>
  <w:style w:type="paragraph" w:customStyle="1" w:styleId="Text">
    <w:name w:val="Text"/>
    <w:basedOn w:val="Normal"/>
    <w:uiPriority w:val="99"/>
    <w:qFormat/>
    <w:rsid w:val="00A22715"/>
    <w:pPr>
      <w:autoSpaceDE w:val="0"/>
      <w:autoSpaceDN w:val="0"/>
      <w:spacing w:line="252" w:lineRule="auto"/>
      <w:ind w:firstLine="202"/>
      <w:jc w:val="both"/>
    </w:pPr>
    <w:rPr>
      <w:sz w:val="20"/>
      <w:szCs w:val="20"/>
    </w:rPr>
  </w:style>
  <w:style w:type="paragraph" w:customStyle="1" w:styleId="equation">
    <w:name w:val="equation"/>
    <w:basedOn w:val="Normal"/>
    <w:next w:val="Normal"/>
    <w:uiPriority w:val="99"/>
    <w:qFormat/>
    <w:rsid w:val="00A22715"/>
    <w:pPr>
      <w:widowControl/>
      <w:tabs>
        <w:tab w:val="left" w:pos="6237"/>
      </w:tabs>
      <w:spacing w:before="120" w:after="120"/>
      <w:ind w:left="227" w:firstLine="227"/>
      <w:jc w:val="center"/>
    </w:pPr>
    <w:rPr>
      <w:rFonts w:ascii="Times" w:eastAsia="SimSun" w:hAnsi="Times"/>
      <w:sz w:val="20"/>
      <w:szCs w:val="20"/>
      <w:lang w:eastAsia="de-DE"/>
    </w:rPr>
  </w:style>
  <w:style w:type="paragraph" w:customStyle="1" w:styleId="Els-caption">
    <w:name w:val="Els-caption"/>
    <w:uiPriority w:val="99"/>
    <w:qFormat/>
    <w:rsid w:val="00A22715"/>
    <w:pPr>
      <w:keepLines/>
      <w:spacing w:before="200" w:after="240" w:line="200" w:lineRule="exact"/>
    </w:pPr>
    <w:rPr>
      <w:rFonts w:eastAsia="SimSun" w:cs="Times New Roman"/>
      <w:sz w:val="16"/>
      <w:szCs w:val="20"/>
      <w:lang w:val="en-US"/>
    </w:rPr>
  </w:style>
  <w:style w:type="paragraph" w:customStyle="1" w:styleId="references">
    <w:name w:val="references"/>
    <w:basedOn w:val="Normal"/>
    <w:uiPriority w:val="99"/>
    <w:qFormat/>
    <w:rsid w:val="00A22715"/>
    <w:pPr>
      <w:widowControl/>
      <w:spacing w:line="180" w:lineRule="exact"/>
      <w:ind w:left="360" w:hanging="360"/>
      <w:jc w:val="both"/>
    </w:pPr>
    <w:rPr>
      <w:sz w:val="16"/>
      <w:szCs w:val="20"/>
    </w:rPr>
  </w:style>
  <w:style w:type="paragraph" w:customStyle="1" w:styleId="IEEEReference">
    <w:name w:val="IEEE Reference"/>
    <w:basedOn w:val="Normal"/>
    <w:uiPriority w:val="99"/>
    <w:qFormat/>
    <w:rsid w:val="00A22715"/>
    <w:pPr>
      <w:widowControl/>
      <w:spacing w:line="180" w:lineRule="exact"/>
      <w:ind w:left="360" w:hanging="360"/>
    </w:pPr>
    <w:rPr>
      <w:sz w:val="16"/>
      <w:szCs w:val="20"/>
    </w:rPr>
  </w:style>
  <w:style w:type="paragraph" w:customStyle="1" w:styleId="footnote">
    <w:name w:val="footnote"/>
    <w:uiPriority w:val="99"/>
    <w:qFormat/>
    <w:rsid w:val="00A22715"/>
    <w:pPr>
      <w:framePr w:hSpace="187" w:vSpace="187" w:wrap="notBeside" w:vAnchor="text" w:hAnchor="page" w:x="6121" w:y="577"/>
      <w:pBdr>
        <w:top w:val="single" w:sz="2" w:space="4" w:color="auto"/>
      </w:pBdr>
      <w:spacing w:after="0" w:line="240" w:lineRule="auto"/>
      <w:ind w:firstLine="210"/>
      <w:jc w:val="both"/>
    </w:pPr>
    <w:rPr>
      <w:rFonts w:eastAsia="SimSun" w:cs="Times New Roman"/>
      <w:sz w:val="16"/>
      <w:szCs w:val="16"/>
      <w:lang w:val="en-US"/>
    </w:rPr>
  </w:style>
  <w:style w:type="paragraph" w:customStyle="1" w:styleId="Abstract0">
    <w:name w:val="Abstract"/>
    <w:basedOn w:val="Normal"/>
    <w:uiPriority w:val="99"/>
    <w:qFormat/>
    <w:rsid w:val="00A22715"/>
    <w:pPr>
      <w:widowControl/>
      <w:spacing w:before="520"/>
      <w:jc w:val="both"/>
    </w:pPr>
    <w:rPr>
      <w:sz w:val="20"/>
      <w:lang w:val="en-GB"/>
    </w:rPr>
  </w:style>
  <w:style w:type="paragraph" w:customStyle="1" w:styleId="31-BodyText">
    <w:name w:val="31-BodyText"/>
    <w:basedOn w:val="Normal"/>
    <w:uiPriority w:val="99"/>
    <w:qFormat/>
    <w:rsid w:val="00A22715"/>
    <w:pPr>
      <w:autoSpaceDE w:val="0"/>
      <w:autoSpaceDN w:val="0"/>
      <w:spacing w:line="280" w:lineRule="exact"/>
      <w:ind w:firstLineChars="200" w:firstLine="420"/>
      <w:jc w:val="both"/>
    </w:pPr>
    <w:rPr>
      <w:rFonts w:eastAsia="SimSun"/>
      <w:kern w:val="2"/>
      <w:sz w:val="21"/>
      <w:szCs w:val="21"/>
      <w:lang w:eastAsia="zh-CN"/>
    </w:rPr>
  </w:style>
  <w:style w:type="paragraph" w:customStyle="1" w:styleId="sponsors">
    <w:name w:val="sponsors"/>
    <w:uiPriority w:val="99"/>
    <w:qFormat/>
    <w:rsid w:val="00A22715"/>
    <w:pPr>
      <w:framePr w:wrap="auto" w:hAnchor="text" w:x="615" w:y="2239"/>
      <w:pBdr>
        <w:top w:val="single" w:sz="4" w:space="2" w:color="auto"/>
      </w:pBdr>
      <w:spacing w:after="0" w:line="240" w:lineRule="auto"/>
      <w:ind w:firstLine="288"/>
    </w:pPr>
    <w:rPr>
      <w:rFonts w:cs="Times New Roman"/>
      <w:sz w:val="16"/>
      <w:szCs w:val="16"/>
      <w:lang w:val="en-US"/>
    </w:rPr>
  </w:style>
  <w:style w:type="paragraph" w:customStyle="1" w:styleId="Nidung">
    <w:name w:val="Nội dung"/>
    <w:uiPriority w:val="99"/>
    <w:qFormat/>
    <w:rsid w:val="00A22715"/>
    <w:pPr>
      <w:jc w:val="both"/>
    </w:pPr>
    <w:rPr>
      <w:rFonts w:eastAsia="Arial Unicode MS" w:cs="Arial Unicode MS"/>
      <w:color w:val="000000"/>
      <w:szCs w:val="28"/>
      <w:u w:color="000000"/>
      <w:lang w:val="en-US"/>
    </w:rPr>
  </w:style>
  <w:style w:type="paragraph" w:customStyle="1" w:styleId="IEEEAuthorName">
    <w:name w:val="IEEE Author Name"/>
    <w:basedOn w:val="Normal"/>
    <w:next w:val="Normal"/>
    <w:uiPriority w:val="99"/>
    <w:qFormat/>
    <w:rsid w:val="00A22715"/>
    <w:pPr>
      <w:widowControl/>
      <w:adjustRightInd w:val="0"/>
      <w:snapToGrid w:val="0"/>
      <w:spacing w:before="120" w:after="120"/>
      <w:ind w:firstLine="454"/>
      <w:jc w:val="center"/>
    </w:pPr>
    <w:rPr>
      <w:sz w:val="22"/>
      <w:lang w:val="en-GB" w:eastAsia="en-GB"/>
    </w:rPr>
  </w:style>
  <w:style w:type="paragraph" w:customStyle="1" w:styleId="IEEEAuthorAffiliation">
    <w:name w:val="IEEE Author Affiliation"/>
    <w:basedOn w:val="Normal"/>
    <w:next w:val="Normal"/>
    <w:uiPriority w:val="99"/>
    <w:qFormat/>
    <w:rsid w:val="00A22715"/>
    <w:pPr>
      <w:widowControl/>
      <w:spacing w:before="80" w:after="60"/>
      <w:ind w:firstLine="454"/>
      <w:jc w:val="center"/>
    </w:pPr>
    <w:rPr>
      <w:i/>
      <w:sz w:val="20"/>
      <w:lang w:val="en-GB" w:eastAsia="en-GB"/>
    </w:rPr>
  </w:style>
  <w:style w:type="paragraph" w:customStyle="1" w:styleId="demuclon">
    <w:name w:val="de muc lon"/>
    <w:basedOn w:val="Normal"/>
    <w:uiPriority w:val="99"/>
    <w:qFormat/>
    <w:rsid w:val="00A22715"/>
    <w:pPr>
      <w:widowControl/>
      <w:numPr>
        <w:numId w:val="11"/>
      </w:numPr>
      <w:spacing w:before="360" w:after="240"/>
      <w:jc w:val="center"/>
    </w:pPr>
    <w:rPr>
      <w:rFonts w:eastAsia="Calibri"/>
      <w:b/>
      <w:caps/>
      <w:sz w:val="22"/>
      <w:szCs w:val="22"/>
    </w:rPr>
  </w:style>
  <w:style w:type="paragraph" w:customStyle="1" w:styleId="demucnho">
    <w:name w:val="de muc nho"/>
    <w:basedOn w:val="Normal"/>
    <w:uiPriority w:val="99"/>
    <w:qFormat/>
    <w:rsid w:val="00A22715"/>
    <w:pPr>
      <w:widowControl/>
      <w:autoSpaceDE w:val="0"/>
      <w:autoSpaceDN w:val="0"/>
      <w:adjustRightInd w:val="0"/>
      <w:spacing w:before="240" w:after="240"/>
      <w:ind w:firstLine="454"/>
      <w:jc w:val="both"/>
    </w:pPr>
    <w:rPr>
      <w:rFonts w:eastAsia="Calibri"/>
      <w:b/>
      <w:sz w:val="22"/>
      <w:szCs w:val="22"/>
    </w:rPr>
  </w:style>
  <w:style w:type="paragraph" w:customStyle="1" w:styleId="loicamon">
    <w:name w:val="loi cam on"/>
    <w:basedOn w:val="Normal"/>
    <w:uiPriority w:val="99"/>
    <w:qFormat/>
    <w:rsid w:val="00A22715"/>
    <w:pPr>
      <w:widowControl/>
      <w:spacing w:before="360" w:after="240"/>
      <w:ind w:firstLine="454"/>
      <w:jc w:val="both"/>
    </w:pPr>
    <w:rPr>
      <w:rFonts w:ascii="Arial" w:hAnsi="Arial"/>
      <w:i/>
      <w:color w:val="000000"/>
      <w:sz w:val="20"/>
      <w:szCs w:val="20"/>
    </w:rPr>
  </w:style>
  <w:style w:type="paragraph" w:customStyle="1" w:styleId="CharCharCharCharCharCharChar">
    <w:name w:val="Char Char Char Char Char Char Char"/>
    <w:basedOn w:val="Normal"/>
    <w:uiPriority w:val="99"/>
    <w:qFormat/>
    <w:rsid w:val="00A22715"/>
    <w:pPr>
      <w:jc w:val="both"/>
    </w:pPr>
    <w:rPr>
      <w:rFonts w:eastAsia="SimSun"/>
      <w:noProof/>
      <w:kern w:val="2"/>
      <w:szCs w:val="26"/>
      <w:lang w:eastAsia="zh-CN"/>
    </w:rPr>
  </w:style>
  <w:style w:type="paragraph" w:customStyle="1" w:styleId="TableParagraph">
    <w:name w:val="Table Paragraph"/>
    <w:basedOn w:val="Normal"/>
    <w:uiPriority w:val="1"/>
    <w:qFormat/>
    <w:rsid w:val="00A22715"/>
    <w:rPr>
      <w:rFonts w:ascii="Calibri" w:eastAsia="Calibri" w:hAnsi="Calibri"/>
      <w:sz w:val="22"/>
      <w:szCs w:val="22"/>
    </w:rPr>
  </w:style>
  <w:style w:type="paragraph" w:customStyle="1" w:styleId="TBang">
    <w:name w:val="T.Bang"/>
    <w:basedOn w:val="Normal"/>
    <w:uiPriority w:val="99"/>
    <w:qFormat/>
    <w:rsid w:val="00A22715"/>
    <w:pPr>
      <w:widowControl/>
      <w:spacing w:before="120" w:after="120" w:line="360" w:lineRule="auto"/>
      <w:ind w:firstLine="720"/>
      <w:jc w:val="center"/>
    </w:pPr>
    <w:rPr>
      <w:noProof/>
      <w:sz w:val="28"/>
      <w:szCs w:val="28"/>
    </w:rPr>
  </w:style>
  <w:style w:type="paragraph" w:customStyle="1" w:styleId="Titre1TimesNewRoman">
    <w:name w:val="Titre 1 + Times New Roman"/>
    <w:basedOn w:val="Heading3"/>
    <w:uiPriority w:val="99"/>
    <w:qFormat/>
    <w:rsid w:val="00A22715"/>
    <w:pPr>
      <w:keepNext/>
      <w:widowControl/>
      <w:spacing w:before="240" w:beforeAutospacing="0" w:after="60" w:afterAutospacing="0"/>
    </w:pPr>
    <w:rPr>
      <w:rFonts w:eastAsia="Times New Roman"/>
      <w:noProof/>
      <w:sz w:val="26"/>
      <w:szCs w:val="26"/>
      <w:lang w:eastAsia="en-US"/>
    </w:rPr>
  </w:style>
  <w:style w:type="paragraph" w:customStyle="1" w:styleId="Bodytext4">
    <w:name w:val="Bodytext"/>
    <w:basedOn w:val="Normal"/>
    <w:autoRedefine/>
    <w:uiPriority w:val="99"/>
    <w:qFormat/>
    <w:rsid w:val="00A22715"/>
    <w:pPr>
      <w:widowControl/>
      <w:spacing w:before="120" w:after="120" w:line="312" w:lineRule="auto"/>
      <w:ind w:firstLine="426"/>
      <w:jc w:val="both"/>
    </w:pPr>
    <w:rPr>
      <w:noProof/>
      <w:sz w:val="22"/>
      <w:szCs w:val="22"/>
      <w:lang w:val="pt-BR" w:eastAsia="ja-JP"/>
    </w:rPr>
  </w:style>
  <w:style w:type="paragraph" w:customStyle="1" w:styleId="Subsection">
    <w:name w:val="Subsection"/>
    <w:basedOn w:val="Normal"/>
    <w:autoRedefine/>
    <w:uiPriority w:val="99"/>
    <w:qFormat/>
    <w:rsid w:val="00A22715"/>
    <w:pPr>
      <w:widowControl/>
    </w:pPr>
    <w:rPr>
      <w:rFonts w:eastAsia="MS Mincho"/>
      <w:b/>
      <w:bCs/>
      <w:noProof/>
      <w:sz w:val="22"/>
      <w:szCs w:val="22"/>
      <w:lang w:val="pt-BR" w:eastAsia="ja-JP"/>
    </w:rPr>
  </w:style>
  <w:style w:type="paragraph" w:customStyle="1" w:styleId="Tables">
    <w:name w:val="Tables"/>
    <w:basedOn w:val="Normal"/>
    <w:uiPriority w:val="99"/>
    <w:qFormat/>
    <w:rsid w:val="00A22715"/>
    <w:pPr>
      <w:widowControl/>
      <w:spacing w:after="120"/>
      <w:jc w:val="center"/>
    </w:pPr>
    <w:rPr>
      <w:bCs/>
      <w:noProof/>
      <w:sz w:val="22"/>
      <w:szCs w:val="26"/>
      <w:lang w:val="pt-BR" w:eastAsia="ja-JP"/>
    </w:rPr>
  </w:style>
  <w:style w:type="paragraph" w:customStyle="1" w:styleId="Pa9">
    <w:name w:val="Pa9"/>
    <w:basedOn w:val="Default"/>
    <w:next w:val="Default"/>
    <w:uiPriority w:val="99"/>
    <w:qFormat/>
    <w:rsid w:val="00A22715"/>
    <w:pPr>
      <w:spacing w:line="221" w:lineRule="atLeast"/>
    </w:pPr>
    <w:rPr>
      <w:rFonts w:ascii="Gill Sans MT" w:eastAsia="Calibri" w:hAnsi="Gill Sans MT" w:cs="Times New Roman"/>
      <w:color w:val="auto"/>
    </w:rPr>
  </w:style>
  <w:style w:type="paragraph" w:customStyle="1" w:styleId="Pa2">
    <w:name w:val="Pa2"/>
    <w:basedOn w:val="Default"/>
    <w:next w:val="Default"/>
    <w:uiPriority w:val="99"/>
    <w:qFormat/>
    <w:rsid w:val="00A22715"/>
    <w:pPr>
      <w:spacing w:line="241" w:lineRule="atLeast"/>
    </w:pPr>
    <w:rPr>
      <w:rFonts w:ascii="Helvetica" w:eastAsia="Calibri" w:hAnsi="Helvetica" w:cs="Times New Roman"/>
      <w:color w:val="auto"/>
    </w:rPr>
  </w:style>
  <w:style w:type="character" w:customStyle="1" w:styleId="NDungBangChar">
    <w:name w:val="N.Dung Bang Char"/>
    <w:link w:val="NDungBang"/>
    <w:locked/>
    <w:rsid w:val="00A22715"/>
    <w:rPr>
      <w:rFonts w:ascii="Arial" w:hAnsi="Arial" w:cs="Arial"/>
      <w:lang w:val="fr-FR" w:eastAsia="x-none"/>
    </w:rPr>
  </w:style>
  <w:style w:type="paragraph" w:customStyle="1" w:styleId="NDungBang">
    <w:name w:val="N.Dung Bang"/>
    <w:basedOn w:val="NoSpacing"/>
    <w:link w:val="NDungBangChar"/>
    <w:qFormat/>
    <w:rsid w:val="00A22715"/>
    <w:pPr>
      <w:keepNext/>
      <w:spacing w:after="40" w:line="276" w:lineRule="auto"/>
      <w:jc w:val="center"/>
    </w:pPr>
    <w:rPr>
      <w:rFonts w:ascii="Arial" w:eastAsiaTheme="minorHAnsi" w:hAnsi="Arial" w:cs="Arial"/>
      <w:sz w:val="28"/>
      <w:lang w:val="fr-FR" w:eastAsia="x-none"/>
    </w:rPr>
  </w:style>
  <w:style w:type="character" w:customStyle="1" w:styleId="TOMTATChar1">
    <w:name w:val="TOMTAT Char1"/>
    <w:link w:val="TOMTAT"/>
    <w:locked/>
    <w:rsid w:val="00A22715"/>
    <w:rPr>
      <w:rFonts w:ascii="Palatino Linotype" w:eastAsia="Arial Unicode MS" w:hAnsi="Palatino Linotype"/>
      <w:bCs/>
      <w:i/>
    </w:rPr>
  </w:style>
  <w:style w:type="paragraph" w:customStyle="1" w:styleId="TOMTAT">
    <w:name w:val="TOMTAT"/>
    <w:basedOn w:val="Normal"/>
    <w:link w:val="TOMTATChar1"/>
    <w:qFormat/>
    <w:rsid w:val="00A22715"/>
    <w:pPr>
      <w:widowControl/>
      <w:spacing w:before="60"/>
      <w:ind w:firstLine="397"/>
      <w:jc w:val="both"/>
    </w:pPr>
    <w:rPr>
      <w:rFonts w:ascii="Palatino Linotype" w:eastAsia="Arial Unicode MS" w:hAnsi="Palatino Linotype" w:cstheme="minorBidi"/>
      <w:bCs/>
      <w:i/>
      <w:sz w:val="28"/>
      <w:szCs w:val="22"/>
      <w:lang w:val="vi-VN"/>
    </w:rPr>
  </w:style>
  <w:style w:type="paragraph" w:customStyle="1" w:styleId="Hnhnh">
    <w:name w:val="Hình Ảnh"/>
    <w:basedOn w:val="Normal"/>
    <w:uiPriority w:val="1"/>
    <w:qFormat/>
    <w:rsid w:val="00A22715"/>
    <w:pPr>
      <w:spacing w:before="120" w:line="360" w:lineRule="auto"/>
      <w:jc w:val="center"/>
    </w:pPr>
    <w:rPr>
      <w:sz w:val="26"/>
      <w:szCs w:val="22"/>
    </w:rPr>
  </w:style>
  <w:style w:type="character" w:customStyle="1" w:styleId="1dChar">
    <w:name w:val="1 d Char"/>
    <w:link w:val="1d"/>
    <w:locked/>
    <w:rsid w:val="00A22715"/>
    <w:rPr>
      <w:rFonts w:ascii="Arial" w:eastAsia="Arial" w:hAnsi="Arial" w:cs="Arial"/>
      <w:sz w:val="26"/>
      <w:szCs w:val="26"/>
      <w:lang w:val="x-none" w:eastAsia="x-none"/>
    </w:rPr>
  </w:style>
  <w:style w:type="paragraph" w:customStyle="1" w:styleId="1d">
    <w:name w:val="1 d"/>
    <w:basedOn w:val="Normal"/>
    <w:link w:val="1dChar"/>
    <w:qFormat/>
    <w:rsid w:val="00A22715"/>
    <w:pPr>
      <w:widowControl/>
      <w:spacing w:line="360" w:lineRule="auto"/>
      <w:ind w:firstLine="567"/>
      <w:jc w:val="both"/>
    </w:pPr>
    <w:rPr>
      <w:rFonts w:ascii="Arial" w:eastAsia="Arial" w:hAnsi="Arial" w:cs="Arial"/>
      <w:sz w:val="26"/>
      <w:szCs w:val="26"/>
      <w:lang w:val="x-none" w:eastAsia="x-none"/>
    </w:rPr>
  </w:style>
  <w:style w:type="paragraph" w:customStyle="1" w:styleId="tiu">
    <w:name w:val="tiêu đề"/>
    <w:basedOn w:val="Heading1"/>
    <w:uiPriority w:val="99"/>
    <w:qFormat/>
    <w:rsid w:val="00A22715"/>
    <w:pPr>
      <w:keepNext w:val="0"/>
      <w:keepLines/>
      <w:widowControl/>
      <w:shd w:val="clear" w:color="auto" w:fill="FFFFFF"/>
      <w:spacing w:before="0" w:after="120" w:line="264" w:lineRule="auto"/>
      <w:jc w:val="center"/>
    </w:pPr>
    <w:rPr>
      <w:rFonts w:ascii="Times New Roman" w:hAnsi="Times New Roman"/>
      <w:bCs w:val="0"/>
      <w:color w:val="000000"/>
      <w:kern w:val="0"/>
      <w:sz w:val="26"/>
      <w:szCs w:val="30"/>
      <w:lang w:val="vi-VN"/>
    </w:rPr>
  </w:style>
  <w:style w:type="paragraph" w:customStyle="1" w:styleId="a-bang">
    <w:name w:val="a-bang"/>
    <w:basedOn w:val="Heading1"/>
    <w:uiPriority w:val="99"/>
    <w:qFormat/>
    <w:rsid w:val="00A22715"/>
    <w:pPr>
      <w:keepNext w:val="0"/>
      <w:widowControl/>
      <w:numPr>
        <w:numId w:val="12"/>
      </w:numPr>
      <w:tabs>
        <w:tab w:val="num" w:pos="360"/>
      </w:tabs>
      <w:spacing w:before="0" w:after="120" w:line="264" w:lineRule="auto"/>
      <w:jc w:val="center"/>
    </w:pPr>
    <w:rPr>
      <w:rFonts w:ascii="Calibri" w:hAnsi="Calibri"/>
      <w:b w:val="0"/>
      <w:bCs w:val="0"/>
      <w:kern w:val="0"/>
      <w:sz w:val="22"/>
      <w:szCs w:val="24"/>
      <w:lang w:val="vi-VN"/>
    </w:rPr>
  </w:style>
  <w:style w:type="paragraph" w:customStyle="1" w:styleId="A-2-s">
    <w:name w:val="A-2- sơ đồ"/>
    <w:basedOn w:val="Heading2"/>
    <w:uiPriority w:val="99"/>
    <w:qFormat/>
    <w:rsid w:val="00A22715"/>
    <w:pPr>
      <w:keepNext w:val="0"/>
      <w:widowControl/>
      <w:tabs>
        <w:tab w:val="num" w:pos="360"/>
      </w:tabs>
      <w:adjustRightInd w:val="0"/>
      <w:snapToGrid w:val="0"/>
      <w:spacing w:before="0" w:after="120" w:line="312" w:lineRule="auto"/>
      <w:jc w:val="center"/>
      <w:outlineLvl w:val="9"/>
    </w:pPr>
    <w:rPr>
      <w:rFonts w:ascii="Times New Roman" w:eastAsia="Times New Roman" w:hAnsi="Times New Roman" w:cs="Times New Roman"/>
      <w:b w:val="0"/>
      <w:i w:val="0"/>
      <w:iCs w:val="0"/>
      <w:color w:val="000000"/>
      <w:sz w:val="26"/>
      <w:szCs w:val="24"/>
      <w:lang w:val="vi-VN" w:eastAsia="en-US" w:bidi="ar-SA"/>
    </w:rPr>
  </w:style>
  <w:style w:type="paragraph" w:customStyle="1" w:styleId="tailieuthamkhao">
    <w:name w:val="tai lieu tham khao"/>
    <w:basedOn w:val="thnbi"/>
    <w:uiPriority w:val="99"/>
    <w:qFormat/>
    <w:rsid w:val="00A22715"/>
    <w:pPr>
      <w:widowControl/>
      <w:numPr>
        <w:numId w:val="13"/>
      </w:numPr>
      <w:shd w:val="clear" w:color="auto" w:fill="FFFFFF"/>
      <w:tabs>
        <w:tab w:val="num" w:pos="360"/>
      </w:tabs>
      <w:spacing w:before="100" w:beforeAutospacing="1" w:line="240" w:lineRule="auto"/>
      <w:ind w:left="284" w:hanging="284"/>
      <w:contextualSpacing/>
    </w:pPr>
    <w:rPr>
      <w:rFonts w:ascii="Cambria" w:eastAsia="Times New Roman" w:hAnsi="Cambria" w:cs="Cambria"/>
      <w:iCs/>
      <w:sz w:val="24"/>
      <w:szCs w:val="28"/>
      <w:lang w:val="en-US" w:eastAsia="en-US"/>
    </w:rPr>
  </w:style>
  <w:style w:type="paragraph" w:customStyle="1" w:styleId="Tieudecap30">
    <w:name w:val="Tieu de cap 3"/>
    <w:basedOn w:val="Normal"/>
    <w:autoRedefine/>
    <w:uiPriority w:val="99"/>
    <w:qFormat/>
    <w:rsid w:val="00A22715"/>
    <w:pPr>
      <w:shd w:val="clear" w:color="auto" w:fill="FFFFFF"/>
      <w:tabs>
        <w:tab w:val="num" w:pos="737"/>
      </w:tabs>
      <w:spacing w:line="240" w:lineRule="exact"/>
      <w:ind w:firstLine="284"/>
      <w:contextualSpacing/>
      <w:jc w:val="both"/>
    </w:pPr>
    <w:rPr>
      <w:rFonts w:eastAsia="Arial"/>
      <w:bCs/>
      <w:color w:val="000000"/>
      <w:sz w:val="22"/>
      <w:szCs w:val="22"/>
    </w:rPr>
  </w:style>
  <w:style w:type="paragraph" w:customStyle="1" w:styleId="bullet">
    <w:name w:val="bullet"/>
    <w:basedOn w:val="Normal"/>
    <w:uiPriority w:val="99"/>
    <w:qFormat/>
    <w:rsid w:val="00A22715"/>
    <w:pPr>
      <w:widowControl/>
      <w:tabs>
        <w:tab w:val="num" w:pos="360"/>
      </w:tabs>
      <w:spacing w:before="40" w:after="60" w:line="360" w:lineRule="auto"/>
      <w:jc w:val="both"/>
    </w:pPr>
    <w:rPr>
      <w:rFonts w:eastAsia="Calibri"/>
      <w:sz w:val="26"/>
      <w:szCs w:val="28"/>
      <w:lang w:val="vi-VN" w:eastAsia="x-none"/>
    </w:rPr>
  </w:style>
  <w:style w:type="paragraph" w:customStyle="1" w:styleId="Bieudo">
    <w:name w:val="Bieu do"/>
    <w:basedOn w:val="Normal"/>
    <w:uiPriority w:val="99"/>
    <w:qFormat/>
    <w:rsid w:val="00A22715"/>
    <w:pPr>
      <w:tabs>
        <w:tab w:val="num" w:pos="360"/>
      </w:tabs>
      <w:spacing w:before="40" w:after="80"/>
      <w:jc w:val="center"/>
    </w:pPr>
    <w:rPr>
      <w:rFonts w:eastAsia="Calibri"/>
      <w:sz w:val="26"/>
      <w:szCs w:val="28"/>
      <w:lang w:val="vi-VN" w:eastAsia="x-none"/>
    </w:rPr>
  </w:style>
  <w:style w:type="paragraph" w:customStyle="1" w:styleId="Ref">
    <w:name w:val="Ref"/>
    <w:basedOn w:val="Normal"/>
    <w:uiPriority w:val="99"/>
    <w:qFormat/>
    <w:rsid w:val="00A22715"/>
    <w:pPr>
      <w:widowControl/>
      <w:numPr>
        <w:numId w:val="14"/>
      </w:numPr>
      <w:spacing w:line="205" w:lineRule="exact"/>
    </w:pPr>
    <w:rPr>
      <w:rFonts w:eastAsia="Times New Roman"/>
      <w:kern w:val="18"/>
      <w:sz w:val="18"/>
      <w:szCs w:val="20"/>
      <w:lang w:eastAsia="de-DE"/>
    </w:rPr>
  </w:style>
  <w:style w:type="paragraph" w:customStyle="1" w:styleId="BATitle">
    <w:name w:val="BA_Title"/>
    <w:basedOn w:val="Normal"/>
    <w:next w:val="Normal"/>
    <w:uiPriority w:val="99"/>
    <w:qFormat/>
    <w:rsid w:val="00A22715"/>
    <w:pPr>
      <w:widowControl/>
      <w:spacing w:before="720" w:after="360" w:line="480" w:lineRule="auto"/>
      <w:jc w:val="center"/>
    </w:pPr>
    <w:rPr>
      <w:rFonts w:eastAsia="Times New Roman"/>
      <w:sz w:val="44"/>
      <w:szCs w:val="20"/>
    </w:rPr>
  </w:style>
  <w:style w:type="character" w:customStyle="1" w:styleId="StyleHeading112ptCharChar">
    <w:name w:val="Style Heading 1 + 12 pt Char Char"/>
    <w:link w:val="StyleHeading112ptChar"/>
    <w:locked/>
    <w:rsid w:val="00A22715"/>
    <w:rPr>
      <w:rFonts w:ascii="VNI-Helve" w:eastAsia="Times New Roman" w:hAnsi="VNI-Helve" w:cs="Arial Unicode MS"/>
      <w:b/>
      <w:bCs/>
      <w:kern w:val="32"/>
      <w:sz w:val="24"/>
      <w:szCs w:val="24"/>
      <w:lang w:val="en-US" w:bidi="km-KH"/>
    </w:rPr>
  </w:style>
  <w:style w:type="paragraph" w:customStyle="1" w:styleId="StyleHeading112ptChar">
    <w:name w:val="Style Heading 1 + 12 pt Char"/>
    <w:basedOn w:val="Heading1"/>
    <w:link w:val="StyleHeading112ptCharChar"/>
    <w:autoRedefine/>
    <w:qFormat/>
    <w:rsid w:val="00A22715"/>
    <w:pPr>
      <w:spacing w:after="240" w:line="360" w:lineRule="auto"/>
      <w:jc w:val="both"/>
    </w:pPr>
    <w:rPr>
      <w:rFonts w:ascii="VNI-Helve" w:hAnsi="VNI-Helve" w:cs="Arial Unicode MS"/>
      <w:sz w:val="24"/>
      <w:szCs w:val="24"/>
      <w:lang w:val="en-US" w:eastAsia="en-US" w:bidi="km-KH"/>
    </w:rPr>
  </w:style>
  <w:style w:type="paragraph" w:customStyle="1" w:styleId="BCAuthorAddress">
    <w:name w:val="BC_Author_Address"/>
    <w:basedOn w:val="Normal"/>
    <w:next w:val="Normal"/>
    <w:uiPriority w:val="99"/>
    <w:qFormat/>
    <w:rsid w:val="00A22715"/>
    <w:pPr>
      <w:widowControl/>
      <w:spacing w:after="240" w:line="480" w:lineRule="auto"/>
      <w:jc w:val="center"/>
    </w:pPr>
    <w:rPr>
      <w:rFonts w:ascii="Times" w:eastAsia="Times New Roman" w:hAnsi="Times"/>
      <w:szCs w:val="20"/>
    </w:rPr>
  </w:style>
  <w:style w:type="paragraph" w:customStyle="1" w:styleId="Style1">
    <w:name w:val="_Style 1"/>
    <w:basedOn w:val="Normal"/>
    <w:uiPriority w:val="99"/>
    <w:qFormat/>
    <w:rsid w:val="00A22715"/>
    <w:pPr>
      <w:widowControl/>
      <w:spacing w:before="120" w:after="120" w:line="276" w:lineRule="auto"/>
      <w:ind w:left="720"/>
      <w:contextualSpacing/>
      <w:jc w:val="both"/>
    </w:pPr>
    <w:rPr>
      <w:rFonts w:ascii="Calibri" w:eastAsia="Calibri" w:hAnsi="Calibri"/>
      <w:sz w:val="22"/>
      <w:szCs w:val="22"/>
    </w:rPr>
  </w:style>
  <w:style w:type="character" w:styleId="FootnoteReference">
    <w:name w:val="footnote reference"/>
    <w:uiPriority w:val="99"/>
    <w:semiHidden/>
    <w:unhideWhenUsed/>
    <w:rsid w:val="00A22715"/>
    <w:rPr>
      <w:vertAlign w:val="superscript"/>
    </w:rPr>
  </w:style>
  <w:style w:type="character" w:styleId="CommentReference">
    <w:name w:val="annotation reference"/>
    <w:uiPriority w:val="99"/>
    <w:unhideWhenUsed/>
    <w:rsid w:val="00A22715"/>
    <w:rPr>
      <w:sz w:val="16"/>
      <w:szCs w:val="16"/>
    </w:rPr>
  </w:style>
  <w:style w:type="character" w:styleId="EndnoteReference">
    <w:name w:val="endnote reference"/>
    <w:uiPriority w:val="99"/>
    <w:semiHidden/>
    <w:unhideWhenUsed/>
    <w:qFormat/>
    <w:rsid w:val="00A22715"/>
    <w:rPr>
      <w:vertAlign w:val="superscript"/>
    </w:rPr>
  </w:style>
  <w:style w:type="character" w:styleId="PlaceholderText">
    <w:name w:val="Placeholder Text"/>
    <w:uiPriority w:val="99"/>
    <w:semiHidden/>
    <w:rsid w:val="00A22715"/>
    <w:rPr>
      <w:color w:val="808080"/>
    </w:rPr>
  </w:style>
  <w:style w:type="character" w:styleId="SubtleEmphasis">
    <w:name w:val="Subtle Emphasis"/>
    <w:aliases w:val="heading 5"/>
    <w:uiPriority w:val="19"/>
    <w:qFormat/>
    <w:rsid w:val="00A22715"/>
    <w:rPr>
      <w:i/>
      <w:iCs/>
      <w:color w:val="7F7F7F"/>
    </w:rPr>
  </w:style>
  <w:style w:type="character" w:styleId="IntenseEmphasis">
    <w:name w:val="Intense Emphasis"/>
    <w:uiPriority w:val="21"/>
    <w:qFormat/>
    <w:rsid w:val="00A22715"/>
    <w:rPr>
      <w:b/>
      <w:bCs/>
      <w:i/>
      <w:iCs/>
      <w:color w:val="4F81BD"/>
    </w:rPr>
  </w:style>
  <w:style w:type="character" w:styleId="SubtleReference">
    <w:name w:val="Subtle Reference"/>
    <w:qFormat/>
    <w:rsid w:val="00A22715"/>
    <w:rPr>
      <w:b/>
      <w:bCs w:val="0"/>
      <w:color w:val="4F81BD"/>
    </w:rPr>
  </w:style>
  <w:style w:type="character" w:styleId="IntenseReference">
    <w:name w:val="Intense Reference"/>
    <w:uiPriority w:val="32"/>
    <w:qFormat/>
    <w:rsid w:val="00A22715"/>
    <w:rPr>
      <w:b/>
      <w:bCs w:val="0"/>
      <w:i/>
      <w:iCs w:val="0"/>
      <w:caps/>
      <w:color w:val="4F81BD"/>
    </w:rPr>
  </w:style>
  <w:style w:type="character" w:styleId="BookTitle">
    <w:name w:val="Book Title"/>
    <w:qFormat/>
    <w:rsid w:val="00A22715"/>
    <w:rPr>
      <w:b/>
      <w:bCs w:val="0"/>
      <w:i/>
      <w:iCs w:val="0"/>
      <w:spacing w:val="9"/>
    </w:rPr>
  </w:style>
  <w:style w:type="character" w:customStyle="1" w:styleId="highlight">
    <w:name w:val="highlight"/>
    <w:rsid w:val="00A22715"/>
  </w:style>
  <w:style w:type="character" w:customStyle="1" w:styleId="st">
    <w:name w:val="st"/>
    <w:rsid w:val="00A22715"/>
  </w:style>
  <w:style w:type="character" w:customStyle="1" w:styleId="scientificmarkup">
    <w:name w:val="scientificmarkup"/>
    <w:rsid w:val="00A22715"/>
  </w:style>
  <w:style w:type="character" w:customStyle="1" w:styleId="value">
    <w:name w:val="value"/>
    <w:rsid w:val="00A22715"/>
  </w:style>
  <w:style w:type="character" w:customStyle="1" w:styleId="hps">
    <w:name w:val="hps"/>
    <w:rsid w:val="00A22715"/>
  </w:style>
  <w:style w:type="character" w:customStyle="1" w:styleId="it">
    <w:name w:val="it"/>
    <w:rsid w:val="00A22715"/>
  </w:style>
  <w:style w:type="character" w:customStyle="1" w:styleId="shorttext">
    <w:name w:val="short_text"/>
    <w:rsid w:val="00A22715"/>
  </w:style>
  <w:style w:type="character" w:customStyle="1" w:styleId="apple-converted-space">
    <w:name w:val="apple-converted-space"/>
    <w:qFormat/>
    <w:rsid w:val="00A22715"/>
  </w:style>
  <w:style w:type="character" w:customStyle="1" w:styleId="smallcaps">
    <w:name w:val="smallcaps"/>
    <w:rsid w:val="00A22715"/>
  </w:style>
  <w:style w:type="character" w:customStyle="1" w:styleId="jrnl">
    <w:name w:val="jrnl"/>
    <w:rsid w:val="00A22715"/>
  </w:style>
  <w:style w:type="character" w:customStyle="1" w:styleId="ref-journal">
    <w:name w:val="ref-journal"/>
    <w:rsid w:val="00A22715"/>
  </w:style>
  <w:style w:type="character" w:customStyle="1" w:styleId="ref-vol">
    <w:name w:val="ref-vol"/>
    <w:rsid w:val="00A22715"/>
  </w:style>
  <w:style w:type="character" w:customStyle="1" w:styleId="summarycontent">
    <w:name w:val="summary_content"/>
    <w:uiPriority w:val="99"/>
    <w:rsid w:val="00A22715"/>
  </w:style>
  <w:style w:type="character" w:customStyle="1" w:styleId="apple-style-span">
    <w:name w:val="apple-style-span"/>
    <w:uiPriority w:val="99"/>
    <w:rsid w:val="00A22715"/>
  </w:style>
  <w:style w:type="character" w:customStyle="1" w:styleId="ja50-ce-author">
    <w:name w:val="ja50-ce-author"/>
    <w:rsid w:val="00A22715"/>
  </w:style>
  <w:style w:type="character" w:customStyle="1" w:styleId="nbapihighlight1">
    <w:name w:val="nbapihighlight1"/>
    <w:rsid w:val="00A22715"/>
  </w:style>
  <w:style w:type="character" w:customStyle="1" w:styleId="mean1">
    <w:name w:val="mean1"/>
    <w:rsid w:val="00A22715"/>
    <w:rPr>
      <w:color w:val="333333"/>
      <w:sz w:val="18"/>
      <w:szCs w:val="18"/>
    </w:rPr>
  </w:style>
  <w:style w:type="character" w:customStyle="1" w:styleId="il">
    <w:name w:val="il"/>
    <w:rsid w:val="00A22715"/>
  </w:style>
  <w:style w:type="character" w:customStyle="1" w:styleId="meanapigg">
    <w:name w:val="meanapigg"/>
    <w:rsid w:val="00A22715"/>
    <w:rPr>
      <w:rFonts w:ascii="Arial" w:hAnsi="Arial" w:cs="Arial" w:hint="default"/>
    </w:rPr>
  </w:style>
  <w:style w:type="character" w:customStyle="1" w:styleId="word">
    <w:name w:val="word"/>
    <w:rsid w:val="00A22715"/>
    <w:rPr>
      <w:color w:val="F05000"/>
      <w:sz w:val="21"/>
      <w:szCs w:val="21"/>
    </w:rPr>
  </w:style>
  <w:style w:type="character" w:customStyle="1" w:styleId="shortened-text">
    <w:name w:val="shortened-text"/>
    <w:rsid w:val="00A22715"/>
  </w:style>
  <w:style w:type="character" w:customStyle="1" w:styleId="ui-ncbitoggler-master-text">
    <w:name w:val="ui-ncbitoggler-master-text"/>
    <w:rsid w:val="00A22715"/>
  </w:style>
  <w:style w:type="character" w:customStyle="1" w:styleId="name">
    <w:name w:val="name"/>
    <w:rsid w:val="00A22715"/>
  </w:style>
  <w:style w:type="character" w:customStyle="1" w:styleId="slug-pub-date">
    <w:name w:val="slug-pub-date"/>
    <w:basedOn w:val="DefaultParagraphFont"/>
    <w:rsid w:val="00A22715"/>
  </w:style>
  <w:style w:type="character" w:customStyle="1" w:styleId="slug-vol">
    <w:name w:val="slug-vol"/>
    <w:basedOn w:val="DefaultParagraphFont"/>
    <w:rsid w:val="00A22715"/>
  </w:style>
  <w:style w:type="character" w:customStyle="1" w:styleId="slug-issue">
    <w:name w:val="slug-issue"/>
    <w:basedOn w:val="DefaultParagraphFont"/>
    <w:rsid w:val="00A22715"/>
  </w:style>
  <w:style w:type="character" w:customStyle="1" w:styleId="slug-pages">
    <w:name w:val="slug-pages"/>
    <w:basedOn w:val="DefaultParagraphFont"/>
    <w:rsid w:val="00A22715"/>
  </w:style>
  <w:style w:type="character" w:customStyle="1" w:styleId="nlmx">
    <w:name w:val="nlm_x"/>
    <w:rsid w:val="00A22715"/>
  </w:style>
  <w:style w:type="character" w:customStyle="1" w:styleId="citationvolume">
    <w:name w:val="citation_volume"/>
    <w:rsid w:val="00A22715"/>
  </w:style>
  <w:style w:type="character" w:customStyle="1" w:styleId="citationyear">
    <w:name w:val="citation_year"/>
    <w:rsid w:val="00A22715"/>
    <w:rPr>
      <w:rFonts w:ascii="Times New Roman" w:hAnsi="Times New Roman" w:cs="Times New Roman" w:hint="default"/>
    </w:rPr>
  </w:style>
  <w:style w:type="character" w:customStyle="1" w:styleId="null">
    <w:name w:val="null"/>
    <w:rsid w:val="00A22715"/>
  </w:style>
  <w:style w:type="character" w:customStyle="1" w:styleId="authorship">
    <w:name w:val="authorship"/>
    <w:rsid w:val="00A22715"/>
  </w:style>
  <w:style w:type="character" w:customStyle="1" w:styleId="examplemean1">
    <w:name w:val="examplemean1"/>
    <w:rsid w:val="00A22715"/>
    <w:rPr>
      <w:color w:val="333333"/>
      <w:sz w:val="18"/>
      <w:szCs w:val="18"/>
    </w:rPr>
  </w:style>
  <w:style w:type="character" w:customStyle="1" w:styleId="citationjournal">
    <w:name w:val="citation journal"/>
    <w:rsid w:val="00A22715"/>
  </w:style>
  <w:style w:type="character" w:customStyle="1" w:styleId="journalname">
    <w:name w:val="journalname"/>
    <w:rsid w:val="00A22715"/>
  </w:style>
  <w:style w:type="character" w:customStyle="1" w:styleId="journalnumber">
    <w:name w:val="journalnumber"/>
    <w:rsid w:val="00A22715"/>
  </w:style>
  <w:style w:type="character" w:customStyle="1" w:styleId="cite-pages">
    <w:name w:val="cite-pages"/>
    <w:rsid w:val="00A22715"/>
  </w:style>
  <w:style w:type="character" w:customStyle="1" w:styleId="cite-month-year">
    <w:name w:val="cite-month-year"/>
    <w:rsid w:val="00A22715"/>
  </w:style>
  <w:style w:type="character" w:customStyle="1" w:styleId="Style1Char">
    <w:name w:val="Style1 Char"/>
    <w:rsid w:val="00A22715"/>
    <w:rPr>
      <w:rFonts w:ascii="Times New Roman" w:eastAsia="Times New Roman" w:hAnsi="Times New Roman" w:cs="Times New Roman" w:hint="default"/>
      <w:i/>
      <w:iCs w:val="0"/>
      <w:sz w:val="24"/>
      <w:szCs w:val="24"/>
    </w:rPr>
  </w:style>
  <w:style w:type="character" w:customStyle="1" w:styleId="bodytextCharChar">
    <w:name w:val="body text Char Char"/>
    <w:rsid w:val="00A22715"/>
    <w:rPr>
      <w:rFonts w:ascii="Arial" w:hAnsi="Arial" w:cs="Arial" w:hint="default"/>
      <w:bCs/>
      <w:kern w:val="32"/>
      <w:sz w:val="24"/>
      <w:szCs w:val="24"/>
      <w:lang w:val="en-US" w:eastAsia="en-US" w:bidi="ar-SA"/>
    </w:rPr>
  </w:style>
  <w:style w:type="character" w:customStyle="1" w:styleId="FollowedHyperlink1">
    <w:name w:val="FollowedHyperlink1"/>
    <w:uiPriority w:val="99"/>
    <w:semiHidden/>
    <w:rsid w:val="00A22715"/>
    <w:rPr>
      <w:color w:val="954F72"/>
      <w:u w:val="single"/>
    </w:rPr>
  </w:style>
  <w:style w:type="character" w:customStyle="1" w:styleId="Heading5Char1">
    <w:name w:val="Heading 5 Char1"/>
    <w:semiHidden/>
    <w:rsid w:val="00A22715"/>
    <w:rPr>
      <w:rFonts w:ascii="Cambria" w:eastAsia="Malgun Gothic" w:hAnsi="Cambria" w:cs="Times New Roman" w:hint="default"/>
      <w:color w:val="365F91"/>
      <w:sz w:val="24"/>
      <w:szCs w:val="24"/>
    </w:rPr>
  </w:style>
  <w:style w:type="character" w:customStyle="1" w:styleId="Heading6Char1">
    <w:name w:val="Heading 6 Char1"/>
    <w:semiHidden/>
    <w:rsid w:val="00A22715"/>
    <w:rPr>
      <w:rFonts w:ascii="Cambria" w:eastAsia="Malgun Gothic" w:hAnsi="Cambria" w:cs="Times New Roman" w:hint="default"/>
      <w:color w:val="243F60"/>
      <w:sz w:val="24"/>
      <w:szCs w:val="24"/>
    </w:rPr>
  </w:style>
  <w:style w:type="character" w:customStyle="1" w:styleId="Heading7Char1">
    <w:name w:val="Heading 7 Char1"/>
    <w:semiHidden/>
    <w:rsid w:val="00A22715"/>
    <w:rPr>
      <w:rFonts w:ascii="Cambria" w:eastAsia="Malgun Gothic" w:hAnsi="Cambria" w:cs="Times New Roman" w:hint="default"/>
      <w:i/>
      <w:iCs/>
      <w:color w:val="243F60"/>
      <w:sz w:val="24"/>
      <w:szCs w:val="24"/>
    </w:rPr>
  </w:style>
  <w:style w:type="character" w:customStyle="1" w:styleId="Heading8Char1">
    <w:name w:val="Heading 8 Char1"/>
    <w:semiHidden/>
    <w:rsid w:val="00A22715"/>
    <w:rPr>
      <w:rFonts w:ascii="Cambria" w:eastAsia="Malgun Gothic" w:hAnsi="Cambria" w:cs="Times New Roman" w:hint="default"/>
      <w:color w:val="272727"/>
      <w:sz w:val="21"/>
      <w:szCs w:val="21"/>
    </w:rPr>
  </w:style>
  <w:style w:type="character" w:customStyle="1" w:styleId="Heading9Char1">
    <w:name w:val="Heading 9 Char1"/>
    <w:semiHidden/>
    <w:rsid w:val="00A22715"/>
    <w:rPr>
      <w:rFonts w:ascii="Cambria" w:eastAsia="Malgun Gothic" w:hAnsi="Cambria" w:cs="Times New Roman" w:hint="default"/>
      <w:i/>
      <w:iCs/>
      <w:color w:val="272727"/>
      <w:sz w:val="21"/>
      <w:szCs w:val="21"/>
    </w:rPr>
  </w:style>
  <w:style w:type="character" w:customStyle="1" w:styleId="matchhighlight">
    <w:name w:val="matchhighlight"/>
    <w:rsid w:val="00A22715"/>
  </w:style>
  <w:style w:type="character" w:customStyle="1" w:styleId="infraspr">
    <w:name w:val="infraspr"/>
    <w:rsid w:val="00A22715"/>
  </w:style>
  <w:style w:type="character" w:customStyle="1" w:styleId="jbiaotien">
    <w:name w:val="j_biaoti_en"/>
    <w:rsid w:val="00A22715"/>
  </w:style>
  <w:style w:type="character" w:customStyle="1" w:styleId="top-summary-item-value">
    <w:name w:val="top-summary-item-value"/>
    <w:rsid w:val="00A22715"/>
  </w:style>
  <w:style w:type="character" w:customStyle="1" w:styleId="citation-abbreviation">
    <w:name w:val="citation-abbreviation"/>
    <w:rsid w:val="00A22715"/>
  </w:style>
  <w:style w:type="character" w:customStyle="1" w:styleId="citation-publication-date">
    <w:name w:val="citation-publication-date"/>
    <w:rsid w:val="00A22715"/>
  </w:style>
  <w:style w:type="character" w:customStyle="1" w:styleId="citation-volume">
    <w:name w:val="citation-volume"/>
    <w:rsid w:val="00A22715"/>
  </w:style>
  <w:style w:type="character" w:customStyle="1" w:styleId="citation-issue">
    <w:name w:val="citation-issue"/>
    <w:rsid w:val="00A22715"/>
  </w:style>
  <w:style w:type="character" w:customStyle="1" w:styleId="citation-flpages">
    <w:name w:val="citation-flpages"/>
    <w:rsid w:val="00A22715"/>
  </w:style>
  <w:style w:type="character" w:customStyle="1" w:styleId="printhide">
    <w:name w:val="printhide"/>
    <w:rsid w:val="00A22715"/>
  </w:style>
  <w:style w:type="character" w:customStyle="1" w:styleId="scopuslogotxt">
    <w:name w:val="scopus_logo_txt"/>
    <w:rsid w:val="00A22715"/>
  </w:style>
  <w:style w:type="character" w:customStyle="1" w:styleId="contributornametrigger">
    <w:name w:val="contributornametrigger"/>
    <w:rsid w:val="00A22715"/>
  </w:style>
  <w:style w:type="character" w:customStyle="1" w:styleId="cit-authcit-auth-type-author">
    <w:name w:val="cit-auth cit-auth-type-author"/>
    <w:rsid w:val="00A22715"/>
  </w:style>
  <w:style w:type="character" w:customStyle="1" w:styleId="cit-sepcit-sep-separator">
    <w:name w:val="cit-sep cit-sep-separator"/>
    <w:rsid w:val="00A22715"/>
  </w:style>
  <w:style w:type="character" w:customStyle="1" w:styleId="cit-sepcit-sep-last-separator">
    <w:name w:val="cit-sep cit-sep-last-separator"/>
    <w:rsid w:val="00A22715"/>
  </w:style>
  <w:style w:type="character" w:customStyle="1" w:styleId="cit-print-date">
    <w:name w:val="cit-print-date"/>
    <w:rsid w:val="00A22715"/>
  </w:style>
  <w:style w:type="character" w:customStyle="1" w:styleId="cit-vol">
    <w:name w:val="cit-vol"/>
    <w:rsid w:val="00A22715"/>
  </w:style>
  <w:style w:type="character" w:customStyle="1" w:styleId="cit-sepcit-sep-after-article-vol">
    <w:name w:val="cit-sep cit-sep-after-article-vol"/>
    <w:rsid w:val="00A22715"/>
  </w:style>
  <w:style w:type="character" w:customStyle="1" w:styleId="cit-first-page">
    <w:name w:val="cit-first-page"/>
    <w:rsid w:val="00A22715"/>
  </w:style>
  <w:style w:type="character" w:customStyle="1" w:styleId="cit-sep">
    <w:name w:val="cit-sep"/>
    <w:rsid w:val="00A22715"/>
  </w:style>
  <w:style w:type="character" w:customStyle="1" w:styleId="cit-last-page">
    <w:name w:val="cit-last-page"/>
    <w:rsid w:val="00A22715"/>
  </w:style>
  <w:style w:type="character" w:customStyle="1" w:styleId="text0">
    <w:name w:val="text"/>
    <w:rsid w:val="00A22715"/>
  </w:style>
  <w:style w:type="character" w:customStyle="1" w:styleId="google-src-text1">
    <w:name w:val="google-src-text1"/>
    <w:rsid w:val="00A22715"/>
    <w:rPr>
      <w:vanish/>
      <w:webHidden w:val="0"/>
      <w:specVanish w:val="0"/>
    </w:rPr>
  </w:style>
  <w:style w:type="character" w:customStyle="1" w:styleId="body3">
    <w:name w:val="body3"/>
    <w:rsid w:val="00A22715"/>
  </w:style>
  <w:style w:type="character" w:customStyle="1" w:styleId="ti">
    <w:name w:val="ti"/>
    <w:rsid w:val="00A22715"/>
  </w:style>
  <w:style w:type="character" w:customStyle="1" w:styleId="linkbar">
    <w:name w:val="linkbar"/>
    <w:rsid w:val="00A22715"/>
  </w:style>
  <w:style w:type="character" w:customStyle="1" w:styleId="spelle">
    <w:name w:val="spelle"/>
    <w:rsid w:val="00A22715"/>
  </w:style>
  <w:style w:type="character" w:customStyle="1" w:styleId="atn">
    <w:name w:val="atn"/>
    <w:rsid w:val="00A22715"/>
  </w:style>
  <w:style w:type="character" w:customStyle="1" w:styleId="paragraph">
    <w:name w:val="paragraph"/>
    <w:rsid w:val="00A22715"/>
  </w:style>
  <w:style w:type="character" w:customStyle="1" w:styleId="articletext1">
    <w:name w:val="articletext1"/>
    <w:rsid w:val="00A22715"/>
    <w:rPr>
      <w:rFonts w:ascii="Verdana" w:hAnsi="Verdana" w:hint="default"/>
      <w:color w:val="000000"/>
      <w:sz w:val="20"/>
      <w:szCs w:val="20"/>
    </w:rPr>
  </w:style>
  <w:style w:type="character" w:customStyle="1" w:styleId="im">
    <w:name w:val="im"/>
    <w:rsid w:val="00A22715"/>
  </w:style>
  <w:style w:type="character" w:customStyle="1" w:styleId="Bodytext216pt">
    <w:name w:val="Body text (2) + 16 pt"/>
    <w:aliases w:val="Bold,Body text (4) + 16 pt,Body text (2) + 11 pt,Body text (6) + 9,5 pt,Body text (2) + 9,Body text (2) + 15 pt,Body text (5) + 9,Spacing 2 pt,Body text (7) + 9,Body text (9) + 9,Body text (10) + 15 pt,Heading #3 + 15 pt,10,4 pt"/>
    <w:rsid w:val="00A22715"/>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eastAsia="vi-VN" w:bidi="vi-VN"/>
    </w:rPr>
  </w:style>
  <w:style w:type="character" w:customStyle="1" w:styleId="std">
    <w:name w:val="std"/>
    <w:basedOn w:val="DefaultParagraphFont"/>
    <w:rsid w:val="00A22715"/>
  </w:style>
  <w:style w:type="character" w:customStyle="1" w:styleId="gl">
    <w:name w:val="gl"/>
    <w:basedOn w:val="DefaultParagraphFont"/>
    <w:rsid w:val="00A22715"/>
  </w:style>
  <w:style w:type="character" w:customStyle="1" w:styleId="fn">
    <w:name w:val="fn"/>
    <w:basedOn w:val="DefaultParagraphFont"/>
    <w:rsid w:val="00A22715"/>
  </w:style>
  <w:style w:type="character" w:customStyle="1" w:styleId="DocumentMapChar1">
    <w:name w:val="Document Map Char1"/>
    <w:uiPriority w:val="99"/>
    <w:rsid w:val="00A22715"/>
    <w:rPr>
      <w:rFonts w:ascii="Tahoma" w:eastAsia="Times New Roman" w:hAnsi="Tahoma" w:cs="Tahoma" w:hint="default"/>
      <w:sz w:val="16"/>
      <w:szCs w:val="16"/>
      <w:lang w:val="vi-VN"/>
    </w:rPr>
  </w:style>
  <w:style w:type="character" w:customStyle="1" w:styleId="nowraprefcrossref">
    <w:name w:val="nowrap ref crossref"/>
    <w:basedOn w:val="DefaultParagraphFont"/>
    <w:rsid w:val="00A22715"/>
  </w:style>
  <w:style w:type="character" w:customStyle="1" w:styleId="nowraprefpubmed">
    <w:name w:val="nowrap ref pubmed"/>
    <w:basedOn w:val="DefaultParagraphFont"/>
    <w:rsid w:val="00A22715"/>
  </w:style>
  <w:style w:type="character" w:customStyle="1" w:styleId="nowraprefpmc">
    <w:name w:val="nowrap ref pmc"/>
    <w:basedOn w:val="DefaultParagraphFont"/>
    <w:rsid w:val="00A22715"/>
  </w:style>
  <w:style w:type="character" w:customStyle="1" w:styleId="journalabstracttitle">
    <w:name w:val="journal_abstract_title"/>
    <w:basedOn w:val="DefaultParagraphFont"/>
    <w:rsid w:val="00A22715"/>
  </w:style>
  <w:style w:type="character" w:customStyle="1" w:styleId="hit">
    <w:name w:val="hit"/>
    <w:basedOn w:val="DefaultParagraphFont"/>
    <w:rsid w:val="00A22715"/>
  </w:style>
  <w:style w:type="character" w:customStyle="1" w:styleId="element-citation">
    <w:name w:val="element-citation"/>
    <w:rsid w:val="00A22715"/>
  </w:style>
  <w:style w:type="character" w:customStyle="1" w:styleId="small-caps">
    <w:name w:val="small-caps"/>
    <w:rsid w:val="00A22715"/>
  </w:style>
  <w:style w:type="character" w:customStyle="1" w:styleId="tgc">
    <w:name w:val="_tgc"/>
    <w:rsid w:val="00A22715"/>
  </w:style>
  <w:style w:type="character" w:customStyle="1" w:styleId="Vnbnnidung">
    <w:name w:val="Văn bản nội dung"/>
    <w:rsid w:val="00A22715"/>
    <w:rPr>
      <w:rFonts w:ascii="Bookman Old Style" w:eastAsia="Bookman Old Style" w:hAnsi="Bookman Old Style" w:cs="Bookman Old Style" w:hint="default"/>
      <w:b w:val="0"/>
      <w:bCs w:val="0"/>
      <w:i w:val="0"/>
      <w:iCs w:val="0"/>
      <w:smallCaps w:val="0"/>
      <w:strike w:val="0"/>
      <w:dstrike w:val="0"/>
      <w:color w:val="000000"/>
      <w:spacing w:val="0"/>
      <w:w w:val="100"/>
      <w:position w:val="0"/>
      <w:sz w:val="14"/>
      <w:szCs w:val="14"/>
      <w:u w:val="none"/>
      <w:effect w:val="none"/>
      <w:lang w:val="en-US"/>
    </w:rPr>
  </w:style>
  <w:style w:type="character" w:customStyle="1" w:styleId="authorname">
    <w:name w:val="author__name"/>
    <w:rsid w:val="00A22715"/>
  </w:style>
  <w:style w:type="character" w:customStyle="1" w:styleId="authorsseparator">
    <w:name w:val="authors__separator"/>
    <w:rsid w:val="00A22715"/>
  </w:style>
  <w:style w:type="character" w:customStyle="1" w:styleId="go">
    <w:name w:val="go"/>
    <w:rsid w:val="00A22715"/>
  </w:style>
  <w:style w:type="character" w:customStyle="1" w:styleId="Bodytext2Candara">
    <w:name w:val="Body text (2) + Candara"/>
    <w:aliases w:val="9.5 pt"/>
    <w:rsid w:val="00A22715"/>
    <w:rPr>
      <w:rFonts w:ascii="Candara" w:hAnsi="Candara" w:cs="Candara" w:hint="default"/>
      <w:sz w:val="19"/>
      <w:szCs w:val="19"/>
      <w:lang w:bidi="ar-SA"/>
    </w:rPr>
  </w:style>
  <w:style w:type="character" w:customStyle="1" w:styleId="Bodytext22">
    <w:name w:val="Body text (2)"/>
    <w:rsid w:val="00A22715"/>
  </w:style>
  <w:style w:type="character" w:customStyle="1" w:styleId="Bodytext2Candara2">
    <w:name w:val="Body text (2) + Candara2"/>
    <w:aliases w:val="10.5 pt,Spacing 0 pt10"/>
    <w:rsid w:val="00A22715"/>
    <w:rPr>
      <w:rFonts w:ascii="Candara" w:hAnsi="Candara" w:cs="Candara" w:hint="default"/>
      <w:spacing w:val="-10"/>
      <w:sz w:val="21"/>
      <w:szCs w:val="21"/>
      <w:lang w:bidi="ar-SA"/>
    </w:rPr>
  </w:style>
  <w:style w:type="character" w:customStyle="1" w:styleId="hlfld-contribauthor">
    <w:name w:val="hlfld-contribauthor"/>
    <w:rsid w:val="00A22715"/>
  </w:style>
  <w:style w:type="character" w:customStyle="1" w:styleId="absnonlinkmetadata">
    <w:name w:val="abs_nonlink_metadata"/>
    <w:rsid w:val="00A22715"/>
  </w:style>
  <w:style w:type="character" w:customStyle="1" w:styleId="Mention1">
    <w:name w:val="Mention1"/>
    <w:uiPriority w:val="99"/>
    <w:semiHidden/>
    <w:rsid w:val="00A22715"/>
    <w:rPr>
      <w:color w:val="2B579A"/>
      <w:shd w:val="clear" w:color="auto" w:fill="E6E6E6"/>
    </w:rPr>
  </w:style>
  <w:style w:type="character" w:customStyle="1" w:styleId="FooterChar1">
    <w:name w:val="Footer Char1"/>
    <w:uiPriority w:val="99"/>
    <w:semiHidden/>
    <w:rsid w:val="00A22715"/>
    <w:rPr>
      <w:rFonts w:ascii="Times New Roman" w:eastAsia="Times New Roman" w:hAnsi="Times New Roman" w:cs="Times New Roman" w:hint="default"/>
      <w:sz w:val="24"/>
      <w:szCs w:val="24"/>
      <w:lang w:eastAsia="en-US"/>
    </w:rPr>
  </w:style>
  <w:style w:type="character" w:customStyle="1" w:styleId="a5">
    <w:name w:val="a"/>
    <w:rsid w:val="00A22715"/>
  </w:style>
  <w:style w:type="character" w:customStyle="1" w:styleId="l7">
    <w:name w:val="l7"/>
    <w:rsid w:val="00A22715"/>
  </w:style>
  <w:style w:type="character" w:customStyle="1" w:styleId="l8">
    <w:name w:val="l8"/>
    <w:rsid w:val="00A22715"/>
  </w:style>
  <w:style w:type="character" w:customStyle="1" w:styleId="l6">
    <w:name w:val="l6"/>
    <w:rsid w:val="00A22715"/>
  </w:style>
  <w:style w:type="character" w:customStyle="1" w:styleId="l11">
    <w:name w:val="l11"/>
    <w:rsid w:val="00A22715"/>
  </w:style>
  <w:style w:type="character" w:customStyle="1" w:styleId="l9">
    <w:name w:val="l9"/>
    <w:rsid w:val="00A22715"/>
  </w:style>
  <w:style w:type="character" w:customStyle="1" w:styleId="src">
    <w:name w:val="src"/>
    <w:rsid w:val="00A22715"/>
  </w:style>
  <w:style w:type="character" w:customStyle="1" w:styleId="s10">
    <w:name w:val="s1"/>
    <w:rsid w:val="00A22715"/>
    <w:rPr>
      <w:rFonts w:ascii="Helvetica" w:hAnsi="Helvetica" w:cs="Helvetica" w:hint="default"/>
      <w:sz w:val="11"/>
      <w:szCs w:val="11"/>
    </w:rPr>
  </w:style>
  <w:style w:type="character" w:customStyle="1" w:styleId="refpreview1">
    <w:name w:val="refpreview1"/>
    <w:rsid w:val="00A22715"/>
    <w:rPr>
      <w:vanish/>
      <w:webHidden w:val="0"/>
      <w:shd w:val="clear" w:color="auto" w:fill="EEEEEE"/>
      <w:specVanish w:val="0"/>
    </w:rPr>
  </w:style>
  <w:style w:type="character" w:customStyle="1" w:styleId="Bodytext2Italic">
    <w:name w:val="Body text (2) + Italic"/>
    <w:rsid w:val="00A22715"/>
    <w:rPr>
      <w:i/>
      <w:iCs/>
      <w:color w:val="000000"/>
      <w:spacing w:val="0"/>
      <w:w w:val="100"/>
      <w:position w:val="0"/>
      <w:sz w:val="26"/>
      <w:szCs w:val="26"/>
      <w:shd w:val="clear" w:color="auto" w:fill="FFFFFF"/>
      <w:lang w:val="vi-VN" w:eastAsia="vi-VN" w:bidi="vi-VN"/>
    </w:rPr>
  </w:style>
  <w:style w:type="character" w:customStyle="1" w:styleId="Bodytext3NotItalic">
    <w:name w:val="Body text (3) + Not Italic"/>
    <w:rsid w:val="00A22715"/>
    <w:rPr>
      <w:i/>
      <w:iCs/>
      <w:color w:val="000000"/>
      <w:spacing w:val="0"/>
      <w:w w:val="100"/>
      <w:position w:val="0"/>
      <w:sz w:val="26"/>
      <w:szCs w:val="26"/>
      <w:shd w:val="clear" w:color="auto" w:fill="FFFFFF"/>
      <w:lang w:val="en-US" w:eastAsia="en-US" w:bidi="en-US"/>
    </w:rPr>
  </w:style>
  <w:style w:type="character" w:customStyle="1" w:styleId="fontstyle01">
    <w:name w:val="fontstyle01"/>
    <w:rsid w:val="00A22715"/>
    <w:rPr>
      <w:rFonts w:ascii="Times New Roman" w:hAnsi="Times New Roman" w:cs="Times New Roman" w:hint="default"/>
      <w:b w:val="0"/>
      <w:bCs w:val="0"/>
      <w:i w:val="0"/>
      <w:iCs w:val="0"/>
      <w:color w:val="000000"/>
      <w:sz w:val="24"/>
      <w:szCs w:val="24"/>
    </w:rPr>
  </w:style>
  <w:style w:type="table" w:styleId="ColorfulList-Accent1">
    <w:name w:val="Colorful List Accent 1"/>
    <w:basedOn w:val="TableNormal"/>
    <w:link w:val="ColorfulList-Accent1Char"/>
    <w:uiPriority w:val="34"/>
    <w:rsid w:val="00A22715"/>
    <w:pPr>
      <w:spacing w:after="0" w:line="240" w:lineRule="auto"/>
    </w:pPr>
    <w:rPr>
      <w:rFonts w:eastAsia="Times New Roman" w:cs="Times New Roman"/>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34"/>
    <w:locked/>
    <w:rsid w:val="00A22715"/>
    <w:rPr>
      <w:rFonts w:ascii="Times New Roman" w:eastAsia="Times New Roman" w:hAnsi="Times New Roman" w:cs="Times New Roman" w:hint="default"/>
      <w:sz w:val="22"/>
      <w:szCs w:val="22"/>
    </w:rPr>
  </w:style>
  <w:style w:type="character" w:customStyle="1" w:styleId="verdanablack11">
    <w:name w:val="verdanablack11"/>
    <w:rsid w:val="00A22715"/>
  </w:style>
  <w:style w:type="character" w:customStyle="1" w:styleId="title-text">
    <w:name w:val="title-text"/>
    <w:rsid w:val="00A22715"/>
  </w:style>
  <w:style w:type="character" w:customStyle="1" w:styleId="Hyperlink0">
    <w:name w:val="Hyperlink.0"/>
    <w:rsid w:val="00A22715"/>
    <w:rPr>
      <w:sz w:val="24"/>
      <w:szCs w:val="24"/>
    </w:rPr>
  </w:style>
  <w:style w:type="character" w:customStyle="1" w:styleId="text-color-grey">
    <w:name w:val="text-color-grey"/>
    <w:rsid w:val="00A22715"/>
  </w:style>
  <w:style w:type="character" w:customStyle="1" w:styleId="fs5">
    <w:name w:val="fs5"/>
    <w:rsid w:val="00A22715"/>
  </w:style>
  <w:style w:type="character" w:customStyle="1" w:styleId="ws8">
    <w:name w:val="ws8"/>
    <w:rsid w:val="00A22715"/>
  </w:style>
  <w:style w:type="character" w:customStyle="1" w:styleId="ws6">
    <w:name w:val="ws6"/>
    <w:rsid w:val="00A22715"/>
  </w:style>
  <w:style w:type="character" w:customStyle="1" w:styleId="fontstyle21">
    <w:name w:val="fontstyle21"/>
    <w:rsid w:val="00A22715"/>
    <w:rPr>
      <w:rFonts w:ascii="Arial-ItalicMT" w:hAnsi="Arial-ItalicMT" w:cs="Arial-ItalicMT" w:hint="default"/>
      <w:b w:val="0"/>
      <w:bCs w:val="0"/>
      <w:i/>
      <w:iCs/>
      <w:color w:val="231F20"/>
      <w:sz w:val="16"/>
      <w:szCs w:val="16"/>
    </w:rPr>
  </w:style>
  <w:style w:type="character" w:customStyle="1" w:styleId="ref-title">
    <w:name w:val="ref-title"/>
    <w:rsid w:val="00A22715"/>
    <w:rPr>
      <w:rFonts w:ascii="Times New Roman" w:hAnsi="Times New Roman" w:cs="Times New Roman" w:hint="default"/>
    </w:rPr>
  </w:style>
  <w:style w:type="character" w:customStyle="1" w:styleId="nova-e-badge">
    <w:name w:val="nova-e-badge"/>
    <w:rsid w:val="00A22715"/>
  </w:style>
  <w:style w:type="character" w:customStyle="1" w:styleId="UnresolvedMention1">
    <w:name w:val="Unresolved Mention1"/>
    <w:uiPriority w:val="99"/>
    <w:semiHidden/>
    <w:rsid w:val="00A22715"/>
    <w:rPr>
      <w:color w:val="808080"/>
      <w:shd w:val="clear" w:color="auto" w:fill="E6E6E6"/>
    </w:rPr>
  </w:style>
  <w:style w:type="character" w:customStyle="1" w:styleId="ShortAbstract">
    <w:name w:val="Short Abstract"/>
    <w:rsid w:val="00A22715"/>
    <w:rPr>
      <w:rFonts w:ascii="Times New Roman" w:eastAsia="Times New Roman" w:hAnsi="Times New Roman" w:cs="Times New Roman" w:hint="default"/>
      <w:sz w:val="20"/>
    </w:rPr>
  </w:style>
  <w:style w:type="character" w:customStyle="1" w:styleId="longtext">
    <w:name w:val="long_text"/>
    <w:rsid w:val="00A22715"/>
  </w:style>
  <w:style w:type="character" w:customStyle="1" w:styleId="tlid-translation">
    <w:name w:val="tlid-translation"/>
    <w:rsid w:val="00A22715"/>
  </w:style>
  <w:style w:type="character" w:customStyle="1" w:styleId="UnresolvedMention10">
    <w:name w:val="Unresolved Mention1"/>
    <w:uiPriority w:val="99"/>
    <w:semiHidden/>
    <w:rsid w:val="00A22715"/>
    <w:rPr>
      <w:color w:val="605E5C"/>
      <w:shd w:val="clear" w:color="auto" w:fill="E1DFDD"/>
    </w:rPr>
  </w:style>
  <w:style w:type="character" w:customStyle="1" w:styleId="notranslate">
    <w:name w:val="notranslate"/>
    <w:rsid w:val="00A22715"/>
  </w:style>
  <w:style w:type="character" w:customStyle="1" w:styleId="pagesnum">
    <w:name w:val="pagesnum"/>
    <w:rsid w:val="00A22715"/>
  </w:style>
  <w:style w:type="character" w:customStyle="1" w:styleId="UnresolvedMention2">
    <w:name w:val="Unresolved Mention2"/>
    <w:uiPriority w:val="99"/>
    <w:semiHidden/>
    <w:rsid w:val="00A22715"/>
    <w:rPr>
      <w:color w:val="605E5C"/>
      <w:shd w:val="clear" w:color="auto" w:fill="E1DFDD"/>
    </w:rPr>
  </w:style>
  <w:style w:type="character" w:customStyle="1" w:styleId="sr-only1">
    <w:name w:val="sr-only1"/>
    <w:rsid w:val="00A22715"/>
    <w:rPr>
      <w:bdr w:val="none" w:sz="0" w:space="0" w:color="auto" w:frame="1"/>
    </w:rPr>
  </w:style>
  <w:style w:type="character" w:customStyle="1" w:styleId="text2">
    <w:name w:val="text2"/>
    <w:rsid w:val="00A22715"/>
  </w:style>
  <w:style w:type="character" w:customStyle="1" w:styleId="author-ref">
    <w:name w:val="author-ref"/>
    <w:qFormat/>
    <w:rsid w:val="00A22715"/>
  </w:style>
  <w:style w:type="character" w:customStyle="1" w:styleId="nlmarticle-title">
    <w:name w:val="nlm_article-title"/>
    <w:rsid w:val="00A22715"/>
  </w:style>
  <w:style w:type="character" w:customStyle="1" w:styleId="contribdegrees">
    <w:name w:val="contribdegrees"/>
    <w:rsid w:val="00A22715"/>
  </w:style>
  <w:style w:type="character" w:customStyle="1" w:styleId="titleheading">
    <w:name w:val="titleheading"/>
    <w:rsid w:val="00A22715"/>
  </w:style>
  <w:style w:type="character" w:customStyle="1" w:styleId="citationtopitem">
    <w:name w:val="citation__top__item"/>
    <w:rsid w:val="00A22715"/>
  </w:style>
  <w:style w:type="character" w:customStyle="1" w:styleId="articleaccesstype">
    <w:name w:val="article__access__type"/>
    <w:rsid w:val="00A22715"/>
  </w:style>
  <w:style w:type="character" w:customStyle="1" w:styleId="citationaccesstype">
    <w:name w:val="citation__access__type"/>
    <w:rsid w:val="00A22715"/>
  </w:style>
  <w:style w:type="character" w:customStyle="1" w:styleId="hlfld-title">
    <w:name w:val="hlfld-title"/>
    <w:rsid w:val="00A22715"/>
  </w:style>
  <w:style w:type="character" w:customStyle="1" w:styleId="fontstyle11">
    <w:name w:val="fontstyle11"/>
    <w:rsid w:val="00A22715"/>
    <w:rPr>
      <w:rFonts w:ascii="TimesNewRomanPSMT" w:eastAsia="TimesNewRomanPSMT" w:hAnsi="TimesNewRomanPSMT" w:hint="eastAsia"/>
      <w:b w:val="0"/>
      <w:bCs w:val="0"/>
      <w:i w:val="0"/>
      <w:iCs w:val="0"/>
      <w:color w:val="000000"/>
      <w:sz w:val="20"/>
      <w:szCs w:val="20"/>
    </w:rPr>
  </w:style>
  <w:style w:type="character" w:customStyle="1" w:styleId="fontstyle31">
    <w:name w:val="fontstyle31"/>
    <w:rsid w:val="00A22715"/>
    <w:rPr>
      <w:rFonts w:ascii="TimesNewRomanPSMT" w:eastAsia="TimesNewRomanPSMT" w:hAnsi="TimesNewRomanPSMT" w:hint="eastAsia"/>
      <w:b w:val="0"/>
      <w:bCs w:val="0"/>
      <w:i w:val="0"/>
      <w:iCs w:val="0"/>
      <w:color w:val="000000"/>
      <w:sz w:val="26"/>
      <w:szCs w:val="26"/>
    </w:rPr>
  </w:style>
  <w:style w:type="character" w:customStyle="1" w:styleId="reference-accessdate">
    <w:name w:val="reference-accessdate"/>
    <w:rsid w:val="00A22715"/>
  </w:style>
  <w:style w:type="character" w:customStyle="1" w:styleId="nowrap">
    <w:name w:val="nowrap"/>
    <w:rsid w:val="00A22715"/>
  </w:style>
  <w:style w:type="character" w:customStyle="1" w:styleId="A40">
    <w:name w:val="A4"/>
    <w:uiPriority w:val="99"/>
    <w:rsid w:val="00A22715"/>
    <w:rPr>
      <w:color w:val="000000"/>
      <w:sz w:val="14"/>
      <w:szCs w:val="14"/>
    </w:rPr>
  </w:style>
  <w:style w:type="character" w:customStyle="1" w:styleId="A7">
    <w:name w:val="A7"/>
    <w:uiPriority w:val="99"/>
    <w:rsid w:val="00A22715"/>
    <w:rPr>
      <w:rFonts w:ascii="Gill Sans MT" w:hAnsi="Gill Sans MT" w:cs="Gill Sans MT" w:hint="default"/>
      <w:color w:val="000000"/>
      <w:sz w:val="12"/>
      <w:szCs w:val="12"/>
    </w:rPr>
  </w:style>
  <w:style w:type="character" w:customStyle="1" w:styleId="A00">
    <w:name w:val="A0"/>
    <w:uiPriority w:val="99"/>
    <w:rsid w:val="00A22715"/>
    <w:rPr>
      <w:rFonts w:ascii="Times" w:hAnsi="Times" w:cs="Times" w:hint="default"/>
      <w:color w:val="000000"/>
      <w:sz w:val="20"/>
      <w:szCs w:val="20"/>
    </w:rPr>
  </w:style>
  <w:style w:type="character" w:customStyle="1" w:styleId="A50">
    <w:name w:val="A5"/>
    <w:uiPriority w:val="99"/>
    <w:rsid w:val="00A22715"/>
    <w:rPr>
      <w:b/>
      <w:bCs/>
      <w:color w:val="000000"/>
      <w:sz w:val="14"/>
      <w:szCs w:val="14"/>
    </w:rPr>
  </w:style>
  <w:style w:type="character" w:customStyle="1" w:styleId="A21">
    <w:name w:val="A2"/>
    <w:uiPriority w:val="99"/>
    <w:rsid w:val="00A22715"/>
    <w:rPr>
      <w:rFonts w:ascii="Helvetica" w:hAnsi="Helvetica" w:cs="Helvetica" w:hint="default"/>
      <w:color w:val="000000"/>
      <w:sz w:val="18"/>
      <w:szCs w:val="18"/>
    </w:rPr>
  </w:style>
  <w:style w:type="character" w:customStyle="1" w:styleId="cit">
    <w:name w:val="cit"/>
    <w:rsid w:val="00A22715"/>
  </w:style>
  <w:style w:type="character" w:customStyle="1" w:styleId="mi">
    <w:name w:val="mi"/>
    <w:rsid w:val="00A22715"/>
  </w:style>
  <w:style w:type="character" w:customStyle="1" w:styleId="mo">
    <w:name w:val="mo"/>
    <w:rsid w:val="00A22715"/>
  </w:style>
  <w:style w:type="character" w:customStyle="1" w:styleId="mn">
    <w:name w:val="mn"/>
    <w:rsid w:val="00A22715"/>
  </w:style>
  <w:style w:type="character" w:customStyle="1" w:styleId="figpopup-sensitive-area">
    <w:name w:val="figpopup-sensitive-area"/>
    <w:rsid w:val="00A22715"/>
  </w:style>
  <w:style w:type="character" w:customStyle="1" w:styleId="period">
    <w:name w:val="period"/>
    <w:rsid w:val="00A22715"/>
  </w:style>
  <w:style w:type="character" w:customStyle="1" w:styleId="labs-docsum-authors">
    <w:name w:val="labs-docsum-authors"/>
    <w:rsid w:val="00A22715"/>
  </w:style>
  <w:style w:type="character" w:customStyle="1" w:styleId="labs-docsum-journal-citation">
    <w:name w:val="labs-docsum-journal-citation"/>
    <w:rsid w:val="00A22715"/>
  </w:style>
  <w:style w:type="character" w:customStyle="1" w:styleId="UnresolvedMention3">
    <w:name w:val="Unresolved Mention3"/>
    <w:uiPriority w:val="99"/>
    <w:semiHidden/>
    <w:rsid w:val="00A22715"/>
    <w:rPr>
      <w:color w:val="605E5C"/>
      <w:shd w:val="clear" w:color="auto" w:fill="E1DFDD"/>
    </w:rPr>
  </w:style>
  <w:style w:type="character" w:customStyle="1" w:styleId="referencesarticle-title">
    <w:name w:val="references__article-title"/>
    <w:rsid w:val="00A22715"/>
  </w:style>
  <w:style w:type="character" w:customStyle="1" w:styleId="xref">
    <w:name w:val="xref"/>
    <w:rsid w:val="00A22715"/>
  </w:style>
  <w:style w:type="character" w:customStyle="1" w:styleId="i2">
    <w:name w:val="i2"/>
    <w:rsid w:val="00A22715"/>
    <w:rPr>
      <w:i/>
      <w:iCs/>
    </w:rPr>
  </w:style>
  <w:style w:type="character" w:customStyle="1" w:styleId="nlmgiven-names">
    <w:name w:val="nlm_given-names"/>
    <w:rsid w:val="00A22715"/>
  </w:style>
  <w:style w:type="character" w:customStyle="1" w:styleId="nlmyear">
    <w:name w:val="nlm_year"/>
    <w:rsid w:val="00A22715"/>
  </w:style>
  <w:style w:type="character" w:customStyle="1" w:styleId="BalloonTextChar1">
    <w:name w:val="Balloon Text Char1"/>
    <w:semiHidden/>
    <w:rsid w:val="00A22715"/>
    <w:rPr>
      <w:rFonts w:ascii="Tahoma" w:eastAsia="Arial" w:hAnsi="Tahoma" w:cs="Tahoma" w:hint="default"/>
      <w:sz w:val="16"/>
      <w:szCs w:val="16"/>
      <w:lang w:val="vi-VN"/>
    </w:rPr>
  </w:style>
  <w:style w:type="character" w:customStyle="1" w:styleId="volume">
    <w:name w:val="volume"/>
    <w:rsid w:val="00A22715"/>
  </w:style>
  <w:style w:type="character" w:customStyle="1" w:styleId="issue">
    <w:name w:val="issue"/>
    <w:rsid w:val="00A22715"/>
  </w:style>
  <w:style w:type="character" w:customStyle="1" w:styleId="pages">
    <w:name w:val="pages"/>
    <w:rsid w:val="00A22715"/>
  </w:style>
  <w:style w:type="character" w:customStyle="1" w:styleId="text1">
    <w:name w:val="text1"/>
    <w:rsid w:val="00A22715"/>
    <w:rPr>
      <w:rFonts w:ascii="Verdana" w:hAnsi="Verdana" w:hint="default"/>
      <w:sz w:val="17"/>
      <w:szCs w:val="17"/>
    </w:rPr>
  </w:style>
  <w:style w:type="character" w:customStyle="1" w:styleId="yshortcuts">
    <w:name w:val="yshortcuts"/>
    <w:rsid w:val="00A22715"/>
  </w:style>
  <w:style w:type="character" w:customStyle="1" w:styleId="transtxt">
    <w:name w:val="trans_txt"/>
    <w:rsid w:val="00A22715"/>
  </w:style>
  <w:style w:type="character" w:customStyle="1" w:styleId="uworddic">
    <w:name w:val="u_word_dic"/>
    <w:rsid w:val="00A22715"/>
  </w:style>
  <w:style w:type="character" w:customStyle="1" w:styleId="UnresolvedMention4">
    <w:name w:val="Unresolved Mention4"/>
    <w:uiPriority w:val="99"/>
    <w:semiHidden/>
    <w:rsid w:val="00A22715"/>
    <w:rPr>
      <w:color w:val="605E5C"/>
      <w:shd w:val="clear" w:color="auto" w:fill="E1DFDD"/>
    </w:rPr>
  </w:style>
  <w:style w:type="character" w:customStyle="1" w:styleId="ch">
    <w:name w:val="ch"/>
    <w:rsid w:val="00A22715"/>
  </w:style>
  <w:style w:type="character" w:customStyle="1" w:styleId="supref">
    <w:name w:val="sup_ref"/>
    <w:rsid w:val="00A22715"/>
  </w:style>
  <w:style w:type="character" w:customStyle="1" w:styleId="italic">
    <w:name w:val="italic"/>
    <w:rsid w:val="00A22715"/>
  </w:style>
  <w:style w:type="character" w:customStyle="1" w:styleId="tc">
    <w:name w:val="tc"/>
    <w:rsid w:val="00A22715"/>
  </w:style>
  <w:style w:type="character" w:customStyle="1" w:styleId="graphictitle">
    <w:name w:val="graphic_title"/>
    <w:rsid w:val="00A22715"/>
  </w:style>
  <w:style w:type="character" w:customStyle="1" w:styleId="ff3">
    <w:name w:val="ff3"/>
    <w:rsid w:val="00A22715"/>
  </w:style>
  <w:style w:type="character" w:customStyle="1" w:styleId="fc4">
    <w:name w:val="fc4"/>
    <w:rsid w:val="00A22715"/>
  </w:style>
  <w:style w:type="character" w:customStyle="1" w:styleId="A11">
    <w:name w:val="A1"/>
    <w:uiPriority w:val="99"/>
    <w:rsid w:val="00A22715"/>
    <w:rPr>
      <w:rFonts w:ascii="News Gothic Std" w:hAnsi="News Gothic Std" w:cs="News Gothic Std" w:hint="default"/>
      <w:color w:val="000000"/>
      <w:sz w:val="18"/>
      <w:szCs w:val="18"/>
    </w:rPr>
  </w:style>
  <w:style w:type="character" w:customStyle="1" w:styleId="jlqj4b">
    <w:name w:val="jlqj4b"/>
    <w:rsid w:val="00A22715"/>
  </w:style>
  <w:style w:type="character" w:customStyle="1" w:styleId="UnresolvedMention5">
    <w:name w:val="Unresolved Mention5"/>
    <w:uiPriority w:val="99"/>
    <w:semiHidden/>
    <w:rsid w:val="00A22715"/>
    <w:rPr>
      <w:color w:val="605E5C"/>
      <w:shd w:val="clear" w:color="auto" w:fill="E1DFDD"/>
    </w:rPr>
  </w:style>
  <w:style w:type="character" w:customStyle="1" w:styleId="w8qarf">
    <w:name w:val="w8qarf"/>
    <w:rsid w:val="00A22715"/>
  </w:style>
  <w:style w:type="character" w:customStyle="1" w:styleId="lrzxr">
    <w:name w:val="lrzxr"/>
    <w:rsid w:val="00A22715"/>
  </w:style>
  <w:style w:type="character" w:customStyle="1" w:styleId="nd-word">
    <w:name w:val="nd-word"/>
    <w:rsid w:val="00A22715"/>
  </w:style>
  <w:style w:type="character" w:customStyle="1" w:styleId="ls33">
    <w:name w:val="ls33"/>
    <w:rsid w:val="00A22715"/>
  </w:style>
  <w:style w:type="character" w:customStyle="1" w:styleId="ls64">
    <w:name w:val="ls64"/>
    <w:rsid w:val="00A22715"/>
  </w:style>
  <w:style w:type="character" w:customStyle="1" w:styleId="iconlinktext">
    <w:name w:val="iconlinktext"/>
    <w:rsid w:val="00A22715"/>
  </w:style>
  <w:style w:type="character" w:customStyle="1" w:styleId="detailwholabel">
    <w:name w:val="detailwholabel"/>
    <w:rsid w:val="00A22715"/>
  </w:style>
  <w:style w:type="character" w:customStyle="1" w:styleId="authors-text">
    <w:name w:val="authors-text"/>
    <w:rsid w:val="00A22715"/>
  </w:style>
  <w:style w:type="character" w:customStyle="1" w:styleId="highwire-cite-metadata-volume">
    <w:name w:val="highwire-cite-metadata-volume"/>
    <w:rsid w:val="00A22715"/>
  </w:style>
  <w:style w:type="character" w:customStyle="1" w:styleId="highwire-cite-metadata-pages">
    <w:name w:val="highwire-cite-metadata-pages"/>
    <w:rsid w:val="00A22715"/>
  </w:style>
  <w:style w:type="character" w:customStyle="1" w:styleId="author-sup-separator">
    <w:name w:val="author-sup-separator"/>
    <w:rsid w:val="00A22715"/>
  </w:style>
  <w:style w:type="character" w:customStyle="1" w:styleId="comma">
    <w:name w:val="comma"/>
    <w:rsid w:val="00A22715"/>
  </w:style>
  <w:style w:type="table" w:styleId="TableClassic1">
    <w:name w:val="Table Classic 1"/>
    <w:basedOn w:val="TableNormal"/>
    <w:uiPriority w:val="99"/>
    <w:semiHidden/>
    <w:unhideWhenUsed/>
    <w:rsid w:val="00A22715"/>
    <w:pPr>
      <w:spacing w:after="0" w:line="240" w:lineRule="auto"/>
    </w:pPr>
    <w:rPr>
      <w:rFonts w:eastAsia="Calibri"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22715"/>
    <w:pPr>
      <w:spacing w:after="0" w:line="240" w:lineRule="auto"/>
    </w:pPr>
    <w:rPr>
      <w:rFonts w:eastAsia="Malgun Gothic"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lastCol">
      <w:tblPr/>
      <w:tcPr>
        <w:tcBorders>
          <w:top w:val="single" w:sz="4" w:space="0" w:color="auto"/>
          <w:left w:val="nil"/>
          <w:bottom w:val="single" w:sz="4" w:space="0" w:color="auto"/>
          <w:right w:val="nil"/>
          <w:insideH w:val="nil"/>
          <w:insideV w:val="nil"/>
          <w:tl2br w:val="nil"/>
          <w:tr2bl w:val="nil"/>
        </w:tcBorders>
      </w:tcPr>
    </w:tblStylePr>
    <w:tblStylePr w:type="swCell">
      <w:rPr>
        <w:i/>
        <w:iCs/>
        <w:color w:val="000080"/>
      </w:rPr>
      <w:tblPr/>
      <w:tcPr>
        <w:tcBorders>
          <w:tl2br w:val="none" w:sz="0" w:space="0" w:color="auto"/>
          <w:tr2bl w:val="none" w:sz="0" w:space="0" w:color="auto"/>
        </w:tcBorders>
      </w:tcPr>
    </w:tblStylePr>
  </w:style>
  <w:style w:type="table" w:styleId="TableGrid">
    <w:name w:val="Table Grid"/>
    <w:basedOn w:val="TableNormal"/>
    <w:uiPriority w:val="59"/>
    <w:rsid w:val="00A22715"/>
    <w:pPr>
      <w:spacing w:after="0" w:line="240" w:lineRule="auto"/>
    </w:pPr>
    <w:rPr>
      <w:rFonts w:eastAsia="Malgun Gothic"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22715"/>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22715"/>
    <w:pPr>
      <w:spacing w:after="0" w:line="240" w:lineRule="auto"/>
    </w:pPr>
    <w:rPr>
      <w:rFonts w:ascii="Calibri" w:eastAsia="Malgun Gothic" w:hAnsi="Calibri" w:cs="Times New Roman"/>
      <w:color w:val="365F91"/>
      <w:sz w:val="20"/>
      <w:szCs w:val="20"/>
      <w:lang w:eastAsia="ja-JP"/>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sid w:val="00A22715"/>
    <w:pPr>
      <w:spacing w:after="0" w:line="240" w:lineRule="auto"/>
    </w:pPr>
    <w:rPr>
      <w:rFonts w:ascii="Arial" w:eastAsia="Arial" w:hAnsi="Arial"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5">
    <w:name w:val="Medium Grid 3 Accent 5"/>
    <w:basedOn w:val="TableNormal"/>
    <w:uiPriority w:val="69"/>
    <w:rsid w:val="00A22715"/>
    <w:pPr>
      <w:spacing w:after="0" w:line="240" w:lineRule="auto"/>
    </w:pPr>
    <w:rPr>
      <w:rFonts w:ascii="Calibri" w:eastAsia="Malgun Gothic" w:hAnsi="Calibri"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
    <w:name w:val="Table Grid1"/>
    <w:basedOn w:val="TableNormal"/>
    <w:rsid w:val="00A22715"/>
    <w:pPr>
      <w:spacing w:after="0" w:line="240" w:lineRule="auto"/>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0">
    <w:name w:val="Style1"/>
    <w:basedOn w:val="TableNormal"/>
    <w:uiPriority w:val="99"/>
    <w:rsid w:val="00A22715"/>
    <w:pPr>
      <w:spacing w:before="60" w:after="60" w:line="360" w:lineRule="auto"/>
    </w:pPr>
    <w:rPr>
      <w:rFonts w:eastAsia="Malgun Gothic" w:cs="Times New Roman"/>
      <w:sz w:val="26"/>
      <w:szCs w:val="20"/>
    </w:rPr>
    <w:tblPr>
      <w:tblBorders>
        <w:top w:val="single" w:sz="4" w:space="0" w:color="auto"/>
        <w:bottom w:val="single" w:sz="4" w:space="0" w:color="auto"/>
      </w:tblBorders>
    </w:tblPr>
    <w:tblStylePr w:type="firstRow">
      <w:pPr>
        <w:wordWrap/>
        <w:spacing w:beforeLines="0" w:before="100" w:beforeAutospacing="1" w:afterLines="0" w:after="100" w:afterAutospacing="1" w:line="276" w:lineRule="auto"/>
        <w:jc w:val="left"/>
      </w:pPr>
      <w:rPr>
        <w:b/>
      </w:rPr>
      <w:tblPr/>
      <w:tcPr>
        <w:tcBorders>
          <w:bottom w:val="single" w:sz="4" w:space="0" w:color="auto"/>
        </w:tcBorders>
      </w:tcPr>
    </w:tblStylePr>
  </w:style>
  <w:style w:type="table" w:customStyle="1" w:styleId="TableGrid11">
    <w:name w:val="Table Grid11"/>
    <w:basedOn w:val="TableNormal"/>
    <w:uiPriority w:val="59"/>
    <w:rsid w:val="00A22715"/>
    <w:pPr>
      <w:spacing w:before="120" w:after="0" w:line="240" w:lineRule="auto"/>
    </w:pPr>
    <w:rPr>
      <w:rFonts w:eastAsia="Calibri" w:cs="Times New Roman"/>
      <w:sz w:val="26"/>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sid w:val="00A22715"/>
    <w:pPr>
      <w:spacing w:after="0" w:line="240" w:lineRule="auto"/>
    </w:pPr>
    <w:rPr>
      <w:rFonts w:ascii="Calibri" w:eastAsia="Malgun Gothic" w:hAnsi="Calibri"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22715"/>
    <w:pPr>
      <w:spacing w:after="0" w:line="240" w:lineRule="auto"/>
    </w:pPr>
    <w:rPr>
      <w:rFonts w:ascii="Calibri" w:eastAsia="Malgun Gothic" w:hAnsi="Calibri"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A22715"/>
    <w:pPr>
      <w:spacing w:after="0" w:line="240" w:lineRule="auto"/>
    </w:pPr>
    <w:rPr>
      <w:rFonts w:ascii="Calibri" w:eastAsia="Malgun Gothic" w:hAnsi="Calibri" w:cs="Times New Roman"/>
      <w:sz w:val="20"/>
      <w:szCs w:val="20"/>
      <w:lang w:eastAsia="ja-JP"/>
    </w:rPr>
    <w:tblPr>
      <w:tblStyleRowBandSize w:val="1"/>
      <w:tblStyleColBandSize w:val="1"/>
    </w:tblPr>
    <w:tblStylePr w:type="firstRow">
      <w:pPr>
        <w:wordWrap/>
        <w:spacing w:beforeLines="0" w:before="100" w:beforeAutospacing="1" w:afterLines="0" w:after="100" w:afterAutospacing="1" w:line="240" w:lineRule="auto"/>
      </w:pPr>
      <w:rPr>
        <w:rFonts w:ascii="@PMingLiU" w:eastAsia="@PMingLiU" w:hAnsi="@PMingLiU" w:hint="eastAsia"/>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PlainTable21">
    <w:name w:val="Plain Table 21"/>
    <w:basedOn w:val="TableNormal"/>
    <w:uiPriority w:val="42"/>
    <w:rsid w:val="00A22715"/>
    <w:pPr>
      <w:spacing w:after="0" w:line="240" w:lineRule="auto"/>
    </w:pPr>
    <w:rPr>
      <w:rFonts w:ascii="Calibri" w:eastAsia="Malgun Gothic" w:hAnsi="Calibri" w:cs="Times New Roman"/>
      <w:sz w:val="20"/>
      <w:szCs w:val="20"/>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51">
    <w:name w:val="Grid Table 5 Dark - Accent 51"/>
    <w:basedOn w:val="TableNormal"/>
    <w:uiPriority w:val="50"/>
    <w:rsid w:val="00A22715"/>
    <w:pPr>
      <w:spacing w:after="0" w:line="240" w:lineRule="auto"/>
    </w:pPr>
    <w:rPr>
      <w:rFonts w:ascii="Calibri" w:eastAsia="Malgun Gothic" w:hAnsi="Calibri" w:cs="Times New Roman"/>
      <w:sz w:val="20"/>
      <w:szCs w:val="20"/>
      <w:lang w:eastAsia="ko-K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Light1">
    <w:name w:val="Table Grid Light1"/>
    <w:basedOn w:val="TableNormal"/>
    <w:uiPriority w:val="40"/>
    <w:rsid w:val="00A22715"/>
    <w:pPr>
      <w:spacing w:after="0" w:line="240" w:lineRule="auto"/>
    </w:pPr>
    <w:rPr>
      <w:rFonts w:ascii="Calibri" w:eastAsia="Malgun Gothic" w:hAnsi="Calibri" w:cs="Times New Roman"/>
      <w:sz w:val="20"/>
      <w:szCs w:val="20"/>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4">
    <w:name w:val="Plain Table 214"/>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
    <w:name w:val="Table Grid4"/>
    <w:basedOn w:val="TableNormal"/>
    <w:uiPriority w:val="59"/>
    <w:rsid w:val="00A2271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2271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2271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9">
    <w:name w:val="Plain Table 29"/>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0"/>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
    <w:name w:val="Table Grid7"/>
    <w:basedOn w:val="TableNormal"/>
    <w:uiPriority w:val="59"/>
    <w:rsid w:val="00A2271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uiPriority w:val="60"/>
    <w:rsid w:val="00A22715"/>
    <w:pPr>
      <w:spacing w:after="0" w:line="240" w:lineRule="auto"/>
    </w:pPr>
    <w:rPr>
      <w:rFonts w:ascii="Cambria" w:eastAsia="Cambria" w:hAnsi="Cambria"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uiPriority w:val="60"/>
    <w:rsid w:val="00A22715"/>
    <w:pPr>
      <w:spacing w:after="0" w:line="240" w:lineRule="auto"/>
    </w:pPr>
    <w:rPr>
      <w:rFonts w:ascii="Cambria" w:eastAsia="Cambria" w:hAnsi="Cambria"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8">
    <w:name w:val="Table Grid8"/>
    <w:basedOn w:val="TableNormal"/>
    <w:uiPriority w:val="39"/>
    <w:rsid w:val="00A2271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212">
    <w:name w:val="Plain Table 212"/>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TableNormal"/>
    <w:uiPriority w:val="44"/>
    <w:rsid w:val="00A22715"/>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uiPriority w:val="41"/>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uiPriority w:val="40"/>
    <w:rsid w:val="00A22715"/>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2">
    <w:name w:val="List Table 3 - Accent 12"/>
    <w:basedOn w:val="TableNormal"/>
    <w:uiPriority w:val="48"/>
    <w:rsid w:val="00A22715"/>
    <w:pPr>
      <w:spacing w:after="0" w:line="240" w:lineRule="auto"/>
    </w:pPr>
    <w:rPr>
      <w:rFonts w:eastAsia="Malgun Gothic" w:cs="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PlainTable42">
    <w:name w:val="Plain Table 42"/>
    <w:basedOn w:val="TableNormal"/>
    <w:uiPriority w:val="44"/>
    <w:rsid w:val="00A22715"/>
    <w:pPr>
      <w:spacing w:after="0" w:line="240" w:lineRule="auto"/>
    </w:pPr>
    <w:rPr>
      <w:rFonts w:eastAsia="Malgun Gothic"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uiPriority w:val="41"/>
    <w:rsid w:val="00A22715"/>
    <w:pPr>
      <w:spacing w:after="0" w:line="240" w:lineRule="auto"/>
    </w:pPr>
    <w:rPr>
      <w:rFonts w:eastAsia="Malgun Gothic"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9">
    <w:name w:val="Table Grid9"/>
    <w:basedOn w:val="TableNormal"/>
    <w:uiPriority w:val="39"/>
    <w:rsid w:val="00A2271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1">
    <w:name w:val="List Table 3 - Accent 121"/>
    <w:basedOn w:val="TableNormal"/>
    <w:uiPriority w:val="48"/>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213">
    <w:name w:val="Plain Table 213"/>
    <w:basedOn w:val="TableNormal"/>
    <w:uiPriority w:val="42"/>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21">
    <w:name w:val="Plain Table 421"/>
    <w:basedOn w:val="TableNormal"/>
    <w:uiPriority w:val="44"/>
    <w:rsid w:val="00A22715"/>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
    <w:name w:val="Plain Table 121"/>
    <w:basedOn w:val="TableNormal"/>
    <w:uiPriority w:val="41"/>
    <w:rsid w:val="00A22715"/>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rsid w:val="00A22715"/>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2">
    <w:name w:val="Style2"/>
    <w:basedOn w:val="TableNormal"/>
    <w:uiPriority w:val="99"/>
    <w:rsid w:val="00A22715"/>
    <w:pPr>
      <w:spacing w:after="0" w:line="240" w:lineRule="auto"/>
    </w:pPr>
    <w:rPr>
      <w:rFonts w:eastAsia="Malgun Gothic"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ecial">
    <w:name w:val="Special"/>
    <w:basedOn w:val="TableClassic1"/>
    <w:uiPriority w:val="99"/>
    <w:qFormat/>
    <w:rsid w:val="00A22715"/>
    <w:pPr>
      <w:spacing w:before="120" w:line="360" w:lineRule="auto"/>
    </w:pPr>
    <w:rPr>
      <w:rFonts w:ascii="Arial" w:eastAsia="Times New Roman" w:hAnsi="Arial"/>
      <w:lang w:val="en-GB" w:eastAsia="en-GB"/>
    </w:rPr>
    <w:tblPr/>
    <w:tcPr>
      <w:vAlign w:val="center"/>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Light3">
    <w:name w:val="Table Grid Light3"/>
    <w:basedOn w:val="TableNormal"/>
    <w:uiPriority w:val="40"/>
    <w:rsid w:val="00A22715"/>
    <w:pPr>
      <w:spacing w:after="0" w:line="240" w:lineRule="auto"/>
    </w:pPr>
    <w:rPr>
      <w:rFonts w:eastAsia="Calibri" w:cs="Times New Roman"/>
      <w:sz w:val="20"/>
      <w:szCs w:val="20"/>
      <w:lang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
    <w:name w:val="Light Shading - Accent 11"/>
    <w:basedOn w:val="TableNormal"/>
    <w:uiPriority w:val="60"/>
    <w:rsid w:val="00A22715"/>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A22715"/>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uiPriority w:val="60"/>
    <w:rsid w:val="00A22715"/>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TableNormal"/>
    <w:uiPriority w:val="60"/>
    <w:rsid w:val="00A22715"/>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5">
    <w:name w:val="Light Shading - Accent 15"/>
    <w:basedOn w:val="TableNormal"/>
    <w:uiPriority w:val="60"/>
    <w:rsid w:val="00A22715"/>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15">
    <w:name w:val="Plain Table 215"/>
    <w:basedOn w:val="TableNormal"/>
    <w:uiPriority w:val="42"/>
    <w:rsid w:val="00A22715"/>
    <w:pPr>
      <w:spacing w:after="0" w:line="240" w:lineRule="auto"/>
    </w:pPr>
    <w:rPr>
      <w:rFonts w:ascii="Calibri" w:eastAsia="Calibri" w:hAnsi="Calibri" w:cs="Times New Roman"/>
      <w:sz w:val="20"/>
      <w:szCs w:val="20"/>
      <w:lang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3">
    <w:name w:val="Plain Table 43"/>
    <w:basedOn w:val="TableNormal"/>
    <w:uiPriority w:val="44"/>
    <w:rsid w:val="00A22715"/>
    <w:pPr>
      <w:spacing w:after="0" w:line="240" w:lineRule="auto"/>
    </w:pPr>
    <w:rPr>
      <w:rFonts w:ascii="Calibri" w:eastAsia="Calibri" w:hAnsi="Calibri" w:cs="Times New Roman"/>
      <w:sz w:val="20"/>
      <w:szCs w:val="20"/>
      <w:lang w:eastAsia="vi-V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
    <w:name w:val="Table Grid12"/>
    <w:basedOn w:val="TableNormal"/>
    <w:uiPriority w:val="59"/>
    <w:rsid w:val="00A22715"/>
    <w:pPr>
      <w:spacing w:before="120" w:after="120" w:line="360" w:lineRule="auto"/>
      <w:jc w:val="both"/>
    </w:pPr>
    <w:rPr>
      <w:rFonts w:eastAsia="Calibri" w:cs="Times New Roman"/>
      <w:sz w:val="26"/>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A22715"/>
    <w:pPr>
      <w:spacing w:before="120" w:after="120" w:line="360" w:lineRule="auto"/>
      <w:jc w:val="both"/>
    </w:pPr>
    <w:rPr>
      <w:rFonts w:eastAsia="Calibri" w:cs="Times New Roman"/>
      <w:sz w:val="26"/>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uiPriority w:val="41"/>
    <w:rsid w:val="00A22715"/>
    <w:pPr>
      <w:spacing w:after="0" w:line="240" w:lineRule="auto"/>
    </w:pPr>
    <w:rPr>
      <w:rFonts w:ascii="Calibri" w:eastAsia="Calibri" w:hAnsi="Calibri" w:cs="Times New Roman"/>
      <w:sz w:val="20"/>
      <w:szCs w:val="20"/>
      <w:lang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
    <w:name w:val="Grid Table 1 Light1"/>
    <w:basedOn w:val="TableNormal"/>
    <w:uiPriority w:val="46"/>
    <w:rsid w:val="00A22715"/>
    <w:pPr>
      <w:spacing w:after="0" w:line="240" w:lineRule="auto"/>
    </w:pPr>
    <w:rPr>
      <w:rFonts w:ascii="Calibri" w:eastAsia="Calibri" w:hAnsi="Calibri" w:cs="Times New Roman"/>
      <w:sz w:val="20"/>
      <w:szCs w:val="20"/>
      <w:lang w:eastAsia="vi-V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0">
    <w:name w:val="Grid Table 1 Light1"/>
    <w:basedOn w:val="TableNormal"/>
    <w:uiPriority w:val="46"/>
    <w:rsid w:val="00A22715"/>
    <w:pPr>
      <w:spacing w:after="0" w:line="240" w:lineRule="auto"/>
    </w:pPr>
    <w:rPr>
      <w:rFonts w:ascii="Calibri" w:eastAsia="Calibri" w:hAnsi="Calibri" w:cs="Times New Roman"/>
      <w:sz w:val="20"/>
      <w:szCs w:val="20"/>
      <w:lang w:eastAsia="vi-V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tyleBulleted1">
    <w:name w:val="Style Bulleted1"/>
    <w:rsid w:val="00A22715"/>
    <w:pPr>
      <w:numPr>
        <w:numId w:val="15"/>
      </w:numPr>
    </w:pPr>
  </w:style>
  <w:style w:type="numbering" w:customStyle="1" w:styleId="StyleBulleted">
    <w:name w:val="Style Bulleted"/>
    <w:rsid w:val="00A22715"/>
    <w:pPr>
      <w:numPr>
        <w:numId w:val="16"/>
      </w:numPr>
    </w:pPr>
  </w:style>
  <w:style w:type="character" w:styleId="Strong">
    <w:name w:val="Strong"/>
    <w:basedOn w:val="DefaultParagraphFont"/>
    <w:uiPriority w:val="22"/>
    <w:qFormat/>
    <w:rsid w:val="00D81219"/>
    <w:rPr>
      <w:b/>
      <w:bCs/>
    </w:rPr>
  </w:style>
  <w:style w:type="character" w:styleId="PageNumber">
    <w:name w:val="page number"/>
    <w:basedOn w:val="DefaultParagraphFont"/>
    <w:unhideWhenUsed/>
    <w:rsid w:val="005F18C3"/>
  </w:style>
  <w:style w:type="numbering" w:customStyle="1" w:styleId="NoList1">
    <w:name w:val="No List1"/>
    <w:next w:val="NoList"/>
    <w:uiPriority w:val="99"/>
    <w:semiHidden/>
    <w:unhideWhenUsed/>
    <w:rsid w:val="00E049CB"/>
  </w:style>
  <w:style w:type="table" w:customStyle="1" w:styleId="TableGrid10">
    <w:name w:val="Table Grid10"/>
    <w:basedOn w:val="TableNormal"/>
    <w:next w:val="TableGrid"/>
    <w:uiPriority w:val="39"/>
    <w:qFormat/>
    <w:rsid w:val="00E049CB"/>
    <w:pPr>
      <w:spacing w:after="0" w:line="240" w:lineRule="auto"/>
    </w:pPr>
    <w:rPr>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049CB"/>
    <w:pPr>
      <w:widowControl/>
      <w:spacing w:before="100" w:beforeAutospacing="1" w:after="100" w:afterAutospacing="1"/>
    </w:pPr>
    <w:rPr>
      <w:rFonts w:eastAsia="Times New Roman"/>
    </w:rPr>
  </w:style>
  <w:style w:type="paragraph" w:customStyle="1" w:styleId="xl63">
    <w:name w:val="xl63"/>
    <w:basedOn w:val="Normal"/>
    <w:rsid w:val="00E049C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rPr>
  </w:style>
  <w:style w:type="paragraph" w:customStyle="1" w:styleId="xl64">
    <w:name w:val="xl64"/>
    <w:basedOn w:val="Normal"/>
    <w:rsid w:val="00E049C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rPr>
  </w:style>
  <w:style w:type="paragraph" w:customStyle="1" w:styleId="modauctri5">
    <w:name w:val="mo dau ctri 5"/>
    <w:basedOn w:val="Normal"/>
    <w:autoRedefine/>
    <w:qFormat/>
    <w:rsid w:val="00E049CB"/>
    <w:pPr>
      <w:widowControl/>
      <w:spacing w:after="200"/>
      <w:jc w:val="both"/>
    </w:pPr>
    <w:rPr>
      <w:rFonts w:eastAsia="Times New Roman"/>
      <w:b/>
      <w:bCs/>
    </w:rPr>
  </w:style>
  <w:style w:type="table" w:customStyle="1" w:styleId="TableGrid14">
    <w:name w:val="Table Grid14"/>
    <w:basedOn w:val="TableNormal"/>
    <w:next w:val="TableGrid"/>
    <w:uiPriority w:val="39"/>
    <w:rsid w:val="00E049C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rsid w:val="00E049CB"/>
    <w:rPr>
      <w:rFonts w:ascii="Times New Roman" w:eastAsia="MS Gothic" w:hAnsi="Times New Roman" w:cs="Times New Roman"/>
      <w:b/>
      <w:bCs/>
      <w:color w:val="000000"/>
      <w:kern w:val="0"/>
      <w:sz w:val="26"/>
      <w:szCs w:val="26"/>
      <w:lang w:eastAsia="ja-JP"/>
      <w14:ligatures w14:val="none"/>
    </w:rPr>
  </w:style>
  <w:style w:type="paragraph" w:customStyle="1" w:styleId="Style3">
    <w:name w:val="Style3"/>
    <w:basedOn w:val="Heading3"/>
    <w:link w:val="Style3Char"/>
    <w:rsid w:val="00E049CB"/>
    <w:pPr>
      <w:keepNext/>
      <w:keepLines/>
      <w:widowControl/>
      <w:numPr>
        <w:ilvl w:val="0"/>
        <w:numId w:val="0"/>
      </w:numPr>
      <w:spacing w:before="120" w:beforeAutospacing="0" w:after="0" w:afterAutospacing="0" w:line="360" w:lineRule="auto"/>
      <w:ind w:firstLine="720"/>
      <w:jc w:val="both"/>
    </w:pPr>
    <w:rPr>
      <w:rFonts w:eastAsia="MS Gothic"/>
      <w:i/>
      <w:color w:val="000000"/>
      <w:sz w:val="26"/>
      <w:szCs w:val="26"/>
      <w:lang w:val="en-US"/>
    </w:rPr>
  </w:style>
  <w:style w:type="character" w:customStyle="1" w:styleId="Style3Char">
    <w:name w:val="Style3 Char"/>
    <w:link w:val="Style3"/>
    <w:rsid w:val="00E049CB"/>
    <w:rPr>
      <w:rFonts w:eastAsia="MS Gothic" w:cs="Times New Roman"/>
      <w:b/>
      <w:bCs/>
      <w:i/>
      <w:color w:val="000000"/>
      <w:sz w:val="26"/>
      <w:szCs w:val="26"/>
      <w:lang w:val="en-US" w:eastAsia="ja-JP"/>
    </w:rPr>
  </w:style>
  <w:style w:type="table" w:customStyle="1" w:styleId="TableGrid111">
    <w:name w:val="Table Grid111"/>
    <w:basedOn w:val="TableNormal"/>
    <w:next w:val="TableGrid"/>
    <w:uiPriority w:val="59"/>
    <w:rsid w:val="00E049CB"/>
    <w:pPr>
      <w:spacing w:after="0" w:line="240" w:lineRule="auto"/>
    </w:pPr>
    <w:rPr>
      <w:rFonts w:ascii="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7"/>
    <w:basedOn w:val="Normal"/>
    <w:qFormat/>
    <w:rsid w:val="00E049CB"/>
    <w:pPr>
      <w:widowControl/>
      <w:spacing w:before="120" w:line="360" w:lineRule="auto"/>
      <w:jc w:val="center"/>
    </w:pPr>
    <w:rPr>
      <w:rFonts w:eastAsia="Times New Roman"/>
      <w:sz w:val="28"/>
      <w:szCs w:val="28"/>
      <w:lang w:val="pt-BR"/>
    </w:rPr>
  </w:style>
  <w:style w:type="character" w:customStyle="1" w:styleId="headkoline">
    <w:name w:val="head_ko_line"/>
    <w:basedOn w:val="DefaultParagraphFont"/>
    <w:rsid w:val="00E049CB"/>
  </w:style>
  <w:style w:type="table" w:customStyle="1" w:styleId="TableGrid21">
    <w:name w:val="Table Grid21"/>
    <w:basedOn w:val="TableNormal"/>
    <w:next w:val="TableGrid"/>
    <w:uiPriority w:val="39"/>
    <w:rsid w:val="00E049CB"/>
    <w:pPr>
      <w:spacing w:after="0" w:line="240" w:lineRule="auto"/>
    </w:pPr>
    <w:rPr>
      <w:rFonts w:eastAsia="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E049CB"/>
  </w:style>
  <w:style w:type="character" w:customStyle="1" w:styleId="y2iqfc">
    <w:name w:val="y2iqfc"/>
    <w:basedOn w:val="DefaultParagraphFont"/>
    <w:rsid w:val="00E049CB"/>
  </w:style>
  <w:style w:type="paragraph" w:customStyle="1" w:styleId="ds-markdown-paragraph">
    <w:name w:val="ds-markdown-paragraph"/>
    <w:basedOn w:val="Normal"/>
    <w:rsid w:val="00E049CB"/>
    <w:pPr>
      <w:widowControl/>
      <w:spacing w:before="100" w:beforeAutospacing="1" w:after="100" w:afterAutospacing="1"/>
    </w:pPr>
    <w:rPr>
      <w:rFonts w:eastAsia="Times New Roman"/>
    </w:rPr>
  </w:style>
  <w:style w:type="paragraph" w:customStyle="1" w:styleId="Heading">
    <w:name w:val="Heading"/>
    <w:basedOn w:val="Normal"/>
    <w:next w:val="BodyText"/>
    <w:qFormat/>
    <w:rsid w:val="00E049CB"/>
    <w:pPr>
      <w:keepNext/>
      <w:widowControl/>
      <w:suppressAutoHyphens/>
      <w:spacing w:before="240" w:after="120" w:line="276" w:lineRule="auto"/>
    </w:pPr>
    <w:rPr>
      <w:rFonts w:ascii="Liberation Sans" w:eastAsia="Noto Sans CJK SC" w:hAnsi="Liberation Sans" w:cs="Lohit Devanagari"/>
      <w:sz w:val="28"/>
      <w:szCs w:val="28"/>
      <w:lang w:val="vi-VN"/>
    </w:rPr>
  </w:style>
  <w:style w:type="paragraph" w:customStyle="1" w:styleId="Index">
    <w:name w:val="Index"/>
    <w:basedOn w:val="Normal"/>
    <w:qFormat/>
    <w:rsid w:val="00E049CB"/>
    <w:pPr>
      <w:widowControl/>
      <w:suppressLineNumbers/>
      <w:suppressAutoHyphens/>
      <w:spacing w:after="200" w:line="276" w:lineRule="auto"/>
    </w:pPr>
    <w:rPr>
      <w:rFonts w:ascii="Calibri" w:eastAsia="Calibri" w:hAnsi="Calibri" w:cs="Lohit Devanagari"/>
      <w:sz w:val="22"/>
      <w:szCs w:val="22"/>
      <w:lang w:val="vi-VN"/>
    </w:rPr>
  </w:style>
  <w:style w:type="paragraph" w:customStyle="1" w:styleId="HeaderandFooter">
    <w:name w:val="Header and Footer"/>
    <w:basedOn w:val="Normal"/>
    <w:qFormat/>
    <w:rsid w:val="00E049CB"/>
    <w:pPr>
      <w:widowControl/>
      <w:suppressAutoHyphens/>
      <w:spacing w:after="200" w:line="276" w:lineRule="auto"/>
    </w:pPr>
    <w:rPr>
      <w:rFonts w:ascii="Calibri" w:eastAsia="Calibri" w:hAnsi="Calibri"/>
      <w:sz w:val="22"/>
      <w:szCs w:val="22"/>
      <w:lang w:val="vi-VN"/>
    </w:rPr>
  </w:style>
  <w:style w:type="character" w:customStyle="1" w:styleId="BodyText3Char1">
    <w:name w:val="Body Text 3 Char1"/>
    <w:basedOn w:val="DefaultParagraphFont"/>
    <w:uiPriority w:val="99"/>
    <w:semiHidden/>
    <w:rsid w:val="00E049CB"/>
    <w:rPr>
      <w:sz w:val="16"/>
      <w:szCs w:val="16"/>
      <w:lang w:val="vi-VN"/>
    </w:rPr>
  </w:style>
  <w:style w:type="table" w:customStyle="1" w:styleId="TableGrid41">
    <w:name w:val="Table Grid41"/>
    <w:basedOn w:val="TableNormal"/>
    <w:uiPriority w:val="39"/>
    <w:rsid w:val="00E049CB"/>
    <w:pPr>
      <w:suppressAutoHyphens/>
      <w:spacing w:after="0" w:line="240" w:lineRule="auto"/>
    </w:pPr>
    <w:rPr>
      <w:rFonts w:ascii="Calibri" w:hAnsi="Calibri"/>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uiPriority w:val="39"/>
    <w:rsid w:val="00E049CB"/>
    <w:pPr>
      <w:suppressAutoHyphens/>
      <w:spacing w:after="0" w:line="240" w:lineRule="auto"/>
    </w:pPr>
    <w:rPr>
      <w:rFonts w:ascii="Calibri" w:hAnsi="Calibri"/>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uiPriority w:val="59"/>
    <w:rsid w:val="00E049CB"/>
    <w:pPr>
      <w:suppressAutoHyphens/>
      <w:spacing w:after="0" w:line="240" w:lineRule="auto"/>
    </w:pPr>
    <w:rPr>
      <w:rFonts w:ascii="Calibri" w:hAnsi="Calibri"/>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2">
    <w:name w:val="Table Grid Light12"/>
    <w:basedOn w:val="TableNormal"/>
    <w:uiPriority w:val="40"/>
    <w:rsid w:val="00E049CB"/>
    <w:pPr>
      <w:suppressAutoHyphens/>
      <w:spacing w:after="0" w:line="240" w:lineRule="auto"/>
    </w:pPr>
    <w:rPr>
      <w:rFonts w:ascii="Calibri" w:hAnsi="Calibri"/>
      <w:sz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6">
    <w:name w:val="Plain Table 216"/>
    <w:basedOn w:val="TableNormal"/>
    <w:uiPriority w:val="42"/>
    <w:qFormat/>
    <w:rsid w:val="00E049CB"/>
    <w:pPr>
      <w:spacing w:after="0" w:line="240" w:lineRule="auto"/>
    </w:pPr>
    <w:rPr>
      <w:rFonts w:eastAsia="SimSun" w:cs="Times New Roman"/>
      <w:sz w:val="20"/>
      <w:szCs w:val="20"/>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g-star-inserted">
    <w:name w:val="ng-star-inserted"/>
    <w:basedOn w:val="DefaultParagraphFont"/>
    <w:qFormat/>
    <w:rsid w:val="00E049CB"/>
  </w:style>
  <w:style w:type="character" w:customStyle="1" w:styleId="html-italic">
    <w:name w:val="html-italic"/>
    <w:basedOn w:val="DefaultParagraphFont"/>
    <w:rsid w:val="00E049CB"/>
  </w:style>
  <w:style w:type="character" w:customStyle="1" w:styleId="fadein4f9by7">
    <w:name w:val="_fadein_4f9by_7"/>
    <w:basedOn w:val="DefaultParagraphFont"/>
    <w:rsid w:val="00E049CB"/>
  </w:style>
  <w:style w:type="paragraph" w:customStyle="1" w:styleId="C4">
    <w:name w:val="C4"/>
    <w:autoRedefine/>
    <w:qFormat/>
    <w:rsid w:val="00E049CB"/>
    <w:pPr>
      <w:spacing w:after="120" w:line="360" w:lineRule="auto"/>
      <w:jc w:val="both"/>
      <w:outlineLvl w:val="3"/>
    </w:pPr>
    <w:rPr>
      <w:rFonts w:eastAsia="CenturySchoolbook-Italic" w:cs="Times New Roman"/>
      <w:bCs/>
      <w:iCs/>
      <w:noProof/>
      <w:sz w:val="24"/>
      <w:szCs w:val="24"/>
      <w:shd w:val="clear" w:color="auto" w:fill="FFFFFF"/>
    </w:rPr>
  </w:style>
  <w:style w:type="character" w:customStyle="1" w:styleId="fontstyle41">
    <w:name w:val="fontstyle41"/>
    <w:basedOn w:val="DefaultParagraphFont"/>
    <w:rsid w:val="00E049CB"/>
    <w:rPr>
      <w:rFonts w:ascii="MathPackFive" w:hAnsi="MathPackFive" w:hint="default"/>
      <w:b w:val="0"/>
      <w:bCs w:val="0"/>
      <w:i w:val="0"/>
      <w:iCs w:val="0"/>
      <w:color w:val="000000"/>
      <w:sz w:val="26"/>
      <w:szCs w:val="26"/>
    </w:rPr>
  </w:style>
  <w:style w:type="table" w:customStyle="1" w:styleId="PlainTable221">
    <w:name w:val="Plain Table 221"/>
    <w:basedOn w:val="TableNormal"/>
    <w:uiPriority w:val="42"/>
    <w:rsid w:val="00E049CB"/>
    <w:pPr>
      <w:spacing w:before="120" w:after="0" w:line="240" w:lineRule="auto"/>
    </w:pPr>
    <w:rPr>
      <w:rFonts w:eastAsia="Times New Roman"/>
      <w:sz w:val="24"/>
      <w:lang w:val="en-US"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neNumber">
    <w:name w:val="line number"/>
    <w:basedOn w:val="DefaultParagraphFont"/>
    <w:uiPriority w:val="99"/>
    <w:semiHidden/>
    <w:unhideWhenUsed/>
    <w:rsid w:val="00E049CB"/>
  </w:style>
  <w:style w:type="character" w:customStyle="1" w:styleId="rx-element-authors">
    <w:name w:val="rx-element-authors"/>
    <w:rsid w:val="00E049CB"/>
  </w:style>
  <w:style w:type="character" w:customStyle="1" w:styleId="rx-element-literature">
    <w:name w:val="rx-element-literature"/>
    <w:rsid w:val="00E049CB"/>
  </w:style>
  <w:style w:type="character" w:customStyle="1" w:styleId="u-small-caps">
    <w:name w:val="u-small-caps"/>
    <w:rsid w:val="00E049CB"/>
  </w:style>
  <w:style w:type="character" w:styleId="HTMLCite">
    <w:name w:val="HTML Cite"/>
    <w:uiPriority w:val="99"/>
    <w:semiHidden/>
    <w:unhideWhenUsed/>
    <w:rsid w:val="00E049CB"/>
    <w:rPr>
      <w:i/>
      <w:iCs/>
    </w:rPr>
  </w:style>
  <w:style w:type="character" w:customStyle="1" w:styleId="m-rich-text">
    <w:name w:val="m-rich-text"/>
    <w:rsid w:val="00E049CB"/>
  </w:style>
  <w:style w:type="character" w:customStyle="1" w:styleId="UnresolvedMention6">
    <w:name w:val="Unresolved Mention6"/>
    <w:basedOn w:val="DefaultParagraphFont"/>
    <w:uiPriority w:val="99"/>
    <w:semiHidden/>
    <w:unhideWhenUsed/>
    <w:rsid w:val="00E049CB"/>
    <w:rPr>
      <w:color w:val="605E5C"/>
      <w:shd w:val="clear" w:color="auto" w:fill="E1DFDD"/>
    </w:rPr>
  </w:style>
  <w:style w:type="character" w:customStyle="1" w:styleId="hwtze">
    <w:name w:val="hwtze"/>
    <w:basedOn w:val="DefaultParagraphFont"/>
    <w:rsid w:val="00E049CB"/>
  </w:style>
  <w:style w:type="character" w:customStyle="1" w:styleId="katex-mathml">
    <w:name w:val="katex-mathml"/>
    <w:basedOn w:val="DefaultParagraphFont"/>
    <w:rsid w:val="00E049CB"/>
  </w:style>
  <w:style w:type="character" w:customStyle="1" w:styleId="mord">
    <w:name w:val="mord"/>
    <w:basedOn w:val="DefaultParagraphFont"/>
    <w:rsid w:val="00E049CB"/>
  </w:style>
  <w:style w:type="character" w:customStyle="1" w:styleId="vlist-s">
    <w:name w:val="vlist-s"/>
    <w:basedOn w:val="DefaultParagraphFont"/>
    <w:rsid w:val="00E049CB"/>
  </w:style>
  <w:style w:type="character" w:customStyle="1" w:styleId="mrel">
    <w:name w:val="mrel"/>
    <w:basedOn w:val="DefaultParagraphFont"/>
    <w:rsid w:val="00E049CB"/>
  </w:style>
  <w:style w:type="character" w:customStyle="1" w:styleId="mopen">
    <w:name w:val="mopen"/>
    <w:basedOn w:val="DefaultParagraphFont"/>
    <w:rsid w:val="00E049CB"/>
  </w:style>
  <w:style w:type="character" w:customStyle="1" w:styleId="mbin">
    <w:name w:val="mbin"/>
    <w:basedOn w:val="DefaultParagraphFont"/>
    <w:rsid w:val="00E049CB"/>
  </w:style>
  <w:style w:type="character" w:customStyle="1" w:styleId="mclose">
    <w:name w:val="mclose"/>
    <w:basedOn w:val="DefaultParagraphFont"/>
    <w:rsid w:val="00E049CB"/>
  </w:style>
  <w:style w:type="character" w:customStyle="1" w:styleId="mpunct">
    <w:name w:val="mpunct"/>
    <w:basedOn w:val="DefaultParagraphFont"/>
    <w:rsid w:val="00E049CB"/>
  </w:style>
  <w:style w:type="character" w:customStyle="1" w:styleId="bold">
    <w:name w:val="bold"/>
    <w:rsid w:val="00E049CB"/>
  </w:style>
  <w:style w:type="paragraph" w:customStyle="1" w:styleId="LHNG">
    <w:name w:val="LÊ HỒNG"/>
    <w:basedOn w:val="Normal"/>
    <w:next w:val="FootnoteText"/>
    <w:link w:val="LHNGChar"/>
    <w:qFormat/>
    <w:rsid w:val="00E049CB"/>
    <w:pPr>
      <w:spacing w:before="60" w:after="60" w:line="360" w:lineRule="auto"/>
      <w:ind w:firstLine="567"/>
      <w:contextualSpacing/>
      <w:jc w:val="both"/>
    </w:pPr>
    <w:rPr>
      <w:rFonts w:eastAsia="Calibri"/>
      <w:sz w:val="28"/>
      <w:szCs w:val="22"/>
    </w:rPr>
  </w:style>
  <w:style w:type="character" w:customStyle="1" w:styleId="LHNGChar">
    <w:name w:val="LÊ HỒNG Char"/>
    <w:basedOn w:val="DefaultParagraphFont"/>
    <w:link w:val="LHNG"/>
    <w:rsid w:val="00E049CB"/>
    <w:rPr>
      <w:rFonts w:eastAsia="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2845">
      <w:bodyDiv w:val="1"/>
      <w:marLeft w:val="0"/>
      <w:marRight w:val="0"/>
      <w:marTop w:val="0"/>
      <w:marBottom w:val="0"/>
      <w:divBdr>
        <w:top w:val="none" w:sz="0" w:space="0" w:color="auto"/>
        <w:left w:val="none" w:sz="0" w:space="0" w:color="auto"/>
        <w:bottom w:val="none" w:sz="0" w:space="0" w:color="auto"/>
        <w:right w:val="none" w:sz="0" w:space="0" w:color="auto"/>
      </w:divBdr>
    </w:div>
    <w:div w:id="46150984">
      <w:bodyDiv w:val="1"/>
      <w:marLeft w:val="0"/>
      <w:marRight w:val="0"/>
      <w:marTop w:val="0"/>
      <w:marBottom w:val="0"/>
      <w:divBdr>
        <w:top w:val="none" w:sz="0" w:space="0" w:color="auto"/>
        <w:left w:val="none" w:sz="0" w:space="0" w:color="auto"/>
        <w:bottom w:val="none" w:sz="0" w:space="0" w:color="auto"/>
        <w:right w:val="none" w:sz="0" w:space="0" w:color="auto"/>
      </w:divBdr>
    </w:div>
    <w:div w:id="53896046">
      <w:bodyDiv w:val="1"/>
      <w:marLeft w:val="0"/>
      <w:marRight w:val="0"/>
      <w:marTop w:val="0"/>
      <w:marBottom w:val="0"/>
      <w:divBdr>
        <w:top w:val="none" w:sz="0" w:space="0" w:color="auto"/>
        <w:left w:val="none" w:sz="0" w:space="0" w:color="auto"/>
        <w:bottom w:val="none" w:sz="0" w:space="0" w:color="auto"/>
        <w:right w:val="none" w:sz="0" w:space="0" w:color="auto"/>
      </w:divBdr>
    </w:div>
    <w:div w:id="94403624">
      <w:bodyDiv w:val="1"/>
      <w:marLeft w:val="0"/>
      <w:marRight w:val="0"/>
      <w:marTop w:val="0"/>
      <w:marBottom w:val="0"/>
      <w:divBdr>
        <w:top w:val="none" w:sz="0" w:space="0" w:color="auto"/>
        <w:left w:val="none" w:sz="0" w:space="0" w:color="auto"/>
        <w:bottom w:val="none" w:sz="0" w:space="0" w:color="auto"/>
        <w:right w:val="none" w:sz="0" w:space="0" w:color="auto"/>
      </w:divBdr>
    </w:div>
    <w:div w:id="134219610">
      <w:bodyDiv w:val="1"/>
      <w:marLeft w:val="0"/>
      <w:marRight w:val="0"/>
      <w:marTop w:val="0"/>
      <w:marBottom w:val="0"/>
      <w:divBdr>
        <w:top w:val="none" w:sz="0" w:space="0" w:color="auto"/>
        <w:left w:val="none" w:sz="0" w:space="0" w:color="auto"/>
        <w:bottom w:val="none" w:sz="0" w:space="0" w:color="auto"/>
        <w:right w:val="none" w:sz="0" w:space="0" w:color="auto"/>
      </w:divBdr>
    </w:div>
    <w:div w:id="232816414">
      <w:bodyDiv w:val="1"/>
      <w:marLeft w:val="0"/>
      <w:marRight w:val="0"/>
      <w:marTop w:val="0"/>
      <w:marBottom w:val="0"/>
      <w:divBdr>
        <w:top w:val="none" w:sz="0" w:space="0" w:color="auto"/>
        <w:left w:val="none" w:sz="0" w:space="0" w:color="auto"/>
        <w:bottom w:val="none" w:sz="0" w:space="0" w:color="auto"/>
        <w:right w:val="none" w:sz="0" w:space="0" w:color="auto"/>
      </w:divBdr>
    </w:div>
    <w:div w:id="255984667">
      <w:bodyDiv w:val="1"/>
      <w:marLeft w:val="0"/>
      <w:marRight w:val="0"/>
      <w:marTop w:val="0"/>
      <w:marBottom w:val="0"/>
      <w:divBdr>
        <w:top w:val="none" w:sz="0" w:space="0" w:color="auto"/>
        <w:left w:val="none" w:sz="0" w:space="0" w:color="auto"/>
        <w:bottom w:val="none" w:sz="0" w:space="0" w:color="auto"/>
        <w:right w:val="none" w:sz="0" w:space="0" w:color="auto"/>
      </w:divBdr>
    </w:div>
    <w:div w:id="267350047">
      <w:bodyDiv w:val="1"/>
      <w:marLeft w:val="0"/>
      <w:marRight w:val="0"/>
      <w:marTop w:val="0"/>
      <w:marBottom w:val="0"/>
      <w:divBdr>
        <w:top w:val="none" w:sz="0" w:space="0" w:color="auto"/>
        <w:left w:val="none" w:sz="0" w:space="0" w:color="auto"/>
        <w:bottom w:val="none" w:sz="0" w:space="0" w:color="auto"/>
        <w:right w:val="none" w:sz="0" w:space="0" w:color="auto"/>
      </w:divBdr>
    </w:div>
    <w:div w:id="267389698">
      <w:bodyDiv w:val="1"/>
      <w:marLeft w:val="0"/>
      <w:marRight w:val="0"/>
      <w:marTop w:val="0"/>
      <w:marBottom w:val="0"/>
      <w:divBdr>
        <w:top w:val="none" w:sz="0" w:space="0" w:color="auto"/>
        <w:left w:val="none" w:sz="0" w:space="0" w:color="auto"/>
        <w:bottom w:val="none" w:sz="0" w:space="0" w:color="auto"/>
        <w:right w:val="none" w:sz="0" w:space="0" w:color="auto"/>
      </w:divBdr>
    </w:div>
    <w:div w:id="308555537">
      <w:bodyDiv w:val="1"/>
      <w:marLeft w:val="0"/>
      <w:marRight w:val="0"/>
      <w:marTop w:val="0"/>
      <w:marBottom w:val="0"/>
      <w:divBdr>
        <w:top w:val="none" w:sz="0" w:space="0" w:color="auto"/>
        <w:left w:val="none" w:sz="0" w:space="0" w:color="auto"/>
        <w:bottom w:val="none" w:sz="0" w:space="0" w:color="auto"/>
        <w:right w:val="none" w:sz="0" w:space="0" w:color="auto"/>
      </w:divBdr>
    </w:div>
    <w:div w:id="335156259">
      <w:bodyDiv w:val="1"/>
      <w:marLeft w:val="0"/>
      <w:marRight w:val="0"/>
      <w:marTop w:val="0"/>
      <w:marBottom w:val="0"/>
      <w:divBdr>
        <w:top w:val="none" w:sz="0" w:space="0" w:color="auto"/>
        <w:left w:val="none" w:sz="0" w:space="0" w:color="auto"/>
        <w:bottom w:val="none" w:sz="0" w:space="0" w:color="auto"/>
        <w:right w:val="none" w:sz="0" w:space="0" w:color="auto"/>
      </w:divBdr>
    </w:div>
    <w:div w:id="357901123">
      <w:bodyDiv w:val="1"/>
      <w:marLeft w:val="0"/>
      <w:marRight w:val="0"/>
      <w:marTop w:val="0"/>
      <w:marBottom w:val="0"/>
      <w:divBdr>
        <w:top w:val="none" w:sz="0" w:space="0" w:color="auto"/>
        <w:left w:val="none" w:sz="0" w:space="0" w:color="auto"/>
        <w:bottom w:val="none" w:sz="0" w:space="0" w:color="auto"/>
        <w:right w:val="none" w:sz="0" w:space="0" w:color="auto"/>
      </w:divBdr>
    </w:div>
    <w:div w:id="382368462">
      <w:bodyDiv w:val="1"/>
      <w:marLeft w:val="0"/>
      <w:marRight w:val="0"/>
      <w:marTop w:val="0"/>
      <w:marBottom w:val="0"/>
      <w:divBdr>
        <w:top w:val="none" w:sz="0" w:space="0" w:color="auto"/>
        <w:left w:val="none" w:sz="0" w:space="0" w:color="auto"/>
        <w:bottom w:val="none" w:sz="0" w:space="0" w:color="auto"/>
        <w:right w:val="none" w:sz="0" w:space="0" w:color="auto"/>
      </w:divBdr>
    </w:div>
    <w:div w:id="406683481">
      <w:bodyDiv w:val="1"/>
      <w:marLeft w:val="0"/>
      <w:marRight w:val="0"/>
      <w:marTop w:val="0"/>
      <w:marBottom w:val="0"/>
      <w:divBdr>
        <w:top w:val="none" w:sz="0" w:space="0" w:color="auto"/>
        <w:left w:val="none" w:sz="0" w:space="0" w:color="auto"/>
        <w:bottom w:val="none" w:sz="0" w:space="0" w:color="auto"/>
        <w:right w:val="none" w:sz="0" w:space="0" w:color="auto"/>
      </w:divBdr>
    </w:div>
    <w:div w:id="450708206">
      <w:bodyDiv w:val="1"/>
      <w:marLeft w:val="0"/>
      <w:marRight w:val="0"/>
      <w:marTop w:val="0"/>
      <w:marBottom w:val="0"/>
      <w:divBdr>
        <w:top w:val="none" w:sz="0" w:space="0" w:color="auto"/>
        <w:left w:val="none" w:sz="0" w:space="0" w:color="auto"/>
        <w:bottom w:val="none" w:sz="0" w:space="0" w:color="auto"/>
        <w:right w:val="none" w:sz="0" w:space="0" w:color="auto"/>
      </w:divBdr>
    </w:div>
    <w:div w:id="504706137">
      <w:bodyDiv w:val="1"/>
      <w:marLeft w:val="0"/>
      <w:marRight w:val="0"/>
      <w:marTop w:val="0"/>
      <w:marBottom w:val="0"/>
      <w:divBdr>
        <w:top w:val="none" w:sz="0" w:space="0" w:color="auto"/>
        <w:left w:val="none" w:sz="0" w:space="0" w:color="auto"/>
        <w:bottom w:val="none" w:sz="0" w:space="0" w:color="auto"/>
        <w:right w:val="none" w:sz="0" w:space="0" w:color="auto"/>
      </w:divBdr>
    </w:div>
    <w:div w:id="527641369">
      <w:bodyDiv w:val="1"/>
      <w:marLeft w:val="0"/>
      <w:marRight w:val="0"/>
      <w:marTop w:val="0"/>
      <w:marBottom w:val="0"/>
      <w:divBdr>
        <w:top w:val="none" w:sz="0" w:space="0" w:color="auto"/>
        <w:left w:val="none" w:sz="0" w:space="0" w:color="auto"/>
        <w:bottom w:val="none" w:sz="0" w:space="0" w:color="auto"/>
        <w:right w:val="none" w:sz="0" w:space="0" w:color="auto"/>
      </w:divBdr>
    </w:div>
    <w:div w:id="539434662">
      <w:bodyDiv w:val="1"/>
      <w:marLeft w:val="0"/>
      <w:marRight w:val="0"/>
      <w:marTop w:val="0"/>
      <w:marBottom w:val="0"/>
      <w:divBdr>
        <w:top w:val="none" w:sz="0" w:space="0" w:color="auto"/>
        <w:left w:val="none" w:sz="0" w:space="0" w:color="auto"/>
        <w:bottom w:val="none" w:sz="0" w:space="0" w:color="auto"/>
        <w:right w:val="none" w:sz="0" w:space="0" w:color="auto"/>
      </w:divBdr>
    </w:div>
    <w:div w:id="607659995">
      <w:bodyDiv w:val="1"/>
      <w:marLeft w:val="0"/>
      <w:marRight w:val="0"/>
      <w:marTop w:val="0"/>
      <w:marBottom w:val="0"/>
      <w:divBdr>
        <w:top w:val="none" w:sz="0" w:space="0" w:color="auto"/>
        <w:left w:val="none" w:sz="0" w:space="0" w:color="auto"/>
        <w:bottom w:val="none" w:sz="0" w:space="0" w:color="auto"/>
        <w:right w:val="none" w:sz="0" w:space="0" w:color="auto"/>
      </w:divBdr>
    </w:div>
    <w:div w:id="648486632">
      <w:bodyDiv w:val="1"/>
      <w:marLeft w:val="0"/>
      <w:marRight w:val="0"/>
      <w:marTop w:val="0"/>
      <w:marBottom w:val="0"/>
      <w:divBdr>
        <w:top w:val="none" w:sz="0" w:space="0" w:color="auto"/>
        <w:left w:val="none" w:sz="0" w:space="0" w:color="auto"/>
        <w:bottom w:val="none" w:sz="0" w:space="0" w:color="auto"/>
        <w:right w:val="none" w:sz="0" w:space="0" w:color="auto"/>
      </w:divBdr>
    </w:div>
    <w:div w:id="685594653">
      <w:bodyDiv w:val="1"/>
      <w:marLeft w:val="0"/>
      <w:marRight w:val="0"/>
      <w:marTop w:val="0"/>
      <w:marBottom w:val="0"/>
      <w:divBdr>
        <w:top w:val="none" w:sz="0" w:space="0" w:color="auto"/>
        <w:left w:val="none" w:sz="0" w:space="0" w:color="auto"/>
        <w:bottom w:val="none" w:sz="0" w:space="0" w:color="auto"/>
        <w:right w:val="none" w:sz="0" w:space="0" w:color="auto"/>
      </w:divBdr>
    </w:div>
    <w:div w:id="690372246">
      <w:bodyDiv w:val="1"/>
      <w:marLeft w:val="0"/>
      <w:marRight w:val="0"/>
      <w:marTop w:val="0"/>
      <w:marBottom w:val="0"/>
      <w:divBdr>
        <w:top w:val="none" w:sz="0" w:space="0" w:color="auto"/>
        <w:left w:val="none" w:sz="0" w:space="0" w:color="auto"/>
        <w:bottom w:val="none" w:sz="0" w:space="0" w:color="auto"/>
        <w:right w:val="none" w:sz="0" w:space="0" w:color="auto"/>
      </w:divBdr>
    </w:div>
    <w:div w:id="744761983">
      <w:bodyDiv w:val="1"/>
      <w:marLeft w:val="0"/>
      <w:marRight w:val="0"/>
      <w:marTop w:val="0"/>
      <w:marBottom w:val="0"/>
      <w:divBdr>
        <w:top w:val="none" w:sz="0" w:space="0" w:color="auto"/>
        <w:left w:val="none" w:sz="0" w:space="0" w:color="auto"/>
        <w:bottom w:val="none" w:sz="0" w:space="0" w:color="auto"/>
        <w:right w:val="none" w:sz="0" w:space="0" w:color="auto"/>
      </w:divBdr>
    </w:div>
    <w:div w:id="766392274">
      <w:bodyDiv w:val="1"/>
      <w:marLeft w:val="0"/>
      <w:marRight w:val="0"/>
      <w:marTop w:val="0"/>
      <w:marBottom w:val="0"/>
      <w:divBdr>
        <w:top w:val="none" w:sz="0" w:space="0" w:color="auto"/>
        <w:left w:val="none" w:sz="0" w:space="0" w:color="auto"/>
        <w:bottom w:val="none" w:sz="0" w:space="0" w:color="auto"/>
        <w:right w:val="none" w:sz="0" w:space="0" w:color="auto"/>
      </w:divBdr>
    </w:div>
    <w:div w:id="799615984">
      <w:bodyDiv w:val="1"/>
      <w:marLeft w:val="0"/>
      <w:marRight w:val="0"/>
      <w:marTop w:val="0"/>
      <w:marBottom w:val="0"/>
      <w:divBdr>
        <w:top w:val="none" w:sz="0" w:space="0" w:color="auto"/>
        <w:left w:val="none" w:sz="0" w:space="0" w:color="auto"/>
        <w:bottom w:val="none" w:sz="0" w:space="0" w:color="auto"/>
        <w:right w:val="none" w:sz="0" w:space="0" w:color="auto"/>
      </w:divBdr>
    </w:div>
    <w:div w:id="805782934">
      <w:bodyDiv w:val="1"/>
      <w:marLeft w:val="0"/>
      <w:marRight w:val="0"/>
      <w:marTop w:val="0"/>
      <w:marBottom w:val="0"/>
      <w:divBdr>
        <w:top w:val="none" w:sz="0" w:space="0" w:color="auto"/>
        <w:left w:val="none" w:sz="0" w:space="0" w:color="auto"/>
        <w:bottom w:val="none" w:sz="0" w:space="0" w:color="auto"/>
        <w:right w:val="none" w:sz="0" w:space="0" w:color="auto"/>
      </w:divBdr>
    </w:div>
    <w:div w:id="843937647">
      <w:bodyDiv w:val="1"/>
      <w:marLeft w:val="0"/>
      <w:marRight w:val="0"/>
      <w:marTop w:val="0"/>
      <w:marBottom w:val="0"/>
      <w:divBdr>
        <w:top w:val="none" w:sz="0" w:space="0" w:color="auto"/>
        <w:left w:val="none" w:sz="0" w:space="0" w:color="auto"/>
        <w:bottom w:val="none" w:sz="0" w:space="0" w:color="auto"/>
        <w:right w:val="none" w:sz="0" w:space="0" w:color="auto"/>
      </w:divBdr>
    </w:div>
    <w:div w:id="899898015">
      <w:bodyDiv w:val="1"/>
      <w:marLeft w:val="0"/>
      <w:marRight w:val="0"/>
      <w:marTop w:val="0"/>
      <w:marBottom w:val="0"/>
      <w:divBdr>
        <w:top w:val="none" w:sz="0" w:space="0" w:color="auto"/>
        <w:left w:val="none" w:sz="0" w:space="0" w:color="auto"/>
        <w:bottom w:val="none" w:sz="0" w:space="0" w:color="auto"/>
        <w:right w:val="none" w:sz="0" w:space="0" w:color="auto"/>
      </w:divBdr>
    </w:div>
    <w:div w:id="906305586">
      <w:bodyDiv w:val="1"/>
      <w:marLeft w:val="0"/>
      <w:marRight w:val="0"/>
      <w:marTop w:val="0"/>
      <w:marBottom w:val="0"/>
      <w:divBdr>
        <w:top w:val="none" w:sz="0" w:space="0" w:color="auto"/>
        <w:left w:val="none" w:sz="0" w:space="0" w:color="auto"/>
        <w:bottom w:val="none" w:sz="0" w:space="0" w:color="auto"/>
        <w:right w:val="none" w:sz="0" w:space="0" w:color="auto"/>
      </w:divBdr>
    </w:div>
    <w:div w:id="907230104">
      <w:bodyDiv w:val="1"/>
      <w:marLeft w:val="0"/>
      <w:marRight w:val="0"/>
      <w:marTop w:val="0"/>
      <w:marBottom w:val="0"/>
      <w:divBdr>
        <w:top w:val="none" w:sz="0" w:space="0" w:color="auto"/>
        <w:left w:val="none" w:sz="0" w:space="0" w:color="auto"/>
        <w:bottom w:val="none" w:sz="0" w:space="0" w:color="auto"/>
        <w:right w:val="none" w:sz="0" w:space="0" w:color="auto"/>
      </w:divBdr>
    </w:div>
    <w:div w:id="935602522">
      <w:bodyDiv w:val="1"/>
      <w:marLeft w:val="0"/>
      <w:marRight w:val="0"/>
      <w:marTop w:val="0"/>
      <w:marBottom w:val="0"/>
      <w:divBdr>
        <w:top w:val="none" w:sz="0" w:space="0" w:color="auto"/>
        <w:left w:val="none" w:sz="0" w:space="0" w:color="auto"/>
        <w:bottom w:val="none" w:sz="0" w:space="0" w:color="auto"/>
        <w:right w:val="none" w:sz="0" w:space="0" w:color="auto"/>
      </w:divBdr>
    </w:div>
    <w:div w:id="962611691">
      <w:bodyDiv w:val="1"/>
      <w:marLeft w:val="0"/>
      <w:marRight w:val="0"/>
      <w:marTop w:val="0"/>
      <w:marBottom w:val="0"/>
      <w:divBdr>
        <w:top w:val="none" w:sz="0" w:space="0" w:color="auto"/>
        <w:left w:val="none" w:sz="0" w:space="0" w:color="auto"/>
        <w:bottom w:val="none" w:sz="0" w:space="0" w:color="auto"/>
        <w:right w:val="none" w:sz="0" w:space="0" w:color="auto"/>
      </w:divBdr>
    </w:div>
    <w:div w:id="1006665119">
      <w:bodyDiv w:val="1"/>
      <w:marLeft w:val="0"/>
      <w:marRight w:val="0"/>
      <w:marTop w:val="0"/>
      <w:marBottom w:val="0"/>
      <w:divBdr>
        <w:top w:val="none" w:sz="0" w:space="0" w:color="auto"/>
        <w:left w:val="none" w:sz="0" w:space="0" w:color="auto"/>
        <w:bottom w:val="none" w:sz="0" w:space="0" w:color="auto"/>
        <w:right w:val="none" w:sz="0" w:space="0" w:color="auto"/>
      </w:divBdr>
    </w:div>
    <w:div w:id="1019311947">
      <w:bodyDiv w:val="1"/>
      <w:marLeft w:val="0"/>
      <w:marRight w:val="0"/>
      <w:marTop w:val="0"/>
      <w:marBottom w:val="0"/>
      <w:divBdr>
        <w:top w:val="none" w:sz="0" w:space="0" w:color="auto"/>
        <w:left w:val="none" w:sz="0" w:space="0" w:color="auto"/>
        <w:bottom w:val="none" w:sz="0" w:space="0" w:color="auto"/>
        <w:right w:val="none" w:sz="0" w:space="0" w:color="auto"/>
      </w:divBdr>
    </w:div>
    <w:div w:id="1030454372">
      <w:bodyDiv w:val="1"/>
      <w:marLeft w:val="0"/>
      <w:marRight w:val="0"/>
      <w:marTop w:val="0"/>
      <w:marBottom w:val="0"/>
      <w:divBdr>
        <w:top w:val="none" w:sz="0" w:space="0" w:color="auto"/>
        <w:left w:val="none" w:sz="0" w:space="0" w:color="auto"/>
        <w:bottom w:val="none" w:sz="0" w:space="0" w:color="auto"/>
        <w:right w:val="none" w:sz="0" w:space="0" w:color="auto"/>
      </w:divBdr>
    </w:div>
    <w:div w:id="1039361233">
      <w:bodyDiv w:val="1"/>
      <w:marLeft w:val="0"/>
      <w:marRight w:val="0"/>
      <w:marTop w:val="0"/>
      <w:marBottom w:val="0"/>
      <w:divBdr>
        <w:top w:val="none" w:sz="0" w:space="0" w:color="auto"/>
        <w:left w:val="none" w:sz="0" w:space="0" w:color="auto"/>
        <w:bottom w:val="none" w:sz="0" w:space="0" w:color="auto"/>
        <w:right w:val="none" w:sz="0" w:space="0" w:color="auto"/>
      </w:divBdr>
    </w:div>
    <w:div w:id="1040517586">
      <w:bodyDiv w:val="1"/>
      <w:marLeft w:val="0"/>
      <w:marRight w:val="0"/>
      <w:marTop w:val="0"/>
      <w:marBottom w:val="0"/>
      <w:divBdr>
        <w:top w:val="none" w:sz="0" w:space="0" w:color="auto"/>
        <w:left w:val="none" w:sz="0" w:space="0" w:color="auto"/>
        <w:bottom w:val="none" w:sz="0" w:space="0" w:color="auto"/>
        <w:right w:val="none" w:sz="0" w:space="0" w:color="auto"/>
      </w:divBdr>
    </w:div>
    <w:div w:id="1085569600">
      <w:bodyDiv w:val="1"/>
      <w:marLeft w:val="0"/>
      <w:marRight w:val="0"/>
      <w:marTop w:val="0"/>
      <w:marBottom w:val="0"/>
      <w:divBdr>
        <w:top w:val="none" w:sz="0" w:space="0" w:color="auto"/>
        <w:left w:val="none" w:sz="0" w:space="0" w:color="auto"/>
        <w:bottom w:val="none" w:sz="0" w:space="0" w:color="auto"/>
        <w:right w:val="none" w:sz="0" w:space="0" w:color="auto"/>
      </w:divBdr>
    </w:div>
    <w:div w:id="1109355169">
      <w:bodyDiv w:val="1"/>
      <w:marLeft w:val="0"/>
      <w:marRight w:val="0"/>
      <w:marTop w:val="0"/>
      <w:marBottom w:val="0"/>
      <w:divBdr>
        <w:top w:val="none" w:sz="0" w:space="0" w:color="auto"/>
        <w:left w:val="none" w:sz="0" w:space="0" w:color="auto"/>
        <w:bottom w:val="none" w:sz="0" w:space="0" w:color="auto"/>
        <w:right w:val="none" w:sz="0" w:space="0" w:color="auto"/>
      </w:divBdr>
    </w:div>
    <w:div w:id="1179806813">
      <w:bodyDiv w:val="1"/>
      <w:marLeft w:val="0"/>
      <w:marRight w:val="0"/>
      <w:marTop w:val="0"/>
      <w:marBottom w:val="0"/>
      <w:divBdr>
        <w:top w:val="none" w:sz="0" w:space="0" w:color="auto"/>
        <w:left w:val="none" w:sz="0" w:space="0" w:color="auto"/>
        <w:bottom w:val="none" w:sz="0" w:space="0" w:color="auto"/>
        <w:right w:val="none" w:sz="0" w:space="0" w:color="auto"/>
      </w:divBdr>
    </w:div>
    <w:div w:id="1184825798">
      <w:bodyDiv w:val="1"/>
      <w:marLeft w:val="0"/>
      <w:marRight w:val="0"/>
      <w:marTop w:val="0"/>
      <w:marBottom w:val="0"/>
      <w:divBdr>
        <w:top w:val="none" w:sz="0" w:space="0" w:color="auto"/>
        <w:left w:val="none" w:sz="0" w:space="0" w:color="auto"/>
        <w:bottom w:val="none" w:sz="0" w:space="0" w:color="auto"/>
        <w:right w:val="none" w:sz="0" w:space="0" w:color="auto"/>
      </w:divBdr>
    </w:div>
    <w:div w:id="1279414877">
      <w:bodyDiv w:val="1"/>
      <w:marLeft w:val="0"/>
      <w:marRight w:val="0"/>
      <w:marTop w:val="0"/>
      <w:marBottom w:val="0"/>
      <w:divBdr>
        <w:top w:val="none" w:sz="0" w:space="0" w:color="auto"/>
        <w:left w:val="none" w:sz="0" w:space="0" w:color="auto"/>
        <w:bottom w:val="none" w:sz="0" w:space="0" w:color="auto"/>
        <w:right w:val="none" w:sz="0" w:space="0" w:color="auto"/>
      </w:divBdr>
    </w:div>
    <w:div w:id="1313175483">
      <w:bodyDiv w:val="1"/>
      <w:marLeft w:val="0"/>
      <w:marRight w:val="0"/>
      <w:marTop w:val="0"/>
      <w:marBottom w:val="0"/>
      <w:divBdr>
        <w:top w:val="none" w:sz="0" w:space="0" w:color="auto"/>
        <w:left w:val="none" w:sz="0" w:space="0" w:color="auto"/>
        <w:bottom w:val="none" w:sz="0" w:space="0" w:color="auto"/>
        <w:right w:val="none" w:sz="0" w:space="0" w:color="auto"/>
      </w:divBdr>
    </w:div>
    <w:div w:id="1346638924">
      <w:bodyDiv w:val="1"/>
      <w:marLeft w:val="0"/>
      <w:marRight w:val="0"/>
      <w:marTop w:val="0"/>
      <w:marBottom w:val="0"/>
      <w:divBdr>
        <w:top w:val="none" w:sz="0" w:space="0" w:color="auto"/>
        <w:left w:val="none" w:sz="0" w:space="0" w:color="auto"/>
        <w:bottom w:val="none" w:sz="0" w:space="0" w:color="auto"/>
        <w:right w:val="none" w:sz="0" w:space="0" w:color="auto"/>
      </w:divBdr>
    </w:div>
    <w:div w:id="1357003608">
      <w:bodyDiv w:val="1"/>
      <w:marLeft w:val="0"/>
      <w:marRight w:val="0"/>
      <w:marTop w:val="0"/>
      <w:marBottom w:val="0"/>
      <w:divBdr>
        <w:top w:val="none" w:sz="0" w:space="0" w:color="auto"/>
        <w:left w:val="none" w:sz="0" w:space="0" w:color="auto"/>
        <w:bottom w:val="none" w:sz="0" w:space="0" w:color="auto"/>
        <w:right w:val="none" w:sz="0" w:space="0" w:color="auto"/>
      </w:divBdr>
    </w:div>
    <w:div w:id="1460493465">
      <w:bodyDiv w:val="1"/>
      <w:marLeft w:val="0"/>
      <w:marRight w:val="0"/>
      <w:marTop w:val="0"/>
      <w:marBottom w:val="0"/>
      <w:divBdr>
        <w:top w:val="none" w:sz="0" w:space="0" w:color="auto"/>
        <w:left w:val="none" w:sz="0" w:space="0" w:color="auto"/>
        <w:bottom w:val="none" w:sz="0" w:space="0" w:color="auto"/>
        <w:right w:val="none" w:sz="0" w:space="0" w:color="auto"/>
      </w:divBdr>
    </w:div>
    <w:div w:id="1546480840">
      <w:bodyDiv w:val="1"/>
      <w:marLeft w:val="0"/>
      <w:marRight w:val="0"/>
      <w:marTop w:val="0"/>
      <w:marBottom w:val="0"/>
      <w:divBdr>
        <w:top w:val="none" w:sz="0" w:space="0" w:color="auto"/>
        <w:left w:val="none" w:sz="0" w:space="0" w:color="auto"/>
        <w:bottom w:val="none" w:sz="0" w:space="0" w:color="auto"/>
        <w:right w:val="none" w:sz="0" w:space="0" w:color="auto"/>
      </w:divBdr>
    </w:div>
    <w:div w:id="1597327751">
      <w:bodyDiv w:val="1"/>
      <w:marLeft w:val="0"/>
      <w:marRight w:val="0"/>
      <w:marTop w:val="0"/>
      <w:marBottom w:val="0"/>
      <w:divBdr>
        <w:top w:val="none" w:sz="0" w:space="0" w:color="auto"/>
        <w:left w:val="none" w:sz="0" w:space="0" w:color="auto"/>
        <w:bottom w:val="none" w:sz="0" w:space="0" w:color="auto"/>
        <w:right w:val="none" w:sz="0" w:space="0" w:color="auto"/>
      </w:divBdr>
    </w:div>
    <w:div w:id="1611546602">
      <w:bodyDiv w:val="1"/>
      <w:marLeft w:val="0"/>
      <w:marRight w:val="0"/>
      <w:marTop w:val="0"/>
      <w:marBottom w:val="0"/>
      <w:divBdr>
        <w:top w:val="none" w:sz="0" w:space="0" w:color="auto"/>
        <w:left w:val="none" w:sz="0" w:space="0" w:color="auto"/>
        <w:bottom w:val="none" w:sz="0" w:space="0" w:color="auto"/>
        <w:right w:val="none" w:sz="0" w:space="0" w:color="auto"/>
      </w:divBdr>
    </w:div>
    <w:div w:id="1630668106">
      <w:bodyDiv w:val="1"/>
      <w:marLeft w:val="0"/>
      <w:marRight w:val="0"/>
      <w:marTop w:val="0"/>
      <w:marBottom w:val="0"/>
      <w:divBdr>
        <w:top w:val="none" w:sz="0" w:space="0" w:color="auto"/>
        <w:left w:val="none" w:sz="0" w:space="0" w:color="auto"/>
        <w:bottom w:val="none" w:sz="0" w:space="0" w:color="auto"/>
        <w:right w:val="none" w:sz="0" w:space="0" w:color="auto"/>
      </w:divBdr>
    </w:div>
    <w:div w:id="1648901453">
      <w:bodyDiv w:val="1"/>
      <w:marLeft w:val="0"/>
      <w:marRight w:val="0"/>
      <w:marTop w:val="0"/>
      <w:marBottom w:val="0"/>
      <w:divBdr>
        <w:top w:val="none" w:sz="0" w:space="0" w:color="auto"/>
        <w:left w:val="none" w:sz="0" w:space="0" w:color="auto"/>
        <w:bottom w:val="none" w:sz="0" w:space="0" w:color="auto"/>
        <w:right w:val="none" w:sz="0" w:space="0" w:color="auto"/>
      </w:divBdr>
    </w:div>
    <w:div w:id="1662659332">
      <w:bodyDiv w:val="1"/>
      <w:marLeft w:val="0"/>
      <w:marRight w:val="0"/>
      <w:marTop w:val="0"/>
      <w:marBottom w:val="0"/>
      <w:divBdr>
        <w:top w:val="none" w:sz="0" w:space="0" w:color="auto"/>
        <w:left w:val="none" w:sz="0" w:space="0" w:color="auto"/>
        <w:bottom w:val="none" w:sz="0" w:space="0" w:color="auto"/>
        <w:right w:val="none" w:sz="0" w:space="0" w:color="auto"/>
      </w:divBdr>
    </w:div>
    <w:div w:id="1711690581">
      <w:bodyDiv w:val="1"/>
      <w:marLeft w:val="0"/>
      <w:marRight w:val="0"/>
      <w:marTop w:val="0"/>
      <w:marBottom w:val="0"/>
      <w:divBdr>
        <w:top w:val="none" w:sz="0" w:space="0" w:color="auto"/>
        <w:left w:val="none" w:sz="0" w:space="0" w:color="auto"/>
        <w:bottom w:val="none" w:sz="0" w:space="0" w:color="auto"/>
        <w:right w:val="none" w:sz="0" w:space="0" w:color="auto"/>
      </w:divBdr>
    </w:div>
    <w:div w:id="1721443832">
      <w:bodyDiv w:val="1"/>
      <w:marLeft w:val="0"/>
      <w:marRight w:val="0"/>
      <w:marTop w:val="0"/>
      <w:marBottom w:val="0"/>
      <w:divBdr>
        <w:top w:val="none" w:sz="0" w:space="0" w:color="auto"/>
        <w:left w:val="none" w:sz="0" w:space="0" w:color="auto"/>
        <w:bottom w:val="none" w:sz="0" w:space="0" w:color="auto"/>
        <w:right w:val="none" w:sz="0" w:space="0" w:color="auto"/>
      </w:divBdr>
    </w:div>
    <w:div w:id="1725057627">
      <w:bodyDiv w:val="1"/>
      <w:marLeft w:val="0"/>
      <w:marRight w:val="0"/>
      <w:marTop w:val="0"/>
      <w:marBottom w:val="0"/>
      <w:divBdr>
        <w:top w:val="none" w:sz="0" w:space="0" w:color="auto"/>
        <w:left w:val="none" w:sz="0" w:space="0" w:color="auto"/>
        <w:bottom w:val="none" w:sz="0" w:space="0" w:color="auto"/>
        <w:right w:val="none" w:sz="0" w:space="0" w:color="auto"/>
      </w:divBdr>
    </w:div>
    <w:div w:id="1938362725">
      <w:bodyDiv w:val="1"/>
      <w:marLeft w:val="0"/>
      <w:marRight w:val="0"/>
      <w:marTop w:val="0"/>
      <w:marBottom w:val="0"/>
      <w:divBdr>
        <w:top w:val="none" w:sz="0" w:space="0" w:color="auto"/>
        <w:left w:val="none" w:sz="0" w:space="0" w:color="auto"/>
        <w:bottom w:val="none" w:sz="0" w:space="0" w:color="auto"/>
        <w:right w:val="none" w:sz="0" w:space="0" w:color="auto"/>
      </w:divBdr>
    </w:div>
    <w:div w:id="1940286659">
      <w:bodyDiv w:val="1"/>
      <w:marLeft w:val="0"/>
      <w:marRight w:val="0"/>
      <w:marTop w:val="0"/>
      <w:marBottom w:val="0"/>
      <w:divBdr>
        <w:top w:val="none" w:sz="0" w:space="0" w:color="auto"/>
        <w:left w:val="none" w:sz="0" w:space="0" w:color="auto"/>
        <w:bottom w:val="none" w:sz="0" w:space="0" w:color="auto"/>
        <w:right w:val="none" w:sz="0" w:space="0" w:color="auto"/>
      </w:divBdr>
    </w:div>
    <w:div w:id="1971395421">
      <w:bodyDiv w:val="1"/>
      <w:marLeft w:val="0"/>
      <w:marRight w:val="0"/>
      <w:marTop w:val="0"/>
      <w:marBottom w:val="0"/>
      <w:divBdr>
        <w:top w:val="none" w:sz="0" w:space="0" w:color="auto"/>
        <w:left w:val="none" w:sz="0" w:space="0" w:color="auto"/>
        <w:bottom w:val="none" w:sz="0" w:space="0" w:color="auto"/>
        <w:right w:val="none" w:sz="0" w:space="0" w:color="auto"/>
      </w:divBdr>
    </w:div>
    <w:div w:id="1974948364">
      <w:bodyDiv w:val="1"/>
      <w:marLeft w:val="0"/>
      <w:marRight w:val="0"/>
      <w:marTop w:val="0"/>
      <w:marBottom w:val="0"/>
      <w:divBdr>
        <w:top w:val="none" w:sz="0" w:space="0" w:color="auto"/>
        <w:left w:val="none" w:sz="0" w:space="0" w:color="auto"/>
        <w:bottom w:val="none" w:sz="0" w:space="0" w:color="auto"/>
        <w:right w:val="none" w:sz="0" w:space="0" w:color="auto"/>
      </w:divBdr>
    </w:div>
    <w:div w:id="1976180834">
      <w:bodyDiv w:val="1"/>
      <w:marLeft w:val="0"/>
      <w:marRight w:val="0"/>
      <w:marTop w:val="0"/>
      <w:marBottom w:val="0"/>
      <w:divBdr>
        <w:top w:val="none" w:sz="0" w:space="0" w:color="auto"/>
        <w:left w:val="none" w:sz="0" w:space="0" w:color="auto"/>
        <w:bottom w:val="none" w:sz="0" w:space="0" w:color="auto"/>
        <w:right w:val="none" w:sz="0" w:space="0" w:color="auto"/>
      </w:divBdr>
    </w:div>
    <w:div w:id="2041320222">
      <w:bodyDiv w:val="1"/>
      <w:marLeft w:val="0"/>
      <w:marRight w:val="0"/>
      <w:marTop w:val="0"/>
      <w:marBottom w:val="0"/>
      <w:divBdr>
        <w:top w:val="none" w:sz="0" w:space="0" w:color="auto"/>
        <w:left w:val="none" w:sz="0" w:space="0" w:color="auto"/>
        <w:bottom w:val="none" w:sz="0" w:space="0" w:color="auto"/>
        <w:right w:val="none" w:sz="0" w:space="0" w:color="auto"/>
      </w:divBdr>
    </w:div>
    <w:div w:id="2118256972">
      <w:bodyDiv w:val="1"/>
      <w:marLeft w:val="0"/>
      <w:marRight w:val="0"/>
      <w:marTop w:val="0"/>
      <w:marBottom w:val="0"/>
      <w:divBdr>
        <w:top w:val="none" w:sz="0" w:space="0" w:color="auto"/>
        <w:left w:val="none" w:sz="0" w:space="0" w:color="auto"/>
        <w:bottom w:val="none" w:sz="0" w:space="0" w:color="auto"/>
        <w:right w:val="none" w:sz="0" w:space="0" w:color="auto"/>
      </w:divBdr>
    </w:div>
    <w:div w:id="214010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33.wdp"/><Relationship Id="rId21" Type="http://schemas.openxmlformats.org/officeDocument/2006/relationships/oleObject" Target="embeddings/oleObject2.bin"/><Relationship Id="rId42" Type="http://schemas.microsoft.com/office/2007/relationships/hdphoto" Target="media/hdphoto2.wdp"/><Relationship Id="rId63" Type="http://schemas.openxmlformats.org/officeDocument/2006/relationships/image" Target="media/image30.png"/><Relationship Id="rId84" Type="http://schemas.openxmlformats.org/officeDocument/2006/relationships/image" Target="media/image41.png"/><Relationship Id="rId138" Type="http://schemas.openxmlformats.org/officeDocument/2006/relationships/oleObject" Target="embeddings/oleObject10.bin"/><Relationship Id="rId159" Type="http://schemas.microsoft.com/office/2011/relationships/people" Target="people.xml"/><Relationship Id="rId107" Type="http://schemas.openxmlformats.org/officeDocument/2006/relationships/image" Target="media/image54.jpeg"/><Relationship Id="rId11" Type="http://schemas.openxmlformats.org/officeDocument/2006/relationships/image" Target="media/image1.png"/><Relationship Id="rId32" Type="http://schemas.openxmlformats.org/officeDocument/2006/relationships/oleObject" Target="embeddings/oleObject4.bin"/><Relationship Id="rId53" Type="http://schemas.openxmlformats.org/officeDocument/2006/relationships/image" Target="media/image25.jpeg"/><Relationship Id="rId74" Type="http://schemas.openxmlformats.org/officeDocument/2006/relationships/image" Target="media/image36.png"/><Relationship Id="rId128" Type="http://schemas.openxmlformats.org/officeDocument/2006/relationships/image" Target="media/image66.png"/><Relationship Id="rId149" Type="http://schemas.microsoft.com/office/2007/relationships/hdphoto" Target="media/hdphoto45.wdp"/><Relationship Id="rId5" Type="http://schemas.openxmlformats.org/officeDocument/2006/relationships/webSettings" Target="webSettings.xml"/><Relationship Id="rId95" Type="http://schemas.microsoft.com/office/2007/relationships/hdphoto" Target="media/hdphoto25.wdp"/><Relationship Id="rId160" Type="http://schemas.openxmlformats.org/officeDocument/2006/relationships/theme" Target="theme/theme1.xml"/><Relationship Id="rId22" Type="http://schemas.openxmlformats.org/officeDocument/2006/relationships/image" Target="media/image10.png"/><Relationship Id="rId43" Type="http://schemas.openxmlformats.org/officeDocument/2006/relationships/comments" Target="comments.xml"/><Relationship Id="rId64" Type="http://schemas.microsoft.com/office/2007/relationships/hdphoto" Target="media/hdphoto10.wdp"/><Relationship Id="rId118" Type="http://schemas.openxmlformats.org/officeDocument/2006/relationships/image" Target="media/image61.png"/><Relationship Id="rId139" Type="http://schemas.openxmlformats.org/officeDocument/2006/relationships/image" Target="media/image72.emf"/><Relationship Id="rId80" Type="http://schemas.openxmlformats.org/officeDocument/2006/relationships/image" Target="media/image39.png"/><Relationship Id="rId85" Type="http://schemas.microsoft.com/office/2007/relationships/hdphoto" Target="media/hdphoto20.wdp"/><Relationship Id="rId150" Type="http://schemas.openxmlformats.org/officeDocument/2006/relationships/image" Target="media/image79.jpeg"/><Relationship Id="rId155" Type="http://schemas.microsoft.com/office/2007/relationships/hdphoto" Target="media/hdphoto48.wdp"/><Relationship Id="rId12" Type="http://schemas.openxmlformats.org/officeDocument/2006/relationships/image" Target="media/image2.emf"/><Relationship Id="rId17" Type="http://schemas.openxmlformats.org/officeDocument/2006/relationships/image" Target="media/image6.jpeg"/><Relationship Id="rId33" Type="http://schemas.openxmlformats.org/officeDocument/2006/relationships/image" Target="media/image17.emf"/><Relationship Id="rId38" Type="http://schemas.openxmlformats.org/officeDocument/2006/relationships/oleObject" Target="embeddings/oleObject7.bin"/><Relationship Id="rId59" Type="http://schemas.openxmlformats.org/officeDocument/2006/relationships/image" Target="media/image28.png"/><Relationship Id="rId103" Type="http://schemas.microsoft.com/office/2007/relationships/hdphoto" Target="media/hdphoto28.wdp"/><Relationship Id="rId108" Type="http://schemas.openxmlformats.org/officeDocument/2006/relationships/image" Target="media/image55.jpeg"/><Relationship Id="rId124" Type="http://schemas.openxmlformats.org/officeDocument/2006/relationships/image" Target="media/image64.png"/><Relationship Id="rId129" Type="http://schemas.microsoft.com/office/2007/relationships/hdphoto" Target="media/hdphoto39.wdp"/><Relationship Id="rId54" Type="http://schemas.microsoft.com/office/2007/relationships/hdphoto" Target="media/hdphoto5.wdp"/><Relationship Id="rId70" Type="http://schemas.openxmlformats.org/officeDocument/2006/relationships/image" Target="media/image34.png"/><Relationship Id="rId75" Type="http://schemas.microsoft.com/office/2007/relationships/hdphoto" Target="media/hdphoto15.wdp"/><Relationship Id="rId91" Type="http://schemas.microsoft.com/office/2007/relationships/hdphoto" Target="media/hdphoto23.wdp"/><Relationship Id="rId96" Type="http://schemas.openxmlformats.org/officeDocument/2006/relationships/image" Target="media/image47.png"/><Relationship Id="rId140" Type="http://schemas.openxmlformats.org/officeDocument/2006/relationships/oleObject" Target="embeddings/oleObject11.bin"/><Relationship Id="rId145" Type="http://schemas.openxmlformats.org/officeDocument/2006/relationships/image" Target="media/image76.emf"/><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1.wdp"/><Relationship Id="rId28" Type="http://schemas.openxmlformats.org/officeDocument/2006/relationships/image" Target="media/image14.emf"/><Relationship Id="rId49" Type="http://schemas.openxmlformats.org/officeDocument/2006/relationships/image" Target="media/image23.png"/><Relationship Id="rId114" Type="http://schemas.openxmlformats.org/officeDocument/2006/relationships/image" Target="media/image59.jpeg"/><Relationship Id="rId119" Type="http://schemas.microsoft.com/office/2007/relationships/hdphoto" Target="media/hdphoto34.wdp"/><Relationship Id="rId44" Type="http://schemas.microsoft.com/office/2011/relationships/commentsExtended" Target="commentsExtended.xml"/><Relationship Id="rId60" Type="http://schemas.microsoft.com/office/2007/relationships/hdphoto" Target="media/hdphoto8.wdp"/><Relationship Id="rId65" Type="http://schemas.openxmlformats.org/officeDocument/2006/relationships/image" Target="media/image31.png"/><Relationship Id="rId81" Type="http://schemas.microsoft.com/office/2007/relationships/hdphoto" Target="media/hdphoto18.wdp"/><Relationship Id="rId86" Type="http://schemas.openxmlformats.org/officeDocument/2006/relationships/image" Target="media/image42.png"/><Relationship Id="rId130" Type="http://schemas.openxmlformats.org/officeDocument/2006/relationships/image" Target="media/image67.png"/><Relationship Id="rId135" Type="http://schemas.microsoft.com/office/2007/relationships/hdphoto" Target="media/hdphoto42.wdp"/><Relationship Id="rId151" Type="http://schemas.microsoft.com/office/2007/relationships/hdphoto" Target="media/hdphoto46.wdp"/><Relationship Id="rId156" Type="http://schemas.openxmlformats.org/officeDocument/2006/relationships/image" Target="media/image82.jpeg"/><Relationship Id="rId13" Type="http://schemas.openxmlformats.org/officeDocument/2006/relationships/image" Target="media/image3.emf"/><Relationship Id="rId18" Type="http://schemas.openxmlformats.org/officeDocument/2006/relationships/image" Target="media/image7.emf"/><Relationship Id="rId39" Type="http://schemas.openxmlformats.org/officeDocument/2006/relationships/image" Target="media/image20.emf"/><Relationship Id="rId109" Type="http://schemas.microsoft.com/office/2007/relationships/hdphoto" Target="media/hdphoto30.wdp"/><Relationship Id="rId34" Type="http://schemas.openxmlformats.org/officeDocument/2006/relationships/oleObject" Target="embeddings/oleObject5.bin"/><Relationship Id="rId50" Type="http://schemas.microsoft.com/office/2007/relationships/hdphoto" Target="media/hdphoto3.wdp"/><Relationship Id="rId55" Type="http://schemas.openxmlformats.org/officeDocument/2006/relationships/image" Target="media/image26.png"/><Relationship Id="rId76" Type="http://schemas.openxmlformats.org/officeDocument/2006/relationships/image" Target="media/image37.png"/><Relationship Id="rId97" Type="http://schemas.microsoft.com/office/2007/relationships/hdphoto" Target="media/hdphoto26.wdp"/><Relationship Id="rId104" Type="http://schemas.openxmlformats.org/officeDocument/2006/relationships/image" Target="media/image52.png"/><Relationship Id="rId120" Type="http://schemas.openxmlformats.org/officeDocument/2006/relationships/image" Target="media/image62.jpeg"/><Relationship Id="rId125" Type="http://schemas.microsoft.com/office/2007/relationships/hdphoto" Target="media/hdphoto37.wdp"/><Relationship Id="rId141" Type="http://schemas.openxmlformats.org/officeDocument/2006/relationships/image" Target="media/image73.emf"/><Relationship Id="rId146" Type="http://schemas.openxmlformats.org/officeDocument/2006/relationships/image" Target="media/image77.jpeg"/><Relationship Id="rId7" Type="http://schemas.openxmlformats.org/officeDocument/2006/relationships/endnotes" Target="endnotes.xml"/><Relationship Id="rId71" Type="http://schemas.microsoft.com/office/2007/relationships/hdphoto" Target="media/hdphoto13.wdp"/><Relationship Id="rId92"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hyperlink" Target="mailto:nguyenduyen6784@gmail.com" TargetMode="External"/><Relationship Id="rId24" Type="http://schemas.openxmlformats.org/officeDocument/2006/relationships/image" Target="media/image11.emf"/><Relationship Id="rId40" Type="http://schemas.openxmlformats.org/officeDocument/2006/relationships/oleObject" Target="embeddings/oleObject8.bin"/><Relationship Id="rId45" Type="http://schemas.microsoft.com/office/2016/09/relationships/commentsIds" Target="commentsIds.xml"/><Relationship Id="rId66" Type="http://schemas.microsoft.com/office/2007/relationships/hdphoto" Target="media/hdphoto11.wdp"/><Relationship Id="rId87" Type="http://schemas.microsoft.com/office/2007/relationships/hdphoto" Target="media/hdphoto21.wdp"/><Relationship Id="rId110" Type="http://schemas.openxmlformats.org/officeDocument/2006/relationships/image" Target="media/image56.jpeg"/><Relationship Id="rId115" Type="http://schemas.microsoft.com/office/2007/relationships/hdphoto" Target="media/hdphoto32.wdp"/><Relationship Id="rId131" Type="http://schemas.microsoft.com/office/2007/relationships/hdphoto" Target="media/hdphoto40.wdp"/><Relationship Id="rId136" Type="http://schemas.openxmlformats.org/officeDocument/2006/relationships/image" Target="media/image70.png"/><Relationship Id="rId157" Type="http://schemas.microsoft.com/office/2007/relationships/hdphoto" Target="media/hdphoto49.wdp"/><Relationship Id="rId61" Type="http://schemas.openxmlformats.org/officeDocument/2006/relationships/image" Target="media/image29.png"/><Relationship Id="rId82" Type="http://schemas.openxmlformats.org/officeDocument/2006/relationships/image" Target="media/image40.png"/><Relationship Id="rId152" Type="http://schemas.openxmlformats.org/officeDocument/2006/relationships/image" Target="media/image80.png"/><Relationship Id="rId19" Type="http://schemas.openxmlformats.org/officeDocument/2006/relationships/image" Target="media/image8.png"/><Relationship Id="rId14" Type="http://schemas.openxmlformats.org/officeDocument/2006/relationships/oleObject" Target="embeddings/oleObject1.bin"/><Relationship Id="rId30" Type="http://schemas.openxmlformats.org/officeDocument/2006/relationships/image" Target="media/image15.png"/><Relationship Id="rId35" Type="http://schemas.openxmlformats.org/officeDocument/2006/relationships/image" Target="media/image18.emf"/><Relationship Id="rId56" Type="http://schemas.microsoft.com/office/2007/relationships/hdphoto" Target="media/hdphoto6.wdp"/><Relationship Id="rId77" Type="http://schemas.microsoft.com/office/2007/relationships/hdphoto" Target="media/hdphoto16.wdp"/><Relationship Id="rId100" Type="http://schemas.openxmlformats.org/officeDocument/2006/relationships/image" Target="media/image49.jpeg"/><Relationship Id="rId105" Type="http://schemas.microsoft.com/office/2007/relationships/hdphoto" Target="media/hdphoto29.wdp"/><Relationship Id="rId126" Type="http://schemas.openxmlformats.org/officeDocument/2006/relationships/image" Target="media/image65.png"/><Relationship Id="rId147" Type="http://schemas.microsoft.com/office/2007/relationships/hdphoto" Target="media/hdphoto44.wdp"/><Relationship Id="rId8" Type="http://schemas.openxmlformats.org/officeDocument/2006/relationships/footer" Target="footer1.xml"/><Relationship Id="rId51" Type="http://schemas.openxmlformats.org/officeDocument/2006/relationships/image" Target="media/image24.png"/><Relationship Id="rId72" Type="http://schemas.openxmlformats.org/officeDocument/2006/relationships/image" Target="media/image35.png"/><Relationship Id="rId93" Type="http://schemas.microsoft.com/office/2007/relationships/hdphoto" Target="media/hdphoto24.wdp"/><Relationship Id="rId98" Type="http://schemas.openxmlformats.org/officeDocument/2006/relationships/image" Target="media/image48.jpeg"/><Relationship Id="rId121" Type="http://schemas.microsoft.com/office/2007/relationships/hdphoto" Target="media/hdphoto35.wdp"/><Relationship Id="rId142" Type="http://schemas.openxmlformats.org/officeDocument/2006/relationships/image" Target="media/image74.emf"/><Relationship Id="rId3" Type="http://schemas.openxmlformats.org/officeDocument/2006/relationships/styles" Target="styles.xml"/><Relationship Id="rId25" Type="http://schemas.openxmlformats.org/officeDocument/2006/relationships/oleObject" Target="embeddings/oleObject3.bin"/><Relationship Id="rId46" Type="http://schemas.microsoft.com/office/2018/08/relationships/commentsExtensible" Target="commentsExtensible.xml"/><Relationship Id="rId67" Type="http://schemas.openxmlformats.org/officeDocument/2006/relationships/image" Target="media/image32.png"/><Relationship Id="rId116" Type="http://schemas.openxmlformats.org/officeDocument/2006/relationships/image" Target="media/image60.jpeg"/><Relationship Id="rId137" Type="http://schemas.openxmlformats.org/officeDocument/2006/relationships/image" Target="media/image71.emf"/><Relationship Id="rId158"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21.png"/><Relationship Id="rId62" Type="http://schemas.microsoft.com/office/2007/relationships/hdphoto" Target="media/hdphoto9.wdp"/><Relationship Id="rId83" Type="http://schemas.microsoft.com/office/2007/relationships/hdphoto" Target="media/hdphoto19.wdp"/><Relationship Id="rId88" Type="http://schemas.openxmlformats.org/officeDocument/2006/relationships/image" Target="media/image43.png"/><Relationship Id="rId111" Type="http://schemas.openxmlformats.org/officeDocument/2006/relationships/image" Target="media/image57.jpeg"/><Relationship Id="rId132" Type="http://schemas.openxmlformats.org/officeDocument/2006/relationships/image" Target="media/image68.png"/><Relationship Id="rId153" Type="http://schemas.microsoft.com/office/2007/relationships/hdphoto" Target="media/hdphoto47.wdp"/><Relationship Id="rId15" Type="http://schemas.openxmlformats.org/officeDocument/2006/relationships/image" Target="media/image4.jpeg"/><Relationship Id="rId36" Type="http://schemas.openxmlformats.org/officeDocument/2006/relationships/oleObject" Target="embeddings/oleObject6.bin"/><Relationship Id="rId57" Type="http://schemas.openxmlformats.org/officeDocument/2006/relationships/image" Target="media/image27.png"/><Relationship Id="rId106" Type="http://schemas.openxmlformats.org/officeDocument/2006/relationships/image" Target="media/image53.png"/><Relationship Id="rId127" Type="http://schemas.microsoft.com/office/2007/relationships/hdphoto" Target="media/hdphoto38.wdp"/><Relationship Id="rId10" Type="http://schemas.openxmlformats.org/officeDocument/2006/relationships/footer" Target="footer3.xml"/><Relationship Id="rId31" Type="http://schemas.openxmlformats.org/officeDocument/2006/relationships/image" Target="media/image16.emf"/><Relationship Id="rId52" Type="http://schemas.microsoft.com/office/2007/relationships/hdphoto" Target="media/hdphoto4.wdp"/><Relationship Id="rId73" Type="http://schemas.microsoft.com/office/2007/relationships/hdphoto" Target="media/hdphoto14.wdp"/><Relationship Id="rId78" Type="http://schemas.openxmlformats.org/officeDocument/2006/relationships/image" Target="media/image38.png"/><Relationship Id="rId94" Type="http://schemas.openxmlformats.org/officeDocument/2006/relationships/image" Target="media/image46.png"/><Relationship Id="rId99" Type="http://schemas.microsoft.com/office/2007/relationships/hdphoto" Target="media/hdphoto27.wdp"/><Relationship Id="rId101" Type="http://schemas.openxmlformats.org/officeDocument/2006/relationships/image" Target="media/image50.jpeg"/><Relationship Id="rId122" Type="http://schemas.openxmlformats.org/officeDocument/2006/relationships/image" Target="media/image63.jpeg"/><Relationship Id="rId143" Type="http://schemas.openxmlformats.org/officeDocument/2006/relationships/image" Target="media/image75.png"/><Relationship Id="rId148"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2.emf"/><Relationship Id="rId47" Type="http://schemas.openxmlformats.org/officeDocument/2006/relationships/image" Target="media/image22.emf"/><Relationship Id="rId68" Type="http://schemas.microsoft.com/office/2007/relationships/hdphoto" Target="media/hdphoto12.wdp"/><Relationship Id="rId89" Type="http://schemas.microsoft.com/office/2007/relationships/hdphoto" Target="media/hdphoto22.wdp"/><Relationship Id="rId112" Type="http://schemas.microsoft.com/office/2007/relationships/hdphoto" Target="media/hdphoto31.wdp"/><Relationship Id="rId133" Type="http://schemas.microsoft.com/office/2007/relationships/hdphoto" Target="media/hdphoto41.wdp"/><Relationship Id="rId154" Type="http://schemas.openxmlformats.org/officeDocument/2006/relationships/image" Target="media/image81.jpeg"/><Relationship Id="rId16" Type="http://schemas.openxmlformats.org/officeDocument/2006/relationships/image" Target="media/image5.jpeg"/><Relationship Id="rId37" Type="http://schemas.openxmlformats.org/officeDocument/2006/relationships/image" Target="media/image19.emf"/><Relationship Id="rId58" Type="http://schemas.microsoft.com/office/2007/relationships/hdphoto" Target="media/hdphoto7.wdp"/><Relationship Id="rId79" Type="http://schemas.microsoft.com/office/2007/relationships/hdphoto" Target="media/hdphoto17.wdp"/><Relationship Id="rId102" Type="http://schemas.openxmlformats.org/officeDocument/2006/relationships/image" Target="media/image51.png"/><Relationship Id="rId123" Type="http://schemas.microsoft.com/office/2007/relationships/hdphoto" Target="media/hdphoto36.wdp"/><Relationship Id="rId144" Type="http://schemas.microsoft.com/office/2007/relationships/hdphoto" Target="media/hdphoto43.wdp"/><Relationship Id="rId90" Type="http://schemas.openxmlformats.org/officeDocument/2006/relationships/image" Target="media/image44.png"/><Relationship Id="rId27" Type="http://schemas.openxmlformats.org/officeDocument/2006/relationships/image" Target="media/image13.emf"/><Relationship Id="rId48" Type="http://schemas.openxmlformats.org/officeDocument/2006/relationships/oleObject" Target="embeddings/oleObject9.bin"/><Relationship Id="rId69" Type="http://schemas.openxmlformats.org/officeDocument/2006/relationships/image" Target="media/image33.jpeg"/><Relationship Id="rId113" Type="http://schemas.openxmlformats.org/officeDocument/2006/relationships/image" Target="media/image58.jpeg"/><Relationship Id="rId134" Type="http://schemas.openxmlformats.org/officeDocument/2006/relationships/image" Target="media/image69.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EDFA7-9941-4830-9B13-74174381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163</Pages>
  <Words>137125</Words>
  <Characters>781614</Characters>
  <Application>Microsoft Office Word</Application>
  <DocSecurity>0</DocSecurity>
  <Lines>6513</Lines>
  <Paragraphs>1833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21AK22</dc:creator>
  <cp:lastModifiedBy>TID-PC2024</cp:lastModifiedBy>
  <cp:revision>13</cp:revision>
  <cp:lastPrinted>2026-03-26T04:14:00Z</cp:lastPrinted>
  <dcterms:created xsi:type="dcterms:W3CDTF">2026-03-30T03:33:00Z</dcterms:created>
  <dcterms:modified xsi:type="dcterms:W3CDTF">2026-04-01T11:22:00Z</dcterms:modified>
</cp:coreProperties>
</file>